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auto"/>
          <w:sz w:val="28"/>
          <w:highlight w:val="none"/>
        </w:rPr>
      </w:pPr>
      <w:r/>
      <w:bookmarkStart w:id="0" w:name="_Hlk69393945"/>
      <w:r/>
      <w:bookmarkStart w:id="1" w:name="_Toc528771312"/>
      <w:r/>
      <w:bookmarkStart w:id="2" w:name="_Toc27744861"/>
      <w:r/>
      <w:r/>
    </w:p>
    <w:p>
      <w:pPr>
        <w:jc w:val="right"/>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JSZC-321000-SWGC-C2026-0039</w:t>
      </w:r>
      <w:r>
        <w:rPr>
          <w:rFonts w:hint="eastAsia" w:ascii="宋体" w:hAnsi="宋体"/>
          <w:b/>
          <w:bCs/>
          <w:color w:val="auto"/>
          <w:sz w:val="36"/>
          <w:highlight w:val="none"/>
        </w:rPr>
        <w:t xml:space="preserve">号</w:t>
      </w:r>
      <w:r/>
    </w:p>
    <w:p>
      <w:pPr>
        <w:jc w:val="center"/>
        <w:spacing w:line="360" w:lineRule="auto"/>
        <w:rPr>
          <w:rFonts w:hint="eastAsia" w:ascii="宋体" w:hAnsi="宋体"/>
          <w:b/>
          <w:bCs/>
          <w:color w:val="auto"/>
          <w:sz w:val="36"/>
          <w:highlight w:val="none"/>
        </w:rPr>
      </w:pPr>
      <w:r/>
      <w:bookmarkStart w:id="45" w:name="_GoBack"/>
      <w:r/>
      <w:bookmarkEnd w:id="45"/>
      <w:r/>
      <w:r/>
    </w:p>
    <w:p>
      <w:pPr>
        <w:jc w:val="center"/>
        <w:spacing w:line="360" w:lineRule="auto"/>
        <w:rPr>
          <w:rFonts w:hint="eastAsia" w:ascii="宋体" w:hAnsi="宋体" w:eastAsia="宋体"/>
          <w:b/>
          <w:bCs/>
          <w:color w:val="auto"/>
          <w:sz w:val="36"/>
          <w:highlight w:val="none"/>
          <w:lang w:eastAsia="zh-CN"/>
        </w:rPr>
      </w:pPr>
      <w:r>
        <w:rPr>
          <w:rFonts w:hint="eastAsia" w:ascii="宋体" w:hAnsi="宋体"/>
          <w:b/>
          <w:bCs/>
          <w:color w:val="auto"/>
          <w:sz w:val="36"/>
          <w:highlight w:val="none"/>
          <w:lang w:eastAsia="zh-CN"/>
        </w:rPr>
        <w:t xml:space="preserve">扬州市2025年智慧图书馆体系资源建设项目（</w:t>
      </w:r>
      <w:r>
        <w:rPr>
          <w:rFonts w:hint="eastAsia" w:ascii="宋体" w:hAnsi="宋体"/>
          <w:b/>
          <w:bCs/>
          <w:color w:val="auto"/>
          <w:sz w:val="36"/>
          <w:highlight w:val="none"/>
          <w:lang w:val="en-US" w:eastAsia="zh-CN"/>
        </w:rPr>
        <w:t xml:space="preserve">二次</w:t>
      </w:r>
      <w:r>
        <w:rPr>
          <w:rFonts w:hint="eastAsia" w:ascii="宋体" w:hAnsi="宋体"/>
          <w:b/>
          <w:bCs/>
          <w:color w:val="auto"/>
          <w:sz w:val="36"/>
          <w:highlight w:val="none"/>
          <w:lang w:eastAsia="zh-CN"/>
        </w:rPr>
        <w:t xml:space="preserve">）</w:t>
      </w:r>
      <w:r/>
    </w:p>
    <w:p>
      <w:pPr>
        <w:jc w:val="center"/>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竞争性磋商文件</w:t>
      </w:r>
      <w:r/>
    </w:p>
    <w:p>
      <w:pPr>
        <w:pStyle w:val="1005"/>
        <w:spacing w:line="360" w:lineRule="auto"/>
        <w:rPr>
          <w:color w:val="auto"/>
          <w:highlight w:val="none"/>
        </w:rPr>
      </w:pPr>
      <w:r>
        <w:rPr>
          <w:color w:val="auto"/>
          <w:highlight w:val="none"/>
        </w:rPr>
      </w:r>
      <w:r/>
    </w:p>
    <w:p>
      <w:pPr>
        <w:pStyle w:val="1005"/>
        <w:spacing w:line="360" w:lineRule="auto"/>
        <w:rPr>
          <w:color w:val="auto"/>
          <w:highlight w:val="none"/>
        </w:rPr>
      </w:pPr>
      <w:r>
        <w:rPr>
          <w:color w:val="auto"/>
          <w:highlight w:val="none"/>
        </w:rPr>
      </w:r>
      <w:r/>
    </w:p>
    <w:p>
      <w:pPr>
        <w:spacing w:line="360" w:lineRule="auto"/>
        <w:rPr>
          <w:rFonts w:hint="eastAsia" w:ascii="宋体" w:hAnsi="宋体"/>
          <w:color w:val="auto"/>
          <w:sz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3"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08d66b1963638fca2576092b27cd9f9"/>
                        <pic:cNvPicPr>
                          <a:picLocks noChangeAspect="1"/>
                        </pic:cNvPicPr>
                        <pic:nvPr/>
                      </pic:nvPicPr>
                      <pic:blipFill>
                        <a:blip r:embed="rId13"/>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3" o:title=""/>
              </v:shape>
            </w:pict>
          </mc:Fallback>
        </mc:AlternateContent>
      </w:r>
      <w:r/>
    </w:p>
    <w:p>
      <w:pPr>
        <w:jc w:val="center"/>
        <w:spacing w:line="360" w:lineRule="auto"/>
        <w:rPr>
          <w:rFonts w:hint="eastAsia" w:ascii="宋体" w:hAnsi="宋体"/>
          <w:color w:val="auto"/>
          <w:sz w:val="36"/>
          <w:highlight w:val="none"/>
        </w:rPr>
      </w:pPr>
      <w:r>
        <w:rPr>
          <w:rFonts w:hint="eastAsia" w:ascii="宋体" w:hAnsi="宋体"/>
          <w:color w:val="auto"/>
          <w:sz w:val="36"/>
          <w:highlight w:val="none"/>
        </w:rPr>
      </w:r>
      <w:r/>
    </w:p>
    <w:p>
      <w:pPr>
        <w:jc w:val="center"/>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spacing w:line="360" w:lineRule="auto"/>
        <w:rPr>
          <w:rFonts w:hint="eastAsia" w:ascii="宋体" w:hAnsi="宋体"/>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04</w:t>
      </w:r>
      <w:r>
        <w:rPr>
          <w:rFonts w:hint="eastAsia" w:ascii="宋体" w:hAnsi="宋体"/>
          <w:b/>
          <w:bCs/>
          <w:color w:val="auto"/>
          <w:sz w:val="36"/>
          <w:highlight w:val="none"/>
        </w:rPr>
        <w:t xml:space="preserve">月</w:t>
      </w:r>
      <w:r>
        <w:rPr>
          <w:rFonts w:hint="eastAsia" w:ascii="宋体" w:hAnsi="宋体"/>
          <w:b/>
          <w:bCs/>
          <w:color w:val="auto"/>
          <w:sz w:val="36"/>
          <w:highlight w:val="none"/>
          <w:lang w:val="en-US" w:eastAsia="zh-CN"/>
        </w:rPr>
        <w:t xml:space="preserve">02</w:t>
      </w:r>
      <w:r>
        <w:rPr>
          <w:rFonts w:hint="eastAsia" w:ascii="宋体" w:hAnsi="宋体"/>
          <w:b/>
          <w:bCs/>
          <w:color w:val="auto"/>
          <w:sz w:val="36"/>
          <w:highlight w:val="none"/>
        </w:rPr>
        <w:t xml:space="preserve">日</w:t>
      </w:r>
      <w:r/>
    </w:p>
    <w:p>
      <w:pPr>
        <w:ind w:firstLine="420"/>
        <w:jc w:val="center"/>
        <w:spacing w:line="360" w:lineRule="auto"/>
        <w:rPr>
          <w:color w:val="auto"/>
          <w:highlight w:val="none"/>
        </w:rPr>
      </w:pPr>
      <w:r>
        <w:rPr>
          <w:color w:val="auto"/>
          <w:highlight w:val="none"/>
        </w:rPr>
      </w:r>
      <w:r/>
    </w:p>
    <w:p>
      <w:pPr>
        <w:jc w:val="center"/>
        <w:spacing w:line="360" w:lineRule="auto"/>
        <w:rPr>
          <w:rFonts w:hint="eastAsia" w:ascii="宋体" w:hAnsi="宋体" w:cs="宋体"/>
          <w:color w:val="auto"/>
          <w:szCs w:val="21"/>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目 录</w:t>
      </w:r>
      <w:r/>
    </w:p>
    <w:p>
      <w:pPr>
        <w:pStyle w:val="998"/>
        <w:spacing w:line="360" w:lineRule="auto"/>
        <w:tabs>
          <w:tab w:val="right" w:pos="8296" w:leader="dot"/>
        </w:tabs>
        <w:rPr>
          <w:rFonts w:hint="eastAsia"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第一章 </w:t>
      </w:r>
      <w:r>
        <w:rPr>
          <w:rFonts w:hint="eastAsia" w:ascii="宋体" w:hAnsi="宋体" w:cs="宋体"/>
          <w:color w:val="auto"/>
          <w:szCs w:val="21"/>
          <w:highlight w:val="none"/>
          <w:lang w:eastAsia="zh-CN"/>
        </w:rPr>
        <w:t xml:space="preserve">扬州市2025年智慧图书馆体系资源建设项目（二次）</w:t>
      </w:r>
      <w:r>
        <w:rPr>
          <w:rFonts w:hint="eastAsia" w:ascii="宋体" w:hAnsi="宋体" w:cs="宋体"/>
          <w:color w:val="auto"/>
          <w:szCs w:val="21"/>
          <w:highlight w:val="none"/>
        </w:rPr>
        <w:t xml:space="preserve">采购公告</w:t>
      </w:r>
      <w:r>
        <w:rPr>
          <w:rFonts w:hint="eastAsia" w:ascii="宋体" w:hAnsi="宋体" w:cs="宋体"/>
          <w:color w:val="auto"/>
          <w:szCs w:val="21"/>
          <w:highlight w:val="none"/>
        </w:rPr>
        <w:tab/>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PAGEREF _Toc109304962 \h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2</w:t>
      </w:r>
      <w:r>
        <w:rPr>
          <w:rFonts w:hint="eastAsia" w:ascii="宋体" w:hAnsi="宋体" w:cs="宋体"/>
          <w:color w:val="auto"/>
          <w:szCs w:val="21"/>
          <w:highlight w:val="none"/>
        </w:rPr>
        <w:fldChar w:fldCharType="end"/>
      </w:r>
      <w:r/>
    </w:p>
    <w:p>
      <w:pPr>
        <w:pStyle w:val="998"/>
        <w:spacing w:line="360" w:lineRule="auto"/>
        <w:tabs>
          <w:tab w:val="right" w:pos="8296" w:leader="dot"/>
        </w:tabs>
        <w:rPr>
          <w:rFonts w:hint="eastAsia" w:ascii="宋体" w:hAnsi="宋体" w:cs="宋体"/>
          <w:color w:val="auto"/>
          <w:szCs w:val="21"/>
          <w:highlight w:val="none"/>
        </w:rPr>
      </w:pPr>
      <w:r>
        <w:rPr>
          <w:rFonts w:hint="eastAsia" w:ascii="宋体" w:hAnsi="宋体" w:cs="宋体"/>
          <w:color w:val="auto"/>
          <w:szCs w:val="21"/>
          <w:highlight w:val="none"/>
        </w:rPr>
        <w:t xml:space="preserve">第二章 磋商须知</w:t>
      </w:r>
      <w:r>
        <w:rPr>
          <w:rFonts w:hint="eastAsia" w:ascii="宋体" w:hAnsi="宋体" w:cs="宋体"/>
          <w:color w:val="auto"/>
          <w:szCs w:val="21"/>
          <w:highlight w:val="none"/>
        </w:rPr>
        <w:tab/>
      </w:r>
      <w:r>
        <w:rPr>
          <w:rFonts w:hint="eastAsia" w:ascii="宋体" w:hAnsi="宋体" w:cs="宋体"/>
          <w:color w:val="auto"/>
          <w:szCs w:val="21"/>
          <w:highlight w:val="none"/>
        </w:rPr>
        <w:t xml:space="preserve">6</w:t>
      </w:r>
      <w:r/>
    </w:p>
    <w:p>
      <w:pPr>
        <w:pStyle w:val="998"/>
        <w:spacing w:line="360" w:lineRule="auto"/>
        <w:tabs>
          <w:tab w:val="right" w:pos="8296" w:leader="dot"/>
        </w:tabs>
        <w:rPr>
          <w:rFonts w:hint="eastAsia" w:ascii="宋体" w:hAnsi="宋体" w:cs="宋体"/>
          <w:color w:val="auto"/>
          <w:szCs w:val="21"/>
          <w:highlight w:val="none"/>
        </w:rPr>
      </w:pPr>
      <w:r>
        <w:rPr>
          <w:rFonts w:hint="eastAsia" w:ascii="宋体" w:hAnsi="宋体" w:cs="宋体"/>
          <w:color w:val="auto"/>
          <w:szCs w:val="21"/>
          <w:highlight w:val="none"/>
        </w:rPr>
        <w:t xml:space="preserve">第三章 合同条款及格式</w:t>
      </w:r>
      <w:r>
        <w:rPr>
          <w:rFonts w:hint="eastAsia" w:ascii="宋体" w:hAnsi="宋体" w:cs="宋体"/>
          <w:color w:val="auto"/>
          <w:szCs w:val="21"/>
          <w:highlight w:val="none"/>
        </w:rPr>
        <w:tab/>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PAGEREF _Toc109304973 \h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16</w:t>
      </w:r>
      <w:r>
        <w:rPr>
          <w:rFonts w:hint="eastAsia" w:ascii="宋体" w:hAnsi="宋体" w:cs="宋体"/>
          <w:color w:val="auto"/>
          <w:szCs w:val="21"/>
          <w:highlight w:val="none"/>
        </w:rPr>
        <w:fldChar w:fldCharType="end"/>
      </w:r>
      <w:r/>
    </w:p>
    <w:p>
      <w:pPr>
        <w:pStyle w:val="998"/>
        <w:spacing w:line="360" w:lineRule="auto"/>
        <w:tabs>
          <w:tab w:val="right" w:pos="8296" w:leader="dot"/>
        </w:tabs>
        <w:rPr>
          <w:rFonts w:hint="eastAsia" w:ascii="宋体" w:hAnsi="宋体" w:cs="宋体"/>
          <w:color w:val="auto"/>
          <w:szCs w:val="21"/>
          <w:highlight w:val="none"/>
        </w:rPr>
      </w:pPr>
      <w:r>
        <w:rPr>
          <w:rFonts w:hint="eastAsia" w:ascii="宋体" w:hAnsi="宋体" w:cs="宋体"/>
          <w:color w:val="auto"/>
          <w:szCs w:val="21"/>
          <w:highlight w:val="none"/>
        </w:rPr>
        <w:t xml:space="preserve">第四章 项目需求</w:t>
      </w:r>
      <w:r>
        <w:rPr>
          <w:rFonts w:hint="eastAsia" w:ascii="宋体" w:hAnsi="宋体" w:cs="宋体"/>
          <w:color w:val="auto"/>
          <w:szCs w:val="21"/>
          <w:highlight w:val="none"/>
        </w:rPr>
        <w:tab/>
      </w:r>
      <w:r>
        <w:rPr>
          <w:rFonts w:hint="eastAsia" w:ascii="宋体" w:hAnsi="宋体" w:cs="宋体"/>
          <w:color w:val="auto"/>
          <w:szCs w:val="21"/>
          <w:highlight w:val="none"/>
        </w:rPr>
        <w:t xml:space="preserve">20</w:t>
      </w:r>
      <w:r/>
    </w:p>
    <w:p>
      <w:pPr>
        <w:pStyle w:val="998"/>
        <w:spacing w:line="360" w:lineRule="auto"/>
        <w:tabs>
          <w:tab w:val="right" w:pos="8296" w:leader="dot"/>
        </w:tabs>
        <w:rPr>
          <w:rFonts w:hint="eastAsia" w:ascii="宋体" w:hAnsi="宋体" w:cs="宋体"/>
          <w:color w:val="auto"/>
          <w:szCs w:val="21"/>
          <w:highlight w:val="none"/>
        </w:rPr>
      </w:pPr>
      <w:r>
        <w:rPr>
          <w:rFonts w:hint="eastAsia" w:ascii="宋体" w:hAnsi="宋体" w:cs="宋体"/>
          <w:color w:val="auto"/>
          <w:szCs w:val="21"/>
          <w:highlight w:val="none"/>
        </w:rPr>
        <w:t xml:space="preserve">第五章 评审方法及评审标准</w:t>
      </w:r>
      <w:r>
        <w:rPr>
          <w:rFonts w:hint="eastAsia" w:ascii="宋体" w:hAnsi="宋体" w:cs="宋体"/>
          <w:color w:val="auto"/>
          <w:szCs w:val="21"/>
          <w:highlight w:val="none"/>
        </w:rPr>
        <w:tab/>
      </w:r>
      <w:r>
        <w:rPr>
          <w:rFonts w:hint="eastAsia" w:ascii="宋体" w:hAnsi="宋体" w:cs="宋体"/>
          <w:color w:val="auto"/>
          <w:szCs w:val="21"/>
          <w:highlight w:val="none"/>
        </w:rPr>
        <w:t xml:space="preserve">28</w:t>
      </w:r>
      <w:r/>
    </w:p>
    <w:p>
      <w:pPr>
        <w:pStyle w:val="998"/>
        <w:spacing w:line="360" w:lineRule="auto"/>
        <w:tabs>
          <w:tab w:val="right" w:pos="8296" w:leader="dot"/>
        </w:tabs>
        <w:rPr>
          <w:rFonts w:hint="eastAsia" w:ascii="宋体" w:hAnsi="宋体" w:cs="宋体"/>
          <w:color w:val="auto"/>
          <w:szCs w:val="21"/>
          <w:highlight w:val="none"/>
        </w:rPr>
      </w:pPr>
      <w:r>
        <w:rPr>
          <w:rFonts w:hint="eastAsia" w:ascii="宋体" w:hAnsi="宋体" w:cs="宋体"/>
          <w:color w:val="auto"/>
          <w:szCs w:val="21"/>
          <w:highlight w:val="none"/>
        </w:rPr>
        <w:t xml:space="preserve">第六章 竞争性磋商响应文件格式</w:t>
      </w:r>
      <w:r>
        <w:rPr>
          <w:rFonts w:hint="eastAsia" w:ascii="宋体" w:hAnsi="宋体" w:cs="宋体"/>
          <w:color w:val="auto"/>
          <w:szCs w:val="21"/>
          <w:highlight w:val="none"/>
        </w:rPr>
        <w:tab/>
      </w:r>
      <w:r>
        <w:rPr>
          <w:rFonts w:hint="eastAsia" w:ascii="宋体" w:hAnsi="宋体" w:cs="宋体"/>
          <w:color w:val="auto"/>
          <w:szCs w:val="21"/>
          <w:highlight w:val="none"/>
        </w:rPr>
        <w:t xml:space="preserve">32</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pStyle w:val="973"/>
        <w:ind w:firstLine="723"/>
        <w:jc w:val="center"/>
        <w:spacing w:before="0" w:after="0" w:line="360" w:lineRule="auto"/>
        <w:rPr>
          <w:rFonts w:hint="eastAsia" w:ascii="宋体" w:hAnsi="宋体"/>
          <w:color w:val="auto"/>
          <w:sz w:val="36"/>
          <w:szCs w:val="36"/>
          <w:highlight w:val="none"/>
        </w:rPr>
      </w:pPr>
      <w:r>
        <w:rPr>
          <w:rFonts w:ascii="宋体" w:hAnsi="宋体"/>
          <w:color w:val="auto"/>
          <w:sz w:val="36"/>
          <w:szCs w:val="36"/>
          <w:highlight w:val="none"/>
        </w:rPr>
        <w:br w:type="page" w:clear="all"/>
      </w:r>
      <w:bookmarkStart w:id="3" w:name="_Toc109304962"/>
      <w:r>
        <w:rPr>
          <w:rStyle w:val="845"/>
          <w:rFonts w:hint="eastAsia"/>
          <w:b/>
          <w:color w:val="auto"/>
          <w:highlight w:val="none"/>
        </w:rPr>
        <w:t xml:space="preserve">第一章 </w:t>
      </w:r>
      <w:r>
        <w:rPr>
          <w:rStyle w:val="845"/>
          <w:rFonts w:hint="eastAsia"/>
          <w:b/>
          <w:color w:val="auto"/>
          <w:highlight w:val="none"/>
          <w:lang w:eastAsia="zh-CN"/>
        </w:rPr>
        <w:t xml:space="preserve">扬州市2025年智慧图书馆体系资源建设项目（二次）</w:t>
      </w:r>
      <w:r>
        <w:rPr>
          <w:rStyle w:val="845"/>
          <w:rFonts w:hint="eastAsia"/>
          <w:b/>
          <w:color w:val="auto"/>
          <w:highlight w:val="none"/>
        </w:rPr>
        <w:t xml:space="preserve">采购公告</w:t>
      </w:r>
      <w:bookmarkEnd w:id="3"/>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受扬州市图书馆的委托，江苏苏维工程管理有限公司就</w:t>
      </w:r>
      <w:r>
        <w:rPr>
          <w:rFonts w:hint="eastAsia" w:ascii="宋体" w:hAnsi="宋体" w:cs="宋体"/>
          <w:color w:val="auto"/>
          <w:szCs w:val="21"/>
          <w:highlight w:val="none"/>
          <w:lang w:eastAsia="zh-CN"/>
        </w:rPr>
        <w:t xml:space="preserve">扬州市2025年智慧图书馆体系资源建设项目（二次）</w:t>
      </w:r>
      <w:r>
        <w:rPr>
          <w:rFonts w:hint="eastAsia" w:ascii="宋体" w:hAnsi="宋体" w:cs="宋体"/>
          <w:color w:val="auto"/>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cs="宋体"/>
          <w:b/>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扬州市2025年智慧图书馆体系资源建设项目（二次）</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“扬州市政府采购网”、“江苏省政府采购网”和“中国政府采购网”自行免费下载</w:t>
      </w:r>
      <w:r>
        <w:rPr>
          <w:rFonts w:hint="eastAsia" w:ascii="宋体" w:hAnsi="宋体" w:cs="宋体"/>
          <w:color w:val="auto"/>
          <w:szCs w:val="21"/>
          <w:highlight w:val="none"/>
        </w:rPr>
        <w:t xml:space="preserve">采购文件，并于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yellow"/>
          <w:u w:val="single"/>
          <w:lang w:val="en-US" w:eastAsia="zh-CN"/>
        </w:rPr>
        <w:t xml:space="preserve">04</w:t>
      </w:r>
      <w:r>
        <w:rPr>
          <w:rFonts w:hint="eastAsia" w:ascii="宋体" w:hAnsi="宋体" w:cs="宋体"/>
          <w:color w:val="auto"/>
          <w:szCs w:val="21"/>
          <w:highlight w:val="yellow"/>
          <w:u w:val="single"/>
        </w:rPr>
        <w:t xml:space="preserve">月</w:t>
      </w:r>
      <w:r>
        <w:rPr>
          <w:rFonts w:hint="eastAsia" w:ascii="宋体" w:hAnsi="宋体" w:cs="宋体"/>
          <w:color w:val="auto"/>
          <w:szCs w:val="21"/>
          <w:highlight w:val="yellow"/>
          <w:u w:val="single"/>
          <w:lang w:val="en-US" w:eastAsia="zh-CN"/>
        </w:rPr>
        <w:t xml:space="preserve">13</w:t>
      </w:r>
      <w:r>
        <w:rPr>
          <w:rFonts w:hint="eastAsia" w:ascii="宋体" w:hAnsi="宋体" w:cs="宋体"/>
          <w:color w:val="auto"/>
          <w:szCs w:val="21"/>
          <w:highlight w:val="yellow"/>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74"/>
        <w:ind w:firstLine="422"/>
        <w:spacing w:before="0" w:after="0" w:line="360" w:lineRule="auto"/>
        <w:rPr>
          <w:rFonts w:hint="eastAsia" w:ascii="宋体" w:hAnsi="宋体" w:cs="宋体"/>
          <w:bCs w:val="0"/>
          <w:color w:val="auto"/>
          <w:sz w:val="21"/>
          <w:szCs w:val="21"/>
          <w:highlight w:val="none"/>
        </w:rPr>
      </w:pPr>
      <w:r/>
      <w:bookmarkStart w:id="4" w:name="_Toc109304963"/>
      <w:r>
        <w:rPr>
          <w:rFonts w:hint="eastAsia" w:ascii="宋体" w:hAnsi="宋体" w:cs="宋体"/>
          <w:bCs w:val="0"/>
          <w:color w:val="auto"/>
          <w:sz w:val="21"/>
          <w:szCs w:val="21"/>
          <w:highlight w:val="none"/>
        </w:rPr>
        <w:t xml:space="preserve">一、项目基本情况</w:t>
      </w:r>
      <w:bookmarkEnd w:id="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JSZC-321000-SWGC-C2026-0039</w:t>
      </w:r>
      <w:r>
        <w:rPr>
          <w:rFonts w:hint="eastAsia" w:ascii="宋体" w:hAnsi="宋体" w:cs="宋体"/>
          <w:color w:val="auto"/>
          <w:szCs w:val="21"/>
          <w:highlight w:val="none"/>
        </w:rPr>
        <w:t xml:space="preserve">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扬州市2025年智慧图书馆体系资源建设项目（二次）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eastAsia="zh-CN"/>
        </w:rPr>
        <w:t xml:space="preserve">210万</w:t>
      </w:r>
      <w:r>
        <w:rPr>
          <w:rFonts w:hint="eastAsia" w:ascii="宋体" w:hAnsi="宋体" w:cs="宋体"/>
          <w:color w:val="auto"/>
          <w:szCs w:val="21"/>
          <w:highlight w:val="none"/>
        </w:rPr>
        <w:t xml:space="preserve">元</w:t>
      </w:r>
      <w:r/>
    </w:p>
    <w:p>
      <w:pPr>
        <w:ind w:firstLine="420"/>
        <w:spacing w:line="360" w:lineRule="auto"/>
        <w:rPr>
          <w:rFonts w:hint="default" w:ascii="宋体" w:hAnsi="宋体" w:cs="宋体"/>
          <w:color w:val="auto"/>
          <w:highlight w:val="none"/>
          <w:lang w:val="en-US"/>
        </w:rPr>
      </w:pPr>
      <w:r>
        <w:rPr>
          <w:rFonts w:hint="eastAsia" w:ascii="宋体" w:hAnsi="宋体" w:cs="宋体"/>
          <w:color w:val="auto"/>
          <w:szCs w:val="21"/>
          <w:highlight w:val="none"/>
        </w:rPr>
        <w:t xml:space="preserve">5.最高限价：</w:t>
      </w:r>
      <w:r>
        <w:rPr>
          <w:rFonts w:hint="eastAsia" w:ascii="宋体" w:hAnsi="宋体" w:cs="宋体"/>
          <w:color w:val="auto"/>
          <w:highlight w:val="yellow"/>
          <w:lang w:val="en-US" w:eastAsia="zh-CN"/>
        </w:rPr>
        <w:t xml:space="preserve">35元/筒子叶</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6.采购需求：</w:t>
      </w:r>
      <w:r>
        <w:rPr>
          <w:rFonts w:hint="eastAsia" w:ascii="宋体" w:hAnsi="宋体"/>
          <w:color w:val="auto"/>
          <w:szCs w:val="21"/>
          <w:highlight w:val="none"/>
        </w:rPr>
        <w:t xml:space="preserve">详见磋商文件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7.合同履行期限：自合同签订日起80个工作日内完成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进口产品响应。</w:t>
      </w:r>
      <w:r/>
    </w:p>
    <w:p>
      <w:pPr>
        <w:pStyle w:val="974"/>
        <w:ind w:firstLine="422"/>
        <w:spacing w:before="0" w:after="0" w:line="360" w:lineRule="auto"/>
        <w:rPr>
          <w:rFonts w:hint="eastAsia" w:ascii="宋体" w:hAnsi="宋体" w:cs="宋体"/>
          <w:bCs w:val="0"/>
          <w:color w:val="auto"/>
          <w:sz w:val="21"/>
          <w:szCs w:val="21"/>
          <w:highlight w:val="none"/>
        </w:rPr>
      </w:pPr>
      <w:r/>
      <w:bookmarkStart w:id="5" w:name="_Toc109304964"/>
      <w:r>
        <w:rPr>
          <w:rFonts w:hint="eastAsia" w:ascii="宋体" w:hAnsi="宋体" w:cs="宋体"/>
          <w:bCs w:val="0"/>
          <w:color w:val="auto"/>
          <w:sz w:val="21"/>
          <w:szCs w:val="21"/>
          <w:highlight w:val="none"/>
        </w:rPr>
        <w:t xml:space="preserve">二、申请人的资格要求：</w:t>
      </w:r>
      <w:bookmarkEnd w:id="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2024</w:t>
      </w:r>
      <w:r>
        <w:rPr>
          <w:rFonts w:hint="eastAsia" w:ascii="宋体" w:hAnsi="宋体" w:cs="宋体"/>
          <w:i/>
          <w:iCs/>
          <w:color w:val="auto"/>
          <w:szCs w:val="21"/>
          <w:highlight w:val="none"/>
          <w:u w:val="single"/>
        </w:rPr>
        <w:t xml:space="preserve">年度</w:t>
      </w:r>
      <w:r>
        <w:rPr>
          <w:rFonts w:hint="eastAsia" w:ascii="宋体" w:hAnsi="宋体" w:cs="宋体"/>
          <w:i/>
          <w:iCs/>
          <w:color w:val="auto"/>
          <w:szCs w:val="21"/>
          <w:highlight w:val="none"/>
          <w:u w:val="single"/>
          <w:lang w:val="en-US" w:eastAsia="zh-CN"/>
        </w:rPr>
        <w:t xml:space="preserve">或2025年度</w:t>
      </w:r>
      <w:r>
        <w:rPr>
          <w:rFonts w:hint="eastAsia" w:ascii="宋体" w:hAnsi="宋体" w:cs="宋体"/>
          <w:i/>
          <w:iCs/>
          <w:color w:val="auto"/>
          <w:szCs w:val="21"/>
          <w:highlight w:val="none"/>
          <w:u w:val="single"/>
        </w:rPr>
        <w:t xml:space="preserve">的财务报告情况（成立不满一年无需提供）；</w:t>
      </w:r>
      <w:r/>
    </w:p>
    <w:p>
      <w:pPr>
        <w:ind w:firstLine="420"/>
        <w:spacing w:line="360" w:lineRule="auto"/>
        <w:rPr>
          <w:rFonts w:hint="eastAsia" w:ascii="宋体" w:hAnsi="宋体"/>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hint="eastAsia" w:ascii="宋体" w:hAnsi="宋体"/>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i/>
          <w:iCs/>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u w:val="single"/>
        </w:rPr>
        <w:t xml:space="preserve">无</w:t>
      </w:r>
      <w:r/>
    </w:p>
    <w:p>
      <w:pPr>
        <w:ind w:firstLine="422"/>
        <w:spacing w:line="360" w:lineRule="auto"/>
        <w:rPr>
          <w:rFonts w:hint="eastAsia" w:ascii="宋体" w:hAnsi="宋体" w:cs="宋体"/>
          <w:b/>
          <w:bCs/>
          <w:color w:val="auto"/>
          <w:szCs w:val="21"/>
          <w:highlight w:val="none"/>
        </w:rPr>
      </w:pPr>
      <w:r/>
      <w:bookmarkStart w:id="6" w:name="_Toc109304965"/>
      <w:r>
        <w:rPr>
          <w:rFonts w:hint="eastAsia" w:ascii="宋体" w:hAnsi="宋体" w:cs="宋体"/>
          <w:b/>
          <w:bCs/>
          <w:color w:val="auto"/>
          <w:szCs w:val="21"/>
          <w:highlight w:val="none"/>
        </w:rPr>
        <w:t xml:space="preserve">三、获取采购文件</w:t>
      </w:r>
      <w:bookmarkEnd w:id="6"/>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自磋商公告发布之日起5个工作日。5个工作日后仍可下载采购文件，但不作为供应商权益受到损害的证明材料和依据。</w:t>
      </w:r>
      <w:r/>
    </w:p>
    <w:p>
      <w:pPr>
        <w:ind w:firstLine="422"/>
        <w:spacing w:line="360" w:lineRule="auto"/>
        <w:rPr>
          <w:rFonts w:hint="eastAsia" w:ascii="宋体" w:hAnsi="宋体" w:eastAsia="宋体"/>
          <w:b/>
          <w:bCs/>
          <w:color w:val="auto"/>
          <w:szCs w:val="21"/>
          <w:highlight w:val="none"/>
          <w:lang w:eastAsia="zh-CN"/>
        </w:rPr>
      </w:pPr>
      <w:r/>
      <w:bookmarkStart w:id="7" w:name="_Toc109304966"/>
      <w:r>
        <w:rPr>
          <w:rFonts w:hint="eastAsia" w:ascii="宋体" w:hAnsi="宋体"/>
          <w:b/>
          <w:bCs/>
          <w:color w:val="auto"/>
          <w:szCs w:val="21"/>
          <w:highlight w:val="none"/>
        </w:rPr>
        <w:t xml:space="preserve">2.获取方式：“扬州市政府采购网”、“江苏政府采购网”、“中国政府采购网”自行免费下载</w:t>
      </w:r>
      <w:r>
        <w:rPr>
          <w:rFonts w:hint="eastAsia" w:ascii="宋体" w:hAnsi="宋体"/>
          <w:b/>
          <w:bCs/>
          <w:color w:val="auto"/>
          <w:szCs w:val="21"/>
          <w:highlight w:val="none"/>
          <w:lang w:eastAsia="zh-CN"/>
        </w:rPr>
        <w:t xml:space="preserve">。</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http://zfcg.yangzhou.gov.cn/xzzx/art/2023/art_4d7de1f7865f4a2894fc22bc452f94d8.html。</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pStyle w:val="974"/>
        <w:ind w:firstLine="422"/>
        <w:spacing w:before="0" w:after="0" w:line="360" w:lineRule="auto"/>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四、响应文件提交</w:t>
      </w:r>
      <w:bookmarkEnd w:id="7"/>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04</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2.响应文件提交地点：</w:t>
      </w:r>
      <w:r>
        <w:rPr>
          <w:rFonts w:hint="eastAsia" w:ascii="宋体" w:hAnsi="宋体" w:cs="宋体"/>
          <w:b/>
          <w:bCs/>
          <w:color w:val="auto"/>
          <w:szCs w:val="21"/>
          <w:highlight w:val="none"/>
        </w:rPr>
        <w:t xml:space="preserve">“苏采云”系统（网址： http://jszfcg.jsczt.cn/）</w:t>
      </w:r>
      <w:r/>
    </w:p>
    <w:p>
      <w:pPr>
        <w:pStyle w:val="974"/>
        <w:ind w:firstLine="422"/>
        <w:spacing w:before="0" w:after="0" w:line="360" w:lineRule="auto"/>
        <w:rPr>
          <w:rFonts w:hint="eastAsia" w:ascii="宋体" w:hAnsi="宋体" w:cs="宋体"/>
          <w:color w:val="auto"/>
          <w:sz w:val="21"/>
          <w:szCs w:val="21"/>
          <w:highlight w:val="none"/>
        </w:rPr>
      </w:pPr>
      <w:r/>
      <w:bookmarkStart w:id="8" w:name="_Toc109304967"/>
      <w:r>
        <w:rPr>
          <w:rFonts w:hint="eastAsia" w:ascii="宋体" w:hAnsi="宋体" w:cs="宋体"/>
          <w:color w:val="auto"/>
          <w:sz w:val="21"/>
          <w:szCs w:val="21"/>
          <w:highlight w:val="none"/>
        </w:rPr>
        <w:t xml:space="preserve">五、开启</w:t>
      </w:r>
      <w:bookmarkEnd w:id="8"/>
      <w:r/>
      <w:r/>
    </w:p>
    <w:p>
      <w:pPr>
        <w:pStyle w:val="97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1.开启时间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04</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2.响应文件开启地点：</w:t>
      </w:r>
      <w:r>
        <w:rPr>
          <w:rFonts w:hint="eastAsia" w:ascii="宋体" w:hAnsi="宋体" w:cs="宋体"/>
          <w:b/>
          <w:bCs/>
          <w:color w:val="auto"/>
          <w:szCs w:val="21"/>
          <w:highlight w:val="none"/>
        </w:rPr>
        <w:t xml:space="preserve">“苏采云”系统（网址： http://jszfcg.jsczt.cn/）</w:t>
      </w:r>
      <w:r/>
    </w:p>
    <w:p>
      <w:pPr>
        <w:pStyle w:val="974"/>
        <w:ind w:firstLine="422"/>
        <w:spacing w:before="0" w:after="0" w:line="360" w:lineRule="auto"/>
        <w:rPr>
          <w:rFonts w:hint="eastAsia" w:ascii="宋体" w:hAnsi="宋体" w:cs="宋体"/>
          <w:bCs w:val="0"/>
          <w:color w:val="auto"/>
          <w:sz w:val="21"/>
          <w:szCs w:val="21"/>
          <w:highlight w:val="none"/>
        </w:rPr>
      </w:pPr>
      <w:r/>
      <w:bookmarkStart w:id="9" w:name="_Toc109304968"/>
      <w:r>
        <w:rPr>
          <w:rFonts w:hint="eastAsia" w:ascii="宋体" w:hAnsi="宋体" w:cs="宋体"/>
          <w:bCs w:val="0"/>
          <w:color w:val="auto"/>
          <w:sz w:val="21"/>
          <w:szCs w:val="21"/>
          <w:highlight w:val="none"/>
        </w:rPr>
        <w:t xml:space="preserve">六、公告期限</w:t>
      </w:r>
      <w:bookmarkEnd w:id="9"/>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pStyle w:val="974"/>
        <w:ind w:firstLine="422"/>
        <w:spacing w:before="0" w:after="0" w:line="360" w:lineRule="auto"/>
        <w:rPr>
          <w:rFonts w:hint="eastAsia" w:ascii="宋体" w:hAnsi="宋体" w:cs="宋体"/>
          <w:color w:val="auto"/>
          <w:sz w:val="21"/>
          <w:szCs w:val="21"/>
          <w:highlight w:val="none"/>
        </w:rPr>
      </w:pPr>
      <w:r/>
      <w:bookmarkStart w:id="10" w:name="_Toc109304969"/>
      <w:r>
        <w:rPr>
          <w:rFonts w:hint="eastAsia" w:ascii="宋体" w:hAnsi="宋体" w:cs="宋体"/>
          <w:color w:val="auto"/>
          <w:sz w:val="21"/>
          <w:szCs w:val="21"/>
          <w:highlight w:val="none"/>
        </w:rPr>
        <w:t xml:space="preserve">七、其他补充事宜</w:t>
      </w:r>
      <w:bookmarkEnd w:id="10"/>
      <w:r/>
      <w:r/>
    </w:p>
    <w:p>
      <w:pPr>
        <w:ind w:firstLine="422"/>
        <w:spacing w:line="360" w:lineRule="auto"/>
        <w:rPr>
          <w:rFonts w:hint="eastAsia" w:ascii="宋体" w:hAnsi="宋体" w:cs="宋体"/>
          <w:b/>
          <w:bCs/>
          <w:color w:val="auto"/>
          <w:highlight w:val="none"/>
        </w:rPr>
      </w:pPr>
      <w:r/>
      <w:bookmarkStart w:id="11" w:name="_Toc109304970"/>
      <w:r>
        <w:rPr>
          <w:rFonts w:hint="eastAsia" w:ascii="宋体" w:hAnsi="宋体" w:cs="宋体"/>
          <w:b/>
          <w:bCs/>
          <w:color w:val="auto"/>
          <w:highlight w:val="none"/>
        </w:rPr>
        <w:t xml:space="preserve">1.本次采购采用“政府采购管理交易系统（苏采云）”，招标、投标、评标和中标（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b/>
          <w:bCs/>
          <w:color w:val="auto"/>
          <w:szCs w:val="21"/>
          <w:highlight w:val="none"/>
        </w:rPr>
        <w:t xml:space="preserve">13813140731</w:t>
      </w:r>
      <w:r>
        <w:rPr>
          <w:rFonts w:hint="eastAsia" w:ascii="宋体" w:hAnsi="宋体" w:cs="宋体"/>
          <w:b/>
          <w:bCs/>
          <w:color w:val="auto"/>
          <w:highlight w:val="none"/>
        </w:rPr>
        <w:t xml:space="preserve">。</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bCs/>
          <w:color w:val="auto"/>
          <w:szCs w:val="21"/>
          <w:highlight w:val="non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
          <w:color w:val="auto"/>
          <w:highlight w:val="none"/>
        </w:rPr>
        <w:t xml:space="preserve">。</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4.潜在供应商对采购文件项目需求部分的询问、质疑请向采购人提出，由采购人负责答复。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5.</w:t>
      </w:r>
      <w:r>
        <w:rPr>
          <w:rFonts w:hint="eastAsia" w:ascii="宋体" w:hAnsi="宋体" w:cs="宋体"/>
          <w:color w:val="auto"/>
          <w:highlight w:val="none"/>
        </w:rPr>
        <w:t xml:space="preserve">本次采购不收取磋商保证金。</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6.</w:t>
      </w:r>
      <w:r>
        <w:rPr>
          <w:rFonts w:hint="eastAsia" w:ascii="宋体" w:hAnsi="宋体" w:cs="宋体"/>
          <w:bCs/>
          <w:color w:val="auto"/>
          <w:highlight w:val="none"/>
        </w:rPr>
        <w:t xml:space="preserve">有关本次采购的事项若存在变动或修改，敬请及时关注“扬州市政府采购网”、“江苏省政府采购网”和“中国政府采购网”发布的信息。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7.本项目采购文件中所有斜体下划线部分为实质性条款，如不满足，则为无效响应。</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
          <w:bCs w:val="0"/>
          <w:color w:val="auto"/>
          <w:highlight w:val="none"/>
        </w:rPr>
      </w:pPr>
      <w:r>
        <w:rPr>
          <w:rFonts w:hint="eastAsia" w:ascii="宋体" w:hAnsi="宋体" w:cs="宋体"/>
          <w:b/>
          <w:bCs w:val="0"/>
          <w:color w:val="auto"/>
          <w:highlight w:val="none"/>
        </w:rPr>
        <w:t xml:space="preserve">9.为落实好政府采购履约资金扶持政策，中标/成交供应商可凭政府采购合同办理融资贷款，详见江苏政府采购网“政采贷”专栏。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
          <w:bCs w:val="0"/>
          <w:color w:val="auto"/>
          <w:highlight w:val="none"/>
        </w:rPr>
      </w:pPr>
      <w:r>
        <w:rPr>
          <w:rFonts w:hint="eastAsia" w:ascii="宋体" w:hAnsi="宋体" w:cs="宋体"/>
          <w:b/>
          <w:bCs w:val="0"/>
          <w:color w:val="auto"/>
          <w:highlight w:val="none"/>
        </w:rPr>
        <w:t xml:space="preserve">1</w:t>
      </w:r>
      <w:r>
        <w:rPr>
          <w:rFonts w:hint="eastAsia" w:ascii="宋体" w:hAnsi="宋体" w:cs="宋体"/>
          <w:b/>
          <w:bCs w:val="0"/>
          <w:color w:val="auto"/>
          <w:highlight w:val="none"/>
          <w:lang w:val="en-US" w:eastAsia="zh-CN"/>
        </w:rPr>
        <w:t xml:space="preserve">0</w:t>
      </w:r>
      <w:r>
        <w:rPr>
          <w:rFonts w:hint="eastAsia" w:ascii="宋体" w:hAnsi="宋体" w:cs="宋体"/>
          <w:b/>
          <w:bCs w:val="0"/>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tabs>
          <w:tab w:val="left" w:pos="266" w:leader="none"/>
        </w:tabs>
        <w:rPr>
          <w:rFonts w:hint="eastAsia" w:ascii="宋体" w:hAnsi="宋体" w:cs="宋体"/>
          <w:b/>
          <w:bCs w:val="0"/>
          <w:color w:val="auto"/>
          <w:highlight w:val="none"/>
        </w:rPr>
      </w:pPr>
      <w:r>
        <w:rPr>
          <w:rFonts w:hint="eastAsia" w:ascii="宋体" w:hAnsi="宋体" w:cs="宋体"/>
          <w:b/>
          <w:bCs w:val="0"/>
          <w:color w:val="auto"/>
          <w:highlight w:val="none"/>
        </w:rPr>
        <w:t xml:space="preserve">1</w:t>
      </w:r>
      <w:r>
        <w:rPr>
          <w:rFonts w:hint="eastAsia" w:ascii="宋体" w:hAnsi="宋体" w:cs="宋体"/>
          <w:b/>
          <w:bCs w:val="0"/>
          <w:color w:val="auto"/>
          <w:highlight w:val="none"/>
          <w:lang w:val="en-US" w:eastAsia="zh-CN"/>
        </w:rPr>
        <w:t xml:space="preserve">1</w:t>
      </w:r>
      <w:r>
        <w:rPr>
          <w:rFonts w:hint="eastAsia" w:ascii="宋体" w:hAnsi="宋体" w:cs="宋体"/>
          <w:b/>
          <w:bCs w:val="0"/>
          <w:color w:val="auto"/>
          <w:highlight w:val="none"/>
        </w:rPr>
        <w:t xml:space="preserve">.严格执行政府采购关于支持</w:t>
      </w:r>
      <w:r>
        <w:rPr>
          <w:rFonts w:hint="eastAsia" w:ascii="宋体" w:hAnsi="宋体" w:cs="宋体"/>
          <w:b/>
          <w:bCs w:val="0"/>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tabs>
          <w:tab w:val="left" w:pos="266" w:leader="none"/>
        </w:tabs>
        <w:rPr>
          <w:rFonts w:hint="eastAsia" w:ascii="宋体" w:hAnsi="宋体" w:cs="宋体"/>
          <w:b/>
          <w:bCs w:val="0"/>
          <w:color w:val="auto"/>
          <w:highlight w:val="none"/>
        </w:rPr>
      </w:pPr>
      <w:r>
        <w:rPr>
          <w:rFonts w:hint="eastAsia" w:ascii="宋体" w:hAnsi="宋体" w:cs="宋体"/>
          <w:b/>
          <w:bCs w:val="0"/>
          <w:color w:val="auto"/>
          <w:highlight w:val="none"/>
        </w:rPr>
        <w:t xml:space="preserve">1</w:t>
      </w:r>
      <w:r>
        <w:rPr>
          <w:rFonts w:hint="eastAsia" w:ascii="宋体" w:hAnsi="宋体" w:cs="宋体"/>
          <w:b/>
          <w:bCs w:val="0"/>
          <w:color w:val="auto"/>
          <w:highlight w:val="none"/>
          <w:lang w:val="en-US" w:eastAsia="zh-CN"/>
        </w:rPr>
        <w:t xml:space="preserve">2</w:t>
      </w:r>
      <w:r>
        <w:rPr>
          <w:rFonts w:hint="eastAsia" w:ascii="宋体" w:hAnsi="宋体" w:cs="宋体"/>
          <w:b/>
          <w:bCs w:val="0"/>
          <w:color w:val="auto"/>
          <w:highlight w:val="none"/>
        </w:rPr>
        <w:t xml:space="preserve">.供应商对于投标产品的包装应按照“财办库〔2020〕123号《关于印发《商品包装政府采购需求标准（试行）》、《快递包装政府采购需求标准（试行）》的通知》”执行。</w:t>
      </w:r>
      <w:r/>
    </w:p>
    <w:p>
      <w:pPr>
        <w:pStyle w:val="974"/>
        <w:ind w:firstLine="422"/>
        <w:spacing w:before="0" w:after="0" w:line="360" w:lineRule="auto"/>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八、本次竞争性磋商联系方式</w:t>
      </w:r>
      <w:bookmarkEnd w:id="11"/>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highlight w:val="none"/>
        </w:rPr>
        <w:t xml:space="preserve">扬州市图书馆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址：扬州市文昌西路466号</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联系人：徐老师、杨老师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联系方式：0514-85228190</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2.代理机构信息</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称：江苏苏维工程管理有限公司</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址：扬州市邗江区翠岗路48号</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联系人：袁玲</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联系方式：0514-</w:t>
      </w:r>
      <w:bookmarkEnd w:id="0"/>
      <w:r>
        <w:rPr>
          <w:rFonts w:hint="eastAsia" w:ascii="宋体" w:hAnsi="宋体" w:cs="宋体"/>
          <w:color w:val="auto"/>
          <w:szCs w:val="21"/>
          <w:highlight w:val="none"/>
          <w:lang w:eastAsia="zh-CN"/>
        </w:rPr>
        <w:t xml:space="preserve">87986785</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highlight w:val="none"/>
        </w:rPr>
      </w:pPr>
      <w:r/>
      <w:bookmarkStart w:id="12" w:name="_Toc109304972"/>
      <w:r>
        <w:rPr>
          <w:rFonts w:hint="eastAsia" w:ascii="宋体" w:hAnsi="宋体"/>
          <w:color w:val="auto"/>
          <w:highlight w:val="none"/>
        </w:rPr>
        <w:br w:type="page" w:clear="all"/>
      </w:r>
      <w:r/>
    </w:p>
    <w:p>
      <w:pPr>
        <w:pStyle w:val="758"/>
        <w:ind w:firstLine="883"/>
        <w:jc w:val="center"/>
        <w:spacing w:before="0" w:after="0"/>
        <w:rPr>
          <w:color w:val="auto"/>
          <w:highlight w:val="none"/>
        </w:rPr>
      </w:pPr>
      <w:r>
        <w:rPr>
          <w:rFonts w:hint="eastAsia"/>
          <w:color w:val="auto"/>
          <w:highlight w:val="none"/>
        </w:rPr>
        <w:t xml:space="preserve">第二章 磋商须知</w:t>
      </w:r>
      <w:bookmarkEnd w:id="12"/>
      <w:r/>
      <w:r/>
    </w:p>
    <w:p>
      <w:pPr>
        <w:ind w:firstLine="420"/>
        <w:spacing w:line="360" w:lineRule="auto"/>
        <w:rPr>
          <w:color w:val="auto"/>
          <w:highlight w:val="none"/>
        </w:rPr>
      </w:pPr>
      <w:r>
        <w:rPr>
          <w:rFonts w:hint="eastAsia"/>
          <w:color w:val="auto"/>
          <w:highlight w:val="none"/>
        </w:rPr>
        <w:t xml:space="preserve">1、采购方式</w:t>
      </w:r>
      <w:r/>
    </w:p>
    <w:p>
      <w:pPr>
        <w:ind w:firstLine="420"/>
        <w:jc w:val="left"/>
        <w:spacing w:line="360" w:lineRule="auto"/>
        <w:rPr>
          <w:color w:val="auto"/>
          <w:highlight w:val="none"/>
        </w:rPr>
      </w:pPr>
      <w:r>
        <w:rPr>
          <w:rFonts w:hint="eastAsia"/>
          <w:color w:val="auto"/>
          <w:highlight w:val="none"/>
        </w:rPr>
        <w:t xml:space="preserve">1.1 本次采购采取竞争性磋商方式，本采购文</w:t>
      </w:r>
      <w:r>
        <w:rPr>
          <w:rFonts w:hint="eastAsia" w:ascii="宋体" w:hAnsi="宋体" w:cs="宋体"/>
          <w:color w:val="auto"/>
          <w:highlight w:val="none"/>
        </w:rPr>
        <w:t xml:space="preserve">件仅适用</w:t>
      </w:r>
      <w:r>
        <w:rPr>
          <w:rFonts w:hint="eastAsia" w:ascii="宋体" w:hAnsi="宋体" w:cs="宋体"/>
          <w:color w:val="auto"/>
          <w:highlight w:val="none"/>
          <w:lang w:eastAsia="zh-CN"/>
        </w:rPr>
        <w:t xml:space="preserve">JSZC-321000-SWGC-C2026-0039</w:t>
      </w:r>
      <w:r>
        <w:rPr>
          <w:rFonts w:hint="eastAsia" w:ascii="宋体" w:hAnsi="宋体" w:cs="宋体"/>
          <w:color w:val="auto"/>
          <w:highlight w:val="none"/>
        </w:rPr>
        <w:t xml:space="preserve">号</w:t>
      </w:r>
      <w:r>
        <w:rPr>
          <w:rFonts w:hint="eastAsia"/>
          <w:color w:val="auto"/>
          <w:highlight w:val="none"/>
        </w:rPr>
        <w:t xml:space="preserve">项目。</w:t>
      </w:r>
      <w:r/>
    </w:p>
    <w:p>
      <w:pPr>
        <w:ind w:firstLine="420"/>
        <w:spacing w:line="360" w:lineRule="auto"/>
        <w:rPr>
          <w:color w:val="auto"/>
          <w:highlight w:val="none"/>
        </w:rPr>
      </w:pPr>
      <w:r>
        <w:rPr>
          <w:rFonts w:hint="eastAsia"/>
          <w:color w:val="auto"/>
          <w:highlight w:val="none"/>
        </w:rPr>
        <w:t xml:space="preserve">2、供应商</w:t>
      </w:r>
      <w:r/>
    </w:p>
    <w:p>
      <w:pPr>
        <w:ind w:firstLine="420"/>
        <w:spacing w:line="360" w:lineRule="auto"/>
        <w:rPr>
          <w:color w:val="auto"/>
          <w:highlight w:val="none"/>
        </w:rPr>
      </w:pPr>
      <w:r>
        <w:rPr>
          <w:rFonts w:hint="eastAsia"/>
          <w:color w:val="auto"/>
          <w:highlight w:val="none"/>
        </w:rPr>
        <w:t xml:space="preserve">2.1 参加竞争性磋商的供应商以下简称“供应商”，是指参加磋商并符合采购文件规定资格条件的法人、其他组织或者自然人。</w:t>
      </w:r>
      <w:r/>
    </w:p>
    <w:p>
      <w:pPr>
        <w:ind w:firstLine="420"/>
        <w:spacing w:line="360" w:lineRule="auto"/>
        <w:rPr>
          <w:color w:val="auto"/>
          <w:highlight w:val="none"/>
        </w:rPr>
      </w:pPr>
      <w:r>
        <w:rPr>
          <w:rFonts w:hint="eastAsia"/>
          <w:color w:val="auto"/>
          <w:highlight w:val="none"/>
        </w:rPr>
        <w:t xml:space="preserve">2.2合格的供应商</w:t>
      </w:r>
      <w:r/>
    </w:p>
    <w:p>
      <w:pPr>
        <w:ind w:firstLine="420"/>
        <w:spacing w:line="360" w:lineRule="auto"/>
        <w:rPr>
          <w:color w:val="auto"/>
          <w:highlight w:val="none"/>
        </w:rPr>
      </w:pPr>
      <w:r>
        <w:rPr>
          <w:rFonts w:hint="eastAsia"/>
          <w:color w:val="auto"/>
          <w:highlight w:val="none"/>
        </w:rPr>
        <w:t xml:space="preserve">2.2.1 满足采购公告中供应商的资格条件要求的规定。</w:t>
      </w:r>
      <w:r/>
    </w:p>
    <w:p>
      <w:pPr>
        <w:ind w:firstLine="420"/>
        <w:spacing w:line="360" w:lineRule="auto"/>
        <w:rPr>
          <w:color w:val="auto"/>
          <w:highlight w:val="none"/>
        </w:rPr>
      </w:pPr>
      <w:r>
        <w:rPr>
          <w:rFonts w:hint="eastAsia"/>
          <w:color w:val="auto"/>
          <w:highlight w:val="none"/>
        </w:rPr>
        <w:t xml:space="preserve">2.2.2 满足本文件实质性条款的规定。</w:t>
      </w:r>
      <w:r/>
    </w:p>
    <w:p>
      <w:pPr>
        <w:ind w:firstLine="420"/>
        <w:spacing w:line="360" w:lineRule="auto"/>
        <w:rPr>
          <w:color w:val="auto"/>
          <w:highlight w:val="none"/>
        </w:rPr>
      </w:pPr>
      <w:r>
        <w:rPr>
          <w:rFonts w:hint="eastAsia"/>
          <w:color w:val="auto"/>
          <w:highlight w:val="none"/>
        </w:rPr>
        <w:t xml:space="preserve">3、适用法律</w:t>
      </w:r>
      <w:r/>
    </w:p>
    <w:p>
      <w:pPr>
        <w:ind w:firstLine="420"/>
        <w:spacing w:line="360" w:lineRule="auto"/>
        <w:rPr>
          <w:rFonts w:hint="eastAsia"/>
          <w:color w:val="auto"/>
          <w:highlight w:val="none"/>
        </w:rPr>
      </w:pPr>
      <w:r>
        <w:rPr>
          <w:rFonts w:hint="eastAsia"/>
          <w:color w:val="auto"/>
          <w:highlight w:val="none"/>
        </w:rPr>
        <w:t xml:space="preserve">3.1 本次采购及由此产生的合同受中华人民共和国有关的法律法规制约和保护。</w:t>
      </w:r>
      <w:r/>
    </w:p>
    <w:p>
      <w:pPr>
        <w:ind w:firstLine="420"/>
        <w:spacing w:line="360" w:lineRule="auto"/>
        <w:rPr>
          <w:color w:val="auto"/>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0"/>
        <w:spacing w:line="360" w:lineRule="auto"/>
        <w:rPr>
          <w:color w:val="auto"/>
          <w:highlight w:val="none"/>
        </w:rPr>
      </w:pPr>
      <w:r>
        <w:rPr>
          <w:rFonts w:hint="eastAsia"/>
          <w:color w:val="auto"/>
          <w:highlight w:val="none"/>
        </w:rPr>
        <w:t xml:space="preserve">4、参加磋商费用</w:t>
      </w:r>
      <w:r/>
    </w:p>
    <w:p>
      <w:pPr>
        <w:ind w:firstLine="420"/>
        <w:spacing w:line="360" w:lineRule="auto"/>
        <w:rPr>
          <w:color w:val="auto"/>
          <w:highlight w:val="none"/>
        </w:rPr>
      </w:pPr>
      <w:r>
        <w:rPr>
          <w:rFonts w:hint="eastAsia"/>
          <w:color w:val="auto"/>
          <w:highlight w:val="none"/>
        </w:rPr>
        <w:t xml:space="preserve">4.1 供应商应自行承担所有与参加磋商有关的费用，无论磋商过程中的做法和结果如何，江苏苏维工程管理有限公司(以下简称代理机构)在任何情况下均无义务和责任承担这些费用。</w:t>
      </w:r>
      <w:r/>
    </w:p>
    <w:p>
      <w:pPr>
        <w:ind w:firstLine="422"/>
        <w:jc w:val="left"/>
        <w:spacing w:line="360" w:lineRule="auto"/>
        <w:rPr>
          <w:rFonts w:cs="宋体"/>
          <w:color w:val="auto"/>
          <w:szCs w:val="21"/>
          <w:highlight w:val="none"/>
        </w:rPr>
      </w:pPr>
      <w:r>
        <w:rPr>
          <w:rFonts w:hint="eastAsia" w:ascii="宋体" w:hAnsi="宋体" w:cs="宋体"/>
          <w:b/>
          <w:bCs/>
          <w:color w:val="auto"/>
          <w:szCs w:val="21"/>
          <w:highlight w:val="none"/>
        </w:rPr>
        <w:t xml:space="preserve">4.2本次采购由成交单位在领取成交通知书前参照国家计委印发的《招标代理服务收费管理暂行办法》(计价格【2002】1980 号文)服务类标准一次性支付给招标代理机构代理服务费</w:t>
      </w:r>
      <w:r>
        <w:rPr>
          <w:rFonts w:hint="eastAsia" w:cs="宋体"/>
          <w:b/>
          <w:bCs/>
          <w:color w:val="auto"/>
          <w:szCs w:val="21"/>
          <w:highlight w:val="none"/>
        </w:rPr>
        <w:t xml:space="preserve">。</w:t>
      </w:r>
      <w:r/>
    </w:p>
    <w:p>
      <w:pPr>
        <w:ind w:firstLine="420"/>
        <w:spacing w:line="360" w:lineRule="auto"/>
        <w:rPr>
          <w:rFonts w:cs="宋体"/>
          <w:color w:val="auto"/>
          <w:szCs w:val="21"/>
          <w:highlight w:val="none"/>
        </w:rPr>
      </w:pPr>
      <w:r>
        <w:rPr>
          <w:rFonts w:hint="eastAsia" w:cs="宋体"/>
          <w:color w:val="auto"/>
          <w:szCs w:val="21"/>
          <w:highlight w:val="none"/>
        </w:rPr>
        <w:t xml:space="preserve">（1）代理服务费以人民币支付；</w:t>
      </w:r>
      <w:r/>
    </w:p>
    <w:p>
      <w:pPr>
        <w:ind w:firstLine="420"/>
        <w:spacing w:line="360" w:lineRule="auto"/>
        <w:rPr>
          <w:rFonts w:cs="宋体"/>
          <w:color w:val="auto"/>
          <w:szCs w:val="21"/>
          <w:highlight w:val="none"/>
        </w:rPr>
      </w:pPr>
      <w:r>
        <w:rPr>
          <w:rFonts w:hint="eastAsia" w:cs="宋体"/>
          <w:color w:val="auto"/>
          <w:szCs w:val="21"/>
          <w:highlight w:val="none"/>
        </w:rPr>
        <w:t xml:space="preserve">（2）代理服务费支付方式：一次性以电汇或转账形式支付。</w:t>
      </w:r>
      <w:r/>
    </w:p>
    <w:p>
      <w:pPr>
        <w:ind w:firstLine="420"/>
        <w:spacing w:line="360" w:lineRule="auto"/>
        <w:rPr>
          <w:rFonts w:cs="宋体"/>
          <w:color w:val="auto"/>
          <w:szCs w:val="21"/>
          <w:highlight w:val="none"/>
        </w:rPr>
      </w:pPr>
      <w:r>
        <w:rPr>
          <w:rFonts w:hint="eastAsia" w:cs="宋体"/>
          <w:color w:val="auto"/>
          <w:szCs w:val="21"/>
          <w:highlight w:val="none"/>
        </w:rPr>
        <w:t xml:space="preserve">（3）招标代理服务费不在响应报价中单列，包含在响应总价中，由成交人支付给代理机构。</w:t>
      </w:r>
      <w:r/>
    </w:p>
    <w:p>
      <w:pPr>
        <w:ind w:firstLine="420"/>
        <w:spacing w:line="360" w:lineRule="auto"/>
        <w:rPr>
          <w:rFonts w:cs="宋体"/>
          <w:color w:val="auto"/>
          <w:szCs w:val="21"/>
          <w:highlight w:val="none"/>
        </w:rPr>
      </w:pPr>
      <w:r>
        <w:rPr>
          <w:rFonts w:hint="eastAsia" w:cs="宋体"/>
          <w:color w:val="auto"/>
          <w:szCs w:val="21"/>
          <w:highlight w:val="none"/>
        </w:rPr>
        <w:t xml:space="preserve">招标代理服务费开户银行：中国工商银行扬州雍华府支行</w:t>
      </w:r>
      <w:r/>
    </w:p>
    <w:p>
      <w:pPr>
        <w:ind w:firstLine="420"/>
        <w:spacing w:line="360" w:lineRule="auto"/>
        <w:rPr>
          <w:rFonts w:cs="宋体"/>
          <w:color w:val="auto"/>
          <w:szCs w:val="21"/>
          <w:highlight w:val="none"/>
        </w:rPr>
      </w:pPr>
      <w:r>
        <w:rPr>
          <w:rFonts w:hint="eastAsia" w:cs="宋体"/>
          <w:color w:val="auto"/>
          <w:szCs w:val="21"/>
          <w:highlight w:val="none"/>
        </w:rPr>
        <w:t xml:space="preserve">    开户名称：江苏苏维工程管理有限公司</w:t>
      </w:r>
      <w:r/>
    </w:p>
    <w:p>
      <w:pPr>
        <w:ind w:firstLine="420"/>
        <w:spacing w:line="360" w:lineRule="auto"/>
        <w:rPr>
          <w:rFonts w:cs="宋体"/>
          <w:color w:val="auto"/>
          <w:szCs w:val="21"/>
          <w:highlight w:val="none"/>
        </w:rPr>
      </w:pPr>
      <w:r>
        <w:rPr>
          <w:rFonts w:hint="eastAsia" w:cs="宋体"/>
          <w:color w:val="auto"/>
          <w:szCs w:val="21"/>
          <w:highlight w:val="none"/>
        </w:rPr>
        <w:t xml:space="preserve">    开户帐号：1108020819100000612</w:t>
      </w:r>
      <w:r/>
    </w:p>
    <w:p>
      <w:pPr>
        <w:ind w:firstLine="422"/>
        <w:spacing w:line="360" w:lineRule="auto"/>
        <w:rPr>
          <w:rFonts w:hint="eastAsia" w:hAnsi="宋体"/>
          <w:b/>
          <w:bCs/>
          <w:color w:val="auto"/>
          <w:szCs w:val="21"/>
          <w:highlight w:val="none"/>
        </w:rPr>
      </w:pPr>
      <w:r>
        <w:rPr>
          <w:rFonts w:hint="eastAsia" w:cs="宋体"/>
          <w:b/>
          <w:bCs/>
          <w:color w:val="auto"/>
          <w:szCs w:val="21"/>
          <w:highlight w:val="none"/>
        </w:rPr>
        <w:t xml:space="preserve">4.3专家评审费按照《扬州市财政局关于进一步规范扬州市政府采购专家评审费标准的通知》（扬财购〔2020〕40号）执行。</w:t>
      </w:r>
      <w:r/>
    </w:p>
    <w:p>
      <w:pPr>
        <w:ind w:firstLine="420"/>
        <w:spacing w:line="360" w:lineRule="auto"/>
        <w:rPr>
          <w:color w:val="auto"/>
          <w:highlight w:val="none"/>
        </w:rPr>
      </w:pPr>
      <w:r>
        <w:rPr>
          <w:rFonts w:hint="eastAsia"/>
          <w:color w:val="auto"/>
          <w:highlight w:val="none"/>
        </w:rPr>
        <w:t xml:space="preserve">5、采购文件的约束力</w:t>
      </w:r>
      <w:r/>
    </w:p>
    <w:p>
      <w:pPr>
        <w:ind w:firstLine="420"/>
        <w:spacing w:line="360" w:lineRule="auto"/>
        <w:rPr>
          <w:color w:val="auto"/>
          <w:highlight w:val="none"/>
        </w:rPr>
      </w:pPr>
      <w:r>
        <w:rPr>
          <w:rFonts w:hint="eastAsia"/>
          <w:color w:val="auto"/>
          <w:highlight w:val="none"/>
        </w:rPr>
        <w:t xml:space="preserve">5.1 供应商一旦参加本项目采购活动，即被认为接受了本采购文件的规定和约束。</w:t>
      </w:r>
      <w:r/>
    </w:p>
    <w:p>
      <w:pPr>
        <w:ind w:firstLine="420"/>
        <w:spacing w:line="360" w:lineRule="auto"/>
        <w:rPr>
          <w:color w:val="auto"/>
          <w:highlight w:val="none"/>
        </w:rPr>
      </w:pPr>
      <w:r>
        <w:rPr>
          <w:rFonts w:hint="eastAsia"/>
          <w:color w:val="auto"/>
          <w:highlight w:val="none"/>
        </w:rPr>
        <w:t xml:space="preserve">6、采购文件构成</w:t>
      </w:r>
      <w:r/>
    </w:p>
    <w:p>
      <w:pPr>
        <w:ind w:firstLine="420"/>
        <w:spacing w:line="360" w:lineRule="auto"/>
        <w:rPr>
          <w:color w:val="auto"/>
          <w:highlight w:val="none"/>
        </w:rPr>
      </w:pPr>
      <w:r>
        <w:rPr>
          <w:rFonts w:hint="eastAsia"/>
          <w:color w:val="auto"/>
          <w:highlight w:val="none"/>
        </w:rPr>
        <w:t xml:space="preserve">6.1 采购文件有以下部分组成：</w:t>
      </w:r>
      <w:r/>
    </w:p>
    <w:p>
      <w:pPr>
        <w:ind w:firstLine="420"/>
        <w:spacing w:line="360" w:lineRule="auto"/>
        <w:rPr>
          <w:color w:val="auto"/>
          <w:highlight w:val="none"/>
        </w:rPr>
      </w:pPr>
      <w:r>
        <w:rPr>
          <w:rFonts w:hint="eastAsia"/>
          <w:color w:val="auto"/>
          <w:highlight w:val="none"/>
        </w:rPr>
        <w:t xml:space="preserve">（1）采购公告</w:t>
      </w:r>
      <w:r/>
    </w:p>
    <w:p>
      <w:pPr>
        <w:ind w:firstLine="420"/>
        <w:spacing w:line="360" w:lineRule="auto"/>
        <w:rPr>
          <w:color w:val="auto"/>
          <w:highlight w:val="none"/>
        </w:rPr>
      </w:pPr>
      <w:r>
        <w:rPr>
          <w:rFonts w:hint="eastAsia"/>
          <w:color w:val="auto"/>
          <w:highlight w:val="none"/>
        </w:rPr>
        <w:t xml:space="preserve">（2）磋商须知</w:t>
      </w:r>
      <w:r>
        <w:rPr>
          <w:rFonts w:hint="eastAsia"/>
          <w:color w:val="auto"/>
          <w:highlight w:val="none"/>
        </w:rPr>
        <w:tab/>
      </w:r>
      <w:r/>
    </w:p>
    <w:p>
      <w:pPr>
        <w:ind w:firstLine="420"/>
        <w:spacing w:line="360" w:lineRule="auto"/>
        <w:rPr>
          <w:color w:val="auto"/>
          <w:highlight w:val="none"/>
        </w:rPr>
      </w:pPr>
      <w:r>
        <w:rPr>
          <w:rFonts w:hint="eastAsia"/>
          <w:color w:val="auto"/>
          <w:highlight w:val="none"/>
        </w:rPr>
        <w:t xml:space="preserve">（3）合同条款及格式</w:t>
      </w:r>
      <w:r/>
    </w:p>
    <w:p>
      <w:pPr>
        <w:ind w:firstLine="420"/>
        <w:spacing w:line="360" w:lineRule="auto"/>
        <w:rPr>
          <w:color w:val="auto"/>
          <w:highlight w:val="none"/>
        </w:rPr>
      </w:pPr>
      <w:r>
        <w:rPr>
          <w:rFonts w:hint="eastAsia"/>
          <w:color w:val="auto"/>
          <w:highlight w:val="none"/>
        </w:rPr>
        <w:t xml:space="preserve">（4）项目需求</w:t>
      </w:r>
      <w:r/>
    </w:p>
    <w:p>
      <w:pPr>
        <w:ind w:firstLine="420"/>
        <w:spacing w:line="360" w:lineRule="auto"/>
        <w:rPr>
          <w:color w:val="auto"/>
          <w:highlight w:val="none"/>
        </w:rPr>
      </w:pPr>
      <w:r>
        <w:rPr>
          <w:rFonts w:hint="eastAsia"/>
          <w:color w:val="auto"/>
          <w:highlight w:val="none"/>
        </w:rPr>
        <w:t xml:space="preserve">（5）评审方法与评审标准</w:t>
      </w:r>
      <w:r/>
    </w:p>
    <w:p>
      <w:pPr>
        <w:ind w:firstLine="420"/>
        <w:spacing w:line="360" w:lineRule="auto"/>
        <w:rPr>
          <w:color w:val="auto"/>
          <w:highlight w:val="none"/>
        </w:rPr>
      </w:pPr>
      <w:r>
        <w:rPr>
          <w:rFonts w:hint="eastAsia"/>
          <w:color w:val="auto"/>
          <w:highlight w:val="none"/>
        </w:rPr>
        <w:t xml:space="preserve">（6）竞争性磋商响应文件格式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spacing w:line="360" w:lineRule="auto"/>
        <w:rPr>
          <w:color w:val="auto"/>
          <w:highlight w:val="none"/>
        </w:rPr>
      </w:pPr>
      <w:r>
        <w:rPr>
          <w:rFonts w:hint="eastAsia"/>
          <w:color w:val="auto"/>
          <w:highlight w:val="none"/>
        </w:rPr>
        <w:t xml:space="preserve">6.3 采购文件如果要求供应商提交备选响应方案的，供应商可以提交备选方案；否则，备选方案将被拒绝。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color w:val="auto"/>
          <w:highlight w:val="none"/>
        </w:rPr>
      </w:pPr>
      <w:r>
        <w:rPr>
          <w:rFonts w:hint="eastAsia"/>
          <w:color w:val="auto"/>
          <w:highlight w:val="none"/>
        </w:rPr>
        <w:t xml:space="preserve">7</w:t>
      </w:r>
      <w:r>
        <w:rPr>
          <w:rFonts w:hint="eastAsia"/>
          <w:b/>
          <w:bCs/>
          <w:color w:val="auto"/>
          <w:highlight w:val="none"/>
        </w:rPr>
        <w:t xml:space="preserve">、</w:t>
      </w:r>
      <w:r>
        <w:rPr>
          <w:rFonts w:hint="eastAsia"/>
          <w:color w:val="auto"/>
          <w:highlight w:val="none"/>
        </w:rPr>
        <w:t xml:space="preserve">采购文件的澄清</w:t>
      </w:r>
      <w:r/>
    </w:p>
    <w:p>
      <w:pPr>
        <w:ind w:firstLine="420"/>
        <w:spacing w:line="360" w:lineRule="auto"/>
        <w:rPr>
          <w:color w:val="auto"/>
          <w:highlight w:val="none"/>
        </w:rPr>
      </w:pPr>
      <w:r>
        <w:rPr>
          <w:rFonts w:hint="eastAsia"/>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b/>
          <w:bCs/>
          <w:color w:val="auto"/>
          <w:highlight w:val="none"/>
        </w:rPr>
      </w:pPr>
      <w:r>
        <w:rPr>
          <w:rFonts w:hint="eastAsia"/>
          <w:color w:val="auto"/>
          <w:highlight w:val="none"/>
        </w:rPr>
        <w:t xml:space="preserve">8</w:t>
      </w:r>
      <w:r>
        <w:rPr>
          <w:rFonts w:hint="eastAsia"/>
          <w:b/>
          <w:bCs/>
          <w:color w:val="auto"/>
          <w:highlight w:val="none"/>
        </w:rPr>
        <w:t xml:space="preserve">、</w:t>
      </w:r>
      <w:r>
        <w:rPr>
          <w:rFonts w:hint="eastAsia"/>
          <w:color w:val="auto"/>
          <w:highlight w:val="none"/>
        </w:rPr>
        <w:t xml:space="preserve">采购文件的修改</w:t>
      </w:r>
      <w:r/>
    </w:p>
    <w:p>
      <w:pPr>
        <w:ind w:firstLine="420"/>
        <w:spacing w:line="360" w:lineRule="auto"/>
        <w:rPr>
          <w:color w:val="auto"/>
          <w:highlight w:val="none"/>
        </w:rPr>
      </w:pPr>
      <w:r>
        <w:rPr>
          <w:rFonts w:hint="eastAsia"/>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color w:val="auto"/>
          <w:highlight w:val="none"/>
        </w:rPr>
      </w:pPr>
      <w:r>
        <w:rPr>
          <w:rFonts w:hint="eastAsia"/>
          <w:color w:val="auto"/>
          <w:highlight w:val="none"/>
        </w:rPr>
        <w:t xml:space="preserve">8.2采购文件的修改将在“扬州市政府采购网”、“江苏省政府采购网”和“中国政府采购网”公布，补充文件将作为采购文件的组成部分，并对供应商具有约束力。</w:t>
      </w:r>
      <w:r/>
    </w:p>
    <w:p>
      <w:pPr>
        <w:ind w:firstLine="420"/>
        <w:spacing w:line="360" w:lineRule="auto"/>
        <w:rPr>
          <w:color w:val="auto"/>
          <w:highlight w:val="none"/>
        </w:rPr>
      </w:pPr>
      <w:r>
        <w:rPr>
          <w:rFonts w:hint="eastAsia"/>
          <w:color w:val="auto"/>
          <w:highlight w:val="none"/>
        </w:rPr>
        <w:t xml:space="preserve">9、采购文件的语言、度量衡单位、货币</w:t>
      </w:r>
      <w:r/>
    </w:p>
    <w:p>
      <w:pPr>
        <w:ind w:firstLine="420"/>
        <w:spacing w:line="360" w:lineRule="auto"/>
        <w:rPr>
          <w:color w:val="auto"/>
          <w:highlight w:val="none"/>
        </w:rPr>
      </w:pPr>
      <w:r>
        <w:rPr>
          <w:rFonts w:hint="eastAsia"/>
          <w:color w:val="auto"/>
          <w:highlight w:val="none"/>
        </w:rPr>
        <w:t xml:space="preserve">9.1供应商提交的响应文件以及供应商与代理机构就有关磋商的所有来往通知、函件和文件均应使用简体中文。</w:t>
      </w:r>
      <w:r/>
    </w:p>
    <w:p>
      <w:pPr>
        <w:ind w:firstLine="420"/>
        <w:spacing w:line="360" w:lineRule="auto"/>
        <w:rPr>
          <w:color w:val="auto"/>
          <w:highlight w:val="none"/>
        </w:rPr>
      </w:pPr>
      <w:r>
        <w:rPr>
          <w:rFonts w:hint="eastAsia"/>
          <w:color w:val="auto"/>
          <w:highlight w:val="none"/>
        </w:rPr>
        <w:t xml:space="preserve">9.2 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9.3采购文件中的服务（工程）单价和总价无特殊规定的采用人民币报价，以元为单位标注。采购文件中另有规定的按规定执行。</w:t>
      </w:r>
      <w:r/>
    </w:p>
    <w:p>
      <w:pPr>
        <w:ind w:firstLine="420"/>
        <w:spacing w:line="360" w:lineRule="auto"/>
        <w:rPr>
          <w:color w:val="auto"/>
          <w:highlight w:val="none"/>
        </w:rPr>
      </w:pPr>
      <w:r>
        <w:rPr>
          <w:rFonts w:hint="eastAsia"/>
          <w:color w:val="auto"/>
          <w:highlight w:val="none"/>
        </w:rPr>
        <w:t xml:space="preserve">10、响应文件构成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磋商文件由以下部分组成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）非实质性响应对照表</w:t>
      </w:r>
      <w:r/>
    </w:p>
    <w:p>
      <w:pPr>
        <w:ind w:firstLine="420"/>
        <w:spacing w:line="360" w:lineRule="auto"/>
        <w:rPr>
          <w:color w:val="auto"/>
          <w:highlight w:val="none"/>
        </w:rPr>
      </w:pPr>
      <w:r>
        <w:rPr>
          <w:rFonts w:hint="eastAsia"/>
          <w:color w:val="auto"/>
          <w:highlight w:val="none"/>
        </w:rPr>
        <w:t xml:space="preserve">（4）磋商响应报价表 </w:t>
      </w:r>
      <w:r/>
    </w:p>
    <w:p>
      <w:pPr>
        <w:ind w:firstLine="420"/>
        <w:spacing w:line="360" w:lineRule="auto"/>
        <w:rPr>
          <w:color w:val="auto"/>
          <w:highlight w:val="none"/>
        </w:rPr>
      </w:pPr>
      <w:r>
        <w:rPr>
          <w:rFonts w:hint="eastAsia"/>
          <w:color w:val="auto"/>
          <w:highlight w:val="none"/>
        </w:rPr>
        <w:t xml:space="preserve">（5）技术参数响应及偏离表 </w:t>
      </w:r>
      <w:r/>
    </w:p>
    <w:p>
      <w:pPr>
        <w:ind w:firstLine="420"/>
        <w:spacing w:line="360" w:lineRule="auto"/>
        <w:rPr>
          <w:color w:val="auto"/>
          <w:highlight w:val="none"/>
        </w:rPr>
      </w:pPr>
      <w:r>
        <w:rPr>
          <w:rFonts w:hint="eastAsia"/>
          <w:color w:val="auto"/>
          <w:highlight w:val="none"/>
        </w:rPr>
        <w:t xml:space="preserve">（6）商务条款响应及偏离表 </w:t>
      </w:r>
      <w:r/>
    </w:p>
    <w:p>
      <w:pPr>
        <w:ind w:firstLine="420"/>
        <w:spacing w:line="360" w:lineRule="auto"/>
        <w:rPr>
          <w:color w:val="auto"/>
          <w:highlight w:val="none"/>
        </w:rPr>
      </w:pPr>
      <w:r>
        <w:rPr>
          <w:rFonts w:hint="eastAsia"/>
          <w:color w:val="auto"/>
          <w:highlight w:val="none"/>
        </w:rPr>
        <w:t xml:space="preserve">（7）其他 （供应商认为有必要提供的声明和文件，如有自拟并自行添加）</w:t>
      </w:r>
      <w:r/>
    </w:p>
    <w:p>
      <w:pPr>
        <w:ind w:firstLine="420"/>
        <w:spacing w:line="360" w:lineRule="auto"/>
        <w:rPr>
          <w:color w:val="auto"/>
          <w:highlight w:val="none"/>
        </w:rPr>
      </w:pPr>
      <w:r>
        <w:rPr>
          <w:rFonts w:hint="eastAsia"/>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color w:val="auto"/>
          <w:highlight w:val="none"/>
        </w:rPr>
      </w:pPr>
      <w:r>
        <w:rPr>
          <w:rFonts w:hint="eastAsia"/>
          <w:color w:val="auto"/>
          <w:highlight w:val="none"/>
        </w:rPr>
        <w:t xml:space="preserve">11、证明供应商资格及符合采购文件规定的文件</w:t>
      </w:r>
      <w:r/>
    </w:p>
    <w:p>
      <w:pPr>
        <w:ind w:firstLine="420"/>
        <w:spacing w:line="360" w:lineRule="auto"/>
        <w:rPr>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color w:val="auto"/>
          <w:highlight w:val="none"/>
        </w:rPr>
      </w:pPr>
      <w:r>
        <w:rPr>
          <w:rFonts w:hint="eastAsia"/>
          <w:color w:val="auto"/>
          <w:highlight w:val="none"/>
        </w:rPr>
        <w:t xml:space="preserve">11.3供应商除必须具有履行合同所需提供的产品或服务（工程）的能力外，还必须具备相应的财务、技术方面的能力。</w:t>
      </w:r>
      <w:r/>
    </w:p>
    <w:p>
      <w:pPr>
        <w:ind w:firstLine="420"/>
        <w:spacing w:line="360" w:lineRule="auto"/>
        <w:rPr>
          <w:color w:val="auto"/>
          <w:highlight w:val="none"/>
        </w:rPr>
      </w:pPr>
      <w:r>
        <w:rPr>
          <w:rFonts w:hint="eastAsia"/>
          <w:color w:val="auto"/>
          <w:highlight w:val="none"/>
        </w:rPr>
        <w:t xml:space="preserve">11.4供应商应提交根据合同要求提供的证明服务（工程）质量合格以及符合采购文件规定的证明文件。</w:t>
      </w:r>
      <w:r/>
    </w:p>
    <w:p>
      <w:pPr>
        <w:ind w:firstLine="420"/>
        <w:spacing w:line="360" w:lineRule="auto"/>
        <w:rPr>
          <w:color w:val="auto"/>
          <w:highlight w:val="none"/>
        </w:rPr>
      </w:pPr>
      <w:r>
        <w:rPr>
          <w:rFonts w:hint="eastAsia"/>
          <w:color w:val="auto"/>
          <w:highlight w:val="none"/>
        </w:rPr>
        <w:t xml:space="preserve">11.5证明供应商所提供服务（工程）与采购文件的要求相一致的文件可以是手册、图纸、文字资料和数据。</w:t>
      </w:r>
      <w:r/>
    </w:p>
    <w:p>
      <w:pPr>
        <w:ind w:firstLine="420"/>
        <w:spacing w:line="360" w:lineRule="auto"/>
        <w:rPr>
          <w:color w:val="auto"/>
          <w:highlight w:val="none"/>
        </w:rPr>
      </w:pPr>
      <w:r>
        <w:rPr>
          <w:rFonts w:hint="eastAsia"/>
          <w:color w:val="auto"/>
          <w:highlight w:val="none"/>
        </w:rPr>
        <w:t xml:space="preserve">12、磋商响应报价表</w:t>
      </w:r>
      <w:r/>
    </w:p>
    <w:p>
      <w:pPr>
        <w:ind w:firstLine="420"/>
        <w:spacing w:line="360" w:lineRule="auto"/>
        <w:rPr>
          <w:color w:val="auto"/>
          <w:highlight w:val="none"/>
        </w:rPr>
      </w:pPr>
      <w:r>
        <w:rPr>
          <w:rFonts w:hint="eastAsia"/>
          <w:color w:val="auto"/>
          <w:highlight w:val="none"/>
        </w:rPr>
        <w:t xml:space="preserve">12.1 供应商应按照采购文件规定格式填报磋商响应报价表，每项服务（工程）只允许有一个报价，任何有选择的报价将不予接受。</w:t>
      </w:r>
      <w:r/>
    </w:p>
    <w:p>
      <w:pPr>
        <w:ind w:firstLine="420"/>
        <w:spacing w:line="360" w:lineRule="auto"/>
        <w:rPr>
          <w:color w:val="auto"/>
          <w:highlight w:val="none"/>
        </w:rPr>
      </w:pPr>
      <w:r>
        <w:rPr>
          <w:rFonts w:hint="eastAsia"/>
          <w:color w:val="auto"/>
          <w:highlight w:val="none"/>
        </w:rPr>
        <w:t xml:space="preserve">12.2 标的物</w:t>
      </w:r>
      <w:r/>
    </w:p>
    <w:p>
      <w:pPr>
        <w:ind w:firstLine="420"/>
        <w:spacing w:line="360" w:lineRule="auto"/>
        <w:rPr>
          <w:color w:val="auto"/>
          <w:highlight w:val="none"/>
        </w:rPr>
      </w:pPr>
      <w:r>
        <w:rPr>
          <w:rFonts w:hint="eastAsia"/>
          <w:color w:val="auto"/>
          <w:highlight w:val="none"/>
        </w:rPr>
        <w:t xml:space="preserve">采购人需求的服务（工程）供应、安装，调试及有关技术服务等。</w:t>
      </w:r>
      <w:r/>
    </w:p>
    <w:p>
      <w:pPr>
        <w:ind w:firstLine="420"/>
        <w:spacing w:line="360" w:lineRule="auto"/>
        <w:rPr>
          <w:color w:val="auto"/>
          <w:highlight w:val="none"/>
        </w:rPr>
      </w:pPr>
      <w:r>
        <w:rPr>
          <w:rFonts w:hint="eastAsia"/>
          <w:color w:val="auto"/>
          <w:highlight w:val="none"/>
        </w:rPr>
        <w:t xml:space="preserve">12.3其它费用处理</w:t>
      </w:r>
      <w:r/>
    </w:p>
    <w:p>
      <w:pPr>
        <w:ind w:firstLine="420"/>
        <w:spacing w:line="360" w:lineRule="auto"/>
        <w:rPr>
          <w:color w:val="auto"/>
          <w:highlight w:val="none"/>
        </w:rPr>
      </w:pPr>
      <w:r>
        <w:rPr>
          <w:rFonts w:hint="eastAsia"/>
          <w:color w:val="auto"/>
          <w:highlight w:val="none"/>
        </w:rPr>
        <w:t xml:space="preserve">采购文件未列明，而供应商认为必需的费用也需列入报价。</w:t>
      </w:r>
      <w:r/>
    </w:p>
    <w:p>
      <w:pPr>
        <w:ind w:firstLine="420"/>
        <w:spacing w:line="360" w:lineRule="auto"/>
        <w:rPr>
          <w:color w:val="auto"/>
          <w:highlight w:val="none"/>
        </w:rPr>
      </w:pPr>
      <w:r>
        <w:rPr>
          <w:rFonts w:hint="eastAsia"/>
          <w:color w:val="auto"/>
          <w:highlight w:val="none"/>
        </w:rPr>
        <w:t xml:space="preserve">13、技术参数响应及偏离表、商务条款响应及偏离表及磋商服务（工程）说明</w:t>
      </w:r>
      <w:r/>
    </w:p>
    <w:p>
      <w:pPr>
        <w:ind w:firstLine="420"/>
        <w:spacing w:line="360" w:lineRule="auto"/>
        <w:rPr>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 提供参加本项目类似案例简介；</w:t>
      </w:r>
      <w:r/>
    </w:p>
    <w:p>
      <w:pPr>
        <w:ind w:firstLine="420"/>
        <w:spacing w:line="360" w:lineRule="auto"/>
        <w:rPr>
          <w:color w:val="auto"/>
          <w:highlight w:val="none"/>
        </w:rPr>
      </w:pPr>
      <w:r>
        <w:rPr>
          <w:rFonts w:hint="eastAsia"/>
          <w:color w:val="auto"/>
          <w:highlight w:val="none"/>
        </w:rPr>
        <w:t xml:space="preserve">13.3 详细阐述所投服务（工程）的主要组成部分、功能设计、实现思路及关键技术；</w:t>
      </w:r>
      <w:r/>
    </w:p>
    <w:p>
      <w:pPr>
        <w:ind w:firstLine="420"/>
        <w:spacing w:line="360" w:lineRule="auto"/>
        <w:rPr>
          <w:color w:val="auto"/>
          <w:highlight w:val="none"/>
        </w:rPr>
      </w:pPr>
      <w:r>
        <w:rPr>
          <w:rFonts w:hint="eastAsia"/>
          <w:color w:val="auto"/>
          <w:highlight w:val="none"/>
        </w:rPr>
        <w:t xml:space="preserve">13.4 供应商认为需要的其他技术文件或说明。</w:t>
      </w:r>
      <w:r/>
    </w:p>
    <w:p>
      <w:pPr>
        <w:ind w:firstLine="420"/>
        <w:spacing w:line="360" w:lineRule="auto"/>
        <w:rPr>
          <w:color w:val="auto"/>
          <w:highlight w:val="none"/>
        </w:rPr>
      </w:pPr>
      <w:r>
        <w:rPr>
          <w:rFonts w:hint="eastAsia"/>
          <w:color w:val="auto"/>
          <w:highlight w:val="none"/>
        </w:rPr>
        <w:t xml:space="preserve">14、服务承诺及售后服务机构、人员的情况介绍</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b/>
          <w:bCs/>
          <w:color w:val="auto"/>
          <w:highlight w:val="none"/>
        </w:rPr>
      </w:pPr>
      <w:r>
        <w:rPr>
          <w:rFonts w:hint="eastAsia"/>
          <w:color w:val="auto"/>
          <w:highlight w:val="none"/>
        </w:rPr>
        <w:t xml:space="preserve">15、磋商响应函</w:t>
      </w:r>
      <w:r/>
    </w:p>
    <w:p>
      <w:pPr>
        <w:ind w:firstLine="420"/>
        <w:spacing w:line="360" w:lineRule="auto"/>
        <w:rPr>
          <w:color w:val="auto"/>
          <w:highlight w:val="none"/>
        </w:rPr>
      </w:pPr>
      <w:r>
        <w:rPr>
          <w:rFonts w:hint="eastAsia"/>
          <w:color w:val="auto"/>
          <w:highlight w:val="none"/>
        </w:rPr>
        <w:t xml:space="preserve">15.1 供应商应按照扬州市政府采购交易管理系统提供的格式完整、正确填写磋商响应函。</w:t>
      </w:r>
      <w:r/>
    </w:p>
    <w:p>
      <w:pPr>
        <w:ind w:firstLine="420"/>
        <w:spacing w:line="360" w:lineRule="auto"/>
        <w:rPr>
          <w:b/>
          <w:bCs/>
          <w:color w:val="auto"/>
          <w:highlight w:val="none"/>
        </w:rPr>
      </w:pPr>
      <w:r>
        <w:rPr>
          <w:rFonts w:hint="eastAsia"/>
          <w:color w:val="auto"/>
          <w:highlight w:val="none"/>
        </w:rPr>
        <w:t xml:space="preserve">16、磋商响应有效期</w:t>
      </w:r>
      <w:r/>
    </w:p>
    <w:p>
      <w:pPr>
        <w:ind w:firstLine="420"/>
        <w:spacing w:line="360" w:lineRule="auto"/>
        <w:rPr>
          <w:color w:val="auto"/>
          <w:highlight w:val="none"/>
        </w:rPr>
      </w:pPr>
      <w:r>
        <w:rPr>
          <w:rFonts w:hint="eastAsia"/>
          <w:color w:val="auto"/>
          <w:highlight w:val="none"/>
        </w:rPr>
        <w:t xml:space="preserve">16.1 磋商响应有效期为代理机构规定的响应文件接收截止时间后</w:t>
      </w:r>
      <w:r>
        <w:rPr>
          <w:rFonts w:hint="eastAsia"/>
          <w:b/>
          <w:bCs/>
          <w:color w:val="auto"/>
          <w:highlight w:val="none"/>
          <w:u w:val="single"/>
        </w:rPr>
        <w:t xml:space="preserve">六十（60）天</w:t>
      </w:r>
      <w:r>
        <w:rPr>
          <w:rFonts w:hint="eastAsia"/>
          <w:color w:val="auto"/>
          <w:highlight w:val="none"/>
        </w:rPr>
        <w:t xml:space="preserve">。磋商响应有效期比规定短的将被视为非实质性响应性而予以拒绝。</w:t>
      </w:r>
      <w:r/>
    </w:p>
    <w:p>
      <w:pPr>
        <w:ind w:firstLine="420"/>
        <w:spacing w:line="360" w:lineRule="auto"/>
        <w:rPr>
          <w:color w:val="auto"/>
          <w:highlight w:val="none"/>
        </w:rPr>
      </w:pPr>
      <w:r>
        <w:rPr>
          <w:rFonts w:hint="eastAsia"/>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color w:val="auto"/>
          <w:highlight w:val="none"/>
        </w:rPr>
      </w:pPr>
      <w:r/>
      <w:bookmarkStart w:id="13" w:name="_Toc16938541"/>
      <w:r/>
      <w:bookmarkStart w:id="14" w:name="_Toc20823297"/>
      <w:r>
        <w:rPr>
          <w:rFonts w:hint="eastAsia"/>
          <w:color w:val="auto"/>
          <w:highlight w:val="none"/>
        </w:rPr>
        <w:t xml:space="preserve">17、响应文件</w:t>
      </w:r>
      <w:bookmarkEnd w:id="13"/>
      <w:r/>
      <w:bookmarkEnd w:id="14"/>
      <w:r>
        <w:rPr>
          <w:rFonts w:hint="eastAsia"/>
          <w:color w:val="auto"/>
          <w:highlight w:val="none"/>
        </w:rPr>
        <w:t xml:space="preserve">的递交</w:t>
      </w:r>
      <w:r/>
    </w:p>
    <w:p>
      <w:pPr>
        <w:ind w:firstLine="420"/>
        <w:spacing w:line="360" w:lineRule="auto"/>
        <w:rPr>
          <w:color w:val="auto"/>
          <w:highlight w:val="none"/>
        </w:rPr>
      </w:pPr>
      <w:r>
        <w:rPr>
          <w:rFonts w:hint="eastAsia"/>
          <w:color w:val="auto"/>
          <w:highlight w:val="none"/>
        </w:rPr>
        <w:t xml:space="preserve">17.1 电子响应文件的递交供应商应当按照《操作手册》规定，在磋商响应截止时间前制作并上传电子响应文件。</w:t>
      </w:r>
      <w:bookmarkStart w:id="15" w:name="_Toc20823298"/>
      <w:r/>
      <w:bookmarkStart w:id="16" w:name="_Toc16938542"/>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17.2政府采购管理交易系统（苏采云）相关要求是本采购文件的组成部分。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17.3供应商应对 CA 证书妥善保管，如被他人盗用投标，因此带来的结果均由供应商自行承担。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17.4供应商应当对采购文件提出的要求和条件作出实质性响应，并在电子投标系统逐条应答。</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17.5供应商应对要求提供的资格证明文件（如资质证书、资格证书）、技术资料（如白皮书、彩页、手册、检测报告等）扫描上传至投标系统。</w:t>
      </w:r>
      <w:r/>
    </w:p>
    <w:p>
      <w:pPr>
        <w:ind w:firstLine="420"/>
        <w:spacing w:line="360" w:lineRule="auto"/>
        <w:rPr>
          <w:color w:val="auto"/>
          <w:highlight w:val="none"/>
        </w:rPr>
      </w:pPr>
      <w:r>
        <w:rPr>
          <w:rFonts w:hint="eastAsia" w:ascii="宋体" w:hAnsi="宋体"/>
          <w:color w:val="auto"/>
          <w:szCs w:val="21"/>
          <w:highlight w:val="none"/>
        </w:rPr>
        <w:t xml:space="preserve">17.6各供应商应在规定时间内凭CA证书进行网上解密。</w:t>
      </w:r>
      <w:r/>
    </w:p>
    <w:p>
      <w:pPr>
        <w:ind w:firstLine="420"/>
        <w:spacing w:line="360" w:lineRule="auto"/>
        <w:rPr>
          <w:b/>
          <w:bCs/>
          <w:color w:val="auto"/>
          <w:sz w:val="24"/>
          <w:highlight w:val="none"/>
        </w:rPr>
      </w:pPr>
      <w:r>
        <w:rPr>
          <w:rFonts w:hint="eastAsia"/>
          <w:color w:val="auto"/>
          <w:highlight w:val="none"/>
        </w:rPr>
        <w:t xml:space="preserve">18、磋商响应截止日期</w:t>
      </w:r>
      <w:bookmarkEnd w:id="15"/>
      <w:r/>
      <w:bookmarkEnd w:id="16"/>
      <w:r/>
      <w:r/>
    </w:p>
    <w:p>
      <w:pPr>
        <w:ind w:firstLine="420"/>
        <w:spacing w:line="360" w:lineRule="auto"/>
        <w:rPr>
          <w:i/>
          <w:color w:val="auto"/>
          <w:highlight w:val="none"/>
          <w:u w:val="single"/>
        </w:rPr>
      </w:pPr>
      <w:r>
        <w:rPr>
          <w:rFonts w:hint="eastAsia"/>
          <w:i/>
          <w:color w:val="auto"/>
          <w:highlight w:val="none"/>
          <w:u w:val="single"/>
        </w:rPr>
        <w:t xml:space="preserve">18.1 供应商上传电子响应文件的时间不得迟于采购公告中规定的磋商响应截止时间。</w:t>
      </w:r>
      <w:r/>
    </w:p>
    <w:p>
      <w:pPr>
        <w:ind w:firstLine="420"/>
        <w:spacing w:line="360" w:lineRule="auto"/>
        <w:rPr>
          <w:color w:val="auto"/>
          <w:highlight w:val="none"/>
        </w:rPr>
      </w:pPr>
      <w:r>
        <w:rPr>
          <w:rFonts w:hint="eastAsia"/>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auto"/>
          <w:highlight w:val="none"/>
        </w:rPr>
      </w:pPr>
      <w:r>
        <w:rPr>
          <w:rFonts w:hint="eastAsia"/>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color w:val="auto"/>
          <w:highlight w:val="none"/>
        </w:rPr>
      </w:pPr>
      <w:r/>
      <w:bookmarkStart w:id="17" w:name="_Toc16938543"/>
      <w:r/>
      <w:bookmarkStart w:id="18" w:name="_Toc20823299"/>
      <w:r>
        <w:rPr>
          <w:rFonts w:hint="eastAsia"/>
          <w:color w:val="auto"/>
          <w:highlight w:val="none"/>
        </w:rPr>
        <w:t xml:space="preserve">19、响应文件</w:t>
      </w:r>
      <w:bookmarkEnd w:id="17"/>
      <w:r/>
      <w:bookmarkEnd w:id="18"/>
      <w:r>
        <w:rPr>
          <w:rFonts w:hint="eastAsia"/>
          <w:color w:val="auto"/>
          <w:highlight w:val="none"/>
        </w:rPr>
        <w:t xml:space="preserve">的拒收</w:t>
      </w:r>
      <w:r/>
    </w:p>
    <w:p>
      <w:pPr>
        <w:ind w:firstLine="420"/>
        <w:spacing w:line="360" w:lineRule="auto"/>
        <w:rPr>
          <w:color w:val="auto"/>
          <w:highlight w:val="none"/>
        </w:rPr>
      </w:pPr>
      <w:r>
        <w:rPr>
          <w:rFonts w:hint="eastAsia"/>
          <w:color w:val="auto"/>
          <w:highlight w:val="none"/>
        </w:rPr>
        <w:t xml:space="preserve">19.1代理机构拒绝接收在其规定的磋商截止时间后上传的任何响应文件。</w:t>
      </w:r>
      <w:r/>
    </w:p>
    <w:p>
      <w:pPr>
        <w:ind w:firstLine="420"/>
        <w:spacing w:line="360" w:lineRule="auto"/>
        <w:rPr>
          <w:color w:val="auto"/>
          <w:highlight w:val="none"/>
        </w:rPr>
      </w:pPr>
      <w:r/>
      <w:bookmarkStart w:id="19" w:name="_Toc20823300"/>
      <w:r/>
      <w:bookmarkStart w:id="20" w:name="_Toc16938544"/>
      <w:r>
        <w:rPr>
          <w:rFonts w:hint="eastAsia"/>
          <w:color w:val="auto"/>
          <w:highlight w:val="none"/>
        </w:rPr>
        <w:t xml:space="preserve">20、响应文件的撤回和修改</w:t>
      </w:r>
      <w:bookmarkEnd w:id="19"/>
      <w:r/>
      <w:bookmarkEnd w:id="20"/>
      <w:r/>
      <w:r/>
    </w:p>
    <w:p>
      <w:pPr>
        <w:ind w:firstLine="420"/>
        <w:spacing w:line="360" w:lineRule="auto"/>
        <w:rPr>
          <w:color w:val="auto"/>
          <w:highlight w:val="none"/>
        </w:rPr>
      </w:pPr>
      <w:r>
        <w:rPr>
          <w:rFonts w:hint="eastAsia"/>
          <w:color w:val="auto"/>
          <w:highlight w:val="none"/>
        </w:rPr>
        <w:t xml:space="preserve">20.1 响应文件的撤回</w:t>
      </w:r>
      <w:r/>
    </w:p>
    <w:p>
      <w:pPr>
        <w:ind w:firstLine="420"/>
        <w:spacing w:line="360" w:lineRule="auto"/>
        <w:rPr>
          <w:color w:val="auto"/>
          <w:highlight w:val="none"/>
        </w:rPr>
      </w:pPr>
      <w:r>
        <w:rPr>
          <w:rFonts w:hint="eastAsia"/>
          <w:color w:val="auto"/>
          <w:highlight w:val="none"/>
        </w:rPr>
        <w:t xml:space="preserve">20.1.1 电子响应文件的撤回</w:t>
      </w:r>
      <w:r/>
    </w:p>
    <w:p>
      <w:pPr>
        <w:ind w:firstLine="420"/>
        <w:spacing w:line="360" w:lineRule="auto"/>
        <w:rPr>
          <w:color w:val="auto"/>
          <w:highlight w:val="none"/>
        </w:rPr>
      </w:pPr>
      <w:r>
        <w:rPr>
          <w:rFonts w:hint="eastAsia"/>
          <w:color w:val="auto"/>
          <w:highlight w:val="none"/>
        </w:rPr>
        <w:t xml:space="preserve">供应商可在磋商截止时间前，撤回其电子响应文件，具体操作方法见《操作手册》。</w:t>
      </w:r>
      <w:r/>
    </w:p>
    <w:p>
      <w:pPr>
        <w:ind w:firstLine="420"/>
        <w:spacing w:line="360" w:lineRule="auto"/>
        <w:rPr>
          <w:color w:val="auto"/>
          <w:highlight w:val="none"/>
        </w:rPr>
      </w:pPr>
      <w:r>
        <w:rPr>
          <w:rFonts w:hint="eastAsia"/>
          <w:color w:val="auto"/>
          <w:highlight w:val="none"/>
        </w:rPr>
        <w:t xml:space="preserve">20.1.2 供应商撤回电子响应文件，则认为其不再参与本项目磋商谈判。</w:t>
      </w:r>
      <w:r/>
    </w:p>
    <w:p>
      <w:pPr>
        <w:ind w:firstLine="420"/>
        <w:spacing w:line="360" w:lineRule="auto"/>
        <w:rPr>
          <w:color w:val="auto"/>
          <w:highlight w:val="none"/>
        </w:rPr>
      </w:pPr>
      <w:r>
        <w:rPr>
          <w:rFonts w:hint="eastAsia"/>
          <w:color w:val="auto"/>
          <w:highlight w:val="none"/>
        </w:rPr>
        <w:t xml:space="preserve">20.2 响应文件的修改</w:t>
      </w:r>
      <w:r/>
    </w:p>
    <w:p>
      <w:pPr>
        <w:ind w:firstLine="420"/>
        <w:spacing w:line="360" w:lineRule="auto"/>
        <w:rPr>
          <w:color w:val="auto"/>
          <w:highlight w:val="none"/>
        </w:rPr>
      </w:pPr>
      <w:r>
        <w:rPr>
          <w:rFonts w:hint="eastAsia"/>
          <w:color w:val="auto"/>
          <w:highlight w:val="none"/>
        </w:rPr>
        <w:t xml:space="preserve">供应商可在磋商截止时间前，对其电子响应文件进行修改，具体操作方法见《操作手册》。</w:t>
      </w:r>
      <w:r/>
    </w:p>
    <w:p>
      <w:pPr>
        <w:ind w:firstLine="420"/>
        <w:spacing w:line="360" w:lineRule="auto"/>
        <w:rPr>
          <w:color w:val="auto"/>
          <w:highlight w:val="none"/>
        </w:rPr>
      </w:pPr>
      <w:r>
        <w:rPr>
          <w:rFonts w:hint="eastAsia"/>
          <w:color w:val="auto"/>
          <w:highlight w:val="none"/>
        </w:rPr>
        <w:t xml:space="preserve">20.3 在磋商截止时间之后，供应商不得对其电子响应文件作任何修改。</w:t>
      </w:r>
      <w:r/>
    </w:p>
    <w:p>
      <w:pPr>
        <w:ind w:firstLine="420"/>
        <w:spacing w:line="360" w:lineRule="auto"/>
        <w:rPr>
          <w:color w:val="auto"/>
          <w:highlight w:val="none"/>
        </w:rPr>
      </w:pPr>
      <w:r>
        <w:rPr>
          <w:rFonts w:hint="eastAsia"/>
          <w:color w:val="auto"/>
          <w:highlight w:val="none"/>
        </w:rPr>
        <w:t xml:space="preserve">20.4 在磋商截止时间至采购文件中规定的磋商有效期满之间的这段时间内，供应商不得撤回其响应文件。</w:t>
      </w:r>
      <w:r/>
    </w:p>
    <w:p>
      <w:pPr>
        <w:ind w:firstLine="420"/>
        <w:spacing w:line="360" w:lineRule="auto"/>
        <w:rPr>
          <w:b/>
          <w:bCs/>
          <w:color w:val="auto"/>
          <w:highlight w:val="none"/>
        </w:rPr>
      </w:pPr>
      <w:r>
        <w:rPr>
          <w:rFonts w:hint="eastAsia"/>
          <w:color w:val="auto"/>
          <w:highlight w:val="none"/>
        </w:rPr>
        <w:t xml:space="preserve">21、磋商</w:t>
      </w:r>
      <w:r/>
    </w:p>
    <w:p>
      <w:pPr>
        <w:ind w:firstLine="420"/>
        <w:spacing w:line="360" w:lineRule="auto"/>
        <w:rPr>
          <w:color w:val="auto"/>
          <w:highlight w:val="none"/>
        </w:rPr>
      </w:pPr>
      <w:r>
        <w:rPr>
          <w:rFonts w:hint="eastAsia"/>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color w:val="auto"/>
          <w:highlight w:val="none"/>
        </w:rPr>
      </w:pPr>
      <w:r>
        <w:rPr>
          <w:rFonts w:hint="eastAsia"/>
          <w:color w:val="auto"/>
          <w:highlight w:val="none"/>
        </w:rPr>
        <w:t xml:space="preserve">21.2供应商在磋商过程中涉及到的响应文件解密等工作，应按照《操作手册》规定执行。</w:t>
      </w:r>
      <w:r/>
    </w:p>
    <w:p>
      <w:pPr>
        <w:ind w:firstLine="420"/>
        <w:spacing w:line="360" w:lineRule="auto"/>
        <w:rPr>
          <w:b/>
          <w:bCs/>
          <w:color w:val="auto"/>
          <w:highlight w:val="none"/>
        </w:rPr>
      </w:pPr>
      <w:r>
        <w:rPr>
          <w:rFonts w:hint="eastAsia"/>
          <w:color w:val="auto"/>
          <w:highlight w:val="none"/>
        </w:rPr>
        <w:t xml:space="preserve">22、磋商小组</w:t>
      </w:r>
      <w:r/>
    </w:p>
    <w:p>
      <w:pPr>
        <w:ind w:firstLine="420"/>
        <w:spacing w:line="360" w:lineRule="auto"/>
        <w:rPr>
          <w:b/>
          <w:bCs/>
          <w:color w:val="auto"/>
          <w:highlight w:val="none"/>
        </w:rPr>
      </w:pPr>
      <w:r>
        <w:rPr>
          <w:rFonts w:hint="eastAsia"/>
          <w:color w:val="auto"/>
          <w:highlight w:val="none"/>
        </w:rPr>
        <w:t xml:space="preserve">22.1磋商开始后，代理机构将立即组织磋商小组进行评审。</w:t>
      </w:r>
      <w:r/>
    </w:p>
    <w:p>
      <w:pPr>
        <w:ind w:firstLine="420"/>
        <w:spacing w:line="360" w:lineRule="auto"/>
        <w:rPr>
          <w:color w:val="auto"/>
          <w:highlight w:val="none"/>
        </w:rPr>
      </w:pPr>
      <w:r>
        <w:rPr>
          <w:rFonts w:hint="eastAsia"/>
          <w:color w:val="auto"/>
          <w:highlight w:val="none"/>
        </w:rPr>
        <w:t xml:space="preserve">22.2磋商小组由采购人代表和有关技术、经济等方面的专家组成，且人员构成符合政府采购有关规定。</w:t>
      </w:r>
      <w:r/>
    </w:p>
    <w:p>
      <w:pPr>
        <w:ind w:firstLine="420"/>
        <w:spacing w:line="360" w:lineRule="auto"/>
        <w:rPr>
          <w:color w:val="auto"/>
          <w:highlight w:val="none"/>
        </w:rPr>
      </w:pPr>
      <w:r>
        <w:rPr>
          <w:rFonts w:hint="eastAsia"/>
          <w:color w:val="auto"/>
          <w:highlight w:val="none"/>
        </w:rPr>
        <w:t xml:space="preserve">22.3磋商小组独立工作，负责评审有效响应文件并确定成交候选供应商。</w:t>
      </w:r>
      <w:r/>
    </w:p>
    <w:p>
      <w:pPr>
        <w:ind w:firstLine="420"/>
        <w:spacing w:line="360" w:lineRule="auto"/>
        <w:rPr>
          <w:b/>
          <w:bCs/>
          <w:color w:val="auto"/>
          <w:highlight w:val="none"/>
        </w:rPr>
      </w:pPr>
      <w:r>
        <w:rPr>
          <w:rFonts w:hint="eastAsia"/>
          <w:color w:val="auto"/>
          <w:highlight w:val="none"/>
        </w:rPr>
        <w:t xml:space="preserve">23、评审过程的保密与公正</w:t>
      </w:r>
      <w:r/>
    </w:p>
    <w:p>
      <w:pPr>
        <w:ind w:firstLine="420"/>
        <w:spacing w:line="360" w:lineRule="auto"/>
        <w:rPr>
          <w:color w:val="auto"/>
          <w:highlight w:val="none"/>
        </w:rPr>
      </w:pPr>
      <w:r>
        <w:rPr>
          <w:rFonts w:hint="eastAsia"/>
          <w:color w:val="auto"/>
          <w:highlight w:val="none"/>
        </w:rPr>
        <w:t xml:space="preserve">23.1评审专家应当遵守评审工作纪律，不得泄露评审情况和评审中获悉的商业秘密。</w:t>
      </w:r>
      <w:r/>
    </w:p>
    <w:p>
      <w:pPr>
        <w:ind w:firstLine="420"/>
        <w:spacing w:line="360" w:lineRule="auto"/>
        <w:rPr>
          <w:color w:val="auto"/>
          <w:highlight w:val="none"/>
        </w:rPr>
      </w:pPr>
      <w:r>
        <w:rPr>
          <w:rFonts w:hint="eastAsia"/>
          <w:color w:val="auto"/>
          <w:highlight w:val="none"/>
        </w:rPr>
        <w:t xml:space="preserve">23.2在评审过程中，供应商不得以任何行为影响评审过程，否则其响应文件将被作为无效响应文件。</w:t>
      </w:r>
      <w:r/>
    </w:p>
    <w:p>
      <w:pPr>
        <w:ind w:firstLine="420"/>
        <w:spacing w:line="360" w:lineRule="auto"/>
        <w:rPr>
          <w:color w:val="auto"/>
          <w:highlight w:val="none"/>
        </w:rPr>
      </w:pPr>
      <w:r>
        <w:rPr>
          <w:rFonts w:hint="eastAsia"/>
          <w:color w:val="auto"/>
          <w:highlight w:val="none"/>
        </w:rPr>
        <w:t xml:space="preserve">23.3 在评审期间，代理机构将设专门工作人员与供应商联系。</w:t>
      </w:r>
      <w:r/>
    </w:p>
    <w:p>
      <w:pPr>
        <w:ind w:firstLine="420"/>
        <w:spacing w:line="360" w:lineRule="auto"/>
        <w:rPr>
          <w:color w:val="auto"/>
          <w:highlight w:val="none"/>
        </w:rPr>
      </w:pPr>
      <w:r>
        <w:rPr>
          <w:rFonts w:hint="eastAsia"/>
          <w:color w:val="auto"/>
          <w:highlight w:val="none"/>
        </w:rPr>
        <w:t xml:space="preserve">23.4 代理机构和磋商小组不向未成交的供应商解释未成交原因，也不公布评审过程中的相关细节。</w:t>
      </w:r>
      <w:r/>
    </w:p>
    <w:p>
      <w:pPr>
        <w:ind w:firstLine="420"/>
        <w:spacing w:line="360" w:lineRule="auto"/>
        <w:rPr>
          <w:b/>
          <w:bCs/>
          <w:color w:val="auto"/>
          <w:highlight w:val="none"/>
        </w:rPr>
      </w:pPr>
      <w:r>
        <w:rPr>
          <w:rFonts w:hint="eastAsia"/>
          <w:color w:val="auto"/>
          <w:highlight w:val="none"/>
        </w:rPr>
        <w:t xml:space="preserve">24、磋商的澄清</w:t>
      </w:r>
      <w:r/>
    </w:p>
    <w:p>
      <w:pPr>
        <w:ind w:firstLine="420"/>
        <w:spacing w:line="360" w:lineRule="auto"/>
        <w:rPr>
          <w:color w:val="auto"/>
          <w:highlight w:val="none"/>
        </w:rPr>
      </w:pPr>
      <w:r>
        <w:rPr>
          <w:rFonts w:hint="eastAsia"/>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color w:val="auto"/>
          <w:highlight w:val="none"/>
        </w:rPr>
      </w:pPr>
      <w:r>
        <w:rPr>
          <w:rFonts w:hint="eastAsia"/>
          <w:color w:val="auto"/>
          <w:highlight w:val="none"/>
        </w:rPr>
        <w:t xml:space="preserve">24.2接到磋商小组澄清要求的供应商应按磋商小组规定的时间和格式在</w:t>
      </w:r>
      <w:r>
        <w:rPr>
          <w:rFonts w:hint="eastAsia"/>
          <w:b/>
          <w:bCs/>
          <w:color w:val="auto"/>
          <w:highlight w:val="none"/>
        </w:rPr>
        <w:t xml:space="preserve">“政府采购管理交易系统（苏采云）”</w:t>
      </w:r>
      <w:r>
        <w:rPr>
          <w:rFonts w:hint="eastAsia"/>
          <w:color w:val="auto"/>
          <w:highlight w:val="none"/>
        </w:rPr>
        <w:t xml:space="preserve">中做出澄清，澄清的内容作为响应文件的补充部分。具体</w:t>
      </w:r>
      <w:r>
        <w:rPr>
          <w:color w:val="auto"/>
          <w:highlight w:val="none"/>
        </w:rPr>
        <w:t xml:space="preserve">操作</w:t>
      </w:r>
      <w:r>
        <w:rPr>
          <w:rFonts w:hint="eastAsia"/>
          <w:color w:val="auto"/>
          <w:highlight w:val="none"/>
        </w:rPr>
        <w:t xml:space="preserve">方式</w:t>
      </w:r>
      <w:r>
        <w:rPr>
          <w:color w:val="auto"/>
          <w:highlight w:val="none"/>
        </w:rPr>
        <w:t xml:space="preserve">见</w:t>
      </w:r>
      <w:r>
        <w:rPr>
          <w:rFonts w:hint="eastAsia"/>
          <w:bCs/>
          <w:color w:val="auto"/>
          <w:highlight w:val="none"/>
        </w:rPr>
        <w:t xml:space="preserve">《操作手册》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24.3 接到磋商小组澄清要求的供应商如未按规定做出澄清，其风险由供应商自行承担。</w:t>
      </w:r>
      <w:r/>
    </w:p>
    <w:p>
      <w:pPr>
        <w:ind w:firstLine="420"/>
        <w:spacing w:line="360" w:lineRule="auto"/>
        <w:rPr>
          <w:b/>
          <w:bCs/>
          <w:color w:val="auto"/>
          <w:highlight w:val="none"/>
        </w:rPr>
      </w:pPr>
      <w:r>
        <w:rPr>
          <w:rFonts w:hint="eastAsia"/>
          <w:color w:val="auto"/>
          <w:highlight w:val="none"/>
        </w:rPr>
        <w:t xml:space="preserve">25、对响应文件的初审</w:t>
      </w:r>
      <w:r/>
    </w:p>
    <w:p>
      <w:pPr>
        <w:ind w:firstLine="420"/>
        <w:spacing w:line="360" w:lineRule="auto"/>
        <w:rPr>
          <w:color w:val="auto"/>
          <w:highlight w:val="none"/>
        </w:rPr>
      </w:pPr>
      <w:r>
        <w:rPr>
          <w:rFonts w:hint="eastAsia"/>
          <w:color w:val="auto"/>
          <w:highlight w:val="none"/>
        </w:rPr>
        <w:t xml:space="preserve">25.1响应文件初审分为资格审查和符合性审查。</w:t>
      </w:r>
      <w:r/>
    </w:p>
    <w:p>
      <w:pPr>
        <w:ind w:firstLine="420"/>
        <w:spacing w:line="360" w:lineRule="auto"/>
        <w:rPr>
          <w:color w:val="auto"/>
          <w:highlight w:val="none"/>
        </w:rPr>
      </w:pPr>
      <w:r>
        <w:rPr>
          <w:rFonts w:hint="eastAsia"/>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color w:val="auto"/>
          <w:highlight w:val="none"/>
        </w:rPr>
      </w:pPr>
      <w:r>
        <w:rPr>
          <w:rFonts w:hint="eastAsia"/>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auto"/>
          <w:highlight w:val="none"/>
        </w:rPr>
      </w:pPr>
      <w:r>
        <w:rPr>
          <w:rFonts w:hint="eastAsia"/>
          <w:color w:val="auto"/>
          <w:highlight w:val="none"/>
        </w:rPr>
        <w:t xml:space="preserve">25.1.3 未通过资格审查或符合性审查的供应商，代理机构将在</w:t>
      </w:r>
      <w:r>
        <w:rPr>
          <w:rFonts w:hint="eastAsia"/>
          <w:b/>
          <w:bCs/>
          <w:color w:val="auto"/>
          <w:highlight w:val="none"/>
        </w:rPr>
        <w:t xml:space="preserve">“政府采购管理交易系统（苏采云）”</w:t>
      </w:r>
      <w:r>
        <w:rPr>
          <w:rFonts w:hint="eastAsia"/>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color w:val="auto"/>
          <w:highlight w:val="none"/>
        </w:rPr>
      </w:pPr>
      <w:r>
        <w:rPr>
          <w:rFonts w:hint="eastAsia"/>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auto"/>
          <w:highlight w:val="none"/>
        </w:rPr>
      </w:pPr>
      <w:r>
        <w:rPr>
          <w:rFonts w:hint="eastAsia"/>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auto"/>
          <w:highlight w:val="none"/>
        </w:rPr>
      </w:pPr>
      <w:r>
        <w:rPr>
          <w:rFonts w:hint="eastAsia"/>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pageBreakBefore w:val="0"/>
        <w:spacing w:line="360" w:lineRule="auto"/>
        <w:rPr>
          <w:rFonts w:hint="eastAsia"/>
          <w:color w:val="auto"/>
          <w:highlight w:val="none"/>
        </w:rPr>
      </w:pPr>
      <w:r>
        <w:rPr>
          <w:rFonts w:hint="eastAsia"/>
          <w:color w:val="auto"/>
          <w:highlight w:val="none"/>
        </w:rPr>
        <w:t xml:space="preserve">25.4 供应商在开、评标全过程中应保持通讯畅通，并安排专人与代理机构及磋商小组联系。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w:t>
      </w:r>
      <w:r>
        <w:rPr>
          <w:rFonts w:hint="eastAsia" w:ascii="Times New Roman" w:hAnsi="Times New Roman"/>
          <w:bCs/>
          <w:color w:val="auto"/>
          <w:szCs w:val="21"/>
          <w:highlight w:val="none"/>
          <w:lang w:val="en-US" w:eastAsia="zh-CN"/>
        </w:rPr>
        <w:t xml:space="preserve">5</w:t>
      </w:r>
      <w:r>
        <w:rPr>
          <w:rFonts w:hint="eastAsia" w:ascii="Times New Roman" w:hAnsi="Times New Roman" w:eastAsia="宋体"/>
          <w:bCs/>
          <w:color w:val="auto"/>
          <w:szCs w:val="21"/>
          <w:highlight w:val="none"/>
        </w:rPr>
        <w:t xml:space="preserve">异常低价投标审查</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w:t>
      </w:r>
      <w:r>
        <w:rPr>
          <w:rFonts w:hint="eastAsia" w:ascii="Times New Roman" w:hAnsi="Times New Roman"/>
          <w:bCs/>
          <w:color w:val="auto"/>
          <w:szCs w:val="21"/>
          <w:highlight w:val="none"/>
          <w:lang w:val="en-US" w:eastAsia="zh-CN"/>
        </w:rPr>
        <w:t xml:space="preserve">5</w:t>
      </w:r>
      <w:r>
        <w:rPr>
          <w:rFonts w:hint="eastAsia" w:ascii="Times New Roman" w:hAnsi="Times New Roman" w:eastAsia="宋体"/>
          <w:bCs/>
          <w:color w:val="auto"/>
          <w:szCs w:val="21"/>
          <w:highlight w:val="none"/>
        </w:rPr>
        <w:t xml:space="preserve">.1评标过程中出现下列情形之一的，评标委员会应当启动异常低价投标审查程</w:t>
      </w:r>
      <w:r>
        <w:rPr>
          <w:rFonts w:hint="eastAsia" w:ascii="宋体" w:hAnsi="宋体" w:eastAsia="宋体" w:cs="宋体"/>
          <w:bCs/>
          <w:color w:val="auto"/>
          <w:szCs w:val="21"/>
          <w:highlight w:val="none"/>
        </w:rPr>
        <w:t xml:space="preserve">序:</w:t>
      </w:r>
      <w:r/>
    </w:p>
    <w:p>
      <w:pPr>
        <w:ind w:firstLine="420"/>
        <w:pageBreakBefore w:val="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投标(响应)报价低于全部通过符合性审查供应商投标(响应)报价平均值50%的，即投标(响应)报价〈全部通过符合性审查供应商投标(响应)报价平均值X50%</w:t>
      </w:r>
      <w:r>
        <w:rPr>
          <w:rFonts w:hint="eastAsia" w:ascii="宋体" w:hAnsi="宋体" w:eastAsia="宋体" w:cs="宋体"/>
          <w:bCs/>
          <w:color w:val="auto"/>
          <w:szCs w:val="21"/>
          <w:highlight w:val="none"/>
          <w:lang w:eastAsia="zh-CN"/>
        </w:rPr>
        <w:t xml:space="preserve">；</w:t>
      </w:r>
      <w:r/>
    </w:p>
    <w:p>
      <w:pPr>
        <w:ind w:firstLine="420"/>
        <w:pageBreakBefore w:val="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2.投标(响应)报价低于通过符合性审查的次低报价供应商投标(响应)报价50%的，即投标(响应)报价〈通过符合性审查的次低报价供应商投标(响应)报价X50%</w:t>
      </w:r>
      <w:r>
        <w:rPr>
          <w:rFonts w:hint="eastAsia" w:ascii="宋体" w:hAnsi="宋体" w:eastAsia="宋体" w:cs="宋体"/>
          <w:bCs/>
          <w:color w:val="auto"/>
          <w:szCs w:val="21"/>
          <w:highlight w:val="none"/>
          <w:lang w:eastAsia="zh-CN"/>
        </w:rPr>
        <w:t xml:space="preserve">；</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3.投标(响应)报价低于采购项目最高限价45%的，即投标(响应)报价&lt;采购项目最高限价X45%;</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4.评审委员会基于专业判断，认为供应商报价过低，有可能影响产品质量或者不能诚信履约的其他情形。</w:t>
      </w:r>
      <w:r/>
    </w:p>
    <w:p>
      <w:pPr>
        <w:ind w:firstLine="42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spacing w:line="360" w:lineRule="auto"/>
        <w:rPr>
          <w:color w:val="auto"/>
          <w:highlight w:val="none"/>
        </w:rPr>
      </w:pPr>
      <w:r>
        <w:rPr>
          <w:rFonts w:hint="eastAsia" w:ascii="宋体" w:hAnsi="宋体" w:eastAsia="宋体" w:cs="宋体"/>
          <w:bCs/>
          <w:color w:val="auto"/>
          <w:szCs w:val="21"/>
          <w:highlight w:val="none"/>
        </w:rPr>
        <w:t xml:space="preserve">25.</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color w:val="auto"/>
          <w:highlight w:val="none"/>
        </w:rPr>
      </w:pPr>
      <w:r>
        <w:rPr>
          <w:rFonts w:hint="eastAsia"/>
          <w:color w:val="auto"/>
          <w:highlight w:val="none"/>
        </w:rPr>
        <w:t xml:space="preserve">26、磋商程序及评审方法和标准</w:t>
      </w:r>
      <w:r/>
    </w:p>
    <w:p>
      <w:pPr>
        <w:ind w:firstLine="420"/>
        <w:spacing w:line="360" w:lineRule="auto"/>
        <w:rPr>
          <w:color w:val="auto"/>
          <w:highlight w:val="none"/>
        </w:rPr>
      </w:pPr>
      <w:r>
        <w:rPr>
          <w:rFonts w:hint="eastAsia"/>
          <w:color w:val="auto"/>
          <w:highlight w:val="none"/>
        </w:rPr>
        <w:t xml:space="preserve">26.1磋商程序</w:t>
      </w:r>
      <w:r/>
    </w:p>
    <w:p>
      <w:pPr>
        <w:ind w:firstLine="420"/>
        <w:spacing w:line="360" w:lineRule="auto"/>
        <w:rPr>
          <w:color w:val="auto"/>
          <w:highlight w:val="none"/>
        </w:rPr>
      </w:pPr>
      <w:r>
        <w:rPr>
          <w:rFonts w:hint="eastAsia"/>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color w:val="auto"/>
          <w:highlight w:val="none"/>
        </w:rPr>
      </w:pPr>
      <w:r>
        <w:rPr>
          <w:rFonts w:hint="eastAsia"/>
          <w:color w:val="auto"/>
          <w:highlight w:val="none"/>
        </w:rPr>
        <w:t xml:space="preserve">在磋商过程中，磋商小组可能根据磋商文件和磋商情况实质性变动的内容有：采购需求中的技术、服务（工程）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color w:val="auto"/>
          <w:highlight w:val="none"/>
        </w:rPr>
      </w:pPr>
      <w:r>
        <w:rPr>
          <w:rFonts w:hint="eastAsia"/>
          <w:color w:val="auto"/>
          <w:highlight w:val="none"/>
        </w:rPr>
        <w:t xml:space="preserve"> 26.1.2 采购文件能够详细列明采购标的的技术、服务（工程）要求的，磋商结束后，磋商小组将要求所有实质性响应的供应商在规定时间内提交最后报价。</w:t>
      </w:r>
      <w:r/>
    </w:p>
    <w:p>
      <w:pPr>
        <w:ind w:firstLine="420"/>
        <w:spacing w:line="360" w:lineRule="auto"/>
        <w:rPr>
          <w:color w:val="auto"/>
          <w:highlight w:val="none"/>
        </w:rPr>
      </w:pPr>
      <w:r>
        <w:rPr>
          <w:rFonts w:hint="eastAsia"/>
          <w:color w:val="auto"/>
          <w:highlight w:val="none"/>
        </w:rPr>
        <w:t xml:space="preserve"> 采购文件不能详细列明采购标的的技术、服务（工程）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color w:val="auto"/>
          <w:highlight w:val="none"/>
        </w:rPr>
      </w:pPr>
      <w:r>
        <w:rPr>
          <w:rFonts w:hint="eastAsia"/>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color w:val="auto"/>
          <w:highlight w:val="none"/>
        </w:rPr>
      </w:pPr>
      <w:r>
        <w:rPr>
          <w:rFonts w:hint="eastAsia"/>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color w:val="auto"/>
          <w:highlight w:val="none"/>
        </w:rPr>
      </w:pPr>
      <w:r>
        <w:rPr>
          <w:rFonts w:hint="eastAsia"/>
          <w:color w:val="auto"/>
          <w:highlight w:val="none"/>
        </w:rPr>
        <w:t xml:space="preserve">26.2 评审方法和标准</w:t>
      </w:r>
      <w:r/>
    </w:p>
    <w:p>
      <w:pPr>
        <w:ind w:firstLine="420"/>
        <w:spacing w:line="360" w:lineRule="auto"/>
        <w:rPr>
          <w:color w:val="auto"/>
          <w:highlight w:val="none"/>
        </w:rPr>
      </w:pPr>
      <w:r>
        <w:rPr>
          <w:rFonts w:hint="eastAsia"/>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color w:val="auto"/>
          <w:highlight w:val="none"/>
        </w:rPr>
      </w:pPr>
      <w:r>
        <w:rPr>
          <w:rFonts w:hint="eastAsia"/>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color w:val="auto"/>
          <w:highlight w:val="none"/>
        </w:rPr>
      </w:pPr>
      <w:r>
        <w:rPr>
          <w:rFonts w:hint="eastAsia"/>
          <w:b/>
          <w:bCs/>
          <w:color w:val="auto"/>
          <w:highlight w:val="none"/>
        </w:rPr>
        <w:t xml:space="preserve">26.2.2评审标准</w:t>
      </w:r>
      <w:r/>
    </w:p>
    <w:p>
      <w:pPr>
        <w:ind w:firstLine="422"/>
        <w:spacing w:line="360" w:lineRule="auto"/>
        <w:rPr>
          <w:b/>
          <w:bCs/>
          <w:color w:val="auto"/>
          <w:highlight w:val="none"/>
        </w:rPr>
      </w:pPr>
      <w:r>
        <w:rPr>
          <w:rFonts w:hint="eastAsia"/>
          <w:b/>
          <w:bCs/>
          <w:color w:val="auto"/>
          <w:highlight w:val="none"/>
        </w:rPr>
        <w:t xml:space="preserve">见本采购文件第五章规定。</w:t>
      </w:r>
      <w:r/>
    </w:p>
    <w:p>
      <w:pPr>
        <w:ind w:firstLine="420"/>
        <w:spacing w:line="360" w:lineRule="auto"/>
        <w:rPr>
          <w:b/>
          <w:bCs/>
          <w:color w:val="auto"/>
          <w:highlight w:val="none"/>
        </w:rPr>
      </w:pPr>
      <w:r>
        <w:rPr>
          <w:rFonts w:hint="eastAsia"/>
          <w:color w:val="auto"/>
          <w:highlight w:val="none"/>
        </w:rPr>
        <w:t xml:space="preserve">27、无效响应及采购活动终止的情况</w:t>
      </w:r>
      <w:r/>
    </w:p>
    <w:p>
      <w:pPr>
        <w:ind w:firstLine="420"/>
        <w:spacing w:line="360" w:lineRule="auto"/>
        <w:rPr>
          <w:bCs/>
          <w:color w:val="auto"/>
          <w:highlight w:val="none"/>
        </w:rPr>
      </w:pPr>
      <w:r>
        <w:rPr>
          <w:rFonts w:hint="eastAsia"/>
          <w:bCs/>
          <w:color w:val="auto"/>
          <w:highlight w:val="none"/>
        </w:rPr>
        <w:t xml:space="preserve">27.1无效响应条款</w:t>
      </w:r>
      <w:r/>
    </w:p>
    <w:p>
      <w:pPr>
        <w:ind w:firstLine="420"/>
        <w:spacing w:line="360" w:lineRule="auto"/>
        <w:rPr>
          <w:bCs/>
          <w:color w:val="auto"/>
          <w:highlight w:val="none"/>
        </w:rPr>
      </w:pPr>
      <w:r>
        <w:rPr>
          <w:rFonts w:hint="eastAsia"/>
          <w:bCs/>
          <w:color w:val="auto"/>
          <w:highlight w:val="none"/>
        </w:rPr>
        <w:t xml:space="preserve">27.1.1 供应商未按照采购文件要求上传电子磋商响应文件的。</w:t>
      </w:r>
      <w:r/>
    </w:p>
    <w:p>
      <w:pPr>
        <w:ind w:firstLine="420"/>
        <w:spacing w:line="360" w:lineRule="auto"/>
        <w:rPr>
          <w:bCs/>
          <w:color w:val="auto"/>
          <w:highlight w:val="none"/>
        </w:rPr>
      </w:pPr>
      <w:r>
        <w:rPr>
          <w:rFonts w:hint="eastAsia"/>
          <w:bCs/>
          <w:color w:val="auto"/>
          <w:highlight w:val="none"/>
        </w:rPr>
        <w:t xml:space="preserve">27.1.2 供应商未成功解密电子磋商响应文件的。</w:t>
      </w:r>
      <w:r/>
    </w:p>
    <w:p>
      <w:pPr>
        <w:ind w:firstLine="420"/>
        <w:spacing w:line="360" w:lineRule="auto"/>
        <w:rPr>
          <w:bCs/>
          <w:color w:val="auto"/>
          <w:highlight w:val="none"/>
        </w:rPr>
      </w:pPr>
      <w:r>
        <w:rPr>
          <w:rFonts w:hint="eastAsia"/>
          <w:bCs/>
          <w:color w:val="auto"/>
          <w:highlight w:val="none"/>
        </w:rPr>
        <w:t xml:space="preserve">27.1.3 供应商不具备采购文件中规定资格要求的。</w:t>
      </w:r>
      <w:r/>
    </w:p>
    <w:p>
      <w:pPr>
        <w:ind w:firstLine="420"/>
        <w:spacing w:line="360" w:lineRule="auto"/>
        <w:rPr>
          <w:bCs/>
          <w:i/>
          <w:color w:val="auto"/>
          <w:highlight w:val="none"/>
          <w:u w:val="single"/>
        </w:rPr>
      </w:pPr>
      <w:r>
        <w:rPr>
          <w:rFonts w:hint="eastAsia"/>
          <w:bCs/>
          <w:color w:val="auto"/>
          <w:highlight w:val="none"/>
        </w:rPr>
        <w:t xml:space="preserve">27.1.4 未通过符合性审查的。</w:t>
      </w:r>
      <w:r/>
    </w:p>
    <w:p>
      <w:pPr>
        <w:ind w:firstLine="420"/>
        <w:spacing w:line="360" w:lineRule="auto"/>
        <w:rPr>
          <w:bCs/>
          <w:i/>
          <w:color w:val="auto"/>
          <w:highlight w:val="none"/>
          <w:u w:val="single"/>
        </w:rPr>
      </w:pPr>
      <w:r>
        <w:rPr>
          <w:rFonts w:hint="eastAsia"/>
          <w:bCs/>
          <w:color w:val="auto"/>
          <w:highlight w:val="none"/>
        </w:rPr>
        <w:t xml:space="preserve">27.1.5 不符合采购文件中规定的其他实质性要求和条件的（</w:t>
      </w:r>
      <w:r>
        <w:rPr>
          <w:rFonts w:hint="eastAsia"/>
          <w:bCs/>
          <w:i/>
          <w:color w:val="auto"/>
          <w:highlight w:val="none"/>
          <w:u w:val="single"/>
        </w:rPr>
        <w:t xml:space="preserve">本采购文件中斜体且有下划线部分为实质性要求和条件）。</w:t>
      </w:r>
      <w:r/>
    </w:p>
    <w:p>
      <w:pPr>
        <w:ind w:firstLine="420"/>
        <w:spacing w:line="360" w:lineRule="auto"/>
        <w:rPr>
          <w:bCs/>
          <w:color w:val="auto"/>
          <w:highlight w:val="none"/>
        </w:rPr>
      </w:pPr>
      <w:r>
        <w:rPr>
          <w:rFonts w:hint="eastAsia"/>
          <w:bCs/>
          <w:color w:val="auto"/>
          <w:highlight w:val="none"/>
        </w:rPr>
        <w:t xml:space="preserve">27.1.6 </w:t>
      </w:r>
      <w:r>
        <w:rPr>
          <w:rFonts w:hint="eastAsia"/>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color w:val="auto"/>
          <w:highlight w:val="none"/>
        </w:rPr>
      </w:pPr>
      <w:r>
        <w:rPr>
          <w:rFonts w:hint="eastAsia"/>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w:t>
      </w:r>
      <w:r>
        <w:rPr>
          <w:rFonts w:hint="eastAsia" w:ascii="Times New Roman" w:hAnsi="Times New Roman"/>
          <w:bCs/>
          <w:color w:val="auto"/>
          <w:szCs w:val="21"/>
          <w:highlight w:val="none"/>
          <w:lang w:val="en-US" w:eastAsia="zh-CN"/>
        </w:rPr>
        <w:t xml:space="preserve">7</w:t>
      </w:r>
      <w:r>
        <w:rPr>
          <w:rFonts w:hint="eastAsia" w:ascii="Times New Roman" w:hAnsi="Times New Roman" w:eastAsia="宋体"/>
          <w:bCs/>
          <w:color w:val="auto"/>
          <w:szCs w:val="21"/>
          <w:highlight w:val="none"/>
        </w:rPr>
        <w:t xml:space="preserve">.1.</w:t>
      </w:r>
      <w:r>
        <w:rPr>
          <w:rFonts w:hint="eastAsia" w:ascii="Times New Roman" w:hAnsi="Times New Roman"/>
          <w:bCs/>
          <w:color w:val="auto"/>
          <w:szCs w:val="21"/>
          <w:highlight w:val="none"/>
          <w:lang w:val="en-US" w:eastAsia="zh-CN"/>
        </w:rPr>
        <w:t xml:space="preserve">8</w:t>
      </w:r>
      <w:r>
        <w:rPr>
          <w:rFonts w:hint="eastAsia" w:ascii="Times New Roman" w:hAnsi="Times New Roman" w:eastAsia="宋体"/>
          <w:bCs/>
          <w:color w:val="auto"/>
          <w:szCs w:val="21"/>
          <w:highlight w:val="none"/>
        </w:rPr>
        <w:t xml:space="preserve">评标委员会按照本</w:t>
      </w:r>
      <w:r>
        <w:rPr>
          <w:rFonts w:hint="eastAsia" w:ascii="Times New Roman" w:hAnsi="Times New Roman"/>
          <w:bCs/>
          <w:color w:val="auto"/>
          <w:szCs w:val="21"/>
          <w:highlight w:val="none"/>
          <w:lang w:val="en-US" w:eastAsia="zh-CN"/>
        </w:rPr>
        <w:t xml:space="preserve">磋商</w:t>
      </w:r>
      <w:r>
        <w:rPr>
          <w:rFonts w:hint="eastAsia" w:ascii="Times New Roman" w:hAnsi="Times New Roman" w:eastAsia="宋体"/>
          <w:bCs/>
          <w:color w:val="auto"/>
          <w:szCs w:val="21"/>
          <w:highlight w:val="none"/>
        </w:rPr>
        <w:t xml:space="preserve">文件规定对</w:t>
      </w:r>
      <w:r>
        <w:rPr>
          <w:rFonts w:hint="eastAsia" w:ascii="Times New Roman" w:hAnsi="Times New Roman"/>
          <w:bCs/>
          <w:color w:val="auto"/>
          <w:szCs w:val="21"/>
          <w:highlight w:val="none"/>
          <w:lang w:val="en-US" w:eastAsia="zh-CN"/>
        </w:rPr>
        <w:t xml:space="preserve">供应商</w:t>
      </w:r>
      <w:r>
        <w:rPr>
          <w:rFonts w:hint="eastAsia" w:ascii="Times New Roman" w:hAnsi="Times New Roman" w:eastAsia="宋体"/>
          <w:bCs/>
          <w:color w:val="auto"/>
          <w:szCs w:val="21"/>
          <w:highlight w:val="none"/>
        </w:rPr>
        <w:t xml:space="preserve">进行异常低价投标审查后，认为</w:t>
      </w:r>
      <w:r>
        <w:rPr>
          <w:rFonts w:hint="eastAsia" w:ascii="Times New Roman" w:hAnsi="Times New Roman"/>
          <w:bCs/>
          <w:color w:val="auto"/>
          <w:szCs w:val="21"/>
          <w:highlight w:val="none"/>
          <w:lang w:val="en-US" w:eastAsia="zh-CN"/>
        </w:rPr>
        <w:t xml:space="preserve">供应商</w:t>
      </w:r>
      <w:r>
        <w:rPr>
          <w:rFonts w:hint="eastAsia" w:ascii="Times New Roman" w:hAnsi="Times New Roman" w:eastAsia="宋体"/>
          <w:bCs/>
          <w:color w:val="auto"/>
          <w:szCs w:val="21"/>
          <w:highlight w:val="none"/>
        </w:rPr>
        <w:t xml:space="preserve">不能证明其报价合理性的。</w:t>
      </w:r>
      <w:r/>
    </w:p>
    <w:p>
      <w:pPr>
        <w:ind w:firstLine="420"/>
        <w:spacing w:line="360" w:lineRule="auto"/>
        <w:rPr>
          <w:bCs/>
          <w:color w:val="auto"/>
          <w:highlight w:val="none"/>
        </w:rPr>
      </w:pPr>
      <w:r>
        <w:rPr>
          <w:rFonts w:hint="eastAsia"/>
          <w:bCs/>
          <w:color w:val="auto"/>
          <w:highlight w:val="none"/>
        </w:rPr>
        <w:t xml:space="preserve">27.1.</w:t>
      </w:r>
      <w:r>
        <w:rPr>
          <w:rFonts w:hint="eastAsia"/>
          <w:bCs/>
          <w:color w:val="auto"/>
          <w:highlight w:val="none"/>
          <w:lang w:val="en-US" w:eastAsia="zh-CN"/>
        </w:rPr>
        <w:t xml:space="preserve">9</w:t>
      </w:r>
      <w:r>
        <w:rPr>
          <w:rFonts w:hint="eastAsia"/>
          <w:bCs/>
          <w:color w:val="auto"/>
          <w:highlight w:val="none"/>
        </w:rPr>
        <w:t xml:space="preserve"> 响应文件未按照采购文件要求加盖电子签章。</w:t>
      </w:r>
      <w:r/>
    </w:p>
    <w:p>
      <w:pPr>
        <w:ind w:firstLine="420"/>
        <w:spacing w:line="360" w:lineRule="auto"/>
        <w:rPr>
          <w:bCs/>
          <w:color w:val="auto"/>
          <w:highlight w:val="none"/>
        </w:rPr>
      </w:pPr>
      <w:r>
        <w:rPr>
          <w:rFonts w:hint="eastAsia"/>
          <w:bCs/>
          <w:color w:val="auto"/>
          <w:highlight w:val="none"/>
        </w:rPr>
        <w:t xml:space="preserve">27.1.</w:t>
      </w:r>
      <w:r>
        <w:rPr>
          <w:rFonts w:hint="eastAsia"/>
          <w:bCs/>
          <w:color w:val="auto"/>
          <w:highlight w:val="none"/>
          <w:lang w:val="en-US" w:eastAsia="zh-CN"/>
        </w:rPr>
        <w:t xml:space="preserve">10</w:t>
      </w:r>
      <w:r>
        <w:rPr>
          <w:rFonts w:hint="eastAsia"/>
          <w:bCs/>
          <w:color w:val="auto"/>
          <w:highlight w:val="none"/>
        </w:rPr>
        <w:t xml:space="preserve"> 其他法律、法规及本采购文件规定的属无效响应的情形。</w:t>
      </w:r>
      <w:r/>
    </w:p>
    <w:p>
      <w:pPr>
        <w:ind w:firstLine="420"/>
        <w:spacing w:line="360" w:lineRule="auto"/>
        <w:rPr>
          <w:bCs/>
          <w:color w:val="auto"/>
          <w:highlight w:val="none"/>
        </w:rPr>
      </w:pPr>
      <w:r>
        <w:rPr>
          <w:rFonts w:hint="eastAsia"/>
          <w:bCs/>
          <w:color w:val="auto"/>
          <w:highlight w:val="none"/>
        </w:rPr>
        <w:t xml:space="preserve">27.2 </w:t>
      </w:r>
      <w:r>
        <w:rPr>
          <w:rFonts w:hint="eastAsia"/>
          <w:color w:val="auto"/>
          <w:highlight w:val="none"/>
        </w:rPr>
        <w:t xml:space="preserve">采购活动终止的情况</w:t>
      </w:r>
      <w:r>
        <w:rPr>
          <w:rFonts w:hint="eastAsia"/>
          <w:bCs/>
          <w:color w:val="auto"/>
          <w:highlight w:val="none"/>
        </w:rPr>
        <w:t xml:space="preserve">：</w:t>
      </w:r>
      <w:r/>
    </w:p>
    <w:p>
      <w:pPr>
        <w:ind w:firstLine="420"/>
        <w:spacing w:line="360" w:lineRule="auto"/>
        <w:rPr>
          <w:bCs/>
          <w:color w:val="auto"/>
          <w:highlight w:val="none"/>
        </w:rPr>
      </w:pPr>
      <w:r>
        <w:rPr>
          <w:rFonts w:hint="eastAsia"/>
          <w:bCs/>
          <w:color w:val="auto"/>
          <w:highlight w:val="none"/>
        </w:rPr>
        <w:t xml:space="preserve">27.2.1 因情况变化，不再符合规定的竞争性磋商采购方式适用情形的；</w:t>
      </w:r>
      <w:r/>
    </w:p>
    <w:p>
      <w:pPr>
        <w:ind w:firstLine="420"/>
        <w:spacing w:line="360" w:lineRule="auto"/>
        <w:rPr>
          <w:bCs/>
          <w:color w:val="auto"/>
          <w:highlight w:val="none"/>
        </w:rPr>
      </w:pPr>
      <w:r>
        <w:rPr>
          <w:rFonts w:hint="eastAsia"/>
          <w:bCs/>
          <w:color w:val="auto"/>
          <w:highlight w:val="none"/>
        </w:rPr>
        <w:t xml:space="preserve">27.2.2 出现影响采购公正的违法、违规行为的；</w:t>
      </w:r>
      <w:r/>
    </w:p>
    <w:p>
      <w:pPr>
        <w:ind w:firstLine="420"/>
        <w:spacing w:line="360" w:lineRule="auto"/>
        <w:rPr>
          <w:bCs/>
          <w:color w:val="auto"/>
          <w:highlight w:val="none"/>
        </w:rPr>
      </w:pPr>
      <w:r>
        <w:rPr>
          <w:rFonts w:hint="eastAsia"/>
          <w:bCs/>
          <w:color w:val="auto"/>
          <w:highlight w:val="none"/>
        </w:rPr>
        <w:t xml:space="preserve">27.2.3 </w:t>
      </w:r>
      <w:r>
        <w:rPr>
          <w:rFonts w:hint="eastAsia"/>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bCs/>
          <w:color w:val="auto"/>
          <w:highlight w:val="none"/>
        </w:rPr>
      </w:pPr>
      <w:r>
        <w:rPr>
          <w:rFonts w:hint="eastAsia"/>
          <w:bCs/>
          <w:color w:val="auto"/>
          <w:highlight w:val="none"/>
        </w:rPr>
        <w:t xml:space="preserve">27.2.4 因重大变故，采购任务取消的。</w:t>
      </w:r>
      <w:r/>
    </w:p>
    <w:p>
      <w:pPr>
        <w:ind w:firstLine="420"/>
        <w:spacing w:line="360" w:lineRule="auto"/>
        <w:rPr>
          <w:b/>
          <w:bCs/>
          <w:color w:val="auto"/>
          <w:highlight w:val="none"/>
        </w:rPr>
      </w:pPr>
      <w:r>
        <w:rPr>
          <w:rFonts w:hint="eastAsia"/>
          <w:color w:val="auto"/>
          <w:highlight w:val="none"/>
        </w:rPr>
        <w:t xml:space="preserve">28、确定成交单位</w:t>
      </w:r>
      <w:r/>
    </w:p>
    <w:p>
      <w:pPr>
        <w:ind w:firstLine="420"/>
        <w:spacing w:line="360" w:lineRule="auto"/>
        <w:rPr>
          <w:color w:val="auto"/>
          <w:highlight w:val="none"/>
        </w:rPr>
      </w:pPr>
      <w:r>
        <w:rPr>
          <w:rFonts w:hint="eastAsia"/>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auto"/>
          <w:highlight w:val="none"/>
        </w:rPr>
      </w:pPr>
      <w:r>
        <w:rPr>
          <w:rFonts w:hint="eastAsia"/>
          <w:color w:val="auto"/>
          <w:highlight w:val="none"/>
        </w:rPr>
        <w:t xml:space="preserve">28.2 采购人应根据磋商推荐的成交候选人，按照排序由高到低的推荐确定成交供应商。</w:t>
      </w:r>
      <w:r/>
    </w:p>
    <w:p>
      <w:pPr>
        <w:ind w:firstLine="420"/>
        <w:spacing w:line="360" w:lineRule="auto"/>
        <w:rPr>
          <w:color w:val="auto"/>
          <w:highlight w:val="none"/>
        </w:rPr>
      </w:pPr>
      <w:r>
        <w:rPr>
          <w:rFonts w:hint="eastAsia"/>
          <w:color w:val="auto"/>
          <w:highlight w:val="none"/>
        </w:rPr>
        <w:t xml:space="preserve">28.3 代理机构将在“扬州市政府采购网”、“江苏省政府采购网”和“中国政府采购网”发布成交公告，公告期限为1个工作日。</w:t>
      </w:r>
      <w:r/>
    </w:p>
    <w:p>
      <w:pPr>
        <w:ind w:firstLine="420"/>
        <w:spacing w:line="360" w:lineRule="auto"/>
        <w:rPr>
          <w:color w:val="auto"/>
          <w:highlight w:val="none"/>
        </w:rPr>
      </w:pPr>
      <w:r>
        <w:rPr>
          <w:rFonts w:hint="eastAsia"/>
          <w:color w:val="auto"/>
          <w:highlight w:val="none"/>
        </w:rPr>
        <w:t xml:space="preserve">28.4 若有充分证据证明，成交供应商出现下列情况之一的，一经查实，将被取消成交资格：</w:t>
      </w:r>
      <w:r/>
    </w:p>
    <w:p>
      <w:pPr>
        <w:ind w:firstLine="420"/>
        <w:spacing w:line="360" w:lineRule="auto"/>
        <w:rPr>
          <w:color w:val="auto"/>
          <w:highlight w:val="none"/>
        </w:rPr>
      </w:pPr>
      <w:r>
        <w:rPr>
          <w:rFonts w:hint="eastAsia"/>
          <w:color w:val="auto"/>
          <w:highlight w:val="none"/>
        </w:rPr>
        <w:t xml:space="preserve">28.4.1 提供虚假材料谋取成交的；</w:t>
      </w:r>
      <w:r/>
    </w:p>
    <w:p>
      <w:pPr>
        <w:ind w:firstLine="420"/>
        <w:spacing w:line="360" w:lineRule="auto"/>
        <w:rPr>
          <w:color w:val="auto"/>
          <w:highlight w:val="none"/>
        </w:rPr>
      </w:pPr>
      <w:r>
        <w:rPr>
          <w:rFonts w:hint="eastAsia"/>
          <w:color w:val="auto"/>
          <w:highlight w:val="none"/>
        </w:rPr>
        <w:t xml:space="preserve">28.4.2 向采购人、代理机构行贿或者提供其他不正当利益的；</w:t>
      </w:r>
      <w:r/>
    </w:p>
    <w:p>
      <w:pPr>
        <w:ind w:firstLine="420"/>
        <w:spacing w:line="360" w:lineRule="auto"/>
        <w:rPr>
          <w:color w:val="auto"/>
          <w:highlight w:val="none"/>
        </w:rPr>
      </w:pPr>
      <w:r>
        <w:rPr>
          <w:rFonts w:hint="eastAsia"/>
          <w:color w:val="auto"/>
          <w:highlight w:val="none"/>
        </w:rPr>
        <w:t xml:space="preserve">28.4.3 恶意竞争，最终总报价明显低于其自身合理成本且又无法提供证明的；</w:t>
      </w:r>
      <w:r/>
    </w:p>
    <w:p>
      <w:pPr>
        <w:ind w:firstLine="420"/>
        <w:spacing w:line="360" w:lineRule="auto"/>
        <w:rPr>
          <w:color w:val="auto"/>
          <w:highlight w:val="none"/>
        </w:rPr>
      </w:pPr>
      <w:r>
        <w:rPr>
          <w:rFonts w:hint="eastAsia"/>
          <w:color w:val="auto"/>
          <w:highlight w:val="none"/>
        </w:rPr>
        <w:t xml:space="preserve">28.4.4 属于本文件规定的无效条件，但在评审过程中又未被磋商小组发现的；</w:t>
      </w:r>
      <w:r/>
    </w:p>
    <w:p>
      <w:pPr>
        <w:ind w:firstLine="420"/>
        <w:spacing w:line="360" w:lineRule="auto"/>
        <w:rPr>
          <w:color w:val="auto"/>
          <w:highlight w:val="none"/>
        </w:rPr>
      </w:pPr>
      <w:r>
        <w:rPr>
          <w:rFonts w:hint="eastAsia"/>
          <w:color w:val="auto"/>
          <w:highlight w:val="none"/>
        </w:rPr>
        <w:t xml:space="preserve">28.4.5 与采购人或者其他供应商恶意串通的；</w:t>
      </w:r>
      <w:r/>
    </w:p>
    <w:p>
      <w:pPr>
        <w:ind w:firstLine="420"/>
        <w:spacing w:line="360" w:lineRule="auto"/>
        <w:rPr>
          <w:color w:val="auto"/>
          <w:highlight w:val="none"/>
        </w:rPr>
      </w:pPr>
      <w:r>
        <w:rPr>
          <w:rFonts w:hint="eastAsia"/>
          <w:color w:val="auto"/>
          <w:highlight w:val="none"/>
        </w:rPr>
        <w:t xml:space="preserve">28.4.6 采取不正当手段诋毁、排挤其他供应商的；</w:t>
      </w:r>
      <w:r/>
    </w:p>
    <w:p>
      <w:pPr>
        <w:ind w:firstLine="420"/>
        <w:spacing w:line="360" w:lineRule="auto"/>
        <w:rPr>
          <w:color w:val="auto"/>
          <w:highlight w:val="none"/>
        </w:rPr>
      </w:pPr>
      <w:r>
        <w:rPr>
          <w:rFonts w:hint="eastAsia"/>
          <w:color w:val="auto"/>
          <w:highlight w:val="none"/>
        </w:rPr>
        <w:t xml:space="preserve">28.4.7 不符合法律、法规的规定的。</w:t>
      </w:r>
      <w:r/>
    </w:p>
    <w:p>
      <w:pPr>
        <w:ind w:firstLine="420"/>
        <w:spacing w:line="360" w:lineRule="auto"/>
        <w:rPr>
          <w:color w:val="auto"/>
          <w:highlight w:val="none"/>
        </w:rPr>
      </w:pPr>
      <w:r>
        <w:rPr>
          <w:rFonts w:hint="eastAsia"/>
          <w:color w:val="auto"/>
          <w:highlight w:val="none"/>
        </w:rPr>
        <w:t xml:space="preserve">29、质疑处理</w:t>
      </w:r>
      <w:r/>
    </w:p>
    <w:p>
      <w:pPr>
        <w:ind w:firstLine="420"/>
        <w:spacing w:line="360" w:lineRule="auto"/>
        <w:rPr>
          <w:color w:val="auto"/>
          <w:highlight w:val="none"/>
        </w:rPr>
      </w:pPr>
      <w:r>
        <w:rPr>
          <w:rFonts w:hint="eastAsia"/>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color w:val="auto"/>
          <w:highlight w:val="none"/>
        </w:rPr>
      </w:pPr>
      <w:r>
        <w:rPr>
          <w:rFonts w:hint="eastAsia"/>
          <w:color w:val="auto"/>
          <w:highlight w:val="none"/>
        </w:rPr>
        <w:t xml:space="preserve">对项目需求部分的质疑，潜在供应商应向采购人提出，由采购人负责答复。</w:t>
      </w:r>
      <w:r/>
    </w:p>
    <w:p>
      <w:pPr>
        <w:ind w:firstLine="420"/>
        <w:spacing w:line="360" w:lineRule="auto"/>
        <w:rPr>
          <w:color w:val="auto"/>
          <w:highlight w:val="none"/>
        </w:rPr>
      </w:pPr>
      <w:r>
        <w:rPr>
          <w:rFonts w:hint="eastAsia"/>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auto"/>
          <w:highlight w:val="none"/>
        </w:rPr>
      </w:pPr>
      <w:r>
        <w:rPr>
          <w:rFonts w:hint="eastAsia"/>
          <w:color w:val="auto"/>
          <w:highlight w:val="none"/>
        </w:rPr>
        <w:t xml:space="preserve">29.2.1对采购文件提出质疑的，应当在获取采购文件之日或者采购文件公告期限届满之日起7个工作日内提出。</w:t>
      </w:r>
      <w:r/>
    </w:p>
    <w:p>
      <w:pPr>
        <w:ind w:firstLine="420"/>
        <w:spacing w:line="360" w:lineRule="auto"/>
        <w:rPr>
          <w:color w:val="auto"/>
          <w:highlight w:val="none"/>
        </w:rPr>
      </w:pPr>
      <w:r>
        <w:rPr>
          <w:rFonts w:hint="eastAsia"/>
          <w:color w:val="auto"/>
          <w:highlight w:val="none"/>
        </w:rPr>
        <w:t xml:space="preserve">29.2.2对采购过程提出质疑的，为各采购程序环节结束之日起7个工作日内提出。</w:t>
      </w:r>
      <w:r/>
    </w:p>
    <w:p>
      <w:pPr>
        <w:ind w:firstLine="420"/>
        <w:spacing w:line="360" w:lineRule="auto"/>
        <w:rPr>
          <w:color w:val="auto"/>
          <w:highlight w:val="none"/>
        </w:rPr>
      </w:pPr>
      <w:r>
        <w:rPr>
          <w:rFonts w:hint="eastAsia"/>
          <w:color w:val="auto"/>
          <w:highlight w:val="none"/>
        </w:rPr>
        <w:t xml:space="preserve">29.2.3对成交结果提出质疑的，为成交结果公告期限届满之日起7个工作日内提出。</w:t>
      </w:r>
      <w:r/>
    </w:p>
    <w:p>
      <w:pPr>
        <w:ind w:firstLine="420"/>
        <w:spacing w:line="360" w:lineRule="auto"/>
        <w:rPr>
          <w:color w:val="auto"/>
          <w:highlight w:val="none"/>
        </w:rPr>
      </w:pPr>
      <w:r>
        <w:rPr>
          <w:rFonts w:hint="eastAsia"/>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auto"/>
          <w:highlight w:val="none"/>
        </w:rPr>
      </w:pPr>
      <w:r>
        <w:rPr>
          <w:rFonts w:hint="eastAsia"/>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auto"/>
          <w:highlight w:val="none"/>
        </w:rPr>
      </w:pPr>
      <w:r>
        <w:rPr>
          <w:rFonts w:hint="eastAsia"/>
          <w:color w:val="auto"/>
          <w:highlight w:val="none"/>
        </w:rPr>
        <w:t xml:space="preserve">29.5 代理机构及采购人只接收以纸质原件形式送达的质疑。</w:t>
      </w:r>
      <w:r>
        <w:rPr>
          <w:rFonts w:hint="eastAsia"/>
          <w:b/>
          <w:color w:val="auto"/>
          <w:szCs w:val="21"/>
          <w:highlight w:val="none"/>
          <w:u w:val="single"/>
        </w:rPr>
        <w:t xml:space="preserve">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spacing w:line="360" w:lineRule="auto"/>
        <w:rPr>
          <w:color w:val="auto"/>
          <w:highlight w:val="none"/>
        </w:rPr>
      </w:pPr>
      <w:r>
        <w:rPr>
          <w:rFonts w:hint="eastAsia"/>
          <w:color w:val="auto"/>
          <w:highlight w:val="none"/>
        </w:rPr>
        <w:t xml:space="preserve">采购人质疑接收人及联系方式见采购文件第一章。</w:t>
      </w:r>
      <w:r/>
    </w:p>
    <w:p>
      <w:pPr>
        <w:ind w:firstLine="420"/>
        <w:spacing w:line="360" w:lineRule="auto"/>
        <w:rPr>
          <w:color w:val="auto"/>
          <w:highlight w:val="none"/>
        </w:rPr>
      </w:pPr>
      <w:r>
        <w:rPr>
          <w:rFonts w:hint="eastAsia"/>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color w:val="auto"/>
          <w:highlight w:val="none"/>
        </w:rPr>
      </w:pPr>
      <w:r>
        <w:rPr>
          <w:rFonts w:hint="eastAsia"/>
          <w:color w:val="auto"/>
          <w:highlight w:val="none"/>
        </w:rPr>
        <w:t xml:space="preserve">29.7质疑人应当在法定质疑期限内进行补正并重新提交质疑函。</w:t>
      </w:r>
      <w:r/>
    </w:p>
    <w:p>
      <w:pPr>
        <w:ind w:firstLine="420"/>
        <w:spacing w:line="360" w:lineRule="auto"/>
        <w:rPr>
          <w:color w:val="auto"/>
          <w:highlight w:val="none"/>
        </w:rPr>
      </w:pPr>
      <w:r>
        <w:rPr>
          <w:rFonts w:hint="eastAsia"/>
          <w:color w:val="auto"/>
          <w:highlight w:val="none"/>
        </w:rPr>
        <w:t xml:space="preserve">29.8 以下情形的质疑不予受理</w:t>
      </w:r>
      <w:r/>
    </w:p>
    <w:p>
      <w:pPr>
        <w:ind w:firstLine="420"/>
        <w:spacing w:line="360" w:lineRule="auto"/>
        <w:rPr>
          <w:color w:val="auto"/>
          <w:highlight w:val="none"/>
        </w:rPr>
      </w:pPr>
      <w:r>
        <w:rPr>
          <w:rFonts w:hint="eastAsia"/>
          <w:color w:val="auto"/>
          <w:highlight w:val="none"/>
        </w:rPr>
        <w:t xml:space="preserve">29.8.1 内容不符合《政府采购质疑和投诉办法》第十二条规定的质疑。</w:t>
      </w:r>
      <w:r/>
    </w:p>
    <w:p>
      <w:pPr>
        <w:ind w:firstLine="420"/>
        <w:spacing w:line="360" w:lineRule="auto"/>
        <w:rPr>
          <w:color w:val="auto"/>
          <w:highlight w:val="none"/>
        </w:rPr>
      </w:pPr>
      <w:r>
        <w:rPr>
          <w:rFonts w:hint="eastAsia"/>
          <w:color w:val="auto"/>
          <w:highlight w:val="none"/>
        </w:rPr>
        <w:t xml:space="preserve">29.8.2 超出政府采购法定期限的质疑。</w:t>
      </w:r>
      <w:r/>
    </w:p>
    <w:p>
      <w:pPr>
        <w:ind w:firstLine="420"/>
        <w:spacing w:line="360" w:lineRule="auto"/>
        <w:rPr>
          <w:color w:val="auto"/>
          <w:highlight w:val="none"/>
        </w:rPr>
      </w:pPr>
      <w:r>
        <w:rPr>
          <w:rFonts w:hint="eastAsia"/>
          <w:color w:val="auto"/>
          <w:highlight w:val="none"/>
        </w:rPr>
        <w:t xml:space="preserve">29.8.3 以传真、电子邮件等方式递交的非原件形式的质疑。</w:t>
      </w:r>
      <w:r/>
    </w:p>
    <w:p>
      <w:pPr>
        <w:ind w:firstLine="420"/>
        <w:spacing w:line="360" w:lineRule="auto"/>
        <w:rPr>
          <w:color w:val="auto"/>
          <w:highlight w:val="none"/>
        </w:rPr>
      </w:pPr>
      <w:r>
        <w:rPr>
          <w:rFonts w:hint="eastAsia"/>
          <w:color w:val="auto"/>
          <w:highlight w:val="none"/>
        </w:rPr>
        <w:t xml:space="preserve">29.8.4 未参加磋商活动的供应商或在磋商活动中自身权益未受到损害的供应商所提出的质疑。</w:t>
      </w:r>
      <w:r/>
    </w:p>
    <w:p>
      <w:pPr>
        <w:ind w:firstLine="420"/>
        <w:spacing w:line="360" w:lineRule="auto"/>
        <w:rPr>
          <w:color w:val="auto"/>
          <w:highlight w:val="none"/>
        </w:rPr>
      </w:pPr>
      <w:r>
        <w:rPr>
          <w:rFonts w:hint="eastAsia"/>
          <w:color w:val="auto"/>
          <w:highlight w:val="none"/>
        </w:rPr>
        <w:t xml:space="preserve">29.8.5供应商组成联合体参加磋商，联合体中任何一方或多方未按要求签字、盖章、加盖公章的质疑。</w:t>
      </w:r>
      <w:r/>
    </w:p>
    <w:p>
      <w:pPr>
        <w:ind w:firstLine="420"/>
        <w:spacing w:line="360" w:lineRule="auto"/>
        <w:rPr>
          <w:color w:val="auto"/>
          <w:highlight w:val="none"/>
        </w:rPr>
      </w:pPr>
      <w:r>
        <w:rPr>
          <w:rFonts w:hint="eastAsia"/>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color w:val="auto"/>
          <w:highlight w:val="none"/>
        </w:rPr>
      </w:pPr>
      <w:r>
        <w:rPr>
          <w:rFonts w:hint="eastAsia"/>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color w:val="auto"/>
          <w:highlight w:val="none"/>
        </w:rPr>
      </w:pPr>
      <w:r>
        <w:rPr>
          <w:rFonts w:hint="eastAsia"/>
          <w:color w:val="auto"/>
          <w:highlight w:val="none"/>
        </w:rPr>
        <w:t xml:space="preserve">30、成交通知书</w:t>
      </w:r>
      <w:r/>
    </w:p>
    <w:p>
      <w:pPr>
        <w:ind w:firstLine="420"/>
        <w:spacing w:line="360" w:lineRule="auto"/>
        <w:rPr>
          <w:color w:val="auto"/>
          <w:highlight w:val="none"/>
        </w:rPr>
      </w:pPr>
      <w:r>
        <w:rPr>
          <w:rFonts w:hint="eastAsia"/>
          <w:color w:val="auto"/>
          <w:highlight w:val="none"/>
        </w:rPr>
        <w:t xml:space="preserve">30.l成交结果确定后，代理机构将向成交供应商发出成通知书。</w:t>
      </w:r>
      <w:r/>
    </w:p>
    <w:p>
      <w:pPr>
        <w:ind w:firstLine="420"/>
        <w:spacing w:line="360" w:lineRule="auto"/>
        <w:rPr>
          <w:color w:val="auto"/>
          <w:highlight w:val="none"/>
        </w:rPr>
      </w:pPr>
      <w:r>
        <w:rPr>
          <w:rFonts w:hint="eastAsia"/>
          <w:color w:val="auto"/>
          <w:highlight w:val="none"/>
        </w:rPr>
        <w:t xml:space="preserve">30.2 成交供应商可在“政府采购交易管理系统（苏采云）”成交通知书下载模块中自行下载成交通知书。</w:t>
      </w:r>
      <w:r/>
    </w:p>
    <w:p>
      <w:pPr>
        <w:ind w:firstLine="420"/>
        <w:spacing w:line="360" w:lineRule="auto"/>
        <w:rPr>
          <w:color w:val="auto"/>
          <w:highlight w:val="none"/>
        </w:rPr>
      </w:pPr>
      <w:r>
        <w:rPr>
          <w:rFonts w:hint="eastAsia"/>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color w:val="auto"/>
          <w:highlight w:val="none"/>
        </w:rPr>
      </w:pPr>
      <w:r>
        <w:rPr>
          <w:rFonts w:hint="eastAsia"/>
          <w:color w:val="auto"/>
          <w:highlight w:val="none"/>
        </w:rPr>
        <w:t xml:space="preserve">31、签订合同</w:t>
      </w:r>
      <w:r/>
    </w:p>
    <w:p>
      <w:pPr>
        <w:ind w:firstLine="420"/>
        <w:spacing w:line="360" w:lineRule="auto"/>
        <w:rPr>
          <w:color w:val="auto"/>
          <w:highlight w:val="none"/>
        </w:rPr>
      </w:pPr>
      <w:r>
        <w:rPr>
          <w:rFonts w:hint="eastAsia"/>
          <w:color w:val="auto"/>
          <w:highlight w:val="none"/>
        </w:rPr>
        <w:t xml:space="preserve">31.l成交供应商应在成交通知书发出之日起三十日内，按照采购文件确定的事项与采购人签订政府采购合同。</w:t>
      </w:r>
      <w:r/>
    </w:p>
    <w:p>
      <w:pPr>
        <w:ind w:firstLine="420"/>
        <w:spacing w:line="360" w:lineRule="auto"/>
        <w:rPr>
          <w:color w:val="auto"/>
          <w:highlight w:val="none"/>
        </w:rPr>
      </w:pPr>
      <w:r>
        <w:rPr>
          <w:rFonts w:hint="eastAsia"/>
          <w:color w:val="auto"/>
          <w:highlight w:val="none"/>
        </w:rPr>
        <w:t xml:space="preserve">31.2采购文件、成交供应商的响应文件及磋商过程中有关澄清、承诺文件均应作为合同附件。</w:t>
      </w:r>
      <w:r/>
    </w:p>
    <w:p>
      <w:pPr>
        <w:ind w:firstLine="420"/>
        <w:spacing w:line="360" w:lineRule="auto"/>
        <w:rPr>
          <w:color w:val="auto"/>
          <w:highlight w:val="none"/>
        </w:rPr>
      </w:pPr>
      <w:r>
        <w:rPr>
          <w:rFonts w:hint="eastAsia" w:ascii="宋体" w:hAnsi="宋体"/>
          <w:bCs/>
          <w:color w:val="auto"/>
          <w:szCs w:val="21"/>
          <w:highlight w:val="none"/>
        </w:rPr>
        <w:t xml:space="preserve">31.3 合同在“政府采购管理交易系统（苏采云）”中签订，签订合同后，</w:t>
      </w:r>
      <w:r>
        <w:rPr>
          <w:rFonts w:hint="eastAsia" w:ascii="宋体" w:hAnsi="宋体"/>
          <w:bCs/>
          <w:i/>
          <w:iCs/>
          <w:color w:val="auto"/>
          <w:szCs w:val="21"/>
          <w:highlight w:val="none"/>
          <w:u w:val="single"/>
        </w:rPr>
        <w:t xml:space="preserve">成交供应商不得将货物或服务（工程）及其他服务（工程）进行转包</w:t>
      </w:r>
      <w:r>
        <w:rPr>
          <w:rFonts w:hint="eastAsia" w:ascii="宋体" w:hAnsi="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color w:val="auto"/>
          <w:highlight w:val="none"/>
        </w:rPr>
      </w:pPr>
      <w:r>
        <w:rPr>
          <w:rFonts w:hint="eastAsia"/>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color w:val="auto"/>
          <w:highlight w:val="none"/>
        </w:rPr>
      </w:pPr>
      <w:r>
        <w:rPr>
          <w:rFonts w:hint="eastAsia"/>
          <w:b/>
          <w:bCs/>
          <w:color w:val="auto"/>
          <w:highlight w:val="none"/>
        </w:rPr>
        <w:t xml:space="preserve">32、其他</w:t>
      </w:r>
      <w:r/>
    </w:p>
    <w:p>
      <w:pPr>
        <w:ind w:firstLine="420"/>
        <w:spacing w:line="360" w:lineRule="auto"/>
        <w:rPr>
          <w:color w:val="auto"/>
          <w:highlight w:val="none"/>
        </w:rPr>
      </w:pPr>
      <w:r>
        <w:rPr>
          <w:color w:val="auto"/>
          <w:highlight w:val="none"/>
        </w:rPr>
        <w:t xml:space="preserve">3</w:t>
      </w:r>
      <w:r>
        <w:rPr>
          <w:rFonts w:hint="eastAsia"/>
          <w:color w:val="auto"/>
          <w:highlight w:val="none"/>
        </w:rPr>
        <w:t xml:space="preserve">2</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color w:val="auto"/>
          <w:highlight w:val="none"/>
        </w:rPr>
      </w:pPr>
      <w:r>
        <w:rPr>
          <w:color w:val="auto"/>
          <w:highlight w:val="none"/>
        </w:rPr>
        <w:br w:type="page" w:clear="all"/>
      </w:r>
      <w:r/>
    </w:p>
    <w:p>
      <w:pPr>
        <w:pStyle w:val="758"/>
        <w:ind w:firstLine="883"/>
        <w:jc w:val="center"/>
        <w:spacing w:before="0" w:after="0"/>
        <w:rPr>
          <w:color w:val="auto"/>
          <w:highlight w:val="none"/>
        </w:rPr>
      </w:pPr>
      <w:r/>
      <w:bookmarkStart w:id="21" w:name="_Toc109304973"/>
      <w:r>
        <w:rPr>
          <w:rFonts w:hint="eastAsia"/>
          <w:color w:val="auto"/>
          <w:highlight w:val="none"/>
        </w:rPr>
        <w:t xml:space="preserve">第三章 合同条款及格式</w:t>
      </w:r>
      <w:bookmarkEnd w:id="21"/>
      <w:r/>
      <w:r/>
    </w:p>
    <w:p>
      <w:pPr>
        <w:pStyle w:val="780"/>
        <w:ind w:firstLine="400"/>
        <w:spacing w:before="120" w:after="120" w:line="360" w:lineRule="auto"/>
        <w:rPr>
          <w:rFonts w:hint="eastAsia" w:hAnsi="宋体"/>
          <w:color w:val="auto"/>
          <w:highlight w:val="none"/>
        </w:rPr>
      </w:pPr>
      <w:r/>
      <w:bookmarkStart w:id="22" w:name="_Toc109304974"/>
      <w:r>
        <w:rPr>
          <w:rFonts w:hint="eastAsia" w:hAnsi="宋体"/>
          <w:color w:val="auto"/>
          <w:highlight w:val="none"/>
        </w:rPr>
        <w:t xml:space="preserve">以下为成交后签定本项目合同的通用条款，成交供应商不得提出实质性的修改，关于专用条款将由采购人与成交供应商结合本项目具体情况协商后签订。</w:t>
      </w:r>
      <w:r/>
    </w:p>
    <w:p>
      <w:pPr>
        <w:rPr>
          <w:color w:val="auto"/>
          <w:highlight w:val="none"/>
        </w:rPr>
      </w:pPr>
      <w:r>
        <w:rPr>
          <w:color w:val="auto"/>
          <w:highlight w:val="none"/>
        </w:rPr>
      </w:r>
      <w:r/>
    </w:p>
    <w:p>
      <w:pPr>
        <w:pStyle w:val="987"/>
        <w:ind w:firstLine="422"/>
        <w:jc w:val="center"/>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扬州市政府采购合同（服务）（合同编号）</w:t>
      </w:r>
      <w:r/>
    </w:p>
    <w:p>
      <w:pPr>
        <w:pStyle w:val="987"/>
        <w:ind w:firstLine="420"/>
        <w:spacing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u w:val="single"/>
          <w:lang w:eastAsia="zh-CN"/>
        </w:rPr>
        <w:t xml:space="preserve">扬州市2025年智慧图书馆体系资源建设项目（二次）</w:t>
      </w:r>
      <w:r/>
    </w:p>
    <w:p>
      <w:pPr>
        <w:pStyle w:val="987"/>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u w:val="single"/>
          <w:lang w:eastAsia="zh-CN"/>
        </w:rPr>
        <w:t xml:space="preserve">JSZC-321000-SWGC-C2026-0039</w:t>
      </w:r>
      <w:r>
        <w:rPr>
          <w:rFonts w:hint="eastAsia" w:hAnsi="宋体" w:cs="宋体"/>
          <w:color w:val="auto"/>
          <w:sz w:val="21"/>
          <w:szCs w:val="21"/>
          <w:highlight w:val="none"/>
          <w:u w:val="single"/>
        </w:rPr>
        <w:t xml:space="preserve">号</w:t>
      </w:r>
      <w:r/>
    </w:p>
    <w:p>
      <w:pPr>
        <w:pStyle w:val="987"/>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甲方：（买方）</w:t>
      </w:r>
      <w:r>
        <w:rPr>
          <w:rFonts w:hint="eastAsia" w:hAnsi="宋体" w:cs="宋体"/>
          <w:color w:val="auto"/>
          <w:sz w:val="21"/>
          <w:szCs w:val="21"/>
          <w:highlight w:val="none"/>
          <w:u w:val="single"/>
        </w:rPr>
        <w:t xml:space="preserve">扬州市图书馆</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乙方：（卖方）</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甲、乙双方根据江苏苏维工程管理有限公司组织</w:t>
      </w:r>
      <w:r>
        <w:rPr>
          <w:rFonts w:hint="eastAsia" w:hAnsi="宋体" w:cs="宋体"/>
          <w:color w:val="auto"/>
          <w:sz w:val="21"/>
          <w:szCs w:val="21"/>
          <w:highlight w:val="none"/>
          <w:u w:val="single"/>
          <w:lang w:eastAsia="zh-CN"/>
        </w:rPr>
        <w:t xml:space="preserve">扬州市2025年智慧图书馆体系资源建设项目（二次）</w:t>
      </w:r>
      <w:r>
        <w:rPr>
          <w:rFonts w:hint="eastAsia" w:hAnsi="宋体" w:cs="宋体"/>
          <w:color w:val="auto"/>
          <w:sz w:val="21"/>
          <w:szCs w:val="21"/>
          <w:highlight w:val="none"/>
        </w:rPr>
        <w:t xml:space="preserve">竞争性磋商的结果，签署本合同。</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一、服务及产品内容</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1.1 项目（产品）名称：</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1.2 项目服务内容：</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二、合同金额</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2.1 本合同金额为（大写）：__________圆（_________元）人民币。</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三、技术资料</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3.1乙方应按采购文件规定的时间向甲方提供使用服务或产品的有关技术资料。</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四、知识产权</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五、产权担保</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5.1 乙方保证所交付的服务或产品的所有权完全属于乙方且无任何抵押、查封等产权瑕疵。</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六、履约保证金</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6.3 履约保证收取：</w:t>
      </w:r>
      <w:r>
        <w:rPr>
          <w:rFonts w:hint="eastAsia" w:hAnsi="宋体" w:cs="宋体"/>
          <w:color w:val="auto"/>
          <w:sz w:val="21"/>
          <w:szCs w:val="21"/>
          <w:highlight w:val="none"/>
          <w:u w:val="single"/>
        </w:rPr>
        <w:t xml:space="preserve">无</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七、转包或分包</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7.1本合同范围的服务或产品，应由乙方直接供应，不得转让他人供应；</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7.2 除非得到甲方的书面同意，乙方不得部分分包给他人供应。</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7.3如有转让和未经甲方同意的分包行为，甲方有权给予终止合同。</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八、服务期</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8.1 服务期：</w:t>
      </w:r>
      <w:r>
        <w:rPr>
          <w:rFonts w:hint="eastAsia" w:hAnsi="宋体" w:cs="宋体"/>
          <w:bCs/>
          <w:color w:val="auto"/>
          <w:sz w:val="21"/>
          <w:szCs w:val="24"/>
          <w:highlight w:val="none"/>
          <w:u w:val="single"/>
        </w:rPr>
        <w:t xml:space="preserve">自合同签订日起80个工作日内完成</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九、交付方式及交付地点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  交付方式：甲方指定方式</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9.2 交付地点：甲方指定地点 </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十、合同款支付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本合同项下的采购资金由甲方支付，付款前乙方向甲方开具正规发票。</w:t>
      </w:r>
      <w:r/>
    </w:p>
    <w:p>
      <w:pPr>
        <w:ind w:firstLine="420"/>
        <w:spacing w:line="360" w:lineRule="auto"/>
        <w:rPr>
          <w:rFonts w:hint="eastAsia" w:ascii="宋体" w:hAnsi="宋体" w:cs="宋体"/>
          <w:strike/>
          <w:color w:val="auto"/>
          <w:szCs w:val="21"/>
          <w:highlight w:val="none"/>
        </w:rPr>
      </w:pPr>
      <w:r>
        <w:rPr>
          <w:rFonts w:hint="eastAsia" w:ascii="宋体" w:hAnsi="宋体" w:cs="宋体"/>
          <w:color w:val="auto"/>
          <w:szCs w:val="21"/>
          <w:highlight w:val="none"/>
        </w:rPr>
        <w:t xml:space="preserve">10.3 付款方式：</w:t>
      </w:r>
      <w:r>
        <w:rPr>
          <w:rFonts w:hint="eastAsia" w:ascii="宋体" w:hAnsi="宋体" w:cs="宋体"/>
          <w:bCs/>
          <w:color w:val="auto"/>
          <w:szCs w:val="24"/>
          <w:highlight w:val="none"/>
          <w:u w:val="single"/>
        </w:rPr>
        <w:t xml:space="preserve">合同签订后，甲方在收到发票后10个工作日内，向乙方支付30%合同款；筒子叶扫描结束后，甲方在收到发票后10个工作日内，向乙方支付5</w:t>
      </w:r>
      <w:r>
        <w:rPr>
          <w:rFonts w:hint="eastAsia" w:ascii="宋体" w:hAnsi="宋体" w:cs="宋体"/>
          <w:bCs/>
          <w:color w:val="auto"/>
          <w:szCs w:val="24"/>
          <w:highlight w:val="none"/>
          <w:u w:val="single"/>
          <w:lang w:val="en-US" w:eastAsia="zh-CN"/>
        </w:rPr>
        <w:t xml:space="preserve">5</w:t>
      </w:r>
      <w:r>
        <w:rPr>
          <w:rFonts w:hint="eastAsia" w:ascii="宋体" w:hAnsi="宋体" w:cs="宋体"/>
          <w:bCs/>
          <w:color w:val="auto"/>
          <w:szCs w:val="24"/>
          <w:highlight w:val="none"/>
          <w:u w:val="single"/>
        </w:rPr>
        <w:t xml:space="preserve">%合同款；所有项目内容通过终验合格后，甲方向乙方支付剩余</w:t>
      </w:r>
      <w:r>
        <w:rPr>
          <w:rFonts w:hint="eastAsia" w:ascii="宋体" w:hAnsi="宋体" w:cs="宋体"/>
          <w:bCs/>
          <w:color w:val="auto"/>
          <w:szCs w:val="24"/>
          <w:highlight w:val="none"/>
          <w:u w:val="single"/>
          <w:lang w:val="en-US" w:eastAsia="zh-CN"/>
        </w:rPr>
        <w:t xml:space="preserve">15</w:t>
      </w:r>
      <w:r>
        <w:rPr>
          <w:rFonts w:hint="eastAsia" w:ascii="宋体" w:hAnsi="宋体" w:cs="宋体"/>
          <w:bCs/>
          <w:color w:val="auto"/>
          <w:szCs w:val="24"/>
          <w:highlight w:val="none"/>
          <w:u w:val="single"/>
        </w:rPr>
        <w:t xml:space="preserve">%合同款。</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十一、税费</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11.1本合同执行中相关的一切税费均由乙方负担。</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十二、质量保证及售后服务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乙方应按磋商文件规定及响应文件承诺的技术性能、技术要求、质量标准向甲方提供服务；若无特殊说明，则按国家有关部门最新颁布的标准及规范为准。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12.2乙方应保证其提供的服务是全面和规范的，并完全符合磋商、响应文件。如因乙方提供的服务有瑕疵造成甲方损失的，所需费用由乙方承担。</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12.3 如在使用过程中发生质量问题，乙方在接到甲方通知后在___小时内到达甲方现场。</w:t>
      </w:r>
      <w:r/>
    </w:p>
    <w:p>
      <w:pPr>
        <w:pStyle w:val="780"/>
        <w:ind w:firstLine="422"/>
        <w:spacing w:before="120" w:after="120"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十三、交付和验收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乙方应当在合同签订后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天内完成服务事项，招标文件有约定的，从其约定。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验收标准：按乙方投标文件的承诺，并不低于国家相关标准。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对于乙方要交付的服务，甲乙双方须在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 乙方按照磋商文件要求负责安装并培训甲方的使用操作人员，乙方在甲方使用前进行调试，调试直到符合技术要求的甲方才做最终验收。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13.5 甲乙双方关于调试和验收的其他约定：</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十四、服务或产品包装、发运及运输</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14.1 乙方应对其提供的服务所涉及物品在发运前对其进行满足运输距离、防潮、防震、防锈和防破损装卸等要求包装，以保证安全运达甲方指定地点。</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14.2 乙方交付时，使用说明书、检验证明书、随配附件和工具以及清单一并附于内。</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14.4 服务在交付甲方前发生的风险均由乙方负责。</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14.5 服务在规定的交付期限内由乙方送达甲方指定的地点。</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十五、违约责任</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15.1 甲方无正当理由拒收服务的，甲方向乙方偿付拒收款项总值的百分之五违约金。</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15.2 甲方无故逾期验收和办理款项支付手续的,甲方应按逾期付款总额每日万分之五向乙方支付违约金。</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十六、不可抗力事件处理</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16.2 不可抗力事件发生后，应立即通知对方，并寄送有关权威机构出具的证明。</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16.3 不可抗力事件延续120天以上，双方应通过友好协商，确定是否继续履行合同。</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十七、诉讼</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color w:val="auto"/>
          <w:szCs w:val="21"/>
          <w:highlight w:val="none"/>
        </w:rPr>
        <w:t xml:space="preserve">为落实好政府采购履约资金扶持政策，乙方可凭政府采购合同办理融资贷款，详见江苏政府采购网“政采贷”专栏。</w:t>
      </w:r>
      <w:r/>
    </w:p>
    <w:p>
      <w:pPr>
        <w:pStyle w:val="987"/>
        <w:ind w:firstLine="422"/>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十九、合同生效及其它</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19.1 合同经双方法定代表人签章并加盖单位公章后生效。</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19.2本合同未尽事宜，遵照《民法典》有关条文执行。</w:t>
      </w:r>
      <w:r/>
    </w:p>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19.3 本合同正本一式</w:t>
      </w:r>
      <w:r>
        <w:rPr>
          <w:rFonts w:hint="eastAsia" w:hAnsi="宋体" w:cs="宋体"/>
          <w:color w:val="auto"/>
          <w:sz w:val="21"/>
          <w:szCs w:val="21"/>
          <w:highlight w:val="none"/>
          <w:lang w:val="en-US" w:eastAsia="zh-CN"/>
        </w:rPr>
        <w:t xml:space="preserve">肆</w:t>
      </w:r>
      <w:r>
        <w:rPr>
          <w:rFonts w:hint="eastAsia" w:hAnsi="宋体" w:cs="宋体"/>
          <w:color w:val="auto"/>
          <w:sz w:val="21"/>
          <w:szCs w:val="21"/>
          <w:highlight w:val="none"/>
        </w:rPr>
        <w:t xml:space="preserve">份，具有同等法律效力，甲方、乙方各执二份。</w:t>
      </w:r>
      <w:r/>
    </w:p>
    <w:p>
      <w:pPr>
        <w:pStyle w:val="780"/>
        <w:ind w:firstLine="420"/>
        <w:spacing w:before="120" w:after="120" w:line="360" w:lineRule="auto"/>
        <w:rPr>
          <w:rFonts w:hint="eastAsia" w:hAnsi="宋体"/>
          <w:color w:val="auto"/>
          <w:sz w:val="21"/>
          <w:highlight w:val="none"/>
        </w:rPr>
      </w:pPr>
      <w:r>
        <w:rPr>
          <w:rFonts w:hint="eastAsia" w:hAnsi="宋体" w:cs="宋体"/>
          <w:color w:val="auto"/>
          <w:sz w:val="21"/>
          <w:szCs w:val="21"/>
          <w:highlight w:val="none"/>
        </w:rPr>
        <w:t xml:space="preserve">  </w:t>
      </w:r>
      <w:r/>
    </w:p>
    <w:tbl>
      <w:tblPr>
        <w:tblStyle w:val="768"/>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甲方： 扬州市图书馆</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8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w:t>
            </w:r>
            <w:r/>
          </w:p>
        </w:tc>
      </w:tr>
    </w:tbl>
    <w:p>
      <w:pPr>
        <w:pStyle w:val="98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973"/>
        <w:ind w:firstLine="883"/>
        <w:jc w:val="center"/>
        <w:spacing w:before="0" w:after="0" w:line="360" w:lineRule="auto"/>
        <w:rPr>
          <w:color w:val="auto"/>
          <w:highlight w:val="none"/>
        </w:rPr>
      </w:pPr>
      <w:r>
        <w:rPr>
          <w:rFonts w:hint="eastAsia"/>
          <w:color w:val="auto"/>
          <w:highlight w:val="none"/>
        </w:rPr>
        <w:br w:type="page" w:clear="all"/>
      </w:r>
      <w:r>
        <w:rPr>
          <w:rStyle w:val="845"/>
          <w:rFonts w:hint="eastAsia"/>
          <w:b/>
          <w:color w:val="auto"/>
          <w:highlight w:val="none"/>
        </w:rPr>
        <w:t xml:space="preserve">第四章 项目需求</w:t>
      </w:r>
      <w:bookmarkEnd w:id="22"/>
      <w:r/>
      <w:r/>
    </w:p>
    <w:p>
      <w:pPr>
        <w:ind w:firstLine="422"/>
        <w:spacing w:line="360" w:lineRule="auto"/>
        <w:rPr>
          <w:b/>
          <w:bCs/>
          <w:color w:val="auto"/>
          <w:highlight w:val="none"/>
        </w:rPr>
      </w:pPr>
      <w:r>
        <w:rPr>
          <w:rFonts w:hint="eastAsia"/>
          <w:b/>
          <w:bCs/>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pStyle w:val="776"/>
        <w:ind w:left="0"/>
        <w:spacing w:after="0" w:line="360" w:lineRule="auto"/>
        <w:rPr>
          <w:rFonts w:hint="eastAsia" w:ascii="宋体" w:hAnsi="宋体" w:eastAsia="宋体" w:cs="宋体"/>
          <w:color w:val="auto"/>
          <w:highlight w:val="none"/>
        </w:rPr>
      </w:pPr>
      <w:r>
        <w:rPr>
          <w:rFonts w:hint="eastAsia" w:ascii="宋体" w:hAnsi="宋体" w:eastAsia="宋体" w:cs="宋体"/>
          <w:iCs/>
          <w:color w:val="auto"/>
          <w:szCs w:val="21"/>
          <w:highlight w:val="none"/>
        </w:rPr>
        <w:t xml:space="preserve">本次拟采购的产品如属于《节能产品政府采购品目清单》中强制采购范围内产品，各供应商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iCs/>
          <w:color w:val="auto"/>
          <w:szCs w:val="21"/>
          <w:highlight w:val="none"/>
          <w:u w:val="single"/>
        </w:rPr>
        <w:t xml:space="preserve">并在投标文件内提供由国家确定的认证机构出具的、处于有效期之内的节能产品认证证书原件，扫描上传，否则视为无效响应。</w:t>
      </w:r>
      <w:r>
        <w:rPr>
          <w:rFonts w:hint="eastAsia" w:ascii="宋体" w:hAnsi="宋体" w:eastAsia="宋体" w:cs="宋体"/>
          <w:b/>
          <w:bCs/>
          <w:i/>
          <w:iCs/>
          <w:color w:val="auto"/>
          <w:szCs w:val="21"/>
          <w:highlight w:val="none"/>
          <w:u w:val="single"/>
        </w:rPr>
        <w:t xml:space="preserve">（本项目涉及强制采购范围内产品有：无）</w:t>
      </w:r>
      <w:r/>
    </w:p>
    <w:p>
      <w:pPr>
        <w:ind w:firstLine="422"/>
        <w:spacing w:line="360" w:lineRule="auto"/>
        <w:rPr>
          <w:rFonts w:hint="eastAsia" w:ascii="宋体" w:hAnsi="宋体"/>
          <w:b/>
          <w:bCs/>
          <w:color w:val="auto"/>
          <w:sz w:val="21"/>
          <w:szCs w:val="21"/>
          <w:highlight w:val="none"/>
        </w:rPr>
      </w:pPr>
      <w:r/>
      <w:bookmarkStart w:id="23" w:name="_Toc8952"/>
      <w:r/>
      <w:bookmarkStart w:id="24" w:name="_Toc109304975"/>
      <w:r>
        <w:rPr>
          <w:rFonts w:hint="eastAsia" w:ascii="宋体" w:hAnsi="宋体"/>
          <w:b/>
          <w:bCs/>
          <w:color w:val="auto"/>
          <w:sz w:val="21"/>
          <w:szCs w:val="21"/>
          <w:highlight w:val="none"/>
        </w:rPr>
        <w:t xml:space="preserve">项目属性:</w:t>
      </w:r>
      <w:r>
        <w:rPr>
          <w:rFonts w:hint="eastAsia" w:ascii="宋体" w:hAnsi="宋体"/>
          <w:b/>
          <w:bCs/>
          <w:color w:val="auto"/>
          <w:sz w:val="21"/>
          <w:szCs w:val="21"/>
          <w:highlight w:val="none"/>
          <w:lang w:val="en-US" w:eastAsia="zh-CN"/>
        </w:rPr>
        <w:t xml:space="preserve">服务</w:t>
      </w:r>
      <w:r>
        <w:rPr>
          <w:rFonts w:hint="eastAsia" w:ascii="宋体" w:hAnsi="宋体"/>
          <w:b/>
          <w:bCs/>
          <w:color w:val="auto"/>
          <w:sz w:val="21"/>
          <w:szCs w:val="21"/>
          <w:highlight w:val="none"/>
        </w:rPr>
        <w:t xml:space="preserve">类项目</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Times New Roman" w:hAnsi="Times New Roman" w:cs="宋体"/>
          <w:b/>
          <w:bCs/>
          <w:color w:val="auto"/>
          <w:szCs w:val="21"/>
          <w:highlight w:val="none"/>
          <w:lang w:val="en-US" w:eastAsia="zh-CN"/>
        </w:rPr>
        <w:t xml:space="preserve">一、</w:t>
      </w:r>
      <w:r>
        <w:rPr>
          <w:rFonts w:hint="eastAsia" w:ascii="Times New Roman" w:hAnsi="Times New Roman" w:eastAsia="宋体" w:cs="宋体"/>
          <w:b/>
          <w:bCs/>
          <w:color w:val="auto"/>
          <w:szCs w:val="21"/>
          <w:highlight w:val="none"/>
        </w:rPr>
        <w:t xml:space="preserve">采购标的清单</w:t>
      </w:r>
      <w:r>
        <w:rPr>
          <w:rFonts w:hint="eastAsia" w:ascii="宋体" w:hAnsi="宋体" w:eastAsia="宋体" w:cs="宋体"/>
          <w:b/>
          <w:bCs/>
          <w:color w:val="auto"/>
          <w:sz w:val="21"/>
          <w:szCs w:val="21"/>
          <w:highlight w:val="none"/>
          <w:lang w:eastAsia="zh-CN"/>
        </w:rPr>
        <w:t xml:space="preserve">：</w:t>
      </w:r>
      <w:r/>
    </w:p>
    <w:tbl>
      <w:tblPr>
        <w:tblStyle w:val="768"/>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410"/>
        <w:gridCol w:w="3410"/>
      </w:tblGrid>
      <w:tr>
        <w:trPr/>
        <w:tc>
          <w:tcPr>
            <w:tcW w:w="124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包号</w:t>
            </w:r>
            <w:r/>
          </w:p>
        </w:tc>
        <w:tc>
          <w:tcPr>
            <w:tcW w:w="34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34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trHeight w:val="610"/>
        </w:trPr>
        <w:tc>
          <w:tcPr>
            <w:tcW w:w="124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扬州市2025年智慧图书馆体系资源建设项目（二次）</w:t>
            </w:r>
            <w:r/>
          </w:p>
        </w:tc>
        <w:tc>
          <w:tcPr>
            <w:tcW w:w="34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软件和信息技术服务业</w:t>
            </w:r>
            <w:r/>
          </w:p>
        </w:tc>
      </w:tr>
    </w:tbl>
    <w:p>
      <w:pPr>
        <w:ind w:firstLine="482"/>
        <w:spacing w:line="360" w:lineRule="auto"/>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w:t>
      </w:r>
      <w:bookmarkEnd w:id="23"/>
      <w:r>
        <w:rPr>
          <w:rFonts w:hint="eastAsia" w:ascii="宋体" w:hAnsi="宋体" w:cs="宋体"/>
          <w:b/>
          <w:color w:val="auto"/>
          <w:szCs w:val="21"/>
          <w:highlight w:val="none"/>
        </w:rPr>
        <w:t xml:space="preserve">项目背景</w:t>
      </w:r>
      <w:r/>
    </w:p>
    <w:p>
      <w:pPr>
        <w:ind w:firstLine="420"/>
        <w:spacing w:line="360" w:lineRule="auto"/>
        <w:rPr>
          <w:rFonts w:hint="eastAsia" w:ascii="宋体" w:hAnsi="宋体" w:cs="宋体"/>
          <w:bCs/>
          <w:color w:val="auto"/>
          <w:szCs w:val="21"/>
          <w:highlight w:val="none"/>
        </w:rPr>
        <w:outlineLvl w:val="1"/>
      </w:pPr>
      <w:r/>
      <w:bookmarkStart w:id="25" w:name="_Toc25641"/>
      <w:r>
        <w:rPr>
          <w:rFonts w:hint="eastAsia" w:ascii="宋体" w:hAnsi="宋体" w:cs="宋体"/>
          <w:bCs/>
          <w:color w:val="auto"/>
          <w:szCs w:val="21"/>
          <w:highlight w:val="none"/>
        </w:rPr>
        <w:t xml:space="preserve">根据《文化和旅游部公共服务司 财务司关于做好2025年全国智慧图书馆体系建设项目和公共文化云建设项目实施工作的通知》（以下简称《通知》），全国智慧图书馆体系建设之基础数字资源建设的工作重点是围绕列入《国家珍贵古籍名录》、《中国古籍善本书目》和省级珍贵古籍名录的古籍资源开展数字化整理加工。2024年02月国家图书馆（国家古籍保护中心）发布《全国智慧图书馆体系建设：古籍数字化和知识标引规范手册（暂行）》（简称《规范手册》），这一规范是全国智慧图书馆体系建设古籍数字化加工的标准。</w:t>
      </w:r>
      <w:r/>
    </w:p>
    <w:p>
      <w:pPr>
        <w:ind w:firstLine="420"/>
        <w:spacing w:line="360" w:lineRule="auto"/>
        <w:rPr>
          <w:rFonts w:hint="eastAsia" w:ascii="宋体" w:hAnsi="宋体" w:cs="宋体"/>
          <w:bCs/>
          <w:color w:val="auto"/>
          <w:szCs w:val="21"/>
          <w:highlight w:val="none"/>
        </w:rPr>
        <w:outlineLvl w:val="1"/>
      </w:pPr>
      <w:r>
        <w:rPr>
          <w:rFonts w:hint="eastAsia" w:ascii="宋体" w:hAnsi="宋体" w:cs="宋体"/>
          <w:bCs/>
          <w:color w:val="auto"/>
          <w:szCs w:val="21"/>
          <w:highlight w:val="none"/>
        </w:rPr>
        <w:t xml:space="preserve">本项目是全国智慧图书馆体系建设的子项目，项目各项技术标准需严格参照《规范手册》的相关要求。项目内容主要包括文献的整理和登记、图像采集与处理，符合长期保存级和发布服务级数据技术要求、书目数据著录、古籍结构数据和卷目篇目数据标引，制作XML封装文件等。</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w:t>
      </w:r>
      <w:bookmarkEnd w:id="25"/>
      <w:r>
        <w:rPr>
          <w:rFonts w:hint="eastAsia" w:ascii="宋体" w:hAnsi="宋体" w:cs="宋体"/>
          <w:b/>
          <w:color w:val="auto"/>
          <w:szCs w:val="21"/>
          <w:highlight w:val="none"/>
        </w:rPr>
        <w:t xml:space="preserve">项目基本概况</w:t>
      </w:r>
      <w:r/>
    </w:p>
    <w:p>
      <w:pPr>
        <w:ind w:firstLine="420"/>
        <w:spacing w:line="360" w:lineRule="auto"/>
        <w:rPr>
          <w:rFonts w:hint="default"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rPr>
        <w:t xml:space="preserve">项目预算：人民币210万元整。</w:t>
      </w:r>
      <w:r>
        <w:rPr>
          <w:rFonts w:hint="eastAsia" w:ascii="宋体" w:hAnsi="宋体" w:cs="宋体"/>
          <w:b w:val="0"/>
          <w:bCs/>
          <w:i/>
          <w:iCs/>
          <w:color w:val="auto"/>
          <w:szCs w:val="21"/>
          <w:highlight w:val="yellow"/>
          <w:u w:val="single"/>
          <w:lang w:val="en-US" w:eastAsia="zh-CN"/>
        </w:rPr>
        <w:t xml:space="preserve">最高限单价：35元/筒子页（报价表上传系统）</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数量：本项目古籍数字化加工数量为不少于6万筒子叶。</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时间：自合同签订日起80个工作日内完成全部加工任务。</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地点：加工地点为采购人所在地扬州市文昌西路466号。</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1报价采用固定文献资料每筒子页单价方式，文献资料以采购人提供的目录为准。报价包含项目实施所有费用如：完成该项目的成本、利润、税金、检测、验收、本项目政策性文件规定及包含的所有风险、责任等各项应有费用，还包括中标人应当提供的伴随服务、售后服务费用。</w:t>
      </w:r>
      <w:r/>
    </w:p>
    <w:p>
      <w:pPr>
        <w:ind w:firstLine="420"/>
        <w:spacing w:line="360" w:lineRule="auto"/>
        <w:rPr>
          <w:rFonts w:hint="eastAsia" w:ascii="宋体" w:hAnsi="宋体" w:cs="宋体"/>
          <w:bCs/>
          <w:color w:val="auto"/>
          <w:szCs w:val="21"/>
          <w:highlight w:val="none"/>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.2 本项目所有款项均以人民币支付，因目前无法确定具体数量及价格，最终按实际数字化加工数量及价格进行结算。</w:t>
      </w:r>
      <w:r/>
    </w:p>
    <w:p>
      <w:pPr>
        <w:ind w:firstLine="632"/>
        <w:spacing w:line="360" w:lineRule="auto"/>
        <w:rPr>
          <w:rFonts w:hint="eastAsia" w:ascii="宋体" w:hAnsi="宋体" w:eastAsia="宋体" w:cs="宋体"/>
          <w:b/>
          <w:bCs w:val="0"/>
          <w:color w:val="auto"/>
          <w:sz w:val="21"/>
          <w:szCs w:val="21"/>
          <w:highlight w:val="none"/>
          <w:lang w:val="en-US" w:eastAsia="zh-CN"/>
        </w:rPr>
      </w:pPr>
      <w:r/>
      <w:bookmarkStart w:id="26" w:name="_Toc21908"/>
      <w:r>
        <w:rPr>
          <w:rFonts w:hint="eastAsia" w:ascii="宋体" w:hAnsi="宋体" w:eastAsia="宋体" w:cs="宋体"/>
          <w:b/>
          <w:color w:val="auto"/>
          <w:sz w:val="21"/>
          <w:szCs w:val="21"/>
          <w:highlight w:val="none"/>
        </w:rPr>
        <w:t xml:space="preserve">三、</w:t>
      </w:r>
      <w:bookmarkEnd w:id="26"/>
      <w:r>
        <w:rPr>
          <w:rFonts w:hint="eastAsia" w:ascii="宋体" w:hAnsi="宋体" w:eastAsia="宋体" w:cs="宋体"/>
          <w:b/>
          <w:bCs w:val="0"/>
          <w:color w:val="auto"/>
          <w:sz w:val="21"/>
          <w:szCs w:val="21"/>
          <w:highlight w:val="none"/>
          <w:lang w:val="en-US" w:eastAsia="zh-CN"/>
        </w:rPr>
        <w:t xml:space="preserve">项目要求</w:t>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1600"/>
        <w:gridCol w:w="5045"/>
        <w:gridCol w:w="991"/>
      </w:tblGrid>
      <w:tr>
        <w:trPr>
          <w:jc w:val="center"/>
          <w:trHeight w:val="880"/>
        </w:trPr>
        <w:tc>
          <w:tcPr>
            <w:tcW w:w="886" w:type="dxa"/>
            <w:vAlign w:val="top"/>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序号</w:t>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c>
          <w:tcPr>
            <w:tcW w:w="1600" w:type="dxa"/>
            <w:vAlign w:val="top"/>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服务要求</w:t>
            </w:r>
            <w:r/>
          </w:p>
        </w:tc>
        <w:tc>
          <w:tcPr>
            <w:tcW w:w="5045" w:type="dxa"/>
            <w:vAlign w:val="top"/>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指标需求</w:t>
            </w:r>
            <w:r/>
          </w:p>
        </w:tc>
        <w:tc>
          <w:tcPr>
            <w:tcW w:w="991" w:type="dxa"/>
            <w:vAlign w:val="top"/>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重要程度</w:t>
            </w:r>
            <w:r/>
          </w:p>
        </w:tc>
      </w:tr>
      <w:tr>
        <w:trPr>
          <w:jc w:val="center"/>
          <w:trHeight w:val="676"/>
        </w:trPr>
        <w:tc>
          <w:tcPr>
            <w:tcW w:w="886"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1</w:t>
            </w:r>
            <w:r/>
          </w:p>
        </w:tc>
        <w:tc>
          <w:tcPr>
            <w:tcW w:w="1600" w:type="dxa"/>
            <w:vAlign w:val="top"/>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成果及质量要求</w:t>
            </w:r>
            <w:r/>
          </w:p>
        </w:tc>
        <w:tc>
          <w:tcPr>
            <w:tcW w:w="5045" w:type="dxa"/>
            <w:vAlign w:val="top"/>
            <w:textDirection w:val="lrTb"/>
            <w:noWrap w:val="false"/>
          </w:tcPr>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严格依据《规范手册》进行古籍数字化加工准备、图像数字化、元数据著录、全文文本转化、XML封装、成果数据整合等流程。每个流程需要做到严格规范、质量可控。总体要求如下：</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古籍数字化成果要确保古籍信息内容的完整和准确，即古籍数据著录字段完整，标引内容准确，图像文件与古籍原版信息、位置保持一致；供应商应配置专门的质检人员对每个阶段的数据质量进行检查；古籍数字化加工数据应采用全面检查方式，而非进行数据抽检，必要时应设立数据多检制度。检查范围包括各种类型数据质量和技术指标，并达到以下要求。</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1.数据内容</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1.1 XML文件：XML文件内容包括古籍基本元数据、结构数据、卷目篇名。</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质量要求：</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1.1.1遵照 XML1.0 规范，使用 UTF-8 编码方式、Unicode5.0 以上版本字符集。</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1.1.2著录信息应严格按照文献实际内容进行客观著录，标引词与标引对象文件应正确链接，确保实用性。卷目篇目层级正确，链接正确。文字错误率不超过0.3‰。</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1.2 对象数据：长期保存级、发布服务级数据，包括：TIFF 格式文件、PDF 格式文件、TXT 格式文件。</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质量要求：</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1.2.1检查项目</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（1）将图像文件（各种格式）放大到 1：1 状态，逐叶检查清晰度、明亮度、色彩还原度，以及图像内容的完整性和准确性。检查事项包括但不限于图像透光、彩点、彩线、黑边、污点、歪斜、模糊（马赛克等）；图像有压字、折角、异物、透字、漏字、夹框、夹字和图像倾斜、扭曲变形、图像裁切过度等情况。</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（2）图像文件有无缺叶、倒叶，文件命名漏号、重号、错号等不规范现象。</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（3）检查书叶图像的完整度。发现文件漏扫时应及时补扫并在正确位置插入图像文件。</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（4）检查图像叶码是否连续，不得跳叶。</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（5）加工数据以文献册次为单位，检查对应的各类标引数据是否齐全，链接准确。</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（6）检查扫描（拍照）图像的采集技术指标。</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（7）检查双层PDF文件的图像层和文字层的文字对位准确。</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（8）按照命名规则，检查目录、文件、数据库、文档、介质等名称是否正确。</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（9）检查各类说明、统计、验收等文档是否齐全。</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（10）确保所有文件保存位置正确，可以有效打开和显示。</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1.2.2质量标准</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（1）图像完整性100%正确。不能丢失、错位。</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（2）图像歪斜、压缩转换等综合错误率不超过1‰。</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（3）双层PDF文件的图像层和文字层的文字对位准确，反显区域与文字区域相差1毫米以内。</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（4）双层PDF文件与TXT文件的文字内容保持一致，文字错误率不超过1‰。</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5）长期保存级古籍原件扫描的标准TIFF格式图像分辨率要求：文献短边小于等于14.8cm（A5尺寸）的扫描分辨率不低于800dpi；文献短边在14.8cm和29.7.cm（A3尺寸）之间的扫描分辨率不低于600dpi；文献短边大于29.7cm的扫描分辨率不低于400dpi。色彩位数不少于24bit。</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（6）文本数据的文字、版式、符号、段落顺序等，其字符综合错误率不超过1‰。</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（7）文本数据文件与《规范手册》要求的发布服务PDF文件一一对应，叶面连续，不得跳号，不丢失文件。错误率为0。</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1.3 文献整理登记表和外字表：文献整理登记表和外字表用 EXCEL 表填写。文献整理登记表内容包括：名录号、普查编号、索书号、题名、册数、总叶数、开本尺寸、透字、夹框、夹字、皱折、缺残叶、重叶、签条、夹纸、登记人员、登记日期、备注。外字表的内容包括：加工记录标识号、内部序号、外字、描述、位置。</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1.4 说明文件：项目总体说明文件用，EXCEL表填写。填写内容包括：项目建设年、单位名称、记录标识号、题名、TIFF 格式文件数量、PDF 格式文件数量、TXT 格式文件数量、采集分辨率/拍照像素、备注（需要特别说明的事项）。</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 数据标准</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2.1 送检数据有效，与《数据说明文件》内容和数量一致，不夹杂无关文件。</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2.2 著录、标引文字、符号，标引位置等信息准确，综合错误率不超过0.3‰。</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2.3 双层PDF、全文文本文件的内容编码、文字识别等，综合错误率不超过1‰。</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2.4 数据的采集方式、技术指标、文件格式、文件命名、图像处理等综合错误率不超过1‰。</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2.5 成果数据中古籍图像完整，无缺失；数据类型和文件结构符合规范要求，且无坏死文件、不携带病毒，错误率为0。</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2.6 达到标准的数据视为合格，在规定错误率范围内检查出的数据问题由供应商进行修正；超出错误率、未达到标准的数据由供应商对全部数据进行整改、返工处理。</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3、提交要求</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各类数据存储于移动固态硬盘（PSSD）上，移动硬盘的读写速度不小于1000MB/S，至少需要提交2份数据。此设备将作为数字资源配套产品交付给采购人，所有权归属采购人。</w:t>
            </w:r>
            <w:r/>
          </w:p>
          <w:p>
            <w:pPr>
              <w:spacing w:line="360" w:lineRule="auto"/>
              <w:rPr>
                <w:rFonts w:hint="default" w:ascii="宋体" w:hAnsi="宋体" w:eastAsia="宋体" w:cs="宋体"/>
                <w:b w:val="0"/>
                <w:bCs/>
                <w:i/>
                <w:iCs/>
                <w:color w:val="auto"/>
                <w:sz w:val="21"/>
                <w:szCs w:val="21"/>
                <w:highlight w:val="none"/>
                <w:u w:val="single"/>
                <w:vertAlign w:val="baseline"/>
                <w:lang w:val="en-US" w:eastAsia="zh-CN"/>
              </w:rPr>
            </w:pPr>
            <w:r>
              <w:rPr>
                <w:rFonts w:hint="eastAsia" w:ascii="宋体" w:hAnsi="宋体" w:cs="宋体"/>
                <w:b/>
                <w:bCs w:val="0"/>
                <w:i w:val="0"/>
                <w:iCs w:val="0"/>
                <w:color w:val="auto"/>
                <w:sz w:val="21"/>
                <w:szCs w:val="21"/>
                <w:highlight w:val="none"/>
                <w:u w:val="none"/>
                <w:vertAlign w:val="baseline"/>
                <w:lang w:val="en-US" w:eastAsia="zh-CN"/>
              </w:rPr>
              <w:t xml:space="preserve">以上需提供承诺函原件，上传系统，格式自拟</w:t>
            </w:r>
            <w:r/>
          </w:p>
        </w:tc>
        <w:tc>
          <w:tcPr>
            <w:tcW w:w="991" w:type="dxa"/>
            <w:vAlign w:val="top"/>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rPr>
              <w:t xml:space="preserve">★</w:t>
            </w:r>
            <w:r/>
          </w:p>
        </w:tc>
      </w:tr>
      <w:tr>
        <w:trPr>
          <w:jc w:val="center"/>
          <w:trHeight w:val="1545"/>
        </w:trPr>
        <w:tc>
          <w:tcPr>
            <w:tcW w:w="886"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2</w:t>
            </w:r>
            <w:r/>
          </w:p>
        </w:tc>
        <w:tc>
          <w:tcPr>
            <w:tcW w:w="1600"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设备要求</w:t>
            </w:r>
            <w:r/>
          </w:p>
        </w:tc>
        <w:tc>
          <w:tcPr>
            <w:tcW w:w="5045" w:type="dxa"/>
            <w:vAlign w:val="top"/>
            <w:textDirection w:val="lrTb"/>
            <w:noWrap w:val="false"/>
          </w:tcPr>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项目实施开展所需的一切软硬件设备均由供应商提供，包括数字化过程中的数据保存、备份、图像处理设备以及数据提交所需的移动硬盘等。在双方合同签订后，10个工作日内入场安装及完成调试工作。有关设备要求如下：</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 扫描设备选择非接触式扫描仪，设备至少为A3幅面，光学分辨率至少为600dpi，色彩位数不少于24bit。扫描设备应是无紫外线的同步冷光源。</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 数码拍照相机的有效像素不低于6500万像素，裁切后图像短边像素换算分辨率不得低于同规格扫描分辨率，感光元件尺寸不低于全画幅（36×24mm），采用1：1微距镜头。</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3. 为配合数据的安全存取和处理，应配置1台内部共享使用的NAS设备，设备配置要求：CPU不少于4核处理器，内存不少于16GB，盘位不少于8个，配置硬盘8*16TB，支持RAID0、1、5、6、10，千兆电口至少3个（其中管理端口1个），万兆电口至少1个，支持跨平台共享、SMB访问、权限精细管理、详细日志记录、操作留痕可追溯、快照抵御勒索病毒。此设备将作为数字资源配套产品交付给采购人，所有权归属采购人。</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4. 其他辅助设备</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（1）托稿台：为文献数码拍照的平台。托稿台材质应选用经过脱酸处理的，书籍托架应稳定牢固。</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（2）照明：无紫外线或红外线的，冷光源LED照明系统。</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（3）避光：日光灯、太阳光线，避免透光或反射光的影响；同时，注意光源的合理补充，避免出现图像色彩不均或局部阴影。</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5. 供应商应具备相关的技术水平及技术研发能力，有相关的自有知识产权的古籍资源加工系统和发布服务系统，如古籍OCR识别、数据标引、数据管理、数据发布等软件。</w:t>
            </w:r>
            <w:r/>
          </w:p>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cs="宋体"/>
                <w:b/>
                <w:bCs w:val="0"/>
                <w:i w:val="0"/>
                <w:iCs w:val="0"/>
                <w:color w:val="auto"/>
                <w:sz w:val="21"/>
                <w:szCs w:val="21"/>
                <w:highlight w:val="none"/>
                <w:u w:val="none"/>
                <w:vertAlign w:val="baseline"/>
                <w:lang w:val="en-US" w:eastAsia="zh-CN"/>
              </w:rPr>
              <w:t xml:space="preserve">以上需提供承诺函原件，上传系统，格式自拟</w:t>
            </w:r>
            <w:r/>
          </w:p>
        </w:tc>
        <w:tc>
          <w:tcPr>
            <w:tcW w:w="991" w:type="dxa"/>
            <w:vAlign w:val="top"/>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rPr>
              <w:t xml:space="preserve">★</w:t>
            </w:r>
            <w:r/>
          </w:p>
        </w:tc>
      </w:tr>
      <w:tr>
        <w:trPr>
          <w:jc w:val="center"/>
          <w:trHeight w:val="1641"/>
        </w:trPr>
        <w:tc>
          <w:tcPr>
            <w:tcW w:w="886"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3</w:t>
            </w:r>
            <w:r/>
          </w:p>
        </w:tc>
        <w:tc>
          <w:tcPr>
            <w:tcW w:w="1600" w:type="dxa"/>
            <w:vAlign w:val="top"/>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人员要求</w:t>
            </w:r>
            <w:r/>
          </w:p>
        </w:tc>
        <w:tc>
          <w:tcPr>
            <w:tcW w:w="5045" w:type="dxa"/>
            <w:vAlign w:val="top"/>
            <w:textDirection w:val="lrTb"/>
            <w:noWrap w:val="false"/>
          </w:tcPr>
          <w:p>
            <w:p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根据项目具体特点、需求，配备项目实施团队，包括项目负责人、古籍专家、技术工程师、图像采集人员、数据标引人员、项目质检人员等。要求配备不少于20人的项目团队。</w:t>
            </w:r>
            <w:r/>
          </w:p>
          <w:p>
            <w:pPr>
              <w:spacing w:line="360" w:lineRule="auto"/>
              <w:rPr>
                <w:rFonts w:hint="default"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bCs w:val="0"/>
                <w:i w:val="0"/>
                <w:iCs w:val="0"/>
                <w:color w:val="auto"/>
                <w:sz w:val="21"/>
                <w:szCs w:val="21"/>
                <w:highlight w:val="none"/>
                <w:u w:val="none"/>
                <w:vertAlign w:val="baseline"/>
                <w:lang w:val="en-US" w:eastAsia="zh-CN"/>
              </w:rPr>
              <w:t xml:space="preserve">提供相关人员名单</w:t>
            </w:r>
            <w:r>
              <w:rPr>
                <w:rFonts w:hint="eastAsia" w:ascii="宋体" w:hAnsi="宋体" w:cs="宋体"/>
                <w:b/>
                <w:bCs w:val="0"/>
                <w:i w:val="0"/>
                <w:iCs w:val="0"/>
                <w:color w:val="auto"/>
                <w:sz w:val="21"/>
                <w:szCs w:val="21"/>
                <w:highlight w:val="none"/>
                <w:u w:val="none"/>
                <w:vertAlign w:val="baseline"/>
                <w:lang w:val="en-US" w:eastAsia="zh-CN"/>
              </w:rPr>
              <w:t xml:space="preserve">上传系统</w:t>
            </w:r>
            <w:r/>
          </w:p>
        </w:tc>
        <w:tc>
          <w:tcPr>
            <w:tcW w:w="991"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w:t>
            </w:r>
            <w:r/>
          </w:p>
        </w:tc>
      </w:tr>
      <w:tr>
        <w:trPr>
          <w:jc w:val="center"/>
          <w:trHeight w:val="1321" w:hRule="exact"/>
        </w:trPr>
        <w:tc>
          <w:tcPr>
            <w:tcW w:w="886" w:type="dxa"/>
            <w:vAlign w:val="top"/>
            <w:vMerge w:val="restart"/>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both"/>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4</w:t>
            </w:r>
            <w:r/>
          </w:p>
        </w:tc>
        <w:tc>
          <w:tcPr>
            <w:tcW w:w="1600" w:type="dxa"/>
            <w:vAlign w:val="top"/>
            <w:vMerge w:val="restart"/>
            <w:textDirection w:val="lrTb"/>
            <w:noWrap w:val="false"/>
          </w:tcPr>
          <w:p>
            <w:pPr>
              <w:ind w:firstLine="422"/>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ind w:firstLine="422"/>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t xml:space="preserve">商务要求</w:t>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c>
          <w:tcPr>
            <w:tcW w:w="5045" w:type="dxa"/>
            <w:vAlign w:val="top"/>
            <w:textDirection w:val="lrTb"/>
            <w:noWrap w:val="false"/>
          </w:tcPr>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1.项目管理：供应商应提供项目的加工规划、进度管理、风险管理以及突发情况应对措施，并定期反馈加工进度。</w:t>
            </w:r>
            <w:r/>
          </w:p>
          <w:p>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991"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jc w:val="center"/>
          <w:trHeight w:val="697"/>
        </w:trPr>
        <w:tc>
          <w:tcPr>
            <w:tcW w:w="886"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0"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45" w:type="dxa"/>
            <w:vAlign w:val="top"/>
            <w:textDirection w:val="lrTb"/>
            <w:noWrap w:val="false"/>
          </w:tcPr>
          <w:p>
            <w:pPr>
              <w:spacing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2.质量控制：供应商承诺严格按照加工标准进行加工，需要提供完善合理的质量保证方案及措施。如果后期出现质量问题，要求在规定时间内快速响应修正，不能够影响项目的完成周期。</w:t>
            </w:r>
            <w:r/>
          </w:p>
        </w:tc>
        <w:tc>
          <w:tcPr>
            <w:tcW w:w="991"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jc w:val="center"/>
          <w:trHeight w:val="697"/>
        </w:trPr>
        <w:tc>
          <w:tcPr>
            <w:tcW w:w="886" w:type="dxa"/>
            <w:vAlign w:val="top"/>
            <w:vMerge w:val="continue"/>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c>
          <w:tcPr>
            <w:tcW w:w="1600" w:type="dxa"/>
            <w:vAlign w:val="top"/>
            <w:vMerge w:val="continue"/>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c>
          <w:tcPr>
            <w:tcW w:w="5045" w:type="dxa"/>
            <w:vAlign w:val="top"/>
            <w:textDirection w:val="lrTb"/>
            <w:noWrap w:val="false"/>
          </w:tcPr>
          <w:p>
            <w:pPr>
              <w:spacing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3.项目抽检：项目实施过程中采购人有权定期或不定期对数据进行抽检，数据检验不合格一次警告处理；三次不合格，采购人有权终止项目合作，并保留追求供应商的违约责任的权利。</w:t>
            </w:r>
            <w:r/>
          </w:p>
        </w:tc>
        <w:tc>
          <w:tcPr>
            <w:tcW w:w="991"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jc w:val="center"/>
          <w:trHeight w:val="228"/>
        </w:trPr>
        <w:tc>
          <w:tcPr>
            <w:tcW w:w="886" w:type="dxa"/>
            <w:vAlign w:val="top"/>
            <w:vMerge w:val="continue"/>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c>
          <w:tcPr>
            <w:tcW w:w="1600" w:type="dxa"/>
            <w:vAlign w:val="top"/>
            <w:vMerge w:val="continue"/>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c>
          <w:tcPr>
            <w:tcW w:w="5045" w:type="dxa"/>
            <w:vAlign w:val="top"/>
            <w:textDirection w:val="lrTb"/>
            <w:noWrap w:val="false"/>
          </w:tcPr>
          <w:p>
            <w:pPr>
              <w:spacing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4.项目验收：采购人在接受供应商提交的项目成果数据后，将委托第三方检测机构对数据进行质量检查并提供质检报告，质检方法采用通检和抽检相结合的方式，抽检数量比例不低于总页数的</w:t>
            </w:r>
            <w:r>
              <w:rPr>
                <w:rFonts w:hint="eastAsia" w:ascii="宋体" w:hAnsi="宋体" w:cs="宋体"/>
                <w:b w:val="0"/>
                <w:bCs w:val="0"/>
                <w:color w:val="auto"/>
                <w:sz w:val="21"/>
                <w:szCs w:val="21"/>
                <w:highlight w:val="none"/>
                <w:vertAlign w:val="baseline"/>
                <w:lang w:val="en-US" w:eastAsia="zh-CN"/>
              </w:rPr>
              <w:t xml:space="preserve">30</w:t>
            </w:r>
            <w:r>
              <w:rPr>
                <w:rFonts w:hint="eastAsia" w:ascii="宋体" w:hAnsi="宋体" w:eastAsia="宋体" w:cs="宋体"/>
                <w:b w:val="0"/>
                <w:bCs w:val="0"/>
                <w:color w:val="auto"/>
                <w:sz w:val="21"/>
                <w:szCs w:val="21"/>
                <w:highlight w:val="none"/>
                <w:vertAlign w:val="baseline"/>
                <w:lang w:val="en-US" w:eastAsia="zh-CN"/>
              </w:rPr>
              <w:t xml:space="preserve">%或</w:t>
            </w:r>
            <w:r>
              <w:rPr>
                <w:rFonts w:hint="eastAsia" w:ascii="宋体" w:hAnsi="宋体" w:cs="宋体"/>
                <w:b w:val="0"/>
                <w:bCs w:val="0"/>
                <w:color w:val="auto"/>
                <w:sz w:val="21"/>
                <w:szCs w:val="21"/>
                <w:highlight w:val="none"/>
                <w:vertAlign w:val="baseline"/>
                <w:lang w:val="en-US" w:eastAsia="zh-CN"/>
              </w:rPr>
              <w:t xml:space="preserve">18000</w:t>
            </w:r>
            <w:r>
              <w:rPr>
                <w:rFonts w:hint="eastAsia" w:ascii="宋体" w:hAnsi="宋体" w:eastAsia="宋体" w:cs="宋体"/>
                <w:b w:val="0"/>
                <w:bCs w:val="0"/>
                <w:color w:val="auto"/>
                <w:sz w:val="21"/>
                <w:szCs w:val="21"/>
                <w:highlight w:val="none"/>
                <w:vertAlign w:val="baseline"/>
                <w:lang w:val="en-US" w:eastAsia="zh-CN"/>
              </w:rPr>
              <w:t xml:space="preserve">筒子叶，质检费用包含在本项目费用中，由供应商提供。质检地点在采购人所在地江苏省扬州市文昌西路466号，质检所需的电脑等设备由供应商提供。所有项目内容最终以国家图书馆终验为准（验收标准《全国智慧图书馆体系建设：古籍数字化和知识标引规范手册（暂行）》详见附件）。</w:t>
            </w:r>
            <w:r/>
          </w:p>
        </w:tc>
        <w:tc>
          <w:tcPr>
            <w:tcW w:w="991"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jc w:val="center"/>
          <w:trHeight w:val="228"/>
        </w:trPr>
        <w:tc>
          <w:tcPr>
            <w:tcW w:w="886"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0"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45" w:type="dxa"/>
            <w:vAlign w:val="top"/>
            <w:textDirection w:val="lrTb"/>
            <w:noWrap w:val="false"/>
          </w:tcPr>
          <w:p>
            <w:pPr>
              <w:spacing w:line="360"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5.根据本项目提供项目实施方案、进度计划及保障措施方案、安全保护方案、质量保证方案及措施、现场演示。</w:t>
            </w:r>
            <w:r/>
          </w:p>
        </w:tc>
        <w:tc>
          <w:tcPr>
            <w:tcW w:w="991"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jc w:val="center"/>
          <w:trHeight w:val="3139" w:hRule="exact"/>
        </w:trPr>
        <w:tc>
          <w:tcPr>
            <w:tcW w:w="886" w:type="dxa"/>
            <w:vAlign w:val="top"/>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5</w:t>
            </w:r>
            <w:r/>
          </w:p>
        </w:tc>
        <w:tc>
          <w:tcPr>
            <w:tcW w:w="1600" w:type="dxa"/>
            <w:vAlign w:val="top"/>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古籍原件保护要求</w:t>
            </w:r>
            <w:r/>
          </w:p>
        </w:tc>
        <w:tc>
          <w:tcPr>
            <w:tcW w:w="5045" w:type="dxa"/>
            <w:vAlign w:val="top"/>
            <w:textDirection w:val="lrTb"/>
            <w:noWrap w:val="false"/>
          </w:tcPr>
          <w:p>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古籍原件作为国家文物需要全过程、全方位进行保护，古籍原件保护工作包括但不限于制度规范、培训教育、技术手段（如监控）、工作环境、交接过程、加工过程、人员管理等等。要求供应商制定相关的古籍原件保护方案，并草拟古籍原件保护协议书，明确古籍原件保护的具体事项和保护措施，以及古籍原件损害事故发生后的签定、赔偿等处理办法。</w:t>
            </w:r>
            <w:r/>
          </w:p>
          <w:p>
            <w:pPr>
              <w:spacing w:line="36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r>
            <w:r/>
          </w:p>
        </w:tc>
        <w:tc>
          <w:tcPr>
            <w:tcW w:w="991" w:type="dxa"/>
            <w:vAlign w:val="top"/>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color w:val="auto"/>
                <w:sz w:val="21"/>
                <w:szCs w:val="21"/>
                <w:highlight w:val="none"/>
              </w:rPr>
              <w:t xml:space="preserve">▲</w:t>
            </w:r>
            <w:r/>
          </w:p>
        </w:tc>
      </w:tr>
      <w:tr>
        <w:trPr>
          <w:jc w:val="center"/>
          <w:trHeight w:val="3591"/>
        </w:trPr>
        <w:tc>
          <w:tcPr>
            <w:tcW w:w="886"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6</w:t>
            </w:r>
            <w:r/>
          </w:p>
        </w:tc>
        <w:tc>
          <w:tcPr>
            <w:tcW w:w="1600" w:type="dxa"/>
            <w:vAlign w:val="top"/>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成果保护要求</w:t>
            </w:r>
            <w:r/>
          </w:p>
        </w:tc>
        <w:tc>
          <w:tcPr>
            <w:tcW w:w="5045" w:type="dxa"/>
            <w:vAlign w:val="top"/>
            <w:textDirection w:val="lrTb"/>
            <w:noWrap w:val="false"/>
          </w:tcPr>
          <w:p>
            <w:pPr>
              <w:spacing w:line="36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加工后的一切数字资源成果的版权和所有权唯一归属于采购人，成果保护是全过程、全方位的，成果保护工作包括但不限于制度规范、培训教育、技术手段、加工过程、交接过程、人员管理等等。供应商应提供无数据版权纠纷和数据泄露等数据安全的声明，并加盖公章。制定相关的成果保护方案，草拟成果保护协议书，明确成果保护的具体事项和保护措施，以及发生成果泄密、侵权事件后的签定、赔偿等处理办法。</w:t>
            </w:r>
            <w:r/>
          </w:p>
        </w:tc>
        <w:tc>
          <w:tcPr>
            <w:tcW w:w="991" w:type="dxa"/>
            <w:vAlign w:val="top"/>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color w:val="auto"/>
                <w:sz w:val="21"/>
                <w:szCs w:val="21"/>
                <w:highlight w:val="none"/>
              </w:rPr>
              <w:t xml:space="preserve">▲</w:t>
            </w:r>
            <w:r/>
          </w:p>
        </w:tc>
      </w:tr>
      <w:tr>
        <w:trPr>
          <w:jc w:val="center"/>
          <w:trHeight w:val="1383"/>
        </w:trPr>
        <w:tc>
          <w:tcPr>
            <w:tcW w:w="886" w:type="dxa"/>
            <w:vAlign w:val="top"/>
            <w:vMerge w:val="restart"/>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 xml:space="preserve">7</w:t>
            </w:r>
            <w:r/>
          </w:p>
        </w:tc>
        <w:tc>
          <w:tcPr>
            <w:tcW w:w="1600" w:type="dxa"/>
            <w:vAlign w:val="top"/>
            <w:vMerge w:val="restart"/>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color w:val="auto"/>
                <w:sz w:val="21"/>
                <w:szCs w:val="21"/>
                <w:highlight w:val="none"/>
              </w:rPr>
              <w:t xml:space="preserve">服务要求</w:t>
            </w:r>
            <w:r/>
          </w:p>
        </w:tc>
        <w:tc>
          <w:tcPr>
            <w:tcW w:w="5045" w:type="dxa"/>
            <w:vAlign w:val="top"/>
            <w:textDirection w:val="lrTb"/>
            <w:noWrap w:val="false"/>
          </w:tcPr>
          <w:p>
            <w:pPr>
              <w:numPr>
                <w:ilvl w:val="0"/>
                <w:numId w:val="1"/>
              </w:num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eastAsia="宋体" w:cs="宋体"/>
                <w:b w:val="0"/>
                <w:bCs/>
                <w:i/>
                <w:iCs/>
                <w:color w:val="auto"/>
                <w:sz w:val="21"/>
                <w:szCs w:val="21"/>
                <w:highlight w:val="none"/>
                <w:u w:val="single"/>
                <w:vertAlign w:val="baseline"/>
                <w:lang w:val="en-US" w:eastAsia="zh-CN"/>
              </w:rPr>
              <w:t xml:space="preserve">售后服务期限：本项目免费售后服务周期为叁年，服务内容包括但不限于数据服务、相关技术培训等。质保期内，</w:t>
            </w:r>
            <w:r>
              <w:rPr>
                <w:rFonts w:hint="eastAsia" w:ascii="宋体" w:hAnsi="宋体" w:cs="宋体"/>
                <w:b w:val="0"/>
                <w:bCs/>
                <w:i/>
                <w:iCs/>
                <w:color w:val="auto"/>
                <w:sz w:val="21"/>
                <w:szCs w:val="21"/>
                <w:highlight w:val="none"/>
                <w:u w:val="single"/>
                <w:vertAlign w:val="baseline"/>
                <w:lang w:val="en-US" w:eastAsia="zh-CN"/>
              </w:rPr>
              <w:t xml:space="preserve">供应商</w:t>
            </w:r>
            <w:r>
              <w:rPr>
                <w:rFonts w:hint="eastAsia" w:ascii="宋体" w:hAnsi="宋体" w:eastAsia="宋体" w:cs="宋体"/>
                <w:b w:val="0"/>
                <w:bCs/>
                <w:i/>
                <w:iCs/>
                <w:color w:val="auto"/>
                <w:sz w:val="21"/>
                <w:szCs w:val="21"/>
                <w:highlight w:val="none"/>
                <w:u w:val="single"/>
                <w:vertAlign w:val="baseline"/>
                <w:lang w:val="en-US" w:eastAsia="zh-CN"/>
              </w:rPr>
              <w:t xml:space="preserve">应免费对项目建设中出现的各类问题进行解决，以保证数据准确无误、正常显示并及时更新等。如在质保期内未能完成上述要求，质保期将按照最终结项并验收合格之日起自动顺延1年时长。</w:t>
            </w:r>
            <w:r/>
          </w:p>
          <w:p>
            <w:pPr>
              <w:numPr>
                <w:ilvl w:val="0"/>
                <w:numId w:val="0"/>
              </w:numPr>
              <w:spacing w:line="360" w:lineRule="auto"/>
              <w:rPr>
                <w:rFonts w:hint="eastAsia" w:ascii="宋体" w:hAnsi="宋体" w:eastAsia="宋体" w:cs="宋体"/>
                <w:b w:val="0"/>
                <w:bCs/>
                <w:i/>
                <w:iCs/>
                <w:color w:val="auto"/>
                <w:sz w:val="21"/>
                <w:szCs w:val="21"/>
                <w:highlight w:val="none"/>
                <w:u w:val="single"/>
                <w:vertAlign w:val="baseline"/>
                <w:lang w:val="en-US" w:eastAsia="zh-CN"/>
              </w:rPr>
            </w:pPr>
            <w:r>
              <w:rPr>
                <w:rFonts w:hint="eastAsia" w:ascii="宋体" w:hAnsi="宋体" w:cs="宋体"/>
                <w:b/>
                <w:bCs w:val="0"/>
                <w:i w:val="0"/>
                <w:iCs w:val="0"/>
                <w:color w:val="auto"/>
                <w:sz w:val="21"/>
                <w:szCs w:val="21"/>
                <w:highlight w:val="none"/>
                <w:u w:val="none"/>
                <w:vertAlign w:val="baseline"/>
                <w:lang w:val="en-US" w:eastAsia="zh-CN"/>
              </w:rPr>
              <w:t xml:space="preserve">以上需提供承诺函原件，上传系统，格式自拟</w:t>
            </w:r>
            <w:r/>
          </w:p>
        </w:tc>
        <w:tc>
          <w:tcPr>
            <w:tcW w:w="991" w:type="dxa"/>
            <w:vAlign w:val="top"/>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w:t>
            </w:r>
            <w:r/>
          </w:p>
        </w:tc>
      </w:tr>
      <w:tr>
        <w:trPr>
          <w:jc w:val="center"/>
          <w:trHeight w:val="1383"/>
        </w:trPr>
        <w:tc>
          <w:tcPr>
            <w:tcW w:w="886"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0"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45" w:type="dxa"/>
            <w:vAlign w:val="top"/>
            <w:textDirection w:val="lrTb"/>
            <w:noWrap w:val="false"/>
          </w:tcPr>
          <w:p>
            <w:pPr>
              <w:spacing w:line="36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2. 成果发布服务：供应商应将本项目的最终成果在扬州市图书馆古籍数字资源平台发布，具备的功能包括但不限于：（1）支持多种检索方式，如简单检索、高级检索、二次检索、空检索等；（2）支持自建古籍分类导航；（3）支持古籍卷目篇目分级导航；（4）支持全文检索；（5）支持文本与图像对比展示；（6）支持数据防爬、数据加密等安全功能。（7）支持元数据详情展示及检索；（8）支持移动端在线阅览，实现自适应切换。</w:t>
            </w:r>
            <w:r/>
          </w:p>
        </w:tc>
        <w:tc>
          <w:tcPr>
            <w:tcW w:w="991" w:type="dxa"/>
            <w:vAlign w:val="top"/>
            <w:textDirection w:val="lrTb"/>
            <w:noWrap w:val="false"/>
          </w:tcPr>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r>
      <w:tr>
        <w:trPr>
          <w:jc w:val="center"/>
          <w:trHeight w:val="1383"/>
        </w:trPr>
        <w:tc>
          <w:tcPr>
            <w:tcW w:w="886" w:type="dxa"/>
            <w:vAlign w:val="top"/>
            <w:vMerge w:val="continue"/>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c>
          <w:tcPr>
            <w:tcW w:w="1600" w:type="dxa"/>
            <w:vAlign w:val="top"/>
            <w:vMerge w:val="continue"/>
            <w:textDirection w:val="lrTb"/>
            <w:noWrap w:val="false"/>
          </w:tcPr>
          <w:p>
            <w:pP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r>
            <w:r/>
          </w:p>
        </w:tc>
        <w:tc>
          <w:tcPr>
            <w:tcW w:w="5045" w:type="dxa"/>
            <w:vAlign w:val="top"/>
            <w:textDirection w:val="lrTb"/>
            <w:noWrap w:val="false"/>
          </w:tcPr>
          <w:p>
            <w:pPr>
              <w:spacing w:line="360" w:lineRule="auto"/>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 xml:space="preserve">3. 其他服务要求：中标方还应提供与本项目相关的文献数字化加工、数据存储、文献活化利用等服务，以上服务详细内容以采购方实际应用需求为准。</w:t>
            </w:r>
            <w:r>
              <w:rPr>
                <w:rFonts w:hint="eastAsia" w:ascii="宋体" w:hAnsi="宋体" w:cs="宋体"/>
                <w:b w:val="0"/>
                <w:bCs/>
                <w:color w:val="auto"/>
                <w:sz w:val="21"/>
                <w:szCs w:val="21"/>
                <w:highlight w:val="none"/>
                <w:vertAlign w:val="baseline"/>
                <w:lang w:val="en-US" w:eastAsia="zh-CN"/>
              </w:rPr>
              <w:t xml:space="preserve">供应商</w:t>
            </w:r>
            <w:r>
              <w:rPr>
                <w:rFonts w:hint="eastAsia" w:ascii="宋体" w:hAnsi="宋体" w:eastAsia="宋体" w:cs="宋体"/>
                <w:b w:val="0"/>
                <w:bCs/>
                <w:color w:val="auto"/>
                <w:sz w:val="21"/>
                <w:szCs w:val="21"/>
                <w:highlight w:val="none"/>
                <w:vertAlign w:val="baseline"/>
                <w:lang w:val="en-US" w:eastAsia="zh-CN"/>
              </w:rPr>
              <w:t xml:space="preserve">应根据上述因素自行考虑含入投标报价。</w:t>
            </w:r>
            <w:r/>
          </w:p>
        </w:tc>
        <w:tc>
          <w:tcPr>
            <w:tcW w:w="991" w:type="dxa"/>
            <w:vAlign w:val="top"/>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color w:val="auto"/>
                <w:sz w:val="21"/>
                <w:szCs w:val="21"/>
                <w:highlight w:val="none"/>
              </w:rPr>
              <w:t xml:space="preserve">▲</w:t>
            </w:r>
            <w:r/>
          </w:p>
        </w:tc>
      </w:tr>
    </w:tbl>
    <w:p>
      <w:pPr>
        <w:ind w:firstLine="723"/>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20"/>
        <w:spacing w:before="120"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rPr>
          <w:rStyle w:val="845"/>
          <w:color w:val="auto"/>
          <w:highlight w:val="none"/>
        </w:rPr>
      </w:pPr>
      <w:r>
        <w:rPr>
          <w:rStyle w:val="845"/>
          <w:rFonts w:hint="eastAsia"/>
          <w:color w:val="auto"/>
          <w:highlight w:val="none"/>
        </w:rPr>
        <w:br w:type="page" w:clear="all"/>
      </w:r>
      <w:r/>
    </w:p>
    <w:p>
      <w:pPr>
        <w:pStyle w:val="973"/>
        <w:ind w:firstLine="883"/>
        <w:jc w:val="center"/>
        <w:spacing w:before="0" w:after="0" w:line="360" w:lineRule="auto"/>
        <w:rPr>
          <w:rFonts w:hint="eastAsia" w:ascii="宋体" w:hAnsi="宋体"/>
          <w:color w:val="auto"/>
          <w:highlight w:val="none"/>
        </w:rPr>
      </w:pPr>
      <w:r>
        <w:rPr>
          <w:rStyle w:val="845"/>
          <w:rFonts w:hint="eastAsia"/>
          <w:b/>
          <w:color w:val="auto"/>
          <w:highlight w:val="none"/>
        </w:rPr>
        <w:t xml:space="preserve">第五章 评审方法及评审标准</w:t>
      </w:r>
      <w:bookmarkEnd w:id="1"/>
      <w:r/>
      <w:bookmarkEnd w:id="24"/>
      <w:r/>
      <w:r/>
    </w:p>
    <w:p>
      <w:pPr>
        <w:pStyle w:val="1014"/>
        <w:ind w:firstLine="422"/>
        <w:spacing w:before="0" w:after="0"/>
        <w:rPr>
          <w:rFonts w:hint="eastAsia" w:ascii="宋体" w:hAnsi="宋体"/>
          <w:b/>
          <w:color w:val="auto"/>
          <w:sz w:val="21"/>
          <w:szCs w:val="21"/>
          <w:highlight w:val="none"/>
        </w:rPr>
      </w:pPr>
      <w:r>
        <w:rPr>
          <w:rFonts w:hint="eastAsia" w:ascii="宋体" w:hAnsi="宋体"/>
          <w:b/>
          <w:color w:val="auto"/>
          <w:sz w:val="21"/>
          <w:szCs w:val="21"/>
          <w:highlight w:val="none"/>
        </w:rPr>
        <w:t xml:space="preserve">一、评审方法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color w:val="auto"/>
          <w:szCs w:val="21"/>
          <w:highlight w:val="none"/>
        </w:rPr>
      </w:pPr>
      <w:r/>
      <w:bookmarkStart w:id="27" w:name="_Toc449017024"/>
      <w:r/>
      <w:bookmarkStart w:id="28"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27"/>
      <w:r/>
      <w:bookmarkEnd w:id="28"/>
      <w:r/>
      <w:r/>
    </w:p>
    <w:p>
      <w:pPr>
        <w:ind w:firstLine="420"/>
        <w:spacing w:line="360" w:lineRule="auto"/>
        <w:rPr>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1014"/>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jc w:val="left"/>
        <w:pageBreakBefore w:val="0"/>
        <w:spacing w:line="360" w:lineRule="auto"/>
        <w:rPr>
          <w:rFonts w:hint="eastAsia"/>
          <w:color w:val="auto"/>
          <w:szCs w:val="21"/>
          <w:highlight w:val="none"/>
        </w:rPr>
      </w:pPr>
      <w:r>
        <w:rPr>
          <w:rFonts w:hint="eastAsia"/>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420"/>
        <w:jc w:val="left"/>
        <w:keepLines w:val="0"/>
        <w:keepNext w:val="0"/>
        <w:pageBreakBefore w:val="0"/>
        <w:spacing w:line="360" w:lineRule="auto"/>
        <w:widowControl w:val="off"/>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keepLines w:val="0"/>
        <w:keepNext w:val="0"/>
        <w:pageBreakBefore w:val="0"/>
        <w:spacing w:line="360" w:lineRule="auto"/>
        <w:widowControl w:val="off"/>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color w:val="auto"/>
          <w:szCs w:val="21"/>
          <w:highlight w:val="none"/>
        </w:rPr>
      </w:pPr>
      <w:r>
        <w:rPr>
          <w:rFonts w:hint="eastAsia" w:ascii="Times New Roman" w:hAnsi="Times New Roman" w:eastAsia="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firstLine="386"/>
        <w:spacing w:before="0" w:after="0" w:line="240" w:lineRule="auto"/>
        <w:rPr>
          <w:rFonts w:hint="eastAsia" w:ascii="宋体" w:hAnsi="宋体"/>
          <w:b/>
          <w:color w:val="auto"/>
          <w:sz w:val="21"/>
          <w:szCs w:val="21"/>
          <w:highlight w:val="none"/>
        </w:rPr>
        <w:outlineLvl w:val="1"/>
      </w:pPr>
      <w:r>
        <w:rPr>
          <w:rFonts w:hint="eastAsia" w:ascii="宋体" w:hAnsi="宋体"/>
          <w:b/>
          <w:color w:val="auto"/>
          <w:sz w:val="21"/>
          <w:szCs w:val="21"/>
          <w:highlight w:val="none"/>
        </w:rPr>
        <w:t xml:space="preserve">三、评审标准</w:t>
      </w:r>
      <w:r/>
    </w:p>
    <w:p>
      <w:pPr>
        <w:pStyle w:val="1014"/>
        <w:ind w:firstLine="386"/>
        <w:spacing w:before="0" w:after="0"/>
        <w:rPr>
          <w:rFonts w:hint="eastAsia" w:ascii="宋体" w:hAnsi="宋体" w:cs="宋体"/>
          <w:b/>
          <w:color w:val="auto"/>
          <w:sz w:val="21"/>
          <w:szCs w:val="21"/>
          <w:highlight w:val="none"/>
        </w:rPr>
        <w:outlineLvl w:val="1"/>
      </w:pPr>
      <w:r>
        <w:rPr>
          <w:rFonts w:hint="eastAsia" w:ascii="宋体" w:hAnsi="宋体" w:cs="宋体"/>
          <w:b/>
          <w:color w:val="auto"/>
          <w:sz w:val="21"/>
          <w:szCs w:val="21"/>
          <w:highlight w:val="none"/>
        </w:rPr>
      </w:r>
      <w:r/>
    </w:p>
    <w:tbl>
      <w:tblPr>
        <w:tblStyle w:val="768"/>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5749"/>
        <w:gridCol w:w="1139"/>
      </w:tblGrid>
      <w:tr>
        <w:trPr>
          <w:jc w:val="center"/>
        </w:trPr>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jc w:val="center"/>
              <w:spacing w:line="360" w:lineRule="auto"/>
              <w:rPr>
                <w:rFonts w:hint="eastAsia" w:ascii="宋体" w:hAnsi="宋体" w:cs="宋体"/>
                <w:b/>
                <w:bCs/>
                <w:color w:val="auto"/>
                <w:szCs w:val="21"/>
                <w:highlight w:val="none"/>
              </w:rPr>
            </w:pPr>
            <w:r/>
            <w:bookmarkStart w:id="29" w:name="gpc_score_horizontal_1"/>
            <w:r>
              <w:rPr>
                <w:rFonts w:hint="eastAsia" w:ascii="宋体" w:hAnsi="宋体" w:cs="宋体"/>
                <w:b/>
                <w:bCs/>
                <w:color w:val="auto"/>
                <w:szCs w:val="21"/>
                <w:highlight w:val="none"/>
              </w:rPr>
              <w:t xml:space="preserve">评标类别</w:t>
            </w:r>
            <w:r/>
          </w:p>
        </w:tc>
        <w:tc>
          <w:tcPr>
            <w:tcBorders>
              <w:top w:val="single" w:color="auto" w:sz="4" w:space="0"/>
              <w:left w:val="single" w:color="auto" w:sz="4" w:space="0"/>
              <w:bottom w:val="single" w:color="auto" w:sz="4" w:space="0"/>
              <w:right w:val="single" w:color="auto" w:sz="4" w:space="0"/>
            </w:tcBorders>
            <w:tcW w:w="3390"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评标规则</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Pr>
        <w:tc>
          <w:tcPr>
            <w:tcBorders>
              <w:top w:val="single" w:color="auto" w:sz="4" w:space="0"/>
              <w:left w:val="single" w:color="auto" w:sz="4" w:space="0"/>
              <w:right w:val="single" w:color="auto" w:sz="4" w:space="0"/>
            </w:tcBorders>
            <w:tcW w:w="937"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价格</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390" w:type="pct"/>
            <w:vAlign w:val="center"/>
            <w:textDirection w:val="lrTb"/>
            <w:noWrap w:val="false"/>
          </w:tcPr>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采用低价优先法计算，即满足磋商文件要求且投标价格最低的投标报价为评标基准价，其价格分为满分。</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其他供应商的价格分统一按照下列公式计算:</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投标报价得分=(评标基准价/投标报价)×10×100%（小数点保留两位）。</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r>
      <w:tr>
        <w:trPr>
          <w:jc w:val="center"/>
          <w:trHeight w:val="3646"/>
        </w:trPr>
        <w:tc>
          <w:tcPr>
            <w:tcBorders>
              <w:top w:val="single" w:color="auto" w:sz="4" w:space="0"/>
              <w:left w:val="single" w:color="auto" w:sz="4" w:space="0"/>
              <w:right w:val="single" w:color="auto" w:sz="4" w:space="0"/>
            </w:tcBorders>
            <w:tcW w:w="937" w:type="pct"/>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项目需求指标响应</w:t>
            </w:r>
            <w:r/>
          </w:p>
          <w:p>
            <w:pPr>
              <w:jc w:val="cente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lang w:val="en-US" w:eastAsia="zh-CN"/>
              </w:rPr>
              <w:t xml:space="preserve">分</w:t>
            </w:r>
            <w:r>
              <w:rPr>
                <w:rFonts w:hint="eastAsia" w:ascii="宋体" w:hAnsi="宋体" w:eastAsia="宋体" w:cs="宋体"/>
                <w:b/>
                <w:bCs/>
                <w:color w:val="auto"/>
                <w:szCs w:val="21"/>
                <w:highlight w:val="none"/>
                <w:lang w:eastAsia="zh-CN"/>
              </w:rPr>
              <w:t xml:space="preserve">）</w:t>
            </w:r>
            <w:r/>
          </w:p>
        </w:tc>
        <w:tc>
          <w:tcPr>
            <w:tcBorders>
              <w:top w:val="single" w:color="auto" w:sz="4" w:space="0"/>
              <w:left w:val="single" w:color="auto" w:sz="4" w:space="0"/>
              <w:right w:val="single" w:color="auto" w:sz="4" w:space="0"/>
            </w:tcBorders>
            <w:tcW w:w="3390" w:type="pct"/>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评委根据供应商投标文件中提供的《技术要求响应及偏离表》和《商务要求响应及偏离表》响应及偏离情况进行评审：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全部满足招标文件“第四章 项目需求”要求，响应情况为无偏离或正偏离的得满分</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（2）招标文件“第四章 项目需求”中带“★”条款为实质性条款，如有负偏离作无效投标文件处理。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招标文件“第四章 项目需求”中带“▲”项要求为重要技术要求，有一项负偏离扣2分；非带“▲”项，每有一项负偏离扣0.5分，扣完为止。</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color w:val="auto"/>
                <w:highlight w:val="none"/>
                <w:lang w:val="en-US" w:eastAsia="zh-CN"/>
              </w:rPr>
              <w:t xml:space="preserve">9</w:t>
            </w:r>
            <w:r>
              <w:rPr>
                <w:rFonts w:hint="eastAsia"/>
                <w:color w:val="auto"/>
                <w:highlight w:val="none"/>
              </w:rPr>
              <w:t xml:space="preserve">分</w:t>
            </w:r>
            <w:r/>
          </w:p>
        </w:tc>
      </w:tr>
      <w:tr>
        <w:trPr>
          <w:jc w:val="center"/>
          <w:trHeight w:val="3646"/>
        </w:trPr>
        <w:tc>
          <w:tcPr>
            <w:tcBorders>
              <w:top w:val="single" w:color="auto" w:sz="4" w:space="0"/>
              <w:left w:val="single" w:color="auto" w:sz="4" w:space="0"/>
              <w:right w:val="single" w:color="auto" w:sz="4" w:space="0"/>
            </w:tcBorders>
            <w:tcW w:w="937" w:type="pct"/>
            <w:vAlign w:val="center"/>
            <w:vMerge w:val="restart"/>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技术方案</w:t>
            </w:r>
            <w:r/>
          </w:p>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24</w:t>
            </w:r>
            <w:r>
              <w:rPr>
                <w:rFonts w:hint="eastAsia" w:ascii="宋体" w:hAnsi="宋体" w:cs="宋体"/>
                <w:b/>
                <w:bCs/>
                <w:color w:val="auto"/>
                <w:szCs w:val="21"/>
                <w:highlight w:val="none"/>
              </w:rPr>
              <w:t xml:space="preserve">分）</w:t>
            </w:r>
            <w:r/>
          </w:p>
        </w:tc>
        <w:tc>
          <w:tcPr>
            <w:tcBorders>
              <w:top w:val="single" w:color="auto" w:sz="4" w:space="0"/>
              <w:left w:val="single" w:color="auto" w:sz="4" w:space="0"/>
              <w:right w:val="single" w:color="auto" w:sz="4" w:space="0"/>
            </w:tcBorders>
            <w:tcW w:w="3390" w:type="pct"/>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项目实施方案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针对本项目的实施方案进行综合评审，方案描述本项目古籍数字化加工服务的行业标准、工作方法、实施流程，内容包括但不限于：①项目前期准备，②图像采集，③文字识别，④数据标引，⑤数据整合。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（1）方案完整合理、可行性高的得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（2）方案较完整合理，可行性较高得3分；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（3）方案一般，可行性一般得1分；</w:t>
            </w:r>
            <w:r/>
          </w:p>
          <w:p>
            <w:pPr>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（4）方案差或未提供的不得分。</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jc w:val="center"/>
        </w:trPr>
        <w:tc>
          <w:tcPr>
            <w:tcBorders>
              <w:left w:val="single" w:color="auto" w:sz="4" w:space="0"/>
              <w:right w:val="single" w:color="auto" w:sz="4" w:space="0"/>
            </w:tcBorders>
            <w:tcW w:w="937"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390" w:type="pct"/>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进度计划及保障措施方案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针对本项目的实施进度计划及保障措施方案进行综合评审，内容包括但不限于①进度计划安排，②设备保障，③人员保障，④应急措施。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（1）实施进度计划清晰、明确，保障措施完善、合理的得4分；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（2）进度计划符合采购人要求的工作时限，保障措施基本完善、合理的得3分；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（3）有进度计划相关内容，但内容含糊，保障措施不完善的得1分；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（4）方案差或不提供的不得分。</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r>
      <w:tr>
        <w:trPr>
          <w:jc w:val="center"/>
        </w:trPr>
        <w:tc>
          <w:tcPr>
            <w:tcBorders>
              <w:left w:val="single" w:color="auto" w:sz="4" w:space="0"/>
              <w:right w:val="single" w:color="auto" w:sz="4" w:space="0"/>
            </w:tcBorders>
            <w:tcW w:w="937"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390" w:type="pct"/>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安全保护方案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针对本项目制定的古籍原件安全保护方案及相关协议进行综合评审。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（1）方案内容完整、措施严密、责任分明，符合本项目特点及实际情况的得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（2）方案基本完整、描述较清晰、责任较明确，有一定针对性的得3分；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（3）方案不完善、存在明显漏洞、责任不清，没有针对性的得1分；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（4）方案差或未提供的不得分。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针对本项目制定的成果数据保护方案及相关协议进行综合评审。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（1）方案内容完整、措施严密、责任分明，符合本项目特点及实际情况的得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（2）方案基本完整、描述较清晰、责任较明确，有一定针对性的得3分；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（3）方案不完善、存在明显漏洞、责任不清，没有针对性的得1分；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（4）方案差或未提供的不得分。</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r>
      <w:tr>
        <w:trPr>
          <w:jc w:val="center"/>
        </w:trPr>
        <w:tc>
          <w:tcPr>
            <w:tcBorders>
              <w:left w:val="single" w:color="auto" w:sz="4" w:space="0"/>
              <w:right w:val="single" w:color="auto" w:sz="4" w:space="0"/>
            </w:tcBorders>
            <w:tcW w:w="937"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390" w:type="pct"/>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质量保证方案及措施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针对本项目的质量保证方案及措施进行综合评审，内容包括但不限于①图像质检，②文字内容质检，③信息标引质检，④数据备份质检，⑤第三方公司质检。</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（1）质量保证方案及措施详细，合理可行，方案总体相对完整的得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（2）质量保证方案及措施较详细，方案总体相对较完整的得3分；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（3）提供了项目质量保证方案及措施，方案总体相对一般的得1分；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（4）方案差或未提供的不得分。</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r>
      <w:tr>
        <w:trPr>
          <w:jc w:val="center"/>
        </w:trPr>
        <w:tc>
          <w:tcPr>
            <w:tcBorders>
              <w:left w:val="single" w:color="auto" w:sz="4" w:space="0"/>
              <w:right w:val="single" w:color="auto" w:sz="4" w:space="0"/>
            </w:tcBorders>
            <w:tcW w:w="937"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履约能力</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390" w:type="pct"/>
            <w:vAlign w:val="center"/>
            <w:textDirection w:val="lrTb"/>
            <w:noWrap w:val="false"/>
          </w:tcPr>
          <w:p>
            <w:pPr>
              <w:jc w:val="left"/>
              <w:spacing w:line="360" w:lineRule="auto"/>
              <w:rPr>
                <w:rFonts w:hint="eastAsia"/>
                <w:b/>
                <w:bCs/>
                <w:color w:val="auto"/>
                <w:highlight w:val="none"/>
              </w:rPr>
            </w:pPr>
            <w:r>
              <w:rPr>
                <w:rFonts w:hint="eastAsia"/>
                <w:color w:val="auto"/>
                <w:highlight w:val="none"/>
              </w:rPr>
              <w:t xml:space="preserve">1、</w:t>
            </w:r>
            <w:r>
              <w:rPr>
                <w:rFonts w:hint="eastAsia"/>
                <w:color w:val="auto"/>
                <w:highlight w:val="none"/>
                <w:lang w:val="en-US" w:eastAsia="zh-CN"/>
              </w:rPr>
              <w:t xml:space="preserve">供应商</w:t>
            </w:r>
            <w:r>
              <w:rPr>
                <w:rFonts w:hint="eastAsia"/>
                <w:color w:val="auto"/>
                <w:highlight w:val="none"/>
              </w:rPr>
              <w:t xml:space="preserve">具有古籍数字化加工流程（古籍文献图像处理、古籍文献OCR识别、古籍元数据著录和标引等）相关的软件著作权证书，每提供一个得</w:t>
            </w:r>
            <w:r>
              <w:rPr>
                <w:rFonts w:hint="eastAsia"/>
                <w:color w:val="auto"/>
                <w:highlight w:val="none"/>
                <w:lang w:val="en-US" w:eastAsia="zh-CN"/>
              </w:rPr>
              <w:t xml:space="preserve">2</w:t>
            </w:r>
            <w:r>
              <w:rPr>
                <w:rFonts w:hint="eastAsia"/>
                <w:color w:val="auto"/>
                <w:highlight w:val="none"/>
              </w:rPr>
              <w:t xml:space="preserve">分，最多得 </w:t>
            </w:r>
            <w:r>
              <w:rPr>
                <w:rFonts w:hint="eastAsia"/>
                <w:color w:val="auto"/>
                <w:highlight w:val="none"/>
                <w:lang w:val="en-US" w:eastAsia="zh-CN"/>
              </w:rPr>
              <w:t xml:space="preserve">8</w:t>
            </w:r>
            <w:r>
              <w:rPr>
                <w:rFonts w:hint="eastAsia"/>
                <w:color w:val="auto"/>
                <w:highlight w:val="none"/>
              </w:rPr>
              <w:t xml:space="preserve"> 分。</w:t>
            </w:r>
            <w:r/>
          </w:p>
          <w:p>
            <w:pPr>
              <w:jc w:val="left"/>
              <w:spacing w:line="360" w:lineRule="auto"/>
              <w:rPr>
                <w:rFonts w:hint="eastAsia"/>
                <w:b/>
                <w:bCs/>
                <w:color w:val="auto"/>
                <w:highlight w:val="none"/>
              </w:rPr>
            </w:pPr>
            <w:r>
              <w:rPr>
                <w:rFonts w:hint="eastAsia"/>
                <w:b/>
                <w:bCs/>
                <w:color w:val="auto"/>
                <w:highlight w:val="none"/>
              </w:rPr>
              <w:t xml:space="preserve">注：证书原件扫描件</w:t>
            </w:r>
            <w:r>
              <w:rPr>
                <w:rFonts w:hint="eastAsia"/>
                <w:b/>
                <w:bCs/>
                <w:color w:val="auto"/>
                <w:highlight w:val="none"/>
                <w:lang w:val="en-US" w:eastAsia="zh-CN"/>
              </w:rPr>
              <w:t xml:space="preserve">上传系统</w:t>
            </w:r>
            <w:r>
              <w:rPr>
                <w:rFonts w:hint="eastAsia"/>
                <w:b/>
                <w:bCs/>
                <w:color w:val="auto"/>
                <w:highlight w:val="none"/>
              </w:rPr>
              <w:t xml:space="preserve">，同时提供查询真伪网址及查询结果，否则不予计分。</w:t>
            </w:r>
            <w:r/>
          </w:p>
          <w:p>
            <w:pPr>
              <w:jc w:val="left"/>
              <w:spacing w:line="360" w:lineRule="auto"/>
              <w:rPr>
                <w:rFonts w:hint="eastAsia"/>
                <w:color w:val="auto"/>
                <w:highlight w:val="none"/>
              </w:rPr>
            </w:pPr>
            <w:r>
              <w:rPr>
                <w:rFonts w:hint="eastAsia"/>
                <w:color w:val="auto"/>
                <w:highlight w:val="none"/>
              </w:rPr>
              <w:t xml:space="preserve">2、供应商具备中国古籍保护协会会员单位的得</w:t>
            </w:r>
            <w:r>
              <w:rPr>
                <w:rFonts w:hint="eastAsia"/>
                <w:color w:val="auto"/>
                <w:highlight w:val="none"/>
                <w:lang w:val="en-US" w:eastAsia="zh-CN"/>
              </w:rPr>
              <w:t xml:space="preserve">2</w:t>
            </w:r>
            <w:r>
              <w:rPr>
                <w:rFonts w:hint="eastAsia"/>
                <w:color w:val="auto"/>
                <w:highlight w:val="none"/>
              </w:rPr>
              <w:t xml:space="preserve">分，提供相关证明材料。</w:t>
            </w:r>
            <w:r/>
          </w:p>
          <w:p>
            <w:pPr>
              <w:jc w:val="left"/>
              <w:spacing w:line="360" w:lineRule="auto"/>
              <w:rPr>
                <w:rFonts w:hint="eastAsia" w:ascii="宋体" w:hAnsi="宋体" w:cs="宋体"/>
                <w:color w:val="auto"/>
                <w:szCs w:val="21"/>
                <w:highlight w:val="none"/>
              </w:rPr>
            </w:pPr>
            <w:r>
              <w:rPr>
                <w:rFonts w:hint="eastAsia"/>
                <w:b/>
                <w:bCs/>
                <w:color w:val="auto"/>
                <w:highlight w:val="none"/>
              </w:rPr>
              <w:t xml:space="preserve">注：以上证书（须在有效期内）或证明资料原件扫描件</w:t>
            </w:r>
            <w:r>
              <w:rPr>
                <w:rFonts w:hint="eastAsia"/>
                <w:b/>
                <w:bCs/>
                <w:color w:val="auto"/>
                <w:highlight w:val="none"/>
                <w:lang w:val="en-US" w:eastAsia="zh-CN"/>
              </w:rPr>
              <w:t xml:space="preserve">上传系统</w:t>
            </w:r>
            <w:r>
              <w:rPr>
                <w:rFonts w:hint="eastAsia"/>
                <w:b/>
                <w:bCs/>
                <w:color w:val="auto"/>
                <w:highlight w:val="none"/>
              </w:rPr>
              <w:t xml:space="preserve">，否则不予计分。</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r>
      <w:tr>
        <w:trPr>
          <w:jc w:val="center"/>
        </w:trPr>
        <w:tc>
          <w:tcPr>
            <w:tcBorders>
              <w:left w:val="single" w:color="auto" w:sz="4" w:space="0"/>
              <w:right w:val="single" w:color="auto" w:sz="4" w:space="0"/>
            </w:tcBorders>
            <w:tcW w:w="937" w:type="pct"/>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团队人员及设备配置</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23</w:t>
            </w:r>
            <w:r>
              <w:rPr>
                <w:rFonts w:hint="eastAsia" w:ascii="宋体" w:hAnsi="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390" w:type="pct"/>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1.项目负责人</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项目负责人须具备以下</w:t>
            </w:r>
            <w:r>
              <w:rPr>
                <w:rFonts w:hint="eastAsia" w:ascii="宋体" w:hAnsi="宋体" w:cs="宋体"/>
                <w:color w:val="auto"/>
                <w:szCs w:val="21"/>
                <w:highlight w:val="none"/>
                <w:lang w:val="en-US" w:eastAsia="zh-CN"/>
              </w:rPr>
              <w:t xml:space="preserve">资格</w:t>
            </w:r>
            <w:r>
              <w:rPr>
                <w:rFonts w:hint="eastAsia" w:ascii="宋体" w:hAnsi="宋体" w:cs="宋体"/>
                <w:color w:val="auto"/>
                <w:szCs w:val="21"/>
                <w:highlight w:val="none"/>
              </w:rPr>
              <w:t xml:space="preserve">证书，单独具备其中1项得1分，2项得2分，同时具备得4分。</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（1）图书情报类或计算机技术类等相关专业硕士及以上学历；</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（2）具有</w:t>
            </w:r>
            <w:r>
              <w:rPr>
                <w:rFonts w:hint="eastAsia" w:ascii="宋体" w:hAnsi="宋体" w:cs="宋体"/>
                <w:color w:val="auto"/>
                <w:szCs w:val="21"/>
                <w:highlight w:val="none"/>
                <w:lang w:eastAsia="zh-CN"/>
              </w:rPr>
              <w:t xml:space="preserve">图书情报</w:t>
            </w:r>
            <w:r>
              <w:rPr>
                <w:rFonts w:hint="eastAsia" w:ascii="宋体" w:hAnsi="宋体" w:cs="宋体"/>
                <w:color w:val="auto"/>
                <w:szCs w:val="21"/>
                <w:highlight w:val="none"/>
              </w:rPr>
              <w:t xml:space="preserve">类或计算机技术类高级及以上职称；</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（3）拥有三年及以上古籍文献类数字化工作项目负责人经验。</w:t>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应提供以下证明材料</w:t>
            </w:r>
            <w:r>
              <w:rPr>
                <w:rFonts w:hint="eastAsia" w:ascii="宋体" w:hAnsi="宋体" w:cs="宋体"/>
                <w:b/>
                <w:bCs/>
                <w:color w:val="auto"/>
                <w:szCs w:val="21"/>
                <w:highlight w:val="none"/>
                <w:lang w:val="en-US" w:eastAsia="zh-CN"/>
              </w:rPr>
              <w:t xml:space="preserve">上传系统</w:t>
            </w:r>
            <w:r>
              <w:rPr>
                <w:rFonts w:hint="eastAsia" w:ascii="宋体" w:hAnsi="宋体" w:cs="宋体"/>
                <w:b/>
                <w:bCs/>
                <w:color w:val="auto"/>
                <w:szCs w:val="21"/>
                <w:highlight w:val="none"/>
              </w:rPr>
              <w:t xml:space="preserve">，缺项或漏项不得分：</w:t>
            </w:r>
            <w:r/>
          </w:p>
          <w:p>
            <w:pPr>
              <w:pStyle w:val="1026"/>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项目负责人</w:t>
            </w:r>
            <w:r>
              <w:rPr>
                <w:rFonts w:hint="eastAsia" w:ascii="宋体" w:hAnsi="宋体" w:cs="宋体"/>
                <w:color w:val="auto"/>
                <w:szCs w:val="21"/>
                <w:highlight w:val="none"/>
              </w:rPr>
              <w:t xml:space="preserve">的学历相关证明材料扫描件、职称证书扫描件和项目负责人三年及以上古籍文献类数字化工作经验书面证明材料（包含但不限于个人工作简历、参与项目履约合同等）。</w:t>
            </w:r>
            <w:r/>
          </w:p>
          <w:p>
            <w:pPr>
              <w:pStyle w:val="1026"/>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提供为项目</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缴纳的距离投标文件启封时间</w:t>
            </w:r>
            <w:r>
              <w:rPr>
                <w:rFonts w:hint="eastAsia" w:ascii="宋体" w:hAnsi="宋体" w:cs="宋体"/>
                <w:color w:val="auto"/>
                <w:szCs w:val="21"/>
                <w:highlight w:val="yellow"/>
              </w:rPr>
              <w:t xml:space="preserve">前</w:t>
            </w:r>
            <w:r>
              <w:rPr>
                <w:rFonts w:hint="eastAsia" w:ascii="宋体" w:hAnsi="宋体" w:cs="宋体"/>
                <w:color w:val="auto"/>
                <w:szCs w:val="21"/>
                <w:highlight w:val="yellow"/>
                <w:lang w:val="en-US" w:eastAsia="zh-CN"/>
              </w:rPr>
              <w:t xml:space="preserve">六个月</w:t>
            </w:r>
            <w:r>
              <w:rPr>
                <w:rFonts w:hint="eastAsia" w:ascii="宋体" w:hAnsi="宋体" w:cs="宋体"/>
                <w:color w:val="auto"/>
                <w:szCs w:val="21"/>
                <w:highlight w:val="yellow"/>
              </w:rPr>
              <w:t xml:space="preserve">内任意一个月</w:t>
            </w:r>
            <w:r>
              <w:rPr>
                <w:rFonts w:hint="eastAsia" w:ascii="宋体" w:hAnsi="宋体" w:cs="宋体"/>
                <w:color w:val="auto"/>
                <w:szCs w:val="21"/>
                <w:highlight w:val="none"/>
              </w:rPr>
              <w:t xml:space="preserve">的社保证明复印件。项目</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为退休返聘人员，应提供退休返聘劳动合同和距离投标文件启封时间</w:t>
            </w:r>
            <w:r>
              <w:rPr>
                <w:rFonts w:hint="eastAsia" w:ascii="宋体" w:hAnsi="宋体" w:cs="宋体"/>
                <w:color w:val="auto"/>
                <w:szCs w:val="21"/>
                <w:highlight w:val="yellow"/>
              </w:rPr>
              <w:t xml:space="preserve">前</w:t>
            </w:r>
            <w:r>
              <w:rPr>
                <w:rFonts w:hint="eastAsia" w:ascii="宋体" w:hAnsi="宋体" w:cs="宋体"/>
                <w:color w:val="auto"/>
                <w:szCs w:val="21"/>
                <w:highlight w:val="yellow"/>
                <w:lang w:val="en-US" w:eastAsia="zh-CN"/>
              </w:rPr>
              <w:t xml:space="preserve">六个月</w:t>
            </w:r>
            <w:r>
              <w:rPr>
                <w:rFonts w:hint="eastAsia" w:ascii="宋体" w:hAnsi="宋体" w:cs="宋体"/>
                <w:color w:val="auto"/>
                <w:szCs w:val="21"/>
                <w:highlight w:val="yellow"/>
              </w:rPr>
              <w:t xml:space="preserve">内任意一个月</w:t>
            </w:r>
            <w:r>
              <w:rPr>
                <w:rFonts w:hint="eastAsia" w:ascii="宋体" w:hAnsi="宋体" w:cs="宋体"/>
                <w:color w:val="auto"/>
                <w:szCs w:val="21"/>
                <w:highlight w:val="none"/>
              </w:rPr>
              <w:t xml:space="preserve">的企业账户支付工资证明材料。</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r>
      <w:tr>
        <w:trPr>
          <w:jc w:val="center"/>
        </w:trPr>
        <w:tc>
          <w:tcPr>
            <w:tcBorders>
              <w:left w:val="single" w:color="auto" w:sz="4" w:space="0"/>
              <w:right w:val="single" w:color="auto" w:sz="4" w:space="0"/>
            </w:tcBorders>
            <w:tcW w:w="937"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390" w:type="pct"/>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2.项目团队人员专业能力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项目团队成员（项目负责人除外）具备下列条件之一要求的，每有一人满足其中1项要求的得0.5分；每有一人同时满足2项要求的得1分，此项团队成员可累计得分，满分8分。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（1）项目团队成员具备图书情报类或计算机技术类中级及以上职称。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团队成员拥有国家图书馆培训中心颁发的图书文献编目证书或拥有国家古籍保护中心或省级古籍保护中心颁发的古籍工作类培训证书或由中国电子信息行业联合会和工信部教育与考试中心联合颁发的数据管理与知识服务相关证书。</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应提供以下证明材料</w:t>
            </w:r>
            <w:r>
              <w:rPr>
                <w:rFonts w:hint="eastAsia" w:ascii="宋体" w:hAnsi="宋体" w:cs="宋体"/>
                <w:b/>
                <w:bCs/>
                <w:color w:val="auto"/>
                <w:szCs w:val="21"/>
                <w:highlight w:val="none"/>
                <w:lang w:val="en-US" w:eastAsia="zh-CN"/>
              </w:rPr>
              <w:t xml:space="preserve">上传系统</w:t>
            </w:r>
            <w:r>
              <w:rPr>
                <w:rFonts w:hint="eastAsia" w:ascii="宋体" w:hAnsi="宋体" w:cs="宋体"/>
                <w:b/>
                <w:bCs/>
                <w:color w:val="auto"/>
                <w:szCs w:val="21"/>
                <w:highlight w:val="none"/>
              </w:rPr>
              <w:t xml:space="preserve">，缺项或漏项对应项目成员不计分：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提供项目团队成员的职称证书或相应技能证书复印件。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提供为项目团队成员缴纳的距离投标文件启封时间</w:t>
            </w:r>
            <w:r>
              <w:rPr>
                <w:rFonts w:hint="eastAsia" w:ascii="宋体" w:hAnsi="宋体" w:cs="宋体"/>
                <w:color w:val="auto"/>
                <w:szCs w:val="21"/>
                <w:highlight w:val="yellow"/>
              </w:rPr>
              <w:t xml:space="preserve">前</w:t>
            </w:r>
            <w:r>
              <w:rPr>
                <w:rFonts w:hint="eastAsia" w:ascii="宋体" w:hAnsi="宋体" w:cs="宋体"/>
                <w:color w:val="auto"/>
                <w:szCs w:val="21"/>
                <w:highlight w:val="yellow"/>
                <w:lang w:val="en-US" w:eastAsia="zh-CN"/>
              </w:rPr>
              <w:t xml:space="preserve">六个月</w:t>
            </w:r>
            <w:r>
              <w:rPr>
                <w:rFonts w:hint="eastAsia" w:ascii="宋体" w:hAnsi="宋体" w:cs="宋体"/>
                <w:color w:val="auto"/>
                <w:szCs w:val="21"/>
                <w:highlight w:val="yellow"/>
              </w:rPr>
              <w:t xml:space="preserve">内任意</w:t>
            </w:r>
            <w:r>
              <w:rPr>
                <w:rFonts w:hint="eastAsia" w:ascii="宋体" w:hAnsi="宋体" w:cs="宋体"/>
                <w:color w:val="auto"/>
                <w:szCs w:val="21"/>
                <w:highlight w:val="yellow"/>
                <w:lang w:val="en-US" w:eastAsia="zh-CN"/>
              </w:rPr>
              <w:t xml:space="preserve">一</w:t>
            </w:r>
            <w:r>
              <w:rPr>
                <w:rFonts w:hint="eastAsia" w:ascii="宋体" w:hAnsi="宋体" w:cs="宋体"/>
                <w:color w:val="auto"/>
                <w:szCs w:val="21"/>
                <w:highlight w:val="yellow"/>
              </w:rPr>
              <w:t xml:space="preserve">个月</w:t>
            </w:r>
            <w:r>
              <w:rPr>
                <w:rFonts w:hint="eastAsia" w:ascii="宋体" w:hAnsi="宋体" w:cs="宋体"/>
                <w:color w:val="auto"/>
                <w:szCs w:val="21"/>
                <w:highlight w:val="none"/>
              </w:rPr>
              <w:t xml:space="preserve">的社保证明复印件。项目团队成员为退休返聘人员，应提供退休返聘劳动合同和距离投标文件启封时间</w:t>
            </w:r>
            <w:r>
              <w:rPr>
                <w:rFonts w:hint="eastAsia" w:ascii="宋体" w:hAnsi="宋体" w:cs="宋体"/>
                <w:color w:val="auto"/>
                <w:szCs w:val="21"/>
                <w:highlight w:val="yellow"/>
              </w:rPr>
              <w:t xml:space="preserve">前</w:t>
            </w:r>
            <w:r>
              <w:rPr>
                <w:rFonts w:hint="eastAsia" w:ascii="宋体" w:hAnsi="宋体" w:cs="宋体"/>
                <w:color w:val="auto"/>
                <w:szCs w:val="21"/>
                <w:highlight w:val="yellow"/>
                <w:lang w:val="en-US" w:eastAsia="zh-CN"/>
              </w:rPr>
              <w:t xml:space="preserve">六个月</w:t>
            </w:r>
            <w:r>
              <w:rPr>
                <w:rFonts w:hint="eastAsia" w:ascii="宋体" w:hAnsi="宋体" w:cs="宋体"/>
                <w:color w:val="auto"/>
                <w:szCs w:val="21"/>
                <w:highlight w:val="yellow"/>
              </w:rPr>
              <w:t xml:space="preserve">内任意</w:t>
            </w:r>
            <w:r>
              <w:rPr>
                <w:rFonts w:hint="eastAsia" w:ascii="宋体" w:hAnsi="宋体" w:cs="宋体"/>
                <w:color w:val="auto"/>
                <w:szCs w:val="21"/>
                <w:highlight w:val="yellow"/>
                <w:lang w:val="en-US" w:eastAsia="zh-CN"/>
              </w:rPr>
              <w:t xml:space="preserve">一</w:t>
            </w:r>
            <w:r>
              <w:rPr>
                <w:rFonts w:hint="eastAsia" w:ascii="宋体" w:hAnsi="宋体" w:cs="宋体"/>
                <w:color w:val="auto"/>
                <w:szCs w:val="21"/>
                <w:highlight w:val="yellow"/>
              </w:rPr>
              <w:t xml:space="preserve">个月</w:t>
            </w:r>
            <w:r>
              <w:rPr>
                <w:rFonts w:hint="eastAsia" w:ascii="宋体" w:hAnsi="宋体" w:cs="宋体"/>
                <w:color w:val="auto"/>
                <w:szCs w:val="21"/>
                <w:highlight w:val="none"/>
              </w:rPr>
              <w:t xml:space="preserve">的企业账户支付工资证明材料。</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jc w:val="center"/>
        </w:trPr>
        <w:tc>
          <w:tcPr>
            <w:tcBorders>
              <w:left w:val="single" w:color="auto" w:sz="4" w:space="0"/>
              <w:right w:val="single" w:color="auto" w:sz="4" w:space="0"/>
            </w:tcBorders>
            <w:tcW w:w="937"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390" w:type="pct"/>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3.项目团队成员数量</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项目团队成员数量在满足20人的基础上，每增加一名成员，具备下列条件之一要求的，每有一人满足其中1项要求的得0.5分；每有一人同时满足2项要求的得1分，此项团队成员可累计得分，此项满分</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（1）项目团队成员具备</w:t>
            </w:r>
            <w:r>
              <w:rPr>
                <w:rFonts w:hint="eastAsia" w:ascii="宋体" w:hAnsi="宋体" w:cs="宋体"/>
                <w:color w:val="auto"/>
                <w:szCs w:val="21"/>
                <w:highlight w:val="none"/>
                <w:lang w:eastAsia="zh-CN"/>
              </w:rPr>
              <w:t xml:space="preserve">图书情报</w:t>
            </w:r>
            <w:r>
              <w:rPr>
                <w:rFonts w:hint="eastAsia" w:ascii="宋体" w:hAnsi="宋体" w:cs="宋体"/>
                <w:color w:val="auto"/>
                <w:szCs w:val="21"/>
                <w:highlight w:val="none"/>
              </w:rPr>
              <w:t xml:space="preserve">类或计算机技术类中级及以上职称。</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团队成员拥有国家图书馆培训中心颁发的图书文献编目证书或拥有国家古籍保护中心或省级古籍保护中心颁发的古籍工作类培训证书或由中国电子信息行业联合会和工信部教育与考试中心联合颁发的数据管理与知识服务相关证书。</w:t>
            </w:r>
            <w:r/>
          </w:p>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应提供以下证明材料</w:t>
            </w:r>
            <w:r>
              <w:rPr>
                <w:rFonts w:hint="eastAsia" w:ascii="宋体" w:hAnsi="宋体" w:cs="宋体"/>
                <w:b/>
                <w:bCs/>
                <w:color w:val="auto"/>
                <w:szCs w:val="21"/>
                <w:highlight w:val="none"/>
                <w:lang w:val="en-US" w:eastAsia="zh-CN"/>
              </w:rPr>
              <w:t xml:space="preserve">上传系统</w:t>
            </w:r>
            <w:r>
              <w:rPr>
                <w:rFonts w:hint="eastAsia" w:ascii="宋体" w:hAnsi="宋体" w:cs="宋体"/>
                <w:b/>
                <w:bCs/>
                <w:color w:val="auto"/>
                <w:szCs w:val="21"/>
                <w:highlight w:val="none"/>
              </w:rPr>
              <w:t xml:space="preserve">，缺项或漏项对应项目成员不计分：</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①应在投标文件中提供人员配备一览表。未在人员配备一览表中列明的成员，不计分。</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提供为项目团队成员缴纳的距离投标文件启封时间</w:t>
            </w:r>
            <w:r>
              <w:rPr>
                <w:rFonts w:hint="eastAsia" w:ascii="宋体" w:hAnsi="宋体" w:cs="宋体"/>
                <w:color w:val="auto"/>
                <w:szCs w:val="21"/>
                <w:highlight w:val="yellow"/>
              </w:rPr>
              <w:t xml:space="preserve">前</w:t>
            </w:r>
            <w:r>
              <w:rPr>
                <w:rFonts w:hint="eastAsia" w:ascii="宋体" w:hAnsi="宋体" w:cs="宋体"/>
                <w:color w:val="auto"/>
                <w:szCs w:val="21"/>
                <w:highlight w:val="yellow"/>
                <w:lang w:val="en-US" w:eastAsia="zh-CN"/>
              </w:rPr>
              <w:t xml:space="preserve">六个月内</w:t>
            </w:r>
            <w:r>
              <w:rPr>
                <w:rFonts w:hint="eastAsia" w:ascii="宋体" w:hAnsi="宋体" w:cs="宋体"/>
                <w:color w:val="auto"/>
                <w:szCs w:val="21"/>
                <w:highlight w:val="yellow"/>
              </w:rPr>
              <w:t xml:space="preserve">任意</w:t>
            </w:r>
            <w:r>
              <w:rPr>
                <w:rFonts w:hint="eastAsia" w:ascii="宋体" w:hAnsi="宋体" w:cs="宋体"/>
                <w:color w:val="auto"/>
                <w:szCs w:val="21"/>
                <w:highlight w:val="yellow"/>
                <w:lang w:val="en-US" w:eastAsia="zh-CN"/>
              </w:rPr>
              <w:t xml:space="preserve">一</w:t>
            </w:r>
            <w:r>
              <w:rPr>
                <w:rFonts w:hint="eastAsia" w:ascii="宋体" w:hAnsi="宋体" w:cs="宋体"/>
                <w:color w:val="auto"/>
                <w:szCs w:val="21"/>
                <w:highlight w:val="yellow"/>
              </w:rPr>
              <w:t xml:space="preserve">个月</w:t>
            </w:r>
            <w:r>
              <w:rPr>
                <w:rFonts w:hint="eastAsia" w:ascii="宋体" w:hAnsi="宋体" w:cs="宋体"/>
                <w:color w:val="auto"/>
                <w:szCs w:val="21"/>
                <w:highlight w:val="none"/>
              </w:rPr>
              <w:t xml:space="preserve">的社保证明复印件。项目团队成员为退休返聘人员，应提供退休返聘劳动合同和距离投标文件启封时间</w:t>
            </w:r>
            <w:r>
              <w:rPr>
                <w:rFonts w:hint="eastAsia" w:ascii="宋体" w:hAnsi="宋体" w:cs="宋体"/>
                <w:color w:val="auto"/>
                <w:szCs w:val="21"/>
                <w:highlight w:val="yellow"/>
              </w:rPr>
              <w:t xml:space="preserve">前</w:t>
            </w:r>
            <w:r>
              <w:rPr>
                <w:rFonts w:hint="eastAsia" w:ascii="宋体" w:hAnsi="宋体" w:cs="宋体"/>
                <w:color w:val="auto"/>
                <w:szCs w:val="21"/>
                <w:highlight w:val="yellow"/>
                <w:lang w:val="en-US" w:eastAsia="zh-CN"/>
              </w:rPr>
              <w:t xml:space="preserve">六个月内</w:t>
            </w:r>
            <w:r>
              <w:rPr>
                <w:rFonts w:hint="eastAsia" w:ascii="宋体" w:hAnsi="宋体" w:cs="宋体"/>
                <w:color w:val="auto"/>
                <w:szCs w:val="21"/>
                <w:highlight w:val="yellow"/>
              </w:rPr>
              <w:t xml:space="preserve">任意</w:t>
            </w:r>
            <w:r>
              <w:rPr>
                <w:rFonts w:hint="eastAsia" w:ascii="宋体" w:hAnsi="宋体" w:cs="宋体"/>
                <w:color w:val="auto"/>
                <w:szCs w:val="21"/>
                <w:highlight w:val="yellow"/>
                <w:lang w:val="en-US" w:eastAsia="zh-CN"/>
              </w:rPr>
              <w:t xml:space="preserve">一</w:t>
            </w:r>
            <w:r>
              <w:rPr>
                <w:rFonts w:hint="eastAsia" w:ascii="宋体" w:hAnsi="宋体" w:cs="宋体"/>
                <w:color w:val="auto"/>
                <w:szCs w:val="21"/>
                <w:highlight w:val="yellow"/>
              </w:rPr>
              <w:t xml:space="preserve">个月</w:t>
            </w:r>
            <w:r>
              <w:rPr>
                <w:rFonts w:hint="eastAsia" w:ascii="宋体" w:hAnsi="宋体" w:cs="宋体"/>
                <w:color w:val="auto"/>
                <w:szCs w:val="21"/>
                <w:highlight w:val="none"/>
              </w:rPr>
              <w:t xml:space="preserve">的企业账户支付工资证明材料。</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提供项目团队成员的职称证书或相应技能证书复印件。</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7分</w:t>
            </w:r>
            <w:r/>
          </w:p>
        </w:tc>
      </w:tr>
      <w:tr>
        <w:trPr>
          <w:jc w:val="center"/>
        </w:trPr>
        <w:tc>
          <w:tcPr>
            <w:tcBorders>
              <w:left w:val="single" w:color="auto" w:sz="4" w:space="0"/>
              <w:right w:val="single" w:color="auto" w:sz="4" w:space="0"/>
            </w:tcBorders>
            <w:tcW w:w="937" w:type="pct"/>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390" w:type="pct"/>
            <w:vAlign w:val="center"/>
            <w:textDirection w:val="lrTb"/>
            <w:noWrap w:val="false"/>
          </w:tcPr>
          <w:p>
            <w:pPr>
              <w:numPr>
                <w:ilvl w:val="0"/>
                <w:numId w:val="2"/>
              </w:numPr>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拟投入扫描仪设备</w:t>
            </w:r>
            <w:r/>
          </w:p>
          <w:p>
            <w:pPr>
              <w:ind w:firstLine="21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rPr>
              <w:t xml:space="preserve">拟投入本项目中使用的专用非接触式书刊类扫描仪，应在提供满足招标文件“项目需求”中设备技术参数的3台设备基础上，每多提供一台得1分，此项满分4分。</w:t>
            </w:r>
            <w:r/>
          </w:p>
          <w:p>
            <w:pPr>
              <w:ind w:firstLine="211"/>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应提供以下证明材料，缺项或漏项对应扫描仪不计分：</w:t>
            </w:r>
            <w:r/>
          </w:p>
          <w:p>
            <w:pPr>
              <w:ind w:firstLine="21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①应在投标文件中提供扫描仪设备配备一览表（包含但不限于产品名称、规格型号、技术参数、数量等）。</w:t>
            </w:r>
            <w:r/>
          </w:p>
          <w:p>
            <w:pPr>
              <w:numPr>
                <w:ilvl w:val="0"/>
                <w:numId w:val="0"/>
              </w:numPr>
              <w:jc w:val="left"/>
              <w:keepLines w:val="0"/>
              <w:keepNext w:val="0"/>
              <w:pageBreakBefore w:val="0"/>
              <w:spacing w:line="360" w:lineRule="auto"/>
              <w:rPr>
                <w:rFonts w:hint="eastAsia" w:ascii="宋体" w:hAnsi="宋体" w:cs="宋体"/>
                <w:color w:val="auto"/>
                <w:szCs w:val="21"/>
                <w:highlight w:val="none"/>
                <w:lang w:val="en-US" w:eastAsia="zh-CN"/>
              </w:rPr>
            </w:pPr>
            <w:r>
              <w:rPr>
                <w:rFonts w:hint="eastAsia" w:ascii="宋体" w:hAnsi="宋体" w:eastAsia="宋体" w:cs="宋体"/>
                <w:bCs/>
                <w:color w:val="auto"/>
                <w:sz w:val="21"/>
                <w:szCs w:val="21"/>
                <w:highlight w:val="none"/>
              </w:rPr>
              <w:t xml:space="preserve">②应提供扫描仪采购发票复印件（发票购买者名称应与</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企业名称、税号一致；扫描仪发票产品型号规格应与对应设备一致）；设备为租赁的，应提供租赁合同复印件和出租方购买设备发票复印件（发票购买者名称应与出租方名称、税号一致；扫描仪发票产品型号规格应与对应设备一致）。</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r>
      <w:tr>
        <w:trPr>
          <w:jc w:val="center"/>
          <w:trHeight w:val="807"/>
        </w:trPr>
        <w:tc>
          <w:tcPr>
            <w:tcBorders>
              <w:top w:val="single" w:color="auto" w:sz="4" w:space="0"/>
              <w:left w:val="single" w:color="auto" w:sz="4" w:space="0"/>
              <w:right w:val="single" w:color="auto" w:sz="4" w:space="0"/>
            </w:tcBorders>
            <w:tcW w:w="937"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业绩</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w:t>
            </w:r>
            <w:r/>
          </w:p>
        </w:tc>
        <w:tc>
          <w:tcPr>
            <w:tcBorders>
              <w:top w:val="single" w:color="auto" w:sz="4" w:space="0"/>
              <w:left w:val="single" w:color="auto" w:sz="4" w:space="0"/>
              <w:right w:val="single" w:color="auto" w:sz="4" w:space="0"/>
            </w:tcBorders>
            <w:tcW w:w="3390" w:type="pct"/>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年01月01日以来（以合同签订时间为准），</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en-US" w:eastAsia="zh-CN"/>
              </w:rPr>
              <w:t xml:space="preserve">类似</w:t>
            </w:r>
            <w:r>
              <w:rPr>
                <w:rFonts w:hint="eastAsia" w:ascii="宋体" w:hAnsi="宋体" w:cs="宋体"/>
                <w:color w:val="auto"/>
                <w:szCs w:val="21"/>
                <w:highlight w:val="none"/>
              </w:rPr>
              <w:t xml:space="preserve">古籍</w:t>
            </w:r>
            <w:r>
              <w:rPr>
                <w:rFonts w:hint="eastAsia" w:ascii="宋体" w:hAnsi="宋体" w:cs="宋体"/>
                <w:color w:val="auto"/>
                <w:szCs w:val="21"/>
                <w:highlight w:val="none"/>
                <w:lang w:val="en-US" w:eastAsia="zh-CN"/>
              </w:rPr>
              <w:t xml:space="preserve">数字化加工</w:t>
            </w:r>
            <w:r>
              <w:rPr>
                <w:rFonts w:hint="eastAsia" w:ascii="宋体" w:hAnsi="宋体" w:cs="宋体"/>
                <w:color w:val="auto"/>
                <w:szCs w:val="21"/>
                <w:highlight w:val="none"/>
              </w:rPr>
              <w:t xml:space="preserve">类项目业绩的合同，每提供1个业绩得 2 分，满分 10分。</w:t>
            </w:r>
            <w:r/>
          </w:p>
          <w:p>
            <w:pPr>
              <w:jc w:val="left"/>
              <w:spacing w:line="360" w:lineRule="auto"/>
              <w:rPr>
                <w:color w:val="auto"/>
                <w:highlight w:val="none"/>
              </w:rPr>
            </w:pPr>
            <w:r>
              <w:rPr>
                <w:rFonts w:hint="eastAsia" w:ascii="宋体" w:hAnsi="宋体" w:cs="宋体"/>
                <w:b/>
                <w:color w:val="auto"/>
                <w:szCs w:val="21"/>
                <w:highlight w:val="none"/>
              </w:rPr>
              <w:t xml:space="preserve">应提供以下证明材料上传系统，缺项或漏项项目业绩不计分：</w:t>
            </w:r>
            <w:r>
              <w:rPr>
                <w:rFonts w:hint="eastAsia" w:ascii="宋体" w:hAnsi="宋体" w:cs="宋体"/>
                <w:color w:val="auto"/>
                <w:szCs w:val="21"/>
                <w:highlight w:val="none"/>
              </w:rPr>
              <w:t xml:space="preserve">响应文件中应提供项目业绩合同（合同应包含合同首页、服务内容页、签字盖章页）</w:t>
            </w:r>
            <w:r/>
          </w:p>
        </w:tc>
        <w:tc>
          <w:tcPr>
            <w:tcBorders>
              <w:top w:val="single" w:color="auto" w:sz="4" w:space="0"/>
              <w:left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b/>
                <w:bCs/>
                <w:color w:val="auto"/>
                <w:szCs w:val="21"/>
                <w:highlight w:val="none"/>
              </w:rPr>
            </w:pPr>
            <w:r>
              <w:rPr>
                <w:rFonts w:hint="eastAsia" w:ascii="宋体" w:hAnsi="宋体" w:cs="宋体"/>
                <w:b w:val="0"/>
                <w:bCs w:val="0"/>
                <w:color w:val="auto"/>
                <w:szCs w:val="21"/>
                <w:highlight w:val="none"/>
                <w:lang w:val="en-US" w:eastAsia="zh-CN"/>
              </w:rPr>
              <w:t xml:space="preserve">10</w:t>
            </w:r>
            <w:r>
              <w:rPr>
                <w:rFonts w:hint="eastAsia" w:ascii="宋体" w:hAnsi="宋体" w:cs="宋体"/>
                <w:b w:val="0"/>
                <w:bCs w:val="0"/>
                <w:color w:val="auto"/>
                <w:szCs w:val="21"/>
                <w:highlight w:val="none"/>
              </w:rPr>
              <w:t xml:space="preserve">分</w:t>
            </w:r>
            <w:r/>
          </w:p>
        </w:tc>
      </w:tr>
      <w:tr>
        <w:trPr>
          <w:jc w:val="center"/>
          <w:trHeight w:val="90"/>
        </w:trPr>
        <w:tc>
          <w:tcPr>
            <w:tcBorders>
              <w:left w:val="single" w:color="auto" w:sz="4" w:space="0"/>
              <w:right w:val="single" w:color="auto" w:sz="4" w:space="0"/>
            </w:tcBorders>
            <w:tcW w:w="937"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系统演示</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14</w:t>
            </w:r>
            <w:r>
              <w:rPr>
                <w:rFonts w:hint="eastAsia" w:ascii="宋体" w:hAnsi="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39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供应商应上传演示视频，根据“</w:t>
            </w:r>
            <w:r>
              <w:rPr>
                <w:rFonts w:hint="eastAsia" w:ascii="宋体" w:hAnsi="宋体" w:cs="宋体"/>
                <w:b/>
                <w:bCs/>
                <w:color w:val="auto"/>
                <w:szCs w:val="21"/>
                <w:highlight w:val="none"/>
              </w:rPr>
              <w:t xml:space="preserve">演示效果要求</w:t>
            </w:r>
            <w:r>
              <w:rPr>
                <w:rFonts w:hint="eastAsia" w:ascii="宋体" w:hAnsi="宋体" w:cs="宋体"/>
                <w:color w:val="auto"/>
                <w:szCs w:val="21"/>
                <w:highlight w:val="none"/>
              </w:rPr>
              <w:t xml:space="preserve">”和“</w:t>
            </w:r>
            <w:r>
              <w:rPr>
                <w:rFonts w:hint="eastAsia" w:ascii="宋体" w:hAnsi="宋体" w:cs="宋体"/>
                <w:b/>
                <w:bCs/>
                <w:color w:val="auto"/>
                <w:szCs w:val="21"/>
                <w:highlight w:val="none"/>
              </w:rPr>
              <w:t xml:space="preserve">演示功能要求</w:t>
            </w:r>
            <w:r>
              <w:rPr>
                <w:rFonts w:hint="eastAsia" w:ascii="宋体" w:hAnsi="宋体" w:cs="宋体"/>
                <w:color w:val="auto"/>
                <w:szCs w:val="21"/>
                <w:highlight w:val="none"/>
              </w:rPr>
              <w:t xml:space="preserve">”录制演示视频（录像或录屏），视频格式为MP4。演示时间不得超过15分钟。共有四项演示功能要求，此项满分14分。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演示效果要求：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提供的视频必须是对实际运行系统进行的录制或录屛；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（2）每个演示完全满足演示要求的得3.5分；演示欠流畅或功能欠缺的得1.5分；非实际运行系统演示视频或不提供的不得分。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演示功能要求：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（1）古籍扫描、图像处理功能（3.5分）；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（2）古籍OCR全文识别功能（3.5分）；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（3）古籍数据标引功能（3.5分）；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（4）古籍数字化资源发布功能（分类导航、卷目篇目分级导航、全文检索、文本与图像对比展示）（3.5分）。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未提供演示视频不得分。</w:t>
            </w:r>
            <w:r/>
          </w:p>
          <w:p>
            <w:pPr>
              <w:jc w:val="left"/>
              <w:spacing w:line="360" w:lineRule="auto"/>
              <w:tabs>
                <w:tab w:val="left" w:pos="3629" w:leader="none"/>
              </w:tabs>
              <w:rPr>
                <w:rFonts w:hint="eastAsia" w:cs="宋体"/>
                <w:color w:val="auto"/>
                <w:szCs w:val="21"/>
                <w:highlight w:val="none"/>
              </w:rPr>
            </w:pPr>
            <w:r>
              <w:rPr>
                <w:rFonts w:hint="eastAsia" w:cs="宋体"/>
                <w:color w:val="auto"/>
                <w:szCs w:val="21"/>
                <w:highlight w:val="none"/>
              </w:rPr>
              <w:t xml:space="preserve">说明：</w:t>
            </w:r>
            <w:r/>
          </w:p>
          <w:p>
            <w:pPr>
              <w:jc w:val="left"/>
              <w:spacing w:line="360" w:lineRule="auto"/>
              <w:tabs>
                <w:tab w:val="left" w:pos="3629" w:leader="none"/>
              </w:tabs>
              <w:rPr>
                <w:rFonts w:hint="eastAsia" w:cs="宋体"/>
                <w:color w:val="auto"/>
                <w:szCs w:val="21"/>
                <w:highlight w:val="none"/>
              </w:rPr>
            </w:pPr>
            <w:r>
              <w:rPr>
                <w:rFonts w:hint="eastAsia" w:cs="宋体"/>
                <w:color w:val="auto"/>
                <w:szCs w:val="21"/>
                <w:highlight w:val="none"/>
              </w:rPr>
              <w:t xml:space="preserve">1、供应商可自行选择</w:t>
            </w:r>
            <w:r>
              <w:rPr>
                <w:rFonts w:hint="eastAsia" w:cs="宋体"/>
                <w:color w:val="auto"/>
                <w:szCs w:val="21"/>
                <w:highlight w:val="none"/>
                <w:lang w:val="en-US" w:eastAsia="zh-CN"/>
              </w:rPr>
              <w:t xml:space="preserve">线上演示</w:t>
            </w:r>
            <w:r>
              <w:rPr>
                <w:rFonts w:hint="eastAsia" w:cs="宋体"/>
                <w:color w:val="auto"/>
                <w:szCs w:val="21"/>
                <w:highlight w:val="none"/>
              </w:rPr>
              <w:t xml:space="preserve">、线</w:t>
            </w:r>
            <w:r>
              <w:rPr>
                <w:rFonts w:hint="eastAsia" w:cs="宋体"/>
                <w:color w:val="auto"/>
                <w:szCs w:val="21"/>
                <w:highlight w:val="none"/>
                <w:lang w:val="en-US" w:eastAsia="zh-CN"/>
              </w:rPr>
              <w:t xml:space="preserve">下演示</w:t>
            </w:r>
            <w:r>
              <w:rPr>
                <w:rFonts w:hint="eastAsia" w:cs="宋体"/>
                <w:color w:val="auto"/>
                <w:szCs w:val="21"/>
                <w:highlight w:val="none"/>
              </w:rPr>
              <w:t xml:space="preserve">。</w:t>
            </w:r>
            <w:r/>
          </w:p>
          <w:p>
            <w:pPr>
              <w:jc w:val="left"/>
              <w:spacing w:line="360" w:lineRule="auto"/>
              <w:tabs>
                <w:tab w:val="left" w:pos="3629" w:leader="none"/>
              </w:tabs>
              <w:rPr>
                <w:rFonts w:hint="eastAsia" w:cs="宋体"/>
                <w:color w:val="auto"/>
                <w:szCs w:val="21"/>
                <w:highlight w:val="none"/>
              </w:rPr>
            </w:pPr>
            <w:r>
              <w:rPr>
                <w:rFonts w:hint="eastAsia" w:cs="宋体"/>
                <w:color w:val="auto"/>
                <w:szCs w:val="21"/>
                <w:highlight w:val="none"/>
              </w:rPr>
              <w:t xml:space="preserve">2、选择参加</w:t>
            </w:r>
            <w:r>
              <w:rPr>
                <w:rFonts w:hint="eastAsia" w:cs="宋体"/>
                <w:color w:val="auto"/>
                <w:szCs w:val="21"/>
                <w:highlight w:val="none"/>
                <w:lang w:val="en-US" w:eastAsia="zh-CN"/>
              </w:rPr>
              <w:t xml:space="preserve">线上演示</w:t>
            </w:r>
            <w:r>
              <w:rPr>
                <w:rFonts w:hint="eastAsia" w:cs="宋体"/>
                <w:color w:val="auto"/>
                <w:szCs w:val="21"/>
                <w:highlight w:val="none"/>
              </w:rPr>
              <w:t xml:space="preserve">的供应商，请在响应文件递交截止时间前</w:t>
            </w:r>
            <w:r>
              <w:rPr>
                <w:rFonts w:hint="eastAsia" w:cs="宋体"/>
                <w:color w:val="auto"/>
                <w:szCs w:val="21"/>
                <w:highlight w:val="none"/>
                <w:lang w:val="en-US" w:eastAsia="zh-CN"/>
              </w:rPr>
              <w:t xml:space="preserve">将演示视频上传系统</w:t>
            </w:r>
            <w:r>
              <w:rPr>
                <w:rFonts w:hint="eastAsia"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cs="宋体"/>
                <w:color w:val="auto"/>
                <w:szCs w:val="21"/>
                <w:highlight w:val="none"/>
              </w:rPr>
              <w:t xml:space="preserve">3、选择参加</w:t>
            </w:r>
            <w:r>
              <w:rPr>
                <w:rFonts w:hint="eastAsia" w:cs="宋体"/>
                <w:color w:val="auto"/>
                <w:szCs w:val="21"/>
                <w:highlight w:val="none"/>
                <w:lang w:val="en-US" w:eastAsia="zh-CN"/>
              </w:rPr>
              <w:t xml:space="preserve">线下演示</w:t>
            </w:r>
            <w:r>
              <w:rPr>
                <w:rFonts w:hint="eastAsia" w:cs="宋体"/>
                <w:color w:val="auto"/>
                <w:szCs w:val="21"/>
                <w:highlight w:val="none"/>
              </w:rPr>
              <w:t xml:space="preserve">的供应商，请将</w:t>
            </w:r>
            <w:r>
              <w:rPr>
                <w:rFonts w:hint="eastAsia" w:cs="宋体"/>
                <w:color w:val="auto"/>
                <w:szCs w:val="21"/>
                <w:highlight w:val="none"/>
                <w:lang w:val="en-US" w:eastAsia="zh-CN"/>
              </w:rPr>
              <w:t xml:space="preserve">演示</w:t>
            </w:r>
            <w:r>
              <w:rPr>
                <w:rFonts w:hint="eastAsia" w:cs="宋体"/>
                <w:color w:val="auto"/>
                <w:szCs w:val="21"/>
                <w:highlight w:val="none"/>
              </w:rPr>
              <w:t xml:space="preserve">视频存放在U盘内，将U盘密封在不透明的包装物中，在响应文件递交截止时间前采用邮寄或现场送达的方式，递交至江苏省扬州市翠岗路48号江苏苏维工程管理有限公司三楼代理二部（</w:t>
            </w:r>
            <w:r>
              <w:rPr>
                <w:rFonts w:hint="eastAsia" w:cs="宋体"/>
                <w:color w:val="auto"/>
                <w:szCs w:val="21"/>
                <w:highlight w:val="none"/>
                <w:lang w:val="en-US" w:eastAsia="zh-CN"/>
              </w:rPr>
              <w:t xml:space="preserve">袁玲</w:t>
            </w:r>
            <w:r>
              <w:rPr>
                <w:rFonts w:hint="eastAsia" w:cs="宋体"/>
                <w:color w:val="auto"/>
                <w:szCs w:val="21"/>
                <w:highlight w:val="none"/>
              </w:rPr>
              <w:t xml:space="preserve">，0514-</w:t>
            </w:r>
            <w:r>
              <w:rPr>
                <w:rFonts w:hint="eastAsia" w:cs="宋体"/>
                <w:color w:val="auto"/>
                <w:szCs w:val="21"/>
                <w:highlight w:val="none"/>
                <w:lang w:val="en-US" w:eastAsia="zh-CN"/>
              </w:rPr>
              <w:t xml:space="preserve">87986785</w:t>
            </w:r>
            <w:r>
              <w:rPr>
                <w:rFonts w:hint="eastAsia" w:cs="宋体"/>
                <w:color w:val="auto"/>
                <w:szCs w:val="21"/>
                <w:highlight w:val="none"/>
              </w:rPr>
              <w:t xml:space="preserve">），由工作人员签收保存。</w:t>
            </w:r>
            <w:r>
              <w:rPr>
                <w:rFonts w:hint="eastAsia" w:cs="宋体"/>
                <w:color w:val="auto"/>
                <w:szCs w:val="21"/>
                <w:highlight w:val="none"/>
                <w:lang w:val="en-US" w:eastAsia="zh-CN"/>
              </w:rPr>
              <w:t xml:space="preserve">须确保U盘</w:t>
            </w:r>
            <w:r>
              <w:rPr>
                <w:rFonts w:hint="eastAsia" w:cs="宋体"/>
                <w:color w:val="auto"/>
                <w:szCs w:val="21"/>
                <w:highlight w:val="none"/>
              </w:rPr>
              <w:t xml:space="preserve">内视频</w:t>
            </w:r>
            <w:r>
              <w:rPr>
                <w:rFonts w:hint="eastAsia" w:cs="宋体"/>
                <w:color w:val="auto"/>
                <w:szCs w:val="21"/>
                <w:highlight w:val="none"/>
                <w:lang w:val="en-US" w:eastAsia="zh-CN"/>
              </w:rPr>
              <w:t xml:space="preserve">能</w:t>
            </w:r>
            <w:r>
              <w:rPr>
                <w:rFonts w:hint="eastAsia" w:cs="宋体"/>
                <w:color w:val="auto"/>
                <w:szCs w:val="21"/>
                <w:highlight w:val="none"/>
              </w:rPr>
              <w:t xml:space="preserve">正常打开。</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分</w:t>
            </w:r>
            <w:r/>
          </w:p>
        </w:tc>
      </w:tr>
      <w:tr>
        <w:trPr>
          <w:jc w:val="center"/>
          <w:trHeight w:val="632"/>
        </w:trPr>
        <w:tc>
          <w:tcPr>
            <w:tcBorders>
              <w:left w:val="single" w:color="auto" w:sz="4" w:space="0"/>
              <w:bottom w:val="single" w:color="auto" w:sz="4" w:space="0"/>
              <w:right w:val="single" w:color="auto" w:sz="4" w:space="0"/>
            </w:tcBorders>
            <w:tcW w:w="937"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39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100分</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bookmarkEnd w:id="29"/>
            <w:r/>
            <w:r/>
          </w:p>
        </w:tc>
      </w:tr>
    </w:tbl>
    <w:p>
      <w:pPr>
        <w:pStyle w:val="1014"/>
        <w:ind w:firstLine="422"/>
        <w:spacing w:before="0" w:after="0"/>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bookmarkStart w:id="30" w:name="_Toc109304976"/>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评标委员会认为</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的报价明显低于其他通过符合性审查</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的报价，有可能影响服务（产品）质量或者不能诚信履约的，评标委员会有权要求其在评标现场合理的时间内提供书面说明，必要时提交相关证明材料；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不能证明其报价合理性的，评标委员会将其作为无效投标处理。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Times New Roman" w:hAnsi="Times New Roman" w:eastAsia="宋体" w:cs="宋体"/>
          <w:b/>
          <w:color w:val="auto"/>
          <w:szCs w:val="21"/>
          <w:highlight w:val="none"/>
        </w:rPr>
        <w:t xml:space="preserve">四、</w:t>
      </w:r>
      <w:r>
        <w:rPr>
          <w:rFonts w:hint="eastAsia" w:ascii="宋体" w:hAnsi="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（一）政府采购评审中出现下列情形之一的，评审委员会应当启动异常低价投标（响应）审查程序：</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1.投标(响应)报价低于全部通过符合性审查供应商投标(响应)报价平均值50%的，即投标(响应)报价〈全部通过符合性审查供应商投标(响应)报价平均值X50%；</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2.投标(响应)报价低于通过符合性审查的次低报价供应商投标(响应)报价50%的，即投标(响应)报价〈通过符合性审查的次低报价供应商投标(响应)报价X50%；</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3.投标(响应)报价低于采购项目最高限价45%的，即投标(响应)报价&lt;采购项目最高限价X45%；</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highlight w:val="none"/>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3"/>
        <w:ind w:firstLine="883"/>
        <w:jc w:val="center"/>
        <w:spacing w:before="0" w:after="0" w:line="360" w:lineRule="auto"/>
        <w:rPr>
          <w:rFonts w:hint="eastAsia" w:ascii="宋体" w:hAnsi="宋体"/>
          <w:color w:val="auto"/>
          <w:sz w:val="52"/>
          <w:highlight w:val="none"/>
        </w:rPr>
      </w:pPr>
      <w:r>
        <w:rPr>
          <w:rFonts w:hint="eastAsia" w:ascii="宋体" w:hAnsi="宋体"/>
          <w:color w:val="auto"/>
          <w:highlight w:val="none"/>
        </w:rPr>
        <w:br w:type="page" w:clear="all"/>
      </w:r>
      <w:r>
        <w:rPr>
          <w:rStyle w:val="845"/>
          <w:rFonts w:hint="eastAsia"/>
          <w:b/>
          <w:color w:val="auto"/>
          <w:highlight w:val="none"/>
        </w:rPr>
        <w:t xml:space="preserve">第六章 竞争性磋商响应文件格式</w:t>
      </w:r>
      <w:bookmarkEnd w:id="2"/>
      <w:r/>
      <w:bookmarkEnd w:id="30"/>
      <w:r/>
      <w:r/>
    </w:p>
    <w:p>
      <w:pPr>
        <w:ind w:firstLine="442"/>
        <w:jc w:val="center"/>
        <w:spacing w:line="360" w:lineRule="auto"/>
        <w:rPr>
          <w:rFonts w:hint="eastAsia" w:ascii="宋体" w:hAnsi="宋体"/>
          <w:b/>
          <w:color w:val="auto"/>
          <w:sz w:val="22"/>
          <w:highlight w:val="none"/>
        </w:rPr>
      </w:pPr>
      <w:r>
        <w:rPr>
          <w:rFonts w:hint="eastAsia" w:ascii="宋体" w:hAnsi="宋体"/>
          <w:b/>
          <w:color w:val="auto"/>
          <w:sz w:val="22"/>
          <w:highlight w:val="none"/>
        </w:rPr>
      </w:r>
      <w:r/>
    </w:p>
    <w:p>
      <w:pPr>
        <w:jc w:val="center"/>
        <w:spacing w:line="360" w:lineRule="auto"/>
        <w:rPr>
          <w:rFonts w:hint="eastAsia" w:ascii="宋体" w:hAnsi="宋体" w:cs="Arial"/>
          <w:b/>
          <w:bCs/>
          <w:color w:val="auto"/>
          <w:sz w:val="72"/>
          <w:szCs w:val="72"/>
          <w:highlight w:val="none"/>
        </w:rPr>
      </w:pPr>
      <w:r>
        <w:rPr>
          <w:rFonts w:hint="eastAsia" w:ascii="宋体" w:hAnsi="宋体" w:cs="Arial"/>
          <w:b/>
          <w:bCs/>
          <w:color w:val="auto"/>
          <w:sz w:val="72"/>
          <w:szCs w:val="72"/>
          <w:highlight w:val="none"/>
        </w:rPr>
      </w:r>
      <w:r/>
    </w:p>
    <w:p>
      <w:pPr>
        <w:jc w:val="center"/>
        <w:spacing w:line="360" w:lineRule="auto"/>
        <w:rPr>
          <w:rFonts w:hint="eastAsia"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ind w:firstLine="1446"/>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ind w:firstLine="723"/>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723"/>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723"/>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723"/>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723"/>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p>
    <w:p>
      <w:pPr>
        <w:ind w:firstLine="723"/>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p>
    <w:p>
      <w:pPr>
        <w:ind w:firstLine="723"/>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磋商供应商名称 ：</w:t>
      </w:r>
      <w:r/>
    </w:p>
    <w:p>
      <w:pPr>
        <w:ind w:firstLine="723"/>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日      期 ：</w:t>
      </w:r>
      <w:r/>
    </w:p>
    <w:p>
      <w:pPr>
        <w:ind w:firstLine="723"/>
        <w:spacing w:line="360" w:lineRule="auto"/>
        <w:rPr>
          <w:rFonts w:hint="eastAsia" w:ascii="宋体" w:hAnsi="宋体"/>
          <w:b/>
          <w:color w:val="auto"/>
          <w:sz w:val="36"/>
          <w:highlight w:val="none"/>
        </w:rPr>
      </w:pPr>
      <w:r>
        <w:rPr>
          <w:rFonts w:hint="eastAsia" w:ascii="宋体" w:hAnsi="宋体"/>
          <w:b/>
          <w:color w:val="auto"/>
          <w:sz w:val="36"/>
          <w:highlight w:val="none"/>
        </w:rPr>
        <w:t xml:space="preserve">供  应  商：（电子签章）</w:t>
      </w:r>
      <w:r/>
    </w:p>
    <w:p>
      <w:pPr>
        <w:ind w:firstLine="480"/>
        <w:jc w:val="center"/>
        <w:spacing w:line="360" w:lineRule="auto"/>
        <w:rPr>
          <w:rFonts w:hint="eastAsia"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磋商主要文件目录</w:t>
      </w:r>
      <w:r/>
    </w:p>
    <w:p>
      <w:pPr>
        <w:ind w:firstLine="643"/>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四、磋商响应报价表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六、技术参数响应及偏离表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八、拟投入人员一览表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九</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其他 （供应商认为有必要提供的声明和文件，如有自拟并自行添加）</w:t>
      </w:r>
      <w:r/>
    </w:p>
    <w:p>
      <w:pPr>
        <w:ind w:firstLine="643"/>
        <w:jc w:val="center"/>
        <w:spacing w:line="360" w:lineRule="auto"/>
        <w:rPr>
          <w:rFonts w:hint="eastAsia"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7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6041"/>
        <w:gridCol w:w="1848"/>
      </w:tblGrid>
      <w:tr>
        <w:trPr>
          <w:trHeight w:val="90"/>
        </w:trPr>
        <w:tc>
          <w:tcPr>
            <w:tcW w:w="670"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041"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848"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90"/>
        </w:trPr>
        <w:tc>
          <w:tcPr>
            <w:gridSpan w:val="3"/>
            <w:tcW w:w="8559" w:type="dxa"/>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90"/>
        </w:trPr>
        <w:tc>
          <w:tcPr>
            <w:tcW w:w="670" w:type="dxa"/>
            <w:vAlign w:val="center"/>
            <w:textDirection w:val="lrTb"/>
            <w:noWrap/>
          </w:tcPr>
          <w:p>
            <w:pPr>
              <w:jc w:val="center"/>
              <w:spacing w:line="360" w:lineRule="auto"/>
              <w:rPr>
                <w:rFonts w:hint="eastAsia" w:ascii="宋体" w:hAnsi="宋体"/>
                <w:b/>
                <w:color w:val="auto"/>
                <w:szCs w:val="21"/>
                <w:highlight w:val="none"/>
              </w:rPr>
            </w:pPr>
            <w:r>
              <w:rPr>
                <w:rFonts w:hint="eastAsia" w:ascii="宋体" w:hAnsi="宋体"/>
                <w:color w:val="auto"/>
                <w:szCs w:val="21"/>
                <w:highlight w:val="none"/>
              </w:rPr>
              <w:t xml:space="preserve">1</w:t>
            </w:r>
            <w:r/>
          </w:p>
        </w:tc>
        <w:tc>
          <w:tcPr>
            <w:tcW w:w="6041"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法人或者其他组织的营业执照等证明文件，自然人的身份证明；</w:t>
            </w:r>
            <w:r/>
          </w:p>
        </w:tc>
        <w:tc>
          <w:tcPr>
            <w:tcW w:w="1848" w:type="dxa"/>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trHeight w:val="90"/>
        </w:trPr>
        <w:tc>
          <w:tcPr>
            <w:tcW w:w="670"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6041"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2024</w:t>
            </w:r>
            <w:r>
              <w:rPr>
                <w:rFonts w:hint="eastAsia" w:ascii="宋体" w:hAnsi="宋体"/>
                <w:iCs/>
                <w:color w:val="auto"/>
                <w:szCs w:val="21"/>
                <w:highlight w:val="none"/>
              </w:rPr>
              <w:t xml:space="preserve">年度</w:t>
            </w:r>
            <w:r>
              <w:rPr>
                <w:rFonts w:hint="eastAsia" w:ascii="宋体" w:hAnsi="宋体"/>
                <w:iCs/>
                <w:color w:val="auto"/>
                <w:szCs w:val="21"/>
                <w:highlight w:val="none"/>
                <w:lang w:val="en-US" w:eastAsia="zh-CN"/>
              </w:rPr>
              <w:t xml:space="preserve">或2025年度</w:t>
            </w:r>
            <w:r>
              <w:rPr>
                <w:rFonts w:hint="eastAsia" w:ascii="宋体" w:hAnsi="宋体"/>
                <w:iCs/>
                <w:color w:val="auto"/>
                <w:szCs w:val="21"/>
                <w:highlight w:val="none"/>
              </w:rPr>
              <w:t xml:space="preserve">的财务报告情况（成立不满一年无需提供）；</w:t>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144"/>
        </w:trPr>
        <w:tc>
          <w:tcPr>
            <w:tcW w:w="670"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6041"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tcW w:w="670"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W w:w="6041"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具备履行合同所必需的设备和专业技术能力的书面声明；</w:t>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tcW w:w="670"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W w:w="6041"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参加政府采购活动前3年内在经营活动中没有重大违法记录的书面声明</w:t>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tcW w:w="670"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6041"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供应商信用承诺函；</w:t>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120"/>
        </w:trPr>
        <w:tc>
          <w:tcPr>
            <w:tcW w:w="670"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6041"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3"/>
            <w:tcW w:w="8559" w:type="dxa"/>
            <w:vAlign w:val="center"/>
            <w:textDirection w:val="lrTb"/>
            <w:noWrap/>
          </w:tcPr>
          <w:p>
            <w:pPr>
              <w:spacing w:line="360" w:lineRule="auto"/>
              <w:rPr>
                <w:rFonts w:hint="eastAsia"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90"/>
        </w:trPr>
        <w:tc>
          <w:tcPr>
            <w:tcW w:w="670" w:type="dxa"/>
            <w:vAlign w:val="center"/>
            <w:textDirection w:val="lrTb"/>
            <w:noWrap/>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8</w:t>
            </w:r>
            <w:r/>
          </w:p>
        </w:tc>
        <w:tc>
          <w:tcPr>
            <w:tcW w:w="6041"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i w:val="0"/>
                <w:iCs w:val="0"/>
                <w:color w:val="auto"/>
                <w:szCs w:val="21"/>
                <w:highlight w:val="none"/>
                <w:u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3"/>
            <w:tcW w:w="8559" w:type="dxa"/>
            <w:vAlign w:val="center"/>
            <w:textDirection w:val="lrTb"/>
            <w:noWrap/>
          </w:tcPr>
          <w:p>
            <w:pPr>
              <w:spacing w:line="360" w:lineRule="auto"/>
              <w:rPr>
                <w:rFonts w:hint="eastAsia"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90"/>
        </w:trPr>
        <w:tc>
          <w:tcPr>
            <w:tcW w:w="67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041" w:type="dxa"/>
            <w:vAlign w:val="center"/>
            <w:textDirection w:val="lrTb"/>
            <w:noWrap/>
          </w:tcPr>
          <w:p>
            <w:pPr>
              <w:pStyle w:val="84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gridSpan w:val="3"/>
            <w:tcW w:w="8559" w:type="dxa"/>
            <w:vAlign w:val="center"/>
            <w:textDirection w:val="lrTb"/>
            <w:noWrap/>
          </w:tcPr>
          <w:p>
            <w:pPr>
              <w:spacing w:line="360" w:lineRule="auto"/>
              <w:rPr>
                <w:rFonts w:hint="eastAsia"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90"/>
        </w:trPr>
        <w:tc>
          <w:tcPr>
            <w:tcW w:w="670" w:type="dxa"/>
            <w:vAlign w:val="center"/>
            <w:textDirection w:val="lrTb"/>
            <w:noWrap/>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9</w:t>
            </w:r>
            <w:r/>
          </w:p>
        </w:tc>
        <w:tc>
          <w:tcPr>
            <w:tcW w:w="6041"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磋商响应函</w:t>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90"/>
        </w:trPr>
        <w:tc>
          <w:tcPr>
            <w:tcW w:w="670" w:type="dxa"/>
            <w:vAlign w:val="center"/>
            <w:textDirection w:val="lrTb"/>
            <w:noWrap/>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6041"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法人授权书</w:t>
            </w:r>
            <w:r/>
          </w:p>
        </w:tc>
        <w:tc>
          <w:tcPr>
            <w:tcW w:w="18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ind w:firstLine="422"/>
        <w:jc w:val="center"/>
        <w:spacing w:line="360" w:lineRule="auto"/>
        <w:rPr>
          <w:rFonts w:hint="eastAsia" w:ascii="宋体" w:hAnsi="宋体"/>
          <w:b/>
          <w:bCs/>
          <w:color w:val="auto"/>
          <w:highlight w:val="none"/>
        </w:rPr>
      </w:pPr>
      <w:r>
        <w:rPr>
          <w:rFonts w:hint="eastAsia" w:ascii="宋体" w:hAnsi="宋体"/>
          <w:b/>
          <w:bCs/>
          <w:color w:val="auto"/>
          <w:highlight w:val="none"/>
        </w:rPr>
      </w:r>
      <w:r/>
    </w:p>
    <w:p>
      <w:pPr>
        <w:ind w:firstLine="422"/>
        <w:jc w:val="center"/>
        <w:spacing w:line="360" w:lineRule="auto"/>
        <w:rPr>
          <w:rFonts w:hint="eastAsia" w:ascii="宋体" w:hAnsi="宋体"/>
          <w:b/>
          <w:bCs/>
          <w:color w:val="auto"/>
          <w:highlight w:val="none"/>
        </w:rPr>
      </w:pPr>
      <w:r>
        <w:rPr>
          <w:rFonts w:hint="eastAsia" w:ascii="宋体" w:hAnsi="宋体"/>
          <w:b/>
          <w:bCs/>
          <w:color w:val="auto"/>
          <w:highlight w:val="none"/>
        </w:rPr>
      </w:r>
      <w:r/>
    </w:p>
    <w:p>
      <w:pPr>
        <w:ind w:firstLine="422"/>
        <w:jc w:val="center"/>
        <w:spacing w:line="360" w:lineRule="auto"/>
        <w:rPr>
          <w:rFonts w:hint="eastAsia" w:ascii="宋体" w:hAnsi="宋体"/>
          <w:b/>
          <w:bCs/>
          <w:color w:val="auto"/>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color w:val="auto"/>
          <w:highlight w:val="none"/>
        </w:rPr>
      </w:r>
      <w:r/>
    </w:p>
    <w:p>
      <w:pPr>
        <w:ind w:firstLine="422"/>
        <w:jc w:val="center"/>
        <w:spacing w:line="360" w:lineRule="auto"/>
        <w:rPr>
          <w:rFonts w:hint="eastAsia"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主要设备有：。</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p>
    <w:p>
      <w:pPr>
        <w:ind w:firstLine="422"/>
        <w:jc w:val="center"/>
        <w:spacing w:line="360" w:lineRule="auto"/>
        <w:rPr>
          <w:rFonts w:hint="eastAsia"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 xml:space="preserve">参加本次政府采购活动前 3 年内在经营活动中没有重大违法记录的书面声明</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2"/>
        <w:jc w:val="center"/>
        <w:spacing w:line="360" w:lineRule="auto"/>
        <w:rPr>
          <w:rFonts w:hint="eastAsia" w:ascii="宋体" w:hAnsi="宋体"/>
          <w:b/>
          <w:bCs/>
          <w:color w:val="auto"/>
          <w:highlight w:val="none"/>
        </w:rPr>
      </w:pPr>
      <w:r>
        <w:rPr>
          <w:rFonts w:hint="eastAsia" w:ascii="宋体" w:hAnsi="宋体"/>
          <w:b/>
          <w:bCs/>
          <w:color w:val="auto"/>
          <w:highlight w:val="none"/>
        </w:rPr>
        <w:t xml:space="preserve">声  明</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ind w:firstLine="422"/>
        <w:spacing w:line="360" w:lineRule="auto"/>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highlight w:val="none"/>
        </w:rPr>
      </w:r>
      <w:r/>
    </w:p>
    <w:p>
      <w:pPr>
        <w:ind w:firstLine="422"/>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供应商信用承诺书</w:t>
      </w:r>
      <w:r/>
    </w:p>
    <w:p>
      <w:pPr>
        <w:ind w:firstLine="420"/>
        <w:spacing w:line="360" w:lineRule="auto"/>
        <w:rPr>
          <w:rFonts w:ascii="方正仿宋_GBK"/>
          <w:color w:val="auto"/>
          <w:szCs w:val="32"/>
          <w:highlight w:val="none"/>
        </w:rPr>
      </w:pPr>
      <w:r>
        <w:rPr>
          <w:rFonts w:ascii="方正仿宋_GBK"/>
          <w:color w:val="auto"/>
          <w:szCs w:val="32"/>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承诺主体名称：</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承诺单位（签章）：           </w:t>
      </w:r>
      <w:r/>
    </w:p>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法定代表人（负责人）：</w:t>
      </w:r>
      <w:r/>
    </w:p>
    <w:p>
      <w:pPr>
        <w:ind w:firstLine="42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　　　　　　　　　      　年    月    日</w:t>
      </w:r>
      <w:r/>
    </w:p>
    <w:p>
      <w:pPr>
        <w:ind w:firstLine="422"/>
        <w:jc w:val="center"/>
        <w:spacing w:line="360" w:lineRule="auto"/>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highlight w:val="none"/>
        </w:rPr>
      </w:r>
      <w:r/>
    </w:p>
    <w:p>
      <w:pPr>
        <w:ind w:firstLine="422"/>
        <w:jc w:val="center"/>
        <w:spacing w:line="360" w:lineRule="auto"/>
        <w:rPr>
          <w:rFonts w:hint="eastAsia" w:ascii="宋体" w:hAnsi="宋体"/>
          <w:b/>
          <w:color w:val="auto"/>
          <w:highlight w:val="none"/>
        </w:rPr>
      </w:pPr>
      <w:r>
        <w:rPr>
          <w:rFonts w:hint="eastAsia" w:ascii="宋体" w:hAnsi="宋体"/>
          <w:b/>
          <w:color w:val="auto"/>
          <w:highlight w:val="none"/>
        </w:rPr>
        <w:t xml:space="preserve">磋商响应函</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致：江苏苏维工程管理有限公司</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1.按磋商文件规定的各项要求，向买方提供所需服务（工程）。</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15"/>
        <w:ind w:firstLine="422"/>
        <w:jc w:val="center"/>
        <w:spacing w:line="360" w:lineRule="auto"/>
        <w:rPr>
          <w:rFonts w:hint="eastAsia"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（项目编号）</w:t>
      </w:r>
      <w:r>
        <w:rPr>
          <w:rFonts w:hint="eastAsia" w:ascii="宋体" w:hAnsi="宋体"/>
          <w:color w:val="auto"/>
          <w:sz w:val="21"/>
          <w:szCs w:val="21"/>
          <w:highlight w:val="none"/>
        </w:rPr>
        <w:t xml:space="preserve">号</w:t>
      </w:r>
      <w:r>
        <w:rPr>
          <w:rFonts w:hint="eastAsia" w:ascii="宋体" w:hAnsi="宋体"/>
          <w:color w:val="auto"/>
          <w:sz w:val="21"/>
          <w:szCs w:val="21"/>
          <w:highlight w:val="none"/>
          <w:u w:val="single"/>
          <w:lang w:eastAsia="zh-CN"/>
        </w:rPr>
        <w:t xml:space="preserve">扬州市2025年智慧图书馆体系资源建设项目（二次）</w:t>
      </w:r>
      <w:r>
        <w:rPr>
          <w:rFonts w:hint="eastAsia" w:ascii="宋体" w:hAnsi="宋体"/>
          <w:color w:val="auto"/>
          <w:sz w:val="21"/>
          <w:szCs w:val="21"/>
          <w:highlight w:val="none"/>
        </w:rPr>
        <w:t xml:space="preserve">采购活动的合法代理人，以本公司名义全权处理一切与该项目采购有关的事务。</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p>
    <w:p>
      <w:pPr>
        <w:pStyle w:val="1015"/>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1015"/>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1015"/>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1015"/>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rFonts w:hint="eastAsia" w:ascii="宋体" w:hAnsi="宋体"/>
          <w:bCs/>
          <w:color w:val="auto"/>
          <w:highlight w:val="none"/>
        </w:rPr>
      </w:pPr>
      <w:r>
        <w:rPr>
          <w:rFonts w:hint="eastAsia" w:ascii="宋体" w:hAnsi="宋体"/>
          <w:bCs/>
          <w:color w:val="auto"/>
          <w:highlight w:val="none"/>
        </w:rPr>
      </w:r>
      <w:r/>
    </w:p>
    <w:p>
      <w:pPr>
        <w:ind w:firstLine="420"/>
        <w:spacing w:line="360" w:lineRule="auto"/>
        <w:rPr>
          <w:color w:val="auto"/>
          <w:highlight w:val="none"/>
        </w:rPr>
      </w:pPr>
      <w:r>
        <w:rPr>
          <w:rFonts w:hint="eastAsia" w:ascii="宋体" w:hAnsi="宋体"/>
          <w:bCs/>
          <w:color w:val="auto"/>
          <w:highlight w:val="none"/>
        </w:rPr>
        <w:t xml:space="preserve">被授权人身份证复印件</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20"/>
        <w:spacing w:line="360" w:lineRule="auto"/>
        <w:rPr>
          <w:rFonts w:hint="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auto"/>
          <w:highlight w:val="none"/>
          <w:lang w:val="en-US" w:eastAsia="zh-CN"/>
        </w:rPr>
        <w:t xml:space="preserve">法定代表人身份证复印件</w:t>
      </w:r>
      <w:r/>
    </w:p>
    <w:p>
      <w:pPr>
        <w:numPr>
          <w:ilvl w:val="0"/>
          <w:numId w:val="3"/>
        </w:numPr>
        <w:ind w:firstLine="643"/>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768"/>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792"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符合性审查响应内容</w:t>
            </w:r>
            <w:r/>
          </w:p>
        </w:tc>
        <w:tc>
          <w:tcPr>
            <w:tcW w:w="200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348"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4792"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2006" w:type="dxa"/>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348" w:type="dxa"/>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4792" w:type="dxa"/>
            <w:vAlign w:val="center"/>
            <w:textDirection w:val="lrTb"/>
            <w:noWrap/>
          </w:tcPr>
          <w:p>
            <w:pPr>
              <w:spacing w:line="360" w:lineRule="auto"/>
              <w:rPr>
                <w:rFonts w:hint="eastAsia" w:ascii="宋体" w:hAnsi="宋体"/>
                <w:iCs/>
                <w:color w:val="auto"/>
                <w:szCs w:val="21"/>
                <w:highlight w:val="none"/>
              </w:rPr>
            </w:pPr>
            <w:r>
              <w:rPr>
                <w:rFonts w:ascii="宋体" w:hAnsi="宋体"/>
                <w:iCs/>
                <w:color w:val="auto"/>
                <w:szCs w:val="21"/>
                <w:highlight w:val="none"/>
              </w:rPr>
              <w:t xml:space="preserve">……</w:t>
            </w:r>
            <w:r/>
          </w:p>
        </w:tc>
        <w:tc>
          <w:tcPr>
            <w:tcW w:w="2006"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4792"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2006"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417"/>
        </w:trPr>
        <w:tc>
          <w:tcPr>
            <w:tcW w:w="646"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W w:w="4792"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2006"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W w:w="4792"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2006"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4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contextualSpacing/>
        <w:ind w:firstLine="643"/>
        <w:jc w:val="center"/>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numPr>
          <w:ilvl w:val="0"/>
          <w:numId w:val="3"/>
        </w:numPr>
        <w:ind w:firstLine="643"/>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非实质性响应对照表</w:t>
      </w:r>
      <w:r/>
    </w:p>
    <w:p>
      <w:pPr>
        <w:ind w:firstLine="643"/>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768"/>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572"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非实质性响应内容</w:t>
            </w:r>
            <w:r/>
          </w:p>
        </w:tc>
        <w:tc>
          <w:tcPr>
            <w:tcW w:w="1968"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491"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4572" w:type="dxa"/>
            <w:vAlign w:val="center"/>
            <w:textDirection w:val="lrTb"/>
            <w:noWrap/>
          </w:tcPr>
          <w:p>
            <w:pPr>
              <w:spacing w:line="360" w:lineRule="auto"/>
              <w:rPr>
                <w:rFonts w:hint="eastAsia" w:ascii="宋体" w:hAnsi="宋体"/>
                <w:iCs/>
                <w:color w:val="auto"/>
                <w:szCs w:val="21"/>
                <w:highlight w:val="none"/>
              </w:rPr>
            </w:pPr>
            <w:r>
              <w:rPr>
                <w:rFonts w:hint="eastAsia"/>
                <w:color w:val="auto"/>
                <w:szCs w:val="21"/>
                <w:highlight w:val="none"/>
              </w:rPr>
              <w:t xml:space="preserve">《中小企业声明函（工程、服务）》</w:t>
            </w:r>
            <w:r/>
          </w:p>
        </w:tc>
        <w:tc>
          <w:tcPr>
            <w:tcW w:w="1968" w:type="dxa"/>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491" w:type="dxa"/>
            <w:vAlign w:val="center"/>
            <w:textDirection w:val="lrTb"/>
            <w:noWrap/>
          </w:tcPr>
          <w:p>
            <w:pPr>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trHeight w:val="585"/>
        </w:trPr>
        <w:tc>
          <w:tcPr>
            <w:tcW w:w="646"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4572"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96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91"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rHeight w:val="780"/>
        </w:trPr>
        <w:tc>
          <w:tcPr>
            <w:tcW w:w="646"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4572" w:type="dxa"/>
            <w:vAlign w:val="center"/>
            <w:textDirection w:val="lrTb"/>
            <w:noWrap/>
          </w:tcPr>
          <w:p>
            <w:pPr>
              <w:spacing w:line="360" w:lineRule="auto"/>
              <w:rPr>
                <w:rFonts w:hint="eastAsia" w:ascii="宋体" w:hAnsi="宋体"/>
                <w:iCs/>
                <w:color w:val="auto"/>
                <w:szCs w:val="21"/>
                <w:highlight w:val="none"/>
              </w:rPr>
            </w:pPr>
            <w:r>
              <w:rPr>
                <w:rFonts w:hint="eastAsia" w:ascii="宋体" w:hAnsi="宋体"/>
                <w:iCs/>
                <w:color w:val="auto"/>
                <w:szCs w:val="21"/>
                <w:highlight w:val="none"/>
              </w:rPr>
            </w:r>
            <w:r/>
          </w:p>
        </w:tc>
        <w:tc>
          <w:tcPr>
            <w:tcW w:w="1968"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91"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ind w:firstLine="422"/>
        <w:jc w:val="left"/>
        <w:spacing w:line="360" w:lineRule="auto"/>
        <w:widowControl/>
        <w:rPr>
          <w:rFonts w:hint="eastAsia" w:ascii="宋体" w:hAnsi="宋体" w:cs="Arial"/>
          <w:b/>
          <w:bCs/>
          <w:color w:val="auto"/>
          <w:highlight w:val="none"/>
        </w:rPr>
      </w:pPr>
      <w:r>
        <w:rPr>
          <w:rFonts w:hint="eastAsia" w:ascii="宋体" w:hAnsi="宋体" w:cs="Arial"/>
          <w:b/>
          <w:bCs/>
          <w:color w:val="auto"/>
          <w:highlight w:val="none"/>
        </w:rPr>
      </w:r>
      <w:r/>
    </w:p>
    <w:p>
      <w:pPr>
        <w:ind w:firstLine="422"/>
        <w:jc w:val="center"/>
        <w:spacing w:line="360" w:lineRule="auto"/>
        <w:rPr>
          <w:b/>
          <w:bCs/>
          <w:color w:val="auto"/>
          <w:highlight w:val="none"/>
        </w:rPr>
      </w:pPr>
      <w:r>
        <w:rPr>
          <w:b/>
          <w:bCs/>
          <w:color w:val="auto"/>
          <w:highlight w:val="none"/>
        </w:rPr>
        <w:br w:type="page" w:clear="all"/>
      </w: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lang w:eastAsia="zh-CN"/>
        </w:rPr>
        <w:t xml:space="preserve">扬州市2025年智慧图书馆体系资源建设项目（二次）</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ascii="宋体" w:hAnsi="宋体"/>
          <w:b/>
          <w:bCs/>
          <w:color w:val="auto"/>
          <w:highlight w:val="none"/>
          <w:u w:val="single"/>
        </w:rPr>
        <w:t xml:space="preserve">（软件和信息技术服务业）（不得对行业类别修改）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ascii="宋体" w:hAnsi="宋体"/>
          <w:b/>
          <w:bCs/>
          <w:color w:val="auto"/>
          <w:highlight w:val="none"/>
          <w:u w:val="single"/>
        </w:rPr>
        <w:t xml:space="preserve">（软件和信息技术服务业）（不得对行业类别修改）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2"/>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eastAsia="宋体" w:cs="宋体"/>
          <w:color w:val="auto"/>
          <w:highlight w:val="none"/>
        </w:rPr>
        <w:t xml:space="preserve">《中小企业声明函》不符合要求或未提供的，作如下处理：</w:t>
      </w:r>
      <w:r>
        <w:rPr>
          <w:rFonts w:hint="eastAsia" w:ascii="宋体" w:hAnsi="宋体" w:eastAsia="宋体" w:cs="宋体"/>
          <w:b/>
          <w:bCs/>
          <w:color w:val="auto"/>
          <w:highlight w:val="none"/>
        </w:rPr>
        <w:t xml:space="preserve">①如本项目专门面向中小企业采购，则投标（响应）文件无效；②如本项目不专门面向中小企业采购，则价格将不做相应扣除。</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3、企业声明函请完整填写，中标（成交）后将公示。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4、供应商应当对其出具的《中小企业声明函》真实性负责，供应商出具的《中小企业声明函》内容不实的，属于提供虚假材料谋取中标（成交）。</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20"/>
        <w:jc w:val="left"/>
        <w:spacing w:line="360" w:lineRule="auto"/>
        <w:rPr>
          <w:color w:val="auto"/>
          <w:highlight w:val="none"/>
        </w:rPr>
      </w:pPr>
      <w:r>
        <w:rPr>
          <w:rFonts w:hint="eastAsia"/>
          <w:color w:val="auto"/>
          <w:highlight w:val="none"/>
        </w:rPr>
        <w:t xml:space="preserve">企业名称（盖章）：</w:t>
      </w:r>
      <w:r/>
    </w:p>
    <w:p>
      <w:pPr>
        <w:ind w:firstLine="420"/>
        <w:jc w:val="left"/>
        <w:spacing w:line="360" w:lineRule="auto"/>
        <w:rPr>
          <w:color w:val="auto"/>
          <w:highlight w:val="none"/>
        </w:rPr>
      </w:pPr>
      <w:r>
        <w:rPr>
          <w:rFonts w:hint="eastAsia"/>
          <w:color w:val="auto"/>
          <w:highlight w:val="none"/>
        </w:rPr>
        <w:t xml:space="preserve">日 期：</w:t>
      </w:r>
      <w:r/>
    </w:p>
    <w:p>
      <w:pPr>
        <w:ind w:firstLine="420"/>
        <w:jc w:val="left"/>
        <w:spacing w:line="360" w:lineRule="auto"/>
        <w:rPr>
          <w:color w:val="auto"/>
          <w:highlight w:val="none"/>
        </w:rPr>
      </w:pPr>
      <w:r>
        <w:rPr>
          <w:color w:val="auto"/>
          <w:highlight w:val="none"/>
        </w:rPr>
      </w:r>
      <w:r/>
    </w:p>
    <w:p>
      <w:pPr>
        <w:pStyle w:val="974"/>
        <w:ind w:firstLine="422"/>
        <w:jc w:val="center"/>
        <w:spacing w:before="0" w:after="0" w:line="360" w:lineRule="auto"/>
        <w:widowControl/>
        <w:rPr>
          <w:rFonts w:hint="eastAsia" w:ascii="宋体" w:hAnsi="宋体" w:cs="微软雅黑"/>
          <w:bCs w:val="0"/>
          <w:color w:val="auto"/>
          <w:sz w:val="21"/>
          <w:szCs w:val="21"/>
          <w:highlight w:val="none"/>
        </w:rPr>
      </w:pPr>
      <w:r/>
      <w:bookmarkStart w:id="31" w:name="_Toc109304977"/>
      <w:r/>
      <w:r/>
    </w:p>
    <w:p>
      <w:pPr>
        <w:pStyle w:val="974"/>
        <w:ind w:firstLine="422"/>
        <w:jc w:val="center"/>
        <w:spacing w:before="0" w:after="0" w:line="360" w:lineRule="auto"/>
        <w:widowControl/>
        <w:rPr>
          <w:rFonts w:hint="eastAsia"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bookmarkEnd w:id="31"/>
      <w:r>
        <w:rPr>
          <w:rFonts w:hint="eastAsia" w:ascii="宋体" w:hAnsi="宋体" w:cs="微软雅黑"/>
          <w:bCs w:val="0"/>
          <w:color w:val="auto"/>
          <w:sz w:val="21"/>
          <w:szCs w:val="21"/>
          <w:highlight w:val="none"/>
        </w:rPr>
        <w:t xml:space="preserve"> </w:t>
      </w:r>
      <w:r/>
    </w:p>
    <w:p>
      <w:pPr>
        <w:pStyle w:val="1002"/>
        <w:ind w:firstLine="420"/>
        <w:spacing w:line="360" w:lineRule="auto"/>
        <w:widowControl/>
        <w:rPr>
          <w:rFonts w:hint="eastAsia" w:ascii="宋体" w:hAnsi="宋体"/>
          <w:color w:val="auto"/>
          <w:sz w:val="21"/>
          <w:szCs w:val="21"/>
          <w:highlight w:val="none"/>
        </w:rPr>
      </w:pPr>
      <w:r>
        <w:rPr>
          <w:rFonts w:hint="eastAsia" w:ascii="宋体" w:hAnsi="宋体" w:cs="仿宋"/>
          <w:color w:val="auto"/>
          <w:sz w:val="21"/>
          <w:szCs w:val="21"/>
          <w:highlight w:val="none"/>
        </w:rPr>
        <w:t xml:space="preserve">    </w:t>
      </w:r>
      <w:r>
        <w:rPr>
          <w:rStyle w:val="1003"/>
          <w:rFonts w:hint="eastAsia" w:ascii="宋体" w:hAnsi="宋体" w:cs="仿宋"/>
          <w:color w:val="auto"/>
          <w:sz w:val="21"/>
          <w:szCs w:val="21"/>
          <w:highlight w:val="none"/>
        </w:rPr>
        <w:t xml:space="preserve">中小微企业划型标准如下：</w:t>
      </w:r>
      <w:r/>
    </w:p>
    <w:tbl>
      <w:tblPr>
        <w:tblStyle w:val="768"/>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tcPr>
          <w:p>
            <w:pPr>
              <w:pStyle w:val="1002"/>
              <w:ind w:firstLine="422"/>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Y＜300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X＜5</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tcPr>
          <w:p>
            <w:pPr>
              <w:ind w:firstLine="420"/>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1002"/>
              <w:ind w:firstLine="422"/>
              <w:jc w:val="center"/>
              <w:spacing w:line="360" w:lineRule="auto"/>
              <w:widowControl/>
              <w:rPr>
                <w:rFonts w:hint="eastAsia" w:ascii="宋体" w:hAnsi="宋体"/>
                <w:color w:val="auto"/>
                <w:sz w:val="21"/>
                <w:szCs w:val="21"/>
                <w:highlight w:val="none"/>
              </w:rPr>
            </w:pPr>
            <w:r>
              <w:rPr>
                <w:rStyle w:val="1003"/>
                <w:rFonts w:hint="eastAsia" w:ascii="宋体" w:hAnsi="宋体" w:cs="仿宋"/>
                <w:color w:val="auto"/>
                <w:sz w:val="21"/>
                <w:szCs w:val="21"/>
                <w:highlight w:val="none"/>
              </w:rPr>
              <w:t xml:space="preserve">X＜10</w:t>
            </w:r>
            <w:r/>
          </w:p>
        </w:tc>
      </w:tr>
    </w:tbl>
    <w:p>
      <w:pPr>
        <w:pStyle w:val="1002"/>
        <w:ind w:firstLine="422"/>
        <w:spacing w:line="360" w:lineRule="auto"/>
        <w:widowControl/>
        <w:rPr>
          <w:rStyle w:val="1003"/>
          <w:rFonts w:hint="eastAsia" w:ascii="宋体" w:hAnsi="宋体" w:cs="仿宋"/>
          <w:color w:val="auto"/>
          <w:sz w:val="21"/>
          <w:szCs w:val="21"/>
          <w:highlight w:val="none"/>
        </w:rPr>
      </w:pPr>
      <w:r>
        <w:rPr>
          <w:rStyle w:val="1003"/>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2"/>
        <w:jc w:val="center"/>
        <w:spacing w:line="360" w:lineRule="auto"/>
        <w:rPr>
          <w:color w:val="auto"/>
          <w:highlight w:val="none"/>
        </w:rPr>
      </w:pPr>
      <w:r>
        <w:rPr>
          <w:rStyle w:val="1003"/>
          <w:rFonts w:ascii="宋体" w:hAnsi="宋体" w:cs="仿宋"/>
          <w:color w:val="auto"/>
          <w:szCs w:val="21"/>
          <w:highlight w:val="none"/>
        </w:rPr>
        <w:br w:type="page" w:clear="all"/>
      </w: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firstLine="420"/>
        <w:jc w:val="center"/>
        <w:spacing w:line="360" w:lineRule="auto"/>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供应商全称（盖章）：</w:t>
      </w:r>
      <w:r/>
    </w:p>
    <w:p>
      <w:pPr>
        <w:ind w:firstLine="420"/>
        <w:jc w:val="center"/>
        <w:spacing w:line="360" w:lineRule="auto"/>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ind w:firstLine="643"/>
        <w:jc w:val="center"/>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四、磋商响应报价表</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pStyle w:val="989"/>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 </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项目编号：                                                             </w:t>
      </w:r>
      <w:r/>
    </w:p>
    <w:tbl>
      <w:tblPr>
        <w:tblStyle w:val="768"/>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tcPr>
          <w:p>
            <w:pPr>
              <w:pStyle w:val="84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r/>
          </w:p>
        </w:tc>
        <w:tc>
          <w:tcPr>
            <w:tcW w:w="6765" w:type="dxa"/>
            <w:vAlign w:val="center"/>
            <w:textDirection w:val="lrTb"/>
            <w:noWrap/>
          </w:tcPr>
          <w:p>
            <w:pPr>
              <w:ind w:firstLine="420"/>
              <w:jc w:val="center"/>
              <w:spacing w:line="360" w:lineRule="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第一轮报价</w:t>
            </w:r>
            <w:r>
              <w:rPr>
                <w:rFonts w:hint="eastAsia" w:ascii="宋体" w:hAnsi="宋体"/>
                <w:color w:val="auto"/>
                <w:szCs w:val="21"/>
                <w:highlight w:val="yellow"/>
                <w:lang w:eastAsia="zh-CN"/>
              </w:rPr>
              <w:t xml:space="preserve">（</w:t>
            </w:r>
            <w:r>
              <w:rPr>
                <w:rFonts w:hint="eastAsia" w:ascii="宋体" w:hAnsi="宋体"/>
                <w:color w:val="auto"/>
                <w:szCs w:val="21"/>
                <w:highlight w:val="yellow"/>
                <w:lang w:val="en-US" w:eastAsia="zh-CN"/>
              </w:rPr>
              <w:t xml:space="preserve">单价</w:t>
            </w:r>
            <w:r>
              <w:rPr>
                <w:rFonts w:hint="eastAsia" w:ascii="宋体" w:hAnsi="宋体"/>
                <w:color w:val="auto"/>
                <w:szCs w:val="21"/>
                <w:highlight w:val="yellow"/>
                <w:lang w:eastAsia="zh-CN"/>
              </w:rPr>
              <w:t xml:space="preserve">）</w:t>
            </w:r>
            <w:r/>
          </w:p>
        </w:tc>
      </w:tr>
      <w:tr>
        <w:trPr>
          <w:cantSplit/>
          <w:jc w:val="center"/>
          <w:trHeight w:val="1964"/>
        </w:trPr>
        <w:tc>
          <w:tcPr>
            <w:tcW w:w="1913" w:type="dxa"/>
            <w:vAlign w:val="center"/>
            <w:textDirection w:val="lrTb"/>
            <w:noWrap/>
          </w:tcPr>
          <w:p>
            <w:pPr>
              <w:pStyle w:val="84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65" w:type="dxa"/>
            <w:vAlign w:val="center"/>
            <w:textDirection w:val="lrTb"/>
            <w:noWrap/>
          </w:tcPr>
          <w:p>
            <w:pPr>
              <w:pStyle w:val="84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1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w:t>
            </w:r>
            <w:r/>
          </w:p>
        </w:tc>
      </w:tr>
      <w:tr>
        <w:trPr>
          <w:cantSplit/>
          <w:jc w:val="center"/>
          <w:trHeight w:val="1362"/>
        </w:trPr>
        <w:tc>
          <w:tcPr>
            <w:tcW w:w="1913" w:type="dxa"/>
            <w:vAlign w:val="center"/>
            <w:textDirection w:val="lrTb"/>
            <w:noWrap/>
          </w:tcPr>
          <w:p>
            <w:pPr>
              <w:pStyle w:val="844"/>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tcW w:w="6765" w:type="dxa"/>
            <w:vAlign w:val="center"/>
            <w:textDirection w:val="lrTb"/>
            <w:noWrap/>
          </w:tcPr>
          <w:p>
            <w:pPr>
              <w:pStyle w:val="84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jc w:val="right"/>
        <w:spacing w:line="360" w:lineRule="auto"/>
        <w:rPr>
          <w:rFonts w:hint="eastAsia" w:ascii="宋体" w:hAnsi="宋体"/>
          <w:color w:val="auto"/>
          <w:highlight w:val="none"/>
        </w:rPr>
      </w:pPr>
      <w:r>
        <w:rPr>
          <w:rFonts w:hint="eastAsia" w:ascii="宋体" w:hAnsi="宋体"/>
          <w:color w:val="auto"/>
          <w:highlight w:val="none"/>
        </w:rPr>
      </w:r>
      <w:r/>
    </w:p>
    <w:p>
      <w:pPr>
        <w:ind w:firstLine="420"/>
        <w:jc w:val="righ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rPr>
          <w:rFonts w:hint="eastAsia" w:ascii="宋体" w:hAnsi="宋体"/>
          <w:color w:val="auto"/>
          <w:szCs w:val="21"/>
          <w:highlight w:val="none"/>
        </w:rPr>
      </w:pPr>
      <w:r>
        <w:rPr>
          <w:rFonts w:ascii="宋体" w:hAnsi="宋体"/>
          <w:color w:val="auto"/>
          <w:szCs w:val="21"/>
          <w:highlight w:val="none"/>
        </w:rPr>
        <w:br w:type="page" w:clear="all"/>
      </w:r>
      <w:r/>
    </w:p>
    <w:p>
      <w:pPr>
        <w:pStyle w:val="759"/>
        <w:numPr>
          <w:ilvl w:val="0"/>
          <w:numId w:val="4"/>
        </w:numPr>
        <w:jc w:val="center"/>
        <w:rPr>
          <w:rFonts w:hint="eastAsia" w:ascii="宋体" w:hAnsi="宋体" w:eastAsia="宋体" w:cs="Times New Roman"/>
          <w:b/>
          <w:color w:val="auto"/>
          <w:sz w:val="32"/>
          <w:szCs w:val="32"/>
          <w:highlight w:val="none"/>
        </w:rPr>
      </w:pPr>
      <w:r/>
      <w:bookmarkStart w:id="32" w:name="_Toc109304978"/>
      <w:r>
        <w:rPr>
          <w:rFonts w:hint="eastAsia" w:ascii="宋体" w:hAnsi="宋体" w:eastAsia="宋体" w:cs="Times New Roman"/>
          <w:b/>
          <w:color w:val="auto"/>
          <w:sz w:val="32"/>
          <w:szCs w:val="32"/>
          <w:highlight w:val="none"/>
        </w:rPr>
        <w:t xml:space="preserve">分项报价表（本项目无需填写）</w:t>
      </w:r>
      <w:r/>
    </w:p>
    <w:p>
      <w:pPr>
        <w:pStyle w:val="771"/>
        <w:spacing w:line="360" w:lineRule="auto"/>
        <w:rPr>
          <w:rFonts w:ascii="宋体" w:hAnsi="宋体"/>
          <w:color w:val="auto"/>
          <w:highlight w:val="none"/>
        </w:rPr>
      </w:pPr>
      <w:r>
        <w:rPr>
          <w:rFonts w:hint="eastAsia" w:ascii="宋体" w:hAnsi="宋体"/>
          <w:color w:val="auto"/>
          <w:szCs w:val="21"/>
          <w:highlight w:val="none"/>
        </w:rPr>
        <w:t xml:space="preserve">投标人</w:t>
      </w:r>
      <w:r>
        <w:rPr>
          <w:rFonts w:hint="eastAsia" w:ascii="宋体" w:hAnsi="宋体"/>
          <w:color w:val="auto"/>
          <w:highlight w:val="none"/>
        </w:rPr>
        <w:t xml:space="preserve">全称（加盖公章）：            项目编号：</w:t>
      </w:r>
      <w:r/>
    </w:p>
    <w:p>
      <w:pPr>
        <w:pStyle w:val="774"/>
        <w:rPr>
          <w:color w:val="auto"/>
          <w:highlight w:val="none"/>
        </w:rPr>
      </w:pPr>
      <w:r>
        <w:rPr>
          <w:color w:val="auto"/>
          <w:highlight w:val="none"/>
        </w:rPr>
      </w:r>
      <w:r/>
    </w:p>
    <w:tbl>
      <w:tblPr>
        <w:tblStyle w:val="768"/>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gridSpan w:val="3"/>
            <w:tcBorders>
              <w:top w:val="single" w:color="auto" w:sz="4" w:space="0"/>
              <w:left w:val="single" w:color="auto" w:sz="4" w:space="0"/>
              <w:bottom w:val="single" w:color="auto" w:sz="4" w:space="0"/>
              <w:right w:val="single" w:color="auto" w:sz="4" w:space="0"/>
            </w:tcBorders>
            <w:tcW w:w="42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总报价</w:t>
            </w:r>
            <w:r/>
          </w:p>
        </w:tc>
        <w:tc>
          <w:tcPr>
            <w:gridSpan w:val="3"/>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spacing w:line="360" w:lineRule="auto"/>
              <w:rPr>
                <w:rFonts w:ascii="宋体" w:hAnsi="宋体"/>
                <w:color w:val="auto"/>
                <w:szCs w:val="21"/>
                <w:highlight w:val="none"/>
                <w:u w:val="single"/>
              </w:rPr>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bl>
    <w:p>
      <w:pPr>
        <w:rPr>
          <w:color w:val="auto"/>
          <w:highlight w:val="none"/>
        </w:rPr>
      </w:pPr>
      <w:r>
        <w:rPr>
          <w:color w:val="auto"/>
          <w:highlight w:val="none"/>
        </w:rPr>
      </w:r>
      <w:r/>
    </w:p>
    <w:p>
      <w:pPr>
        <w:jc w:val="left"/>
        <w:spacing w:line="540" w:lineRule="atLeast"/>
        <w:rPr>
          <w:color w:val="auto"/>
          <w:highlight w:val="none"/>
        </w:rPr>
      </w:pPr>
      <w:r>
        <w:rPr>
          <w:rFonts w:hint="eastAsia" w:ascii="宋体" w:hAnsi="宋体" w:cs="宋体"/>
          <w:color w:val="auto"/>
          <w:szCs w:val="21"/>
          <w:highlight w:val="none"/>
        </w:rPr>
        <w:t xml:space="preserve"> </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法定代表人或授权代表（签字或盖章）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Style w:val="776"/>
        <w:rPr>
          <w:rFonts w:hint="eastAsia"/>
          <w:color w:val="auto"/>
          <w:highlight w:val="none"/>
        </w:rPr>
      </w:pPr>
      <w:r>
        <w:rPr>
          <w:rFonts w:hint="eastAsia"/>
          <w:color w:val="auto"/>
          <w:highlight w:val="none"/>
        </w:rPr>
      </w:r>
      <w:r/>
    </w:p>
    <w:p>
      <w:pPr>
        <w:ind w:firstLine="480"/>
        <w:rPr>
          <w:rFonts w:hint="eastAsia" w:ascii="宋体" w:hAnsi="宋体"/>
          <w:color w:val="auto"/>
          <w:szCs w:val="21"/>
          <w:highlight w:val="none"/>
        </w:rPr>
      </w:pPr>
      <w:r>
        <w:rPr>
          <w:rFonts w:hint="eastAsia" w:ascii="宋体" w:hAnsi="宋体"/>
          <w:color w:val="auto"/>
          <w:szCs w:val="21"/>
          <w:highlight w:val="none"/>
        </w:rPr>
        <w:t xml:space="preserve">                       </w:t>
      </w:r>
      <w:r/>
    </w:p>
    <w:p>
      <w:pPr>
        <w:pStyle w:val="974"/>
        <w:ind w:firstLine="643"/>
        <w:jc w:val="center"/>
        <w:spacing w:before="0" w:after="0" w:line="360" w:lineRule="auto"/>
        <w:rPr>
          <w:rFonts w:hint="eastAsia" w:ascii="宋体" w:hAnsi="宋体"/>
          <w:bCs w:val="0"/>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六、</w:t>
      </w:r>
      <w:bookmarkEnd w:id="32"/>
      <w:r>
        <w:rPr>
          <w:rFonts w:hint="eastAsia" w:ascii="宋体" w:hAnsi="宋体"/>
          <w:bCs w:val="0"/>
          <w:color w:val="auto"/>
          <w:highlight w:val="none"/>
        </w:rPr>
        <w:t xml:space="preserve">技术参数响应及偏离表</w:t>
      </w:r>
      <w:r/>
    </w:p>
    <w:tbl>
      <w:tblPr>
        <w:tblStyle w:val="768"/>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240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采购要求</w:t>
            </w:r>
            <w:r/>
          </w:p>
        </w:tc>
        <w:tc>
          <w:tcPr>
            <w:tcW w:w="228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磋商响应</w:t>
            </w:r>
            <w:r/>
          </w:p>
        </w:tc>
        <w:tc>
          <w:tcPr>
            <w:tcW w:w="2016"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1137"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9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409"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284"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016"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137" w:type="dxa"/>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注：1、按照基本技术要求详细填列。</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2、行数不够，可自行添加。</w:t>
      </w:r>
      <w:r/>
    </w:p>
    <w:p>
      <w:pPr>
        <w:jc w:val="left"/>
        <w:spacing w:line="360" w:lineRule="auto"/>
        <w:widowControl/>
        <w:rPr>
          <w:rFonts w:hint="eastAsia" w:ascii="宋体" w:hAnsi="宋体"/>
          <w:bCs/>
          <w:color w:val="auto"/>
          <w:highlight w:val="none"/>
        </w:rPr>
      </w:pPr>
      <w:r/>
      <w:bookmarkStart w:id="33" w:name="_Hlt26955054"/>
      <w:r/>
      <w:bookmarkEnd w:id="33"/>
      <w:r/>
      <w:bookmarkStart w:id="34" w:name="_Toc109304979"/>
      <w:r>
        <w:rPr>
          <w:rFonts w:ascii="宋体" w:hAnsi="宋体"/>
          <w:bCs/>
          <w:color w:val="auto"/>
          <w:highlight w:val="none"/>
        </w:rPr>
        <w:br w:type="page" w:clear="all"/>
      </w:r>
      <w:bookmarkEnd w:id="34"/>
      <w:r/>
      <w:r/>
    </w:p>
    <w:p>
      <w:pPr>
        <w:pStyle w:val="974"/>
        <w:ind w:firstLine="643"/>
        <w:jc w:val="center"/>
        <w:spacing w:before="0" w:after="0" w:line="360" w:lineRule="auto"/>
        <w:rPr>
          <w:rFonts w:hint="eastAsia" w:ascii="宋体" w:hAnsi="宋体" w:cs="宋体"/>
          <w:bCs w:val="0"/>
          <w:color w:val="auto"/>
          <w:highlight w:val="none"/>
        </w:rPr>
      </w:pPr>
      <w:r>
        <w:rPr>
          <w:rFonts w:hint="eastAsia" w:ascii="宋体" w:hAnsi="宋体" w:cs="宋体"/>
          <w:bCs w:val="0"/>
          <w:color w:val="auto"/>
          <w:highlight w:val="none"/>
        </w:rPr>
        <w:t xml:space="preserve">七、商务条款响应及偏离表</w:t>
      </w:r>
      <w:r/>
    </w:p>
    <w:tbl>
      <w:tblPr>
        <w:tblStyle w:val="768"/>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693"/>
        <w:gridCol w:w="993"/>
        <w:gridCol w:w="2318"/>
      </w:tblGrid>
      <w:tr>
        <w:trPr>
          <w:trHeight w:val="642"/>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right"/>
              <w:spacing w:before="120" w:after="200" w:line="220" w:lineRule="atLeast"/>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left"/>
              <w:spacing w:before="120" w:after="200" w:line="220" w:lineRule="atLeast"/>
              <w:rPr>
                <w:rFonts w:hint="eastAsia"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color w:val="auto"/>
                <w:szCs w:val="21"/>
                <w:highlight w:val="none"/>
              </w:rPr>
              <w:t xml:space="preserve">磋商要求</w:t>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color w:val="auto"/>
                <w:szCs w:val="21"/>
                <w:highlight w:val="none"/>
              </w:rPr>
            </w:pPr>
            <w:r>
              <w:rPr>
                <w:rFonts w:hint="eastAsia" w:ascii="仿宋_GB2312"/>
                <w:color w:val="auto"/>
                <w:szCs w:val="21"/>
                <w:highlight w:val="none"/>
              </w:rPr>
              <w:t xml:space="preserve">服务期限</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color w:val="auto"/>
                <w:szCs w:val="21"/>
                <w:highlight w:val="none"/>
              </w:rPr>
            </w:pPr>
            <w:r>
              <w:rPr>
                <w:rFonts w:hint="eastAsia" w:ascii="仿宋_GB2312"/>
                <w:color w:val="auto"/>
                <w:szCs w:val="21"/>
                <w:highlight w:val="none"/>
              </w:rPr>
              <w:t xml:space="preserve">服务要求</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43"/>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ind w:left="43"/>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ascii="仿宋_GB2312" w:hAnsi="Tahoma"/>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spacing w:before="120" w:line="220" w:lineRule="atLeast"/>
              <w:rPr>
                <w:rFonts w:hint="eastAsia" w:ascii="仿宋_GB2312" w:hAnsi="宋体" w:eastAsia="微软雅黑"/>
                <w:color w:val="auto"/>
                <w:szCs w:val="21"/>
                <w:highlight w:val="none"/>
              </w:rPr>
            </w:pPr>
            <w:r>
              <w:rPr>
                <w:rFonts w:hint="eastAsia" w:ascii="仿宋_GB2312" w:hAnsi="宋体" w:eastAsia="微软雅黑"/>
                <w:color w:val="auto"/>
                <w:szCs w:val="21"/>
                <w:highlight w:val="none"/>
              </w:rPr>
            </w:r>
            <w:r/>
          </w:p>
          <w:p>
            <w:pPr>
              <w:spacing w:before="120" w:after="200" w:line="220" w:lineRule="atLeast"/>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43"/>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ind w:left="43"/>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ascii="仿宋_GB2312" w:hAnsi="Tahoma"/>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spacing w:before="120" w:line="220" w:lineRule="atLeast"/>
              <w:rPr>
                <w:rFonts w:hint="eastAsia" w:ascii="仿宋_GB2312" w:hAnsi="宋体" w:eastAsia="微软雅黑"/>
                <w:color w:val="auto"/>
                <w:szCs w:val="21"/>
                <w:highlight w:val="none"/>
              </w:rPr>
            </w:pPr>
            <w:r>
              <w:rPr>
                <w:rFonts w:hint="eastAsia" w:ascii="仿宋_GB2312" w:hAnsi="宋体" w:eastAsia="微软雅黑"/>
                <w:color w:val="auto"/>
                <w:szCs w:val="21"/>
                <w:highlight w:val="none"/>
              </w:rPr>
            </w:r>
            <w:r/>
          </w:p>
          <w:p>
            <w:pPr>
              <w:spacing w:before="120" w:after="200" w:line="220" w:lineRule="atLeast"/>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43"/>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ind w:left="43"/>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r>
        <w:trPr>
          <w:trHeight w:val="82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spacing w:before="120" w:after="200" w:line="220" w:lineRule="atLeast"/>
              <w:rPr>
                <w:rFonts w:hint="eastAsia" w:ascii="仿宋_GB2312" w:hAnsi="宋体" w:eastAsia="仿宋_GB2312"/>
                <w:color w:val="auto"/>
                <w:sz w:val="24"/>
                <w:szCs w:val="20"/>
                <w:highlight w:val="none"/>
              </w:rPr>
            </w:pPr>
            <w:r>
              <w:rPr>
                <w:rFonts w:hint="eastAsia" w:ascii="仿宋_GB2312" w:hAnsi="宋体" w:eastAsia="仿宋_GB2312"/>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spacing w:before="120" w:after="200" w:line="220" w:lineRule="atLeast"/>
              <w:rPr>
                <w:rFonts w:hint="eastAsia" w:ascii="仿宋_GB2312" w:hAnsi="宋体" w:eastAsia="仿宋_GB2312"/>
                <w:color w:val="auto"/>
                <w:sz w:val="24"/>
                <w:szCs w:val="20"/>
                <w:highlight w:val="none"/>
              </w:rPr>
            </w:pPr>
            <w:r>
              <w:rPr>
                <w:rFonts w:hint="eastAsia" w:ascii="仿宋_GB2312" w:hAnsi="宋体" w:eastAsia="仿宋_GB2312"/>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color w:val="auto"/>
                <w:sz w:val="24"/>
                <w:szCs w:val="20"/>
                <w:highlight w:val="none"/>
              </w:rPr>
            </w:pPr>
            <w:r>
              <w:rPr>
                <w:rFonts w:hint="eastAsia" w:ascii="仿宋_GB2312" w:hAnsi="宋体" w:eastAsia="仿宋_GB2312"/>
                <w:color w:val="auto"/>
                <w:sz w:val="24"/>
                <w:szCs w:val="20"/>
                <w:highlight w:val="none"/>
              </w:rPr>
            </w:r>
            <w:r/>
          </w:p>
        </w:tc>
      </w:tr>
      <w:tr>
        <w:trPr>
          <w:trHeight w:val="34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宋体" w:hAnsi="宋体"/>
                <w:color w:val="auto"/>
                <w:szCs w:val="21"/>
                <w:highlight w:val="none"/>
              </w:rPr>
            </w:pPr>
            <w:r>
              <w:rPr>
                <w:rFonts w:hint="eastAsia" w:ascii="宋体" w:hAnsi="宋体"/>
                <w:color w:val="auto"/>
                <w:szCs w:val="21"/>
                <w:highlight w:val="none"/>
              </w:rPr>
              <w:t xml:space="preserve">磋商响应货币</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spacing w:before="120" w:line="220" w:lineRule="atLeast"/>
              <w:rPr>
                <w:rFonts w:hint="eastAsia" w:ascii="仿宋_GB2312" w:hAnsi="宋体" w:eastAsia="仿宋_GB2312"/>
                <w:color w:val="auto"/>
                <w:sz w:val="24"/>
                <w:szCs w:val="20"/>
                <w:highlight w:val="none"/>
              </w:rPr>
            </w:pPr>
            <w:r>
              <w:rPr>
                <w:rFonts w:hint="eastAsia" w:ascii="仿宋_GB2312" w:hAnsi="宋体" w:eastAsia="仿宋_GB2312"/>
                <w:color w:val="auto"/>
                <w:sz w:val="24"/>
                <w:szCs w:val="20"/>
                <w:highlight w:val="none"/>
              </w:rPr>
            </w:r>
            <w:r/>
          </w:p>
          <w:p>
            <w:pPr>
              <w:spacing w:before="120" w:after="200" w:line="220" w:lineRule="atLeast"/>
              <w:rPr>
                <w:rFonts w:hint="eastAsia" w:ascii="仿宋_GB2312" w:hAnsi="宋体" w:eastAsia="仿宋_GB2312"/>
                <w:color w:val="auto"/>
                <w:sz w:val="24"/>
                <w:szCs w:val="20"/>
                <w:highlight w:val="none"/>
              </w:rPr>
            </w:pPr>
            <w:r>
              <w:rPr>
                <w:rFonts w:hint="eastAsia" w:ascii="仿宋_GB2312" w:hAnsi="宋体" w:eastAsia="仿宋_GB2312"/>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spacing w:before="120" w:after="200" w:line="220" w:lineRule="atLeast"/>
              <w:rPr>
                <w:rFonts w:hint="eastAsia" w:ascii="仿宋_GB2312" w:hAnsi="宋体" w:eastAsia="仿宋_GB2312"/>
                <w:color w:val="auto"/>
                <w:sz w:val="24"/>
                <w:szCs w:val="20"/>
                <w:highlight w:val="none"/>
              </w:rPr>
            </w:pPr>
            <w:r>
              <w:rPr>
                <w:rFonts w:hint="eastAsia" w:ascii="仿宋_GB2312" w:hAnsi="宋体" w:eastAsia="仿宋_GB2312"/>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color w:val="auto"/>
                <w:sz w:val="24"/>
                <w:szCs w:val="20"/>
                <w:highlight w:val="none"/>
              </w:rPr>
            </w:pPr>
            <w:r>
              <w:rPr>
                <w:rFonts w:hint="eastAsia" w:ascii="仿宋_GB2312" w:hAnsi="宋体" w:eastAsia="仿宋_GB2312"/>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before="120"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20" w:after="200" w:line="220" w:lineRule="atLeast"/>
              <w:rPr>
                <w:rFonts w:hint="eastAsia"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318" w:type="dxa"/>
            <w:textDirection w:val="lrTb"/>
            <w:noWrap w:val="false"/>
          </w:tcPr>
          <w:p>
            <w:pPr>
              <w:spacing w:before="120" w:after="200" w:line="220" w:lineRule="atLeast"/>
              <w:rPr>
                <w:rFonts w:hint="eastAsia" w:ascii="仿宋_GB2312" w:hAnsi="宋体" w:eastAsia="仿宋_GB2312"/>
                <w:color w:val="auto"/>
                <w:szCs w:val="21"/>
                <w:highlight w:val="none"/>
              </w:rPr>
            </w:pPr>
            <w:r>
              <w:rPr>
                <w:rFonts w:hint="eastAsia" w:ascii="仿宋_GB2312" w:hAnsi="宋体" w:eastAsia="仿宋_GB2312"/>
                <w:color w:val="auto"/>
                <w:szCs w:val="21"/>
                <w:highlight w:val="none"/>
              </w:rPr>
            </w:r>
            <w:r/>
          </w:p>
        </w:tc>
      </w:tr>
    </w:tbl>
    <w:p>
      <w:pPr>
        <w:pStyle w:val="975"/>
        <w:rPr>
          <w:color w:val="auto"/>
          <w:highlight w:val="none"/>
        </w:rPr>
      </w:pPr>
      <w:r>
        <w:rPr>
          <w:color w:val="auto"/>
          <w:highlight w:val="none"/>
        </w:rPr>
      </w:r>
      <w:r/>
    </w:p>
    <w:p>
      <w:pPr>
        <w:pStyle w:val="975"/>
        <w:rPr>
          <w:color w:val="auto"/>
          <w:highlight w:val="none"/>
        </w:rPr>
      </w:pPr>
      <w:r>
        <w:rPr>
          <w:color w:val="auto"/>
          <w:highlight w:val="none"/>
        </w:rPr>
      </w:r>
      <w:r/>
    </w:p>
    <w:p>
      <w:pPr>
        <w:pStyle w:val="975"/>
        <w:rPr>
          <w:color w:val="auto"/>
          <w:highlight w:val="none"/>
        </w:rPr>
      </w:pPr>
      <w:r>
        <w:rPr>
          <w:color w:val="auto"/>
          <w:highlight w:val="none"/>
        </w:rPr>
      </w:r>
      <w:r/>
    </w:p>
    <w:p>
      <w:pPr>
        <w:pStyle w:val="975"/>
        <w:rPr>
          <w:color w:val="auto"/>
          <w:highlight w:val="none"/>
        </w:rPr>
      </w:pPr>
      <w:r>
        <w:rPr>
          <w:color w:val="auto"/>
          <w:highlight w:val="none"/>
        </w:rPr>
      </w:r>
      <w:r/>
    </w:p>
    <w:p>
      <w:pPr>
        <w:ind w:firstLine="422"/>
        <w:jc w:val="center"/>
        <w:spacing w:line="360" w:lineRule="auto"/>
        <w:rPr>
          <w:b/>
          <w:bCs/>
          <w:color w:val="auto"/>
          <w:szCs w:val="21"/>
          <w:highlight w:val="none"/>
        </w:rPr>
      </w:pPr>
      <w:r/>
      <w:bookmarkStart w:id="35" w:name="_Hlt26671343"/>
      <w:r/>
      <w:bookmarkEnd w:id="35"/>
      <w:r/>
      <w:bookmarkStart w:id="36" w:name="_Hlt26955064"/>
      <w:r/>
      <w:bookmarkEnd w:id="36"/>
      <w:r/>
      <w:bookmarkStart w:id="37" w:name="_Hlt24879081"/>
      <w:r/>
      <w:bookmarkEnd w:id="37"/>
      <w:r/>
      <w:bookmarkStart w:id="38" w:name="_Hlt26609391"/>
      <w:r/>
      <w:bookmarkEnd w:id="38"/>
      <w:r/>
      <w:bookmarkStart w:id="39" w:name="_Hlt26671372"/>
      <w:r/>
      <w:bookmarkEnd w:id="39"/>
      <w:r/>
      <w:bookmarkStart w:id="40" w:name="_Hlt26955056"/>
      <w:r/>
      <w:bookmarkEnd w:id="40"/>
      <w:r/>
      <w:bookmarkStart w:id="41" w:name="_Hlt26580838"/>
      <w:r/>
      <w:bookmarkEnd w:id="41"/>
      <w:r/>
      <w:bookmarkStart w:id="42" w:name="_Hlt26782999"/>
      <w:r/>
      <w:bookmarkEnd w:id="42"/>
      <w:r>
        <w:rPr>
          <w:rFonts w:hint="eastAsia" w:ascii="宋体" w:hAnsi="宋体" w:cs="宋体"/>
          <w:b/>
          <w:color w:val="auto"/>
          <w:highlight w:val="none"/>
        </w:rPr>
        <w:br w:type="page" w:clear="all"/>
      </w:r>
      <w:r>
        <w:rPr>
          <w:rFonts w:hint="eastAsia" w:ascii="宋体" w:hAnsi="宋体" w:cs="宋体"/>
          <w:b/>
          <w:color w:val="auto"/>
          <w:sz w:val="32"/>
          <w:szCs w:val="32"/>
          <w:highlight w:val="none"/>
        </w:rPr>
        <w:t xml:space="preserve">八、拟投入人员一览表</w:t>
      </w:r>
      <w:r/>
    </w:p>
    <w:tbl>
      <w:tblPr>
        <w:tblStyle w:val="768"/>
        <w:tblW w:w="8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序号</w:t>
            </w:r>
            <w:r/>
          </w:p>
        </w:tc>
        <w:tc>
          <w:tcPr>
            <w:tcW w:w="743"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岗位</w:t>
            </w:r>
            <w:r/>
          </w:p>
        </w:tc>
        <w:tc>
          <w:tcPr>
            <w:tcW w:w="744"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姓 名</w:t>
            </w:r>
            <w:r/>
          </w:p>
        </w:tc>
        <w:tc>
          <w:tcPr>
            <w:tcW w:w="801"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性别</w:t>
            </w:r>
            <w:r/>
          </w:p>
        </w:tc>
        <w:tc>
          <w:tcPr>
            <w:tcW w:w="727"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学历</w:t>
            </w:r>
            <w:r/>
          </w:p>
        </w:tc>
        <w:tc>
          <w:tcPr>
            <w:tcW w:w="1365"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出生年月</w:t>
            </w:r>
            <w:r/>
          </w:p>
        </w:tc>
        <w:tc>
          <w:tcPr>
            <w:tcW w:w="855"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专业</w:t>
            </w:r>
            <w:r/>
          </w:p>
        </w:tc>
        <w:tc>
          <w:tcPr>
            <w:tcW w:w="1573"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证书及编号</w:t>
            </w:r>
            <w:r/>
          </w:p>
        </w:tc>
        <w:tc>
          <w:tcPr>
            <w:tcW w:w="871" w:type="dxa"/>
            <w:vAlign w:val="center"/>
            <w:textDirection w:val="lrTb"/>
            <w:noWrap/>
          </w:tcPr>
          <w:p>
            <w:pPr>
              <w:jc w:val="center"/>
              <w:spacing w:line="360" w:lineRule="auto"/>
              <w:rPr>
                <w:color w:val="auto"/>
                <w:szCs w:val="21"/>
                <w:highlight w:val="none"/>
              </w:rPr>
            </w:pPr>
            <w:r>
              <w:rPr>
                <w:rFonts w:hint="eastAsia"/>
                <w:color w:val="auto"/>
                <w:szCs w:val="21"/>
                <w:highlight w:val="none"/>
              </w:rPr>
              <w:t xml:space="preserve">备注</w:t>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7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r>
        <w:trPr>
          <w:jc w:val="center"/>
          <w:trHeight w:val="483"/>
        </w:trPr>
        <w:tc>
          <w:tcPr>
            <w:tcW w:w="676"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3" w:type="dxa"/>
            <w:vAlign w:val="center"/>
            <w:textDirection w:val="lrTb"/>
            <w:noWrap/>
          </w:tcPr>
          <w:p>
            <w:pPr>
              <w:jc w:val="center"/>
              <w:spacing w:line="360" w:lineRule="auto"/>
              <w:rPr>
                <w:color w:val="auto"/>
                <w:szCs w:val="21"/>
                <w:highlight w:val="none"/>
              </w:rPr>
            </w:pPr>
            <w:r>
              <w:rPr>
                <w:color w:val="auto"/>
                <w:szCs w:val="21"/>
                <w:highlight w:val="none"/>
              </w:rPr>
            </w:r>
            <w:r/>
          </w:p>
        </w:tc>
        <w:tc>
          <w:tcPr>
            <w:tcW w:w="744" w:type="dxa"/>
            <w:vAlign w:val="center"/>
            <w:textDirection w:val="lrTb"/>
            <w:noWrap/>
          </w:tcPr>
          <w:p>
            <w:pPr>
              <w:jc w:val="center"/>
              <w:spacing w:line="360" w:lineRule="auto"/>
              <w:rPr>
                <w:color w:val="auto"/>
                <w:szCs w:val="21"/>
                <w:highlight w:val="none"/>
              </w:rPr>
            </w:pPr>
            <w:r>
              <w:rPr>
                <w:color w:val="auto"/>
                <w:szCs w:val="21"/>
                <w:highlight w:val="none"/>
              </w:rPr>
            </w:r>
            <w:r/>
          </w:p>
        </w:tc>
        <w:tc>
          <w:tcPr>
            <w:tcW w:w="801" w:type="dxa"/>
            <w:vAlign w:val="center"/>
            <w:textDirection w:val="lrTb"/>
            <w:noWrap/>
          </w:tcPr>
          <w:p>
            <w:pPr>
              <w:jc w:val="center"/>
              <w:spacing w:line="360" w:lineRule="auto"/>
              <w:rPr>
                <w:color w:val="auto"/>
                <w:szCs w:val="21"/>
                <w:highlight w:val="none"/>
              </w:rPr>
            </w:pPr>
            <w:r>
              <w:rPr>
                <w:color w:val="auto"/>
                <w:szCs w:val="21"/>
                <w:highlight w:val="none"/>
              </w:rPr>
            </w:r>
            <w:r/>
          </w:p>
        </w:tc>
        <w:tc>
          <w:tcPr>
            <w:tcW w:w="727" w:type="dxa"/>
            <w:vAlign w:val="center"/>
            <w:textDirection w:val="lrTb"/>
            <w:noWrap/>
          </w:tcPr>
          <w:p>
            <w:pPr>
              <w:jc w:val="center"/>
              <w:spacing w:line="360" w:lineRule="auto"/>
              <w:rPr>
                <w:color w:val="auto"/>
                <w:szCs w:val="21"/>
                <w:highlight w:val="none"/>
              </w:rPr>
            </w:pPr>
            <w:r>
              <w:rPr>
                <w:color w:val="auto"/>
                <w:szCs w:val="21"/>
                <w:highlight w:val="none"/>
              </w:rPr>
            </w:r>
            <w:r/>
          </w:p>
        </w:tc>
        <w:tc>
          <w:tcPr>
            <w:tcW w:w="1365" w:type="dxa"/>
            <w:vAlign w:val="center"/>
            <w:textDirection w:val="lrTb"/>
            <w:noWrap/>
          </w:tcPr>
          <w:p>
            <w:pPr>
              <w:jc w:val="center"/>
              <w:spacing w:line="360" w:lineRule="auto"/>
              <w:rPr>
                <w:color w:val="auto"/>
                <w:szCs w:val="21"/>
                <w:highlight w:val="none"/>
              </w:rPr>
            </w:pPr>
            <w:r>
              <w:rPr>
                <w:color w:val="auto"/>
                <w:szCs w:val="21"/>
                <w:highlight w:val="none"/>
              </w:rPr>
            </w:r>
            <w:r/>
          </w:p>
        </w:tc>
        <w:tc>
          <w:tcPr>
            <w:tcW w:w="855" w:type="dxa"/>
            <w:vAlign w:val="center"/>
            <w:textDirection w:val="lrTb"/>
            <w:noWrap/>
          </w:tcPr>
          <w:p>
            <w:pPr>
              <w:jc w:val="center"/>
              <w:spacing w:line="360" w:lineRule="auto"/>
              <w:rPr>
                <w:color w:val="auto"/>
                <w:szCs w:val="21"/>
                <w:highlight w:val="none"/>
              </w:rPr>
            </w:pPr>
            <w:r>
              <w:rPr>
                <w:color w:val="auto"/>
                <w:szCs w:val="21"/>
                <w:highlight w:val="none"/>
              </w:rPr>
            </w:r>
            <w:r/>
          </w:p>
        </w:tc>
        <w:tc>
          <w:tcPr>
            <w:tcW w:w="1573" w:type="dxa"/>
            <w:vAlign w:val="center"/>
            <w:textDirection w:val="lrTb"/>
            <w:noWrap/>
          </w:tcPr>
          <w:p>
            <w:pPr>
              <w:jc w:val="center"/>
              <w:spacing w:line="360" w:lineRule="auto"/>
              <w:rPr>
                <w:color w:val="auto"/>
                <w:szCs w:val="21"/>
                <w:highlight w:val="none"/>
              </w:rPr>
            </w:pPr>
            <w:r>
              <w:rPr>
                <w:color w:val="auto"/>
                <w:szCs w:val="21"/>
                <w:highlight w:val="none"/>
              </w:rPr>
            </w:r>
            <w:r/>
          </w:p>
        </w:tc>
        <w:tc>
          <w:tcPr>
            <w:tcW w:w="871" w:type="dxa"/>
            <w:vAlign w:val="center"/>
            <w:textDirection w:val="lrTb"/>
            <w:noWrap/>
          </w:tcPr>
          <w:p>
            <w:pPr>
              <w:jc w:val="center"/>
              <w:spacing w:line="360" w:lineRule="auto"/>
              <w:rPr>
                <w:color w:val="auto"/>
                <w:szCs w:val="21"/>
                <w:highlight w:val="none"/>
              </w:rPr>
            </w:pPr>
            <w:r>
              <w:rPr>
                <w:color w:val="auto"/>
                <w:szCs w:val="21"/>
                <w:highlight w:val="none"/>
              </w:rPr>
            </w:r>
            <w:r/>
          </w:p>
        </w:tc>
      </w:tr>
    </w:tbl>
    <w:p>
      <w:pPr>
        <w:pStyle w:val="840"/>
        <w:ind w:firstLine="0"/>
        <w:spacing w:line="360" w:lineRule="auto"/>
        <w:rPr>
          <w:rFonts w:hint="eastAsia" w:ascii="宋体" w:hAnsi="宋体"/>
          <w:bCs/>
          <w:color w:val="auto"/>
          <w:highlight w:val="none"/>
        </w:rPr>
      </w:pPr>
      <w:r>
        <w:rPr>
          <w:rFonts w:hint="eastAsia" w:ascii="宋体" w:hAnsi="宋体"/>
          <w:bCs/>
          <w:color w:val="auto"/>
          <w:highlight w:val="none"/>
        </w:rPr>
      </w:r>
      <w:r/>
    </w:p>
    <w:p>
      <w:pPr>
        <w:ind w:firstLine="422"/>
        <w:spacing w:line="360" w:lineRule="auto"/>
        <w:rPr>
          <w:rFonts w:hint="eastAsia" w:ascii="宋体" w:hAnsi="宋体"/>
          <w:b/>
          <w:color w:val="auto"/>
          <w:highlight w:val="none"/>
        </w:rPr>
      </w:pPr>
      <w:r>
        <w:rPr>
          <w:rFonts w:hint="eastAsia" w:ascii="宋体" w:hAnsi="宋体"/>
          <w:b/>
          <w:color w:val="auto"/>
          <w:highlight w:val="none"/>
        </w:rPr>
        <w:br w:type="page" w:clear="all"/>
      </w:r>
      <w:r/>
    </w:p>
    <w:p>
      <w:pPr>
        <w:ind w:firstLine="422"/>
        <w:jc w:val="center"/>
        <w:spacing w:line="360" w:lineRule="auto"/>
        <w:rPr>
          <w:rFonts w:hint="eastAsia" w:ascii="宋体" w:hAnsi="宋体"/>
          <w:b/>
          <w:color w:val="auto"/>
          <w:highlight w:val="none"/>
        </w:rPr>
      </w:pPr>
      <w:r>
        <w:rPr>
          <w:rFonts w:hint="eastAsia" w:ascii="宋体" w:hAnsi="宋体"/>
          <w:b/>
          <w:color w:val="auto"/>
          <w:highlight w:val="none"/>
        </w:rPr>
        <w:t xml:space="preserve">主要标的信息（成交后将公示）</w:t>
      </w:r>
      <w:r/>
    </w:p>
    <w:p>
      <w:pPr>
        <w:ind w:firstLine="420"/>
        <w:spacing w:line="360" w:lineRule="auto"/>
        <w:rPr>
          <w:rFonts w:hint="eastAsia" w:ascii="宋体" w:hAnsi="宋体"/>
          <w:b/>
          <w:color w:val="auto"/>
          <w:highlight w:val="none"/>
        </w:rPr>
      </w:pPr>
      <w:r>
        <w:rPr>
          <w:rFonts w:hint="eastAsia" w:ascii="宋体" w:hAnsi="宋体"/>
          <w:color w:val="auto"/>
          <w:highlight w:val="none"/>
        </w:rPr>
        <w:t xml:space="preserve">供应商全称：</w:t>
      </w:r>
      <w:r/>
    </w:p>
    <w:tbl>
      <w:tblPr>
        <w:tblStyle w:val="768"/>
        <w:tblW w:w="94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tc>
          <w:tcPr>
            <w:tcW w:w="2836" w:type="dxa"/>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货物类</w:t>
            </w:r>
            <w:r/>
          </w:p>
        </w:tc>
        <w:tc>
          <w:tcPr>
            <w:tcW w:w="3313" w:type="dxa"/>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服务类</w:t>
            </w:r>
            <w:r/>
          </w:p>
        </w:tc>
        <w:tc>
          <w:tcPr>
            <w:tcW w:w="3313" w:type="dxa"/>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3810"/>
        </w:trPr>
        <w:tc>
          <w:tcPr>
            <w:tcW w:w="2836"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313"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c>
          <w:tcPr>
            <w:tcW w:w="3313" w:type="dxa"/>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ind w:firstLine="480"/>
        <w:jc w:val="left"/>
        <w:spacing w:line="360" w:lineRule="auto"/>
        <w:widowControl/>
        <w:rPr>
          <w:rFonts w:hint="eastAsia"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22"/>
        <w:jc w:val="center"/>
        <w:spacing w:line="360" w:lineRule="auto"/>
        <w:rPr>
          <w:rFonts w:hint="eastAsia" w:ascii="宋体" w:hAnsi="宋体"/>
          <w:b/>
          <w:color w:val="auto"/>
          <w:highlight w:val="none"/>
        </w:rPr>
      </w:pPr>
      <w:r>
        <w:rPr>
          <w:rFonts w:hint="eastAsia" w:ascii="宋体" w:hAnsi="宋体"/>
          <w:b/>
          <w:color w:val="auto"/>
          <w:highlight w:val="none"/>
        </w:rPr>
        <w:t xml:space="preserve">联合体协议（如有）</w:t>
      </w:r>
      <w:r/>
    </w:p>
    <w:p>
      <w:pPr>
        <w:ind w:firstLine="422"/>
        <w:jc w:val="center"/>
        <w:spacing w:line="360" w:lineRule="auto"/>
        <w:rPr>
          <w:rFonts w:hint="eastAsia" w:ascii="宋体" w:hAnsi="宋体"/>
          <w:b/>
          <w:color w:val="auto"/>
          <w:highlight w:val="none"/>
        </w:rPr>
      </w:pPr>
      <w:r>
        <w:rPr>
          <w:rFonts w:hint="eastAsia" w:ascii="宋体" w:hAnsi="宋体"/>
          <w:b/>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（联合体中各供应商全称）在此达成以下协议：</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1、我们自愿组成联合体，参加江苏苏维工程管理有限公司组织的采购编号为</w:t>
      </w:r>
      <w:r>
        <w:rPr>
          <w:rFonts w:hint="eastAsia"/>
          <w:color w:val="auto"/>
          <w:highlight w:val="none"/>
          <w:lang w:eastAsia="zh-CN"/>
        </w:rPr>
        <w:t xml:space="preserve">JSZC-321000-SWGC-C2026-0039</w:t>
      </w:r>
      <w:r>
        <w:rPr>
          <w:rFonts w:hint="eastAsia"/>
          <w:color w:val="auto"/>
          <w:highlight w:val="none"/>
        </w:rPr>
        <w:t xml:space="preserve">号</w:t>
      </w:r>
      <w:r>
        <w:rPr>
          <w:rFonts w:hint="eastAsia" w:ascii="宋体" w:hAnsi="宋体"/>
          <w:color w:val="auto"/>
          <w:highlight w:val="none"/>
          <w:lang w:eastAsia="zh-CN"/>
        </w:rPr>
        <w:t xml:space="preserve">扬州市2025年智慧图书馆体系资源建设项目（二次）</w:t>
      </w:r>
      <w:r>
        <w:rPr>
          <w:rFonts w:hint="eastAsia" w:ascii="宋体" w:hAnsi="宋体"/>
          <w:color w:val="auto"/>
          <w:highlight w:val="none"/>
        </w:rPr>
        <w:t xml:space="preserve">的政府采购活动。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所有供应商全称：</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法定代表人：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日期：</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Symbol">
    <w:panose1 w:val="05050102010706020507"/>
  </w:font>
  <w:font w:name="Wingdings">
    <w:panose1 w:val="05000000000000000000"/>
  </w:font>
  <w:font w:name="黑体">
    <w:panose1 w:val="02010609060101010101"/>
  </w:font>
  <w:font w:name="幼圆">
    <w:panose1 w:val="02010509060101010101"/>
  </w:font>
  <w:font w:name="Calibri">
    <w:panose1 w:val="020F0502020204030204"/>
  </w:font>
  <w:font w:name="微软雅黑">
    <w:panose1 w:val="020B0503020204020204"/>
  </w:font>
  <w:font w:name="方正仿宋_GBK">
    <w:panose1 w:val="020B0503020202020204"/>
  </w:font>
  <w:font w:name="Cambria">
    <w:panose1 w:val="02040503050406030204"/>
  </w:font>
  <w:font w:name="Courier New">
    <w:panose1 w:val="02070309020205020404"/>
  </w:font>
  <w:font w:name="等线">
    <w:panose1 w:val="02010600030101010101"/>
  </w:font>
  <w:font w:name="仿宋">
    <w:panose1 w:val="02010609060101010101"/>
  </w:font>
  <w:font w:name="楷体_GB2312">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szCs w:val="22"/>
      </w:rPr>
    </w:pPr>
    <w:r/>
    <w:bookmarkStart w:id="43" w:name="_Hlk69393956"/>
    <w:r/>
    <w:bookmarkStart w:id="44" w:name="_Hlk69393955"/>
    <w:r>
      <w:rPr>
        <w:rFonts w:hint="eastAsia"/>
        <w:lang w:eastAsia="zh-CN"/>
      </w:rPr>
      <w:t xml:space="preserve">JSZC-321000-SWGC-C2026-0039</w:t>
    </w:r>
    <w:r>
      <w:rPr>
        <w:rFonts w:hint="eastAsia"/>
      </w:rPr>
      <w:t xml:space="preserve">号                                    </w:t>
    </w:r>
    <w:bookmarkEnd w:id="43"/>
    <w:r/>
    <w:bookmarkEnd w:id="44"/>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7">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6">
    <w:name w:val="TOC Heading"/>
    <w:uiPriority w:val="39"/>
    <w:unhideWhenUsed/>
  </w:style>
  <w:style w:type="paragraph" w:styleId="757" w:default="1">
    <w:name w:val="Normal"/>
    <w:next w:val="769"/>
    <w:uiPriority w:val="0"/>
    <w:qFormat/>
    <w:pPr>
      <w:jc w:val="both"/>
      <w:widowControl w:val="off"/>
    </w:pPr>
    <w:rPr>
      <w:rFonts w:ascii="Times New Roman" w:hAnsi="Times New Roman" w:eastAsia="宋体" w:cs="Times New Roman"/>
      <w:sz w:val="21"/>
      <w:szCs w:val="22"/>
      <w:lang w:val="en-US" w:eastAsia="zh-CN" w:bidi="ar-SA"/>
    </w:rPr>
  </w:style>
  <w:style w:type="paragraph" w:styleId="758">
    <w:name w:val="Heading 1"/>
    <w:basedOn w:val="757"/>
    <w:next w:val="757"/>
    <w:link w:val="845"/>
    <w:uiPriority w:val="9"/>
    <w:qFormat/>
    <w:pPr>
      <w:keepLines/>
      <w:keepNext/>
      <w:spacing w:before="100" w:after="100" w:line="360" w:lineRule="auto"/>
      <w:outlineLvl w:val="0"/>
    </w:pPr>
    <w:rPr>
      <w:rFonts w:ascii="Arial" w:hAnsi="Arial" w:cs="Arial"/>
      <w:b/>
      <w:sz w:val="44"/>
      <w:szCs w:val="40"/>
    </w:rPr>
  </w:style>
  <w:style w:type="paragraph" w:styleId="759">
    <w:name w:val="Heading 2"/>
    <w:basedOn w:val="757"/>
    <w:next w:val="757"/>
    <w:link w:val="846"/>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847"/>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848"/>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49"/>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50"/>
    <w:uiPriority w:val="9"/>
    <w:unhideWhenUsed/>
    <w:qFormat/>
    <w:pPr>
      <w:keepLines/>
      <w:keepNext/>
      <w:spacing w:before="320" w:after="200"/>
      <w:outlineLvl w:val="5"/>
    </w:pPr>
    <w:rPr>
      <w:rFonts w:ascii="Arial" w:hAnsi="Arial" w:eastAsia="Arial" w:cs="Arial"/>
      <w:b/>
      <w:bCs/>
      <w:sz w:val="22"/>
    </w:rPr>
  </w:style>
  <w:style w:type="paragraph" w:styleId="764">
    <w:name w:val="Heading 7"/>
    <w:basedOn w:val="757"/>
    <w:next w:val="757"/>
    <w:link w:val="851"/>
    <w:uiPriority w:val="9"/>
    <w:unhideWhenUsed/>
    <w:qFormat/>
    <w:pPr>
      <w:keepLines/>
      <w:keepNext/>
      <w:spacing w:before="320" w:after="200"/>
      <w:outlineLvl w:val="6"/>
    </w:pPr>
    <w:rPr>
      <w:rFonts w:ascii="Arial" w:hAnsi="Arial" w:eastAsia="Arial" w:cs="Arial"/>
      <w:b/>
      <w:bCs/>
      <w:i/>
      <w:iCs/>
      <w:sz w:val="22"/>
    </w:rPr>
  </w:style>
  <w:style w:type="paragraph" w:styleId="765">
    <w:name w:val="Heading 8"/>
    <w:basedOn w:val="757"/>
    <w:next w:val="757"/>
    <w:link w:val="852"/>
    <w:uiPriority w:val="9"/>
    <w:unhideWhenUsed/>
    <w:qFormat/>
    <w:pPr>
      <w:keepLines/>
      <w:keepNext/>
      <w:spacing w:before="320" w:after="200"/>
      <w:outlineLvl w:val="7"/>
    </w:pPr>
    <w:rPr>
      <w:rFonts w:ascii="Arial" w:hAnsi="Arial" w:eastAsia="Arial" w:cs="Arial"/>
      <w:i/>
      <w:iCs/>
      <w:sz w:val="22"/>
    </w:rPr>
  </w:style>
  <w:style w:type="paragraph" w:styleId="766">
    <w:name w:val="Heading 9"/>
    <w:basedOn w:val="757"/>
    <w:next w:val="757"/>
    <w:link w:val="853"/>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customStyle="1">
    <w:name w:val="正文（缩进）"/>
    <w:basedOn w:val="757"/>
    <w:uiPriority w:val="0"/>
    <w:qFormat/>
    <w:pPr>
      <w:ind w:firstLine="480"/>
      <w:spacing w:before="156" w:after="156"/>
    </w:pPr>
  </w:style>
  <w:style w:type="paragraph" w:styleId="770">
    <w:name w:val="toc 7"/>
    <w:basedOn w:val="757"/>
    <w:next w:val="757"/>
    <w:uiPriority w:val="39"/>
    <w:unhideWhenUsed/>
    <w:qFormat/>
    <w:pPr>
      <w:ind w:left="1701"/>
      <w:spacing w:after="57"/>
    </w:pPr>
  </w:style>
  <w:style w:type="paragraph" w:styleId="771">
    <w:name w:val="Normal Indent"/>
    <w:basedOn w:val="757"/>
    <w:next w:val="757"/>
    <w:uiPriority w:val="0"/>
    <w:unhideWhenUsed/>
    <w:qFormat/>
    <w:pPr>
      <w:ind w:firstLine="420"/>
    </w:pPr>
  </w:style>
  <w:style w:type="paragraph" w:styleId="772">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7"/>
    <w:link w:val="1038"/>
    <w:uiPriority w:val="99"/>
    <w:semiHidden/>
    <w:unhideWhenUsed/>
    <w:qFormat/>
    <w:pPr>
      <w:jc w:val="left"/>
    </w:pPr>
  </w:style>
  <w:style w:type="paragraph" w:styleId="774">
    <w:name w:val="Body Text"/>
    <w:basedOn w:val="757"/>
    <w:next w:val="775"/>
    <w:uiPriority w:val="99"/>
    <w:unhideWhenUsed/>
    <w:qFormat/>
    <w:rPr>
      <w:rFonts w:ascii="楷体_GB2312" w:hAnsi="Arial" w:eastAsia="楷体_GB2312"/>
      <w:sz w:val="28"/>
      <w:szCs w:val="28"/>
    </w:rPr>
  </w:style>
  <w:style w:type="paragraph" w:styleId="775">
    <w:name w:val="Body Text 2"/>
    <w:basedOn w:val="757"/>
    <w:uiPriority w:val="0"/>
    <w:qFormat/>
    <w:pPr>
      <w:spacing w:after="120" w:line="480" w:lineRule="auto"/>
    </w:pPr>
  </w:style>
  <w:style w:type="paragraph" w:styleId="776">
    <w:name w:val="Body Text Indent"/>
    <w:basedOn w:val="757"/>
    <w:next w:val="757"/>
    <w:uiPriority w:val="0"/>
    <w:qFormat/>
    <w:pPr>
      <w:ind w:left="420"/>
      <w:spacing w:after="120"/>
    </w:pPr>
    <w:rPr>
      <w:rFonts w:ascii="等线" w:hAnsi="等线" w:eastAsia="等线"/>
    </w:rPr>
  </w:style>
  <w:style w:type="paragraph" w:styleId="777">
    <w:name w:val="index 4"/>
    <w:basedOn w:val="757"/>
    <w:next w:val="757"/>
    <w:uiPriority w:val="0"/>
    <w:qFormat/>
    <w:pPr>
      <w:ind w:left="600"/>
    </w:pPr>
    <w:rPr>
      <w:szCs w:val="24"/>
    </w:rPr>
  </w:style>
  <w:style w:type="paragraph" w:styleId="778">
    <w:name w:val="toc 5"/>
    <w:basedOn w:val="757"/>
    <w:next w:val="757"/>
    <w:uiPriority w:val="39"/>
    <w:unhideWhenUsed/>
    <w:qFormat/>
    <w:pPr>
      <w:ind w:left="1134"/>
      <w:spacing w:after="57"/>
    </w:pPr>
  </w:style>
  <w:style w:type="paragraph" w:styleId="779">
    <w:name w:val="toc 3"/>
    <w:basedOn w:val="757"/>
    <w:next w:val="757"/>
    <w:uiPriority w:val="39"/>
    <w:unhideWhenUsed/>
    <w:qFormat/>
    <w:pPr>
      <w:ind w:left="567"/>
      <w:spacing w:after="57"/>
    </w:pPr>
  </w:style>
  <w:style w:type="paragraph" w:styleId="780">
    <w:name w:val="Plain Text"/>
    <w:basedOn w:val="757"/>
    <w:uiPriority w:val="99"/>
    <w:unhideWhenUsed/>
    <w:qFormat/>
    <w:rPr>
      <w:rFonts w:ascii="宋体" w:hAnsi="Courier New"/>
      <w:sz w:val="20"/>
      <w:szCs w:val="20"/>
    </w:rPr>
  </w:style>
  <w:style w:type="paragraph" w:styleId="781">
    <w:name w:val="toc 8"/>
    <w:basedOn w:val="757"/>
    <w:next w:val="757"/>
    <w:uiPriority w:val="39"/>
    <w:unhideWhenUsed/>
    <w:qFormat/>
    <w:pPr>
      <w:ind w:left="1984"/>
      <w:spacing w:after="57"/>
    </w:pPr>
  </w:style>
  <w:style w:type="paragraph" w:styleId="782">
    <w:name w:val="endnote text"/>
    <w:basedOn w:val="757"/>
    <w:link w:val="971"/>
    <w:uiPriority w:val="99"/>
    <w:semiHidden/>
    <w:unhideWhenUsed/>
    <w:qFormat/>
    <w:rPr>
      <w:sz w:val="20"/>
    </w:rPr>
  </w:style>
  <w:style w:type="paragraph" w:styleId="783">
    <w:name w:val="Balloon Text"/>
    <w:basedOn w:val="757"/>
    <w:link w:val="1036"/>
    <w:uiPriority w:val="99"/>
    <w:semiHidden/>
    <w:unhideWhenUsed/>
    <w:qFormat/>
    <w:rPr>
      <w:sz w:val="18"/>
      <w:szCs w:val="18"/>
    </w:rPr>
  </w:style>
  <w:style w:type="paragraph" w:styleId="784">
    <w:name w:val="Footer"/>
    <w:basedOn w:val="757"/>
    <w:link w:val="863"/>
    <w:uiPriority w:val="99"/>
    <w:unhideWhenUsed/>
    <w:qFormat/>
    <w:pPr>
      <w:tabs>
        <w:tab w:val="center" w:pos="7143" w:leader="none"/>
        <w:tab w:val="right" w:pos="14287" w:leader="none"/>
      </w:tabs>
    </w:pPr>
  </w:style>
  <w:style w:type="paragraph" w:styleId="785">
    <w:name w:val="envelope return"/>
    <w:basedOn w:val="757"/>
    <w:uiPriority w:val="99"/>
    <w:unhideWhenUsed/>
    <w:qFormat/>
    <w:rPr>
      <w:rFonts w:ascii="Cambria" w:hAnsi="Cambria"/>
    </w:rPr>
  </w:style>
  <w:style w:type="paragraph" w:styleId="786">
    <w:name w:val="Header"/>
    <w:basedOn w:val="757"/>
    <w:link w:val="861"/>
    <w:uiPriority w:val="99"/>
    <w:unhideWhenUsed/>
    <w:qFormat/>
    <w:pPr>
      <w:tabs>
        <w:tab w:val="center" w:pos="7143" w:leader="none"/>
        <w:tab w:val="right" w:pos="14287" w:leader="none"/>
      </w:tabs>
    </w:pPr>
  </w:style>
  <w:style w:type="paragraph" w:styleId="787">
    <w:name w:val="toc 1"/>
    <w:basedOn w:val="757"/>
    <w:next w:val="757"/>
    <w:uiPriority w:val="39"/>
    <w:unhideWhenUsed/>
    <w:qFormat/>
    <w:pPr>
      <w:spacing w:after="57"/>
    </w:pPr>
  </w:style>
  <w:style w:type="paragraph" w:styleId="788">
    <w:name w:val="toc 4"/>
    <w:basedOn w:val="757"/>
    <w:next w:val="757"/>
    <w:uiPriority w:val="39"/>
    <w:unhideWhenUsed/>
    <w:qFormat/>
    <w:pPr>
      <w:ind w:left="850"/>
      <w:spacing w:after="57"/>
    </w:pPr>
  </w:style>
  <w:style w:type="paragraph" w:styleId="789">
    <w:name w:val="Subtitle"/>
    <w:basedOn w:val="757"/>
    <w:next w:val="757"/>
    <w:link w:val="856"/>
    <w:uiPriority w:val="11"/>
    <w:qFormat/>
    <w:pPr>
      <w:spacing w:before="200" w:after="200"/>
    </w:pPr>
    <w:rPr>
      <w:sz w:val="24"/>
      <w:szCs w:val="24"/>
    </w:rPr>
  </w:style>
  <w:style w:type="paragraph" w:styleId="790">
    <w:name w:val="footnote text"/>
    <w:basedOn w:val="757"/>
    <w:link w:val="970"/>
    <w:uiPriority w:val="99"/>
    <w:semiHidden/>
    <w:unhideWhenUsed/>
    <w:qFormat/>
    <w:pPr>
      <w:spacing w:after="40"/>
    </w:pPr>
    <w:rPr>
      <w:sz w:val="18"/>
    </w:rPr>
  </w:style>
  <w:style w:type="paragraph" w:styleId="791">
    <w:name w:val="toc 6"/>
    <w:basedOn w:val="757"/>
    <w:next w:val="757"/>
    <w:uiPriority w:val="39"/>
    <w:unhideWhenUsed/>
    <w:qFormat/>
    <w:pPr>
      <w:ind w:left="1417"/>
      <w:spacing w:after="57"/>
    </w:pPr>
  </w:style>
  <w:style w:type="paragraph" w:styleId="792">
    <w:name w:val="table of figures"/>
    <w:basedOn w:val="757"/>
    <w:next w:val="757"/>
    <w:uiPriority w:val="99"/>
    <w:unhideWhenUsed/>
    <w:qFormat/>
  </w:style>
  <w:style w:type="paragraph" w:styleId="793">
    <w:name w:val="toc 2"/>
    <w:basedOn w:val="757"/>
    <w:next w:val="757"/>
    <w:uiPriority w:val="39"/>
    <w:unhideWhenUsed/>
    <w:qFormat/>
    <w:pPr>
      <w:ind w:left="283"/>
      <w:spacing w:after="57"/>
    </w:pPr>
  </w:style>
  <w:style w:type="paragraph" w:styleId="794">
    <w:name w:val="toc 9"/>
    <w:basedOn w:val="757"/>
    <w:next w:val="757"/>
    <w:uiPriority w:val="39"/>
    <w:unhideWhenUsed/>
    <w:qFormat/>
    <w:pPr>
      <w:ind w:left="2268"/>
      <w:spacing w:after="57"/>
    </w:pPr>
  </w:style>
  <w:style w:type="paragraph" w:styleId="795">
    <w:name w:val="Title"/>
    <w:basedOn w:val="757"/>
    <w:next w:val="757"/>
    <w:link w:val="855"/>
    <w:uiPriority w:val="10"/>
    <w:qFormat/>
    <w:pPr>
      <w:contextualSpacing/>
      <w:spacing w:before="300" w:after="200"/>
    </w:pPr>
    <w:rPr>
      <w:sz w:val="48"/>
      <w:szCs w:val="48"/>
    </w:rPr>
  </w:style>
  <w:style w:type="paragraph" w:styleId="796">
    <w:name w:val="annotation subject"/>
    <w:basedOn w:val="773"/>
    <w:next w:val="773"/>
    <w:link w:val="1039"/>
    <w:uiPriority w:val="99"/>
    <w:semiHidden/>
    <w:unhideWhenUsed/>
    <w:qFormat/>
    <w:rPr>
      <w:b/>
      <w:bCs/>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annotation reference"/>
    <w:basedOn w:val="767"/>
    <w:uiPriority w:val="99"/>
    <w:semiHidden/>
    <w:unhideWhenUsed/>
    <w:qFormat/>
    <w:rPr>
      <w:sz w:val="21"/>
      <w:szCs w:val="21"/>
    </w:rPr>
  </w:style>
  <w:style w:type="character" w:styleId="801">
    <w:name w:val="footnote reference"/>
    <w:uiPriority w:val="99"/>
    <w:unhideWhenUsed/>
    <w:qFormat/>
    <w:rPr>
      <w:vertAlign w:val="superscript"/>
    </w:rPr>
  </w:style>
  <w:style w:type="paragraph" w:styleId="802" w:customStyle="1">
    <w:name w:val="索引 411"/>
    <w:basedOn w:val="757"/>
    <w:next w:val="757"/>
    <w:uiPriority w:val="99"/>
    <w:unhideWhenUsed/>
    <w:qFormat/>
    <w:pPr>
      <w:jc w:val="left"/>
    </w:pPr>
    <w:rPr>
      <w:sz w:val="24"/>
      <w:szCs w:val="24"/>
    </w:rPr>
  </w:style>
  <w:style w:type="character" w:styleId="803" w:customStyle="1">
    <w:name w:val="Heading 1 Char"/>
    <w:basedOn w:val="767"/>
    <w:uiPriority w:val="9"/>
    <w:qFormat/>
    <w:rPr>
      <w:rFonts w:ascii="Arial" w:hAnsi="Arial" w:eastAsia="Arial" w:cs="Arial"/>
      <w:sz w:val="40"/>
      <w:szCs w:val="40"/>
    </w:rPr>
  </w:style>
  <w:style w:type="character" w:styleId="804" w:customStyle="1">
    <w:name w:val="Heading 2 Char"/>
    <w:basedOn w:val="767"/>
    <w:uiPriority w:val="9"/>
    <w:qFormat/>
    <w:rPr>
      <w:rFonts w:ascii="Arial" w:hAnsi="Arial" w:eastAsia="Arial" w:cs="Arial"/>
      <w:sz w:val="34"/>
    </w:rPr>
  </w:style>
  <w:style w:type="character" w:styleId="805" w:customStyle="1">
    <w:name w:val="Heading 3 Char"/>
    <w:basedOn w:val="767"/>
    <w:uiPriority w:val="9"/>
    <w:qFormat/>
    <w:rPr>
      <w:rFonts w:ascii="Arial" w:hAnsi="Arial" w:eastAsia="Arial" w:cs="Arial"/>
      <w:sz w:val="30"/>
      <w:szCs w:val="30"/>
    </w:rPr>
  </w:style>
  <w:style w:type="character" w:styleId="806" w:customStyle="1">
    <w:name w:val="Heading 4 Char"/>
    <w:basedOn w:val="767"/>
    <w:uiPriority w:val="9"/>
    <w:qFormat/>
    <w:rPr>
      <w:rFonts w:ascii="Arial" w:hAnsi="Arial" w:eastAsia="Arial" w:cs="Arial"/>
      <w:b/>
      <w:bCs/>
      <w:sz w:val="26"/>
      <w:szCs w:val="26"/>
    </w:rPr>
  </w:style>
  <w:style w:type="character" w:styleId="807" w:customStyle="1">
    <w:name w:val="Heading 5 Char"/>
    <w:basedOn w:val="767"/>
    <w:uiPriority w:val="9"/>
    <w:qFormat/>
    <w:rPr>
      <w:rFonts w:ascii="Arial" w:hAnsi="Arial" w:eastAsia="Arial" w:cs="Arial"/>
      <w:b/>
      <w:bCs/>
      <w:sz w:val="24"/>
      <w:szCs w:val="24"/>
    </w:rPr>
  </w:style>
  <w:style w:type="character" w:styleId="808" w:customStyle="1">
    <w:name w:val="Heading 6 Char"/>
    <w:basedOn w:val="767"/>
    <w:uiPriority w:val="9"/>
    <w:qFormat/>
    <w:rPr>
      <w:rFonts w:ascii="Arial" w:hAnsi="Arial" w:eastAsia="Arial" w:cs="Arial"/>
      <w:b/>
      <w:bCs/>
      <w:sz w:val="22"/>
      <w:szCs w:val="22"/>
    </w:rPr>
  </w:style>
  <w:style w:type="character" w:styleId="809" w:customStyle="1">
    <w:name w:val="Heading 7 Char"/>
    <w:basedOn w:val="767"/>
    <w:uiPriority w:val="9"/>
    <w:qFormat/>
    <w:rPr>
      <w:rFonts w:ascii="Arial" w:hAnsi="Arial" w:eastAsia="Arial" w:cs="Arial"/>
      <w:b/>
      <w:bCs/>
      <w:i/>
      <w:iCs/>
      <w:sz w:val="22"/>
      <w:szCs w:val="22"/>
    </w:rPr>
  </w:style>
  <w:style w:type="character" w:styleId="810" w:customStyle="1">
    <w:name w:val="Heading 8 Char"/>
    <w:basedOn w:val="767"/>
    <w:uiPriority w:val="9"/>
    <w:qFormat/>
    <w:rPr>
      <w:rFonts w:ascii="Arial" w:hAnsi="Arial" w:eastAsia="Arial" w:cs="Arial"/>
      <w:i/>
      <w:iCs/>
      <w:sz w:val="22"/>
      <w:szCs w:val="22"/>
    </w:rPr>
  </w:style>
  <w:style w:type="character" w:styleId="811" w:customStyle="1">
    <w:name w:val="Heading 9 Char"/>
    <w:basedOn w:val="767"/>
    <w:uiPriority w:val="9"/>
    <w:qFormat/>
    <w:rPr>
      <w:rFonts w:ascii="Arial" w:hAnsi="Arial" w:eastAsia="Arial" w:cs="Arial"/>
      <w:i/>
      <w:iCs/>
      <w:sz w:val="21"/>
      <w:szCs w:val="21"/>
    </w:rPr>
  </w:style>
  <w:style w:type="character" w:styleId="812" w:customStyle="1">
    <w:name w:val="Title Char"/>
    <w:basedOn w:val="767"/>
    <w:uiPriority w:val="10"/>
    <w:qFormat/>
    <w:rPr>
      <w:sz w:val="48"/>
      <w:szCs w:val="48"/>
    </w:rPr>
  </w:style>
  <w:style w:type="character" w:styleId="813" w:customStyle="1">
    <w:name w:val="Subtitle Char"/>
    <w:basedOn w:val="767"/>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Header Char"/>
    <w:basedOn w:val="767"/>
    <w:uiPriority w:val="99"/>
    <w:qFormat/>
  </w:style>
  <w:style w:type="character" w:styleId="817" w:customStyle="1">
    <w:name w:val="Caption Char"/>
    <w:uiPriority w:val="99"/>
    <w:qFormat/>
  </w:style>
  <w:style w:type="table" w:styleId="818" w:customStyle="1">
    <w:name w:val="无格式表格 1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6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6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6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网格表 3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网格表 6 彩色1"/>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网格表 7 彩色1"/>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清单表 1 浅色1"/>
    <w:basedOn w:val="76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清单表 21"/>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5 深色1"/>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basedOn w:val="76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清单表 7 彩色1"/>
    <w:basedOn w:val="76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7" w:customStyle="1">
    <w:name w:val="Footnote Text Char"/>
    <w:uiPriority w:val="99"/>
    <w:qFormat/>
    <w:rPr>
      <w:sz w:val="18"/>
    </w:rPr>
  </w:style>
  <w:style w:type="character" w:styleId="838" w:customStyle="1">
    <w:name w:val="Endnote Text Char"/>
    <w:uiPriority w:val="99"/>
    <w:qFormat/>
    <w:rPr>
      <w:sz w:val="20"/>
    </w:rPr>
  </w:style>
  <w:style w:type="paragraph" w:styleId="839" w:customStyle="1">
    <w:name w:val="TOC 标题1"/>
    <w:uiPriority w:val="39"/>
    <w:unhideWhenUsed/>
    <w:qFormat/>
    <w:rPr>
      <w:rFonts w:ascii="Times New Roman" w:hAnsi="Times New Roman" w:eastAsia="宋体" w:cs="Times New Roman"/>
      <w:lang w:val="en-US" w:eastAsia="zh-CN" w:bidi="ar-SA"/>
    </w:rPr>
  </w:style>
  <w:style w:type="paragraph" w:styleId="840" w:customStyle="1">
    <w:name w:val="正文首行缩进 21"/>
    <w:basedOn w:val="841"/>
    <w:next w:val="843"/>
    <w:uiPriority w:val="0"/>
    <w:qFormat/>
    <w:pPr>
      <w:ind w:firstLine="420"/>
    </w:pPr>
  </w:style>
  <w:style w:type="paragraph" w:styleId="841" w:customStyle="1">
    <w:name w:val="正文文本缩进1"/>
    <w:basedOn w:val="757"/>
    <w:next w:val="842"/>
    <w:uiPriority w:val="99"/>
    <w:unhideWhenUsed/>
    <w:qFormat/>
    <w:pPr>
      <w:ind w:firstLine="540"/>
      <w:spacing w:line="400" w:lineRule="exact"/>
    </w:pPr>
    <w:rPr>
      <w:sz w:val="24"/>
    </w:rPr>
  </w:style>
  <w:style w:type="paragraph" w:styleId="842" w:customStyle="1">
    <w:name w:val="寄信人地址1"/>
    <w:basedOn w:val="757"/>
    <w:uiPriority w:val="0"/>
    <w:qFormat/>
    <w:rPr>
      <w:rFonts w:ascii="Arial" w:hAnsi="Arial"/>
    </w:rPr>
  </w:style>
  <w:style w:type="paragraph" w:styleId="843" w:customStyle="1">
    <w:name w:val="正文首行缩进1"/>
    <w:basedOn w:val="844"/>
    <w:next w:val="757"/>
    <w:uiPriority w:val="0"/>
    <w:qFormat/>
    <w:pPr>
      <w:ind w:firstLine="425"/>
      <w:spacing w:before="100" w:after="100" w:line="360" w:lineRule="atLeast"/>
    </w:pPr>
    <w:rPr>
      <w:rFonts w:ascii="Times New Roman" w:hAnsi="Times New Roman" w:eastAsia="宋体"/>
    </w:rPr>
  </w:style>
  <w:style w:type="paragraph" w:styleId="844" w:customStyle="1">
    <w:name w:val="正文文本11"/>
    <w:basedOn w:val="757"/>
    <w:next w:val="757"/>
    <w:uiPriority w:val="99"/>
    <w:unhideWhenUsed/>
    <w:qFormat/>
    <w:rPr>
      <w:rFonts w:ascii="楷体_GB2312" w:hAnsi="Arial" w:eastAsia="楷体_GB2312"/>
      <w:sz w:val="28"/>
      <w:szCs w:val="28"/>
    </w:rPr>
  </w:style>
  <w:style w:type="character" w:styleId="845" w:customStyle="1">
    <w:name w:val="标题 1 字符"/>
    <w:link w:val="758"/>
    <w:uiPriority w:val="9"/>
    <w:qFormat/>
    <w:rPr>
      <w:rFonts w:ascii="Arial" w:hAnsi="Arial" w:eastAsia="宋体" w:cs="Arial"/>
      <w:b/>
      <w:sz w:val="44"/>
      <w:szCs w:val="40"/>
    </w:rPr>
  </w:style>
  <w:style w:type="character" w:styleId="846" w:customStyle="1">
    <w:name w:val="标题 2 字符"/>
    <w:link w:val="759"/>
    <w:uiPriority w:val="9"/>
    <w:qFormat/>
    <w:rPr>
      <w:rFonts w:ascii="Arial" w:hAnsi="Arial" w:eastAsia="Arial" w:cs="Arial"/>
      <w:sz w:val="34"/>
    </w:rPr>
  </w:style>
  <w:style w:type="character" w:styleId="847" w:customStyle="1">
    <w:name w:val="标题 3 字符"/>
    <w:link w:val="760"/>
    <w:uiPriority w:val="9"/>
    <w:qFormat/>
    <w:rPr>
      <w:rFonts w:ascii="Arial" w:hAnsi="Arial" w:eastAsia="Arial" w:cs="Arial"/>
      <w:sz w:val="30"/>
      <w:szCs w:val="30"/>
    </w:rPr>
  </w:style>
  <w:style w:type="character" w:styleId="848" w:customStyle="1">
    <w:name w:val="标题 4 字符"/>
    <w:link w:val="761"/>
    <w:uiPriority w:val="9"/>
    <w:qFormat/>
    <w:rPr>
      <w:rFonts w:ascii="Arial" w:hAnsi="Arial" w:eastAsia="Arial" w:cs="Arial"/>
      <w:b/>
      <w:bCs/>
      <w:sz w:val="26"/>
      <w:szCs w:val="26"/>
    </w:rPr>
  </w:style>
  <w:style w:type="character" w:styleId="849" w:customStyle="1">
    <w:name w:val="标题 5 字符"/>
    <w:link w:val="762"/>
    <w:uiPriority w:val="9"/>
    <w:qFormat/>
    <w:rPr>
      <w:rFonts w:ascii="Arial" w:hAnsi="Arial" w:eastAsia="Arial" w:cs="Arial"/>
      <w:b/>
      <w:bCs/>
      <w:sz w:val="24"/>
      <w:szCs w:val="24"/>
    </w:rPr>
  </w:style>
  <w:style w:type="character" w:styleId="850" w:customStyle="1">
    <w:name w:val="标题 6 字符"/>
    <w:link w:val="763"/>
    <w:uiPriority w:val="9"/>
    <w:qFormat/>
    <w:rPr>
      <w:rFonts w:ascii="Arial" w:hAnsi="Arial" w:eastAsia="Arial" w:cs="Arial"/>
      <w:b/>
      <w:bCs/>
      <w:sz w:val="22"/>
      <w:szCs w:val="22"/>
    </w:rPr>
  </w:style>
  <w:style w:type="character" w:styleId="851" w:customStyle="1">
    <w:name w:val="标题 7 字符"/>
    <w:link w:val="764"/>
    <w:uiPriority w:val="9"/>
    <w:qFormat/>
    <w:rPr>
      <w:rFonts w:ascii="Arial" w:hAnsi="Arial" w:eastAsia="Arial" w:cs="Arial"/>
      <w:b/>
      <w:bCs/>
      <w:i/>
      <w:iCs/>
      <w:sz w:val="22"/>
      <w:szCs w:val="22"/>
    </w:rPr>
  </w:style>
  <w:style w:type="character" w:styleId="852" w:customStyle="1">
    <w:name w:val="标题 8 字符"/>
    <w:link w:val="765"/>
    <w:uiPriority w:val="9"/>
    <w:qFormat/>
    <w:rPr>
      <w:rFonts w:ascii="Arial" w:hAnsi="Arial" w:eastAsia="Arial" w:cs="Arial"/>
      <w:i/>
      <w:iCs/>
      <w:sz w:val="22"/>
      <w:szCs w:val="22"/>
    </w:rPr>
  </w:style>
  <w:style w:type="character" w:styleId="853" w:customStyle="1">
    <w:name w:val="标题 9 字符"/>
    <w:link w:val="766"/>
    <w:uiPriority w:val="9"/>
    <w:qFormat/>
    <w:rPr>
      <w:rFonts w:ascii="Arial" w:hAnsi="Arial" w:eastAsia="Arial" w:cs="Arial"/>
      <w:i/>
      <w:iCs/>
      <w:sz w:val="21"/>
      <w:szCs w:val="21"/>
    </w:rPr>
  </w:style>
  <w:style w:type="paragraph" w:styleId="854">
    <w:name w:val="No Spacing"/>
    <w:uiPriority w:val="1"/>
    <w:qFormat/>
    <w:rPr>
      <w:rFonts w:ascii="Times New Roman" w:hAnsi="Times New Roman" w:eastAsia="宋体" w:cs="Times New Roman"/>
      <w:lang w:val="en-US" w:eastAsia="zh-CN" w:bidi="ar-SA"/>
    </w:rPr>
  </w:style>
  <w:style w:type="character" w:styleId="855" w:customStyle="1">
    <w:name w:val="标题 字符"/>
    <w:link w:val="795"/>
    <w:uiPriority w:val="10"/>
    <w:qFormat/>
    <w:rPr>
      <w:sz w:val="48"/>
      <w:szCs w:val="48"/>
    </w:rPr>
  </w:style>
  <w:style w:type="character" w:styleId="856" w:customStyle="1">
    <w:name w:val="副标题 字符"/>
    <w:link w:val="789"/>
    <w:uiPriority w:val="11"/>
    <w:qFormat/>
    <w:rPr>
      <w:sz w:val="24"/>
      <w:szCs w:val="24"/>
    </w:rPr>
  </w:style>
  <w:style w:type="paragraph" w:styleId="857">
    <w:name w:val="Quote"/>
    <w:basedOn w:val="757"/>
    <w:next w:val="757"/>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57"/>
    <w:next w:val="757"/>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页眉 字符"/>
    <w:link w:val="786"/>
    <w:uiPriority w:val="99"/>
    <w:qFormat/>
  </w:style>
  <w:style w:type="character" w:styleId="862" w:customStyle="1">
    <w:name w:val="Footer Char"/>
    <w:uiPriority w:val="99"/>
    <w:qFormat/>
  </w:style>
  <w:style w:type="character" w:styleId="863" w:customStyle="1">
    <w:name w:val="页脚 字符"/>
    <w:link w:val="784"/>
    <w:uiPriority w:val="99"/>
    <w:qFormat/>
  </w:style>
  <w:style w:type="table" w:styleId="8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字符"/>
    <w:link w:val="790"/>
    <w:uiPriority w:val="99"/>
    <w:qFormat/>
    <w:rPr>
      <w:sz w:val="18"/>
    </w:rPr>
  </w:style>
  <w:style w:type="character" w:styleId="971" w:customStyle="1">
    <w:name w:val="尾注文本 字符"/>
    <w:link w:val="782"/>
    <w:uiPriority w:val="99"/>
    <w:qFormat/>
    <w:rPr>
      <w:sz w:val="20"/>
    </w:rPr>
  </w:style>
  <w:style w:type="paragraph" w:styleId="972" w:customStyle="1">
    <w:name w:val="TOC 标题11"/>
    <w:uiPriority w:val="39"/>
    <w:unhideWhenUsed/>
    <w:qFormat/>
    <w:rPr>
      <w:rFonts w:ascii="Times New Roman" w:hAnsi="Times New Roman" w:eastAsia="宋体" w:cs="Times New Roman"/>
      <w:lang w:val="en-US" w:eastAsia="zh-CN" w:bidi="ar-SA"/>
    </w:rPr>
  </w:style>
  <w:style w:type="paragraph" w:styleId="973" w:customStyle="1">
    <w:name w:val="标题 11"/>
    <w:basedOn w:val="757"/>
    <w:next w:val="757"/>
    <w:link w:val="980"/>
    <w:uiPriority w:val="9"/>
    <w:qFormat/>
    <w:pPr>
      <w:keepLines/>
      <w:keepNext/>
      <w:spacing w:before="340" w:after="330" w:line="578" w:lineRule="auto"/>
      <w:outlineLvl w:val="0"/>
    </w:pPr>
    <w:rPr>
      <w:rFonts w:ascii="Calibri" w:hAnsi="Calibri"/>
      <w:b/>
      <w:bCs/>
      <w:sz w:val="44"/>
      <w:szCs w:val="44"/>
    </w:rPr>
  </w:style>
  <w:style w:type="paragraph" w:styleId="974" w:customStyle="1">
    <w:name w:val="标题 21"/>
    <w:basedOn w:val="757"/>
    <w:next w:val="975"/>
    <w:link w:val="981"/>
    <w:uiPriority w:val="9"/>
    <w:qFormat/>
    <w:pPr>
      <w:keepLines/>
      <w:keepNext/>
      <w:spacing w:before="260" w:after="260" w:line="416" w:lineRule="auto"/>
      <w:outlineLvl w:val="1"/>
    </w:pPr>
    <w:rPr>
      <w:rFonts w:ascii="Cambria" w:hAnsi="Cambria"/>
      <w:b/>
      <w:bCs/>
      <w:sz w:val="32"/>
      <w:szCs w:val="32"/>
    </w:rPr>
  </w:style>
  <w:style w:type="paragraph" w:styleId="975" w:customStyle="1">
    <w:name w:val="正文缩进1"/>
    <w:basedOn w:val="757"/>
    <w:uiPriority w:val="0"/>
    <w:unhideWhenUsed/>
    <w:qFormat/>
    <w:pPr>
      <w:ind w:firstLine="420"/>
    </w:pPr>
    <w:rPr>
      <w:rFonts w:ascii="Calibri" w:hAnsi="Calibri"/>
    </w:rPr>
  </w:style>
  <w:style w:type="paragraph" w:styleId="976" w:customStyle="1">
    <w:name w:val="标题 31"/>
    <w:basedOn w:val="757"/>
    <w:next w:val="757"/>
    <w:link w:val="982"/>
    <w:uiPriority w:val="0"/>
    <w:qFormat/>
    <w:pPr>
      <w:keepLines/>
      <w:keepNext/>
      <w:spacing w:before="260" w:after="260" w:line="416" w:lineRule="auto"/>
      <w:outlineLvl w:val="2"/>
    </w:pPr>
    <w:rPr>
      <w:rFonts w:ascii="Calibri" w:hAnsi="Calibri"/>
      <w:b/>
      <w:bCs/>
      <w:sz w:val="32"/>
      <w:szCs w:val="32"/>
    </w:rPr>
  </w:style>
  <w:style w:type="paragraph" w:styleId="977" w:customStyle="1">
    <w:name w:val="标题 41"/>
    <w:basedOn w:val="757"/>
    <w:next w:val="757"/>
    <w:link w:val="983"/>
    <w:uiPriority w:val="0"/>
    <w:qFormat/>
    <w:pPr>
      <w:spacing w:before="280" w:after="290" w:line="377" w:lineRule="auto"/>
      <w:outlineLvl w:val="3"/>
    </w:pPr>
    <w:rPr>
      <w:rFonts w:ascii="Arial" w:hAnsi="Arial" w:eastAsia="黑体"/>
      <w:b/>
      <w:bCs/>
      <w:sz w:val="28"/>
      <w:szCs w:val="28"/>
    </w:rPr>
  </w:style>
  <w:style w:type="character" w:styleId="978" w:customStyle="1">
    <w:name w:val="默认段落字体1"/>
    <w:uiPriority w:val="1"/>
    <w:unhideWhenUsed/>
    <w:qFormat/>
  </w:style>
  <w:style w:type="table" w:styleId="979" w:customStyle="1">
    <w:name w:val="普通表格1"/>
    <w:uiPriority w:val="99"/>
    <w:unhideWhenUsed/>
    <w:qFormat/>
    <w:tblPr>
      <w:tblCellMar>
        <w:left w:w="0" w:type="dxa"/>
        <w:top w:w="0" w:type="dxa"/>
        <w:right w:w="0" w:type="dxa"/>
        <w:bottom w:w="0" w:type="dxa"/>
      </w:tblCellMar>
    </w:tblPr>
  </w:style>
  <w:style w:type="character" w:styleId="980" w:customStyle="1">
    <w:name w:val="标题 1 Char"/>
    <w:link w:val="973"/>
    <w:uiPriority w:val="9"/>
    <w:qFormat/>
    <w:rPr>
      <w:rFonts w:ascii="Calibri" w:hAnsi="Calibri" w:eastAsia="宋体" w:cs="Times New Roman"/>
      <w:b/>
      <w:bCs/>
      <w:sz w:val="44"/>
      <w:szCs w:val="44"/>
    </w:rPr>
  </w:style>
  <w:style w:type="character" w:styleId="981" w:customStyle="1">
    <w:name w:val="标题 2 Char"/>
    <w:link w:val="974"/>
    <w:uiPriority w:val="9"/>
    <w:qFormat/>
    <w:rPr>
      <w:rFonts w:ascii="Cambria" w:hAnsi="Cambria" w:eastAsia="宋体" w:cs="Times New Roman"/>
      <w:b/>
      <w:bCs/>
      <w:sz w:val="32"/>
      <w:szCs w:val="32"/>
    </w:rPr>
  </w:style>
  <w:style w:type="character" w:styleId="982" w:customStyle="1">
    <w:name w:val="标题 3 Char"/>
    <w:link w:val="976"/>
    <w:uiPriority w:val="0"/>
    <w:qFormat/>
    <w:rPr>
      <w:rFonts w:ascii="Calibri" w:hAnsi="Calibri" w:eastAsia="宋体" w:cs="Times New Roman"/>
      <w:b/>
      <w:bCs/>
      <w:sz w:val="32"/>
      <w:szCs w:val="32"/>
    </w:rPr>
  </w:style>
  <w:style w:type="character" w:styleId="983" w:customStyle="1">
    <w:name w:val="标题 4 Char"/>
    <w:link w:val="977"/>
    <w:uiPriority w:val="0"/>
    <w:qFormat/>
    <w:rPr>
      <w:rFonts w:ascii="Arial" w:hAnsi="Arial" w:eastAsia="黑体" w:cs="Times New Roman"/>
      <w:b/>
      <w:bCs/>
      <w:sz w:val="28"/>
      <w:szCs w:val="28"/>
    </w:rPr>
  </w:style>
  <w:style w:type="paragraph" w:styleId="984" w:customStyle="1">
    <w:name w:val="文档结构图1"/>
    <w:basedOn w:val="757"/>
    <w:link w:val="985"/>
    <w:uiPriority w:val="99"/>
    <w:unhideWhenUsed/>
    <w:qFormat/>
    <w:rPr>
      <w:rFonts w:ascii="宋体"/>
      <w:sz w:val="18"/>
      <w:szCs w:val="18"/>
    </w:rPr>
  </w:style>
  <w:style w:type="character" w:styleId="985" w:customStyle="1">
    <w:name w:val="文档结构图 Char"/>
    <w:link w:val="984"/>
    <w:uiPriority w:val="99"/>
    <w:semiHidden/>
    <w:qFormat/>
    <w:rPr>
      <w:rFonts w:ascii="宋体"/>
      <w:sz w:val="18"/>
      <w:szCs w:val="18"/>
    </w:rPr>
  </w:style>
  <w:style w:type="paragraph" w:styleId="986" w:customStyle="1">
    <w:name w:val="批注文字1"/>
    <w:basedOn w:val="757"/>
    <w:uiPriority w:val="99"/>
    <w:unhideWhenUsed/>
    <w:qFormat/>
    <w:pPr>
      <w:jc w:val="left"/>
    </w:pPr>
  </w:style>
  <w:style w:type="paragraph" w:styleId="987" w:customStyle="1">
    <w:name w:val="纯文本1"/>
    <w:basedOn w:val="757"/>
    <w:link w:val="988"/>
    <w:uiPriority w:val="99"/>
    <w:unhideWhenUsed/>
    <w:qFormat/>
    <w:rPr>
      <w:rFonts w:ascii="宋体" w:hAnsi="Courier New"/>
      <w:sz w:val="20"/>
      <w:szCs w:val="20"/>
    </w:rPr>
  </w:style>
  <w:style w:type="character" w:styleId="988" w:customStyle="1">
    <w:name w:val="纯文本 Char"/>
    <w:link w:val="987"/>
    <w:uiPriority w:val="99"/>
    <w:qFormat/>
    <w:rPr>
      <w:rFonts w:ascii="宋体" w:hAnsi="Courier New"/>
    </w:rPr>
  </w:style>
  <w:style w:type="paragraph" w:styleId="989" w:customStyle="1">
    <w:name w:val="日期1"/>
    <w:basedOn w:val="757"/>
    <w:next w:val="757"/>
    <w:link w:val="990"/>
    <w:uiPriority w:val="0"/>
    <w:qFormat/>
    <w:rPr>
      <w:sz w:val="24"/>
      <w:szCs w:val="20"/>
    </w:rPr>
  </w:style>
  <w:style w:type="character" w:styleId="990" w:customStyle="1">
    <w:name w:val="日期 Char"/>
    <w:link w:val="989"/>
    <w:uiPriority w:val="0"/>
    <w:qFormat/>
    <w:rPr>
      <w:rFonts w:ascii="Times New Roman" w:hAnsi="Times New Roman"/>
      <w:sz w:val="24"/>
    </w:rPr>
  </w:style>
  <w:style w:type="paragraph" w:styleId="991" w:customStyle="1">
    <w:name w:val="正文文本缩进 21"/>
    <w:basedOn w:val="757"/>
    <w:uiPriority w:val="99"/>
    <w:unhideWhenUsed/>
    <w:qFormat/>
    <w:pPr>
      <w:ind w:firstLine="510"/>
      <w:spacing w:line="520" w:lineRule="exact"/>
    </w:pPr>
    <w:rPr>
      <w:rFonts w:ascii="华文仿宋" w:eastAsia="华文仿宋"/>
      <w:sz w:val="28"/>
      <w:szCs w:val="20"/>
    </w:rPr>
  </w:style>
  <w:style w:type="paragraph" w:styleId="992" w:customStyle="1">
    <w:name w:val="批注框文本1"/>
    <w:basedOn w:val="757"/>
    <w:link w:val="993"/>
    <w:uiPriority w:val="99"/>
    <w:unhideWhenUsed/>
    <w:qFormat/>
    <w:rPr>
      <w:sz w:val="18"/>
      <w:szCs w:val="18"/>
    </w:rPr>
  </w:style>
  <w:style w:type="character" w:styleId="993" w:customStyle="1">
    <w:name w:val="批注框文本 Char"/>
    <w:link w:val="992"/>
    <w:uiPriority w:val="99"/>
    <w:semiHidden/>
    <w:qFormat/>
    <w:rPr>
      <w:sz w:val="18"/>
      <w:szCs w:val="18"/>
    </w:rPr>
  </w:style>
  <w:style w:type="paragraph" w:styleId="994" w:customStyle="1">
    <w:name w:val="页脚1"/>
    <w:basedOn w:val="757"/>
    <w:link w:val="995"/>
    <w:uiPriority w:val="99"/>
    <w:unhideWhenUsed/>
    <w:qFormat/>
    <w:pPr>
      <w:jc w:val="left"/>
      <w:tabs>
        <w:tab w:val="center" w:pos="4153" w:leader="none"/>
        <w:tab w:val="right" w:pos="8306" w:leader="none"/>
      </w:tabs>
    </w:pPr>
    <w:rPr>
      <w:sz w:val="18"/>
      <w:szCs w:val="18"/>
    </w:rPr>
  </w:style>
  <w:style w:type="character" w:styleId="995" w:customStyle="1">
    <w:name w:val="页脚 Char"/>
    <w:link w:val="994"/>
    <w:uiPriority w:val="99"/>
    <w:qFormat/>
    <w:rPr>
      <w:sz w:val="18"/>
      <w:szCs w:val="18"/>
    </w:rPr>
  </w:style>
  <w:style w:type="paragraph" w:styleId="996" w:customStyle="1">
    <w:name w:val="页眉1"/>
    <w:basedOn w:val="757"/>
    <w:link w:val="99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7" w:customStyle="1">
    <w:name w:val="页眉 Char"/>
    <w:link w:val="996"/>
    <w:uiPriority w:val="99"/>
    <w:qFormat/>
    <w:rPr>
      <w:sz w:val="18"/>
      <w:szCs w:val="18"/>
    </w:rPr>
  </w:style>
  <w:style w:type="paragraph" w:styleId="998" w:customStyle="1">
    <w:name w:val="目录 11"/>
    <w:basedOn w:val="757"/>
    <w:next w:val="757"/>
    <w:uiPriority w:val="39"/>
    <w:unhideWhenUsed/>
    <w:qFormat/>
    <w:rPr>
      <w:rFonts w:ascii="Calibri" w:hAnsi="Calibri"/>
    </w:rPr>
  </w:style>
  <w:style w:type="paragraph" w:styleId="999" w:customStyle="1">
    <w:name w:val="目录 21"/>
    <w:basedOn w:val="757"/>
    <w:next w:val="757"/>
    <w:uiPriority w:val="39"/>
    <w:unhideWhenUsed/>
    <w:qFormat/>
    <w:pPr>
      <w:ind w:left="420"/>
    </w:pPr>
  </w:style>
  <w:style w:type="paragraph" w:styleId="1000" w:customStyle="1">
    <w:name w:val="目录 91"/>
    <w:basedOn w:val="757"/>
    <w:next w:val="757"/>
    <w:uiPriority w:val="0"/>
    <w:semiHidden/>
    <w:qFormat/>
    <w:pPr>
      <w:ind w:left="3360"/>
    </w:pPr>
  </w:style>
  <w:style w:type="paragraph" w:styleId="1001" w:customStyle="1">
    <w:name w:val="正文文本 211"/>
    <w:basedOn w:val="757"/>
    <w:uiPriority w:val="0"/>
    <w:qFormat/>
    <w:pPr>
      <w:spacing w:after="120" w:line="480" w:lineRule="auto"/>
    </w:pPr>
  </w:style>
  <w:style w:type="paragraph" w:styleId="1002" w:customStyle="1">
    <w:name w:val="普通(网站)1"/>
    <w:basedOn w:val="757"/>
    <w:uiPriority w:val="0"/>
    <w:unhideWhenUsed/>
    <w:qFormat/>
    <w:pPr>
      <w:jc w:val="left"/>
    </w:pPr>
    <w:rPr>
      <w:rFonts w:ascii="Calibri" w:hAnsi="Calibri"/>
      <w:sz w:val="24"/>
      <w:szCs w:val="24"/>
    </w:rPr>
  </w:style>
  <w:style w:type="character" w:styleId="1003" w:customStyle="1">
    <w:name w:val="要点1"/>
    <w:uiPriority w:val="0"/>
    <w:qFormat/>
    <w:rPr>
      <w:b/>
    </w:rPr>
  </w:style>
  <w:style w:type="paragraph" w:styleId="1004" w:customStyle="1">
    <w:name w:val="标题 412"/>
    <w:basedOn w:val="757"/>
    <w:next w:val="757"/>
    <w:uiPriority w:val="9"/>
    <w:unhideWhenUsed/>
    <w:qFormat/>
    <w:pPr>
      <w:keepLines/>
      <w:keepNext/>
      <w:spacing w:before="320" w:after="200"/>
      <w:outlineLvl w:val="3"/>
    </w:pPr>
    <w:rPr>
      <w:rFonts w:ascii="Arial" w:hAnsi="Arial" w:eastAsia="Arial"/>
      <w:b/>
      <w:bCs/>
      <w:sz w:val="26"/>
      <w:szCs w:val="26"/>
    </w:rPr>
  </w:style>
  <w:style w:type="paragraph" w:styleId="1005" w:customStyle="1">
    <w:name w:val="正文1"/>
    <w:basedOn w:val="757"/>
    <w:next w:val="1006"/>
    <w:uiPriority w:val="0"/>
    <w:qFormat/>
    <w:pPr>
      <w:jc w:val="left"/>
      <w:spacing w:line="360" w:lineRule="atLeast"/>
    </w:pPr>
    <w:rPr>
      <w:rFonts w:ascii="宋体" w:hAnsi="Calibri"/>
      <w:sz w:val="24"/>
      <w:szCs w:val="20"/>
    </w:rPr>
  </w:style>
  <w:style w:type="paragraph" w:styleId="1006" w:customStyle="1">
    <w:name w:val="正文文本1"/>
    <w:basedOn w:val="1005"/>
    <w:next w:val="1007"/>
    <w:uiPriority w:val="0"/>
    <w:qFormat/>
    <w:pPr>
      <w:spacing w:after="120"/>
    </w:pPr>
    <w:rPr>
      <w:lang w:eastAsia="en-US"/>
    </w:rPr>
  </w:style>
  <w:style w:type="paragraph" w:styleId="1007" w:customStyle="1">
    <w:name w:val="一级条标题"/>
    <w:basedOn w:val="1008"/>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next w:val="75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09" w:customStyle="1">
    <w:name w:val="段"/>
    <w:basedOn w:val="1005"/>
    <w:next w:val="757"/>
    <w:uiPriority w:val="0"/>
    <w:qFormat/>
    <w:pPr>
      <w:ind w:firstLine="200"/>
      <w:widowControl/>
    </w:pPr>
    <w:rPr>
      <w:sz w:val="20"/>
    </w:rPr>
  </w:style>
  <w:style w:type="character" w:styleId="1010" w:customStyle="1">
    <w:name w:val="页脚 Char1"/>
    <w:uiPriority w:val="99"/>
    <w:semiHidden/>
    <w:qFormat/>
    <w:rPr>
      <w:sz w:val="18"/>
      <w:szCs w:val="18"/>
    </w:rPr>
  </w:style>
  <w:style w:type="character" w:styleId="1011" w:customStyle="1">
    <w:name w:val="日期 Char1"/>
    <w:uiPriority w:val="99"/>
    <w:semiHidden/>
    <w:qFormat/>
  </w:style>
  <w:style w:type="character" w:styleId="1012" w:customStyle="1">
    <w:name w:val="纯文本 Char1"/>
    <w:uiPriority w:val="99"/>
    <w:semiHidden/>
    <w:qFormat/>
    <w:rPr>
      <w:rFonts w:ascii="宋体" w:hAnsi="Courier New" w:eastAsia="宋体" w:cs="Courier New"/>
      <w:szCs w:val="21"/>
    </w:rPr>
  </w:style>
  <w:style w:type="character" w:styleId="1013" w:customStyle="1">
    <w:name w:val="页眉 Char1"/>
    <w:uiPriority w:val="99"/>
    <w:semiHidden/>
    <w:qFormat/>
    <w:rPr>
      <w:sz w:val="18"/>
      <w:szCs w:val="18"/>
    </w:rPr>
  </w:style>
  <w:style w:type="paragraph" w:styleId="1014"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1015" w:customStyle="1">
    <w:name w:val="Char"/>
    <w:basedOn w:val="757"/>
    <w:uiPriority w:val="0"/>
    <w:qFormat/>
    <w:pPr>
      <w:ind w:firstLine="200"/>
      <w:tabs>
        <w:tab w:val="left" w:pos="360" w:leader="none"/>
      </w:tabs>
    </w:pPr>
    <w:rPr>
      <w:sz w:val="28"/>
      <w:szCs w:val="30"/>
    </w:rPr>
  </w:style>
  <w:style w:type="paragraph" w:styleId="101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17" w:customStyle="1">
    <w:name w:val="font11"/>
    <w:basedOn w:val="978"/>
    <w:uiPriority w:val="0"/>
    <w:qFormat/>
    <w:rPr>
      <w:rFonts w:hint="eastAsia" w:ascii="宋体" w:hAnsi="宋体" w:eastAsia="宋体" w:cs="宋体"/>
      <w:color w:val="000000"/>
      <w:sz w:val="20"/>
      <w:szCs w:val="20"/>
      <w:u w:val="none"/>
    </w:rPr>
  </w:style>
  <w:style w:type="paragraph" w:styleId="1018" w:customStyle="1">
    <w:name w:val="Char Char Char Char Char Char Char Char Char"/>
    <w:basedOn w:val="757"/>
    <w:next w:val="1019"/>
    <w:uiPriority w:val="99"/>
    <w:qFormat/>
    <w:pPr>
      <w:ind w:left="360" w:firstLine="5784"/>
    </w:pPr>
  </w:style>
  <w:style w:type="paragraph" w:styleId="1019" w:customStyle="1">
    <w:name w:val="正文文本 21"/>
    <w:basedOn w:val="757"/>
    <w:next w:val="1020"/>
    <w:uiPriority w:val="99"/>
    <w:qFormat/>
    <w:pPr>
      <w:ind w:left="720" w:firstLine="5680"/>
      <w:widowControl/>
    </w:pPr>
  </w:style>
  <w:style w:type="paragraph" w:styleId="1020" w:customStyle="1">
    <w:name w:val="默认段落字体 Para Char Char Char Char Char Char Char"/>
    <w:basedOn w:val="757"/>
    <w:next w:val="1021"/>
    <w:uiPriority w:val="99"/>
    <w:qFormat/>
    <w:pPr>
      <w:ind w:firstLine="200"/>
    </w:pPr>
    <w:rPr>
      <w:rFonts w:cs="Arial"/>
    </w:rPr>
  </w:style>
  <w:style w:type="paragraph" w:styleId="1021" w:customStyle="1">
    <w:name w:val="样式 首行缩进:  2 字符"/>
    <w:basedOn w:val="757"/>
    <w:next w:val="1022"/>
    <w:uiPriority w:val="99"/>
    <w:qFormat/>
    <w:pPr>
      <w:ind w:left="480" w:firstLine="5856"/>
      <w:spacing w:line="360" w:lineRule="auto"/>
    </w:pPr>
  </w:style>
  <w:style w:type="paragraph" w:styleId="1022" w:customStyle="1">
    <w:name w:val="样式 段后: 0.25 行"/>
    <w:basedOn w:val="757"/>
    <w:next w:val="1023"/>
    <w:uiPriority w:val="99"/>
    <w:qFormat/>
    <w:pPr>
      <w:ind w:left="420" w:firstLine="5796"/>
      <w:spacing w:line="300" w:lineRule="auto"/>
      <w:widowControl/>
    </w:pPr>
  </w:style>
  <w:style w:type="paragraph" w:styleId="1023" w:customStyle="1">
    <w:name w:val="正文 New New New New New New New New New New New New New New"/>
    <w:next w:val="1000"/>
    <w:uiPriority w:val="99"/>
    <w:qFormat/>
    <w:pPr>
      <w:ind w:firstLine="2048"/>
      <w:jc w:val="both"/>
      <w:widowControl w:val="off"/>
    </w:pPr>
    <w:rPr>
      <w:rFonts w:ascii="Calibri" w:hAnsi="Calibri" w:eastAsia="宋体" w:cs="Times New Roman"/>
      <w:lang w:val="en-US" w:eastAsia="zh-CN" w:bidi="ar-SA"/>
    </w:rPr>
  </w:style>
  <w:style w:type="paragraph" w:styleId="1024" w:customStyle="1">
    <w:name w:val="正文空2格  1."/>
    <w:basedOn w:val="757"/>
    <w:uiPriority w:val="0"/>
    <w:qFormat/>
    <w:pPr>
      <w:ind w:firstLine="480"/>
    </w:pPr>
    <w:rPr>
      <w:rFonts w:cs="宋体"/>
      <w:sz w:val="28"/>
      <w:szCs w:val="20"/>
    </w:rPr>
  </w:style>
  <w:style w:type="paragraph" w:styleId="1025"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026">
    <w:name w:val="List Paragraph"/>
    <w:basedOn w:val="757"/>
    <w:uiPriority w:val="34"/>
    <w:qFormat/>
    <w:pPr>
      <w:ind w:firstLine="420"/>
    </w:pPr>
  </w:style>
  <w:style w:type="paragraph" w:styleId="1027" w:customStyle="1">
    <w:name w:val="style4"/>
    <w:basedOn w:val="757"/>
    <w:next w:val="1028"/>
    <w:uiPriority w:val="0"/>
    <w:qFormat/>
    <w:pPr>
      <w:jc w:val="left"/>
      <w:spacing w:before="100" w:beforeAutospacing="1" w:after="100" w:afterAutospacing="1"/>
      <w:widowControl/>
    </w:pPr>
    <w:rPr>
      <w:rFonts w:ascii="宋体" w:hAnsi="宋体" w:cs="宋体"/>
      <w:sz w:val="18"/>
      <w:szCs w:val="18"/>
    </w:rPr>
  </w:style>
  <w:style w:type="paragraph" w:styleId="1028" w:customStyle="1">
    <w:name w:val="2"/>
    <w:next w:val="757"/>
    <w:uiPriority w:val="0"/>
    <w:qFormat/>
    <w:pPr>
      <w:jc w:val="both"/>
      <w:widowControl w:val="off"/>
    </w:pPr>
    <w:rPr>
      <w:rFonts w:ascii="Times New Roman" w:hAnsi="Times New Roman" w:eastAsia="宋体" w:cs="Times New Roman"/>
      <w:sz w:val="21"/>
      <w:szCs w:val="24"/>
      <w:lang w:val="en-US" w:eastAsia="zh-CN" w:bidi="ar-SA"/>
    </w:rPr>
  </w:style>
  <w:style w:type="character" w:styleId="1029" w:customStyle="1">
    <w:name w:val="htd0"/>
    <w:uiPriority w:val="0"/>
    <w:qFormat/>
  </w:style>
  <w:style w:type="paragraph" w:styleId="1030"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031" w:customStyle="1">
    <w:name w:val="列出段落1"/>
    <w:basedOn w:val="757"/>
    <w:uiPriority w:val="0"/>
    <w:qFormat/>
    <w:pPr>
      <w:ind w:firstLine="420"/>
      <w:spacing w:line="360" w:lineRule="auto"/>
    </w:pPr>
    <w:rPr>
      <w:rFonts w:ascii="Calibri" w:hAnsi="Calibri"/>
      <w:sz w:val="24"/>
    </w:rPr>
  </w:style>
  <w:style w:type="paragraph" w:styleId="1032" w:customStyle="1">
    <w:name w:val="Char Char Char Char"/>
    <w:basedOn w:val="757"/>
    <w:uiPriority w:val="0"/>
    <w:qFormat/>
    <w:pPr>
      <w:spacing w:line="360" w:lineRule="auto"/>
    </w:pPr>
    <w:rPr>
      <w:sz w:val="24"/>
      <w:szCs w:val="24"/>
    </w:rPr>
  </w:style>
  <w:style w:type="table" w:styleId="1033" w:customStyle="1">
    <w:name w:val="网格型3"/>
    <w:basedOn w:val="979"/>
    <w:uiPriority w:val="39"/>
    <w:qFormat/>
    <w:tblPr/>
  </w:style>
  <w:style w:type="paragraph" w:styleId="1034" w:customStyle="1">
    <w:name w:val="正文文本缩进 31"/>
    <w:basedOn w:val="757"/>
    <w:uiPriority w:val="0"/>
    <w:qFormat/>
    <w:pPr>
      <w:ind w:left="420" w:firstLine="540"/>
      <w:spacing w:before="120" w:after="120" w:line="360" w:lineRule="auto"/>
    </w:pPr>
    <w:rPr>
      <w:rFonts w:ascii="Arial" w:hAnsi="Arial"/>
      <w:sz w:val="24"/>
      <w:szCs w:val="20"/>
    </w:rPr>
  </w:style>
  <w:style w:type="paragraph" w:styleId="1035" w:customStyle="1">
    <w:name w:val="列出段落3"/>
    <w:basedOn w:val="757"/>
    <w:uiPriority w:val="0"/>
    <w:qFormat/>
    <w:pPr>
      <w:ind w:firstLine="420"/>
    </w:pPr>
    <w:rPr>
      <w:rFonts w:ascii="Calibri" w:hAnsi="Calibri"/>
    </w:rPr>
  </w:style>
  <w:style w:type="character" w:styleId="1036" w:customStyle="1">
    <w:name w:val="批注框文本 字符"/>
    <w:basedOn w:val="767"/>
    <w:link w:val="783"/>
    <w:uiPriority w:val="99"/>
    <w:semiHidden/>
    <w:qFormat/>
    <w:rPr>
      <w:sz w:val="18"/>
      <w:szCs w:val="18"/>
    </w:rPr>
  </w:style>
  <w:style w:type="paragraph" w:styleId="1037" w:customStyle="1">
    <w:name w:val="Table Text"/>
    <w:basedOn w:val="757"/>
    <w:uiPriority w:val="0"/>
    <w:semiHidden/>
    <w:qFormat/>
    <w:pPr>
      <w:spacing w:line="360" w:lineRule="auto"/>
      <w:widowControl/>
    </w:pPr>
    <w:rPr>
      <w:rFonts w:ascii="宋体" w:hAnsi="宋体" w:cs="宋体"/>
      <w:color w:val="000000"/>
      <w:szCs w:val="21"/>
    </w:rPr>
  </w:style>
  <w:style w:type="character" w:styleId="1038" w:customStyle="1">
    <w:name w:val="批注文字 字符"/>
    <w:basedOn w:val="767"/>
    <w:link w:val="773"/>
    <w:uiPriority w:val="99"/>
    <w:semiHidden/>
    <w:qFormat/>
    <w:rPr>
      <w:sz w:val="21"/>
      <w:szCs w:val="22"/>
    </w:rPr>
  </w:style>
  <w:style w:type="character" w:styleId="1039" w:customStyle="1">
    <w:name w:val="批注主题 字符"/>
    <w:basedOn w:val="1038"/>
    <w:link w:val="796"/>
    <w:uiPriority w:val="99"/>
    <w:semiHidden/>
    <w:qFormat/>
    <w:rPr>
      <w:b/>
      <w:bCs/>
      <w:sz w:val="21"/>
      <w:szCs w:val="22"/>
    </w:rPr>
  </w:style>
  <w:style w:type="paragraph" w:styleId="1040" w:customStyle="1">
    <w:name w:val="首行缩进"/>
    <w:basedOn w:val="757"/>
    <w:uiPriority w:val="0"/>
    <w:qFormat/>
    <w:pPr>
      <w:ind w:firstLine="480"/>
      <w:jc w:val="left"/>
      <w:spacing w:line="360" w:lineRule="auto"/>
    </w:pPr>
    <w:rPr>
      <w:rFonts w:ascii="宋体" w:hAnsi="宋体"/>
      <w:sz w:val="24"/>
      <w:szCs w:val="24"/>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dc:creator>
  <cp:lastModifiedBy>袁玲</cp:lastModifiedBy>
  <cp:revision>6</cp:revision>
  <dcterms:created xsi:type="dcterms:W3CDTF">2024-11-08T05:49:00Z</dcterms:created>
  <dcterms:modified xsi:type="dcterms:W3CDTF">2026-03-30T10:54:38Z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61CC1B89E4EA488D8106AE2D3A9614F9_13</vt:lpwstr>
  </property>
  <property fmtid="{D5CDD505-2E9C-101B-9397-08002B2CF9AE}" pid="4" name="KSOTemplateDocerSaveRecord">
    <vt:lpwstr>eyJoZGlkIjoiYzlhYWJmYTFiOTE3Y2Q1NzVhMDM3NDFhNjVlYWRkY2YiLCJ1c2VySWQiOiIxNDI3MTIwNTU1In0=</vt:lpwstr>
  </property>
</Properties>
</file>