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87"/>
        <w:jc w:val="left"/>
        <w:spacing w:before="120" w:after="120" w:line="360" w:lineRule="auto"/>
        <w:rPr>
          <w:rFonts w:ascii="Arial" w:hAnsi="Arial" w:eastAsia="黑体"/>
          <w:b/>
          <w:bCs/>
          <w:color w:val="000000" w:themeColor="text1"/>
          <w:sz w:val="84"/>
          <w:szCs w:val="24"/>
          <w14:textFill>
            <w14:solidFill>
              <w14:schemeClr w14:val="tx1"/>
            </w14:solidFill>
          </w14:textFill>
        </w:rPr>
      </w:pPr>
      <w:r>
        <w:rPr>
          <w:rFonts w:ascii="Arial" w:hAnsi="Arial" w:eastAsia="黑体"/>
          <w:b/>
          <w:bCs/>
          <w:color w:val="000000" w:themeColor="text1"/>
          <w:sz w:val="84"/>
          <w:szCs w:val="24"/>
          <w14:textFill>
            <w14:solidFill>
              <w14:schemeClr w14:val="tx1"/>
            </w14:solidFill>
          </w14:textFill>
        </w:rPr>
      </w:r>
      <w:r/>
    </w:p>
    <w:p>
      <w:pPr>
        <w:ind w:firstLine="1687"/>
        <w:jc w:val="center"/>
        <w:spacing w:before="120" w:after="120" w:line="360" w:lineRule="auto"/>
        <w:rPr>
          <w:rFonts w:ascii="Arial" w:hAnsi="Arial" w:eastAsia="黑体"/>
          <w:b/>
          <w:bCs/>
          <w:color w:val="000000" w:themeColor="text1"/>
          <w:sz w:val="84"/>
          <w:szCs w:val="24"/>
          <w14:textFill>
            <w14:solidFill>
              <w14:schemeClr w14:val="tx1"/>
            </w14:solidFill>
          </w14:textFill>
        </w:rPr>
      </w:pPr>
      <w:r>
        <w:rPr>
          <w:rFonts w:hint="eastAsia" w:ascii="Arial" w:hAnsi="Arial" w:eastAsia="黑体"/>
          <w:b/>
          <w:bCs/>
          <w:color w:val="000000" w:themeColor="text1"/>
          <w:sz w:val="84"/>
          <w:szCs w:val="24"/>
          <w14:textFill>
            <w14:solidFill>
              <w14:schemeClr w14:val="tx1"/>
            </w14:solidFill>
          </w14:textFill>
        </w:rPr>
        <w:t xml:space="preserve">招　标　文　件</w:t>
      </w:r>
      <w:r/>
    </w:p>
    <w:p>
      <w:pPr>
        <w:ind w:firstLine="643"/>
        <w:jc w:val="left"/>
        <w:spacing w:before="120" w:after="120" w:line="360" w:lineRule="auto"/>
        <w:rPr>
          <w:rFonts w:ascii="Arial" w:hAnsi="Arial"/>
          <w:b/>
          <w:bCs/>
          <w:color w:val="000000" w:themeColor="text1"/>
          <w:sz w:val="32"/>
          <w:szCs w:val="24"/>
          <w14:textFill>
            <w14:solidFill>
              <w14:schemeClr w14:val="tx1"/>
            </w14:solidFill>
          </w14:textFill>
        </w:rPr>
      </w:pPr>
      <w:r>
        <w:rPr>
          <w:rFonts w:ascii="Arial" w:hAnsi="Arial"/>
          <w:b/>
          <w:bCs/>
          <w:color w:val="000000" w:themeColor="text1"/>
          <w:sz w:val="32"/>
          <w:szCs w:val="24"/>
          <w14:textFill>
            <w14:solidFill>
              <w14:schemeClr w14:val="tx1"/>
            </w14:solidFill>
          </w14:textFill>
        </w:rPr>
      </w:r>
      <w:r/>
    </w:p>
    <w:p>
      <w:pPr>
        <w:ind w:firstLine="643"/>
        <w:jc w:val="left"/>
        <w:spacing w:before="120" w:after="120" w:line="360" w:lineRule="auto"/>
        <w:rPr>
          <w:rFonts w:ascii="Arial" w:hAnsi="Arial"/>
          <w:b/>
          <w:bCs/>
          <w:color w:val="000000" w:themeColor="text1"/>
          <w:sz w:val="32"/>
          <w:szCs w:val="24"/>
          <w14:textFill>
            <w14:solidFill>
              <w14:schemeClr w14:val="tx1"/>
            </w14:solidFill>
          </w14:textFill>
        </w:rPr>
      </w:pPr>
      <w:r>
        <w:rPr>
          <w:rFonts w:ascii="Arial" w:hAnsi="Arial"/>
          <w:b/>
          <w:bCs/>
          <w:color w:val="000000" w:themeColor="text1"/>
          <w:sz w:val="32"/>
          <w:szCs w:val="24"/>
          <w14:textFill>
            <w14:solidFill>
              <w14:schemeClr w14:val="tx1"/>
            </w14:solidFill>
          </w14:textFill>
        </w:rPr>
      </w:r>
      <w:r/>
    </w:p>
    <w:p>
      <w:pPr>
        <w:ind w:firstLine="643"/>
        <w:jc w:val="left"/>
        <w:spacing w:before="120" w:after="120" w:line="360" w:lineRule="auto"/>
        <w:rPr>
          <w:rFonts w:ascii="Arial" w:hAnsi="Arial"/>
          <w:b/>
          <w:bCs/>
          <w:color w:val="000000" w:themeColor="text1"/>
          <w:sz w:val="32"/>
          <w:szCs w:val="24"/>
          <w14:textFill>
            <w14:solidFill>
              <w14:schemeClr w14:val="tx1"/>
            </w14:solidFill>
          </w14:textFill>
        </w:rPr>
      </w:pPr>
      <w:r>
        <w:rPr>
          <w:rFonts w:ascii="Arial" w:hAnsi="Arial"/>
          <w:b/>
          <w:bCs/>
          <w:color w:val="000000" w:themeColor="text1"/>
          <w:sz w:val="32"/>
          <w:szCs w:val="24"/>
          <w14:textFill>
            <w14:solidFill>
              <w14:schemeClr w14:val="tx1"/>
            </w14:solidFill>
          </w14:textFill>
        </w:rPr>
      </w:r>
      <w:r/>
    </w:p>
    <w:p>
      <w:pPr>
        <w:ind w:firstLine="723"/>
        <w:jc w:val="left"/>
        <w:spacing w:line="600" w:lineRule="exact"/>
        <w:rPr>
          <w:rFonts w:hint="eastAsia" w:asciiTheme="minorEastAsia" w:hAnsiTheme="minorEastAsia" w:eastAsiaTheme="minorEastAsia"/>
          <w:b/>
          <w:bCs/>
          <w:color w:val="000000" w:themeColor="text1"/>
          <w:sz w:val="36"/>
          <w:szCs w:val="24"/>
          <w:lang w:eastAsia="zh-CN"/>
          <w14:textFill>
            <w14:solidFill>
              <w14:schemeClr w14:val="tx1"/>
            </w14:solidFill>
          </w14:textFill>
        </w:rPr>
      </w:pPr>
      <w:r>
        <w:rPr>
          <w:rFonts w:hint="eastAsia" w:asciiTheme="minorEastAsia" w:hAnsiTheme="minorEastAsia" w:eastAsiaTheme="minorEastAsia"/>
          <w:b/>
          <w:bCs/>
          <w:color w:val="000000" w:themeColor="text1"/>
          <w:sz w:val="36"/>
          <w:szCs w:val="24"/>
          <w14:textFill>
            <w14:solidFill>
              <w14:schemeClr w14:val="tx1"/>
            </w14:solidFill>
          </w14:textFill>
        </w:rPr>
        <w:t xml:space="preserve">项目编号：</w:t>
      </w:r>
      <w:r>
        <w:rPr>
          <w:rFonts w:hint="eastAsia" w:asciiTheme="minorEastAsia" w:hAnsiTheme="minorEastAsia" w:eastAsiaTheme="minorEastAsia"/>
          <w:b/>
          <w:bCs/>
          <w:color w:val="000000" w:themeColor="text1"/>
          <w:sz w:val="36"/>
          <w:szCs w:val="24"/>
          <w:lang w:eastAsia="zh-CN"/>
          <w14:textFill>
            <w14:solidFill>
              <w14:schemeClr w14:val="tx1"/>
            </w14:solidFill>
          </w14:textFill>
        </w:rPr>
        <w:t xml:space="preserve">JSZC-320581-SZXY-G2026-0012</w:t>
      </w:r>
      <w:r/>
    </w:p>
    <w:p>
      <w:pPr>
        <w:ind w:firstLine="723"/>
        <w:spacing w:line="600" w:lineRule="exact"/>
        <w:rPr>
          <w:rFonts w:asciiTheme="minorEastAsia" w:hAnsiTheme="minorEastAsia" w:eastAsiaTheme="minorEastAsia"/>
          <w:b/>
          <w:bCs/>
          <w:color w:val="000000" w:themeColor="text1"/>
          <w:sz w:val="36"/>
          <w:szCs w:val="24"/>
          <w14:textFill>
            <w14:solidFill>
              <w14:schemeClr w14:val="tx1"/>
            </w14:solidFill>
          </w14:textFill>
        </w:rPr>
      </w:pPr>
      <w:r>
        <w:rPr>
          <w:rFonts w:hint="eastAsia" w:asciiTheme="minorEastAsia" w:hAnsiTheme="minorEastAsia" w:eastAsiaTheme="minorEastAsia"/>
          <w:b/>
          <w:bCs/>
          <w:color w:val="000000" w:themeColor="text1"/>
          <w:sz w:val="36"/>
          <w:szCs w:val="24"/>
          <w14:textFill>
            <w14:solidFill>
              <w14:schemeClr w14:val="tx1"/>
            </w14:solidFill>
          </w14:textFill>
        </w:rPr>
        <w:t xml:space="preserve">项目名称：苏州工学院社会车辆租赁服务</w:t>
      </w:r>
      <w:r/>
    </w:p>
    <w:p>
      <w:pPr>
        <w:ind w:firstLine="723"/>
        <w:jc w:val="left"/>
        <w:spacing w:line="600" w:lineRule="exact"/>
        <w:rPr>
          <w:rFonts w:asciiTheme="minorEastAsia" w:hAnsiTheme="minorEastAsia" w:eastAsiaTheme="minorEastAsia"/>
          <w:b/>
          <w:bCs/>
          <w:color w:val="000000" w:themeColor="text1"/>
          <w:sz w:val="36"/>
          <w:szCs w:val="24"/>
          <w14:textFill>
            <w14:solidFill>
              <w14:schemeClr w14:val="tx1"/>
            </w14:solidFill>
          </w14:textFill>
        </w:rPr>
      </w:pPr>
      <w:r>
        <w:rPr>
          <w:rFonts w:hint="eastAsia" w:asciiTheme="minorEastAsia" w:hAnsiTheme="minorEastAsia" w:eastAsiaTheme="minorEastAsia"/>
          <w:b/>
          <w:bCs/>
          <w:color w:val="000000" w:themeColor="text1"/>
          <w:sz w:val="36"/>
          <w:szCs w:val="24"/>
          <w14:textFill>
            <w14:solidFill>
              <w14:schemeClr w14:val="tx1"/>
            </w14:solidFill>
          </w14:textFill>
        </w:rPr>
        <w:t xml:space="preserve">项目属性：服务类项目</w:t>
      </w:r>
      <w:r/>
    </w:p>
    <w:p>
      <w:pPr>
        <w:ind w:left="2100" w:firstLine="480"/>
        <w:rPr>
          <w:rFonts w:ascii="Times New Roman" w:hAnsi="Times New Roman"/>
          <w:b/>
          <w:color w:val="000000" w:themeColor="text1"/>
          <w:sz w:val="30"/>
          <w:szCs w:val="30"/>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           </w:t>
      </w:r>
      <w:r>
        <w:rPr>
          <w:rFonts w:hint="eastAsia" w:ascii="Times New Roman" w:hAnsi="Times New Roman"/>
          <w:b/>
          <w:color w:val="000000" w:themeColor="text1"/>
          <w:sz w:val="30"/>
          <w:szCs w:val="30"/>
          <w14:textFill>
            <w14:solidFill>
              <w14:schemeClr w14:val="tx1"/>
            </w14:solidFill>
          </w14:textFill>
        </w:rPr>
        <w:t xml:space="preserve">    </w:t>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pStyle w:val="694"/>
      </w:pPr>
      <w:r/>
      <w:r/>
    </w:p>
    <w:p>
      <w:pPr>
        <w:pStyle w:val="694"/>
      </w:pPr>
      <w:r/>
      <w:r/>
    </w:p>
    <w:p>
      <w:pPr>
        <w:ind w:firstLine="723"/>
        <w:jc w:val="center"/>
        <w:spacing w:before="120" w:after="120" w:line="360" w:lineRule="auto"/>
        <w:rPr>
          <w:rFonts w:ascii="宋体" w:hAnsi="宋体"/>
          <w:b/>
          <w:bCs/>
          <w:color w:val="000000" w:themeColor="text1"/>
          <w:sz w:val="40"/>
          <w:szCs w:val="28"/>
          <w14:textFill>
            <w14:solidFill>
              <w14:schemeClr w14:val="tx1"/>
            </w14:solidFill>
          </w14:textFill>
        </w:rPr>
      </w:pPr>
      <w:r>
        <w:rPr>
          <w:rFonts w:hint="eastAsia" w:ascii="宋体" w:hAnsi="宋体"/>
          <w:b/>
          <w:bCs/>
          <w:color w:val="000000" w:themeColor="text1"/>
          <w:sz w:val="40"/>
          <w:szCs w:val="28"/>
          <w14:textFill>
            <w14:solidFill>
              <w14:schemeClr w14:val="tx1"/>
            </w14:solidFill>
          </w14:textFill>
        </w:rPr>
        <w:t xml:space="preserve">苏州新一造价师价格事务所有限公司</w:t>
      </w:r>
      <w:r/>
    </w:p>
    <w:p>
      <w:pPr>
        <w:ind w:firstLine="723"/>
        <w:jc w:val="center"/>
        <w:spacing w:before="120" w:after="120" w:line="360" w:lineRule="auto"/>
        <w:rPr>
          <w:rFonts w:ascii="宋体" w:hAnsi="宋体"/>
          <w:color w:val="000000" w:themeColor="text1"/>
          <w:sz w:val="32"/>
          <w:szCs w:val="28"/>
          <w14:textFill>
            <w14:solidFill>
              <w14:schemeClr w14:val="tx1"/>
            </w14:solidFill>
          </w14:textFill>
        </w:rPr>
      </w:pPr>
      <w:r>
        <w:rPr>
          <w:rFonts w:ascii="宋体" w:hAnsi="宋体"/>
          <w:b/>
          <w:bCs/>
          <w:color w:val="000000" w:themeColor="text1"/>
          <w:sz w:val="40"/>
          <w:szCs w:val="28"/>
          <w14:textFill>
            <w14:solidFill>
              <w14:schemeClr w14:val="tx1"/>
            </w14:solidFill>
          </w14:textFill>
        </w:rPr>
        <w:t xml:space="preserve">202</w:t>
      </w:r>
      <w:r>
        <w:rPr>
          <w:rFonts w:hint="eastAsia" w:ascii="宋体" w:hAnsi="宋体"/>
          <w:b/>
          <w:bCs/>
          <w:color w:val="000000" w:themeColor="text1"/>
          <w:sz w:val="40"/>
          <w:szCs w:val="28"/>
          <w14:textFill>
            <w14:solidFill>
              <w14:schemeClr w14:val="tx1"/>
            </w14:solidFill>
          </w14:textFill>
        </w:rPr>
        <w:t xml:space="preserve">6年4月29日</w:t>
      </w:r>
      <w:r/>
    </w:p>
    <w:p>
      <w:pPr>
        <w:pStyle w:val="1038"/>
        <w:ind w:firstLine="640"/>
        <w:jc w:val="center"/>
        <w:rPr>
          <w:b/>
          <w:bCs/>
          <w:color w:val="000000" w:themeColor="text1"/>
          <w14:textFill>
            <w14:solidFill>
              <w14:schemeClr w14:val="tx1"/>
            </w14:solidFill>
          </w14:textFill>
        </w:rPr>
      </w:pPr>
      <w:r>
        <w:rPr>
          <w:rFonts w:ascii="Times New Roman" w:hAnsi="Times New Roman"/>
          <w:color w:val="000000" w:themeColor="text1"/>
          <w:szCs w:val="21"/>
          <w14:textFill>
            <w14:solidFill>
              <w14:schemeClr w14:val="tx1"/>
            </w14:solidFill>
          </w14:textFill>
        </w:rPr>
        <w:br w:type="page" w:clear="all"/>
      </w:r>
      <w:bookmarkStart w:id="0" w:name="_Toc120614210"/>
      <w:r/>
      <w:bookmarkStart w:id="1" w:name="_Toc16938516"/>
      <w:r/>
      <w:bookmarkStart w:id="2" w:name="_Toc523127445"/>
      <w:r/>
      <w:bookmarkStart w:id="3" w:name="_Toc479757206"/>
      <w:r/>
      <w:bookmarkStart w:id="4" w:name="_Toc20823272"/>
      <w:r/>
      <w:bookmarkStart w:id="5" w:name="_Toc513029200"/>
      <w:r>
        <w:rPr>
          <w:b/>
          <w:bCs/>
          <w:color w:val="000000" w:themeColor="text1"/>
          <w:lang w:val="zh-CN"/>
          <w14:textFill>
            <w14:solidFill>
              <w14:schemeClr w14:val="tx1"/>
            </w14:solidFill>
          </w14:textFill>
        </w:rPr>
        <w:t xml:space="preserve">目录</w:t>
      </w:r>
      <w:r/>
    </w:p>
    <w:p>
      <w:pPr>
        <w:pStyle w:val="708"/>
        <w:tabs>
          <w:tab w:val="right" w:pos="10456" w:leader="dot"/>
        </w:tabs>
        <w:rPr>
          <w:rFonts w:asciiTheme="minorHAnsi" w:hAnsiTheme="minorHAnsi" w:eastAsiaTheme="minorEastAsia" w:cstheme="minorBidi"/>
        </w:rPr>
      </w:pPr>
      <w:r>
        <w:rPr>
          <w:rFonts w:ascii="Times New Roman" w:hAnsi="Times New Roman"/>
          <w:color w:val="000000" w:themeColor="text1"/>
          <w14:textFill>
            <w14:solidFill>
              <w14:schemeClr w14:val="tx1"/>
            </w14:solidFill>
          </w14:textFill>
        </w:rPr>
        <w:fldChar w:fldCharType="begin"/>
      </w:r>
      <w:r>
        <w:rPr>
          <w:rFonts w:ascii="Times New Roman" w:hAnsi="Times New Roman"/>
          <w:color w:val="000000" w:themeColor="text1"/>
          <w14:textFill>
            <w14:solidFill>
              <w14:schemeClr w14:val="tx1"/>
            </w14:solidFill>
          </w14:textFill>
        </w:rPr>
        <w:instrText xml:space="preserve"> TOC \o "1-3" \h \z \u </w:instrText>
      </w:r>
      <w:r>
        <w:rPr>
          <w:rFonts w:ascii="Times New Roman" w:hAnsi="Times New Roman"/>
          <w:color w:val="000000" w:themeColor="text1"/>
          <w14:textFill>
            <w14:solidFill>
              <w14:schemeClr w14:val="tx1"/>
            </w14:solidFill>
          </w14:textFill>
        </w:rPr>
        <w:fldChar w:fldCharType="separate"/>
      </w:r>
      <w:r>
        <w:fldChar w:fldCharType="begin"/>
      </w:r>
      <w:r>
        <w:instrText xml:space="preserve"> HYPERLINK \l "_Toc228349819" </w:instrText>
      </w:r>
      <w:r>
        <w:fldChar w:fldCharType="separate"/>
      </w:r>
      <w:r>
        <w:rPr>
          <w:rStyle w:val="721"/>
          <w:rFonts w:ascii="黑体" w:hAnsi="Times New Roman" w:eastAsia="黑体"/>
        </w:rPr>
        <w:t xml:space="preserve">第一章  投标邀请</w:t>
      </w:r>
      <w:r>
        <w:tab/>
      </w:r>
      <w:r>
        <w:fldChar w:fldCharType="begin"/>
      </w:r>
      <w:r>
        <w:instrText xml:space="preserve"> PAGEREF _Toc228349819 \h </w:instrText>
      </w:r>
      <w:r>
        <w:fldChar w:fldCharType="separate"/>
      </w:r>
      <w:r>
        <w:t xml:space="preserve">3</w:t>
      </w:r>
      <w:r>
        <w:fldChar w:fldCharType="end"/>
      </w:r>
      <w:r>
        <w:fldChar w:fldCharType="end"/>
      </w:r>
      <w:r/>
    </w:p>
    <w:p>
      <w:pPr>
        <w:pStyle w:val="714"/>
        <w:tabs>
          <w:tab w:val="right" w:pos="10456" w:leader="dot"/>
        </w:tabs>
        <w:rPr>
          <w:rFonts w:asciiTheme="minorHAnsi" w:hAnsiTheme="minorHAnsi" w:eastAsiaTheme="minorEastAsia" w:cstheme="minorBidi"/>
        </w:rPr>
      </w:pPr>
      <w:r>
        <w:fldChar w:fldCharType="begin"/>
      </w:r>
      <w:r>
        <w:instrText xml:space="preserve"> HYPERLINK \l "_Toc228349820" </w:instrText>
      </w:r>
      <w:r>
        <w:fldChar w:fldCharType="separate"/>
      </w:r>
      <w:r>
        <w:rPr>
          <w:rStyle w:val="721"/>
          <w:rFonts w:ascii="Times New Roman" w:hAnsi="Times New Roman"/>
          <w:bCs/>
        </w:rPr>
        <w:t xml:space="preserve">一、项目基本情况</w:t>
      </w:r>
      <w:r>
        <w:tab/>
      </w:r>
      <w:r>
        <w:fldChar w:fldCharType="begin"/>
      </w:r>
      <w:r>
        <w:instrText xml:space="preserve"> PAGEREF _Toc228349820 \h </w:instrText>
      </w:r>
      <w:r>
        <w:fldChar w:fldCharType="separate"/>
      </w:r>
      <w:r>
        <w:t xml:space="preserve">3</w:t>
      </w:r>
      <w:r>
        <w:fldChar w:fldCharType="end"/>
      </w:r>
      <w:r>
        <w:fldChar w:fldCharType="end"/>
      </w:r>
      <w:r/>
    </w:p>
    <w:p>
      <w:pPr>
        <w:pStyle w:val="714"/>
        <w:tabs>
          <w:tab w:val="right" w:pos="10456" w:leader="dot"/>
        </w:tabs>
        <w:rPr>
          <w:rFonts w:asciiTheme="minorHAnsi" w:hAnsiTheme="minorHAnsi" w:eastAsiaTheme="minorEastAsia" w:cstheme="minorBidi"/>
        </w:rPr>
      </w:pPr>
      <w:r>
        <w:fldChar w:fldCharType="begin"/>
      </w:r>
      <w:r>
        <w:instrText xml:space="preserve"> HYPERLINK \l "_Toc228349821" </w:instrText>
      </w:r>
      <w:r>
        <w:fldChar w:fldCharType="separate"/>
      </w:r>
      <w:r>
        <w:rPr>
          <w:rStyle w:val="721"/>
          <w:rFonts w:ascii="Times New Roman" w:hAnsi="Times New Roman"/>
          <w:bCs/>
        </w:rPr>
        <w:t xml:space="preserve">二、申请人的资格要求</w:t>
      </w:r>
      <w:r>
        <w:tab/>
      </w:r>
      <w:r>
        <w:fldChar w:fldCharType="begin"/>
      </w:r>
      <w:r>
        <w:instrText xml:space="preserve"> PAGEREF _Toc228349821 \h </w:instrText>
      </w:r>
      <w:r>
        <w:fldChar w:fldCharType="separate"/>
      </w:r>
      <w:r>
        <w:t xml:space="preserve">3</w:t>
      </w:r>
      <w:r>
        <w:fldChar w:fldCharType="end"/>
      </w:r>
      <w:r>
        <w:fldChar w:fldCharType="end"/>
      </w:r>
      <w:r/>
    </w:p>
    <w:p>
      <w:pPr>
        <w:pStyle w:val="714"/>
        <w:tabs>
          <w:tab w:val="right" w:pos="10456" w:leader="dot"/>
        </w:tabs>
        <w:rPr>
          <w:rFonts w:asciiTheme="minorHAnsi" w:hAnsiTheme="minorHAnsi" w:eastAsiaTheme="minorEastAsia" w:cstheme="minorBidi"/>
        </w:rPr>
      </w:pPr>
      <w:r>
        <w:fldChar w:fldCharType="begin"/>
      </w:r>
      <w:r>
        <w:instrText xml:space="preserve"> HYPERLINK \l "_Toc228349822" </w:instrText>
      </w:r>
      <w:r>
        <w:fldChar w:fldCharType="separate"/>
      </w:r>
      <w:r>
        <w:rPr>
          <w:rStyle w:val="721"/>
          <w:rFonts w:ascii="Times New Roman" w:hAnsi="Times New Roman"/>
          <w:bCs/>
        </w:rPr>
        <w:t xml:space="preserve">三、获取招标文件</w:t>
      </w:r>
      <w:r>
        <w:tab/>
      </w:r>
      <w:r>
        <w:fldChar w:fldCharType="begin"/>
      </w:r>
      <w:r>
        <w:instrText xml:space="preserve"> PAGEREF _Toc228349822 \h </w:instrText>
      </w:r>
      <w:r>
        <w:fldChar w:fldCharType="separate"/>
      </w:r>
      <w:r>
        <w:t xml:space="preserve">4</w:t>
      </w:r>
      <w:r>
        <w:fldChar w:fldCharType="end"/>
      </w:r>
      <w:r>
        <w:fldChar w:fldCharType="end"/>
      </w:r>
      <w:r/>
    </w:p>
    <w:p>
      <w:pPr>
        <w:pStyle w:val="714"/>
        <w:tabs>
          <w:tab w:val="right" w:pos="10456" w:leader="dot"/>
        </w:tabs>
        <w:rPr>
          <w:rFonts w:asciiTheme="minorHAnsi" w:hAnsiTheme="minorHAnsi" w:eastAsiaTheme="minorEastAsia" w:cstheme="minorBidi"/>
        </w:rPr>
      </w:pPr>
      <w:r>
        <w:fldChar w:fldCharType="begin"/>
      </w:r>
      <w:r>
        <w:instrText xml:space="preserve"> HYPERLINK \l "_Toc228349823" </w:instrText>
      </w:r>
      <w:r>
        <w:fldChar w:fldCharType="separate"/>
      </w:r>
      <w:r>
        <w:rPr>
          <w:rStyle w:val="721"/>
          <w:rFonts w:ascii="Times New Roman" w:hAnsi="Times New Roman"/>
          <w:bCs/>
        </w:rPr>
        <w:t xml:space="preserve">四、提交投标文件截止时间、开标时间和地点</w:t>
      </w:r>
      <w:r>
        <w:tab/>
      </w:r>
      <w:r>
        <w:fldChar w:fldCharType="begin"/>
      </w:r>
      <w:r>
        <w:instrText xml:space="preserve"> PAGEREF _Toc228349823 \h </w:instrText>
      </w:r>
      <w:r>
        <w:fldChar w:fldCharType="separate"/>
      </w:r>
      <w:r>
        <w:t xml:space="preserve">4</w:t>
      </w:r>
      <w:r>
        <w:fldChar w:fldCharType="end"/>
      </w:r>
      <w:r>
        <w:fldChar w:fldCharType="end"/>
      </w:r>
      <w:r/>
    </w:p>
    <w:p>
      <w:pPr>
        <w:pStyle w:val="714"/>
        <w:tabs>
          <w:tab w:val="right" w:pos="10456" w:leader="dot"/>
        </w:tabs>
        <w:rPr>
          <w:rFonts w:asciiTheme="minorHAnsi" w:hAnsiTheme="minorHAnsi" w:eastAsiaTheme="minorEastAsia" w:cstheme="minorBidi"/>
        </w:rPr>
      </w:pPr>
      <w:r>
        <w:fldChar w:fldCharType="begin"/>
      </w:r>
      <w:r>
        <w:instrText xml:space="preserve"> HYPERLINK \l "_Toc228349824" </w:instrText>
      </w:r>
      <w:r>
        <w:fldChar w:fldCharType="separate"/>
      </w:r>
      <w:r>
        <w:rPr>
          <w:rStyle w:val="721"/>
          <w:rFonts w:ascii="Times New Roman" w:hAnsi="Times New Roman"/>
          <w:bCs/>
        </w:rPr>
        <w:t xml:space="preserve">五、公告期限</w:t>
      </w:r>
      <w:r>
        <w:tab/>
      </w:r>
      <w:r>
        <w:fldChar w:fldCharType="begin"/>
      </w:r>
      <w:r>
        <w:instrText xml:space="preserve"> PAGEREF _Toc228349824 \h </w:instrText>
      </w:r>
      <w:r>
        <w:fldChar w:fldCharType="separate"/>
      </w:r>
      <w:r>
        <w:t xml:space="preserve">4</w:t>
      </w:r>
      <w:r>
        <w:fldChar w:fldCharType="end"/>
      </w:r>
      <w:r>
        <w:fldChar w:fldCharType="end"/>
      </w:r>
      <w:r/>
    </w:p>
    <w:p>
      <w:pPr>
        <w:pStyle w:val="714"/>
        <w:tabs>
          <w:tab w:val="right" w:pos="10456" w:leader="dot"/>
        </w:tabs>
        <w:rPr>
          <w:rFonts w:asciiTheme="minorHAnsi" w:hAnsiTheme="minorHAnsi" w:eastAsiaTheme="minorEastAsia" w:cstheme="minorBidi"/>
        </w:rPr>
      </w:pPr>
      <w:r>
        <w:fldChar w:fldCharType="begin"/>
      </w:r>
      <w:r>
        <w:instrText xml:space="preserve"> HYPERLINK \l "_Toc228349825" </w:instrText>
      </w:r>
      <w:r>
        <w:fldChar w:fldCharType="separate"/>
      </w:r>
      <w:r>
        <w:rPr>
          <w:rStyle w:val="721"/>
          <w:rFonts w:ascii="Times New Roman" w:hAnsi="Times New Roman"/>
          <w:bCs/>
        </w:rPr>
        <w:t xml:space="preserve">六、其他补充事宜</w:t>
      </w:r>
      <w:r>
        <w:tab/>
      </w:r>
      <w:r>
        <w:fldChar w:fldCharType="begin"/>
      </w:r>
      <w:r>
        <w:instrText xml:space="preserve"> PAGEREF _Toc228349825 \h </w:instrText>
      </w:r>
      <w:r>
        <w:fldChar w:fldCharType="separate"/>
      </w:r>
      <w:r>
        <w:t xml:space="preserve">4</w:t>
      </w:r>
      <w:r>
        <w:fldChar w:fldCharType="end"/>
      </w:r>
      <w:r>
        <w:fldChar w:fldCharType="end"/>
      </w:r>
      <w:r/>
    </w:p>
    <w:p>
      <w:pPr>
        <w:pStyle w:val="714"/>
        <w:tabs>
          <w:tab w:val="right" w:pos="10456" w:leader="dot"/>
        </w:tabs>
        <w:rPr>
          <w:rFonts w:asciiTheme="minorHAnsi" w:hAnsiTheme="minorHAnsi" w:eastAsiaTheme="minorEastAsia" w:cstheme="minorBidi"/>
        </w:rPr>
      </w:pPr>
      <w:r>
        <w:fldChar w:fldCharType="begin"/>
      </w:r>
      <w:r>
        <w:instrText xml:space="preserve"> HYPERLINK \l "_Toc228349826" </w:instrText>
      </w:r>
      <w:r>
        <w:fldChar w:fldCharType="separate"/>
      </w:r>
      <w:r>
        <w:rPr>
          <w:rStyle w:val="721"/>
          <w:rFonts w:ascii="Times New Roman" w:hAnsi="Times New Roman"/>
          <w:bCs/>
        </w:rPr>
        <w:t xml:space="preserve">七、本次招标联系方式</w:t>
      </w:r>
      <w:r>
        <w:tab/>
      </w:r>
      <w:r>
        <w:fldChar w:fldCharType="begin"/>
      </w:r>
      <w:r>
        <w:instrText xml:space="preserve"> PAGEREF _Toc228349826 \h </w:instrText>
      </w:r>
      <w:r>
        <w:fldChar w:fldCharType="separate"/>
      </w:r>
      <w:r>
        <w:t xml:space="preserve">5</w:t>
      </w:r>
      <w:r>
        <w:fldChar w:fldCharType="end"/>
      </w:r>
      <w:r>
        <w:fldChar w:fldCharType="end"/>
      </w:r>
      <w:r/>
    </w:p>
    <w:p>
      <w:pPr>
        <w:pStyle w:val="708"/>
        <w:tabs>
          <w:tab w:val="right" w:pos="10456" w:leader="dot"/>
        </w:tabs>
        <w:rPr>
          <w:rFonts w:asciiTheme="minorHAnsi" w:hAnsiTheme="minorHAnsi" w:eastAsiaTheme="minorEastAsia" w:cstheme="minorBidi"/>
        </w:rPr>
      </w:pPr>
      <w:r>
        <w:fldChar w:fldCharType="begin"/>
      </w:r>
      <w:r>
        <w:instrText xml:space="preserve"> HYPERLINK \l "_Toc228349827" </w:instrText>
      </w:r>
      <w:r>
        <w:fldChar w:fldCharType="separate"/>
      </w:r>
      <w:r>
        <w:rPr>
          <w:rStyle w:val="721"/>
          <w:rFonts w:ascii="黑体" w:hAnsi="Times New Roman" w:eastAsia="黑体"/>
        </w:rPr>
        <w:t xml:space="preserve">第二章  投标人须知</w:t>
      </w:r>
      <w:r>
        <w:tab/>
      </w:r>
      <w:r>
        <w:fldChar w:fldCharType="begin"/>
      </w:r>
      <w:r>
        <w:instrText xml:space="preserve"> PAGEREF _Toc228349827 \h </w:instrText>
      </w:r>
      <w:r>
        <w:fldChar w:fldCharType="separate"/>
      </w:r>
      <w:r>
        <w:t xml:space="preserve">6</w:t>
      </w:r>
      <w:r>
        <w:fldChar w:fldCharType="end"/>
      </w:r>
      <w:r>
        <w:fldChar w:fldCharType="end"/>
      </w:r>
      <w:r/>
    </w:p>
    <w:p>
      <w:pPr>
        <w:pStyle w:val="714"/>
        <w:tabs>
          <w:tab w:val="right" w:pos="10456" w:leader="dot"/>
        </w:tabs>
        <w:rPr>
          <w:rFonts w:asciiTheme="minorHAnsi" w:hAnsiTheme="minorHAnsi" w:eastAsiaTheme="minorEastAsia" w:cstheme="minorBidi"/>
        </w:rPr>
      </w:pPr>
      <w:r>
        <w:fldChar w:fldCharType="begin"/>
      </w:r>
      <w:r>
        <w:instrText xml:space="preserve"> HYPERLINK \l "_Toc228349828" </w:instrText>
      </w:r>
      <w:r>
        <w:fldChar w:fldCharType="separate"/>
      </w:r>
      <w:r>
        <w:rPr>
          <w:rStyle w:val="721"/>
          <w:rFonts w:ascii="宋体" w:hAnsi="宋体" w:cs="宋体"/>
          <w:bCs/>
        </w:rPr>
        <w:t xml:space="preserve">一、总则</w:t>
      </w:r>
      <w:r>
        <w:tab/>
      </w:r>
      <w:r>
        <w:fldChar w:fldCharType="begin"/>
      </w:r>
      <w:r>
        <w:instrText xml:space="preserve"> PAGEREF _Toc228349828 \h </w:instrText>
      </w:r>
      <w:r>
        <w:fldChar w:fldCharType="separate"/>
      </w:r>
      <w:r>
        <w:t xml:space="preserve">6</w:t>
      </w:r>
      <w:r>
        <w:fldChar w:fldCharType="end"/>
      </w:r>
      <w:r>
        <w:fldChar w:fldCharType="end"/>
      </w:r>
      <w:r/>
    </w:p>
    <w:p>
      <w:pPr>
        <w:pStyle w:val="714"/>
        <w:tabs>
          <w:tab w:val="right" w:pos="10456" w:leader="dot"/>
        </w:tabs>
        <w:rPr>
          <w:rFonts w:asciiTheme="minorHAnsi" w:hAnsiTheme="minorHAnsi" w:eastAsiaTheme="minorEastAsia" w:cstheme="minorBidi"/>
        </w:rPr>
      </w:pPr>
      <w:r>
        <w:fldChar w:fldCharType="begin"/>
      </w:r>
      <w:r>
        <w:instrText xml:space="preserve"> HYPERLINK \l "_Toc228349829" </w:instrText>
      </w:r>
      <w:r>
        <w:fldChar w:fldCharType="separate"/>
      </w:r>
      <w:r>
        <w:rPr>
          <w:rStyle w:val="721"/>
          <w:rFonts w:ascii="宋体" w:hAnsi="宋体" w:cs="宋体"/>
          <w:bCs/>
        </w:rPr>
        <w:t xml:space="preserve">二、招标文件</w:t>
      </w:r>
      <w:r>
        <w:tab/>
      </w:r>
      <w:r>
        <w:fldChar w:fldCharType="begin"/>
      </w:r>
      <w:r>
        <w:instrText xml:space="preserve"> PAGEREF _Toc228349829 \h </w:instrText>
      </w:r>
      <w:r>
        <w:fldChar w:fldCharType="separate"/>
      </w:r>
      <w:r>
        <w:t xml:space="preserve">6</w:t>
      </w:r>
      <w:r>
        <w:fldChar w:fldCharType="end"/>
      </w:r>
      <w:r>
        <w:fldChar w:fldCharType="end"/>
      </w:r>
      <w:r/>
    </w:p>
    <w:p>
      <w:pPr>
        <w:pStyle w:val="714"/>
        <w:tabs>
          <w:tab w:val="right" w:pos="10456" w:leader="dot"/>
        </w:tabs>
        <w:rPr>
          <w:rFonts w:asciiTheme="minorHAnsi" w:hAnsiTheme="minorHAnsi" w:eastAsiaTheme="minorEastAsia" w:cstheme="minorBidi"/>
        </w:rPr>
      </w:pPr>
      <w:r>
        <w:fldChar w:fldCharType="begin"/>
      </w:r>
      <w:r>
        <w:instrText xml:space="preserve"> HYPERLINK \l "_Toc228349830" </w:instrText>
      </w:r>
      <w:r>
        <w:fldChar w:fldCharType="separate"/>
      </w:r>
      <w:r>
        <w:rPr>
          <w:rStyle w:val="721"/>
          <w:rFonts w:ascii="宋体" w:hAnsi="宋体" w:cs="宋体"/>
          <w:bCs/>
        </w:rPr>
        <w:t xml:space="preserve">三、投标文件的编制</w:t>
      </w:r>
      <w:r>
        <w:tab/>
      </w:r>
      <w:r>
        <w:fldChar w:fldCharType="begin"/>
      </w:r>
      <w:r>
        <w:instrText xml:space="preserve"> PAGEREF _Toc228349830 \h </w:instrText>
      </w:r>
      <w:r>
        <w:fldChar w:fldCharType="separate"/>
      </w:r>
      <w:r>
        <w:t xml:space="preserve">7</w:t>
      </w:r>
      <w:r>
        <w:fldChar w:fldCharType="end"/>
      </w:r>
      <w:r>
        <w:fldChar w:fldCharType="end"/>
      </w:r>
      <w:r/>
    </w:p>
    <w:p>
      <w:pPr>
        <w:pStyle w:val="714"/>
        <w:tabs>
          <w:tab w:val="right" w:pos="10456" w:leader="dot"/>
        </w:tabs>
        <w:rPr>
          <w:rFonts w:asciiTheme="minorHAnsi" w:hAnsiTheme="minorHAnsi" w:eastAsiaTheme="minorEastAsia" w:cstheme="minorBidi"/>
        </w:rPr>
      </w:pPr>
      <w:r>
        <w:fldChar w:fldCharType="begin"/>
      </w:r>
      <w:r>
        <w:instrText xml:space="preserve"> HYPERLINK \l "_Toc228349831" </w:instrText>
      </w:r>
      <w:r>
        <w:fldChar w:fldCharType="separate"/>
      </w:r>
      <w:r>
        <w:rPr>
          <w:rStyle w:val="721"/>
          <w:rFonts w:ascii="宋体" w:hAnsi="宋体" w:cs="宋体"/>
          <w:bCs/>
        </w:rPr>
        <w:t xml:space="preserve">四、投标文件的递交</w:t>
      </w:r>
      <w:r>
        <w:tab/>
      </w:r>
      <w:r>
        <w:fldChar w:fldCharType="begin"/>
      </w:r>
      <w:r>
        <w:instrText xml:space="preserve"> PAGEREF _Toc228349831 \h </w:instrText>
      </w:r>
      <w:r>
        <w:fldChar w:fldCharType="separate"/>
      </w:r>
      <w:r>
        <w:t xml:space="preserve">8</w:t>
      </w:r>
      <w:r>
        <w:fldChar w:fldCharType="end"/>
      </w:r>
      <w:r>
        <w:fldChar w:fldCharType="end"/>
      </w:r>
      <w:r/>
    </w:p>
    <w:p>
      <w:pPr>
        <w:pStyle w:val="714"/>
        <w:tabs>
          <w:tab w:val="right" w:pos="10456" w:leader="dot"/>
        </w:tabs>
        <w:rPr>
          <w:rFonts w:asciiTheme="minorHAnsi" w:hAnsiTheme="minorHAnsi" w:eastAsiaTheme="minorEastAsia" w:cstheme="minorBidi"/>
        </w:rPr>
      </w:pPr>
      <w:r>
        <w:fldChar w:fldCharType="begin"/>
      </w:r>
      <w:r>
        <w:instrText xml:space="preserve"> HYPERLINK \l "_Toc228349832" </w:instrText>
      </w:r>
      <w:r>
        <w:fldChar w:fldCharType="separate"/>
      </w:r>
      <w:r>
        <w:rPr>
          <w:rStyle w:val="721"/>
          <w:rFonts w:ascii="宋体" w:hAnsi="宋体" w:cs="宋体"/>
          <w:bCs/>
        </w:rPr>
        <w:t xml:space="preserve">五、开标与评标</w:t>
      </w:r>
      <w:r>
        <w:tab/>
      </w:r>
      <w:r>
        <w:fldChar w:fldCharType="begin"/>
      </w:r>
      <w:r>
        <w:instrText xml:space="preserve"> PAGEREF _Toc228349832 \h </w:instrText>
      </w:r>
      <w:r>
        <w:fldChar w:fldCharType="separate"/>
      </w:r>
      <w:r>
        <w:t xml:space="preserve">9</w:t>
      </w:r>
      <w:r>
        <w:fldChar w:fldCharType="end"/>
      </w:r>
      <w:r>
        <w:fldChar w:fldCharType="end"/>
      </w:r>
      <w:r/>
    </w:p>
    <w:p>
      <w:pPr>
        <w:pStyle w:val="714"/>
        <w:tabs>
          <w:tab w:val="right" w:pos="10456" w:leader="dot"/>
        </w:tabs>
        <w:rPr>
          <w:rFonts w:asciiTheme="minorHAnsi" w:hAnsiTheme="minorHAnsi" w:eastAsiaTheme="minorEastAsia" w:cstheme="minorBidi"/>
        </w:rPr>
      </w:pPr>
      <w:r>
        <w:fldChar w:fldCharType="begin"/>
      </w:r>
      <w:r>
        <w:instrText xml:space="preserve"> HYPERLINK \l "_Toc228349833" </w:instrText>
      </w:r>
      <w:r>
        <w:fldChar w:fldCharType="separate"/>
      </w:r>
      <w:r>
        <w:rPr>
          <w:rStyle w:val="721"/>
          <w:rFonts w:ascii="宋体" w:hAnsi="宋体" w:cs="宋体"/>
          <w:bCs/>
        </w:rPr>
        <w:t xml:space="preserve">六、定标</w:t>
      </w:r>
      <w:r>
        <w:tab/>
      </w:r>
      <w:r>
        <w:fldChar w:fldCharType="begin"/>
      </w:r>
      <w:r>
        <w:instrText xml:space="preserve"> PAGEREF _Toc228349833 \h </w:instrText>
      </w:r>
      <w:r>
        <w:fldChar w:fldCharType="separate"/>
      </w:r>
      <w:r>
        <w:t xml:space="preserve">13</w:t>
      </w:r>
      <w:r>
        <w:fldChar w:fldCharType="end"/>
      </w:r>
      <w:r>
        <w:fldChar w:fldCharType="end"/>
      </w:r>
      <w:r/>
    </w:p>
    <w:p>
      <w:pPr>
        <w:pStyle w:val="714"/>
        <w:tabs>
          <w:tab w:val="right" w:pos="10456" w:leader="dot"/>
        </w:tabs>
        <w:rPr>
          <w:rFonts w:asciiTheme="minorHAnsi" w:hAnsiTheme="minorHAnsi" w:eastAsiaTheme="minorEastAsia" w:cstheme="minorBidi"/>
        </w:rPr>
      </w:pPr>
      <w:r>
        <w:fldChar w:fldCharType="begin"/>
      </w:r>
      <w:r>
        <w:instrText xml:space="preserve"> HYPERLINK \l "_Toc228349834" </w:instrText>
      </w:r>
      <w:r>
        <w:fldChar w:fldCharType="separate"/>
      </w:r>
      <w:r>
        <w:rPr>
          <w:rStyle w:val="721"/>
          <w:rFonts w:ascii="宋体" w:hAnsi="宋体" w:cs="宋体"/>
          <w:bCs/>
        </w:rPr>
        <w:t xml:space="preserve">七、授予合同</w:t>
      </w:r>
      <w:r>
        <w:tab/>
      </w:r>
      <w:r>
        <w:fldChar w:fldCharType="begin"/>
      </w:r>
      <w:r>
        <w:instrText xml:space="preserve"> PAGEREF _Toc228349834 \h </w:instrText>
      </w:r>
      <w:r>
        <w:fldChar w:fldCharType="separate"/>
      </w:r>
      <w:r>
        <w:t xml:space="preserve">15</w:t>
      </w:r>
      <w:r>
        <w:fldChar w:fldCharType="end"/>
      </w:r>
      <w:r>
        <w:fldChar w:fldCharType="end"/>
      </w:r>
      <w:r/>
    </w:p>
    <w:p>
      <w:pPr>
        <w:pStyle w:val="708"/>
        <w:tabs>
          <w:tab w:val="right" w:pos="10456" w:leader="dot"/>
        </w:tabs>
        <w:rPr>
          <w:rFonts w:asciiTheme="minorHAnsi" w:hAnsiTheme="minorHAnsi" w:eastAsiaTheme="minorEastAsia" w:cstheme="minorBidi"/>
        </w:rPr>
      </w:pPr>
      <w:r>
        <w:fldChar w:fldCharType="begin"/>
      </w:r>
      <w:r>
        <w:instrText xml:space="preserve"> HYPERLINK \l "_Toc228349835" </w:instrText>
      </w:r>
      <w:r>
        <w:fldChar w:fldCharType="separate"/>
      </w:r>
      <w:r>
        <w:rPr>
          <w:rStyle w:val="721"/>
          <w:rFonts w:ascii="黑体" w:hAnsi="Times New Roman" w:eastAsia="黑体"/>
          <w:bCs/>
        </w:rPr>
        <w:t xml:space="preserve">第三章  合同文本</w:t>
      </w:r>
      <w:r>
        <w:tab/>
      </w:r>
      <w:r>
        <w:fldChar w:fldCharType="begin"/>
      </w:r>
      <w:r>
        <w:instrText xml:space="preserve"> PAGEREF _Toc228349835 \h </w:instrText>
      </w:r>
      <w:r>
        <w:fldChar w:fldCharType="separate"/>
      </w:r>
      <w:r>
        <w:t xml:space="preserve">16</w:t>
      </w:r>
      <w:r>
        <w:fldChar w:fldCharType="end"/>
      </w:r>
      <w:r>
        <w:fldChar w:fldCharType="end"/>
      </w:r>
      <w:r/>
    </w:p>
    <w:p>
      <w:pPr>
        <w:pStyle w:val="708"/>
        <w:tabs>
          <w:tab w:val="right" w:pos="10456" w:leader="dot"/>
        </w:tabs>
        <w:rPr>
          <w:rFonts w:asciiTheme="minorHAnsi" w:hAnsiTheme="minorHAnsi" w:eastAsiaTheme="minorEastAsia" w:cstheme="minorBidi"/>
        </w:rPr>
      </w:pPr>
      <w:r>
        <w:fldChar w:fldCharType="begin"/>
      </w:r>
      <w:r>
        <w:instrText xml:space="preserve"> HYPERLINK \l "_Toc228349836" </w:instrText>
      </w:r>
      <w:r>
        <w:fldChar w:fldCharType="separate"/>
      </w:r>
      <w:r>
        <w:rPr>
          <w:rStyle w:val="721"/>
          <w:rFonts w:ascii="黑体" w:hAnsi="Courier New" w:eastAsia="黑体" w:cs="Courier New"/>
          <w:bCs/>
        </w:rPr>
        <w:t xml:space="preserve">第四章  采购需求</w:t>
      </w:r>
      <w:r>
        <w:tab/>
      </w:r>
      <w:r>
        <w:fldChar w:fldCharType="begin"/>
      </w:r>
      <w:r>
        <w:instrText xml:space="preserve"> PAGEREF _Toc228349836 \h </w:instrText>
      </w:r>
      <w:r>
        <w:fldChar w:fldCharType="separate"/>
      </w:r>
      <w:r>
        <w:t xml:space="preserve">22</w:t>
      </w:r>
      <w:r>
        <w:fldChar w:fldCharType="end"/>
      </w:r>
      <w:r>
        <w:fldChar w:fldCharType="end"/>
      </w:r>
      <w:r/>
    </w:p>
    <w:p>
      <w:pPr>
        <w:pStyle w:val="708"/>
        <w:tabs>
          <w:tab w:val="right" w:pos="10456" w:leader="dot"/>
        </w:tabs>
        <w:rPr>
          <w:rFonts w:asciiTheme="minorHAnsi" w:hAnsiTheme="minorHAnsi" w:eastAsiaTheme="minorEastAsia" w:cstheme="minorBidi"/>
        </w:rPr>
      </w:pPr>
      <w:r>
        <w:fldChar w:fldCharType="begin"/>
      </w:r>
      <w:r>
        <w:instrText xml:space="preserve"> HYPERLINK \l "_Toc228349837" </w:instrText>
      </w:r>
      <w:r>
        <w:fldChar w:fldCharType="separate"/>
      </w:r>
      <w:r>
        <w:rPr>
          <w:rStyle w:val="721"/>
          <w:rFonts w:ascii="Times New Roman" w:hAnsi="Times New Roman"/>
          <w:lang w:bidi="ar"/>
        </w:rPr>
        <w:t xml:space="preserve">标段一、标段二（通用）</w:t>
      </w:r>
      <w:r>
        <w:tab/>
      </w:r>
      <w:r>
        <w:fldChar w:fldCharType="begin"/>
      </w:r>
      <w:r>
        <w:instrText xml:space="preserve"> PAGEREF _Toc228349837 \h </w:instrText>
      </w:r>
      <w:r>
        <w:fldChar w:fldCharType="separate"/>
      </w:r>
      <w:r>
        <w:t xml:space="preserve">22</w:t>
      </w:r>
      <w:r>
        <w:fldChar w:fldCharType="end"/>
      </w:r>
      <w:r>
        <w:fldChar w:fldCharType="end"/>
      </w:r>
      <w:r/>
    </w:p>
    <w:p>
      <w:pPr>
        <w:pStyle w:val="708"/>
        <w:tabs>
          <w:tab w:val="right" w:pos="10456" w:leader="dot"/>
        </w:tabs>
        <w:rPr>
          <w:rFonts w:asciiTheme="minorHAnsi" w:hAnsiTheme="minorHAnsi" w:eastAsiaTheme="minorEastAsia" w:cstheme="minorBidi"/>
        </w:rPr>
      </w:pPr>
      <w:r>
        <w:fldChar w:fldCharType="begin"/>
      </w:r>
      <w:r>
        <w:instrText xml:space="preserve"> HYPERLINK \l "_Toc228349838" </w:instrText>
      </w:r>
      <w:r>
        <w:fldChar w:fldCharType="separate"/>
      </w:r>
      <w:r>
        <w:rPr>
          <w:rStyle w:val="721"/>
          <w:rFonts w:ascii="黑体" w:hAnsi="Courier New" w:eastAsia="黑体" w:cs="Courier New"/>
          <w:bCs/>
        </w:rPr>
        <w:t xml:space="preserve">第五章  评标方法与评标标准</w:t>
      </w:r>
      <w:r>
        <w:tab/>
      </w:r>
      <w:r>
        <w:fldChar w:fldCharType="begin"/>
      </w:r>
      <w:r>
        <w:instrText xml:space="preserve"> PAGEREF _Toc228349838 \h </w:instrText>
      </w:r>
      <w:r>
        <w:fldChar w:fldCharType="separate"/>
      </w:r>
      <w:r>
        <w:t xml:space="preserve">28</w:t>
      </w:r>
      <w:r>
        <w:fldChar w:fldCharType="end"/>
      </w:r>
      <w:r>
        <w:fldChar w:fldCharType="end"/>
      </w:r>
      <w:r/>
    </w:p>
    <w:p>
      <w:pPr>
        <w:pStyle w:val="708"/>
        <w:tabs>
          <w:tab w:val="right" w:pos="10456" w:leader="dot"/>
        </w:tabs>
        <w:rPr>
          <w:rFonts w:asciiTheme="minorHAnsi" w:hAnsiTheme="minorHAnsi" w:eastAsiaTheme="minorEastAsia" w:cstheme="minorBidi"/>
        </w:rPr>
      </w:pPr>
      <w:r>
        <w:fldChar w:fldCharType="begin"/>
      </w:r>
      <w:r>
        <w:instrText xml:space="preserve"> HYPERLINK \l "_Toc228349839" </w:instrText>
      </w:r>
      <w:r>
        <w:fldChar w:fldCharType="separate"/>
      </w:r>
      <w:r>
        <w:rPr>
          <w:rStyle w:val="721"/>
          <w:rFonts w:ascii="Times New Roman" w:hAnsi="Times New Roman"/>
          <w:lang w:bidi="ar"/>
        </w:rPr>
        <w:t xml:space="preserve">标段一、标段二（通用）</w:t>
      </w:r>
      <w:r>
        <w:tab/>
      </w:r>
      <w:r>
        <w:fldChar w:fldCharType="begin"/>
      </w:r>
      <w:r>
        <w:instrText xml:space="preserve"> PAGEREF _Toc228349839 \h </w:instrText>
      </w:r>
      <w:r>
        <w:fldChar w:fldCharType="separate"/>
      </w:r>
      <w:r>
        <w:t xml:space="preserve">28</w:t>
      </w:r>
      <w:r>
        <w:fldChar w:fldCharType="end"/>
      </w:r>
      <w:r>
        <w:fldChar w:fldCharType="end"/>
      </w:r>
      <w:r/>
    </w:p>
    <w:p>
      <w:pPr>
        <w:pStyle w:val="708"/>
        <w:tabs>
          <w:tab w:val="right" w:pos="10456" w:leader="dot"/>
        </w:tabs>
        <w:rPr>
          <w:rFonts w:asciiTheme="minorHAnsi" w:hAnsiTheme="minorHAnsi" w:eastAsiaTheme="minorEastAsia" w:cstheme="minorBidi"/>
        </w:rPr>
      </w:pPr>
      <w:r>
        <w:fldChar w:fldCharType="begin"/>
      </w:r>
      <w:r>
        <w:instrText xml:space="preserve"> HYPERLINK \l "_Toc228349840" </w:instrText>
      </w:r>
      <w:r>
        <w:fldChar w:fldCharType="separate"/>
      </w:r>
      <w:r>
        <w:rPr>
          <w:rStyle w:val="721"/>
          <w:rFonts w:ascii="黑体" w:hAnsi="Courier New" w:eastAsia="黑体" w:cs="Courier New"/>
          <w:bCs/>
        </w:rPr>
        <w:t xml:space="preserve">第六章  投标文件格式</w:t>
      </w:r>
      <w:r>
        <w:tab/>
      </w:r>
      <w:r>
        <w:fldChar w:fldCharType="begin"/>
      </w:r>
      <w:r>
        <w:instrText xml:space="preserve"> PAGEREF _Toc228349840 \h </w:instrText>
      </w:r>
      <w:r>
        <w:fldChar w:fldCharType="separate"/>
      </w:r>
      <w:r>
        <w:t xml:space="preserve">33</w:t>
      </w:r>
      <w:r>
        <w:fldChar w:fldCharType="end"/>
      </w:r>
      <w:r>
        <w:fldChar w:fldCharType="end"/>
      </w:r>
      <w:r/>
    </w:p>
    <w:p>
      <w:pPr>
        <w:pStyle w:val="708"/>
        <w:tabs>
          <w:tab w:val="right" w:pos="10456" w:leader="dot"/>
        </w:tabs>
        <w:rPr>
          <w:rFonts w:asciiTheme="minorHAnsi" w:hAnsiTheme="minorHAnsi" w:eastAsiaTheme="minorEastAsia" w:cstheme="minorBidi"/>
        </w:rPr>
      </w:pPr>
      <w:r>
        <w:fldChar w:fldCharType="begin"/>
      </w:r>
      <w:r>
        <w:instrText xml:space="preserve"> HYPERLINK \l "_Toc228349841" </w:instrText>
      </w:r>
      <w:r>
        <w:fldChar w:fldCharType="separate"/>
      </w:r>
      <w:r>
        <w:rPr>
          <w:rStyle w:val="721"/>
          <w:rFonts w:ascii="Times New Roman" w:hAnsi="Times New Roman"/>
          <w:lang w:bidi="ar"/>
        </w:rPr>
        <w:t xml:space="preserve">标段一、标段二（通用）</w:t>
      </w:r>
      <w:r>
        <w:tab/>
      </w:r>
      <w:r>
        <w:fldChar w:fldCharType="begin"/>
      </w:r>
      <w:r>
        <w:instrText xml:space="preserve"> PAGEREF _Toc228349841 \h </w:instrText>
      </w:r>
      <w:r>
        <w:fldChar w:fldCharType="separate"/>
      </w:r>
      <w:r>
        <w:t xml:space="preserve">34</w:t>
      </w:r>
      <w:r>
        <w:fldChar w:fldCharType="end"/>
      </w:r>
      <w:r>
        <w:fldChar w:fldCharType="end"/>
      </w:r>
      <w:r/>
    </w:p>
    <w:p>
      <w:pPr>
        <w:pStyle w:val="714"/>
        <w:tabs>
          <w:tab w:val="right" w:pos="10456" w:leader="dot"/>
        </w:tabs>
        <w:rPr>
          <w:rFonts w:asciiTheme="minorHAnsi" w:hAnsiTheme="minorHAnsi" w:eastAsiaTheme="minorEastAsia" w:cstheme="minorBidi"/>
        </w:rPr>
      </w:pPr>
      <w:r>
        <w:fldChar w:fldCharType="begin"/>
      </w:r>
      <w:r>
        <w:instrText xml:space="preserve"> HYPERLINK \l "_Toc228349842" </w:instrText>
      </w:r>
      <w:r>
        <w:fldChar w:fldCharType="separate"/>
      </w:r>
      <w:r>
        <w:rPr>
          <w:rStyle w:val="721"/>
          <w:rFonts w:ascii="Times New Roman" w:hAnsi="Times New Roman"/>
          <w:bCs/>
        </w:rPr>
        <w:t xml:space="preserve">附件1 开标一览表</w:t>
      </w:r>
      <w:r>
        <w:tab/>
      </w:r>
      <w:r>
        <w:fldChar w:fldCharType="begin"/>
      </w:r>
      <w:r>
        <w:instrText xml:space="preserve"> PAGEREF _Toc228349842 \h </w:instrText>
      </w:r>
      <w:r>
        <w:fldChar w:fldCharType="separate"/>
      </w:r>
      <w:r>
        <w:t xml:space="preserve">35</w:t>
      </w:r>
      <w:r>
        <w:fldChar w:fldCharType="end"/>
      </w:r>
      <w:r>
        <w:fldChar w:fldCharType="end"/>
      </w:r>
      <w:r/>
    </w:p>
    <w:p>
      <w:pPr>
        <w:pStyle w:val="714"/>
        <w:tabs>
          <w:tab w:val="right" w:pos="10456" w:leader="dot"/>
        </w:tabs>
        <w:rPr>
          <w:rFonts w:asciiTheme="minorHAnsi" w:hAnsiTheme="minorHAnsi" w:eastAsiaTheme="minorEastAsia" w:cstheme="minorBidi"/>
        </w:rPr>
      </w:pPr>
      <w:r>
        <w:fldChar w:fldCharType="begin"/>
      </w:r>
      <w:r>
        <w:instrText xml:space="preserve"> HYPERLINK \l "_Toc228349843" </w:instrText>
      </w:r>
      <w:r>
        <w:fldChar w:fldCharType="separate"/>
      </w:r>
      <w:r>
        <w:rPr>
          <w:rStyle w:val="721"/>
          <w:rFonts w:ascii="Times New Roman" w:hAnsi="Times New Roman"/>
          <w:bCs/>
        </w:rPr>
        <w:t xml:space="preserve">附件2 服务要求响应及偏离表</w:t>
      </w:r>
      <w:r>
        <w:tab/>
      </w:r>
      <w:r>
        <w:fldChar w:fldCharType="begin"/>
      </w:r>
      <w:r>
        <w:instrText xml:space="preserve"> PAGEREF _Toc228349843 \h </w:instrText>
      </w:r>
      <w:r>
        <w:fldChar w:fldCharType="separate"/>
      </w:r>
      <w:r>
        <w:t xml:space="preserve">36</w:t>
      </w:r>
      <w:r>
        <w:fldChar w:fldCharType="end"/>
      </w:r>
      <w:r>
        <w:fldChar w:fldCharType="end"/>
      </w:r>
      <w:r/>
    </w:p>
    <w:p>
      <w:pPr>
        <w:pStyle w:val="714"/>
        <w:tabs>
          <w:tab w:val="right" w:pos="10456" w:leader="dot"/>
        </w:tabs>
        <w:rPr>
          <w:rFonts w:asciiTheme="minorHAnsi" w:hAnsiTheme="minorHAnsi" w:eastAsiaTheme="minorEastAsia" w:cstheme="minorBidi"/>
        </w:rPr>
      </w:pPr>
      <w:r>
        <w:fldChar w:fldCharType="begin"/>
      </w:r>
      <w:r>
        <w:instrText xml:space="preserve"> HYPERLINK \l "_Toc228349844" </w:instrText>
      </w:r>
      <w:r>
        <w:fldChar w:fldCharType="separate"/>
      </w:r>
      <w:r>
        <w:rPr>
          <w:rStyle w:val="721"/>
          <w:rFonts w:ascii="Times New Roman" w:hAnsi="Times New Roman"/>
          <w:bCs/>
        </w:rPr>
        <w:t xml:space="preserve">附件3 项目方案</w:t>
      </w:r>
      <w:r>
        <w:tab/>
      </w:r>
      <w:r>
        <w:fldChar w:fldCharType="begin"/>
      </w:r>
      <w:r>
        <w:instrText xml:space="preserve"> PAGEREF _Toc228349844 \h </w:instrText>
      </w:r>
      <w:r>
        <w:fldChar w:fldCharType="separate"/>
      </w:r>
      <w:r>
        <w:t xml:space="preserve">37</w:t>
      </w:r>
      <w:r>
        <w:fldChar w:fldCharType="end"/>
      </w:r>
      <w:r>
        <w:fldChar w:fldCharType="end"/>
      </w:r>
      <w:r/>
    </w:p>
    <w:p>
      <w:pPr>
        <w:pStyle w:val="714"/>
        <w:tabs>
          <w:tab w:val="right" w:pos="10456" w:leader="dot"/>
        </w:tabs>
        <w:rPr>
          <w:rFonts w:asciiTheme="minorHAnsi" w:hAnsiTheme="minorHAnsi" w:eastAsiaTheme="minorEastAsia" w:cstheme="minorBidi"/>
        </w:rPr>
      </w:pPr>
      <w:r>
        <w:fldChar w:fldCharType="begin"/>
      </w:r>
      <w:r>
        <w:instrText xml:space="preserve"> HYPERLINK \l "_Toc228349845" </w:instrText>
      </w:r>
      <w:r>
        <w:fldChar w:fldCharType="separate"/>
      </w:r>
      <w:r>
        <w:rPr>
          <w:rStyle w:val="721"/>
          <w:rFonts w:ascii="Times New Roman" w:hAnsi="Times New Roman"/>
          <w:bCs/>
        </w:rPr>
        <w:t xml:space="preserve">附件4 人员及车辆一览表</w:t>
      </w:r>
      <w:r>
        <w:tab/>
      </w:r>
      <w:r>
        <w:fldChar w:fldCharType="begin"/>
      </w:r>
      <w:r>
        <w:instrText xml:space="preserve"> PAGEREF _Toc228349845 \h </w:instrText>
      </w:r>
      <w:r>
        <w:fldChar w:fldCharType="separate"/>
      </w:r>
      <w:r>
        <w:t xml:space="preserve">38</w:t>
      </w:r>
      <w:r>
        <w:fldChar w:fldCharType="end"/>
      </w:r>
      <w:r>
        <w:fldChar w:fldCharType="end"/>
      </w:r>
      <w:r/>
    </w:p>
    <w:p>
      <w:pPr>
        <w:pStyle w:val="714"/>
        <w:tabs>
          <w:tab w:val="right" w:pos="10456" w:leader="dot"/>
        </w:tabs>
        <w:rPr>
          <w:rFonts w:asciiTheme="minorHAnsi" w:hAnsiTheme="minorHAnsi" w:eastAsiaTheme="minorEastAsia" w:cstheme="minorBidi"/>
        </w:rPr>
      </w:pPr>
      <w:r>
        <w:fldChar w:fldCharType="begin"/>
      </w:r>
      <w:r>
        <w:instrText xml:space="preserve"> HYPERLINK \l "_Toc228349846" </w:instrText>
      </w:r>
      <w:r>
        <w:fldChar w:fldCharType="separate"/>
      </w:r>
      <w:r>
        <w:rPr>
          <w:rStyle w:val="721"/>
          <w:rFonts w:ascii="Times New Roman" w:hAnsi="Times New Roman"/>
          <w:bCs/>
        </w:rPr>
        <w:t xml:space="preserve">附件5 业绩一览表</w:t>
      </w:r>
      <w:r>
        <w:tab/>
      </w:r>
      <w:r>
        <w:fldChar w:fldCharType="begin"/>
      </w:r>
      <w:r>
        <w:instrText xml:space="preserve"> PAGEREF _Toc228349846 \h </w:instrText>
      </w:r>
      <w:r>
        <w:fldChar w:fldCharType="separate"/>
      </w:r>
      <w:r>
        <w:t xml:space="preserve">43</w:t>
      </w:r>
      <w:r>
        <w:fldChar w:fldCharType="end"/>
      </w:r>
      <w:r>
        <w:fldChar w:fldCharType="end"/>
      </w:r>
      <w:r/>
    </w:p>
    <w:p>
      <w:pPr>
        <w:pStyle w:val="714"/>
        <w:tabs>
          <w:tab w:val="right" w:pos="10456" w:leader="dot"/>
        </w:tabs>
        <w:rPr>
          <w:rFonts w:asciiTheme="minorHAnsi" w:hAnsiTheme="minorHAnsi" w:eastAsiaTheme="minorEastAsia" w:cstheme="minorBidi"/>
        </w:rPr>
      </w:pPr>
      <w:r>
        <w:fldChar w:fldCharType="begin"/>
      </w:r>
      <w:r>
        <w:instrText xml:space="preserve"> HYPERLINK \l "_Toc228349847" </w:instrText>
      </w:r>
      <w:r>
        <w:fldChar w:fldCharType="separate"/>
      </w:r>
      <w:r>
        <w:rPr>
          <w:rStyle w:val="721"/>
          <w:rFonts w:ascii="Times New Roman" w:hAnsi="Times New Roman"/>
          <w:bCs/>
        </w:rPr>
        <w:t xml:space="preserve">附件6 商务要求响应及偏离表</w:t>
      </w:r>
      <w:r>
        <w:tab/>
      </w:r>
      <w:r>
        <w:fldChar w:fldCharType="begin"/>
      </w:r>
      <w:r>
        <w:instrText xml:space="preserve"> PAGEREF _Toc228349847 \h </w:instrText>
      </w:r>
      <w:r>
        <w:fldChar w:fldCharType="separate"/>
      </w:r>
      <w:r>
        <w:t xml:space="preserve">44</w:t>
      </w:r>
      <w:r>
        <w:fldChar w:fldCharType="end"/>
      </w:r>
      <w:r>
        <w:fldChar w:fldCharType="end"/>
      </w:r>
      <w:r/>
    </w:p>
    <w:p>
      <w:pPr>
        <w:pStyle w:val="714"/>
        <w:tabs>
          <w:tab w:val="right" w:pos="10456" w:leader="dot"/>
        </w:tabs>
        <w:rPr>
          <w:rFonts w:asciiTheme="minorHAnsi" w:hAnsiTheme="minorHAnsi" w:eastAsiaTheme="minorEastAsia" w:cstheme="minorBidi"/>
        </w:rPr>
      </w:pPr>
      <w:r>
        <w:fldChar w:fldCharType="begin"/>
      </w:r>
      <w:r>
        <w:instrText xml:space="preserve"> HYPERLINK \l "_Toc228349848" </w:instrText>
      </w:r>
      <w:r>
        <w:fldChar w:fldCharType="separate"/>
      </w:r>
      <w:r>
        <w:rPr>
          <w:rStyle w:val="721"/>
          <w:rFonts w:ascii="Times New Roman" w:hAnsi="Times New Roman"/>
          <w:bCs/>
        </w:rPr>
        <w:t xml:space="preserve">附件7 其他</w:t>
      </w:r>
      <w:r>
        <w:tab/>
      </w:r>
      <w:r>
        <w:fldChar w:fldCharType="begin"/>
      </w:r>
      <w:r>
        <w:instrText xml:space="preserve"> PAGEREF _Toc228349848 \h </w:instrText>
      </w:r>
      <w:r>
        <w:fldChar w:fldCharType="separate"/>
      </w:r>
      <w:r>
        <w:t xml:space="preserve">45</w:t>
      </w:r>
      <w:r>
        <w:fldChar w:fldCharType="end"/>
      </w:r>
      <w:r>
        <w:fldChar w:fldCharType="end"/>
      </w:r>
      <w:r/>
    </w:p>
    <w:p>
      <w:pPr>
        <w:pStyle w:val="714"/>
        <w:tabs>
          <w:tab w:val="right" w:pos="10456" w:leader="dot"/>
        </w:tabs>
        <w:rPr>
          <w:rFonts w:asciiTheme="minorHAnsi" w:hAnsiTheme="minorHAnsi" w:eastAsiaTheme="minorEastAsia" w:cstheme="minorBidi"/>
        </w:rPr>
      </w:pPr>
      <w:r>
        <w:fldChar w:fldCharType="begin"/>
      </w:r>
      <w:r>
        <w:instrText xml:space="preserve"> HYPERLINK \l "_Toc228349849" </w:instrText>
      </w:r>
      <w:r>
        <w:fldChar w:fldCharType="separate"/>
      </w:r>
      <w:r>
        <w:rPr>
          <w:rStyle w:val="721"/>
          <w:rFonts w:ascii="Times New Roman" w:hAnsi="Times New Roman"/>
          <w:bCs/>
        </w:rPr>
        <w:t xml:space="preserve">附件8 具备履行合同所必需的人员和专业技术能力的书面声明</w:t>
      </w:r>
      <w:r>
        <w:tab/>
      </w:r>
      <w:r>
        <w:fldChar w:fldCharType="begin"/>
      </w:r>
      <w:r>
        <w:instrText xml:space="preserve"> PAGEREF _Toc228349849 \h </w:instrText>
      </w:r>
      <w:r>
        <w:fldChar w:fldCharType="separate"/>
      </w:r>
      <w:r>
        <w:t xml:space="preserve">46</w:t>
      </w:r>
      <w:r>
        <w:fldChar w:fldCharType="end"/>
      </w:r>
      <w:r>
        <w:fldChar w:fldCharType="end"/>
      </w:r>
      <w:r/>
    </w:p>
    <w:p>
      <w:pPr>
        <w:pStyle w:val="714"/>
        <w:tabs>
          <w:tab w:val="right" w:pos="10456" w:leader="dot"/>
        </w:tabs>
        <w:rPr>
          <w:rFonts w:asciiTheme="minorHAnsi" w:hAnsiTheme="minorHAnsi" w:eastAsiaTheme="minorEastAsia" w:cstheme="minorBidi"/>
        </w:rPr>
      </w:pPr>
      <w:r>
        <w:fldChar w:fldCharType="begin"/>
      </w:r>
      <w:r>
        <w:instrText xml:space="preserve"> HYPERLINK \l "_Toc228349850" </w:instrText>
      </w:r>
      <w:r>
        <w:fldChar w:fldCharType="separate"/>
      </w:r>
      <w:r>
        <w:rPr>
          <w:rStyle w:val="721"/>
          <w:rFonts w:ascii="Times New Roman" w:hAnsi="Times New Roman"/>
          <w:bCs/>
        </w:rPr>
        <w:t xml:space="preserve">附件9 参加政府采购活动前 3 年内在经营活动中没有重大违法记录的书面声明</w:t>
      </w:r>
      <w:r>
        <w:tab/>
      </w:r>
      <w:r>
        <w:fldChar w:fldCharType="begin"/>
      </w:r>
      <w:r>
        <w:instrText xml:space="preserve"> PAGEREF _Toc228349850 \h </w:instrText>
      </w:r>
      <w:r>
        <w:fldChar w:fldCharType="separate"/>
      </w:r>
      <w:r>
        <w:t xml:space="preserve">47</w:t>
      </w:r>
      <w:r>
        <w:fldChar w:fldCharType="end"/>
      </w:r>
      <w:r>
        <w:fldChar w:fldCharType="end"/>
      </w:r>
      <w:r/>
    </w:p>
    <w:p>
      <w:pPr>
        <w:pStyle w:val="714"/>
        <w:tabs>
          <w:tab w:val="right" w:pos="10456" w:leader="dot"/>
        </w:tabs>
        <w:rPr>
          <w:rFonts w:asciiTheme="minorHAnsi" w:hAnsiTheme="minorHAnsi" w:eastAsiaTheme="minorEastAsia" w:cstheme="minorBidi"/>
        </w:rPr>
      </w:pPr>
      <w:r>
        <w:fldChar w:fldCharType="begin"/>
      </w:r>
      <w:r>
        <w:instrText xml:space="preserve"> HYPERLINK \l "_Toc228349851" </w:instrText>
      </w:r>
      <w:r>
        <w:fldChar w:fldCharType="separate"/>
      </w:r>
      <w:r>
        <w:rPr>
          <w:rStyle w:val="721"/>
          <w:rFonts w:ascii="Times New Roman" w:hAnsi="Times New Roman"/>
          <w:bCs/>
        </w:rPr>
        <w:t xml:space="preserve">附件10 法人授权书</w:t>
      </w:r>
      <w:r>
        <w:tab/>
      </w:r>
      <w:r>
        <w:fldChar w:fldCharType="begin"/>
      </w:r>
      <w:r>
        <w:instrText xml:space="preserve"> PAGEREF _Toc228349851 \h </w:instrText>
      </w:r>
      <w:r>
        <w:fldChar w:fldCharType="separate"/>
      </w:r>
      <w:r>
        <w:t xml:space="preserve">48</w:t>
      </w:r>
      <w:r>
        <w:fldChar w:fldCharType="end"/>
      </w:r>
      <w:r>
        <w:fldChar w:fldCharType="end"/>
      </w:r>
      <w:r/>
    </w:p>
    <w:p>
      <w:pPr>
        <w:pStyle w:val="714"/>
        <w:tabs>
          <w:tab w:val="right" w:pos="10456" w:leader="dot"/>
        </w:tabs>
        <w:rPr>
          <w:rFonts w:asciiTheme="minorHAnsi" w:hAnsiTheme="minorHAnsi" w:eastAsiaTheme="minorEastAsia" w:cstheme="minorBidi"/>
        </w:rPr>
      </w:pPr>
      <w:r>
        <w:fldChar w:fldCharType="begin"/>
      </w:r>
      <w:r>
        <w:instrText xml:space="preserve"> HYPERLINK \l "_Toc228349852" </w:instrText>
      </w:r>
      <w:r>
        <w:fldChar w:fldCharType="separate"/>
      </w:r>
      <w:r>
        <w:rPr>
          <w:rStyle w:val="721"/>
          <w:rFonts w:ascii="Times New Roman" w:hAnsi="Times New Roman"/>
          <w:bCs/>
        </w:rPr>
        <w:t xml:space="preserve">附件11 中小企业声明函</w:t>
      </w:r>
      <w:r>
        <w:tab/>
      </w:r>
      <w:r>
        <w:fldChar w:fldCharType="begin"/>
      </w:r>
      <w:r>
        <w:instrText xml:space="preserve"> PAGEREF _Toc228349852 \h </w:instrText>
      </w:r>
      <w:r>
        <w:fldChar w:fldCharType="separate"/>
      </w:r>
      <w:r>
        <w:t xml:space="preserve">49</w:t>
      </w:r>
      <w:r>
        <w:fldChar w:fldCharType="end"/>
      </w:r>
      <w:r>
        <w:fldChar w:fldCharType="end"/>
      </w:r>
      <w:r/>
    </w:p>
    <w:p>
      <w:pPr>
        <w:pStyle w:val="714"/>
        <w:tabs>
          <w:tab w:val="right" w:pos="10456" w:leader="dot"/>
        </w:tabs>
        <w:rPr>
          <w:rFonts w:asciiTheme="minorHAnsi" w:hAnsiTheme="minorHAnsi" w:eastAsiaTheme="minorEastAsia" w:cstheme="minorBidi"/>
        </w:rPr>
      </w:pPr>
      <w:r>
        <w:fldChar w:fldCharType="begin"/>
      </w:r>
      <w:r>
        <w:instrText xml:space="preserve"> HYPERLINK \l "_Toc228349853" </w:instrText>
      </w:r>
      <w:r>
        <w:fldChar w:fldCharType="separate"/>
      </w:r>
      <w:r>
        <w:rPr>
          <w:rStyle w:val="721"/>
          <w:rFonts w:ascii="Times New Roman" w:hAnsi="Times New Roman"/>
          <w:bCs/>
        </w:rPr>
        <w:t xml:space="preserve">附件12 残疾人福利性单位声明函</w:t>
      </w:r>
      <w:r>
        <w:tab/>
      </w:r>
      <w:r>
        <w:fldChar w:fldCharType="begin"/>
      </w:r>
      <w:r>
        <w:instrText xml:space="preserve"> PAGEREF _Toc228349853 \h </w:instrText>
      </w:r>
      <w:r>
        <w:fldChar w:fldCharType="separate"/>
      </w:r>
      <w:r>
        <w:t xml:space="preserve">50</w:t>
      </w:r>
      <w:r>
        <w:fldChar w:fldCharType="end"/>
      </w:r>
      <w:r>
        <w:fldChar w:fldCharType="end"/>
      </w:r>
      <w:r/>
    </w:p>
    <w:p>
      <w:pPr>
        <w:pStyle w:val="714"/>
        <w:tabs>
          <w:tab w:val="right" w:pos="10456" w:leader="dot"/>
        </w:tabs>
        <w:rPr>
          <w:rFonts w:asciiTheme="minorHAnsi" w:hAnsiTheme="minorHAnsi" w:eastAsiaTheme="minorEastAsia" w:cstheme="minorBidi"/>
        </w:rPr>
      </w:pPr>
      <w:r>
        <w:fldChar w:fldCharType="begin"/>
      </w:r>
      <w:r>
        <w:instrText xml:space="preserve"> HYPERLINK \l "_Toc228349854" </w:instrText>
      </w:r>
      <w:r>
        <w:fldChar w:fldCharType="separate"/>
      </w:r>
      <w:r>
        <w:rPr>
          <w:rStyle w:val="721"/>
          <w:rFonts w:ascii="Times New Roman" w:hAnsi="Times New Roman"/>
          <w:bCs/>
        </w:rPr>
        <w:t xml:space="preserve">附件13 投标函</w:t>
      </w:r>
      <w:r>
        <w:tab/>
      </w:r>
      <w:r>
        <w:fldChar w:fldCharType="begin"/>
      </w:r>
      <w:r>
        <w:instrText xml:space="preserve"> PAGEREF _Toc228349854 \h </w:instrText>
      </w:r>
      <w:r>
        <w:fldChar w:fldCharType="separate"/>
      </w:r>
      <w:r>
        <w:t xml:space="preserve">51</w:t>
      </w:r>
      <w:r>
        <w:fldChar w:fldCharType="end"/>
      </w:r>
      <w:r>
        <w:fldChar w:fldCharType="end"/>
      </w:r>
      <w:r/>
    </w:p>
    <w:p>
      <w:pPr>
        <w:pStyle w:val="714"/>
        <w:tabs>
          <w:tab w:val="right" w:pos="10456" w:leader="dot"/>
        </w:tabs>
        <w:rPr>
          <w:rFonts w:asciiTheme="minorHAnsi" w:hAnsiTheme="minorHAnsi" w:eastAsiaTheme="minorEastAsia" w:cstheme="minorBidi"/>
        </w:rPr>
      </w:pPr>
      <w:r>
        <w:fldChar w:fldCharType="begin"/>
      </w:r>
      <w:r>
        <w:instrText xml:space="preserve"> HYPERLINK \l "_Toc228349855" </w:instrText>
      </w:r>
      <w:r>
        <w:fldChar w:fldCharType="separate"/>
      </w:r>
      <w:r>
        <w:rPr>
          <w:rStyle w:val="721"/>
          <w:rFonts w:ascii="Times New Roman" w:hAnsi="Times New Roman"/>
          <w:bCs/>
        </w:rPr>
        <w:t xml:space="preserve">附件14 实质性要求响应及偏离表</w:t>
      </w:r>
      <w:r>
        <w:tab/>
      </w:r>
      <w:r>
        <w:fldChar w:fldCharType="begin"/>
      </w:r>
      <w:r>
        <w:instrText xml:space="preserve"> PAGEREF _Toc228349855 \h </w:instrText>
      </w:r>
      <w:r>
        <w:fldChar w:fldCharType="separate"/>
      </w:r>
      <w:r>
        <w:t xml:space="preserve">52</w:t>
      </w:r>
      <w:r>
        <w:fldChar w:fldCharType="end"/>
      </w:r>
      <w:r>
        <w:fldChar w:fldCharType="end"/>
      </w:r>
      <w:r/>
    </w:p>
    <w:p>
      <w:pPr>
        <w:pStyle w:val="714"/>
        <w:tabs>
          <w:tab w:val="right" w:pos="10456" w:leader="dot"/>
        </w:tabs>
        <w:rPr>
          <w:rFonts w:asciiTheme="minorHAnsi" w:hAnsiTheme="minorHAnsi" w:eastAsiaTheme="minorEastAsia" w:cstheme="minorBidi"/>
        </w:rPr>
      </w:pPr>
      <w:r>
        <w:fldChar w:fldCharType="begin"/>
      </w:r>
      <w:r>
        <w:instrText xml:space="preserve"> HYPERLINK \l "_Toc228349856" </w:instrText>
      </w:r>
      <w:r>
        <w:fldChar w:fldCharType="separate"/>
      </w:r>
      <w:r>
        <w:rPr>
          <w:rStyle w:val="721"/>
          <w:rFonts w:ascii="Times New Roman" w:hAnsi="Times New Roman"/>
          <w:bCs/>
        </w:rPr>
        <w:t xml:space="preserve">附件15 承 诺 函</w:t>
      </w:r>
      <w:r>
        <w:tab/>
      </w:r>
      <w:r>
        <w:fldChar w:fldCharType="begin"/>
      </w:r>
      <w:r>
        <w:instrText xml:space="preserve"> PAGEREF _Toc228349856 \h </w:instrText>
      </w:r>
      <w:r>
        <w:fldChar w:fldCharType="separate"/>
      </w:r>
      <w:r>
        <w:t xml:space="preserve">54</w:t>
      </w:r>
      <w:r>
        <w:fldChar w:fldCharType="end"/>
      </w:r>
      <w:r>
        <w:fldChar w:fldCharType="end"/>
      </w:r>
      <w:r/>
    </w:p>
    <w:p>
      <w:pPr>
        <w:pStyle w:val="714"/>
        <w:tabs>
          <w:tab w:val="right" w:pos="10456" w:leader="dot"/>
        </w:tabs>
        <w:rPr>
          <w:rFonts w:asciiTheme="minorHAnsi" w:hAnsiTheme="minorHAnsi" w:eastAsiaTheme="minorEastAsia" w:cstheme="minorBidi"/>
        </w:rPr>
      </w:pPr>
      <w:r>
        <w:fldChar w:fldCharType="begin"/>
      </w:r>
      <w:r>
        <w:instrText xml:space="preserve"> HYPERLINK \l "_Toc228349857" </w:instrText>
      </w:r>
      <w:r>
        <w:fldChar w:fldCharType="separate"/>
      </w:r>
      <w:r>
        <w:rPr>
          <w:rStyle w:val="721"/>
          <w:rFonts w:ascii="Times New Roman" w:hAnsi="Times New Roman"/>
          <w:bCs/>
        </w:rPr>
        <w:t xml:space="preserve">附件16 企业关联信息证明材料</w:t>
      </w:r>
      <w:r>
        <w:tab/>
      </w:r>
      <w:r>
        <w:fldChar w:fldCharType="begin"/>
      </w:r>
      <w:r>
        <w:instrText xml:space="preserve"> PAGEREF _Toc228349857 \h </w:instrText>
      </w:r>
      <w:r>
        <w:fldChar w:fldCharType="separate"/>
      </w:r>
      <w:r>
        <w:t xml:space="preserve">55</w:t>
      </w:r>
      <w:r>
        <w:fldChar w:fldCharType="end"/>
      </w:r>
      <w:r>
        <w:fldChar w:fldCharType="end"/>
      </w:r>
      <w:r/>
    </w:p>
    <w:p>
      <w:pPr>
        <w:pStyle w:val="714"/>
        <w:tabs>
          <w:tab w:val="right" w:pos="10456" w:leader="dot"/>
        </w:tabs>
        <w:rPr>
          <w:rFonts w:asciiTheme="minorHAnsi" w:hAnsiTheme="minorHAnsi" w:eastAsiaTheme="minorEastAsia" w:cstheme="minorBidi"/>
        </w:rPr>
      </w:pPr>
      <w:r>
        <w:fldChar w:fldCharType="begin"/>
      </w:r>
      <w:r>
        <w:instrText xml:space="preserve"> HYPERLINK \l "_Toc228349858" </w:instrText>
      </w:r>
      <w:r>
        <w:fldChar w:fldCharType="separate"/>
      </w:r>
      <w:r>
        <w:rPr>
          <w:rStyle w:val="721"/>
          <w:rFonts w:ascii="Times New Roman" w:hAnsi="Times New Roman"/>
          <w:bCs/>
        </w:rPr>
        <w:t xml:space="preserve">附件17 校内用车年度考核评分表</w:t>
      </w:r>
      <w:r>
        <w:tab/>
      </w:r>
      <w:r>
        <w:fldChar w:fldCharType="begin"/>
      </w:r>
      <w:r>
        <w:instrText xml:space="preserve"> PAGEREF _Toc228349858 \h </w:instrText>
      </w:r>
      <w:r>
        <w:fldChar w:fldCharType="separate"/>
      </w:r>
      <w:r>
        <w:t xml:space="preserve">56</w:t>
      </w:r>
      <w:r>
        <w:fldChar w:fldCharType="end"/>
      </w:r>
      <w:r>
        <w:fldChar w:fldCharType="end"/>
      </w:r>
      <w:r/>
    </w:p>
    <w:p>
      <w:pPr>
        <w:jc w:val="left"/>
        <w:spacing w:line="440" w:lineRule="exact"/>
        <w:rPr>
          <w:rFonts w:ascii="Times New Roman" w:hAnsi="Times New Roman"/>
          <w:caps/>
          <w:color w:val="000000" w:themeColor="text1"/>
          <w:sz w:val="24"/>
          <w:szCs w:val="24"/>
          <w14:textFill>
            <w14:solidFill>
              <w14:schemeClr w14:val="tx1"/>
            </w14:solidFill>
          </w14:textFill>
        </w:rPr>
      </w:pPr>
      <w:r>
        <w:rPr>
          <w:rFonts w:ascii="Times New Roman" w:hAnsi="Times New Roman"/>
          <w:caps/>
          <w:color w:val="000000" w:themeColor="text1"/>
          <w:szCs w:val="24"/>
          <w14:textFill>
            <w14:solidFill>
              <w14:schemeClr w14:val="tx1"/>
            </w14:solidFill>
          </w14:textFill>
        </w:rPr>
        <w:fldChar w:fldCharType="end"/>
      </w:r>
      <w:r/>
    </w:p>
    <w:p>
      <w:pPr>
        <w:jc w:val="left"/>
        <w:widowControl/>
        <w:rPr>
          <w:rFonts w:ascii="Times New Roman" w:hAnsi="Times New Roman"/>
          <w:caps/>
          <w:color w:val="000000" w:themeColor="text1"/>
          <w:sz w:val="24"/>
          <w:szCs w:val="24"/>
          <w14:textFill>
            <w14:solidFill>
              <w14:schemeClr w14:val="tx1"/>
            </w14:solidFill>
          </w14:textFill>
        </w:rPr>
      </w:pPr>
      <w:r>
        <w:rPr>
          <w:rFonts w:ascii="Times New Roman" w:hAnsi="Times New Roman"/>
          <w:caps/>
          <w:color w:val="000000" w:themeColor="text1"/>
          <w:sz w:val="24"/>
          <w:szCs w:val="24"/>
          <w14:textFill>
            <w14:solidFill>
              <w14:schemeClr w14:val="tx1"/>
            </w14:solidFill>
          </w14:textFill>
        </w:rPr>
        <w:br w:type="page" w:clear="all"/>
      </w:r>
      <w:r/>
    </w:p>
    <w:p>
      <w:pPr>
        <w:ind w:firstLine="880"/>
        <w:jc w:val="center"/>
        <w:keepNext/>
        <w:rPr>
          <w:rFonts w:ascii="黑体" w:hAnsi="Times New Roman" w:eastAsia="黑体"/>
          <w:bCs/>
          <w:color w:val="000000" w:themeColor="text1"/>
          <w:sz w:val="44"/>
          <w:szCs w:val="44"/>
          <w14:textFill>
            <w14:solidFill>
              <w14:schemeClr w14:val="tx1"/>
            </w14:solidFill>
          </w14:textFill>
        </w:rPr>
        <w:outlineLvl w:val="0"/>
      </w:pPr>
      <w:r/>
      <w:bookmarkStart w:id="6" w:name="_Toc228349819"/>
      <w:r>
        <w:rPr>
          <w:rFonts w:hint="eastAsia" w:ascii="黑体" w:hAnsi="Times New Roman" w:eastAsia="黑体"/>
          <w:color w:val="000000" w:themeColor="text1"/>
          <w:sz w:val="44"/>
          <w:szCs w:val="44"/>
          <w14:textFill>
            <w14:solidFill>
              <w14:schemeClr w14:val="tx1"/>
            </w14:solidFill>
          </w14:textFill>
        </w:rPr>
        <w:t xml:space="preserve">第一章  </w:t>
      </w:r>
      <w:bookmarkEnd w:id="0"/>
      <w:r>
        <w:rPr>
          <w:rFonts w:hint="eastAsia" w:ascii="黑体" w:hAnsi="Times New Roman" w:eastAsia="黑体"/>
          <w:color w:val="000000" w:themeColor="text1"/>
          <w:sz w:val="44"/>
          <w:szCs w:val="44"/>
          <w14:textFill>
            <w14:solidFill>
              <w14:schemeClr w14:val="tx1"/>
            </w14:solidFill>
          </w14:textFill>
        </w:rPr>
        <w:t xml:space="preserve">投标邀请</w:t>
      </w:r>
      <w:bookmarkEnd w:id="6"/>
      <w:r/>
      <w:r/>
    </w:p>
    <w:p>
      <w:pPr>
        <w:ind w:firstLine="480"/>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受苏州工学院的委托，苏州新一造价师价格事务所有限公司就苏州工学院社会车辆租赁服务(</w:t>
      </w:r>
      <w:r>
        <w:rPr>
          <w:rFonts w:hint="eastAsia" w:ascii="Times New Roman" w:hAnsi="Times New Roman"/>
          <w:color w:val="000000" w:themeColor="text1"/>
          <w:sz w:val="24"/>
          <w:szCs w:val="24"/>
          <w:lang w:eastAsia="zh-CN"/>
          <w14:textFill>
            <w14:solidFill>
              <w14:schemeClr w14:val="tx1"/>
            </w14:solidFill>
          </w14:textFill>
        </w:rPr>
        <w:t xml:space="preserve">JSZC-320581-SZXY-G2026-0012</w:t>
      </w:r>
      <w:r>
        <w:rPr>
          <w:rFonts w:hint="eastAsia" w:ascii="宋体" w:hAnsi="宋体"/>
          <w:color w:val="000000" w:themeColor="text1"/>
          <w:sz w:val="24"/>
          <w:szCs w:val="24"/>
          <w14:textFill>
            <w14:solidFill>
              <w14:schemeClr w14:val="tx1"/>
            </w14:solidFill>
          </w14:textFill>
        </w:rPr>
        <w:t xml:space="preserve">)项目进行公开招标采购，欢迎符合条件的供应商投标。</w:t>
      </w:r>
      <w:r/>
    </w:p>
    <w:p>
      <w:pPr>
        <w:ind w:firstLine="480"/>
        <w:spacing w:line="460" w:lineRule="exact"/>
        <w:rPr>
          <w:rFonts w:ascii="宋体" w:hAnsi="宋体"/>
          <w:color w:val="000000" w:themeColor="text1"/>
          <w:sz w:val="24"/>
          <w:szCs w:val="24"/>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14:textFill>
            <w14:solidFill>
              <w14:schemeClr w14:val="tx1"/>
            </w14:solidFill>
          </w14:textFill>
        </w:rPr>
        <w:t xml:space="preserve">项目概况</w:t>
      </w:r>
      <w:r/>
    </w:p>
    <w:p>
      <w:pPr>
        <w:ind w:firstLine="480"/>
        <w:spacing w:line="460" w:lineRule="exact"/>
        <w:rPr>
          <w:rFonts w:ascii="宋体" w:hAnsi="宋体"/>
          <w:color w:val="000000" w:themeColor="text1"/>
          <w:sz w:val="24"/>
          <w:szCs w:val="24"/>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u w:val="single"/>
          <w14:textFill>
            <w14:solidFill>
              <w14:schemeClr w14:val="tx1"/>
            </w14:solidFill>
          </w14:textFill>
        </w:rPr>
        <w:t xml:space="preserve">苏州工学院社会车辆租赁服务</w:t>
      </w:r>
      <w:r>
        <w:rPr>
          <w:rFonts w:hint="eastAsia" w:ascii="Times New Roman" w:hAnsi="Times New Roman"/>
          <w:color w:val="000000" w:themeColor="text1"/>
          <w:sz w:val="24"/>
          <w:szCs w:val="24"/>
          <w14:textFill>
            <w14:solidFill>
              <w14:schemeClr w14:val="tx1"/>
            </w14:solidFill>
          </w14:textFill>
        </w:rPr>
        <w:t xml:space="preserve">招标项目的潜在投标人应在“</w:t>
      </w:r>
      <w:r>
        <w:rPr>
          <w:rFonts w:ascii="Times New Roman" w:hAnsi="Times New Roman"/>
          <w:color w:val="000000" w:themeColor="text1"/>
          <w:sz w:val="24"/>
          <w:szCs w:val="24"/>
          <w14:textFill>
            <w14:solidFill>
              <w14:schemeClr w14:val="tx1"/>
            </w14:solidFill>
          </w14:textFill>
        </w:rPr>
        <w:t xml:space="preserve">苏采云政府采购一体化平台</w:t>
      </w:r>
      <w:r>
        <w:rPr>
          <w:rFonts w:hint="eastAsia" w:ascii="Times New Roman" w:hAnsi="Times New Roman"/>
          <w:color w:val="000000" w:themeColor="text1"/>
          <w:sz w:val="24"/>
          <w:szCs w:val="24"/>
          <w14:textFill>
            <w14:solidFill>
              <w14:schemeClr w14:val="tx1"/>
            </w14:solidFill>
          </w14:textFill>
        </w:rPr>
        <w:t xml:space="preserve">”</w:t>
      </w:r>
      <w:r>
        <w:rPr>
          <w:rFonts w:ascii="Times New Roman" w:hAnsi="Times New Roman"/>
          <w:color w:val="000000" w:themeColor="text1"/>
          <w:sz w:val="24"/>
          <w:szCs w:val="24"/>
          <w14:textFill>
            <w14:solidFill>
              <w14:schemeClr w14:val="tx1"/>
            </w14:solidFill>
          </w14:textFill>
        </w:rPr>
        <w:t xml:space="preserve">中参与项目</w:t>
      </w:r>
      <w:r>
        <w:rPr>
          <w:rFonts w:hint="eastAsia" w:ascii="Times New Roman" w:hAnsi="Times New Roman"/>
          <w:color w:val="000000" w:themeColor="text1"/>
          <w:sz w:val="24"/>
          <w:szCs w:val="24"/>
          <w14:textFill>
            <w14:solidFill>
              <w14:schemeClr w14:val="tx1"/>
            </w14:solidFill>
          </w14:textFill>
        </w:rPr>
        <w:t xml:space="preserve">获取招标文件，并于</w:t>
      </w:r>
      <w:r>
        <w:rPr>
          <w:rFonts w:ascii="Times New Roman" w:hAnsi="Times New Roman"/>
          <w:color w:val="000000" w:themeColor="text1"/>
          <w:sz w:val="24"/>
          <w:szCs w:val="21"/>
          <w:u w:val="single"/>
          <w14:textFill>
            <w14:solidFill>
              <w14:schemeClr w14:val="tx1"/>
            </w14:solidFill>
          </w14:textFill>
        </w:rPr>
        <w:t xml:space="preserve">202</w:t>
      </w:r>
      <w:r>
        <w:rPr>
          <w:rFonts w:hint="eastAsia" w:ascii="Times New Roman" w:hAnsi="Times New Roman"/>
          <w:color w:val="000000" w:themeColor="text1"/>
          <w:sz w:val="24"/>
          <w:szCs w:val="21"/>
          <w:u w:val="single"/>
          <w14:textFill>
            <w14:solidFill>
              <w14:schemeClr w14:val="tx1"/>
            </w14:solidFill>
          </w14:textFill>
        </w:rPr>
        <w:t xml:space="preserve">6</w:t>
      </w:r>
      <w:r>
        <w:rPr>
          <w:rFonts w:ascii="Times New Roman" w:hAnsi="Times New Roman"/>
          <w:color w:val="000000" w:themeColor="text1"/>
          <w:sz w:val="24"/>
          <w:szCs w:val="21"/>
          <w:u w:val="single"/>
          <w14:textFill>
            <w14:solidFill>
              <w14:schemeClr w14:val="tx1"/>
            </w14:solidFill>
          </w14:textFill>
        </w:rPr>
        <w:t xml:space="preserve">年</w:t>
      </w:r>
      <w:r>
        <w:rPr>
          <w:rFonts w:hint="eastAsia" w:ascii="Times New Roman" w:hAnsi="Times New Roman"/>
          <w:color w:val="000000" w:themeColor="text1"/>
          <w:sz w:val="24"/>
          <w:szCs w:val="21"/>
          <w:u w:val="single"/>
          <w14:textFill>
            <w14:solidFill>
              <w14:schemeClr w14:val="tx1"/>
            </w14:solidFill>
          </w14:textFill>
        </w:rPr>
        <w:t xml:space="preserve">5</w:t>
      </w:r>
      <w:r>
        <w:rPr>
          <w:rFonts w:ascii="Times New Roman" w:hAnsi="Times New Roman"/>
          <w:color w:val="000000" w:themeColor="text1"/>
          <w:sz w:val="24"/>
          <w:szCs w:val="21"/>
          <w:u w:val="single"/>
          <w14:textFill>
            <w14:solidFill>
              <w14:schemeClr w14:val="tx1"/>
            </w14:solidFill>
          </w14:textFill>
        </w:rPr>
        <w:t xml:space="preserve">月</w:t>
      </w:r>
      <w:r>
        <w:rPr>
          <w:rFonts w:hint="eastAsia" w:ascii="Times New Roman" w:hAnsi="Times New Roman"/>
          <w:color w:val="000000" w:themeColor="text1"/>
          <w:sz w:val="24"/>
          <w:szCs w:val="21"/>
          <w:u w:val="single"/>
          <w14:textFill>
            <w14:solidFill>
              <w14:schemeClr w14:val="tx1"/>
            </w14:solidFill>
          </w14:textFill>
        </w:rPr>
        <w:t xml:space="preserve">20</w:t>
      </w:r>
      <w:r>
        <w:rPr>
          <w:rFonts w:ascii="Times New Roman" w:hAnsi="Times New Roman"/>
          <w:color w:val="000000" w:themeColor="text1"/>
          <w:sz w:val="24"/>
          <w:szCs w:val="21"/>
          <w:u w:val="single"/>
          <w14:textFill>
            <w14:solidFill>
              <w14:schemeClr w14:val="tx1"/>
            </w14:solidFill>
          </w14:textFill>
        </w:rPr>
        <w:t xml:space="preserve">日</w:t>
      </w:r>
      <w:r>
        <w:rPr>
          <w:rFonts w:hint="eastAsia" w:ascii="Times New Roman" w:hAnsi="Times New Roman"/>
          <w:color w:val="000000" w:themeColor="text1"/>
          <w:sz w:val="24"/>
          <w:szCs w:val="21"/>
          <w:u w:val="single"/>
          <w14:textFill>
            <w14:solidFill>
              <w14:schemeClr w14:val="tx1"/>
            </w14:solidFill>
          </w14:textFill>
        </w:rPr>
        <w:t xml:space="preserve">13点00分（北京时间）</w:t>
      </w:r>
      <w:r>
        <w:rPr>
          <w:rFonts w:hint="eastAsia" w:hAnsi="宋体"/>
          <w:color w:val="000000" w:themeColor="text1"/>
          <w:sz w:val="24"/>
          <w:szCs w:val="21"/>
          <w14:textFill>
            <w14:solidFill>
              <w14:schemeClr w14:val="tx1"/>
            </w14:solidFill>
          </w14:textFill>
        </w:rPr>
        <w:t xml:space="preserve">前按规定提交投标</w:t>
      </w:r>
      <w:r>
        <w:rPr>
          <w:rFonts w:hAnsi="宋体"/>
          <w:color w:val="000000" w:themeColor="text1"/>
          <w:sz w:val="24"/>
          <w:szCs w:val="21"/>
          <w14:textFill>
            <w14:solidFill>
              <w14:schemeClr w14:val="tx1"/>
            </w14:solidFill>
          </w14:textFill>
        </w:rPr>
        <w:t xml:space="preserve">文件</w:t>
      </w:r>
      <w:r>
        <w:rPr>
          <w:rFonts w:hint="eastAsia" w:hAnsi="宋体"/>
          <w:color w:val="000000" w:themeColor="text1"/>
          <w:sz w:val="24"/>
          <w:szCs w:val="21"/>
          <w14:textFill>
            <w14:solidFill>
              <w14:schemeClr w14:val="tx1"/>
            </w14:solidFill>
          </w14:textFill>
        </w:rPr>
        <w:t xml:space="preserve">。</w:t>
      </w:r>
      <w:r/>
    </w:p>
    <w:p>
      <w:pPr>
        <w:ind w:firstLine="482"/>
        <w:keepLines/>
        <w:keepNext/>
        <w:spacing w:line="440" w:lineRule="exact"/>
        <w:rPr>
          <w:rFonts w:ascii="Times New Roman" w:hAnsi="Times New Roman"/>
          <w:b/>
          <w:bCs/>
          <w:color w:val="000000" w:themeColor="text1"/>
          <w:sz w:val="24"/>
          <w:szCs w:val="24"/>
          <w14:textFill>
            <w14:solidFill>
              <w14:schemeClr w14:val="tx1"/>
            </w14:solidFill>
          </w14:textFill>
        </w:rPr>
        <w:outlineLvl w:val="1"/>
      </w:pPr>
      <w:r/>
      <w:bookmarkStart w:id="7" w:name="_Toc35393790"/>
      <w:r/>
      <w:bookmarkStart w:id="8" w:name="_Toc38985263"/>
      <w:r/>
      <w:bookmarkStart w:id="9" w:name="_Toc35393621"/>
      <w:r/>
      <w:bookmarkStart w:id="10" w:name="_Toc228349820"/>
      <w:r/>
      <w:bookmarkStart w:id="11" w:name="_Toc28359002"/>
      <w:r/>
      <w:bookmarkStart w:id="12" w:name="_Toc28359079"/>
      <w:r/>
      <w:bookmarkStart w:id="13" w:name="_Hlk24379207"/>
      <w:r>
        <w:rPr>
          <w:rFonts w:ascii="Times New Roman" w:hAnsi="Times New Roman"/>
          <w:b/>
          <w:bCs/>
          <w:color w:val="000000" w:themeColor="text1"/>
          <w:sz w:val="24"/>
          <w:szCs w:val="24"/>
          <w14:textFill>
            <w14:solidFill>
              <w14:schemeClr w14:val="tx1"/>
            </w14:solidFill>
          </w14:textFill>
        </w:rPr>
        <w:t xml:space="preserve">一、项目基本情况</w:t>
      </w:r>
      <w:bookmarkEnd w:id="7"/>
      <w:r/>
      <w:bookmarkEnd w:id="8"/>
      <w:r/>
      <w:bookmarkEnd w:id="9"/>
      <w:r/>
      <w:bookmarkEnd w:id="10"/>
      <w:r/>
      <w:bookmarkEnd w:id="11"/>
      <w:r/>
      <w:bookmarkEnd w:id="12"/>
      <w:r/>
      <w:r/>
    </w:p>
    <w:p>
      <w:pPr>
        <w:ind w:firstLine="480"/>
        <w:spacing w:line="440" w:lineRule="exact"/>
        <w:rPr>
          <w:rFonts w:hint="eastAsia" w:ascii="Times New Roman" w:hAnsi="Times New Roman" w:eastAsia="宋体"/>
          <w:color w:val="000000" w:themeColor="text1"/>
          <w:sz w:val="24"/>
          <w:szCs w:val="24"/>
          <w:lang w:eastAsia="zh-CN"/>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项目编号：</w:t>
      </w:r>
      <w:bookmarkStart w:id="14" w:name="OLE_LINK15"/>
      <w:r>
        <w:rPr>
          <w:rFonts w:hint="eastAsia" w:ascii="Times New Roman" w:hAnsi="Times New Roman"/>
          <w:color w:val="000000" w:themeColor="text1"/>
          <w:sz w:val="24"/>
          <w:szCs w:val="24"/>
          <w:lang w:eastAsia="zh-CN"/>
          <w14:textFill>
            <w14:solidFill>
              <w14:schemeClr w14:val="tx1"/>
            </w14:solidFill>
          </w14:textFill>
        </w:rPr>
        <w:t xml:space="preserve">JSZC-320581-SZXY-G2026-0012</w:t>
      </w:r>
      <w:bookmarkEnd w:id="14"/>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项目名称：</w:t>
      </w:r>
      <w:bookmarkStart w:id="15" w:name="OLE_LINK3"/>
      <w:r>
        <w:rPr>
          <w:rFonts w:hint="eastAsia" w:ascii="Times New Roman" w:hAnsi="Times New Roman"/>
          <w:color w:val="000000" w:themeColor="text1"/>
          <w:sz w:val="24"/>
          <w:szCs w:val="24"/>
          <w14:textFill>
            <w14:solidFill>
              <w14:schemeClr w14:val="tx1"/>
            </w14:solidFill>
          </w14:textFill>
        </w:rPr>
        <w:t xml:space="preserve">苏州工学院社会车辆租赁服务</w:t>
      </w:r>
      <w:bookmarkEnd w:id="15"/>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采购方式：公开招标</w:t>
      </w:r>
      <w:bookmarkEnd w:id="13"/>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预算金额：</w:t>
      </w:r>
      <w:r>
        <w:rPr>
          <w:rFonts w:hint="eastAsia" w:ascii="Times New Roman" w:hAnsi="Times New Roman"/>
          <w:color w:val="000000" w:themeColor="text1"/>
          <w:sz w:val="24"/>
          <w:szCs w:val="24"/>
          <w14:textFill>
            <w14:solidFill>
              <w14:schemeClr w14:val="tx1"/>
            </w14:solidFill>
          </w14:textFill>
        </w:rPr>
        <w:t xml:space="preserve">总预算</w:t>
      </w:r>
      <w:r>
        <w:rPr>
          <w:rFonts w:ascii="Times New Roman" w:hAnsi="Times New Roman"/>
          <w:color w:val="000000" w:themeColor="text1"/>
          <w:sz w:val="24"/>
          <w:szCs w:val="24"/>
          <w14:textFill>
            <w14:solidFill>
              <w14:schemeClr w14:val="tx1"/>
            </w14:solidFill>
          </w14:textFill>
        </w:rPr>
        <w:t xml:space="preserve">人民币</w:t>
      </w:r>
      <w:r>
        <w:rPr>
          <w:rFonts w:hint="eastAsia" w:ascii="Times New Roman" w:hAnsi="Times New Roman"/>
          <w:color w:val="000000" w:themeColor="text1"/>
          <w:sz w:val="24"/>
          <w:szCs w:val="24"/>
          <w14:textFill>
            <w14:solidFill>
              <w14:schemeClr w14:val="tx1"/>
            </w14:solidFill>
          </w14:textFill>
        </w:rPr>
        <w:t xml:space="preserve">7000000.00元。</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sz w:val="24"/>
          <w:szCs w:val="24"/>
          <w:lang w:bidi="ar"/>
        </w:rPr>
        <w:t xml:space="preserve">本项目共二个标段，</w:t>
      </w:r>
      <w:bookmarkStart w:id="16" w:name="OLE_LINK9"/>
      <w:r/>
      <w:bookmarkStart w:id="17" w:name="OLE_LINK2"/>
      <w:r>
        <w:rPr>
          <w:rFonts w:hint="eastAsia" w:ascii="Times New Roman" w:hAnsi="Times New Roman"/>
          <w:sz w:val="24"/>
          <w:szCs w:val="24"/>
          <w:lang w:bidi="ar"/>
        </w:rPr>
        <w:t xml:space="preserve">标段一总预算人民币3500000.00元；</w:t>
      </w:r>
      <w:bookmarkEnd w:id="16"/>
      <w:r/>
      <w:bookmarkEnd w:id="17"/>
      <w:r>
        <w:rPr>
          <w:rFonts w:hint="eastAsia" w:ascii="Times New Roman" w:hAnsi="Times New Roman"/>
          <w:sz w:val="24"/>
          <w:szCs w:val="24"/>
          <w:lang w:bidi="ar"/>
        </w:rPr>
        <w:t xml:space="preserve">标段二总预算人民币3500000.00元。</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最高限价（如有）：无</w:t>
      </w:r>
      <w:r/>
    </w:p>
    <w:p>
      <w:pPr>
        <w:ind w:firstLine="480"/>
        <w:spacing w:line="460" w:lineRule="exact"/>
        <w:rPr>
          <w:rFonts w:ascii="Times New Roman" w:hAnsi="Times New Roman"/>
          <w:color w:val="000000" w:themeColor="text1"/>
          <w:sz w:val="24"/>
          <w:szCs w:val="24"/>
          <w14:textFill>
            <w14:solidFill>
              <w14:schemeClr w14:val="tx1"/>
            </w14:solidFill>
          </w14:textFill>
        </w:rPr>
      </w:pPr>
      <w:r/>
      <w:bookmarkStart w:id="18" w:name="_Toc28359080"/>
      <w:r/>
      <w:bookmarkStart w:id="19" w:name="_Toc28359003"/>
      <w:r/>
      <w:bookmarkStart w:id="20" w:name="_Toc38985264"/>
      <w:r/>
      <w:bookmarkStart w:id="21" w:name="_Toc35393791"/>
      <w:r/>
      <w:bookmarkStart w:id="22" w:name="_Toc35393622"/>
      <w:r>
        <w:rPr>
          <w:rFonts w:ascii="Times New Roman" w:hAnsi="Times New Roman"/>
          <w:color w:val="000000" w:themeColor="text1"/>
          <w:sz w:val="24"/>
          <w:szCs w:val="24"/>
          <w14:textFill>
            <w14:solidFill>
              <w14:schemeClr w14:val="tx1"/>
            </w14:solidFill>
          </w14:textFill>
        </w:rPr>
        <w:t xml:space="preserve">采购需求概况：</w:t>
      </w:r>
      <w:r>
        <w:rPr>
          <w:rFonts w:hint="eastAsia" w:ascii="宋体" w:hAnsi="宋体"/>
          <w:color w:val="000000" w:themeColor="text1"/>
          <w:sz w:val="24"/>
          <w:szCs w:val="24"/>
          <w14:textFill>
            <w14:solidFill>
              <w14:schemeClr w14:val="tx1"/>
            </w14:solidFill>
          </w14:textFill>
        </w:rPr>
        <w:t xml:space="preserve">苏州工学院所需的</w:t>
      </w:r>
      <w:r>
        <w:rPr>
          <w:rFonts w:hint="eastAsia" w:ascii="Times New Roman" w:hAnsi="Times New Roman"/>
          <w:color w:val="000000" w:themeColor="text1"/>
          <w:sz w:val="24"/>
          <w:szCs w:val="24"/>
          <w14:textFill>
            <w14:solidFill>
              <w14:schemeClr w14:val="tx1"/>
            </w14:solidFill>
          </w14:textFill>
        </w:rPr>
        <w:t xml:space="preserve">社会车辆租赁服务。</w:t>
      </w:r>
      <w:r>
        <w:rPr>
          <w:rFonts w:ascii="Times New Roman" w:hAnsi="Times New Roman"/>
          <w:color w:val="000000" w:themeColor="text1"/>
          <w:sz w:val="24"/>
          <w:szCs w:val="24"/>
          <w14:textFill>
            <w14:solidFill>
              <w14:schemeClr w14:val="tx1"/>
            </w14:solidFill>
          </w14:textFill>
        </w:rPr>
        <w:t xml:space="preserve">预算金额：</w:t>
      </w:r>
      <w:r>
        <w:rPr>
          <w:rFonts w:hint="eastAsia" w:ascii="Times New Roman" w:hAnsi="Times New Roman"/>
          <w:color w:val="000000" w:themeColor="text1"/>
          <w:sz w:val="24"/>
          <w:szCs w:val="24"/>
          <w14:textFill>
            <w14:solidFill>
              <w14:schemeClr w14:val="tx1"/>
            </w14:solidFill>
          </w14:textFill>
        </w:rPr>
        <w:t xml:space="preserve">总预算</w:t>
      </w:r>
      <w:r>
        <w:rPr>
          <w:rFonts w:ascii="Times New Roman" w:hAnsi="Times New Roman"/>
          <w:color w:val="000000" w:themeColor="text1"/>
          <w:sz w:val="24"/>
          <w:szCs w:val="24"/>
          <w14:textFill>
            <w14:solidFill>
              <w14:schemeClr w14:val="tx1"/>
            </w14:solidFill>
          </w14:textFill>
        </w:rPr>
        <w:t xml:space="preserve">人民币</w:t>
      </w:r>
      <w:r>
        <w:rPr>
          <w:rFonts w:hint="eastAsia" w:ascii="Times New Roman" w:hAnsi="Times New Roman"/>
          <w:color w:val="000000" w:themeColor="text1"/>
          <w:sz w:val="24"/>
          <w:szCs w:val="24"/>
          <w14:textFill>
            <w14:solidFill>
              <w14:schemeClr w14:val="tx1"/>
            </w14:solidFill>
          </w14:textFill>
        </w:rPr>
        <w:t xml:space="preserve">7000000.00元，每年预算人民币3500000.00元；</w:t>
      </w:r>
      <w:r>
        <w:rPr>
          <w:rFonts w:hint="eastAsia" w:ascii="Times New Roman" w:hAnsi="Times New Roman"/>
          <w:sz w:val="24"/>
          <w:szCs w:val="24"/>
          <w:lang w:bidi="ar"/>
        </w:rPr>
        <w:t xml:space="preserve">本项目共二个标段，标段一总预算人民币3500000.00元，每年预算人民币1750000</w:t>
      </w:r>
      <w:r>
        <w:rPr>
          <w:rFonts w:ascii="Times New Roman" w:hAnsi="Times New Roman"/>
          <w:sz w:val="24"/>
          <w:szCs w:val="24"/>
          <w:lang w:bidi="ar"/>
        </w:rPr>
        <w:t xml:space="preserve">.00</w:t>
      </w:r>
      <w:r>
        <w:rPr>
          <w:rFonts w:hint="eastAsia" w:ascii="Times New Roman" w:hAnsi="Times New Roman"/>
          <w:sz w:val="24"/>
          <w:szCs w:val="24"/>
          <w:lang w:bidi="ar"/>
        </w:rPr>
        <w:t xml:space="preserve">元；标段二总预算人民币3500000.00元，每年预算人民币1750000</w:t>
      </w:r>
      <w:r>
        <w:rPr>
          <w:rFonts w:ascii="Times New Roman" w:hAnsi="Times New Roman"/>
          <w:sz w:val="24"/>
          <w:szCs w:val="24"/>
          <w:lang w:bidi="ar"/>
        </w:rPr>
        <w:t xml:space="preserve">.00</w:t>
      </w:r>
      <w:r>
        <w:rPr>
          <w:rFonts w:hint="eastAsia" w:ascii="Times New Roman" w:hAnsi="Times New Roman"/>
          <w:sz w:val="24"/>
          <w:szCs w:val="24"/>
          <w:lang w:bidi="ar"/>
        </w:rPr>
        <w:t xml:space="preserve">元。</w:t>
      </w:r>
      <w:r/>
    </w:p>
    <w:p>
      <w:pPr>
        <w:ind w:firstLine="480"/>
        <w:spacing w:line="460" w:lineRule="exact"/>
        <w:tabs>
          <w:tab w:val="left" w:pos="7350" w:leader="none"/>
        </w:tabs>
        <w:rPr>
          <w:rFonts w:ascii="Times New Roman" w:hAnsi="Times New Roman"/>
          <w:color w:val="000000" w:themeColor="text1"/>
          <w:sz w:val="24"/>
          <w:szCs w:val="24"/>
          <w14:textFill>
            <w14:solidFill>
              <w14:schemeClr w14:val="tx1"/>
            </w14:solidFill>
          </w14:textFill>
        </w:rPr>
      </w:pPr>
      <w:r>
        <w:rPr>
          <w:rFonts w:hint="eastAsia" w:ascii="Times New Roman" w:hAnsi="Times New Roman"/>
          <w:sz w:val="24"/>
          <w:szCs w:val="24"/>
          <w:lang w:bidi="ar"/>
        </w:rPr>
        <w:t xml:space="preserve">标段</w:t>
      </w:r>
      <w:r>
        <w:rPr>
          <w:rFonts w:hint="eastAsia" w:ascii="Times New Roman" w:hAnsi="Times New Roman"/>
          <w:color w:val="000000" w:themeColor="text1"/>
          <w:sz w:val="24"/>
          <w:szCs w:val="24"/>
          <w14:textFill>
            <w14:solidFill>
              <w14:schemeClr w14:val="tx1"/>
            </w14:solidFill>
          </w14:textFill>
        </w:rPr>
        <w:t xml:space="preserve">一：苏州工学院社会车辆租赁服务1。</w:t>
      </w:r>
      <w:r/>
    </w:p>
    <w:p>
      <w:pPr>
        <w:ind w:firstLine="480"/>
        <w:spacing w:line="460" w:lineRule="exact"/>
        <w:tabs>
          <w:tab w:val="left" w:pos="7350" w:leader="none"/>
        </w:tabs>
        <w:rPr>
          <w:rFonts w:ascii="Times New Roman" w:hAnsi="Times New Roman"/>
          <w:color w:val="000000" w:themeColor="text1"/>
          <w:sz w:val="24"/>
          <w:szCs w:val="24"/>
          <w14:textFill>
            <w14:solidFill>
              <w14:schemeClr w14:val="tx1"/>
            </w14:solidFill>
          </w14:textFill>
        </w:rPr>
      </w:pPr>
      <w:r>
        <w:rPr>
          <w:rFonts w:hint="eastAsia" w:ascii="Times New Roman" w:hAnsi="Times New Roman"/>
          <w:sz w:val="24"/>
          <w:szCs w:val="24"/>
          <w:lang w:bidi="ar"/>
        </w:rPr>
        <w:t xml:space="preserve">标段</w:t>
      </w:r>
      <w:r>
        <w:rPr>
          <w:rFonts w:hint="eastAsia" w:ascii="Times New Roman" w:hAnsi="Times New Roman"/>
          <w:color w:val="000000" w:themeColor="text1"/>
          <w:sz w:val="24"/>
          <w:szCs w:val="24"/>
          <w14:textFill>
            <w14:solidFill>
              <w14:schemeClr w14:val="tx1"/>
            </w14:solidFill>
          </w14:textFill>
        </w:rPr>
        <w:t xml:space="preserve">二：苏州工学院社会车辆租赁服务2。</w:t>
      </w:r>
      <w:r/>
    </w:p>
    <w:p>
      <w:pPr>
        <w:ind w:firstLine="480"/>
        <w:spacing w:line="460" w:lineRule="exact"/>
        <w:tabs>
          <w:tab w:val="left" w:pos="7350" w:leader="none"/>
        </w:tabs>
        <w:rPr>
          <w:rFonts w:ascii="Times New Roman" w:hAnsi="Times New Roman"/>
          <w:color w:val="000000" w:themeColor="text1"/>
          <w:sz w:val="24"/>
          <w:szCs w:val="24"/>
          <w14:textFill>
            <w14:solidFill>
              <w14:schemeClr w14:val="tx1"/>
            </w14:solidFill>
          </w14:textFill>
        </w:rPr>
      </w:pPr>
      <w:r>
        <w:rPr>
          <w:rFonts w:hint="eastAsia" w:ascii="Times New Roman" w:hAnsi="Times New Roman" w:eastAsia="宋体" w:cs="Times New Roman"/>
          <w:bCs/>
          <w:sz w:val="24"/>
          <w:highlight w:val="none"/>
        </w:rPr>
        <w:t xml:space="preserve">本项目共</w:t>
      </w:r>
      <w:r>
        <w:rPr>
          <w:rFonts w:hint="eastAsia" w:ascii="Times New Roman" w:hAnsi="Times New Roman" w:cs="Times New Roman"/>
          <w:bCs/>
          <w:sz w:val="24"/>
          <w:highlight w:val="none"/>
          <w:lang w:val="en-US" w:eastAsia="zh-CN"/>
        </w:rPr>
        <w:t xml:space="preserve">二</w:t>
      </w:r>
      <w:r>
        <w:rPr>
          <w:rFonts w:hint="eastAsia" w:ascii="Times New Roman" w:hAnsi="Times New Roman" w:eastAsia="宋体" w:cs="Times New Roman"/>
          <w:bCs/>
          <w:sz w:val="24"/>
          <w:highlight w:val="none"/>
        </w:rPr>
        <w:t xml:space="preserve">个</w:t>
      </w:r>
      <w:r>
        <w:rPr>
          <w:rFonts w:hint="eastAsia" w:ascii="Times New Roman" w:hAnsi="Times New Roman" w:eastAsia="宋体" w:cs="Times New Roman"/>
          <w:bCs/>
          <w:sz w:val="24"/>
          <w:highlight w:val="none"/>
          <w:lang w:eastAsia="zh-CN"/>
        </w:rPr>
        <w:t xml:space="preserve">标段</w:t>
      </w:r>
      <w:r>
        <w:rPr>
          <w:rFonts w:hint="eastAsia" w:ascii="Times New Roman" w:hAnsi="Times New Roman" w:eastAsia="宋体" w:cs="Times New Roman"/>
          <w:bCs/>
          <w:sz w:val="24"/>
          <w:highlight w:val="none"/>
        </w:rPr>
        <w:t xml:space="preserve">，投标人可以投其中一个</w:t>
      </w:r>
      <w:r>
        <w:rPr>
          <w:rFonts w:hint="eastAsia" w:ascii="Times New Roman" w:hAnsi="Times New Roman" w:eastAsia="宋体" w:cs="Times New Roman"/>
          <w:bCs/>
          <w:sz w:val="24"/>
          <w:highlight w:val="none"/>
          <w:lang w:eastAsia="zh-CN"/>
        </w:rPr>
        <w:t xml:space="preserve">标段</w:t>
      </w:r>
      <w:r>
        <w:rPr>
          <w:rFonts w:hint="eastAsia" w:ascii="Times New Roman" w:hAnsi="Times New Roman" w:eastAsia="宋体" w:cs="Times New Roman"/>
          <w:bCs/>
          <w:sz w:val="24"/>
          <w:highlight w:val="none"/>
        </w:rPr>
        <w:t xml:space="preserve">，也可以投全部</w:t>
      </w:r>
      <w:r>
        <w:rPr>
          <w:rFonts w:hint="eastAsia" w:ascii="Times New Roman" w:hAnsi="Times New Roman" w:eastAsia="宋体" w:cs="Times New Roman"/>
          <w:bCs/>
          <w:sz w:val="24"/>
          <w:highlight w:val="none"/>
          <w:lang w:eastAsia="zh-CN"/>
        </w:rPr>
        <w:t xml:space="preserve">标段</w:t>
      </w:r>
      <w:r>
        <w:rPr>
          <w:rFonts w:hint="eastAsia" w:ascii="Times New Roman" w:hAnsi="Times New Roman" w:eastAsia="宋体" w:cs="Times New Roman"/>
          <w:bCs/>
          <w:sz w:val="24"/>
          <w:highlight w:val="none"/>
        </w:rPr>
        <w:t xml:space="preserve">，</w:t>
      </w:r>
      <w:r>
        <w:rPr>
          <w:rFonts w:hint="eastAsia" w:ascii="Times New Roman" w:hAnsi="Times New Roman" w:cs="Times New Roman"/>
          <w:bCs/>
          <w:sz w:val="24"/>
          <w:highlight w:val="none"/>
          <w:lang w:val="en-US" w:eastAsia="zh-CN"/>
        </w:rPr>
        <w:t xml:space="preserve">二</w:t>
      </w:r>
      <w:r>
        <w:rPr>
          <w:rFonts w:hint="eastAsia" w:ascii="Times New Roman" w:hAnsi="Times New Roman" w:eastAsia="宋体" w:cs="Times New Roman"/>
          <w:bCs/>
          <w:sz w:val="24"/>
          <w:highlight w:val="none"/>
        </w:rPr>
        <w:t xml:space="preserve">个</w:t>
      </w:r>
      <w:r>
        <w:rPr>
          <w:rFonts w:hint="eastAsia" w:ascii="Times New Roman" w:hAnsi="Times New Roman" w:eastAsia="宋体" w:cs="Times New Roman"/>
          <w:bCs/>
          <w:sz w:val="24"/>
          <w:highlight w:val="none"/>
          <w:lang w:eastAsia="zh-CN"/>
        </w:rPr>
        <w:t xml:space="preserve">标段</w:t>
      </w:r>
      <w:r>
        <w:rPr>
          <w:rFonts w:hint="eastAsia" w:ascii="Times New Roman" w:hAnsi="Times New Roman" w:cs="Times New Roman"/>
          <w:bCs/>
          <w:sz w:val="24"/>
          <w:highlight w:val="none"/>
          <w:lang w:val="en-US" w:eastAsia="zh-CN"/>
        </w:rPr>
        <w:t xml:space="preserve">不</w:t>
      </w:r>
      <w:r>
        <w:rPr>
          <w:rFonts w:hint="eastAsia" w:ascii="Times New Roman" w:hAnsi="Times New Roman" w:eastAsia="宋体" w:cs="Times New Roman"/>
          <w:bCs/>
          <w:sz w:val="24"/>
          <w:highlight w:val="none"/>
        </w:rPr>
        <w:t xml:space="preserve">可兼中</w:t>
      </w:r>
      <w:r>
        <w:rPr>
          <w:rFonts w:hint="eastAsia" w:ascii="Times New Roman" w:hAnsi="Times New Roman"/>
          <w:bCs/>
          <w:sz w:val="24"/>
          <w:lang w:bidi="ar"/>
        </w:rPr>
        <w:t xml:space="preserve">。</w:t>
      </w:r>
      <w:r/>
    </w:p>
    <w:p>
      <w:pPr>
        <w:ind w:firstLine="480"/>
        <w:spacing w:line="460" w:lineRule="exact"/>
        <w:tabs>
          <w:tab w:val="left" w:pos="7350" w:leader="none"/>
        </w:tabs>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合同履行期限：</w:t>
      </w:r>
      <w:r>
        <w:rPr>
          <w:rFonts w:hint="eastAsia" w:ascii="Times New Roman" w:hAnsi="Times New Roman"/>
          <w:color w:val="000000" w:themeColor="text1"/>
          <w:sz w:val="24"/>
          <w:szCs w:val="24"/>
          <w14:textFill>
            <w14:solidFill>
              <w14:schemeClr w14:val="tx1"/>
            </w14:solidFill>
          </w14:textFill>
        </w:rPr>
        <w:t xml:space="preserve">自签订合同之日起2年</w:t>
      </w:r>
      <w:r>
        <w:rPr>
          <w:rFonts w:hint="eastAsia" w:ascii="宋体" w:hAnsi="宋体"/>
          <w:color w:val="000000"/>
          <w:sz w:val="24"/>
          <w:szCs w:val="24"/>
          <w:lang w:bidi="ar"/>
        </w:rPr>
        <w:t xml:space="preserve">。</w:t>
      </w:r>
      <w:r/>
    </w:p>
    <w:p>
      <w:pPr>
        <w:ind w:firstLine="480"/>
        <w:spacing w:line="46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本项目不接受联合体投标。</w:t>
      </w:r>
      <w:r/>
    </w:p>
    <w:p>
      <w:pPr>
        <w:ind w:firstLine="482"/>
        <w:keepLines/>
        <w:keepNext/>
        <w:spacing w:line="440" w:lineRule="exact"/>
        <w:rPr>
          <w:rFonts w:ascii="Times New Roman" w:hAnsi="Times New Roman"/>
          <w:b/>
          <w:bCs/>
          <w:color w:val="000000" w:themeColor="text1"/>
          <w:sz w:val="24"/>
          <w:szCs w:val="24"/>
          <w14:textFill>
            <w14:solidFill>
              <w14:schemeClr w14:val="tx1"/>
            </w14:solidFill>
          </w14:textFill>
        </w:rPr>
        <w:outlineLvl w:val="1"/>
      </w:pPr>
      <w:r/>
      <w:bookmarkStart w:id="23" w:name="_Toc228349821"/>
      <w:r>
        <w:rPr>
          <w:rFonts w:hint="eastAsia" w:ascii="Times New Roman" w:hAnsi="Times New Roman"/>
          <w:b/>
          <w:bCs/>
          <w:color w:val="000000" w:themeColor="text1"/>
          <w:sz w:val="24"/>
          <w:szCs w:val="24"/>
          <w14:textFill>
            <w14:solidFill>
              <w14:schemeClr w14:val="tx1"/>
            </w14:solidFill>
          </w14:textFill>
        </w:rPr>
        <w:t xml:space="preserve">二、申请人的资格要求</w:t>
      </w:r>
      <w:bookmarkEnd w:id="18"/>
      <w:r/>
      <w:bookmarkEnd w:id="19"/>
      <w:r/>
      <w:bookmarkEnd w:id="20"/>
      <w:r/>
      <w:bookmarkEnd w:id="21"/>
      <w:r/>
      <w:bookmarkEnd w:id="22"/>
      <w:r/>
      <w:bookmarkEnd w:id="23"/>
      <w:r/>
      <w:bookmarkStart w:id="24" w:name="_Toc38985265"/>
      <w:r/>
      <w:bookmarkStart w:id="25" w:name="_Toc35393792"/>
      <w:r/>
      <w:bookmarkStart w:id="26" w:name="_Toc35393623"/>
      <w:r/>
      <w:bookmarkStart w:id="27" w:name="_Toc28359004"/>
      <w:r/>
      <w:bookmarkStart w:id="28" w:name="_Toc28359081"/>
      <w:r/>
      <w:r/>
    </w:p>
    <w:p>
      <w:pPr>
        <w:ind w:firstLine="480"/>
        <w:keepLines/>
        <w:keepNext/>
        <w:spacing w:line="440" w:lineRule="exact"/>
        <w:rPr>
          <w:rFonts w:ascii="宋体" w:hAnsi="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（一）满足《中华人民共和国政府采购法》第二十二条规定；</w:t>
      </w:r>
      <w:r/>
    </w:p>
    <w:p>
      <w:pPr>
        <w:ind w:firstLine="720"/>
        <w:jc w:val="left"/>
        <w:spacing w:line="440" w:lineRule="exact"/>
        <w:shd w:val="clear" w:color="auto" w:fill="ffffff"/>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1、具有独立承担民事责任的能力。</w:t>
      </w:r>
      <w:r/>
    </w:p>
    <w:p>
      <w:pPr>
        <w:ind w:firstLine="720"/>
        <w:jc w:val="left"/>
        <w:spacing w:line="440" w:lineRule="exact"/>
        <w:shd w:val="clear" w:color="auto" w:fill="ffffff"/>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2、具有良好的商业信誉和健全的财务会计制度。</w:t>
      </w:r>
      <w:r/>
    </w:p>
    <w:p>
      <w:pPr>
        <w:ind w:firstLine="720"/>
        <w:jc w:val="left"/>
        <w:spacing w:line="440" w:lineRule="exact"/>
        <w:shd w:val="clear" w:color="auto" w:fill="ffffff"/>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3、具有履行合同所必需的设备和专业技术能力。</w:t>
      </w:r>
      <w:r/>
    </w:p>
    <w:p>
      <w:pPr>
        <w:ind w:firstLine="720"/>
        <w:jc w:val="left"/>
        <w:spacing w:line="440" w:lineRule="exact"/>
        <w:shd w:val="clear" w:color="auto" w:fill="ffffff"/>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4、有依法缴纳税收和社会保障资金的良好记录。</w:t>
      </w:r>
      <w:r/>
    </w:p>
    <w:p>
      <w:pPr>
        <w:ind w:firstLine="720"/>
        <w:jc w:val="left"/>
        <w:spacing w:line="440" w:lineRule="exact"/>
        <w:shd w:val="clear" w:color="auto" w:fill="ffffff"/>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5、参加政府采购活动前三年内，在经营活动中没有重大违法记录。</w:t>
      </w:r>
      <w:r/>
    </w:p>
    <w:p>
      <w:pPr>
        <w:ind w:firstLine="720"/>
        <w:jc w:val="left"/>
        <w:spacing w:line="440" w:lineRule="exact"/>
        <w:shd w:val="clear" w:color="auto" w:fill="ffffff"/>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6、单位负责人为同一人或者存在直接控股、管理关系的不同供应商，不得参加同一合同项下的采购活动。</w:t>
      </w:r>
      <w:r/>
    </w:p>
    <w:p>
      <w:pPr>
        <w:ind w:firstLine="480"/>
        <w:jc w:val="left"/>
        <w:spacing w:line="440" w:lineRule="exact"/>
        <w:shd w:val="clear" w:color="auto" w:fill="ffffff"/>
        <w:widowControl/>
        <w:rPr>
          <w:rFonts w:ascii="宋体" w:hAnsi="宋体" w:cs="宋体"/>
          <w:b/>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（二）落实政府采购政策需满足的资格要求：</w:t>
      </w:r>
      <w:r>
        <w:rPr>
          <w:rFonts w:hint="eastAsia" w:ascii="宋体" w:hAnsi="宋体" w:cs="宋体"/>
          <w:b/>
          <w:color w:val="000000" w:themeColor="text1"/>
          <w:sz w:val="24"/>
          <w:szCs w:val="24"/>
          <w14:textFill>
            <w14:solidFill>
              <w14:schemeClr w14:val="tx1"/>
            </w14:solidFill>
          </w14:textFill>
        </w:rPr>
        <w:t xml:space="preserve">本项目不专门面向中小企业采购，所属行业为交通运输业。</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（三）本项目的特定资格要求：</w:t>
      </w:r>
      <w:r>
        <w:rPr>
          <w:rFonts w:hint="eastAsia" w:ascii="宋体" w:hAnsi="宋体" w:cs="宋体"/>
          <w:color w:val="000000"/>
          <w:sz w:val="24"/>
          <w:szCs w:val="24"/>
          <w:lang w:bidi="ar"/>
        </w:rPr>
        <w:t xml:space="preserve">具有合法有效的《道路运输经营许可证》（经营范围包括城市公共交通、省际包车客运），且道路运输经营许可证经营范围须包含汽车租赁或包车客运或旅游客运</w:t>
      </w:r>
      <w:r>
        <w:rPr>
          <w:rFonts w:hint="eastAsia" w:ascii="宋体" w:hAnsi="宋体" w:cs="宋体"/>
          <w:color w:val="000000" w:themeColor="text1"/>
          <w:sz w:val="24"/>
          <w:szCs w:val="24"/>
          <w14:textFill>
            <w14:solidFill>
              <w14:schemeClr w14:val="tx1"/>
            </w14:solidFill>
          </w14:textFill>
        </w:rPr>
        <w:t xml:space="preserve">。</w:t>
      </w:r>
      <w:r/>
    </w:p>
    <w:p>
      <w:pPr>
        <w:ind w:firstLine="482"/>
        <w:keepLines/>
        <w:keepNext/>
        <w:spacing w:line="440" w:lineRule="exact"/>
        <w:rPr>
          <w:rFonts w:ascii="Times New Roman" w:hAnsi="Times New Roman"/>
          <w:b/>
          <w:bCs/>
          <w:color w:val="000000" w:themeColor="text1"/>
          <w:sz w:val="24"/>
          <w:szCs w:val="24"/>
          <w14:textFill>
            <w14:solidFill>
              <w14:schemeClr w14:val="tx1"/>
            </w14:solidFill>
          </w14:textFill>
        </w:rPr>
        <w:outlineLvl w:val="1"/>
      </w:pPr>
      <w:r/>
      <w:bookmarkStart w:id="29" w:name="_Toc228349822"/>
      <w:r>
        <w:rPr>
          <w:rFonts w:hint="eastAsia" w:ascii="Times New Roman" w:hAnsi="Times New Roman"/>
          <w:b/>
          <w:bCs/>
          <w:color w:val="000000" w:themeColor="text1"/>
          <w:sz w:val="24"/>
          <w:szCs w:val="24"/>
          <w14:textFill>
            <w14:solidFill>
              <w14:schemeClr w14:val="tx1"/>
            </w14:solidFill>
          </w14:textFill>
        </w:rPr>
        <w:t xml:space="preserve">三、获取招标文件</w:t>
      </w:r>
      <w:bookmarkEnd w:id="24"/>
      <w:r/>
      <w:bookmarkEnd w:id="25"/>
      <w:r/>
      <w:bookmarkEnd w:id="26"/>
      <w:r/>
      <w:bookmarkEnd w:id="27"/>
      <w:r/>
      <w:bookmarkEnd w:id="28"/>
      <w:r/>
      <w:bookmarkEnd w:id="29"/>
      <w:r/>
      <w:bookmarkStart w:id="30" w:name="_Toc38985266"/>
      <w:r/>
      <w:bookmarkStart w:id="31" w:name="_Toc35393793"/>
      <w:r/>
      <w:bookmarkStart w:id="32" w:name="_Toc28359005"/>
      <w:r/>
      <w:bookmarkStart w:id="33" w:name="_Toc28359082"/>
      <w:r/>
      <w:bookmarkStart w:id="34" w:name="_Toc35393624"/>
      <w:r/>
      <w:r/>
    </w:p>
    <w:p>
      <w:pPr>
        <w:ind w:firstLine="480"/>
        <w:keepLines/>
        <w:keepNext/>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时间：自招标文件公告发布之日起5个工作日 </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地点：苏采云政府采购一体化平台 </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方式：在“苏采云政府采购一体化平台”自行免费下载采购文件 </w:t>
      </w:r>
      <w:r/>
    </w:p>
    <w:p>
      <w:pPr>
        <w:ind w:firstLine="480"/>
        <w:spacing w:line="460" w:lineRule="exact"/>
        <w:rPr>
          <w:rFonts w:ascii="Times New Roman" w:hAnsi="Times New Roman"/>
          <w:sz w:val="24"/>
          <w:szCs w:val="24"/>
          <w:u w:val="single"/>
        </w:rPr>
      </w:pPr>
      <w:r>
        <w:rPr>
          <w:rFonts w:hint="eastAsia" w:ascii="宋体" w:hAnsi="宋体" w:cs="宋体"/>
          <w:color w:val="000000" w:themeColor="text1"/>
          <w:sz w:val="24"/>
          <w:szCs w:val="24"/>
          <w14:textFill>
            <w14:solidFill>
              <w14:schemeClr w14:val="tx1"/>
            </w14:solidFill>
          </w14:textFill>
        </w:rPr>
        <w:t xml:space="preserve">售价：0.00元</w:t>
      </w:r>
      <w:r/>
    </w:p>
    <w:p>
      <w:pPr>
        <w:ind w:firstLine="482"/>
        <w:keepLines/>
        <w:keepNext/>
        <w:spacing w:line="440" w:lineRule="exact"/>
        <w:rPr>
          <w:rFonts w:ascii="Times New Roman" w:hAnsi="Times New Roman"/>
          <w:b/>
          <w:bCs/>
          <w:color w:val="000000" w:themeColor="text1"/>
          <w:sz w:val="24"/>
          <w:szCs w:val="24"/>
          <w14:textFill>
            <w14:solidFill>
              <w14:schemeClr w14:val="tx1"/>
            </w14:solidFill>
          </w14:textFill>
        </w:rPr>
        <w:outlineLvl w:val="1"/>
      </w:pPr>
      <w:r/>
      <w:bookmarkStart w:id="35" w:name="_Toc228349823"/>
      <w:r>
        <w:rPr>
          <w:rFonts w:hint="eastAsia" w:ascii="Times New Roman" w:hAnsi="Times New Roman"/>
          <w:b/>
          <w:bCs/>
          <w:color w:val="000000" w:themeColor="text1"/>
          <w:sz w:val="24"/>
          <w:szCs w:val="24"/>
          <w14:textFill>
            <w14:solidFill>
              <w14:schemeClr w14:val="tx1"/>
            </w14:solidFill>
          </w14:textFill>
        </w:rPr>
        <w:t xml:space="preserve">四、</w:t>
      </w:r>
      <w:bookmarkEnd w:id="30"/>
      <w:r/>
      <w:bookmarkEnd w:id="31"/>
      <w:r/>
      <w:bookmarkEnd w:id="32"/>
      <w:r/>
      <w:bookmarkEnd w:id="33"/>
      <w:r/>
      <w:bookmarkEnd w:id="34"/>
      <w:r>
        <w:rPr>
          <w:rFonts w:hint="eastAsia" w:ascii="Times New Roman" w:hAnsi="Times New Roman"/>
          <w:b/>
          <w:bCs/>
          <w:color w:val="000000" w:themeColor="text1"/>
          <w:sz w:val="24"/>
          <w:szCs w:val="24"/>
          <w14:textFill>
            <w14:solidFill>
              <w14:schemeClr w14:val="tx1"/>
            </w14:solidFill>
          </w14:textFill>
        </w:rPr>
        <w:t xml:space="preserve">提交投标文件截止时间、开标</w:t>
      </w:r>
      <w:r>
        <w:rPr>
          <w:rFonts w:ascii="Times New Roman" w:hAnsi="Times New Roman"/>
          <w:b/>
          <w:bCs/>
          <w:color w:val="000000" w:themeColor="text1"/>
          <w:sz w:val="24"/>
          <w:szCs w:val="24"/>
          <w14:textFill>
            <w14:solidFill>
              <w14:schemeClr w14:val="tx1"/>
            </w14:solidFill>
          </w14:textFill>
        </w:rPr>
        <w:t xml:space="preserve">时间和地点</w:t>
      </w:r>
      <w:bookmarkEnd w:id="35"/>
      <w:r/>
      <w:r/>
    </w:p>
    <w:p>
      <w:pPr>
        <w:ind w:firstLine="480"/>
        <w:spacing w:line="440" w:lineRule="exact"/>
        <w:rPr>
          <w:rFonts w:ascii="Times New Roman" w:hAnsi="Times New Roman"/>
          <w:color w:val="000000" w:themeColor="text1"/>
          <w:sz w:val="24"/>
          <w:szCs w:val="24"/>
          <w14:textFill>
            <w14:solidFill>
              <w14:schemeClr w14:val="tx1"/>
            </w14:solidFill>
          </w14:textFill>
        </w:rPr>
      </w:pPr>
      <w:r/>
      <w:bookmarkStart w:id="36" w:name="_Toc28359007"/>
      <w:r/>
      <w:bookmarkStart w:id="37" w:name="_Toc38985267"/>
      <w:r/>
      <w:bookmarkStart w:id="38" w:name="_Toc35393794"/>
      <w:r/>
      <w:bookmarkStart w:id="39" w:name="_Toc28359084"/>
      <w:r/>
      <w:bookmarkStart w:id="40" w:name="_Toc35393625"/>
      <w:r>
        <w:rPr>
          <w:rFonts w:hint="eastAsia" w:ascii="Times New Roman" w:hAnsi="Times New Roman"/>
          <w:color w:val="000000" w:themeColor="text1"/>
          <w:sz w:val="24"/>
          <w:szCs w:val="24"/>
          <w14:textFill>
            <w14:solidFill>
              <w14:schemeClr w14:val="tx1"/>
            </w14:solidFill>
          </w14:textFill>
        </w:rPr>
        <w:t xml:space="preserve">时间：2026-5-20     13:00（北京时间）</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地点：苏采云政府采购一体化平台开标大厅</w:t>
      </w:r>
      <w:r/>
    </w:p>
    <w:p>
      <w:pPr>
        <w:ind w:firstLine="482"/>
        <w:keepLines/>
        <w:keepNext/>
        <w:spacing w:line="440" w:lineRule="exact"/>
        <w:rPr>
          <w:rFonts w:ascii="Times New Roman" w:hAnsi="Times New Roman"/>
          <w:b/>
          <w:bCs/>
          <w:color w:val="000000" w:themeColor="text1"/>
          <w:sz w:val="24"/>
          <w:szCs w:val="24"/>
          <w14:textFill>
            <w14:solidFill>
              <w14:schemeClr w14:val="tx1"/>
            </w14:solidFill>
          </w14:textFill>
        </w:rPr>
        <w:outlineLvl w:val="1"/>
      </w:pPr>
      <w:r/>
      <w:bookmarkStart w:id="41" w:name="_Toc228349824"/>
      <w:r>
        <w:rPr>
          <w:rFonts w:hint="eastAsia" w:ascii="Times New Roman" w:hAnsi="Times New Roman"/>
          <w:b/>
          <w:bCs/>
          <w:color w:val="000000" w:themeColor="text1"/>
          <w:sz w:val="24"/>
          <w:szCs w:val="24"/>
          <w14:textFill>
            <w14:solidFill>
              <w14:schemeClr w14:val="tx1"/>
            </w14:solidFill>
          </w14:textFill>
        </w:rPr>
        <w:t xml:space="preserve">五、</w:t>
      </w:r>
      <w:bookmarkEnd w:id="36"/>
      <w:r/>
      <w:bookmarkEnd w:id="37"/>
      <w:r/>
      <w:bookmarkEnd w:id="38"/>
      <w:r/>
      <w:bookmarkEnd w:id="39"/>
      <w:r/>
      <w:bookmarkEnd w:id="40"/>
      <w:r>
        <w:rPr>
          <w:rFonts w:ascii="Times New Roman" w:hAnsi="Times New Roman"/>
          <w:b/>
          <w:bCs/>
          <w:color w:val="000000" w:themeColor="text1"/>
          <w:sz w:val="24"/>
          <w:szCs w:val="24"/>
          <w14:textFill>
            <w14:solidFill>
              <w14:schemeClr w14:val="tx1"/>
            </w14:solidFill>
          </w14:textFill>
        </w:rPr>
        <w:t xml:space="preserve">公告</w:t>
      </w:r>
      <w:r>
        <w:rPr>
          <w:rFonts w:hint="eastAsia" w:ascii="Times New Roman" w:hAnsi="Times New Roman"/>
          <w:b/>
          <w:bCs/>
          <w:color w:val="000000" w:themeColor="text1"/>
          <w:sz w:val="24"/>
          <w:szCs w:val="24"/>
          <w14:textFill>
            <w14:solidFill>
              <w14:schemeClr w14:val="tx1"/>
            </w14:solidFill>
          </w14:textFill>
        </w:rPr>
        <w:t xml:space="preserve">期限</w:t>
      </w:r>
      <w:bookmarkEnd w:id="41"/>
      <w:r/>
      <w:r/>
    </w:p>
    <w:p>
      <w:pPr>
        <w:ind w:firstLine="480"/>
        <w:spacing w:line="440" w:lineRule="exact"/>
        <w:rPr>
          <w:rFonts w:ascii="Times New Roman" w:hAnsi="Times New Roman"/>
          <w:color w:val="000000" w:themeColor="text1"/>
          <w:sz w:val="24"/>
          <w:szCs w:val="24"/>
          <w14:textFill>
            <w14:solidFill>
              <w14:schemeClr w14:val="tx1"/>
            </w14:solidFill>
          </w14:textFill>
        </w:rPr>
      </w:pPr>
      <w:r/>
      <w:bookmarkStart w:id="42" w:name="_Toc38985268"/>
      <w:r/>
      <w:bookmarkStart w:id="43" w:name="_Toc35393626"/>
      <w:r/>
      <w:bookmarkStart w:id="44" w:name="_Toc35393795"/>
      <w:r>
        <w:rPr>
          <w:rFonts w:hint="eastAsia" w:ascii="Times New Roman" w:hAnsi="Times New Roman"/>
          <w:color w:val="000000" w:themeColor="text1"/>
          <w:sz w:val="24"/>
          <w:szCs w:val="24"/>
          <w14:textFill>
            <w14:solidFill>
              <w14:schemeClr w14:val="tx1"/>
            </w14:solidFill>
          </w14:textFill>
        </w:rPr>
        <w:t xml:space="preserve">公告期限：自本公告发布之日起5个工作日。</w:t>
      </w:r>
      <w:r/>
    </w:p>
    <w:p>
      <w:pPr>
        <w:ind w:firstLine="482"/>
        <w:keepLines/>
        <w:keepNext/>
        <w:spacing w:line="440" w:lineRule="exact"/>
        <w:rPr>
          <w:rFonts w:ascii="Times New Roman" w:hAnsi="Times New Roman"/>
          <w:b/>
          <w:bCs/>
          <w:color w:val="000000" w:themeColor="text1"/>
          <w:sz w:val="24"/>
          <w:szCs w:val="24"/>
          <w14:textFill>
            <w14:solidFill>
              <w14:schemeClr w14:val="tx1"/>
            </w14:solidFill>
          </w14:textFill>
        </w:rPr>
        <w:outlineLvl w:val="1"/>
      </w:pPr>
      <w:r/>
      <w:bookmarkStart w:id="45" w:name="_Toc228349825"/>
      <w:r>
        <w:rPr>
          <w:rFonts w:hint="eastAsia" w:ascii="Times New Roman" w:hAnsi="Times New Roman"/>
          <w:b/>
          <w:bCs/>
          <w:color w:val="000000" w:themeColor="text1"/>
          <w:sz w:val="24"/>
          <w:szCs w:val="24"/>
          <w14:textFill>
            <w14:solidFill>
              <w14:schemeClr w14:val="tx1"/>
            </w14:solidFill>
          </w14:textFill>
        </w:rPr>
        <w:t xml:space="preserve">六、其他补充事宜</w:t>
      </w:r>
      <w:bookmarkEnd w:id="42"/>
      <w:r/>
      <w:bookmarkEnd w:id="43"/>
      <w:r/>
      <w:bookmarkEnd w:id="44"/>
      <w:r/>
      <w:bookmarkEnd w:id="45"/>
      <w:r/>
      <w:r/>
    </w:p>
    <w:p>
      <w:pPr>
        <w:ind w:firstLine="480"/>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rPr>
          <w:rFonts w:ascii="宋体" w:hAnsi="宋体"/>
          <w:color w:val="000000" w:themeColor="text1"/>
          <w:sz w:val="24"/>
          <w:szCs w:val="24"/>
          <w14:textFill>
            <w14:solidFill>
              <w14:schemeClr w14:val="tx1"/>
            </w14:solidFill>
          </w14:textFill>
        </w:rPr>
        <w:t xml:space="preserve">根据政府采购法及相关法规，将对供应商进行信用查询。供应商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单位负责人为同一人或者存在直接控股、管理关系的不同供应商，不得参加同一合同项下的政府采购活动。</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3、CA证书办理：根据省财政厅《关于更换全省政府采购交易系统C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http://jszfcg.jscz.gov.cn/jszc/login）点击“新CA办理指南”进行查阅，江苏省内各地区办理的“苏采云”系统下的政务CA证书全省通用。</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4、投标人在“苏采云”系统操作过程中如有疑问，请按以下方式联系：</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CA技术咨询电话：400-608-6099；电子签章技术咨询电话：15380932027、15371015030、13675197356、13675197221；系统使用指导与咨询电话：18261002950、0512-69820854、0519-86722802。</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5、有关本次采购的事项若存在变动或修改，敬请及时关注政府采购信息发布媒体上的更正（补充）公告</w:t>
      </w:r>
      <w:bookmarkStart w:id="46" w:name="_Hlk87882297"/>
      <w:r>
        <w:rPr>
          <w:rFonts w:hint="eastAsia" w:ascii="Times New Roman" w:hAnsi="Times New Roman"/>
          <w:color w:val="000000" w:themeColor="text1"/>
          <w:sz w:val="24"/>
          <w:szCs w:val="24"/>
          <w14:textFill>
            <w14:solidFill>
              <w14:schemeClr w14:val="tx1"/>
            </w14:solidFill>
          </w14:textFill>
        </w:rPr>
        <w:t xml:space="preserve">，并按规定获取相关信息内容。</w:t>
      </w:r>
      <w:bookmarkEnd w:id="46"/>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6、本次采购项目有关时间要求均以北京时间为标准，使用24小时制。</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7、本次招标不收取投标保证金。</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8、公告媒体：江苏政府采购网、苏州市政府采购网、苏州工学院招标网。</w:t>
      </w:r>
      <w:r/>
    </w:p>
    <w:p>
      <w:pPr>
        <w:ind w:firstLine="482"/>
        <w:keepLines/>
        <w:keepNext/>
        <w:spacing w:line="440" w:lineRule="exact"/>
        <w:rPr>
          <w:rFonts w:ascii="Times New Roman" w:hAnsi="Times New Roman"/>
          <w:b/>
          <w:bCs/>
          <w:color w:val="000000" w:themeColor="text1"/>
          <w:sz w:val="24"/>
          <w:szCs w:val="24"/>
          <w14:textFill>
            <w14:solidFill>
              <w14:schemeClr w14:val="tx1"/>
            </w14:solidFill>
          </w14:textFill>
        </w:rPr>
        <w:outlineLvl w:val="1"/>
      </w:pPr>
      <w:r/>
      <w:bookmarkStart w:id="47" w:name="_Toc38985269"/>
      <w:r/>
      <w:bookmarkStart w:id="48" w:name="_Toc35393796"/>
      <w:r/>
      <w:bookmarkStart w:id="49" w:name="_Toc35393627"/>
      <w:r/>
      <w:bookmarkStart w:id="50" w:name="_Toc28359085"/>
      <w:r/>
      <w:bookmarkStart w:id="51" w:name="_Toc28359008"/>
      <w:r/>
      <w:bookmarkStart w:id="52" w:name="_Toc228349826"/>
      <w:r>
        <w:rPr>
          <w:rFonts w:hint="eastAsia" w:ascii="Times New Roman" w:hAnsi="Times New Roman"/>
          <w:b/>
          <w:bCs/>
          <w:color w:val="000000" w:themeColor="text1"/>
          <w:sz w:val="24"/>
          <w:szCs w:val="24"/>
          <w14:textFill>
            <w14:solidFill>
              <w14:schemeClr w14:val="tx1"/>
            </w14:solidFill>
          </w14:textFill>
        </w:rPr>
        <w:t xml:space="preserve">七、本次招标联系</w:t>
      </w:r>
      <w:bookmarkEnd w:id="47"/>
      <w:r/>
      <w:bookmarkEnd w:id="48"/>
      <w:r/>
      <w:bookmarkEnd w:id="49"/>
      <w:r/>
      <w:bookmarkEnd w:id="50"/>
      <w:r/>
      <w:bookmarkEnd w:id="51"/>
      <w:r>
        <w:rPr>
          <w:rFonts w:hint="eastAsia" w:ascii="Times New Roman" w:hAnsi="Times New Roman"/>
          <w:b/>
          <w:bCs/>
          <w:color w:val="000000" w:themeColor="text1"/>
          <w:sz w:val="24"/>
          <w:szCs w:val="24"/>
          <w14:textFill>
            <w14:solidFill>
              <w14:schemeClr w14:val="tx1"/>
            </w14:solidFill>
          </w14:textFill>
        </w:rPr>
        <w:t xml:space="preserve">方式</w:t>
      </w:r>
      <w:bookmarkEnd w:id="52"/>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1、采购人信息</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单位名称：</w:t>
      </w:r>
      <w:bookmarkStart w:id="53" w:name="OLE_LINK4"/>
      <w:r>
        <w:rPr>
          <w:rFonts w:hint="eastAsia" w:ascii="宋体" w:hAnsi="宋体"/>
          <w:color w:val="000000" w:themeColor="text1"/>
          <w:sz w:val="24"/>
          <w:szCs w:val="24"/>
          <w14:textFill>
            <w14:solidFill>
              <w14:schemeClr w14:val="tx1"/>
            </w14:solidFill>
          </w14:textFill>
        </w:rPr>
        <w:t xml:space="preserve">苏州工学院</w:t>
      </w:r>
      <w:bookmarkEnd w:id="53"/>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单位地址：江苏省常熟市南三环路99号（东湖校区）</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联系人：</w:t>
      </w:r>
      <w:r>
        <w:rPr>
          <w:rFonts w:hint="eastAsia" w:ascii="宋体" w:hAnsi="宋体" w:cs="宋体"/>
          <w:bCs/>
          <w:sz w:val="24"/>
          <w:szCs w:val="24"/>
        </w:rPr>
        <w:t xml:space="preserve">岳老师</w:t>
      </w:r>
      <w:r/>
    </w:p>
    <w:p>
      <w:pPr>
        <w:ind w:firstLine="480"/>
        <w:spacing w:line="440" w:lineRule="exact"/>
        <w:rPr>
          <w:rFonts w:ascii="Times New Roman" w:hAnsi="Times New Roman"/>
          <w:color w:val="000000" w:themeColor="text1"/>
          <w:sz w:val="24"/>
          <w:szCs w:val="24"/>
          <w:highlight w:val="yellow"/>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联系方式：</w:t>
      </w:r>
      <w:bookmarkStart w:id="54" w:name="_Toc28359086"/>
      <w:r/>
      <w:bookmarkStart w:id="55" w:name="_Toc28359009"/>
      <w:r>
        <w:rPr>
          <w:rFonts w:hint="eastAsia" w:ascii="宋体" w:hAnsi="宋体" w:cs="宋体"/>
          <w:bCs/>
          <w:sz w:val="24"/>
          <w:szCs w:val="24"/>
        </w:rPr>
        <w:t xml:space="preserve">0512-52251113</w:t>
      </w:r>
      <w:bookmarkEnd w:id="54"/>
      <w:bookmarkEnd w:id="55"/>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2、采购代理机构信息</w:t>
      </w:r>
      <w:r/>
    </w:p>
    <w:p>
      <w:pPr>
        <w:ind w:firstLine="480"/>
        <w:spacing w:line="440" w:lineRule="exact"/>
        <w:rPr>
          <w:rFonts w:ascii="Times New Roman" w:hAnsi="Times New Roman"/>
          <w:color w:val="000000" w:themeColor="text1"/>
          <w:sz w:val="24"/>
          <w:szCs w:val="24"/>
          <w14:textFill>
            <w14:solidFill>
              <w14:schemeClr w14:val="tx1"/>
            </w14:solidFill>
          </w14:textFill>
        </w:rPr>
      </w:pPr>
      <w:r/>
      <w:bookmarkStart w:id="56" w:name="_Toc28359087"/>
      <w:r/>
      <w:bookmarkStart w:id="57" w:name="_Toc28359010"/>
      <w:r>
        <w:rPr>
          <w:rFonts w:hint="eastAsia" w:ascii="Times New Roman" w:hAnsi="Times New Roman"/>
          <w:color w:val="000000" w:themeColor="text1"/>
          <w:sz w:val="24"/>
          <w:szCs w:val="24"/>
          <w14:textFill>
            <w14:solidFill>
              <w14:schemeClr w14:val="tx1"/>
            </w14:solidFill>
          </w14:textFill>
        </w:rPr>
        <w:t xml:space="preserve">单位名称</w:t>
      </w:r>
      <w:r>
        <w:rPr>
          <w:rFonts w:ascii="Times New Roman" w:hAnsi="Times New Roman"/>
          <w:color w:val="000000" w:themeColor="text1"/>
          <w:sz w:val="24"/>
          <w:szCs w:val="24"/>
          <w14:textFill>
            <w14:solidFill>
              <w14:schemeClr w14:val="tx1"/>
            </w14:solidFill>
          </w14:textFill>
        </w:rPr>
        <w:t xml:space="preserve">：</w:t>
      </w:r>
      <w:r>
        <w:rPr>
          <w:rFonts w:hint="eastAsia" w:ascii="Times New Roman" w:hAnsi="Times New Roman"/>
          <w:color w:val="000000" w:themeColor="text1"/>
          <w:sz w:val="24"/>
          <w:szCs w:val="24"/>
          <w14:textFill>
            <w14:solidFill>
              <w14:schemeClr w14:val="tx1"/>
            </w14:solidFill>
          </w14:textFill>
        </w:rPr>
        <w:t xml:space="preserve">苏州新一造价师价格事务所有限公司</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单位</w:t>
      </w:r>
      <w:r>
        <w:rPr>
          <w:rFonts w:ascii="Times New Roman" w:hAnsi="Times New Roman"/>
          <w:color w:val="000000" w:themeColor="text1"/>
          <w:sz w:val="24"/>
          <w:szCs w:val="24"/>
          <w14:textFill>
            <w14:solidFill>
              <w14:schemeClr w14:val="tx1"/>
            </w14:solidFill>
          </w14:textFill>
        </w:rPr>
        <w:t xml:space="preserve">地址：</w:t>
      </w:r>
      <w:r>
        <w:rPr>
          <w:rFonts w:hint="eastAsia" w:ascii="Times New Roman" w:hAnsi="Times New Roman"/>
          <w:color w:val="000000" w:themeColor="text1"/>
          <w:sz w:val="24"/>
          <w:szCs w:val="24"/>
          <w14:textFill>
            <w14:solidFill>
              <w14:schemeClr w14:val="tx1"/>
            </w14:solidFill>
          </w14:textFill>
        </w:rPr>
        <w:t xml:space="preserve">常熟市开元东路2号一楼</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联系</w:t>
      </w:r>
      <w:r>
        <w:rPr>
          <w:rFonts w:hint="eastAsia" w:ascii="Times New Roman" w:hAnsi="Times New Roman"/>
          <w:color w:val="000000" w:themeColor="text1"/>
          <w:sz w:val="24"/>
          <w:szCs w:val="24"/>
          <w14:textFill>
            <w14:solidFill>
              <w14:schemeClr w14:val="tx1"/>
            </w14:solidFill>
          </w14:textFill>
        </w:rPr>
        <w:t xml:space="preserve">人</w:t>
      </w:r>
      <w:r>
        <w:rPr>
          <w:rFonts w:ascii="Times New Roman" w:hAnsi="Times New Roman"/>
          <w:color w:val="000000" w:themeColor="text1"/>
          <w:sz w:val="24"/>
          <w:szCs w:val="24"/>
          <w14:textFill>
            <w14:solidFill>
              <w14:schemeClr w14:val="tx1"/>
            </w14:solidFill>
          </w14:textFill>
        </w:rPr>
        <w:t xml:space="preserve">：</w:t>
      </w:r>
      <w:r>
        <w:rPr>
          <w:rFonts w:hint="eastAsia" w:ascii="Times New Roman" w:hAnsi="Times New Roman"/>
          <w:color w:val="000000" w:themeColor="text1"/>
          <w:sz w:val="24"/>
          <w:szCs w:val="24"/>
          <w14:textFill>
            <w14:solidFill>
              <w14:schemeClr w14:val="tx1"/>
            </w14:solidFill>
          </w14:textFill>
        </w:rPr>
        <w:t xml:space="preserve">韩忆程、代福勇、吕永中</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联系方式：</w:t>
      </w:r>
      <w:r>
        <w:rPr>
          <w:rFonts w:ascii="Times New Roman" w:hAnsi="Times New Roman"/>
          <w:color w:val="000000" w:themeColor="text1"/>
          <w:sz w:val="24"/>
          <w:szCs w:val="24"/>
          <w14:textFill>
            <w14:solidFill>
              <w14:schemeClr w14:val="tx1"/>
            </w14:solidFill>
          </w14:textFill>
        </w:rPr>
        <w:t xml:space="preserve">0512-5280</w:t>
      </w:r>
      <w:r>
        <w:rPr>
          <w:rFonts w:hint="eastAsia" w:ascii="Times New Roman" w:hAnsi="Times New Roman"/>
          <w:color w:val="000000" w:themeColor="text1"/>
          <w:sz w:val="24"/>
          <w:szCs w:val="24"/>
          <w14:textFill>
            <w14:solidFill>
              <w14:schemeClr w14:val="tx1"/>
            </w14:solidFill>
          </w14:textFill>
        </w:rPr>
        <w:t xml:space="preserve">8032</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3、项目联系方式</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项目联系人：韩忆程、代福勇、吕永中</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电话：0512-52808032</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bookmarkEnd w:id="56"/>
      <w:bookmarkEnd w:id="57"/>
      <w:r/>
    </w:p>
    <w:p>
      <w:pPr>
        <w:jc w:val="left"/>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br w:type="page" w:clear="all"/>
      </w:r>
      <w:r/>
    </w:p>
    <w:p>
      <w:pPr>
        <w:ind w:firstLine="880"/>
        <w:jc w:val="center"/>
        <w:keepNext/>
        <w:rPr>
          <w:rFonts w:ascii="黑体" w:hAnsi="Times New Roman" w:eastAsia="黑体"/>
          <w:color w:val="000000" w:themeColor="text1"/>
          <w:sz w:val="44"/>
          <w:szCs w:val="44"/>
          <w14:textFill>
            <w14:solidFill>
              <w14:schemeClr w14:val="tx1"/>
            </w14:solidFill>
          </w14:textFill>
        </w:rPr>
        <w:outlineLvl w:val="0"/>
      </w:pPr>
      <w:r/>
      <w:bookmarkStart w:id="58" w:name="_Toc120614211"/>
      <w:r/>
      <w:bookmarkStart w:id="59" w:name="_Toc228349827"/>
      <w:r>
        <w:rPr>
          <w:rFonts w:hint="eastAsia" w:ascii="黑体" w:hAnsi="Times New Roman" w:eastAsia="黑体"/>
          <w:color w:val="000000" w:themeColor="text1"/>
          <w:sz w:val="44"/>
          <w:szCs w:val="44"/>
          <w14:textFill>
            <w14:solidFill>
              <w14:schemeClr w14:val="tx1"/>
            </w14:solidFill>
          </w14:textFill>
        </w:rPr>
        <w:t xml:space="preserve">第二章  </w:t>
      </w:r>
      <w:bookmarkEnd w:id="1"/>
      <w:r/>
      <w:bookmarkEnd w:id="2"/>
      <w:r/>
      <w:bookmarkEnd w:id="3"/>
      <w:r/>
      <w:bookmarkEnd w:id="4"/>
      <w:r/>
      <w:bookmarkEnd w:id="5"/>
      <w:r/>
      <w:bookmarkEnd w:id="58"/>
      <w:r/>
      <w:bookmarkStart w:id="60" w:name="_Toc120614213"/>
      <w:r/>
      <w:bookmarkStart w:id="61" w:name="_Toc16938518"/>
      <w:r/>
      <w:bookmarkStart w:id="62" w:name="_Toc20823274"/>
      <w:r/>
      <w:bookmarkStart w:id="63" w:name="_Toc513029202"/>
      <w:r>
        <w:rPr>
          <w:rFonts w:hint="eastAsia" w:ascii="黑体" w:hAnsi="Times New Roman" w:eastAsia="黑体"/>
          <w:color w:val="000000" w:themeColor="text1"/>
          <w:sz w:val="44"/>
          <w:szCs w:val="44"/>
          <w14:textFill>
            <w14:solidFill>
              <w14:schemeClr w14:val="tx1"/>
            </w14:solidFill>
          </w14:textFill>
        </w:rPr>
        <w:t xml:space="preserve">投标人须知</w:t>
      </w:r>
      <w:bookmarkEnd w:id="59"/>
      <w:r/>
      <w:bookmarkEnd w:id="60"/>
      <w:r/>
      <w:bookmarkEnd w:id="61"/>
      <w:r/>
      <w:bookmarkEnd w:id="62"/>
      <w:r/>
      <w:bookmarkEnd w:id="63"/>
      <w:r/>
      <w:r/>
    </w:p>
    <w:p>
      <w:pPr>
        <w:ind w:firstLine="562"/>
        <w:keepLines/>
        <w:keepNext/>
        <w:spacing w:line="480" w:lineRule="exact"/>
        <w:rPr>
          <w:rFonts w:ascii="宋体" w:hAnsi="宋体" w:cs="宋体"/>
          <w:b/>
          <w:bCs/>
          <w:color w:val="000000" w:themeColor="text1"/>
          <w:sz w:val="28"/>
          <w:szCs w:val="28"/>
          <w14:textFill>
            <w14:solidFill>
              <w14:schemeClr w14:val="tx1"/>
            </w14:solidFill>
          </w14:textFill>
        </w:rPr>
        <w:outlineLvl w:val="1"/>
      </w:pPr>
      <w:r/>
      <w:bookmarkStart w:id="64" w:name="_Toc513029203"/>
      <w:r/>
      <w:bookmarkStart w:id="65" w:name="_Toc16938519"/>
      <w:r/>
      <w:bookmarkStart w:id="66" w:name="_Toc120614214"/>
      <w:r/>
      <w:bookmarkStart w:id="67" w:name="_Toc228349828"/>
      <w:r/>
      <w:bookmarkStart w:id="68" w:name="_Toc20823275"/>
      <w:r>
        <w:rPr>
          <w:rFonts w:hint="eastAsia" w:ascii="宋体" w:hAnsi="宋体" w:cs="宋体"/>
          <w:b/>
          <w:bCs/>
          <w:color w:val="000000" w:themeColor="text1"/>
          <w:sz w:val="28"/>
          <w:szCs w:val="28"/>
          <w14:textFill>
            <w14:solidFill>
              <w14:schemeClr w14:val="tx1"/>
            </w14:solidFill>
          </w14:textFill>
        </w:rPr>
        <w:t xml:space="preserve">一、总则</w:t>
      </w:r>
      <w:bookmarkEnd w:id="64"/>
      <w:r/>
      <w:bookmarkEnd w:id="65"/>
      <w:r/>
      <w:bookmarkEnd w:id="66"/>
      <w:r/>
      <w:bookmarkEnd w:id="67"/>
      <w:r/>
      <w:bookmarkEnd w:id="68"/>
      <w:r/>
      <w:r/>
    </w:p>
    <w:p>
      <w:pPr>
        <w:ind w:firstLine="480"/>
        <w:keepLines/>
        <w:keepNext/>
        <w:spacing w:line="480" w:lineRule="exact"/>
        <w:rPr>
          <w:rFonts w:ascii="宋体" w:hAnsi="宋体" w:cs="宋体"/>
          <w:color w:val="000000" w:themeColor="text1"/>
          <w:sz w:val="24"/>
          <w:szCs w:val="24"/>
          <w14:textFill>
            <w14:solidFill>
              <w14:schemeClr w14:val="tx1"/>
            </w14:solidFill>
          </w14:textFill>
        </w:rPr>
        <w:outlineLvl w:val="3"/>
      </w:pPr>
      <w:r/>
      <w:bookmarkStart w:id="69" w:name="_Hlt16619475"/>
      <w:r/>
      <w:bookmarkEnd w:id="69"/>
      <w:r/>
      <w:bookmarkStart w:id="70" w:name="_Toc458694821"/>
      <w:r/>
      <w:bookmarkStart w:id="71" w:name="_Toc16938520"/>
      <w:r/>
      <w:bookmarkStart w:id="72" w:name="_Toc513029204"/>
      <w:r/>
      <w:bookmarkStart w:id="73" w:name="_Toc20823276"/>
      <w:r>
        <w:rPr>
          <w:rFonts w:hint="eastAsia" w:ascii="宋体" w:hAnsi="宋体" w:cs="宋体"/>
          <w:color w:val="000000" w:themeColor="text1"/>
          <w:sz w:val="24"/>
          <w:szCs w:val="24"/>
          <w14:textFill>
            <w14:solidFill>
              <w14:schemeClr w14:val="tx1"/>
            </w14:solidFill>
          </w14:textFill>
        </w:rPr>
        <w:t xml:space="preserve">1</w:t>
      </w:r>
      <w:bookmarkEnd w:id="70"/>
      <w:r>
        <w:rPr>
          <w:rFonts w:hint="eastAsia" w:ascii="宋体" w:hAnsi="宋体" w:cs="宋体"/>
          <w:color w:val="000000" w:themeColor="text1"/>
          <w:sz w:val="24"/>
          <w:szCs w:val="24"/>
          <w14:textFill>
            <w14:solidFill>
              <w14:schemeClr w14:val="tx1"/>
            </w14:solidFill>
          </w14:textFill>
        </w:rPr>
        <w:t xml:space="preserve">、采购方式</w:t>
      </w:r>
      <w:bookmarkEnd w:id="71"/>
      <w:r/>
      <w:bookmarkEnd w:id="72"/>
      <w:r/>
      <w:bookmarkEnd w:id="73"/>
      <w:r>
        <w:rPr>
          <w:rFonts w:hint="eastAsia" w:ascii="宋体" w:hAnsi="宋体" w:cs="宋体"/>
          <w:color w:val="000000" w:themeColor="text1"/>
          <w:sz w:val="24"/>
          <w:szCs w:val="24"/>
          <w14:textFill>
            <w14:solidFill>
              <w14:schemeClr w14:val="tx1"/>
            </w14:solidFill>
          </w14:textFill>
        </w:rPr>
        <w:t xml:space="preserve">及适用法律</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 本次招标采取公开招标方式，本招标文件仅适用于招标公告中所述项目。</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 本次招标及由此产生的合同受中华人民共和国有关的法律法规制约和保护。</w:t>
      </w:r>
      <w:r/>
    </w:p>
    <w:p>
      <w:pPr>
        <w:ind w:firstLine="480"/>
        <w:keepLines/>
        <w:keepNext/>
        <w:spacing w:line="480" w:lineRule="exact"/>
        <w:rPr>
          <w:rFonts w:ascii="宋体" w:hAnsi="宋体" w:cs="宋体"/>
          <w:color w:val="000000" w:themeColor="text1"/>
          <w:sz w:val="24"/>
          <w:szCs w:val="24"/>
          <w14:textFill>
            <w14:solidFill>
              <w14:schemeClr w14:val="tx1"/>
            </w14:solidFill>
          </w14:textFill>
        </w:rPr>
        <w:outlineLvl w:val="3"/>
      </w:pPr>
      <w:r>
        <w:rPr>
          <w:rFonts w:hint="eastAsia" w:ascii="宋体" w:hAnsi="宋体" w:cs="宋体"/>
          <w:color w:val="000000" w:themeColor="text1"/>
          <w:sz w:val="24"/>
          <w:szCs w:val="24"/>
          <w14:textFill>
            <w14:solidFill>
              <w14:schemeClr w14:val="tx1"/>
            </w14:solidFill>
          </w14:textFill>
        </w:rPr>
        <w:t xml:space="preserve">2、定义</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 “采购人”系指购买本项目货物并接受相关服务的国家机关、事业单位、团体组织。</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 “采购代理机构”系指依法接受采购人委托，从事货物和服务等政府采购业务的采购代理机构（以下简称“代理机构”）。本项目采购代理机构为苏州新一造价师价格事务所有限公司。</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 “投标人”系指响应招标、参加投标竞争的供应商。</w:t>
      </w:r>
      <w:r/>
    </w:p>
    <w:p>
      <w:pPr>
        <w:ind w:firstLine="480"/>
        <w:keepLines/>
        <w:keepNext/>
        <w:spacing w:line="480" w:lineRule="exact"/>
        <w:rPr>
          <w:rFonts w:ascii="宋体" w:hAnsi="宋体" w:cs="宋体"/>
          <w:color w:val="000000" w:themeColor="text1"/>
          <w:sz w:val="24"/>
          <w:szCs w:val="24"/>
          <w14:textFill>
            <w14:solidFill>
              <w14:schemeClr w14:val="tx1"/>
            </w14:solidFill>
          </w14:textFill>
        </w:rPr>
        <w:outlineLvl w:val="3"/>
      </w:pPr>
      <w:r/>
      <w:bookmarkStart w:id="74" w:name="_Toc20823277"/>
      <w:r/>
      <w:bookmarkStart w:id="75" w:name="_Toc16938521"/>
      <w:r/>
      <w:bookmarkStart w:id="76" w:name="_Toc513029205"/>
      <w:r>
        <w:rPr>
          <w:rFonts w:hint="eastAsia" w:ascii="宋体" w:hAnsi="宋体" w:cs="宋体"/>
          <w:color w:val="000000" w:themeColor="text1"/>
          <w:sz w:val="24"/>
          <w:szCs w:val="24"/>
          <w14:textFill>
            <w14:solidFill>
              <w14:schemeClr w14:val="tx1"/>
            </w14:solidFill>
          </w14:textFill>
        </w:rPr>
        <w:t xml:space="preserve">3、合格的投标人</w:t>
      </w:r>
      <w:bookmarkEnd w:id="74"/>
      <w:r/>
      <w:bookmarkEnd w:id="75"/>
      <w:r/>
      <w:bookmarkEnd w:id="76"/>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 满足招标公告中供应商的资格要求的规定，详见《第一章 投标邀请》中投标人资格要求。</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 满足本文件实质性要求和条件的规定。</w:t>
      </w:r>
      <w:r/>
    </w:p>
    <w:p>
      <w:pPr>
        <w:ind w:firstLine="480"/>
        <w:keepLines/>
        <w:keepNext/>
        <w:spacing w:line="480" w:lineRule="exact"/>
        <w:rPr>
          <w:rFonts w:ascii="宋体" w:hAnsi="宋体" w:cs="宋体"/>
          <w:color w:val="000000" w:themeColor="text1"/>
          <w:sz w:val="24"/>
          <w:szCs w:val="24"/>
          <w14:textFill>
            <w14:solidFill>
              <w14:schemeClr w14:val="tx1"/>
            </w14:solidFill>
          </w14:textFill>
        </w:rPr>
        <w:outlineLvl w:val="3"/>
      </w:pPr>
      <w:r/>
      <w:bookmarkStart w:id="77" w:name="_Toc16938523"/>
      <w:r/>
      <w:bookmarkStart w:id="78" w:name="_Toc513029207"/>
      <w:r/>
      <w:bookmarkStart w:id="79" w:name="_Toc20823279"/>
      <w:r/>
      <w:bookmarkStart w:id="80" w:name="_Toc462564067"/>
      <w:r>
        <w:rPr>
          <w:rFonts w:hint="eastAsia" w:ascii="宋体" w:hAnsi="宋体" w:cs="宋体"/>
          <w:color w:val="000000" w:themeColor="text1"/>
          <w:sz w:val="24"/>
          <w:szCs w:val="24"/>
          <w14:textFill>
            <w14:solidFill>
              <w14:schemeClr w14:val="tx1"/>
            </w14:solidFill>
          </w14:textFill>
        </w:rPr>
        <w:t xml:space="preserve">4、投标费用</w:t>
      </w:r>
      <w:bookmarkEnd w:id="77"/>
      <w:r/>
      <w:bookmarkEnd w:id="78"/>
      <w:r/>
      <w:bookmarkEnd w:id="79"/>
      <w:r/>
      <w:bookmarkEnd w:id="80"/>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4.1 无论投标过程中的做法和结果如何，投标人应自行承担所有与准备和参加投标有关的全部费用。</w:t>
      </w:r>
      <w:r/>
    </w:p>
    <w:p>
      <w:pPr>
        <w:ind w:firstLine="789"/>
        <w:spacing w:line="480" w:lineRule="exact"/>
        <w:rPr>
          <w:rFonts w:ascii="宋体" w:hAnsi="宋体" w:cs="宋体"/>
          <w:b/>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4.2 </w:t>
      </w:r>
      <w:r>
        <w:rPr>
          <w:rFonts w:hint="eastAsia" w:ascii="宋体" w:hAnsi="宋体" w:cs="宋体"/>
          <w:b/>
          <w:color w:val="000000" w:themeColor="text1"/>
          <w:sz w:val="24"/>
          <w:szCs w:val="24"/>
          <w14:textFill>
            <w14:solidFill>
              <w14:schemeClr w14:val="tx1"/>
            </w14:solidFill>
          </w14:textFill>
        </w:rPr>
        <w:t xml:space="preserve">本次招标不收取采购文件工本费</w:t>
      </w:r>
      <w:r/>
    </w:p>
    <w:p>
      <w:pPr>
        <w:ind w:firstLine="793"/>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4.3</w:t>
      </w: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采购代理服务费用：</w:t>
      </w:r>
      <w:r/>
    </w:p>
    <w:p>
      <w:pPr>
        <w:ind w:firstLine="790"/>
        <w:spacing w:line="480" w:lineRule="exact"/>
        <w:rPr>
          <w:rFonts w:ascii="宋体" w:hAnsi="宋体" w:cs="宋体"/>
          <w:b/>
          <w:color w:val="000000" w:themeColor="text1"/>
          <w:sz w:val="24"/>
          <w:szCs w:val="24"/>
          <w14:textFill>
            <w14:solidFill>
              <w14:schemeClr w14:val="tx1"/>
            </w14:solidFill>
          </w14:textFill>
        </w:rPr>
      </w:pPr>
      <w:r/>
      <w:bookmarkStart w:id="81" w:name="OLE_LINK7"/>
      <w:r>
        <w:rPr>
          <w:rFonts w:hint="eastAsia" w:ascii="宋体" w:hAnsi="宋体" w:cs="宋体"/>
          <w:b/>
          <w:color w:val="000000" w:themeColor="text1"/>
          <w:sz w:val="24"/>
          <w:szCs w:val="24"/>
          <w14:textFill>
            <w14:solidFill>
              <w14:schemeClr w14:val="tx1"/>
            </w14:solidFill>
          </w14:textFill>
        </w:rPr>
        <w:t xml:space="preserve">本项目中标服务费由各标段中标人支付，在采购代理机构发中标通知书时由各标段中标人向采购代理机构支付中标服务费，一次性付清。标段一中标服务费：4500.00元整；标段二中标服务费：4500.00元整。</w:t>
      </w:r>
      <w:bookmarkEnd w:id="81"/>
      <w:r/>
    </w:p>
    <w:p>
      <w:pPr>
        <w:ind w:firstLine="790"/>
        <w:spacing w:line="48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账户名：苏州新一造价师价格事务所有限公司常熟分公司</w:t>
      </w:r>
      <w:r/>
    </w:p>
    <w:p>
      <w:pPr>
        <w:ind w:firstLine="790"/>
        <w:spacing w:line="48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开户银行：常熟农商行开发区支行</w:t>
      </w:r>
      <w:r/>
    </w:p>
    <w:p>
      <w:pPr>
        <w:ind w:firstLine="790"/>
        <w:spacing w:line="48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账号：101280001017827625</w:t>
      </w:r>
      <w:r/>
    </w:p>
    <w:p>
      <w:pPr>
        <w:ind w:firstLine="480"/>
        <w:keepLines/>
        <w:keepNext/>
        <w:spacing w:line="480" w:lineRule="exact"/>
        <w:rPr>
          <w:rFonts w:ascii="宋体" w:hAnsi="宋体" w:cs="宋体"/>
          <w:color w:val="000000" w:themeColor="text1"/>
          <w:sz w:val="24"/>
          <w:szCs w:val="24"/>
          <w14:textFill>
            <w14:solidFill>
              <w14:schemeClr w14:val="tx1"/>
            </w14:solidFill>
          </w14:textFill>
        </w:rPr>
        <w:outlineLvl w:val="3"/>
      </w:pPr>
      <w:r>
        <w:rPr>
          <w:rFonts w:hint="eastAsia" w:ascii="宋体" w:hAnsi="宋体" w:cs="宋体"/>
          <w:color w:val="000000" w:themeColor="text1"/>
          <w:sz w:val="24"/>
          <w:szCs w:val="24"/>
          <w14:textFill>
            <w14:solidFill>
              <w14:schemeClr w14:val="tx1"/>
            </w14:solidFill>
          </w14:textFill>
        </w:rPr>
        <w:t xml:space="preserve">5、招标文件的约束力</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5.1 投标人一旦参加本项目采购活动，即被认为接受了本招标文件的规定和约束。</w:t>
      </w:r>
      <w:r/>
    </w:p>
    <w:p>
      <w:pPr>
        <w:ind w:firstLine="562"/>
        <w:keepLines/>
        <w:keepNext/>
        <w:spacing w:line="480" w:lineRule="exact"/>
        <w:rPr>
          <w:rFonts w:ascii="宋体" w:hAnsi="宋体" w:cs="宋体"/>
          <w:b/>
          <w:bCs/>
          <w:color w:val="000000" w:themeColor="text1"/>
          <w:sz w:val="28"/>
          <w:szCs w:val="28"/>
          <w14:textFill>
            <w14:solidFill>
              <w14:schemeClr w14:val="tx1"/>
            </w14:solidFill>
          </w14:textFill>
        </w:rPr>
        <w:outlineLvl w:val="1"/>
      </w:pPr>
      <w:r/>
      <w:bookmarkStart w:id="82" w:name="_Toc228349829"/>
      <w:r/>
      <w:bookmarkStart w:id="83" w:name="_Toc20823281"/>
      <w:r/>
      <w:bookmarkStart w:id="84" w:name="_Toc16938525"/>
      <w:r/>
      <w:bookmarkStart w:id="85" w:name="_Toc120614215"/>
      <w:r/>
      <w:bookmarkStart w:id="86" w:name="_Toc513029209"/>
      <w:r>
        <w:rPr>
          <w:rFonts w:hint="eastAsia" w:ascii="宋体" w:hAnsi="宋体" w:cs="宋体"/>
          <w:b/>
          <w:bCs/>
          <w:color w:val="000000" w:themeColor="text1"/>
          <w:sz w:val="28"/>
          <w:szCs w:val="28"/>
          <w14:textFill>
            <w14:solidFill>
              <w14:schemeClr w14:val="tx1"/>
            </w14:solidFill>
          </w14:textFill>
        </w:rPr>
        <w:t xml:space="preserve">二、招标文件</w:t>
      </w:r>
      <w:bookmarkEnd w:id="82"/>
      <w:r/>
      <w:bookmarkEnd w:id="83"/>
      <w:r/>
      <w:bookmarkEnd w:id="84"/>
      <w:r/>
      <w:bookmarkEnd w:id="85"/>
      <w:r/>
      <w:bookmarkEnd w:id="86"/>
      <w:r/>
      <w:r/>
    </w:p>
    <w:p>
      <w:pPr>
        <w:ind w:firstLine="480"/>
        <w:keepLines/>
        <w:keepNext/>
        <w:spacing w:line="480" w:lineRule="exact"/>
        <w:rPr>
          <w:rFonts w:ascii="宋体" w:hAnsi="宋体" w:cs="宋体"/>
          <w:color w:val="000000" w:themeColor="text1"/>
          <w:sz w:val="24"/>
          <w:szCs w:val="24"/>
          <w14:textFill>
            <w14:solidFill>
              <w14:schemeClr w14:val="tx1"/>
            </w14:solidFill>
          </w14:textFill>
        </w:rPr>
        <w:outlineLvl w:val="3"/>
      </w:pPr>
      <w:r/>
      <w:bookmarkStart w:id="87" w:name="_Toc513029210"/>
      <w:r/>
      <w:bookmarkStart w:id="88" w:name="_Toc16938526"/>
      <w:r/>
      <w:bookmarkStart w:id="89" w:name="_Toc20823282"/>
      <w:r>
        <w:rPr>
          <w:rFonts w:hint="eastAsia" w:ascii="宋体" w:hAnsi="宋体" w:cs="宋体"/>
          <w:color w:val="000000" w:themeColor="text1"/>
          <w:sz w:val="24"/>
          <w:szCs w:val="24"/>
          <w14:textFill>
            <w14:solidFill>
              <w14:schemeClr w14:val="tx1"/>
            </w14:solidFill>
          </w14:textFill>
        </w:rPr>
        <w:t xml:space="preserve">1、招标文件构成</w:t>
      </w:r>
      <w:bookmarkEnd w:id="87"/>
      <w:r/>
      <w:bookmarkEnd w:id="88"/>
      <w:r/>
      <w:bookmarkEnd w:id="89"/>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1.1</w:t>
      </w:r>
      <w:r>
        <w:rPr>
          <w:rFonts w:hint="eastAsia" w:ascii="宋体" w:hAnsi="宋体" w:cs="宋体"/>
          <w:color w:val="000000" w:themeColor="text1"/>
          <w:sz w:val="24"/>
          <w:szCs w:val="24"/>
          <w14:textFill>
            <w14:solidFill>
              <w14:schemeClr w14:val="tx1"/>
            </w14:solidFill>
          </w14:textFill>
        </w:rPr>
        <w:t xml:space="preserve"> 招标文件由以下部分组成：</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（1）投标邀请</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（2）投标人须知</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（3）合同文本</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（4）采购需求</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（5）评标方法与评标标准</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（6）投标文件格式</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请仔细检查招标文件是否齐全，如有缺漏请立即与代理机构联系解决。</w:t>
      </w:r>
      <w:r/>
    </w:p>
    <w:p>
      <w:pPr>
        <w:ind w:firstLine="789"/>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 招标文件及其更正事项如不是直接从指定媒体地址下载获得的，采购人或代理机构对招标文件及其补遗的真实性、完整性不承担任何责任。</w:t>
      </w:r>
      <w:r/>
    </w:p>
    <w:p>
      <w:pPr>
        <w:ind w:firstLine="480"/>
        <w:keepLines/>
        <w:keepNext/>
        <w:spacing w:line="480" w:lineRule="exact"/>
        <w:rPr>
          <w:rFonts w:ascii="宋体" w:hAnsi="宋体" w:cs="宋体"/>
          <w:color w:val="000000" w:themeColor="text1"/>
          <w:sz w:val="24"/>
          <w:szCs w:val="24"/>
          <w14:textFill>
            <w14:solidFill>
              <w14:schemeClr w14:val="tx1"/>
            </w14:solidFill>
          </w14:textFill>
        </w:rPr>
        <w:outlineLvl w:val="3"/>
      </w:pPr>
      <w:r/>
      <w:bookmarkStart w:id="90" w:name="_Toc462564070"/>
      <w:r/>
      <w:bookmarkStart w:id="91" w:name="_Toc20823283"/>
      <w:r/>
      <w:bookmarkStart w:id="92" w:name="_Toc513029211"/>
      <w:r/>
      <w:bookmarkStart w:id="93" w:name="_Toc16938527"/>
      <w:r>
        <w:rPr>
          <w:rFonts w:hint="eastAsia" w:ascii="宋体" w:hAnsi="宋体" w:cs="宋体"/>
          <w:color w:val="000000" w:themeColor="text1"/>
          <w:sz w:val="24"/>
          <w:szCs w:val="24"/>
          <w14:textFill>
            <w14:solidFill>
              <w14:schemeClr w14:val="tx1"/>
            </w14:solidFill>
          </w14:textFill>
        </w:rPr>
        <w:t xml:space="preserve">2、招标文件的澄清、修改</w:t>
      </w:r>
      <w:r/>
    </w:p>
    <w:p>
      <w:pPr>
        <w:ind w:firstLine="789"/>
        <w:spacing w:line="480" w:lineRule="exact"/>
        <w:rPr>
          <w:rFonts w:ascii="宋体" w:hAnsi="宋体" w:cs="宋体"/>
          <w:b/>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2.1 出于实际需要或澄清投标人问题的情况下，代理机构可对已发出的招标文件进行必要的澄清或者修改，并将在指定媒体上发布。</w:t>
      </w:r>
      <w:r>
        <w:rPr>
          <w:rFonts w:hint="eastAsia" w:ascii="宋体" w:hAnsi="宋体" w:cs="宋体"/>
          <w:b/>
          <w:bCs/>
          <w:color w:val="000000" w:themeColor="text1"/>
          <w:sz w:val="24"/>
          <w:szCs w:val="24"/>
          <w14:textFill>
            <w14:solidFill>
              <w14:schemeClr w14:val="tx1"/>
            </w14:solidFill>
          </w14:textFill>
        </w:rPr>
        <w:t xml:space="preserve">各投标人应在投标截止时间前关注</w:t>
      </w:r>
      <w:r>
        <w:rPr>
          <w:rFonts w:hint="eastAsia" w:ascii="Times New Roman" w:hAnsi="Times New Roman"/>
          <w:b/>
          <w:bCs/>
          <w:color w:val="000000" w:themeColor="text1"/>
          <w:sz w:val="24"/>
          <w:szCs w:val="24"/>
          <w14:textFill>
            <w14:solidFill>
              <w14:schemeClr w14:val="tx1"/>
            </w14:solidFill>
          </w14:textFill>
        </w:rPr>
        <w:t xml:space="preserve">政府采购信息发布媒体上</w:t>
      </w:r>
      <w:r>
        <w:rPr>
          <w:rFonts w:hint="eastAsia" w:ascii="宋体" w:hAnsi="宋体" w:cs="宋体"/>
          <w:b/>
          <w:bCs/>
          <w:color w:val="000000" w:themeColor="text1"/>
          <w:sz w:val="24"/>
          <w:szCs w:val="24"/>
          <w14:textFill>
            <w14:solidFill>
              <w14:schemeClr w14:val="tx1"/>
            </w14:solidFill>
          </w14:textFill>
        </w:rPr>
        <w:t xml:space="preserve">“补充通知”栏，按规定获取相关信息内容，否则其投标风险由投标人承担。</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 代理机构有权按照法定的要求顺延投标截止时间和开标时间。</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 有关澄清或者修改的内容将作为招标文件的组成部分，对所有投标人具有约束力。</w:t>
      </w:r>
      <w:bookmarkEnd w:id="90"/>
      <w:bookmarkEnd w:id="91"/>
      <w:bookmarkEnd w:id="92"/>
      <w:bookmarkEnd w:id="93"/>
      <w:r/>
    </w:p>
    <w:p>
      <w:pPr>
        <w:ind w:firstLine="562"/>
        <w:keepLines/>
        <w:keepNext/>
        <w:spacing w:line="480" w:lineRule="exact"/>
        <w:rPr>
          <w:rFonts w:ascii="宋体" w:hAnsi="宋体" w:cs="宋体"/>
          <w:b/>
          <w:bCs/>
          <w:color w:val="000000" w:themeColor="text1"/>
          <w:sz w:val="28"/>
          <w:szCs w:val="28"/>
          <w14:textFill>
            <w14:solidFill>
              <w14:schemeClr w14:val="tx1"/>
            </w14:solidFill>
          </w14:textFill>
        </w:rPr>
        <w:outlineLvl w:val="1"/>
      </w:pPr>
      <w:r/>
      <w:bookmarkStart w:id="94" w:name="_Toc120614216"/>
      <w:r/>
      <w:bookmarkStart w:id="95" w:name="_Toc16938529"/>
      <w:r/>
      <w:bookmarkStart w:id="96" w:name="_Toc513029213"/>
      <w:r/>
      <w:bookmarkStart w:id="97" w:name="_Toc20823285"/>
      <w:r/>
      <w:bookmarkStart w:id="98" w:name="_Toc462564072"/>
      <w:r/>
      <w:bookmarkStart w:id="99" w:name="_Toc228349830"/>
      <w:r>
        <w:rPr>
          <w:rFonts w:hint="eastAsia" w:ascii="宋体" w:hAnsi="宋体" w:cs="宋体"/>
          <w:b/>
          <w:bCs/>
          <w:color w:val="000000" w:themeColor="text1"/>
          <w:sz w:val="28"/>
          <w:szCs w:val="28"/>
          <w14:textFill>
            <w14:solidFill>
              <w14:schemeClr w14:val="tx1"/>
            </w14:solidFill>
          </w14:textFill>
        </w:rPr>
        <w:t xml:space="preserve">三、投标文件的编制</w:t>
      </w:r>
      <w:bookmarkEnd w:id="94"/>
      <w:r/>
      <w:bookmarkEnd w:id="95"/>
      <w:r/>
      <w:bookmarkEnd w:id="96"/>
      <w:r/>
      <w:bookmarkEnd w:id="97"/>
      <w:r/>
      <w:bookmarkEnd w:id="98"/>
      <w:r/>
      <w:bookmarkEnd w:id="99"/>
      <w:r/>
      <w:r/>
    </w:p>
    <w:p>
      <w:pPr>
        <w:ind w:firstLine="480"/>
        <w:keepLines/>
        <w:keepNext/>
        <w:spacing w:line="480" w:lineRule="exact"/>
        <w:rPr>
          <w:rFonts w:ascii="宋体" w:hAnsi="宋体" w:cs="宋体"/>
          <w:b/>
          <w:color w:val="000000" w:themeColor="text1"/>
          <w:sz w:val="24"/>
          <w:szCs w:val="24"/>
          <w14:textFill>
            <w14:solidFill>
              <w14:schemeClr w14:val="tx1"/>
            </w14:solidFill>
          </w14:textFill>
        </w:rPr>
        <w:outlineLvl w:val="3"/>
      </w:pPr>
      <w:r/>
      <w:bookmarkStart w:id="100" w:name="_Toc16938530"/>
      <w:r/>
      <w:bookmarkStart w:id="101" w:name="_Toc513029214"/>
      <w:r/>
      <w:bookmarkStart w:id="102" w:name="_Toc20823286"/>
      <w:r/>
      <w:bookmarkStart w:id="103" w:name="_Toc462564073"/>
      <w:r>
        <w:rPr>
          <w:rFonts w:hint="eastAsia" w:ascii="宋体" w:hAnsi="宋体" w:cs="宋体"/>
          <w:color w:val="000000" w:themeColor="text1"/>
          <w:sz w:val="24"/>
          <w:szCs w:val="24"/>
          <w14:textFill>
            <w14:solidFill>
              <w14:schemeClr w14:val="tx1"/>
            </w14:solidFill>
          </w14:textFill>
        </w:rPr>
        <w:t xml:space="preserve">1、投标文件的语言及度量衡单位</w:t>
      </w:r>
      <w:bookmarkEnd w:id="100"/>
      <w:r/>
      <w:bookmarkEnd w:id="101"/>
      <w:r/>
      <w:bookmarkEnd w:id="102"/>
      <w:r/>
      <w:bookmarkEnd w:id="103"/>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 投标人提交的投标文件以及投标人与代理机构就有关投标的所有来往通知、函件和文件均应使用</w:t>
      </w:r>
      <w:r>
        <w:rPr>
          <w:rFonts w:hint="eastAsia" w:ascii="宋体" w:hAnsi="宋体" w:cs="宋体"/>
          <w:b/>
          <w:bCs/>
          <w:color w:val="000000" w:themeColor="text1"/>
          <w:sz w:val="24"/>
          <w:szCs w:val="24"/>
          <w14:textFill>
            <w14:solidFill>
              <w14:schemeClr w14:val="tx1"/>
            </w14:solidFill>
          </w14:textFill>
        </w:rPr>
        <w:t xml:space="preserve">简体中文</w:t>
      </w:r>
      <w:r>
        <w:rPr>
          <w:rFonts w:hint="eastAsia" w:ascii="宋体" w:hAnsi="宋体" w:cs="宋体"/>
          <w:color w:val="000000" w:themeColor="text1"/>
          <w:sz w:val="24"/>
          <w:szCs w:val="24"/>
          <w14:textFill>
            <w14:solidFill>
              <w14:schemeClr w14:val="tx1"/>
            </w14:solidFill>
          </w14:textFill>
        </w:rPr>
        <w:t xml:space="preserve">。</w:t>
      </w:r>
      <w:r/>
    </w:p>
    <w:p>
      <w:pPr>
        <w:ind w:firstLine="789"/>
        <w:spacing w:line="48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 除技术性能另有规定外，投标文件所使用的度量衡单位，均须采用国家法定计量单位。</w:t>
      </w:r>
      <w:r/>
    </w:p>
    <w:p>
      <w:pPr>
        <w:ind w:firstLine="480"/>
        <w:keepLines/>
        <w:keepNext/>
        <w:spacing w:line="480" w:lineRule="exact"/>
        <w:rPr>
          <w:rFonts w:ascii="宋体" w:hAnsi="宋体" w:cs="宋体"/>
          <w:color w:val="000000" w:themeColor="text1"/>
          <w:sz w:val="24"/>
          <w:szCs w:val="24"/>
          <w14:textFill>
            <w14:solidFill>
              <w14:schemeClr w14:val="tx1"/>
            </w14:solidFill>
          </w14:textFill>
        </w:rPr>
        <w:outlineLvl w:val="3"/>
      </w:pPr>
      <w:r/>
      <w:bookmarkStart w:id="104" w:name="_Toc462564074"/>
      <w:r/>
      <w:bookmarkStart w:id="105" w:name="_Toc16938531"/>
      <w:r/>
      <w:bookmarkStart w:id="106" w:name="_Toc513029215"/>
      <w:r/>
      <w:bookmarkStart w:id="107" w:name="_Toc20823287"/>
      <w:r>
        <w:rPr>
          <w:rFonts w:hint="eastAsia" w:ascii="宋体" w:hAnsi="宋体" w:cs="宋体"/>
          <w:color w:val="000000" w:themeColor="text1"/>
          <w:sz w:val="24"/>
          <w:szCs w:val="24"/>
          <w14:textFill>
            <w14:solidFill>
              <w14:schemeClr w14:val="tx1"/>
            </w14:solidFill>
          </w14:textFill>
        </w:rPr>
        <w:t xml:space="preserve">2、投标文件构成</w:t>
      </w:r>
      <w:bookmarkEnd w:id="104"/>
      <w:r/>
      <w:bookmarkEnd w:id="105"/>
      <w:r/>
      <w:bookmarkEnd w:id="106"/>
      <w:r/>
      <w:bookmarkEnd w:id="107"/>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 投标人编写的投标文件应包括资格证明文件、开标一览表、报价明细表、投标函、服务（或商务）要求响应及偏离表、项目实施方案、其他证明文件等部分。</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 如标书制作工具中格式和内容与指定媒体发布的招标文件不一致，请以指定媒体发布的招标文件为准。</w:t>
      </w:r>
      <w:r/>
    </w:p>
    <w:p>
      <w:pPr>
        <w:ind w:firstLine="480"/>
        <w:keepLines/>
        <w:keepNext/>
        <w:spacing w:line="480" w:lineRule="exact"/>
        <w:rPr>
          <w:rFonts w:ascii="宋体" w:hAnsi="宋体" w:cs="宋体"/>
          <w:color w:val="000000" w:themeColor="text1"/>
          <w:sz w:val="24"/>
          <w:szCs w:val="24"/>
          <w14:textFill>
            <w14:solidFill>
              <w14:schemeClr w14:val="tx1"/>
            </w14:solidFill>
          </w14:textFill>
        </w:rPr>
        <w:outlineLvl w:val="3"/>
      </w:pPr>
      <w:r/>
      <w:bookmarkStart w:id="108" w:name="_Hlt26670360"/>
      <w:r/>
      <w:bookmarkEnd w:id="108"/>
      <w:r/>
      <w:bookmarkStart w:id="109" w:name="_Hlt26954838"/>
      <w:r/>
      <w:bookmarkEnd w:id="109"/>
      <w:r/>
      <w:bookmarkStart w:id="110" w:name="_Hlt26668975"/>
      <w:r/>
      <w:bookmarkEnd w:id="110"/>
      <w:r/>
      <w:bookmarkStart w:id="111" w:name="_Toc49090509"/>
      <w:r/>
      <w:bookmarkStart w:id="112" w:name="_Toc14577357"/>
      <w:r/>
      <w:bookmarkStart w:id="113" w:name="_Toc513029219"/>
      <w:r/>
      <w:bookmarkStart w:id="114" w:name="_Toc49090507"/>
      <w:r/>
      <w:bookmarkStart w:id="115" w:name="_Toc513029216"/>
      <w:r/>
      <w:bookmarkStart w:id="116" w:name="_Toc14577354"/>
      <w:r/>
      <w:bookmarkStart w:id="117" w:name="_Toc14577355"/>
      <w:r/>
      <w:bookmarkStart w:id="118" w:name="_Toc49090508"/>
      <w:r>
        <w:rPr>
          <w:rFonts w:hint="eastAsia" w:ascii="宋体" w:hAnsi="宋体" w:cs="宋体"/>
          <w:color w:val="000000" w:themeColor="text1"/>
          <w:sz w:val="24"/>
          <w:szCs w:val="24"/>
          <w14:textFill>
            <w14:solidFill>
              <w14:schemeClr w14:val="tx1"/>
            </w14:solidFill>
          </w14:textFill>
        </w:rPr>
        <w:t xml:space="preserve">3、证明投标人及投标标的符合招标文件规定的文件</w:t>
      </w:r>
      <w:bookmarkEnd w:id="111"/>
      <w:r/>
      <w:bookmarkEnd w:id="112"/>
      <w:r/>
      <w:bookmarkEnd w:id="113"/>
      <w:r/>
      <w:bookmarkEnd w:id="114"/>
      <w:bookmarkEnd w:id="115"/>
      <w:bookmarkEnd w:id="116"/>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 投标人应按照招标文件要求提交证明文件，证明其及投标标的符合招标文件规定。</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3.2招标文件对证明文件无明确形式要求的，证明文件可以以文字资料、图纸和数据等形式提交。</w:t>
      </w:r>
      <w:bookmarkEnd w:id="117"/>
      <w:bookmarkEnd w:id="118"/>
      <w:r/>
    </w:p>
    <w:p>
      <w:pPr>
        <w:ind w:firstLine="480"/>
        <w:keepLines/>
        <w:keepNext/>
        <w:spacing w:line="480" w:lineRule="exact"/>
        <w:rPr>
          <w:rFonts w:ascii="宋体" w:hAnsi="宋体" w:cs="宋体"/>
          <w:color w:val="000000" w:themeColor="text1"/>
          <w:sz w:val="24"/>
          <w:szCs w:val="24"/>
          <w14:textFill>
            <w14:solidFill>
              <w14:schemeClr w14:val="tx1"/>
            </w14:solidFill>
          </w14:textFill>
        </w:rPr>
        <w:outlineLvl w:val="3"/>
      </w:pPr>
      <w:r>
        <w:rPr>
          <w:rFonts w:hint="eastAsia" w:ascii="宋体" w:hAnsi="宋体" w:cs="宋体"/>
          <w:color w:val="000000" w:themeColor="text1"/>
          <w:sz w:val="24"/>
          <w:szCs w:val="24"/>
          <w14:textFill>
            <w14:solidFill>
              <w14:schemeClr w14:val="tx1"/>
            </w14:solidFill>
          </w14:textFill>
        </w:rPr>
        <w:t xml:space="preserve">4、投标函和开标一览表</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4.1 投标人应按照招标文件中提供的格式完整、正确填写投标函、开标一览表。</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4.2 对于采用货币报价的项目，开标一览表中的投标总报价应与报价明细表中的投标总报价一致，如不一致不作为无效投标处理，但评标时按开标一览表中价格为准。</w:t>
      </w:r>
      <w:r/>
    </w:p>
    <w:p>
      <w:pPr>
        <w:ind w:firstLine="480"/>
        <w:keepLines/>
        <w:keepNext/>
        <w:spacing w:line="480" w:lineRule="exact"/>
        <w:rPr>
          <w:rFonts w:ascii="宋体" w:hAnsi="宋体" w:cs="宋体"/>
          <w:color w:val="000000" w:themeColor="text1"/>
          <w:sz w:val="24"/>
          <w:szCs w:val="24"/>
          <w14:textFill>
            <w14:solidFill>
              <w14:schemeClr w14:val="tx1"/>
            </w14:solidFill>
          </w14:textFill>
        </w:rPr>
        <w:outlineLvl w:val="3"/>
      </w:pPr>
      <w:r>
        <w:rPr>
          <w:rFonts w:hint="eastAsia" w:ascii="宋体" w:hAnsi="宋体" w:cs="宋体"/>
          <w:color w:val="000000" w:themeColor="text1"/>
          <w:sz w:val="24"/>
          <w:szCs w:val="24"/>
          <w14:textFill>
            <w14:solidFill>
              <w14:schemeClr w14:val="tx1"/>
            </w14:solidFill>
          </w14:textFill>
        </w:rPr>
        <w:t xml:space="preserve">5、报价明细表</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5.1 投标人应按照招标文件规定格式填报报价明细表。</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5.2 投标货币。投标文件中的单价和总价无特殊规定的采用人民币报价，以元为单位标注。招标文件中另有规定的按规定执行。</w:t>
      </w:r>
      <w:r/>
    </w:p>
    <w:p>
      <w:pPr>
        <w:ind w:firstLine="480"/>
        <w:keepLines/>
        <w:keepNext/>
        <w:spacing w:line="480" w:lineRule="exact"/>
        <w:rPr>
          <w:rFonts w:ascii="宋体" w:hAnsi="宋体" w:cs="宋体"/>
          <w:color w:val="000000" w:themeColor="text1"/>
          <w:sz w:val="24"/>
          <w:szCs w:val="24"/>
          <w14:textFill>
            <w14:solidFill>
              <w14:schemeClr w14:val="tx1"/>
            </w14:solidFill>
          </w14:textFill>
        </w:rPr>
        <w:outlineLvl w:val="3"/>
      </w:pPr>
      <w:r/>
      <w:bookmarkStart w:id="119" w:name="_Hlt26670482"/>
      <w:r/>
      <w:bookmarkEnd w:id="119"/>
      <w:r/>
      <w:bookmarkStart w:id="120" w:name="_Hlt26954848"/>
      <w:r/>
      <w:bookmarkEnd w:id="120"/>
      <w:r/>
      <w:bookmarkStart w:id="121" w:name="_Hlt26954846"/>
      <w:r/>
      <w:bookmarkEnd w:id="121"/>
      <w:r/>
      <w:bookmarkStart w:id="122" w:name="_Hlt26670486"/>
      <w:r/>
      <w:bookmarkEnd w:id="122"/>
      <w:r/>
      <w:bookmarkStart w:id="123" w:name="_Hlt26954731"/>
      <w:r/>
      <w:bookmarkEnd w:id="123"/>
      <w:r/>
      <w:bookmarkStart w:id="124" w:name="_Hlk155763835"/>
      <w:r>
        <w:rPr>
          <w:rFonts w:hint="eastAsia" w:ascii="宋体" w:hAnsi="宋体" w:cs="宋体"/>
          <w:color w:val="000000" w:themeColor="text1"/>
          <w:sz w:val="24"/>
          <w:szCs w:val="24"/>
          <w14:textFill>
            <w14:solidFill>
              <w14:schemeClr w14:val="tx1"/>
            </w14:solidFill>
          </w14:textFill>
        </w:rPr>
        <w:t xml:space="preserve">6、技术参数响应及偏离表、商务条件响应及偏离表</w:t>
      </w:r>
      <w:bookmarkEnd w:id="124"/>
      <w:r/>
    </w:p>
    <w:p>
      <w:pPr>
        <w:ind w:firstLine="789"/>
        <w:spacing w:line="480" w:lineRule="exact"/>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6.1 投标人需对招标文件中的技术要求、服务要求与商务要求逐项作出响应或偏离，并说明原因。</w:t>
      </w:r>
      <w:r/>
    </w:p>
    <w:p>
      <w:pPr>
        <w:ind w:firstLine="789"/>
        <w:spacing w:line="480" w:lineRule="exact"/>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6.2 投标人需按照招标文件要求，在投标文件中提供与技术要求、服务要求和商务要求相关的证明材料</w:t>
      </w:r>
      <w:r/>
    </w:p>
    <w:p>
      <w:pPr>
        <w:ind w:firstLine="480"/>
        <w:keepLines/>
        <w:keepNext/>
        <w:spacing w:line="480" w:lineRule="exact"/>
        <w:rPr>
          <w:rFonts w:ascii="宋体" w:hAnsi="宋体" w:cs="宋体"/>
          <w:color w:val="000000" w:themeColor="text1"/>
          <w:sz w:val="24"/>
          <w:szCs w:val="24"/>
          <w14:textFill>
            <w14:solidFill>
              <w14:schemeClr w14:val="tx1"/>
            </w14:solidFill>
          </w14:textFill>
        </w:rPr>
        <w:outlineLvl w:val="3"/>
      </w:pPr>
      <w:r>
        <w:rPr>
          <w:rFonts w:hint="eastAsia" w:ascii="宋体" w:hAnsi="宋体" w:cs="宋体"/>
          <w:color w:val="000000" w:themeColor="text1"/>
          <w:sz w:val="24"/>
          <w:szCs w:val="24"/>
          <w14:textFill>
            <w14:solidFill>
              <w14:schemeClr w14:val="tx1"/>
            </w14:solidFill>
          </w14:textFill>
        </w:rPr>
        <w:t xml:space="preserve">7、</w:t>
      </w:r>
      <w:r>
        <w:rPr>
          <w:rFonts w:hint="eastAsia" w:ascii="宋体" w:hAnsi="宋体" w:cs="宋体"/>
          <w:color w:val="000000"/>
          <w:sz w:val="24"/>
          <w:szCs w:val="24"/>
          <w:lang w:bidi="ar"/>
        </w:rPr>
        <w:t xml:space="preserve">详细配置一览表、项目实施方案</w:t>
      </w:r>
      <w:r/>
    </w:p>
    <w:p>
      <w:pPr>
        <w:ind w:firstLine="789"/>
        <w:spacing w:line="480" w:lineRule="exact"/>
        <w:rPr>
          <w:rFonts w:ascii="宋体" w:hAnsi="宋体" w:cs="宋体"/>
          <w:color w:val="000000" w:themeColor="text1"/>
          <w:sz w:val="24"/>
          <w:szCs w:val="24"/>
          <w14:textFill>
            <w14:solidFill>
              <w14:schemeClr w14:val="tx1"/>
            </w14:solidFill>
          </w14:textFill>
        </w:rPr>
      </w:pPr>
      <w:r/>
      <w:bookmarkStart w:id="125" w:name="_Toc49090510"/>
      <w:r/>
      <w:bookmarkStart w:id="126" w:name="_Toc14577359"/>
      <w:r>
        <w:rPr>
          <w:rFonts w:hint="eastAsia" w:ascii="宋体" w:hAnsi="宋体" w:cs="宋体"/>
          <w:color w:val="000000" w:themeColor="text1"/>
          <w:sz w:val="24"/>
          <w:szCs w:val="24"/>
          <w14:textFill>
            <w14:solidFill>
              <w14:schemeClr w14:val="tx1"/>
            </w14:solidFill>
          </w14:textFill>
        </w:rPr>
        <w:t xml:space="preserve">7.1投标人需根据招标文件要求对拟提供货</w:t>
      </w:r>
      <w:r>
        <w:rPr>
          <w:rFonts w:hint="eastAsia" w:ascii="宋体" w:hAnsi="宋体" w:cs="宋体"/>
          <w:color w:val="000000" w:themeColor="text1"/>
          <w:sz w:val="24"/>
          <w:szCs w:val="24"/>
          <w:lang w:val="zh-CN"/>
          <w14:textFill>
            <w14:solidFill>
              <w14:schemeClr w14:val="tx1"/>
            </w14:solidFill>
          </w14:textFill>
        </w:rPr>
        <w:t xml:space="preserve">物的详细配置</w:t>
      </w:r>
      <w:r>
        <w:rPr>
          <w:rFonts w:hint="eastAsia" w:ascii="宋体" w:hAnsi="宋体" w:cs="宋体"/>
          <w:color w:val="000000" w:themeColor="text1"/>
          <w:sz w:val="24"/>
          <w:szCs w:val="24"/>
          <w14:textFill>
            <w14:solidFill>
              <w14:schemeClr w14:val="tx1"/>
            </w14:solidFill>
          </w14:textFill>
        </w:rPr>
        <w:t xml:space="preserve">情况</w:t>
      </w:r>
      <w:r>
        <w:rPr>
          <w:rFonts w:hint="eastAsia" w:ascii="宋体" w:hAnsi="宋体" w:cs="宋体"/>
          <w:color w:val="000000" w:themeColor="text1"/>
          <w:sz w:val="24"/>
          <w:szCs w:val="24"/>
          <w:lang w:val="zh-CN"/>
          <w14:textFill>
            <w14:solidFill>
              <w14:schemeClr w14:val="tx1"/>
            </w14:solidFill>
          </w14:textFill>
        </w:rPr>
        <w:t xml:space="preserve">进行说明。</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7.2投标人需根据招标文件要求对相关的项目实施方案情况进行</w:t>
      </w:r>
      <w:r>
        <w:rPr>
          <w:rFonts w:hint="eastAsia" w:ascii="宋体" w:hAnsi="宋体" w:cs="宋体"/>
          <w:color w:val="000000" w:themeColor="text1"/>
          <w:sz w:val="24"/>
          <w:szCs w:val="24"/>
          <w:lang w:val="zh-CN"/>
          <w14:textFill>
            <w14:solidFill>
              <w14:schemeClr w14:val="tx1"/>
            </w14:solidFill>
          </w14:textFill>
        </w:rPr>
        <w:t xml:space="preserve">说明。</w:t>
      </w:r>
      <w:r/>
    </w:p>
    <w:p>
      <w:pPr>
        <w:ind w:firstLine="480"/>
        <w:keepLines/>
        <w:keepNext/>
        <w:spacing w:line="440" w:lineRule="exact"/>
        <w:rPr>
          <w:rFonts w:ascii="宋体" w:hAnsi="宋体" w:cs="宋体"/>
          <w:color w:val="000000"/>
          <w:sz w:val="24"/>
          <w:szCs w:val="24"/>
        </w:rPr>
        <w:outlineLvl w:val="3"/>
      </w:pPr>
      <w:r>
        <w:rPr>
          <w:rFonts w:hint="eastAsia" w:ascii="宋体" w:hAnsi="宋体" w:cs="宋体"/>
          <w:color w:val="000000"/>
          <w:sz w:val="24"/>
          <w:szCs w:val="24"/>
          <w:lang w:bidi="ar"/>
        </w:rPr>
        <w:t xml:space="preserve">8、业绩情况</w:t>
      </w:r>
      <w:r/>
    </w:p>
    <w:p>
      <w:pPr>
        <w:ind w:firstLine="789"/>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sz w:val="24"/>
          <w:szCs w:val="24"/>
          <w:lang w:bidi="ar"/>
        </w:rPr>
        <w:t xml:space="preserve">8.1业绩情况：投标人需根据招标文件要求提供</w:t>
      </w:r>
      <w:bookmarkStart w:id="127" w:name="OLE_LINK286"/>
      <w:r>
        <w:rPr>
          <w:rFonts w:hint="eastAsia" w:ascii="宋体" w:hAnsi="宋体" w:cs="宋体"/>
          <w:color w:val="000000"/>
          <w:sz w:val="24"/>
          <w:szCs w:val="24"/>
          <w:lang w:bidi="ar"/>
        </w:rPr>
        <w:t xml:space="preserve">实施的</w:t>
      </w:r>
      <w:bookmarkEnd w:id="127"/>
      <w:r>
        <w:rPr>
          <w:rFonts w:hint="eastAsia" w:ascii="宋体" w:hAnsi="宋体" w:cs="宋体"/>
          <w:color w:val="000000"/>
          <w:sz w:val="24"/>
          <w:szCs w:val="24"/>
          <w:lang w:bidi="ar"/>
        </w:rPr>
        <w:t xml:space="preserve">类似项目业绩。</w:t>
      </w:r>
      <w:r/>
    </w:p>
    <w:p>
      <w:pPr>
        <w:ind w:firstLine="480"/>
        <w:keepLines/>
        <w:keepNext/>
        <w:spacing w:line="480" w:lineRule="exact"/>
        <w:rPr>
          <w:rFonts w:ascii="宋体" w:hAnsi="宋体" w:cs="宋体"/>
          <w:color w:val="000000" w:themeColor="text1"/>
          <w:sz w:val="24"/>
          <w:szCs w:val="24"/>
          <w14:textFill>
            <w14:solidFill>
              <w14:schemeClr w14:val="tx1"/>
            </w14:solidFill>
          </w14:textFill>
        </w:rPr>
        <w:outlineLvl w:val="3"/>
      </w:pPr>
      <w:r>
        <w:rPr>
          <w:rFonts w:hint="eastAsia" w:ascii="宋体" w:hAnsi="宋体" w:cs="宋体"/>
          <w:color w:val="000000" w:themeColor="text1"/>
          <w:sz w:val="24"/>
          <w:szCs w:val="24"/>
          <w14:textFill>
            <w14:solidFill>
              <w14:schemeClr w14:val="tx1"/>
            </w14:solidFill>
          </w14:textFill>
        </w:rPr>
        <w:t xml:space="preserve">9、其他</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9.1 投标人需根据招标文件要求提供的其他证明材料。</w:t>
      </w:r>
      <w:bookmarkEnd w:id="125"/>
      <w:bookmarkEnd w:id="126"/>
      <w:r/>
    </w:p>
    <w:p>
      <w:pPr>
        <w:ind w:firstLine="480"/>
        <w:keepLines/>
        <w:keepNext/>
        <w:spacing w:line="480" w:lineRule="exact"/>
        <w:rPr>
          <w:rFonts w:ascii="宋体" w:hAnsi="宋体" w:cs="宋体"/>
          <w:color w:val="000000" w:themeColor="text1"/>
          <w:sz w:val="24"/>
          <w:szCs w:val="24"/>
          <w14:textFill>
            <w14:solidFill>
              <w14:schemeClr w14:val="tx1"/>
            </w14:solidFill>
          </w14:textFill>
        </w:rPr>
        <w:outlineLvl w:val="3"/>
      </w:pPr>
      <w:r/>
      <w:bookmarkStart w:id="128" w:name="_Toc14577360"/>
      <w:r/>
      <w:bookmarkStart w:id="129" w:name="_Toc49090511"/>
      <w:r>
        <w:rPr>
          <w:rFonts w:hint="eastAsia" w:ascii="宋体" w:hAnsi="宋体" w:cs="宋体"/>
          <w:color w:val="000000" w:themeColor="text1"/>
          <w:sz w:val="24"/>
          <w:szCs w:val="24"/>
          <w14:textFill>
            <w14:solidFill>
              <w14:schemeClr w14:val="tx1"/>
            </w14:solidFill>
          </w14:textFill>
        </w:rPr>
        <w:t xml:space="preserve">10、投标有效期</w:t>
      </w:r>
      <w:bookmarkEnd w:id="128"/>
      <w:r/>
      <w:bookmarkEnd w:id="129"/>
      <w:r/>
      <w:r/>
    </w:p>
    <w:p>
      <w:pPr>
        <w:ind w:firstLine="789"/>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10.1投标有效期为代理机构</w:t>
      </w:r>
      <w:r>
        <w:rPr>
          <w:rFonts w:hint="eastAsia" w:ascii="宋体" w:hAnsi="宋体" w:cs="宋体"/>
          <w:bCs/>
          <w:color w:val="000000" w:themeColor="text1"/>
          <w:sz w:val="24"/>
          <w:szCs w:val="24"/>
          <w14:textFill>
            <w14:solidFill>
              <w14:schemeClr w14:val="tx1"/>
            </w14:solidFill>
          </w14:textFill>
        </w:rPr>
        <w:t xml:space="preserve">规定的开标之日后</w:t>
      </w:r>
      <w:r>
        <w:rPr>
          <w:rFonts w:hint="eastAsia" w:ascii="宋体" w:hAnsi="宋体" w:cs="宋体"/>
          <w:b/>
          <w:color w:val="000000" w:themeColor="text1"/>
          <w:sz w:val="24"/>
          <w:szCs w:val="24"/>
          <w:u w:val="single"/>
          <w14:textFill>
            <w14:solidFill>
              <w14:schemeClr w14:val="tx1"/>
            </w14:solidFill>
          </w14:textFill>
        </w:rPr>
        <w:t xml:space="preserve">六十（60）天</w:t>
      </w:r>
      <w:r>
        <w:rPr>
          <w:rFonts w:hint="eastAsia" w:ascii="宋体" w:hAnsi="宋体" w:cs="宋体"/>
          <w:bCs/>
          <w:color w:val="000000" w:themeColor="text1"/>
          <w:sz w:val="24"/>
          <w:szCs w:val="24"/>
          <w14:textFill>
            <w14:solidFill>
              <w14:schemeClr w14:val="tx1"/>
            </w14:solidFill>
          </w14:textFill>
        </w:rPr>
        <w:t xml:space="preserve">。投标有效期比规定短的将被视为未实质性响应招标文件而予以拒绝。</w:t>
      </w:r>
      <w:r/>
    </w:p>
    <w:p>
      <w:pPr>
        <w:ind w:firstLine="480"/>
        <w:keepLines/>
        <w:keepNext/>
        <w:spacing w:line="480" w:lineRule="exact"/>
        <w:rPr>
          <w:rFonts w:ascii="宋体" w:hAnsi="宋体" w:cs="宋体"/>
          <w:color w:val="000000" w:themeColor="text1"/>
          <w:sz w:val="24"/>
          <w:szCs w:val="24"/>
          <w14:textFill>
            <w14:solidFill>
              <w14:schemeClr w14:val="tx1"/>
            </w14:solidFill>
          </w14:textFill>
        </w:rPr>
        <w:outlineLvl w:val="3"/>
      </w:pPr>
      <w:r>
        <w:rPr>
          <w:rFonts w:hint="eastAsia" w:ascii="宋体" w:hAnsi="宋体" w:cs="宋体"/>
          <w:color w:val="000000" w:themeColor="text1"/>
          <w:sz w:val="24"/>
          <w:szCs w:val="24"/>
          <w14:textFill>
            <w14:solidFill>
              <w14:schemeClr w14:val="tx1"/>
            </w14:solidFill>
          </w14:textFill>
        </w:rPr>
        <w:t xml:space="preserve">11、投标有效期的延长</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ind w:firstLine="562"/>
        <w:keepLines/>
        <w:keepNext/>
        <w:spacing w:line="480" w:lineRule="exact"/>
        <w:rPr>
          <w:rFonts w:ascii="宋体" w:hAnsi="宋体" w:cs="宋体"/>
          <w:b/>
          <w:bCs/>
          <w:color w:val="000000" w:themeColor="text1"/>
          <w:sz w:val="28"/>
          <w:szCs w:val="28"/>
          <w14:textFill>
            <w14:solidFill>
              <w14:schemeClr w14:val="tx1"/>
            </w14:solidFill>
          </w14:textFill>
        </w:rPr>
        <w:outlineLvl w:val="1"/>
      </w:pPr>
      <w:r/>
      <w:bookmarkStart w:id="130" w:name="_Hlt26954739"/>
      <w:r/>
      <w:bookmarkEnd w:id="130"/>
      <w:r/>
      <w:bookmarkStart w:id="131" w:name="_Hlt26954852"/>
      <w:r/>
      <w:bookmarkEnd w:id="131"/>
      <w:r/>
      <w:bookmarkStart w:id="132" w:name="_Toc20823296"/>
      <w:r/>
      <w:bookmarkStart w:id="133" w:name="_Toc513029224"/>
      <w:r/>
      <w:bookmarkStart w:id="134" w:name="_Toc228349831"/>
      <w:r/>
      <w:bookmarkStart w:id="135" w:name="_Toc16938540"/>
      <w:r/>
      <w:bookmarkStart w:id="136" w:name="_Toc120614217"/>
      <w:r>
        <w:rPr>
          <w:rFonts w:hint="eastAsia" w:ascii="宋体" w:hAnsi="宋体" w:cs="宋体"/>
          <w:b/>
          <w:bCs/>
          <w:color w:val="000000" w:themeColor="text1"/>
          <w:sz w:val="28"/>
          <w:szCs w:val="28"/>
          <w14:textFill>
            <w14:solidFill>
              <w14:schemeClr w14:val="tx1"/>
            </w14:solidFill>
          </w14:textFill>
        </w:rPr>
        <w:t xml:space="preserve">四、投标文件的递交</w:t>
      </w:r>
      <w:bookmarkEnd w:id="132"/>
      <w:r/>
      <w:bookmarkEnd w:id="133"/>
      <w:r/>
      <w:bookmarkEnd w:id="134"/>
      <w:r/>
      <w:bookmarkEnd w:id="135"/>
      <w:r/>
      <w:bookmarkEnd w:id="136"/>
      <w:r/>
      <w:r/>
    </w:p>
    <w:p>
      <w:pPr>
        <w:ind w:firstLine="480"/>
        <w:keepLines/>
        <w:keepNext/>
        <w:spacing w:line="480" w:lineRule="exact"/>
        <w:rPr>
          <w:rFonts w:ascii="宋体" w:hAnsi="宋体" w:cs="宋体"/>
          <w:color w:val="000000" w:themeColor="text1"/>
          <w:sz w:val="24"/>
          <w:szCs w:val="24"/>
          <w14:textFill>
            <w14:solidFill>
              <w14:schemeClr w14:val="tx1"/>
            </w14:solidFill>
          </w14:textFill>
        </w:rPr>
        <w:outlineLvl w:val="3"/>
      </w:pPr>
      <w:r/>
      <w:bookmarkStart w:id="137" w:name="_Toc20823297"/>
      <w:r/>
      <w:bookmarkStart w:id="138" w:name="_Toc16938541"/>
      <w:r/>
      <w:bookmarkStart w:id="139" w:name="_Toc513029225"/>
      <w:r/>
      <w:bookmarkStart w:id="140" w:name="_Toc462564084"/>
      <w:r>
        <w:rPr>
          <w:rFonts w:hint="eastAsia" w:ascii="宋体" w:hAnsi="宋体" w:cs="宋体"/>
          <w:color w:val="000000" w:themeColor="text1"/>
          <w:sz w:val="24"/>
          <w:szCs w:val="24"/>
          <w14:textFill>
            <w14:solidFill>
              <w14:schemeClr w14:val="tx1"/>
            </w14:solidFill>
          </w14:textFill>
        </w:rPr>
        <w:t xml:space="preserve">1、电子投标文件</w:t>
      </w:r>
      <w:bookmarkEnd w:id="137"/>
      <w:r/>
      <w:bookmarkEnd w:id="138"/>
      <w:r/>
      <w:bookmarkEnd w:id="139"/>
      <w:r/>
      <w:bookmarkEnd w:id="140"/>
      <w:r>
        <w:rPr>
          <w:rFonts w:hint="eastAsia" w:ascii="宋体" w:hAnsi="宋体" w:cs="宋体"/>
          <w:color w:val="000000" w:themeColor="text1"/>
          <w:sz w:val="24"/>
          <w:szCs w:val="24"/>
          <w14:textFill>
            <w14:solidFill>
              <w14:schemeClr w14:val="tx1"/>
            </w14:solidFill>
          </w14:textFill>
        </w:rPr>
        <w:t xml:space="preserve">的递交</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1.1投标人应当按照《苏采云系统供应商操作手册》规定，在投标截止时间前制作并上传电子投标文件。</w:t>
      </w:r>
      <w:bookmarkStart w:id="141" w:name="_Toc16938542"/>
      <w:r/>
      <w:bookmarkStart w:id="142" w:name="_Toc20823298"/>
      <w:r/>
      <w:bookmarkStart w:id="143" w:name="_Toc513029226"/>
      <w:r/>
      <w:r/>
    </w:p>
    <w:p>
      <w:pPr>
        <w:ind w:firstLine="480"/>
        <w:keepLines/>
        <w:keepNext/>
        <w:spacing w:line="480" w:lineRule="exact"/>
        <w:rPr>
          <w:rFonts w:ascii="宋体" w:hAnsi="宋体" w:cs="宋体"/>
          <w:bCs/>
          <w:color w:val="000000" w:themeColor="text1"/>
          <w:sz w:val="24"/>
          <w:szCs w:val="24"/>
          <w14:textFill>
            <w14:solidFill>
              <w14:schemeClr w14:val="tx1"/>
            </w14:solidFill>
          </w14:textFill>
        </w:rPr>
        <w:outlineLvl w:val="3"/>
      </w:pPr>
      <w:r>
        <w:rPr>
          <w:rFonts w:hint="eastAsia" w:ascii="宋体" w:hAnsi="宋体" w:cs="宋体"/>
          <w:bCs/>
          <w:color w:val="000000" w:themeColor="text1"/>
          <w:sz w:val="24"/>
          <w:szCs w:val="24"/>
          <w14:textFill>
            <w14:solidFill>
              <w14:schemeClr w14:val="tx1"/>
            </w14:solidFill>
          </w14:textFill>
        </w:rPr>
        <w:t xml:space="preserve">2、投标截止日期</w:t>
      </w:r>
      <w:bookmarkEnd w:id="141"/>
      <w:r/>
      <w:bookmarkEnd w:id="142"/>
      <w:r/>
      <w:bookmarkEnd w:id="143"/>
      <w:r/>
      <w:r/>
    </w:p>
    <w:p>
      <w:pPr>
        <w:ind w:firstLine="789"/>
        <w:spacing w:line="480" w:lineRule="exact"/>
        <w:rPr>
          <w:rFonts w:ascii="宋体" w:hAnsi="宋体" w:cs="宋体"/>
          <w:bCs/>
          <w:iCs/>
          <w:color w:val="000000" w:themeColor="text1"/>
          <w:sz w:val="24"/>
          <w:szCs w:val="24"/>
          <w:u w:val="single"/>
          <w14:textFill>
            <w14:solidFill>
              <w14:schemeClr w14:val="tx1"/>
            </w14:solidFill>
          </w14:textFill>
        </w:rPr>
      </w:pPr>
      <w:r>
        <w:rPr>
          <w:rFonts w:hint="eastAsia" w:ascii="宋体" w:hAnsi="宋体" w:cs="宋体"/>
          <w:iCs/>
          <w:color w:val="000000" w:themeColor="text1"/>
          <w:sz w:val="24"/>
          <w:szCs w:val="24"/>
          <w:u w:val="single"/>
          <w14:textFill>
            <w14:solidFill>
              <w14:schemeClr w14:val="tx1"/>
            </w14:solidFill>
          </w14:textFill>
        </w:rPr>
        <w:t xml:space="preserve">2.1</w:t>
      </w:r>
      <w:r>
        <w:rPr>
          <w:rFonts w:hint="eastAsia" w:ascii="宋体" w:hAnsi="宋体" w:cs="宋体"/>
          <w:bCs/>
          <w:iCs/>
          <w:color w:val="000000" w:themeColor="text1"/>
          <w:sz w:val="24"/>
          <w:szCs w:val="24"/>
          <w:u w:val="single"/>
          <w14:textFill>
            <w14:solidFill>
              <w14:schemeClr w14:val="tx1"/>
            </w14:solidFill>
          </w14:textFill>
        </w:rPr>
        <w:t xml:space="preserve"> 投标人上传电子投标文件的时间不得迟于招标公告中规定的投标截止时间。</w:t>
      </w:r>
      <w:r/>
    </w:p>
    <w:p>
      <w:pPr>
        <w:ind w:firstLine="480"/>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投标人应充分考虑到网络环境、网络带宽等风险因素，如因投标人自身原因造成的电子投标文件上传不成功的按照本招标文件第二章第27.1.2条规定做无效投标处理。</w:t>
      </w:r>
      <w:r/>
    </w:p>
    <w:p>
      <w:pPr>
        <w:ind w:firstLine="789"/>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w:t>
      </w:r>
      <w:r>
        <w:rPr>
          <w:rFonts w:hint="eastAsia" w:ascii="宋体" w:hAnsi="宋体" w:cs="宋体"/>
          <w:bCs/>
          <w:color w:val="000000" w:themeColor="text1"/>
          <w:sz w:val="24"/>
          <w:szCs w:val="24"/>
          <w14:textFill>
            <w14:solidFill>
              <w14:schemeClr w14:val="tx1"/>
            </w14:solidFill>
          </w14:textFill>
        </w:rPr>
        <w:t xml:space="preserve"> 代理机构可以按照规定，通过修改招标文件酌情延长投标截止日期，在此情况下，投标人的所有权利和义务以及投标人受制的截止日期均应以延长后新的截止日期为准。</w:t>
      </w:r>
      <w:r/>
    </w:p>
    <w:p>
      <w:pPr>
        <w:ind w:firstLine="480"/>
        <w:keepLines/>
        <w:keepNext/>
        <w:spacing w:line="480" w:lineRule="exact"/>
        <w:rPr>
          <w:rFonts w:ascii="宋体" w:hAnsi="宋体" w:cs="宋体"/>
          <w:color w:val="000000" w:themeColor="text1"/>
          <w:sz w:val="24"/>
          <w:szCs w:val="24"/>
          <w14:textFill>
            <w14:solidFill>
              <w14:schemeClr w14:val="tx1"/>
            </w14:solidFill>
          </w14:textFill>
        </w:rPr>
        <w:outlineLvl w:val="3"/>
      </w:pPr>
      <w:r/>
      <w:bookmarkStart w:id="144" w:name="_Toc513029227"/>
      <w:r/>
      <w:bookmarkStart w:id="145" w:name="_Toc20823299"/>
      <w:r/>
      <w:bookmarkStart w:id="146" w:name="_Toc16938543"/>
      <w:r>
        <w:rPr>
          <w:rFonts w:hint="eastAsia" w:ascii="宋体" w:hAnsi="宋体" w:cs="宋体"/>
          <w:color w:val="000000" w:themeColor="text1"/>
          <w:sz w:val="24"/>
          <w:szCs w:val="24"/>
          <w14:textFill>
            <w14:solidFill>
              <w14:schemeClr w14:val="tx1"/>
            </w14:solidFill>
          </w14:textFill>
        </w:rPr>
        <w:t xml:space="preserve">3、投标文件</w:t>
      </w:r>
      <w:bookmarkEnd w:id="144"/>
      <w:r/>
      <w:bookmarkEnd w:id="145"/>
      <w:r/>
      <w:bookmarkEnd w:id="146"/>
      <w:r>
        <w:rPr>
          <w:rFonts w:hint="eastAsia" w:ascii="宋体" w:hAnsi="宋体" w:cs="宋体"/>
          <w:color w:val="000000" w:themeColor="text1"/>
          <w:sz w:val="24"/>
          <w:szCs w:val="24"/>
          <w14:textFill>
            <w14:solidFill>
              <w14:schemeClr w14:val="tx1"/>
            </w14:solidFill>
          </w14:textFill>
        </w:rPr>
        <w:t xml:space="preserve">的拒收</w:t>
      </w:r>
      <w:r/>
    </w:p>
    <w:p>
      <w:pPr>
        <w:ind w:firstLine="789"/>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3.1 代理机构拒绝接收在其规定的投标截止时间后上传的任何投标文件。</w:t>
      </w:r>
      <w:r/>
    </w:p>
    <w:p>
      <w:pPr>
        <w:ind w:firstLine="480"/>
        <w:keepLines/>
        <w:keepNext/>
        <w:spacing w:line="480" w:lineRule="exact"/>
        <w:rPr>
          <w:rFonts w:ascii="宋体" w:hAnsi="宋体" w:cs="宋体"/>
          <w:color w:val="000000" w:themeColor="text1"/>
          <w:sz w:val="24"/>
          <w:szCs w:val="24"/>
          <w14:textFill>
            <w14:solidFill>
              <w14:schemeClr w14:val="tx1"/>
            </w14:solidFill>
          </w14:textFill>
        </w:rPr>
        <w:outlineLvl w:val="3"/>
      </w:pPr>
      <w:r/>
      <w:bookmarkStart w:id="147" w:name="_Toc16938544"/>
      <w:r/>
      <w:bookmarkStart w:id="148" w:name="_Toc513029228"/>
      <w:r/>
      <w:bookmarkStart w:id="149" w:name="_Toc20823300"/>
      <w:r>
        <w:rPr>
          <w:rFonts w:hint="eastAsia" w:ascii="宋体" w:hAnsi="宋体" w:cs="宋体"/>
          <w:color w:val="000000" w:themeColor="text1"/>
          <w:sz w:val="24"/>
          <w:szCs w:val="24"/>
          <w14:textFill>
            <w14:solidFill>
              <w14:schemeClr w14:val="tx1"/>
            </w14:solidFill>
          </w14:textFill>
        </w:rPr>
        <w:t xml:space="preserve">4、投标文件的撤回和修改</w:t>
      </w:r>
      <w:bookmarkEnd w:id="147"/>
      <w:r/>
      <w:bookmarkEnd w:id="148"/>
      <w:r/>
      <w:bookmarkEnd w:id="149"/>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4.1 投标文件的撤回</w:t>
      </w:r>
      <w:r/>
    </w:p>
    <w:p>
      <w:pPr>
        <w:ind w:firstLine="960"/>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4.1.1 电子投标文件的撤回</w:t>
      </w:r>
      <w:r/>
    </w:p>
    <w:p>
      <w:pPr>
        <w:ind w:firstLine="480"/>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投标人可在投标截止时间前，撤回其电子投标文件，具体操作方法见《苏采云系统供应商操作手册》。</w:t>
      </w:r>
      <w:r/>
    </w:p>
    <w:p>
      <w:pPr>
        <w:ind w:firstLine="960"/>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4.1.2 投标人撤回电子投标文件，则认为其不再参与本项目投标活动。</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4.2 投标文件的修改</w:t>
      </w:r>
      <w:r/>
    </w:p>
    <w:p>
      <w:pPr>
        <w:ind w:firstLine="960"/>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4.2.1投标人可在投标截止时间前，对其电子投标文件进行修改，具体操作方法见《苏采云系统供应商操作手册》。</w:t>
      </w:r>
      <w:r/>
    </w:p>
    <w:p>
      <w:pPr>
        <w:ind w:firstLine="960"/>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4.2.2 在投标截止时间之后，投标人不得对其电子投标文件作任何修改。</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4.3 在投标截止时间至招标文件中规定的投标有效期满之间的这段时间内，投标人不得撤回其投标。</w:t>
      </w:r>
      <w:r/>
    </w:p>
    <w:p>
      <w:pPr>
        <w:ind w:firstLine="562"/>
        <w:keepLines/>
        <w:keepNext/>
        <w:spacing w:line="480" w:lineRule="exact"/>
        <w:rPr>
          <w:rFonts w:ascii="宋体" w:hAnsi="宋体" w:cs="宋体"/>
          <w:b/>
          <w:bCs/>
          <w:color w:val="000000" w:themeColor="text1"/>
          <w:sz w:val="28"/>
          <w:szCs w:val="28"/>
          <w14:textFill>
            <w14:solidFill>
              <w14:schemeClr w14:val="tx1"/>
            </w14:solidFill>
          </w14:textFill>
        </w:rPr>
        <w:outlineLvl w:val="1"/>
      </w:pPr>
      <w:r/>
      <w:bookmarkStart w:id="150" w:name="_Toc513029229"/>
      <w:r/>
      <w:bookmarkStart w:id="151" w:name="_Toc120614218"/>
      <w:r/>
      <w:bookmarkStart w:id="152" w:name="_Toc20823301"/>
      <w:r/>
      <w:bookmarkStart w:id="153" w:name="_Toc16938545"/>
      <w:r/>
      <w:bookmarkStart w:id="154" w:name="_Toc228349832"/>
      <w:r>
        <w:rPr>
          <w:rFonts w:hint="eastAsia" w:ascii="宋体" w:hAnsi="宋体" w:cs="宋体"/>
          <w:b/>
          <w:bCs/>
          <w:color w:val="000000" w:themeColor="text1"/>
          <w:sz w:val="28"/>
          <w:szCs w:val="28"/>
          <w14:textFill>
            <w14:solidFill>
              <w14:schemeClr w14:val="tx1"/>
            </w14:solidFill>
          </w14:textFill>
        </w:rPr>
        <w:t xml:space="preserve">五、开标与评标</w:t>
      </w:r>
      <w:bookmarkEnd w:id="150"/>
      <w:r/>
      <w:bookmarkEnd w:id="151"/>
      <w:r/>
      <w:bookmarkEnd w:id="152"/>
      <w:r/>
      <w:bookmarkEnd w:id="153"/>
      <w:r/>
      <w:bookmarkEnd w:id="154"/>
      <w:r/>
      <w:r/>
    </w:p>
    <w:p>
      <w:pPr>
        <w:ind w:firstLine="480"/>
        <w:keepLines/>
        <w:keepNext/>
        <w:spacing w:line="480" w:lineRule="exact"/>
        <w:rPr>
          <w:rFonts w:ascii="宋体" w:hAnsi="宋体" w:cs="宋体"/>
          <w:color w:val="000000" w:themeColor="text1"/>
          <w:sz w:val="24"/>
          <w:szCs w:val="24"/>
          <w14:textFill>
            <w14:solidFill>
              <w14:schemeClr w14:val="tx1"/>
            </w14:solidFill>
          </w14:textFill>
        </w:rPr>
        <w:outlineLvl w:val="3"/>
      </w:pPr>
      <w:r/>
      <w:bookmarkStart w:id="155" w:name="_Toc16938546"/>
      <w:r/>
      <w:bookmarkStart w:id="156" w:name="_Toc20823302"/>
      <w:r/>
      <w:bookmarkStart w:id="157" w:name="_Toc513029230"/>
      <w:r>
        <w:rPr>
          <w:rFonts w:hint="eastAsia" w:ascii="宋体" w:hAnsi="宋体" w:cs="宋体"/>
          <w:color w:val="000000" w:themeColor="text1"/>
          <w:sz w:val="24"/>
          <w:szCs w:val="24"/>
          <w14:textFill>
            <w14:solidFill>
              <w14:schemeClr w14:val="tx1"/>
            </w14:solidFill>
          </w14:textFill>
        </w:rPr>
        <w:t xml:space="preserve">1、开标</w:t>
      </w:r>
      <w:bookmarkEnd w:id="155"/>
      <w:r/>
      <w:bookmarkEnd w:id="156"/>
      <w:r/>
      <w:bookmarkEnd w:id="157"/>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 代理机构将在招标公告中规定的时间和地点组织公开开标。投标人应当按照《苏采云系统供应商操作手册》规定，参加开标活动和在苏采云系统规定的时间内对投标文件进行解密。</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1.2开标仪式由代理机构组织。苏采云系统将自动对项目进行开标，并宣布各投标人名称和投标价格。</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1.3投标人在开标过程中涉及到的投标文件解密、开标结果确认等工作，应按照《苏采云系统供应商操作手册》规定执行。</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1.4投标人如果对开标过程和开标记录有疑义，应当根据《操作手册》规定提出，如苏采云系统中《开标记录表》宣布后5分钟内未提出的，视同认可开标结果。</w:t>
      </w:r>
      <w:r/>
    </w:p>
    <w:p>
      <w:pPr>
        <w:ind w:firstLine="480"/>
        <w:keepLines/>
        <w:keepNext/>
        <w:spacing w:line="480" w:lineRule="exact"/>
        <w:rPr>
          <w:rFonts w:ascii="宋体" w:hAnsi="宋体" w:cs="宋体"/>
          <w:color w:val="000000" w:themeColor="text1"/>
          <w:sz w:val="24"/>
          <w:szCs w:val="24"/>
          <w14:textFill>
            <w14:solidFill>
              <w14:schemeClr w14:val="tx1"/>
            </w14:solidFill>
          </w14:textFill>
        </w:rPr>
        <w:outlineLvl w:val="3"/>
      </w:pPr>
      <w:r/>
      <w:bookmarkStart w:id="158" w:name="_Toc20823303"/>
      <w:r/>
      <w:bookmarkStart w:id="159" w:name="_Toc16938547"/>
      <w:r/>
      <w:bookmarkStart w:id="160" w:name="_Toc513029231"/>
      <w:r>
        <w:rPr>
          <w:rFonts w:hint="eastAsia" w:ascii="宋体" w:hAnsi="宋体" w:cs="宋体"/>
          <w:color w:val="000000" w:themeColor="text1"/>
          <w:sz w:val="24"/>
          <w:szCs w:val="24"/>
          <w14:textFill>
            <w14:solidFill>
              <w14:schemeClr w14:val="tx1"/>
            </w14:solidFill>
          </w14:textFill>
        </w:rPr>
        <w:t xml:space="preserve">2、评标委员会</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 开标后，代理机构将立即组织评标委员会（以下简称评委会）进行评标。</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 评委会由采购人代表和有关技术、经济等方面的专家组成，且人员构成符合政府采购有关规定。</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2.3评委会独立工作，负责评审所有投标文件并确定中标侯选人。</w:t>
      </w:r>
      <w:r/>
    </w:p>
    <w:p>
      <w:pPr>
        <w:ind w:firstLine="480"/>
        <w:keepLines/>
        <w:keepNext/>
        <w:spacing w:line="480" w:lineRule="exact"/>
        <w:rPr>
          <w:rFonts w:ascii="宋体" w:hAnsi="宋体" w:cs="宋体"/>
          <w:color w:val="000000" w:themeColor="text1"/>
          <w:sz w:val="24"/>
          <w:szCs w:val="24"/>
          <w14:textFill>
            <w14:solidFill>
              <w14:schemeClr w14:val="tx1"/>
            </w14:solidFill>
          </w14:textFill>
        </w:rPr>
        <w:outlineLvl w:val="3"/>
      </w:pPr>
      <w:r>
        <w:rPr>
          <w:rFonts w:hint="eastAsia" w:ascii="宋体" w:hAnsi="宋体" w:cs="宋体"/>
          <w:color w:val="000000" w:themeColor="text1"/>
          <w:sz w:val="24"/>
          <w:szCs w:val="24"/>
          <w14:textFill>
            <w14:solidFill>
              <w14:schemeClr w14:val="tx1"/>
            </w14:solidFill>
          </w14:textFill>
        </w:rPr>
        <w:t xml:space="preserve">3．评标过程的保密与公正</w:t>
      </w:r>
      <w:bookmarkEnd w:id="158"/>
      <w:bookmarkEnd w:id="159"/>
      <w:bookmarkEnd w:id="160"/>
      <w:r/>
    </w:p>
    <w:p>
      <w:pPr>
        <w:ind w:firstLine="789"/>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w:t>
      </w:r>
      <w:r>
        <w:rPr>
          <w:rFonts w:hint="eastAsia" w:ascii="宋体" w:hAnsi="宋体" w:cs="宋体"/>
          <w:bCs/>
          <w:color w:val="000000" w:themeColor="text1"/>
          <w:sz w:val="24"/>
          <w:szCs w:val="24"/>
          <w14:textFill>
            <w14:solidFill>
              <w14:schemeClr w14:val="tx1"/>
            </w14:solidFill>
          </w14:textFill>
        </w:rPr>
        <w:t xml:space="preserve">凡是与审查、澄清、评价和比较投标的有关资料以及授标建议等，采购人、评委、代理机构均不得向投标人或与评标无关的其他人员透露。</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3.2在评标过程中，投标人不得以任何行为影响评标过程，否则其投标文件将被作为无效投标文件。</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3.3 代理机构和评委会不向未中标的投标人解释未中标原因，也不公布评标过程中的相关细节。</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3.4 采用综合评分法的项目，未中标的投标人可于中标结果公告期限届满之日起通过苏采云系统查看自己的评审得分及排序情况。</w:t>
      </w:r>
      <w:r/>
    </w:p>
    <w:p>
      <w:pPr>
        <w:ind w:firstLine="480"/>
        <w:keepLines/>
        <w:keepNext/>
        <w:spacing w:line="480" w:lineRule="exact"/>
        <w:rPr>
          <w:rFonts w:ascii="宋体" w:hAnsi="宋体" w:cs="宋体"/>
          <w:color w:val="000000" w:themeColor="text1"/>
          <w:sz w:val="24"/>
          <w:szCs w:val="24"/>
          <w14:textFill>
            <w14:solidFill>
              <w14:schemeClr w14:val="tx1"/>
            </w14:solidFill>
          </w14:textFill>
        </w:rPr>
        <w:outlineLvl w:val="3"/>
      </w:pPr>
      <w:r/>
      <w:bookmarkStart w:id="161" w:name="_Toc16938548"/>
      <w:r/>
      <w:bookmarkStart w:id="162" w:name="_Toc20823304"/>
      <w:r/>
      <w:bookmarkStart w:id="163" w:name="_Toc513029232"/>
      <w:r>
        <w:rPr>
          <w:rFonts w:hint="eastAsia" w:ascii="宋体" w:hAnsi="宋体" w:cs="宋体"/>
          <w:color w:val="000000" w:themeColor="text1"/>
          <w:sz w:val="24"/>
          <w:szCs w:val="24"/>
          <w14:textFill>
            <w14:solidFill>
              <w14:schemeClr w14:val="tx1"/>
            </w14:solidFill>
          </w14:textFill>
        </w:rPr>
        <w:t xml:space="preserve">4. 投标文件的澄清</w:t>
      </w:r>
      <w:bookmarkEnd w:id="161"/>
      <w:r/>
      <w:bookmarkEnd w:id="162"/>
      <w:r/>
      <w:bookmarkEnd w:id="163"/>
      <w:r/>
      <w:r/>
    </w:p>
    <w:p>
      <w:pPr>
        <w:ind w:firstLine="789"/>
        <w:spacing w:line="480" w:lineRule="exact"/>
        <w:rPr>
          <w:rFonts w:ascii="宋体" w:hAnsi="宋体" w:cs="宋体"/>
          <w:color w:val="000000" w:themeColor="text1"/>
          <w:sz w:val="24"/>
          <w:szCs w:val="24"/>
          <w14:textFill>
            <w14:solidFill>
              <w14:schemeClr w14:val="tx1"/>
            </w14:solidFill>
          </w14:textFill>
        </w:rPr>
      </w:pPr>
      <w:r/>
      <w:bookmarkStart w:id="164" w:name="_Toc513029233"/>
      <w:r/>
      <w:bookmarkStart w:id="165" w:name="_Toc16938549"/>
      <w:r/>
      <w:bookmarkStart w:id="166" w:name="_Toc20823305"/>
      <w:r>
        <w:rPr>
          <w:rFonts w:hint="eastAsia" w:ascii="宋体" w:hAnsi="宋体" w:cs="宋体"/>
          <w:color w:val="000000" w:themeColor="text1"/>
          <w:sz w:val="24"/>
          <w:szCs w:val="24"/>
          <w14:textFill>
            <w14:solidFill>
              <w14:schemeClr w14:val="tx1"/>
            </w14:solidFill>
          </w14:textFill>
        </w:rPr>
        <w:t xml:space="preserve">4.1评标期间，评委会对投标文件中含义不明确、同类问题表述不一致或者有明显文字和计算错误的内容 ，有权要求投标人作出必要的澄清、说明或者补正。</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投标人的澄清、说明或者补正不得超出投标文件的范围或者改变投标文件的实质性内容。</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评标委员会并非对每个投标人都做澄清要求。</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苏采云系统供应商操作手册》。</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4.3 接到评委会澄清、说明和补正要求的投标人如未按规定做出澄清、说明和补正，其风险由投标人自行承担。</w:t>
      </w:r>
      <w:r/>
    </w:p>
    <w:p>
      <w:pPr>
        <w:ind w:firstLine="480"/>
        <w:keepLines/>
        <w:keepNext/>
        <w:spacing w:line="480" w:lineRule="exact"/>
        <w:rPr>
          <w:rFonts w:ascii="宋体" w:hAnsi="宋体" w:cs="宋体"/>
          <w:color w:val="000000" w:themeColor="text1"/>
          <w:sz w:val="24"/>
          <w:szCs w:val="24"/>
          <w14:textFill>
            <w14:solidFill>
              <w14:schemeClr w14:val="tx1"/>
            </w14:solidFill>
          </w14:textFill>
        </w:rPr>
        <w:outlineLvl w:val="3"/>
      </w:pPr>
      <w:r>
        <w:rPr>
          <w:rFonts w:hint="eastAsia" w:ascii="宋体" w:hAnsi="宋体" w:cs="宋体"/>
          <w:color w:val="000000" w:themeColor="text1"/>
          <w:sz w:val="24"/>
          <w:szCs w:val="24"/>
          <w14:textFill>
            <w14:solidFill>
              <w14:schemeClr w14:val="tx1"/>
            </w14:solidFill>
          </w14:textFill>
        </w:rPr>
        <w:t xml:space="preserve">5. 对投标文件的初审</w:t>
      </w:r>
      <w:bookmarkEnd w:id="164"/>
      <w:r/>
      <w:bookmarkEnd w:id="165"/>
      <w:r/>
      <w:bookmarkEnd w:id="166"/>
      <w:r/>
      <w:r/>
    </w:p>
    <w:p>
      <w:pPr>
        <w:ind w:firstLine="789"/>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5.1</w:t>
      </w:r>
      <w:r>
        <w:rPr>
          <w:rFonts w:hint="eastAsia" w:ascii="宋体" w:hAnsi="宋体" w:cs="宋体"/>
          <w:bCs/>
          <w:color w:val="000000" w:themeColor="text1"/>
          <w:sz w:val="24"/>
          <w:szCs w:val="24"/>
          <w14:textFill>
            <w14:solidFill>
              <w14:schemeClr w14:val="tx1"/>
            </w14:solidFill>
          </w14:textFill>
        </w:rPr>
        <w:t xml:space="preserve">投标文件初审分为资格审查和符合性审查。</w:t>
      </w:r>
      <w:r/>
    </w:p>
    <w:p>
      <w:pPr>
        <w:ind w:firstLine="1027"/>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5.1.1 资格审查：依据法律法规和招标文件的规定，由采购人对投标文件中的资格证明文件进行审查。资格审查的结论，采购人以书面形式向评委会进行反馈。</w:t>
      </w:r>
      <w:r/>
    </w:p>
    <w:p>
      <w:pPr>
        <w:ind w:firstLine="789"/>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采购人在进行资格性审查的同时，将在</w:t>
      </w:r>
      <w:r>
        <w:rPr>
          <w:rFonts w:hint="eastAsia" w:cs="宋体"/>
          <w:color w:val="000000" w:themeColor="text1"/>
          <w:sz w:val="24"/>
          <w:szCs w:val="24"/>
          <w14:textFill>
            <w14:solidFill>
              <w14:schemeClr w14:val="tx1"/>
            </w14:solidFill>
          </w14:textFill>
        </w:rPr>
        <w:t xml:space="preserve">中国政府采购网</w:t>
      </w:r>
      <w:r>
        <w:rPr>
          <w:rFonts w:cs="宋体"/>
          <w:color w:val="000000" w:themeColor="text1"/>
          <w:sz w:val="24"/>
          <w:szCs w:val="24"/>
          <w14:textFill>
            <w14:solidFill>
              <w14:schemeClr w14:val="tx1"/>
            </w14:solidFill>
          </w14:textFill>
        </w:rPr>
        <w:t xml:space="preserve">(http://www.ccgp.gov.cn/search/cr/)、信用中国（https://www.creditchina.gov.cn/）、信用江苏（http://credit.jiangsu.gov.cn/）、信用中国（江苏苏州）（https://credit.suzhou.gov.cn/）</w:t>
      </w:r>
      <w:r>
        <w:rPr>
          <w:rFonts w:hint="eastAsia" w:ascii="宋体" w:hAnsi="宋体" w:cs="宋体"/>
          <w:bCs/>
          <w:color w:val="000000" w:themeColor="text1"/>
          <w:sz w:val="24"/>
          <w:szCs w:val="24"/>
          <w14:textFill>
            <w14:solidFill>
              <w14:schemeClr w14:val="tx1"/>
            </w14:solidFill>
          </w14:textFill>
        </w:rPr>
        <w:t xml:space="preserve">等查询投标人的信用记录，以确定投标人是否具备投标资格,查询结果留存并归档。</w:t>
      </w:r>
      <w:r/>
    </w:p>
    <w:p>
      <w:pPr>
        <w:ind w:firstLine="789"/>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1027"/>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5.1.2 符合性审查：依据招标文件的规定，由评委会从投标文件的有效性、完整性和对招标文件的响应程度进行审查，以确定是否对招标文件的实质性要求作出响应。</w:t>
      </w:r>
      <w:r/>
    </w:p>
    <w:p>
      <w:pPr>
        <w:ind w:firstLine="1027"/>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5.1.3 未通过资格审查或符合性审查的投标人，代理机构将在苏采云系统中告知未通过资格审查或符合性审查的原因，评审结束后，代理机构将不再告知未通过资格审查或符合性审查的原因。</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color w:val="000000" w:themeColor="text1"/>
          <w:sz w:val="24"/>
          <w:szCs w:val="24"/>
          <w14:textFill>
            <w14:solidFill>
              <w14:schemeClr w14:val="tx1"/>
            </w14:solidFill>
          </w14:textFill>
        </w:rPr>
        <w:t xml:space="preserve">评委决定投标文件的响应性只根据投标文件本身的内容，而不寻求外部的证据。</w:t>
      </w:r>
      <w:r/>
    </w:p>
    <w:p>
      <w:pPr>
        <w:ind w:firstLine="789"/>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5.3</w:t>
      </w:r>
      <w:r>
        <w:rPr>
          <w:rFonts w:hint="eastAsia" w:ascii="宋体" w:hAnsi="宋体" w:cs="宋体"/>
          <w:bCs/>
          <w:color w:val="000000" w:themeColor="text1"/>
          <w:sz w:val="24"/>
          <w:szCs w:val="24"/>
          <w14:textFill>
            <w14:solidFill>
              <w14:schemeClr w14:val="tx1"/>
            </w14:solidFill>
          </w14:textFill>
        </w:rPr>
        <w:t xml:space="preserve">如果投标文件实质上没有响应招标文件的要求，评委会将予以拒绝，投标人不得通过修改或撤销不合要求的偏离或保留而使其投标成为实质性响应的投标。</w:t>
      </w:r>
      <w:r/>
    </w:p>
    <w:p>
      <w:pPr>
        <w:ind w:firstLine="789"/>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5.4</w:t>
      </w:r>
      <w:r>
        <w:rPr>
          <w:rFonts w:hint="eastAsia" w:ascii="宋体" w:hAnsi="宋体" w:cs="宋体"/>
          <w:bCs/>
          <w:color w:val="000000" w:themeColor="text1"/>
          <w:sz w:val="24"/>
          <w:szCs w:val="24"/>
          <w14:textFill>
            <w14:solidFill>
              <w14:schemeClr w14:val="tx1"/>
            </w14:solidFill>
          </w14:textFill>
        </w:rPr>
        <w:t xml:space="preserve">评委会将对确定为实质性响应的投标进行进一步审核，看其是否有计算上或累加上的算术错误，修正错误的原则如下：</w:t>
      </w:r>
      <w:r/>
    </w:p>
    <w:p>
      <w:pPr>
        <w:ind w:firstLine="789"/>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（1）投标文件中开标一览表内容与投标文件中相应内容不一致的，以开标一览表为准。</w:t>
      </w:r>
      <w:r/>
    </w:p>
    <w:p>
      <w:pPr>
        <w:ind w:firstLine="789"/>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（2）大写金额和小写金额不一致的，以大写金额为准。</w:t>
      </w:r>
      <w:r/>
    </w:p>
    <w:p>
      <w:pPr>
        <w:ind w:firstLine="789"/>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（3）单价金额小数点或者百分比有明显错位的，以开标一览表的总价为准，并修改单价。</w:t>
      </w:r>
      <w:r/>
    </w:p>
    <w:p>
      <w:pPr>
        <w:ind w:firstLine="789"/>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（4）总价金额与按单价汇总金额不一致的，以单价金额计算结果为准。</w:t>
      </w:r>
      <w:r/>
    </w:p>
    <w:p>
      <w:pPr>
        <w:ind w:firstLine="960"/>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同时出现两种以上错误的，按照前款规定的顺序修正。</w:t>
      </w:r>
      <w:r/>
    </w:p>
    <w:p>
      <w:pPr>
        <w:ind w:firstLine="789"/>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5.5</w:t>
      </w:r>
      <w:r>
        <w:rPr>
          <w:rFonts w:hint="eastAsia" w:ascii="宋体" w:hAnsi="宋体" w:cs="宋体"/>
          <w:bCs/>
          <w:color w:val="000000" w:themeColor="text1"/>
          <w:sz w:val="24"/>
          <w:szCs w:val="24"/>
          <w14:textFill>
            <w14:solidFill>
              <w14:schemeClr w14:val="tx1"/>
            </w14:solidFill>
          </w14:textFill>
        </w:rPr>
        <w:t xml:space="preserve">评委会将按上述修正错误的方法调整投标文件中的投标报价，并通过</w:t>
      </w:r>
      <w:r>
        <w:rPr>
          <w:rFonts w:hint="eastAsia" w:ascii="宋体" w:hAnsi="宋体" w:cs="宋体"/>
          <w:color w:val="000000" w:themeColor="text1"/>
          <w:sz w:val="24"/>
          <w:szCs w:val="24"/>
          <w14:textFill>
            <w14:solidFill>
              <w14:schemeClr w14:val="tx1"/>
            </w14:solidFill>
          </w14:textFill>
        </w:rPr>
        <w:t xml:space="preserve">苏采云系统</w:t>
      </w:r>
      <w:r>
        <w:rPr>
          <w:rFonts w:hint="eastAsia" w:ascii="宋体" w:hAnsi="宋体" w:cs="宋体"/>
          <w:bCs/>
          <w:color w:val="000000" w:themeColor="text1"/>
          <w:sz w:val="24"/>
          <w:szCs w:val="24"/>
          <w14:textFill>
            <w14:solidFill>
              <w14:schemeClr w14:val="tx1"/>
            </w14:solidFill>
          </w14:textFill>
        </w:rPr>
        <w:t xml:space="preserve">告知投标人，调整后的价格应对投标人具有约束力。如果投标人不接受修正后的价格，则其投标将被拒绝。</w:t>
      </w:r>
      <w:r/>
    </w:p>
    <w:p>
      <w:pPr>
        <w:ind w:firstLine="789"/>
        <w:spacing w:line="480" w:lineRule="exact"/>
        <w:rPr>
          <w:rFonts w:ascii="宋体" w:hAnsi="宋体" w:cs="宋体"/>
          <w:color w:val="000000" w:themeColor="text1"/>
          <w:sz w:val="24"/>
          <w:szCs w:val="24"/>
          <w14:textFill>
            <w14:solidFill>
              <w14:schemeClr w14:val="tx1"/>
            </w14:solidFill>
          </w14:textFill>
        </w:rPr>
      </w:pPr>
      <w:r/>
      <w:bookmarkStart w:id="167" w:name="_Toc16938550"/>
      <w:r/>
      <w:bookmarkStart w:id="168" w:name="_Toc513029234"/>
      <w:r/>
      <w:bookmarkStart w:id="169" w:name="_Toc20823306"/>
      <w:r>
        <w:rPr>
          <w:rFonts w:hint="eastAsia" w:ascii="宋体" w:hAnsi="宋体" w:cs="宋体"/>
          <w:color w:val="000000" w:themeColor="text1"/>
          <w:sz w:val="24"/>
          <w:szCs w:val="24"/>
          <w14:textFill>
            <w14:solidFill>
              <w14:schemeClr w14:val="tx1"/>
            </w14:solidFill>
          </w14:textFill>
        </w:rPr>
        <w:t xml:space="preserve">5.6使用综合评分法的采购项目，评委会将对通过资格性和符合性检查的投标人进行综合评审，按评审后得分由高到低顺序排列。评审得分相同的，由</w:t>
      </w:r>
      <w:r>
        <w:rPr>
          <w:rFonts w:hint="eastAsia" w:ascii="宋体" w:hAnsi="宋体" w:cs="宋体"/>
          <w:bCs/>
          <w:color w:val="000000" w:themeColor="text1"/>
          <w:sz w:val="24"/>
          <w:szCs w:val="24"/>
          <w14:textFill>
            <w14:solidFill>
              <w14:schemeClr w14:val="tx1"/>
            </w14:solidFill>
          </w14:textFill>
        </w:rPr>
        <w:t xml:space="preserve">评委会</w:t>
      </w:r>
      <w:r>
        <w:rPr>
          <w:rFonts w:hint="eastAsia" w:ascii="宋体" w:hAnsi="宋体" w:cs="宋体"/>
          <w:color w:val="000000" w:themeColor="text1"/>
          <w:sz w:val="24"/>
          <w:szCs w:val="24"/>
          <w14:textFill>
            <w14:solidFill>
              <w14:schemeClr w14:val="tx1"/>
            </w14:solidFill>
          </w14:textFill>
        </w:rPr>
        <w:t xml:space="preserve">根据招标文件规定的方式（招标文件未规定的采取随机抽取的方式）确定一个中标候选人。</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5.7投标人在开、评标全过程中应保持通讯畅通，及时登录苏采云系统查阅、答复相关信息，并安排专人与代理机构及</w:t>
      </w:r>
      <w:r>
        <w:rPr>
          <w:rFonts w:hint="eastAsia" w:ascii="宋体" w:hAnsi="宋体" w:cs="宋体"/>
          <w:bCs/>
          <w:color w:val="000000" w:themeColor="text1"/>
          <w:sz w:val="24"/>
          <w:szCs w:val="24"/>
          <w14:textFill>
            <w14:solidFill>
              <w14:schemeClr w14:val="tx1"/>
            </w14:solidFill>
          </w14:textFill>
        </w:rPr>
        <w:t xml:space="preserve">评委会</w:t>
      </w:r>
      <w:r>
        <w:rPr>
          <w:rFonts w:hint="eastAsia" w:ascii="宋体" w:hAnsi="宋体" w:cs="宋体"/>
          <w:color w:val="000000" w:themeColor="text1"/>
          <w:sz w:val="24"/>
          <w:szCs w:val="24"/>
          <w14:textFill>
            <w14:solidFill>
              <w14:schemeClr w14:val="tx1"/>
            </w14:solidFill>
          </w14:textFill>
        </w:rPr>
        <w:t xml:space="preserve">联系。</w:t>
      </w:r>
      <w:r/>
    </w:p>
    <w:p>
      <w:pPr>
        <w:ind w:firstLine="480"/>
        <w:keepLines/>
        <w:keepNext/>
        <w:spacing w:line="480" w:lineRule="exact"/>
        <w:rPr>
          <w:rFonts w:ascii="宋体" w:hAnsi="宋体" w:cs="宋体"/>
          <w:color w:val="000000" w:themeColor="text1"/>
          <w:sz w:val="24"/>
          <w:szCs w:val="24"/>
          <w14:textFill>
            <w14:solidFill>
              <w14:schemeClr w14:val="tx1"/>
            </w14:solidFill>
          </w14:textFill>
        </w:rPr>
        <w:outlineLvl w:val="3"/>
      </w:pPr>
      <w:r>
        <w:rPr>
          <w:rFonts w:hint="eastAsia" w:ascii="宋体" w:hAnsi="宋体" w:cs="宋体"/>
          <w:color w:val="000000" w:themeColor="text1"/>
          <w:sz w:val="24"/>
          <w:szCs w:val="24"/>
          <w14:textFill>
            <w14:solidFill>
              <w14:schemeClr w14:val="tx1"/>
            </w14:solidFill>
          </w14:textFill>
        </w:rPr>
        <w:t xml:space="preserve">6</w:t>
      </w:r>
      <w:bookmarkEnd w:id="167"/>
      <w:r/>
      <w:bookmarkEnd w:id="168"/>
      <w:r/>
      <w:bookmarkEnd w:id="169"/>
      <w:r>
        <w:rPr>
          <w:rFonts w:hint="eastAsia" w:ascii="宋体" w:hAnsi="宋体" w:cs="宋体"/>
          <w:color w:val="000000" w:themeColor="text1"/>
          <w:sz w:val="24"/>
          <w:szCs w:val="24"/>
          <w14:textFill>
            <w14:solidFill>
              <w14:schemeClr w14:val="tx1"/>
            </w14:solidFill>
          </w14:textFill>
        </w:rPr>
        <w:t xml:space="preserve">.无效投标条款和废标条款</w:t>
      </w:r>
      <w:r/>
    </w:p>
    <w:p>
      <w:pPr>
        <w:ind w:firstLine="789"/>
        <w:spacing w:line="480" w:lineRule="exact"/>
        <w:rPr>
          <w:rFonts w:ascii="宋体" w:hAnsi="宋体" w:cs="宋体"/>
          <w:color w:val="000000" w:themeColor="text1"/>
          <w:sz w:val="24"/>
          <w:szCs w:val="24"/>
          <w14:textFill>
            <w14:solidFill>
              <w14:schemeClr w14:val="tx1"/>
            </w14:solidFill>
          </w14:textFill>
        </w:rPr>
      </w:pPr>
      <w:r/>
      <w:bookmarkStart w:id="170" w:name="_Toc20823307"/>
      <w:r/>
      <w:bookmarkStart w:id="171" w:name="_Toc16938551"/>
      <w:r/>
      <w:bookmarkStart w:id="172" w:name="_Toc513029235"/>
      <w:r>
        <w:rPr>
          <w:rFonts w:hint="eastAsia" w:ascii="宋体" w:hAnsi="宋体" w:cs="宋体"/>
          <w:color w:val="000000" w:themeColor="text1"/>
          <w:sz w:val="24"/>
          <w:szCs w:val="24"/>
          <w14:textFill>
            <w14:solidFill>
              <w14:schemeClr w14:val="tx1"/>
            </w14:solidFill>
          </w14:textFill>
        </w:rPr>
        <w:t xml:space="preserve">6.1无效投标条款</w:t>
      </w:r>
      <w:r/>
    </w:p>
    <w:p>
      <w:pPr>
        <w:ind w:firstLine="1027"/>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6.1.1 投标人在苏采云系统规定的时间内未成功解密电子投标文件的。</w:t>
      </w:r>
      <w:r/>
    </w:p>
    <w:p>
      <w:pPr>
        <w:ind w:firstLine="1027"/>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6.1.2 投标人未按照招标文件要求上传电子投标文件的。</w:t>
      </w:r>
      <w:r/>
    </w:p>
    <w:p>
      <w:pPr>
        <w:ind w:firstLine="1027"/>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6.1.3同一投标人提交两个（含两个）以上不同的投标报价的。</w:t>
      </w:r>
      <w:r/>
    </w:p>
    <w:p>
      <w:pPr>
        <w:ind w:firstLine="1027"/>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6.1.4投标人不具备招标文件中规定资格要求的。</w:t>
      </w:r>
      <w:r/>
    </w:p>
    <w:p>
      <w:pPr>
        <w:ind w:firstLine="1027"/>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6.1.5投标人的报价超过了采购预算或最高限价的。</w:t>
      </w:r>
      <w:r/>
    </w:p>
    <w:p>
      <w:pPr>
        <w:ind w:firstLine="1027"/>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6.1.6未通过符合性审查的。</w:t>
      </w:r>
      <w:r/>
    </w:p>
    <w:p>
      <w:pPr>
        <w:ind w:firstLine="1027"/>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6.1.7不符合招标文件中规定的实质性要求和条件的</w:t>
      </w:r>
      <w:r>
        <w:rPr>
          <w:rFonts w:hint="eastAsia" w:ascii="宋体" w:hAnsi="宋体"/>
          <w:bCs/>
          <w:color w:val="000000" w:themeColor="text1"/>
          <w:sz w:val="24"/>
          <w:szCs w:val="21"/>
          <w14:textFill>
            <w14:solidFill>
              <w14:schemeClr w14:val="tx1"/>
            </w14:solidFill>
          </w14:textFill>
        </w:rPr>
        <w:t xml:space="preserve">（</w:t>
      </w:r>
      <w:r>
        <w:rPr>
          <w:rFonts w:hint="eastAsia" w:ascii="宋体" w:hAnsi="宋体"/>
          <w:bCs/>
          <w:i/>
          <w:color w:val="000000" w:themeColor="text1"/>
          <w:sz w:val="24"/>
          <w:szCs w:val="21"/>
          <w:u w:val="single"/>
          <w14:textFill>
            <w14:solidFill>
              <w14:schemeClr w14:val="tx1"/>
            </w14:solidFill>
          </w14:textFill>
        </w:rPr>
        <w:t xml:space="preserve">本招标文件中斜体且有下划线部分为实质性要求和条件）</w:t>
      </w:r>
      <w:r>
        <w:rPr>
          <w:rFonts w:hint="eastAsia" w:ascii="宋体" w:hAnsi="宋体" w:cs="宋体"/>
          <w:bCs/>
          <w:color w:val="000000" w:themeColor="text1"/>
          <w:sz w:val="24"/>
          <w:szCs w:val="24"/>
          <w14:textFill>
            <w14:solidFill>
              <w14:schemeClr w14:val="tx1"/>
            </w14:solidFill>
          </w14:textFill>
        </w:rPr>
        <w:t xml:space="preserve">。</w:t>
      </w:r>
      <w:r/>
    </w:p>
    <w:p>
      <w:pPr>
        <w:ind w:firstLine="1027"/>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6.1.8 投标人在中国政府采购网、信用中国网站、信用江苏网站、信用中国（江苏苏州）网站存在下列依法拒绝投标人参加政府采购的失信信息的。</w:t>
      </w:r>
      <w:r/>
    </w:p>
    <w:p>
      <w:pPr>
        <w:ind w:firstLine="720"/>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（1）政府采购严重违法记录，即投标人被全国各级财政部门列入“政府采购严重违法失信行为记录名单”，且在处罚有效期内的。</w:t>
      </w:r>
      <w:r/>
    </w:p>
    <w:p>
      <w:pPr>
        <w:ind w:firstLine="720"/>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投标文件日未满三年的。</w:t>
      </w:r>
      <w:r/>
    </w:p>
    <w:p>
      <w:pPr>
        <w:ind w:firstLine="1027"/>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6.1.9  投标文件含有采购人不能接受的附加条件的。</w:t>
      </w:r>
      <w:r/>
    </w:p>
    <w:p>
      <w:pPr>
        <w:ind w:firstLine="1027"/>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6.1.10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ind w:firstLine="1027"/>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1027"/>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6.1.12 投标文件未按照招标文件要求加盖CA电子公章的。</w:t>
      </w:r>
      <w:r/>
    </w:p>
    <w:p>
      <w:pPr>
        <w:ind w:firstLine="1027"/>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6.1.13其他法律、法规及本招标文件规定的属无效投标的情形。</w:t>
      </w:r>
      <w:r/>
    </w:p>
    <w:p>
      <w:pPr>
        <w:ind w:left="479" w:firstLine="240"/>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6.2废标条款</w:t>
      </w:r>
      <w:r/>
    </w:p>
    <w:p>
      <w:pPr>
        <w:ind w:left="479" w:firstLine="480"/>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6.2.1符合专业条件的供应商或者对招标文件作实质响应的供应商不足三家的。</w:t>
      </w:r>
      <w:r/>
    </w:p>
    <w:p>
      <w:pPr>
        <w:ind w:left="479" w:firstLine="480"/>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6.2.2出现影响采购公正的违法、违规行为的。</w:t>
      </w:r>
      <w:r/>
    </w:p>
    <w:p>
      <w:pPr>
        <w:ind w:left="479" w:firstLine="480"/>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6.2.3因重大变故，采购任务取消的。</w:t>
      </w:r>
      <w:r/>
    </w:p>
    <w:p>
      <w:pPr>
        <w:ind w:left="479" w:firstLine="480"/>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6.2.4评标委员会认定招标文件存在歧义、重大缺陷导致评审工作无法进行。</w:t>
      </w:r>
      <w:r/>
    </w:p>
    <w:p>
      <w:pPr>
        <w:ind w:left="479" w:firstLine="480"/>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6.2.5 因</w:t>
      </w:r>
      <w:r>
        <w:rPr>
          <w:rFonts w:hint="eastAsia" w:ascii="宋体" w:hAnsi="宋体" w:cs="宋体"/>
          <w:color w:val="000000" w:themeColor="text1"/>
          <w:sz w:val="24"/>
          <w:szCs w:val="24"/>
          <w14:textFill>
            <w14:solidFill>
              <w14:schemeClr w14:val="tx1"/>
            </w14:solidFill>
          </w14:textFill>
        </w:rPr>
        <w:t xml:space="preserve">苏采云系统</w:t>
      </w:r>
      <w:r>
        <w:rPr>
          <w:rFonts w:hint="eastAsia" w:ascii="宋体" w:hAnsi="宋体" w:cs="宋体"/>
          <w:bCs/>
          <w:color w:val="000000" w:themeColor="text1"/>
          <w:sz w:val="24"/>
          <w:szCs w:val="24"/>
          <w14:textFill>
            <w14:solidFill>
              <w14:schemeClr w14:val="tx1"/>
            </w14:solidFill>
          </w14:textFill>
        </w:rPr>
        <w:t xml:space="preserve">系统故障原因造成开标不成功的。</w:t>
      </w:r>
      <w:r/>
    </w:p>
    <w:p>
      <w:pPr>
        <w:ind w:left="479" w:firstLine="240"/>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6.3 投标截止时间结束后参加投标的供应商不足三家的处理：</w:t>
      </w:r>
      <w:r/>
    </w:p>
    <w:p>
      <w:pPr>
        <w:ind w:firstLine="1027"/>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6.3.1如出现投标截止时间结束后参加投标的供应商或者在评标期间对招标文件做出实质响应的供应商不足三家情况，按政府采购相关规定执行。</w:t>
      </w:r>
      <w:r/>
    </w:p>
    <w:p>
      <w:pPr>
        <w:ind w:firstLine="562"/>
        <w:keepLines/>
        <w:keepNext/>
        <w:spacing w:line="480" w:lineRule="exact"/>
        <w:rPr>
          <w:rFonts w:ascii="宋体" w:hAnsi="宋体" w:cs="宋体"/>
          <w:b/>
          <w:bCs/>
          <w:color w:val="000000" w:themeColor="text1"/>
          <w:sz w:val="28"/>
          <w:szCs w:val="28"/>
          <w14:textFill>
            <w14:solidFill>
              <w14:schemeClr w14:val="tx1"/>
            </w14:solidFill>
          </w14:textFill>
        </w:rPr>
        <w:outlineLvl w:val="1"/>
      </w:pPr>
      <w:r/>
      <w:bookmarkStart w:id="173" w:name="_Toc228349833"/>
      <w:r/>
      <w:bookmarkStart w:id="174" w:name="_Toc120614219"/>
      <w:r>
        <w:rPr>
          <w:rFonts w:hint="eastAsia" w:ascii="宋体" w:hAnsi="宋体" w:cs="宋体"/>
          <w:b/>
          <w:bCs/>
          <w:color w:val="000000" w:themeColor="text1"/>
          <w:sz w:val="28"/>
          <w:szCs w:val="28"/>
          <w14:textFill>
            <w14:solidFill>
              <w14:schemeClr w14:val="tx1"/>
            </w14:solidFill>
          </w14:textFill>
        </w:rPr>
        <w:t xml:space="preserve">六、</w:t>
      </w:r>
      <w:bookmarkEnd w:id="170"/>
      <w:r/>
      <w:bookmarkEnd w:id="171"/>
      <w:r/>
      <w:bookmarkEnd w:id="172"/>
      <w:r>
        <w:rPr>
          <w:rFonts w:hint="eastAsia" w:ascii="宋体" w:hAnsi="宋体" w:cs="宋体"/>
          <w:b/>
          <w:bCs/>
          <w:color w:val="000000" w:themeColor="text1"/>
          <w:sz w:val="28"/>
          <w:szCs w:val="28"/>
          <w14:textFill>
            <w14:solidFill>
              <w14:schemeClr w14:val="tx1"/>
            </w14:solidFill>
          </w14:textFill>
        </w:rPr>
        <w:t xml:space="preserve">定标</w:t>
      </w:r>
      <w:bookmarkEnd w:id="173"/>
      <w:r/>
      <w:bookmarkEnd w:id="174"/>
      <w:r/>
      <w:r/>
    </w:p>
    <w:p>
      <w:pPr>
        <w:ind w:firstLine="480"/>
        <w:keepLines/>
        <w:keepNext/>
        <w:spacing w:line="480" w:lineRule="exact"/>
        <w:rPr>
          <w:rFonts w:ascii="宋体" w:hAnsi="宋体" w:cs="宋体"/>
          <w:bCs/>
          <w:color w:val="000000" w:themeColor="text1"/>
          <w:sz w:val="24"/>
          <w:szCs w:val="24"/>
          <w14:textFill>
            <w14:solidFill>
              <w14:schemeClr w14:val="tx1"/>
            </w14:solidFill>
          </w14:textFill>
        </w:rPr>
        <w:outlineLvl w:val="3"/>
      </w:pPr>
      <w:r/>
      <w:bookmarkStart w:id="175" w:name="_Toc513029238"/>
      <w:r/>
      <w:bookmarkStart w:id="176" w:name="_Toc20823310"/>
      <w:r/>
      <w:bookmarkStart w:id="177" w:name="_Toc16938554"/>
      <w:r>
        <w:rPr>
          <w:rFonts w:hint="eastAsia" w:ascii="宋体" w:hAnsi="宋体" w:cs="宋体"/>
          <w:bCs/>
          <w:color w:val="000000" w:themeColor="text1"/>
          <w:sz w:val="24"/>
          <w:szCs w:val="24"/>
          <w14:textFill>
            <w14:solidFill>
              <w14:schemeClr w14:val="tx1"/>
            </w14:solidFill>
          </w14:textFill>
        </w:rPr>
        <w:t xml:space="preserve">1、</w:t>
      </w:r>
      <w:bookmarkEnd w:id="175"/>
      <w:r>
        <w:rPr>
          <w:rFonts w:hint="eastAsia" w:ascii="宋体" w:hAnsi="宋体" w:cs="宋体"/>
          <w:bCs/>
          <w:color w:val="000000" w:themeColor="text1"/>
          <w:sz w:val="24"/>
          <w:szCs w:val="24"/>
          <w14:textFill>
            <w14:solidFill>
              <w14:schemeClr w14:val="tx1"/>
            </w14:solidFill>
          </w14:textFill>
        </w:rPr>
        <w:t xml:space="preserve">确定</w:t>
      </w:r>
      <w:bookmarkEnd w:id="176"/>
      <w:r/>
      <w:bookmarkEnd w:id="177"/>
      <w:r>
        <w:rPr>
          <w:rFonts w:hint="eastAsia" w:ascii="宋体" w:hAnsi="宋体" w:cs="宋体"/>
          <w:bCs/>
          <w:color w:val="000000" w:themeColor="text1"/>
          <w:sz w:val="24"/>
          <w:szCs w:val="24"/>
          <w14:textFill>
            <w14:solidFill>
              <w14:schemeClr w14:val="tx1"/>
            </w14:solidFill>
          </w14:textFill>
        </w:rPr>
        <w:t xml:space="preserve">中标单位</w:t>
      </w:r>
      <w:r/>
    </w:p>
    <w:p>
      <w:pPr>
        <w:ind w:firstLine="789"/>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1.1中标候选人的选取原则和数量见招标文件第五章规定。 </w:t>
      </w:r>
      <w:r/>
    </w:p>
    <w:p>
      <w:pPr>
        <w:ind w:firstLine="789"/>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1.2 采购人应根据评委会推荐的中标候选人确定中标人。</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1.3 </w:t>
      </w:r>
      <w:r>
        <w:rPr>
          <w:rFonts w:hint="eastAsia" w:ascii="宋体" w:hAnsi="宋体" w:cs="宋体"/>
          <w:color w:val="000000" w:themeColor="text1"/>
          <w:sz w:val="24"/>
          <w:szCs w:val="24"/>
          <w14:textFill>
            <w14:solidFill>
              <w14:schemeClr w14:val="tx1"/>
            </w14:solidFill>
          </w14:textFill>
        </w:rPr>
        <w:t xml:space="preserve">代理机构将在指定媒体上发布中标公告，公告期限为1个工作日。</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  若有充分证据证明，中标人出现下列情况之一的，一经查实，将被取消中标资格：</w:t>
      </w:r>
      <w:r/>
    </w:p>
    <w:p>
      <w:pPr>
        <w:ind w:firstLine="1027"/>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1.4.1提供虚假材料谋取中标的。</w:t>
      </w:r>
      <w:r/>
    </w:p>
    <w:p>
      <w:pPr>
        <w:ind w:firstLine="1027"/>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1.4.2向采购人、代理机构行贿或者提供其他不正当利益的。</w:t>
      </w:r>
      <w:r/>
    </w:p>
    <w:p>
      <w:pPr>
        <w:ind w:firstLine="1027"/>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1.4.3属于本文件规定的无效条件，但在评标过程中又未被评委会发现的。</w:t>
      </w:r>
      <w:r/>
    </w:p>
    <w:p>
      <w:pPr>
        <w:ind w:firstLine="1027"/>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1.4.4与采购人或者其他供应商恶意串通的。</w:t>
      </w:r>
      <w:r/>
    </w:p>
    <w:p>
      <w:pPr>
        <w:ind w:firstLine="1027"/>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1.4.5采取不正当手段诋毁、排挤其他供应商的。</w:t>
      </w:r>
      <w:r/>
    </w:p>
    <w:p>
      <w:pPr>
        <w:ind w:firstLine="789"/>
        <w:spacing w:line="480" w:lineRule="exact"/>
        <w:rPr>
          <w:rFonts w:ascii="宋体" w:hAnsi="宋体" w:cs="宋体"/>
          <w:color w:val="000000" w:themeColor="text1"/>
          <w:sz w:val="24"/>
          <w:szCs w:val="24"/>
          <w14:textFill>
            <w14:solidFill>
              <w14:schemeClr w14:val="tx1"/>
            </w14:solidFill>
          </w14:textFill>
        </w:rPr>
      </w:pPr>
      <w:r/>
      <w:bookmarkStart w:id="178" w:name="_Toc200451960"/>
      <w:r>
        <w:rPr>
          <w:rFonts w:hint="eastAsia" w:ascii="宋体" w:hAnsi="宋体" w:cs="宋体"/>
          <w:color w:val="000000" w:themeColor="text1"/>
          <w:sz w:val="24"/>
          <w:szCs w:val="24"/>
          <w14:textFill>
            <w14:solidFill>
              <w14:schemeClr w14:val="tx1"/>
            </w14:solidFill>
          </w14:textFill>
        </w:rPr>
        <w:t xml:space="preserve">1.5. 有下列情形之一的，视为投标人串通投标，投标无效：</w:t>
      </w:r>
      <w:r/>
    </w:p>
    <w:p>
      <w:pPr>
        <w:ind w:firstLine="1027"/>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1.5.1不同投标人的投标文件由同一单位或者个人编制；</w:t>
      </w:r>
      <w:r/>
    </w:p>
    <w:p>
      <w:pPr>
        <w:ind w:firstLine="1027"/>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1.5.2不同投标人委托同一单位或者个人办理投标事宜；</w:t>
      </w:r>
      <w:r/>
    </w:p>
    <w:p>
      <w:pPr>
        <w:ind w:firstLine="1027"/>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1.5.3 不同投标人的投标文件载明的项目管理成员或者联系人员为同一人；</w:t>
      </w:r>
      <w:r/>
    </w:p>
    <w:p>
      <w:pPr>
        <w:ind w:firstLine="1027"/>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1.5.4不同投标人的投标文件异常一致或者投标报价呈规律性差异；</w:t>
      </w:r>
      <w:r/>
    </w:p>
    <w:p>
      <w:pPr>
        <w:ind w:firstLine="480"/>
        <w:keepLines/>
        <w:keepNext/>
        <w:spacing w:line="480" w:lineRule="exact"/>
        <w:rPr>
          <w:rFonts w:ascii="宋体" w:hAnsi="宋体" w:cs="宋体"/>
          <w:bCs/>
          <w:color w:val="000000" w:themeColor="text1"/>
          <w:sz w:val="24"/>
          <w:szCs w:val="24"/>
          <w14:textFill>
            <w14:solidFill>
              <w14:schemeClr w14:val="tx1"/>
            </w14:solidFill>
          </w14:textFill>
        </w:rPr>
        <w:outlineLvl w:val="3"/>
      </w:pPr>
      <w:r>
        <w:rPr>
          <w:rFonts w:hint="eastAsia" w:ascii="宋体" w:hAnsi="宋体" w:cs="宋体"/>
          <w:bCs/>
          <w:color w:val="000000" w:themeColor="text1"/>
          <w:sz w:val="24"/>
          <w:szCs w:val="24"/>
          <w14:textFill>
            <w14:solidFill>
              <w14:schemeClr w14:val="tx1"/>
            </w14:solidFill>
          </w14:textFill>
        </w:rPr>
        <w:t xml:space="preserve">2、质疑处理</w:t>
      </w:r>
      <w:bookmarkEnd w:id="178"/>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 提出质疑的供应商应当是参与所质疑项目采购活动的供应商。潜在供应商依法获取其可质疑的采购文件的，可以对采购文件提出质疑。请将</w:t>
      </w:r>
      <w:bookmarkStart w:id="179" w:name="_Hlk98510751"/>
      <w:r>
        <w:rPr>
          <w:rFonts w:hint="eastAsia" w:ascii="宋体" w:hAnsi="宋体" w:cs="宋体"/>
          <w:color w:val="000000" w:themeColor="text1"/>
          <w:sz w:val="24"/>
          <w:szCs w:val="24"/>
          <w14:textFill>
            <w14:solidFill>
              <w14:schemeClr w14:val="tx1"/>
            </w14:solidFill>
          </w14:textFill>
        </w:rPr>
        <w:t xml:space="preserve">获取采购文件后打印留存的《投标供应商确认函》等</w:t>
      </w:r>
      <w:bookmarkEnd w:id="179"/>
      <w:r>
        <w:rPr>
          <w:rFonts w:hint="eastAsia" w:ascii="宋体" w:hAnsi="宋体" w:cs="宋体"/>
          <w:color w:val="000000" w:themeColor="text1"/>
          <w:sz w:val="24"/>
          <w:szCs w:val="24"/>
          <w14:textFill>
            <w14:solidFill>
              <w14:schemeClr w14:val="tx1"/>
            </w14:solidFill>
          </w14:textFill>
        </w:rPr>
        <w:t xml:space="preserve">必要的证明材料与质疑函一起递交，否则不予受理。</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2.2供应商认为采购文件、采购过程和采购结果使自己的权益受到损害的，可以在知道或应知其权益受到损害之日起七个工作日内，以书面形式提出质疑。上述应知其权益受到损害之日，是指：</w:t>
      </w:r>
      <w:r/>
    </w:p>
    <w:p>
      <w:pPr>
        <w:ind w:firstLine="1027"/>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2.2.1对可以质疑的采购文件提出质疑的，为收到采购文件之日或者采购文件公告期限届满之日；</w:t>
      </w:r>
      <w:r/>
    </w:p>
    <w:p>
      <w:pPr>
        <w:ind w:firstLine="1027"/>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2.2.2对采购过程提出质疑的，为各采购程序环节结束之日；</w:t>
      </w:r>
      <w:r/>
    </w:p>
    <w:p>
      <w:pPr>
        <w:ind w:firstLine="1027"/>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2.2.3对中标或者成交结果提出质疑的，为中标或者成交结果公告期限届满之日。</w:t>
      </w:r>
      <w:r/>
    </w:p>
    <w:p>
      <w:pPr>
        <w:ind w:firstLine="1027"/>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787"/>
        <w:spacing w:line="480" w:lineRule="exact"/>
        <w:rPr>
          <w:rFonts w:ascii="宋体" w:hAnsi="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2.4代理机构只接收以纸质原件形式送达的质疑</w:t>
      </w:r>
      <w:r>
        <w:rPr>
          <w:rFonts w:hint="eastAsia" w:ascii="宋体" w:hAnsi="宋体" w:cs="宋体"/>
          <w:b/>
          <w:bCs/>
          <w:color w:val="000000" w:themeColor="text1"/>
          <w:sz w:val="24"/>
          <w:szCs w:val="24"/>
          <w14:textFill>
            <w14:solidFill>
              <w14:schemeClr w14:val="tx1"/>
            </w14:solidFill>
          </w14:textFill>
        </w:rPr>
        <w:t xml:space="preserve">（采购人和代理机构不接受未填写快递运单的快件），</w:t>
      </w:r>
      <w:r>
        <w:rPr>
          <w:rFonts w:hint="eastAsia" w:ascii="宋体" w:hAnsi="宋体" w:cs="宋体"/>
          <w:color w:val="000000" w:themeColor="text1"/>
          <w:sz w:val="24"/>
          <w14:textFill>
            <w14:solidFill>
              <w14:schemeClr w14:val="tx1"/>
            </w14:solidFill>
          </w14:textFill>
        </w:rPr>
        <w:t xml:space="preserve">质疑接收单位为苏州新一造价师价格事务所有限公司，联系地址：常熟市九里大街5号三楼，联系人：韩忆程，联系电话：18915655067</w:t>
      </w:r>
      <w:r>
        <w:rPr>
          <w:rFonts w:ascii="宋体" w:hAnsi="宋体" w:cs="宋体"/>
          <w:color w:val="000000" w:themeColor="text1"/>
          <w:sz w:val="24"/>
          <w14:textFill>
            <w14:solidFill>
              <w14:schemeClr w14:val="tx1"/>
            </w14:solidFill>
          </w14:textFill>
        </w:rPr>
        <w:t xml:space="preserve">。潜在投标人提出书面质疑必须有理、有据，不得捏造事实、提供虚假材料进行恶意质疑。否则，一经查实，将报请监管部门对该供应商进行相应的处罚。</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 以下情形的质疑不予受理</w:t>
      </w:r>
      <w:r/>
    </w:p>
    <w:p>
      <w:pPr>
        <w:ind w:firstLine="1027"/>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2.5.1 内容不符合《政府采购质疑和投诉办法》第十二条规定的质疑。</w:t>
      </w:r>
      <w:r/>
    </w:p>
    <w:p>
      <w:pPr>
        <w:ind w:firstLine="1027"/>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2.5.2 超出政府采购法定期限的质疑。</w:t>
      </w:r>
      <w:r/>
    </w:p>
    <w:p>
      <w:pPr>
        <w:ind w:firstLine="1027"/>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2.5.3 以传真、电子邮件等方式递交的非原件形式的质疑。</w:t>
      </w:r>
      <w:r/>
    </w:p>
    <w:p>
      <w:pPr>
        <w:ind w:firstLine="1027"/>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2.5.4 未参加投标活动的供应商或在投标活动中自身权益未受到损害的供应商所提出的质疑。</w:t>
      </w:r>
      <w:r/>
    </w:p>
    <w:p>
      <w:pPr>
        <w:ind w:firstLine="1027"/>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2.5.5供应商组成联合体参加投标，联合体中任何一方或多方未按要求签字、盖章、加盖公章的质疑。</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ind w:firstLine="480"/>
        <w:keepLines/>
        <w:keepNext/>
        <w:spacing w:line="480" w:lineRule="exact"/>
        <w:rPr>
          <w:rFonts w:ascii="宋体" w:hAnsi="宋体" w:cs="宋体"/>
          <w:bCs/>
          <w:color w:val="000000" w:themeColor="text1"/>
          <w:sz w:val="24"/>
          <w:szCs w:val="24"/>
          <w14:textFill>
            <w14:solidFill>
              <w14:schemeClr w14:val="tx1"/>
            </w14:solidFill>
          </w14:textFill>
        </w:rPr>
        <w:outlineLvl w:val="3"/>
      </w:pPr>
      <w:r>
        <w:rPr>
          <w:rFonts w:hint="eastAsia" w:ascii="宋体" w:hAnsi="宋体" w:cs="宋体"/>
          <w:bCs/>
          <w:color w:val="000000" w:themeColor="text1"/>
          <w:sz w:val="24"/>
          <w:szCs w:val="24"/>
          <w14:textFill>
            <w14:solidFill>
              <w14:schemeClr w14:val="tx1"/>
            </w14:solidFill>
          </w14:textFill>
        </w:rPr>
        <w:t xml:space="preserve">3、中标通知书</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3.l</w:t>
      </w:r>
      <w:r>
        <w:rPr>
          <w:rFonts w:hint="eastAsia" w:ascii="宋体" w:hAnsi="宋体" w:cs="宋体"/>
          <w:b/>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3.2中标通知书将是合同的一个组成部分。对采购人和中标供应商均具有法律效力。中标通知书发出后，采购人改变中标结果的，或者中标供应商放弃中标项目的，应当依法承担法律责任。</w:t>
      </w:r>
      <w:r/>
    </w:p>
    <w:p>
      <w:pPr>
        <w:ind w:firstLine="562"/>
        <w:keepLines/>
        <w:keepNext/>
        <w:spacing w:line="480" w:lineRule="exact"/>
        <w:rPr>
          <w:rFonts w:ascii="宋体" w:hAnsi="宋体" w:cs="宋体"/>
          <w:b/>
          <w:bCs/>
          <w:color w:val="000000" w:themeColor="text1"/>
          <w:sz w:val="28"/>
          <w:szCs w:val="28"/>
          <w14:textFill>
            <w14:solidFill>
              <w14:schemeClr w14:val="tx1"/>
            </w14:solidFill>
          </w14:textFill>
        </w:rPr>
        <w:outlineLvl w:val="1"/>
      </w:pPr>
      <w:r/>
      <w:bookmarkStart w:id="180" w:name="_Toc120614220"/>
      <w:r/>
      <w:bookmarkStart w:id="181" w:name="_Toc228349834"/>
      <w:r/>
      <w:bookmarkStart w:id="182" w:name="_Toc513029236"/>
      <w:r/>
      <w:bookmarkStart w:id="183" w:name="_Toc20823308"/>
      <w:r/>
      <w:bookmarkStart w:id="184" w:name="_Toc16938552"/>
      <w:r>
        <w:rPr>
          <w:rFonts w:hint="eastAsia" w:ascii="宋体" w:hAnsi="宋体" w:cs="宋体"/>
          <w:b/>
          <w:bCs/>
          <w:color w:val="000000" w:themeColor="text1"/>
          <w:sz w:val="28"/>
          <w:szCs w:val="28"/>
          <w14:textFill>
            <w14:solidFill>
              <w14:schemeClr w14:val="tx1"/>
            </w14:solidFill>
          </w14:textFill>
        </w:rPr>
        <w:t xml:space="preserve">七、授予合同</w:t>
      </w:r>
      <w:bookmarkEnd w:id="180"/>
      <w:r/>
      <w:bookmarkEnd w:id="181"/>
      <w:r/>
      <w:bookmarkEnd w:id="182"/>
      <w:bookmarkEnd w:id="183"/>
      <w:bookmarkEnd w:id="184"/>
      <w:r/>
    </w:p>
    <w:p>
      <w:pPr>
        <w:ind w:firstLine="480"/>
        <w:keepLines/>
        <w:keepNext/>
        <w:spacing w:line="480" w:lineRule="exact"/>
        <w:rPr>
          <w:rFonts w:ascii="宋体" w:hAnsi="宋体" w:cs="宋体"/>
          <w:bCs/>
          <w:color w:val="000000" w:themeColor="text1"/>
          <w:sz w:val="24"/>
          <w:szCs w:val="24"/>
          <w14:textFill>
            <w14:solidFill>
              <w14:schemeClr w14:val="tx1"/>
            </w14:solidFill>
          </w14:textFill>
        </w:rPr>
        <w:outlineLvl w:val="3"/>
      </w:pPr>
      <w:r/>
      <w:bookmarkStart w:id="185" w:name="_Toc20823309"/>
      <w:r/>
      <w:bookmarkStart w:id="186" w:name="_Toc16938553"/>
      <w:r/>
      <w:bookmarkStart w:id="187" w:name="_Toc513029237"/>
      <w:r>
        <w:rPr>
          <w:rFonts w:hint="eastAsia" w:ascii="宋体" w:hAnsi="宋体" w:cs="宋体"/>
          <w:bCs/>
          <w:color w:val="000000" w:themeColor="text1"/>
          <w:sz w:val="24"/>
          <w:szCs w:val="24"/>
          <w14:textFill>
            <w14:solidFill>
              <w14:schemeClr w14:val="tx1"/>
            </w14:solidFill>
          </w14:textFill>
        </w:rPr>
        <w:t xml:space="preserve">1、签订合同</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1.l中标人应当在中标通知书发出之日起三十日内，按照招标文件确定的事项与采购人签订政府采购合同。</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w:t>
      </w:r>
      <w:r>
        <w:rPr>
          <w:rFonts w:hint="eastAsia" w:ascii="宋体" w:hAnsi="宋体" w:cs="宋体"/>
          <w:b/>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招标文件、中标人的投标文件及招标过程中有关澄清、承诺文件均应作为合同附件。</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 签订合同后，</w:t>
      </w:r>
      <w:r>
        <w:rPr>
          <w:rFonts w:hint="eastAsia" w:ascii="宋体" w:hAnsi="宋体" w:cs="宋体"/>
          <w:i/>
          <w:color w:val="000000" w:themeColor="text1"/>
          <w:sz w:val="24"/>
          <w:szCs w:val="24"/>
          <w:u w:val="single"/>
          <w14:textFill>
            <w14:solidFill>
              <w14:schemeClr w14:val="tx1"/>
            </w14:solidFill>
          </w14:textFill>
        </w:rPr>
        <w:t xml:space="preserve">中标人不得将合同标的进行转包</w:t>
      </w:r>
      <w:r>
        <w:rPr>
          <w:rFonts w:hint="eastAsia" w:ascii="宋体" w:hAnsi="宋体" w:cs="宋体"/>
          <w:color w:val="000000" w:themeColor="text1"/>
          <w:sz w:val="24"/>
          <w:szCs w:val="24"/>
          <w14:textFill>
            <w14:solidFill>
              <w14:schemeClr w14:val="tx1"/>
            </w14:solidFill>
          </w14:textFill>
        </w:rPr>
        <w:t xml:space="preserve">。未经采购人同意，中标人也不得采用分包的形式履行合同，否则采购人有权终止合同。转包或分包造成采购人损失的，中标人应承担相应赔偿责任。</w:t>
      </w:r>
      <w:r/>
    </w:p>
    <w:p>
      <w:pPr>
        <w:ind w:firstLine="480"/>
        <w:keepLines/>
        <w:keepNext/>
        <w:spacing w:line="480" w:lineRule="exact"/>
        <w:rPr>
          <w:rFonts w:ascii="宋体" w:hAnsi="宋体" w:cs="宋体"/>
          <w:bCs/>
          <w:color w:val="000000" w:themeColor="text1"/>
          <w:sz w:val="24"/>
          <w:szCs w:val="24"/>
          <w14:textFill>
            <w14:solidFill>
              <w14:schemeClr w14:val="tx1"/>
            </w14:solidFill>
          </w14:textFill>
        </w:rPr>
        <w:outlineLvl w:val="3"/>
      </w:pPr>
      <w:r>
        <w:rPr>
          <w:rFonts w:hint="eastAsia" w:ascii="宋体" w:hAnsi="宋体" w:cs="宋体"/>
          <w:bCs/>
          <w:color w:val="000000" w:themeColor="text1"/>
          <w:sz w:val="24"/>
          <w:szCs w:val="24"/>
          <w14:textFill>
            <w14:solidFill>
              <w14:schemeClr w14:val="tx1"/>
            </w14:solidFill>
          </w14:textFill>
        </w:rPr>
        <w:t xml:space="preserve">2、货物（包含与货物相关的服务）的追加</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2.1政府采购合同履行中，采购人需追加与合同标的相同的货物（包含与货物相关的服务）的，在不改变合同其他条款的前提下，可以与中标人协商签订补充合同，但所有补充合同的采购金额不超过原合同金额10%。</w:t>
      </w:r>
      <w:bookmarkEnd w:id="185"/>
      <w:bookmarkEnd w:id="186"/>
      <w:bookmarkEnd w:id="187"/>
      <w:r/>
    </w:p>
    <w:p>
      <w:pPr>
        <w:ind w:firstLine="480"/>
        <w:keepLines/>
        <w:keepNext/>
        <w:spacing w:line="480" w:lineRule="exact"/>
        <w:rPr>
          <w:rFonts w:ascii="宋体" w:hAnsi="宋体" w:cs="宋体"/>
          <w:bCs/>
          <w:color w:val="000000" w:themeColor="text1"/>
          <w:sz w:val="24"/>
          <w:szCs w:val="24"/>
          <w14:textFill>
            <w14:solidFill>
              <w14:schemeClr w14:val="tx1"/>
            </w14:solidFill>
          </w14:textFill>
        </w:rPr>
        <w:outlineLvl w:val="3"/>
      </w:pPr>
      <w:r/>
      <w:bookmarkStart w:id="188" w:name="_Toc16938558"/>
      <w:r/>
      <w:bookmarkStart w:id="189" w:name="_Toc479757207"/>
      <w:r/>
      <w:bookmarkStart w:id="190" w:name="_Toc513029242"/>
      <w:r/>
      <w:bookmarkStart w:id="191" w:name="_Toc120614221"/>
      <w:r/>
      <w:bookmarkStart w:id="192" w:name="_Toc20823314"/>
      <w:r>
        <w:rPr>
          <w:rFonts w:hint="eastAsia" w:ascii="宋体" w:hAnsi="宋体" w:cs="宋体"/>
          <w:bCs/>
          <w:color w:val="000000" w:themeColor="text1"/>
          <w:sz w:val="24"/>
          <w:szCs w:val="24"/>
          <w14:textFill>
            <w14:solidFill>
              <w14:schemeClr w14:val="tx1"/>
            </w14:solidFill>
          </w14:textFill>
        </w:rPr>
        <w:t xml:space="preserve">3、政府采购信用融资政策</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 中标供应商可凭政府采购合同办理融资贷款，详情请见苏州市政府采购网“政府采购合同信用融资”专栏。</w:t>
      </w:r>
      <w:r/>
    </w:p>
    <w:p>
      <w:pPr>
        <w:ind w:firstLine="480"/>
        <w:keepLines/>
        <w:keepNext/>
        <w:spacing w:line="480" w:lineRule="exact"/>
        <w:rPr>
          <w:rFonts w:ascii="宋体" w:hAnsi="宋体" w:cs="宋体"/>
          <w:bCs/>
          <w:color w:val="000000" w:themeColor="text1"/>
          <w:sz w:val="24"/>
          <w:szCs w:val="24"/>
          <w14:textFill>
            <w14:solidFill>
              <w14:schemeClr w14:val="tx1"/>
            </w14:solidFill>
          </w14:textFill>
        </w:rPr>
        <w:outlineLvl w:val="3"/>
      </w:pPr>
      <w:r>
        <w:rPr>
          <w:rFonts w:hint="eastAsia" w:ascii="宋体" w:hAnsi="宋体" w:cs="宋体"/>
          <w:bCs/>
          <w:color w:val="000000" w:themeColor="text1"/>
          <w:sz w:val="24"/>
          <w:szCs w:val="24"/>
          <w14:textFill>
            <w14:solidFill>
              <w14:schemeClr w14:val="tx1"/>
            </w14:solidFill>
          </w14:textFill>
        </w:rPr>
        <w:t xml:space="preserve">4、合同公示</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4.1采购合同将在签订之日起2个工作日内在指定媒体公示，涉及国家秘密、商业秘密的内容除外。</w:t>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ind w:firstLine="880"/>
        <w:jc w:val="center"/>
        <w:keepNext/>
        <w:rPr>
          <w:rFonts w:ascii="黑体" w:hAnsi="Times New Roman" w:eastAsia="黑体"/>
          <w:bCs/>
          <w:color w:val="000000" w:themeColor="text1"/>
          <w:sz w:val="44"/>
          <w:szCs w:val="28"/>
          <w14:textFill>
            <w14:solidFill>
              <w14:schemeClr w14:val="tx1"/>
            </w14:solidFill>
          </w14:textFill>
        </w:rPr>
        <w:outlineLvl w:val="0"/>
      </w:pPr>
      <w:r/>
      <w:bookmarkStart w:id="193" w:name="_Toc228349835"/>
      <w:r>
        <w:rPr>
          <w:rFonts w:hint="eastAsia" w:ascii="黑体" w:hAnsi="Times New Roman" w:eastAsia="黑体"/>
          <w:bCs/>
          <w:color w:val="000000" w:themeColor="text1"/>
          <w:sz w:val="44"/>
          <w:szCs w:val="28"/>
          <w14:textFill>
            <w14:solidFill>
              <w14:schemeClr w14:val="tx1"/>
            </w14:solidFill>
          </w14:textFill>
        </w:rPr>
        <w:t xml:space="preserve">第三章  合同</w:t>
      </w:r>
      <w:bookmarkEnd w:id="188"/>
      <w:r/>
      <w:bookmarkEnd w:id="189"/>
      <w:r/>
      <w:bookmarkEnd w:id="190"/>
      <w:r/>
      <w:bookmarkEnd w:id="191"/>
      <w:r/>
      <w:bookmarkEnd w:id="192"/>
      <w:r>
        <w:rPr>
          <w:rFonts w:hint="eastAsia" w:ascii="黑体" w:hAnsi="Times New Roman" w:eastAsia="黑体"/>
          <w:bCs/>
          <w:color w:val="000000" w:themeColor="text1"/>
          <w:sz w:val="44"/>
          <w:szCs w:val="28"/>
          <w14:textFill>
            <w14:solidFill>
              <w14:schemeClr w14:val="tx1"/>
            </w14:solidFill>
          </w14:textFill>
        </w:rPr>
        <w:t xml:space="preserve">文本</w:t>
      </w:r>
      <w:bookmarkEnd w:id="193"/>
      <w:r/>
      <w:r/>
    </w:p>
    <w:p>
      <w:pPr>
        <w:ind w:left="6241" w:right="-27"/>
        <w:jc w:val="center"/>
        <w:spacing w:line="660" w:lineRule="exact"/>
        <w:rPr>
          <w:rFonts w:ascii="宋体" w:hAnsi="宋体" w:cs="宋体"/>
          <w:bCs/>
          <w:color w:val="000000"/>
          <w:sz w:val="24"/>
          <w:szCs w:val="24"/>
        </w:rPr>
      </w:pPr>
      <w:r/>
      <w:bookmarkStart w:id="194" w:name="_Hlt16619369"/>
      <w:r/>
      <w:bookmarkEnd w:id="194"/>
      <w:r/>
      <w:bookmarkStart w:id="195" w:name="_Hlt16619350"/>
      <w:r/>
      <w:bookmarkStart w:id="196" w:name="_Toc120614244"/>
      <w:r/>
      <w:bookmarkStart w:id="197" w:name="_Toc20823346"/>
      <w:r/>
      <w:bookmarkStart w:id="198" w:name="_Toc16938590"/>
      <w:r/>
      <w:bookmarkStart w:id="199" w:name="_Toc479757211"/>
      <w:r/>
      <w:bookmarkStart w:id="200" w:name="_Toc462564139"/>
      <w:r>
        <w:rPr>
          <w:rFonts w:hint="eastAsia" w:ascii="宋体" w:hAnsi="宋体" w:cs="宋体"/>
          <w:bCs/>
          <w:color w:val="000000"/>
          <w:sz w:val="24"/>
          <w:szCs w:val="24"/>
          <w:lang w:bidi="ar"/>
        </w:rPr>
        <w:t xml:space="preserve">         编号：</w:t>
      </w:r>
      <w:r/>
    </w:p>
    <w:p>
      <w:pPr>
        <w:ind w:left="6241" w:right="-27"/>
        <w:jc w:val="right"/>
        <w:spacing w:line="440" w:lineRule="exact"/>
        <w:rPr>
          <w:rFonts w:ascii="宋体" w:hAnsi="宋体" w:cs="宋体"/>
          <w:bCs/>
          <w:color w:val="000000"/>
          <w:sz w:val="24"/>
          <w:szCs w:val="24"/>
        </w:rPr>
      </w:pPr>
      <w:r>
        <w:rPr>
          <w:rFonts w:hint="eastAsia" w:ascii="宋体" w:hAnsi="宋体" w:cs="宋体"/>
          <w:bCs/>
          <w:color w:val="000000"/>
          <w:sz w:val="24"/>
          <w:szCs w:val="24"/>
          <w:lang w:bidi="ar"/>
        </w:rPr>
        <w:t xml:space="preserve">签订地点：常熟市</w:t>
      </w:r>
      <w:r/>
    </w:p>
    <w:p>
      <w:pPr>
        <w:ind w:right="-27"/>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r>
      <w:r/>
    </w:p>
    <w:p>
      <w:pPr>
        <w:ind w:right="-27" w:firstLine="24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lang w:bidi="ar"/>
        </w:rPr>
        <w:t xml:space="preserve">甲方：</w:t>
      </w:r>
      <w:r>
        <w:rPr>
          <w:rFonts w:hint="eastAsia" w:ascii="宋体" w:hAnsi="宋体" w:cs="宋体"/>
          <w:bCs/>
          <w:color w:val="000000"/>
          <w:sz w:val="24"/>
          <w:szCs w:val="24"/>
          <w:u w:val="single"/>
          <w:lang w:bidi="ar"/>
        </w:rPr>
        <w:t xml:space="preserve">苏州工学院   </w:t>
      </w:r>
      <w:r/>
    </w:p>
    <w:p>
      <w:pPr>
        <w:ind w:right="-27" w:firstLine="240"/>
        <w:spacing w:line="480" w:lineRule="exact"/>
        <w:tabs>
          <w:tab w:val="left" w:pos="0" w:leader="none"/>
        </w:tabs>
        <w:rPr>
          <w:rFonts w:ascii="宋体" w:hAnsi="宋体" w:cs="宋体"/>
          <w:bCs/>
          <w:color w:val="000000"/>
          <w:sz w:val="24"/>
          <w:szCs w:val="24"/>
          <w:u w:val="single"/>
        </w:rPr>
      </w:pPr>
      <w:r>
        <w:rPr>
          <w:rFonts w:hint="eastAsia" w:ascii="宋体" w:hAnsi="宋体" w:cs="宋体"/>
          <w:bCs/>
          <w:color w:val="000000"/>
          <w:sz w:val="24"/>
          <w:szCs w:val="24"/>
          <w:lang w:bidi="ar"/>
        </w:rPr>
        <w:t xml:space="preserve">乙方：</w:t>
      </w:r>
      <w:r>
        <w:rPr>
          <w:rFonts w:hint="eastAsia" w:ascii="宋体" w:hAnsi="宋体" w:cs="宋体"/>
          <w:bCs/>
          <w:color w:val="000000"/>
          <w:sz w:val="24"/>
          <w:szCs w:val="24"/>
          <w:u w:val="single"/>
          <w:lang w:bidi="ar"/>
        </w:rPr>
        <w:t xml:space="preserve">                                </w:t>
      </w:r>
      <w:r/>
    </w:p>
    <w:p>
      <w:pPr>
        <w:ind w:firstLine="240"/>
        <w:spacing w:line="440" w:lineRule="exact"/>
        <w:rPr>
          <w:bCs/>
          <w:color w:val="000000"/>
          <w:sz w:val="24"/>
          <w:szCs w:val="24"/>
        </w:rPr>
      </w:pPr>
      <w:r>
        <w:rPr>
          <w:rFonts w:hint="eastAsia" w:cs="宋体"/>
          <w:bCs/>
          <w:color w:val="000000"/>
          <w:sz w:val="24"/>
          <w:szCs w:val="24"/>
          <w:lang w:bidi="ar"/>
        </w:rPr>
        <w:t xml:space="preserve">信用融资回款账户：</w:t>
      </w:r>
      <w:r>
        <w:rPr>
          <w:bCs/>
          <w:color w:val="000000"/>
          <w:sz w:val="24"/>
          <w:szCs w:val="24"/>
          <w:u w:val="single"/>
          <w:lang w:bidi="ar"/>
        </w:rPr>
        <w:t xml:space="preserve">                               </w:t>
      </w:r>
      <w:r>
        <w:rPr>
          <w:rFonts w:hint="eastAsia" w:cs="宋体"/>
          <w:bCs/>
          <w:color w:val="000000"/>
          <w:sz w:val="24"/>
          <w:szCs w:val="24"/>
          <w:lang w:bidi="ar"/>
        </w:rPr>
        <w:t xml:space="preserve">（如无可不填写）</w:t>
      </w:r>
      <w:r/>
    </w:p>
    <w:p>
      <w:pPr>
        <w:ind w:right="-27" w:firstLine="24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lang w:bidi="ar"/>
        </w:rPr>
        <w:t xml:space="preserve">开户银行：</w:t>
      </w:r>
      <w:r>
        <w:rPr>
          <w:rFonts w:hint="eastAsia" w:ascii="宋体" w:hAnsi="宋体" w:cs="宋体"/>
          <w:bCs/>
          <w:color w:val="000000"/>
          <w:sz w:val="24"/>
          <w:szCs w:val="24"/>
          <w:u w:val="single"/>
          <w:lang w:bidi="ar"/>
        </w:rPr>
        <w:t xml:space="preserve">                                       </w:t>
      </w:r>
      <w:r>
        <w:rPr>
          <w:rFonts w:hint="eastAsia" w:ascii="宋体" w:hAnsi="宋体" w:cs="宋体"/>
          <w:bCs/>
          <w:color w:val="000000"/>
          <w:sz w:val="24"/>
          <w:szCs w:val="24"/>
          <w:lang w:bidi="ar"/>
        </w:rPr>
        <w:t xml:space="preserve"> </w:t>
      </w:r>
      <w:r/>
    </w:p>
    <w:p>
      <w:pPr>
        <w:jc w:val="left"/>
        <w:spacing w:line="360" w:lineRule="auto"/>
        <w:rPr>
          <w:rFonts w:ascii="宋体" w:hAnsi="宋体" w:cs="仿宋_GB2312"/>
          <w:sz w:val="24"/>
          <w:szCs w:val="20"/>
        </w:rPr>
      </w:pPr>
      <w:r>
        <w:rPr>
          <w:rFonts w:ascii="宋体" w:hAnsi="宋体" w:cs="仿宋_GB2312"/>
          <w:sz w:val="24"/>
          <w:szCs w:val="20"/>
        </w:rPr>
      </w:r>
      <w:r/>
    </w:p>
    <w:p>
      <w:pPr>
        <w:ind w:firstLine="470"/>
        <w:spacing w:line="480" w:lineRule="exact"/>
        <w:rPr>
          <w:rFonts w:ascii="Times New Roman" w:hAnsi="Times New Roman" w:cs="宋体"/>
          <w:bCs/>
          <w:sz w:val="24"/>
          <w:szCs w:val="20"/>
          <w:lang w:bidi="ar"/>
        </w:rPr>
      </w:pPr>
      <w:r>
        <w:rPr>
          <w:rFonts w:hint="eastAsia" w:ascii="Times New Roman" w:hAnsi="Times New Roman" w:cs="宋体"/>
          <w:bCs/>
          <w:sz w:val="24"/>
          <w:szCs w:val="20"/>
          <w:lang w:bidi="ar"/>
        </w:rPr>
        <w:t xml:space="preserve">根据《中华人民共和国政府采购法》及其实施条例、《中华人民共和国民法典》等法律法规的规定，甲乙双方按照</w:t>
      </w:r>
      <w:r>
        <w:rPr>
          <w:rFonts w:hint="eastAsia" w:ascii="Times New Roman" w:hAnsi="Times New Roman" w:cs="宋体"/>
          <w:bCs/>
          <w:sz w:val="24"/>
          <w:szCs w:val="20"/>
          <w:u w:val="single"/>
          <w:lang w:bidi="ar"/>
        </w:rPr>
        <w:t xml:space="preserve">苏州工学院社会车辆租赁服务</w:t>
      </w:r>
      <w:r>
        <w:rPr>
          <w:rFonts w:hint="eastAsia" w:ascii="Times New Roman" w:hAnsi="Times New Roman" w:cs="宋体"/>
          <w:bCs/>
          <w:sz w:val="24"/>
          <w:szCs w:val="20"/>
          <w:lang w:bidi="ar"/>
        </w:rPr>
        <w:t xml:space="preserve">项目（项目编号：（</w:t>
      </w:r>
      <w:r>
        <w:rPr>
          <w:rFonts w:hint="eastAsia" w:ascii="Times New Roman" w:hAnsi="Times New Roman" w:cs="宋体"/>
          <w:bCs/>
          <w:sz w:val="24"/>
          <w:szCs w:val="20"/>
          <w:u w:val="single"/>
          <w:lang w:eastAsia="zh-CN" w:bidi="ar"/>
        </w:rPr>
        <w:t xml:space="preserve">JSZC-320581-SZXY-G2026-0012</w:t>
      </w:r>
      <w:r>
        <w:rPr>
          <w:rFonts w:hint="eastAsia" w:ascii="Times New Roman" w:hAnsi="Times New Roman" w:cs="宋体"/>
          <w:bCs/>
          <w:sz w:val="24"/>
          <w:szCs w:val="20"/>
          <w:lang w:bidi="ar"/>
        </w:rPr>
        <w:t xml:space="preserve">）（标段</w:t>
      </w:r>
      <w:r>
        <w:rPr>
          <w:rFonts w:hint="eastAsia" w:ascii="Times New Roman" w:hAnsi="Times New Roman" w:cs="宋体"/>
          <w:bCs/>
          <w:sz w:val="24"/>
          <w:szCs w:val="20"/>
          <w:u w:val="single"/>
          <w:lang w:bidi="ar"/>
        </w:rPr>
        <w:t xml:space="preserve">      </w:t>
      </w:r>
      <w:r>
        <w:rPr>
          <w:rFonts w:hint="eastAsia" w:ascii="Times New Roman" w:hAnsi="Times New Roman" w:cs="宋体"/>
          <w:bCs/>
          <w:sz w:val="24"/>
          <w:szCs w:val="20"/>
          <w:lang w:bidi="ar"/>
        </w:rPr>
        <w:t xml:space="preserve">）政府采购结果签订本合同。</w:t>
      </w:r>
      <w:r/>
    </w:p>
    <w:p>
      <w:pPr>
        <w:ind w:firstLine="472"/>
        <w:spacing w:line="480" w:lineRule="exact"/>
        <w:rPr>
          <w:b/>
          <w:sz w:val="24"/>
          <w:szCs w:val="20"/>
        </w:rPr>
      </w:pPr>
      <w:r>
        <w:rPr>
          <w:rFonts w:hint="eastAsia" w:ascii="Times New Roman" w:hAnsi="Times New Roman" w:cs="宋体"/>
          <w:b/>
          <w:sz w:val="24"/>
          <w:szCs w:val="20"/>
          <w:lang w:bidi="ar"/>
        </w:rPr>
        <w:t xml:space="preserve">第一条</w:t>
      </w:r>
      <w:r>
        <w:rPr>
          <w:rFonts w:ascii="Times New Roman" w:hAnsi="Times New Roman"/>
          <w:b/>
          <w:sz w:val="24"/>
          <w:szCs w:val="20"/>
          <w:lang w:bidi="ar"/>
        </w:rPr>
        <w:t xml:space="preserve">  </w:t>
      </w:r>
      <w:r>
        <w:rPr>
          <w:rFonts w:hint="eastAsia" w:ascii="Times New Roman" w:hAnsi="Times New Roman" w:cs="宋体"/>
          <w:b/>
          <w:sz w:val="24"/>
          <w:szCs w:val="20"/>
          <w:lang w:bidi="ar"/>
        </w:rPr>
        <w:t xml:space="preserve">定义</w:t>
      </w:r>
      <w:r/>
    </w:p>
    <w:p>
      <w:pPr>
        <w:ind w:firstLine="480"/>
        <w:spacing w:line="440" w:lineRule="exact"/>
        <w:rPr>
          <w:sz w:val="24"/>
          <w:szCs w:val="20"/>
        </w:rPr>
      </w:pPr>
      <w:r>
        <w:rPr>
          <w:rFonts w:hint="eastAsia"/>
          <w:sz w:val="24"/>
          <w:szCs w:val="20"/>
        </w:rPr>
        <w:t xml:space="preserve">除非另有特别解释或说明，本合同有关词语应按如下定义解释：</w:t>
      </w:r>
      <w:r/>
    </w:p>
    <w:p>
      <w:pPr>
        <w:ind w:firstLine="480"/>
        <w:spacing w:line="480" w:lineRule="exact"/>
        <w:rPr>
          <w:rFonts w:ascii="Times New Roman" w:hAnsi="Times New Roman" w:cs="宋体"/>
          <w:sz w:val="24"/>
          <w:szCs w:val="20"/>
          <w:lang w:bidi="ar"/>
        </w:rPr>
      </w:pPr>
      <w:r>
        <w:rPr>
          <w:rFonts w:hint="eastAsia" w:ascii="Times New Roman" w:hAnsi="Times New Roman" w:cs="宋体"/>
          <w:sz w:val="24"/>
          <w:szCs w:val="20"/>
          <w:lang w:bidi="ar"/>
        </w:rPr>
        <w:t xml:space="preserve">1、合同：甲乙双方签署的，与本项目相关的合同书、附件、附录、其他文件以及政府采购程序中的全部文件。</w:t>
      </w:r>
      <w:r/>
    </w:p>
    <w:p>
      <w:pPr>
        <w:ind w:firstLine="480"/>
        <w:spacing w:line="480" w:lineRule="exact"/>
        <w:rPr>
          <w:rFonts w:ascii="Times New Roman" w:hAnsi="Times New Roman" w:cs="宋体"/>
          <w:sz w:val="24"/>
          <w:szCs w:val="20"/>
          <w:lang w:bidi="ar"/>
        </w:rPr>
      </w:pPr>
      <w:r>
        <w:rPr>
          <w:rFonts w:hint="eastAsia" w:ascii="Times New Roman" w:hAnsi="Times New Roman" w:cs="宋体"/>
          <w:sz w:val="24"/>
          <w:szCs w:val="20"/>
          <w:lang w:bidi="ar"/>
        </w:rPr>
        <w:t xml:space="preserve">2、甲方：购买本合同项下服务的苏州工学院。</w:t>
      </w:r>
      <w:r/>
    </w:p>
    <w:p>
      <w:pPr>
        <w:ind w:firstLine="480"/>
        <w:spacing w:line="480" w:lineRule="exact"/>
        <w:rPr>
          <w:rFonts w:ascii="Times New Roman" w:hAnsi="Times New Roman" w:cs="宋体"/>
          <w:sz w:val="24"/>
          <w:szCs w:val="20"/>
          <w:lang w:bidi="ar"/>
        </w:rPr>
      </w:pPr>
      <w:r>
        <w:rPr>
          <w:rFonts w:hint="eastAsia" w:ascii="Times New Roman" w:hAnsi="Times New Roman" w:cs="宋体"/>
          <w:sz w:val="24"/>
          <w:szCs w:val="20"/>
          <w:lang w:bidi="ar"/>
        </w:rPr>
        <w:t xml:space="preserve">3、乙方：提供本合同项下服务的法人、其他组织或自然人。</w:t>
      </w:r>
      <w:r/>
    </w:p>
    <w:p>
      <w:pPr>
        <w:ind w:firstLine="480"/>
        <w:spacing w:line="480" w:lineRule="exact"/>
        <w:rPr>
          <w:rFonts w:ascii="Times New Roman" w:hAnsi="Times New Roman" w:cs="宋体"/>
          <w:sz w:val="24"/>
          <w:szCs w:val="20"/>
          <w:lang w:bidi="ar"/>
        </w:rPr>
      </w:pPr>
      <w:r>
        <w:rPr>
          <w:rFonts w:hint="eastAsia" w:ascii="Times New Roman" w:hAnsi="Times New Roman" w:cs="宋体"/>
          <w:sz w:val="24"/>
          <w:szCs w:val="20"/>
          <w:lang w:bidi="ar"/>
        </w:rPr>
        <w:t xml:space="preserve">4、货物：根据合同规定乙方为完成本项目应向甲方提供的一切货物及备件、工具、手册、技术资料及其他材料。</w:t>
      </w:r>
      <w:r/>
    </w:p>
    <w:p>
      <w:pPr>
        <w:ind w:firstLine="480"/>
        <w:spacing w:line="480" w:lineRule="exact"/>
        <w:rPr>
          <w:rFonts w:ascii="Times New Roman" w:hAnsi="Times New Roman" w:cs="宋体"/>
          <w:sz w:val="24"/>
          <w:szCs w:val="20"/>
          <w:lang w:bidi="ar"/>
        </w:rPr>
      </w:pPr>
      <w:r>
        <w:rPr>
          <w:rFonts w:hint="eastAsia" w:ascii="Times New Roman" w:hAnsi="Times New Roman" w:cs="宋体"/>
          <w:sz w:val="24"/>
          <w:szCs w:val="20"/>
          <w:lang w:bidi="ar"/>
        </w:rPr>
        <w:t xml:space="preserve">5、服务：根据合同规定乙方承担的与货物有关的辅助服务，包括但不限于货物的运输、保险、伴随服务（如安装、调试、测试、提供技术指导和支持、培训等）、售后服务及其他所有应由乙方承担的类似义务。</w:t>
      </w:r>
      <w:r/>
    </w:p>
    <w:p>
      <w:pPr>
        <w:ind w:firstLine="480"/>
        <w:spacing w:line="480" w:lineRule="exact"/>
        <w:rPr>
          <w:rFonts w:ascii="Times New Roman" w:hAnsi="Times New Roman" w:cs="宋体"/>
          <w:sz w:val="24"/>
          <w:szCs w:val="20"/>
          <w:lang w:bidi="ar"/>
        </w:rPr>
      </w:pPr>
      <w:r>
        <w:rPr>
          <w:rFonts w:hint="eastAsia" w:ascii="Times New Roman" w:hAnsi="Times New Roman" w:cs="宋体"/>
          <w:sz w:val="24"/>
          <w:szCs w:val="20"/>
          <w:lang w:bidi="ar"/>
        </w:rPr>
        <w:t xml:space="preserve">6、合同总价：根据合同规定乙方在正确、及时、全面履行合同义务后甲方应支付给乙方的价款，包含了甲方购买货物及其相关服务的一切费用，包括但不限于货物本身的价值金额、乙方的利润、增值税及其他乙方应缴的税金</w:t>
      </w:r>
      <w:r>
        <w:rPr>
          <w:rFonts w:ascii="Times New Roman" w:hAnsi="Times New Roman" w:cs="宋体"/>
          <w:sz w:val="24"/>
          <w:szCs w:val="20"/>
          <w:lang w:bidi="ar"/>
        </w:rPr>
        <w:t xml:space="preserve">/</w:t>
      </w:r>
      <w:r>
        <w:rPr>
          <w:rFonts w:hint="eastAsia" w:ascii="Times New Roman" w:hAnsi="Times New Roman" w:cs="宋体"/>
          <w:sz w:val="24"/>
          <w:szCs w:val="20"/>
          <w:lang w:bidi="ar"/>
        </w:rPr>
        <w:t xml:space="preserve">安装费</w:t>
      </w:r>
      <w:r>
        <w:rPr>
          <w:rFonts w:ascii="Times New Roman" w:hAnsi="Times New Roman" w:cs="宋体"/>
          <w:sz w:val="24"/>
          <w:szCs w:val="20"/>
          <w:lang w:bidi="ar"/>
        </w:rPr>
        <w:t xml:space="preserve">/</w:t>
      </w:r>
      <w:r>
        <w:rPr>
          <w:rFonts w:hint="eastAsia" w:ascii="Times New Roman" w:hAnsi="Times New Roman" w:cs="宋体"/>
          <w:sz w:val="24"/>
          <w:szCs w:val="20"/>
          <w:lang w:bidi="ar"/>
        </w:rPr>
        <w:t xml:space="preserve">调试费</w:t>
      </w:r>
      <w:r>
        <w:rPr>
          <w:rFonts w:ascii="Times New Roman" w:hAnsi="Times New Roman" w:cs="宋体"/>
          <w:sz w:val="24"/>
          <w:szCs w:val="20"/>
          <w:lang w:bidi="ar"/>
        </w:rPr>
        <w:t xml:space="preserve">/</w:t>
      </w:r>
      <w:r>
        <w:rPr>
          <w:rFonts w:hint="eastAsia" w:ascii="Times New Roman" w:hAnsi="Times New Roman" w:cs="宋体"/>
          <w:sz w:val="24"/>
          <w:szCs w:val="20"/>
          <w:lang w:bidi="ar"/>
        </w:rPr>
        <w:t xml:space="preserve">人工费</w:t>
      </w:r>
      <w:r>
        <w:rPr>
          <w:rFonts w:ascii="Times New Roman" w:hAnsi="Times New Roman" w:cs="宋体"/>
          <w:sz w:val="24"/>
          <w:szCs w:val="20"/>
          <w:lang w:bidi="ar"/>
        </w:rPr>
        <w:t xml:space="preserve">/</w:t>
      </w:r>
      <w:r>
        <w:rPr>
          <w:rFonts w:hint="eastAsia" w:ascii="Times New Roman" w:hAnsi="Times New Roman" w:cs="宋体"/>
          <w:sz w:val="24"/>
          <w:szCs w:val="20"/>
          <w:lang w:bidi="ar"/>
        </w:rPr>
        <w:t xml:space="preserve">技术支持与培训费</w:t>
      </w:r>
      <w:r>
        <w:rPr>
          <w:rFonts w:ascii="Times New Roman" w:hAnsi="Times New Roman" w:cs="宋体"/>
          <w:sz w:val="24"/>
          <w:szCs w:val="20"/>
          <w:lang w:bidi="ar"/>
        </w:rPr>
        <w:t xml:space="preserve">/</w:t>
      </w:r>
      <w:r>
        <w:rPr>
          <w:rFonts w:hint="eastAsia" w:ascii="Times New Roman" w:hAnsi="Times New Roman" w:cs="宋体"/>
          <w:sz w:val="24"/>
          <w:szCs w:val="20"/>
          <w:lang w:bidi="ar"/>
        </w:rPr>
        <w:t xml:space="preserve">运输装卸费</w:t>
      </w:r>
      <w:r>
        <w:rPr>
          <w:rFonts w:ascii="Times New Roman" w:hAnsi="Times New Roman" w:cs="宋体"/>
          <w:sz w:val="24"/>
          <w:szCs w:val="20"/>
          <w:lang w:bidi="ar"/>
        </w:rPr>
        <w:t xml:space="preserve">/</w:t>
      </w:r>
      <w:r>
        <w:rPr>
          <w:rFonts w:hint="eastAsia" w:ascii="Times New Roman" w:hAnsi="Times New Roman" w:cs="宋体"/>
          <w:sz w:val="24"/>
          <w:szCs w:val="20"/>
          <w:lang w:bidi="ar"/>
        </w:rPr>
        <w:t xml:space="preserve">保险费用</w:t>
      </w:r>
      <w:r>
        <w:rPr>
          <w:rFonts w:ascii="Times New Roman" w:hAnsi="Times New Roman" w:cs="宋体"/>
          <w:sz w:val="24"/>
          <w:szCs w:val="20"/>
          <w:lang w:bidi="ar"/>
        </w:rPr>
        <w:t xml:space="preserve">/</w:t>
      </w:r>
      <w:r>
        <w:rPr>
          <w:rFonts w:hint="eastAsia" w:ascii="Times New Roman" w:hAnsi="Times New Roman" w:cs="宋体"/>
          <w:sz w:val="24"/>
          <w:szCs w:val="20"/>
          <w:lang w:bidi="ar"/>
        </w:rPr>
        <w:t xml:space="preserve">样品费用等一切费用，乙方不得以任何理由要求甲方（或集中建设单位）支付任何额外的费用。</w:t>
      </w:r>
      <w:r/>
    </w:p>
    <w:p>
      <w:pPr>
        <w:ind w:firstLine="472"/>
        <w:spacing w:line="480" w:lineRule="exact"/>
        <w:rPr>
          <w:b/>
          <w:sz w:val="24"/>
          <w:szCs w:val="20"/>
        </w:rPr>
      </w:pPr>
      <w:r>
        <w:rPr>
          <w:rFonts w:hint="eastAsia" w:ascii="Times New Roman" w:hAnsi="Times New Roman" w:cs="宋体"/>
          <w:b/>
          <w:sz w:val="24"/>
          <w:szCs w:val="20"/>
          <w:lang w:bidi="ar"/>
        </w:rPr>
        <w:t xml:space="preserve">第二条</w:t>
      </w:r>
      <w:r>
        <w:rPr>
          <w:rFonts w:ascii="Times New Roman" w:hAnsi="Times New Roman"/>
          <w:b/>
          <w:sz w:val="24"/>
          <w:szCs w:val="20"/>
          <w:lang w:bidi="ar"/>
        </w:rPr>
        <w:t xml:space="preserve">  </w:t>
      </w:r>
      <w:r>
        <w:rPr>
          <w:rFonts w:hint="eastAsia" w:ascii="Times New Roman" w:hAnsi="Times New Roman" w:cs="宋体"/>
          <w:b/>
          <w:sz w:val="24"/>
          <w:szCs w:val="20"/>
          <w:lang w:bidi="ar"/>
        </w:rPr>
        <w:t xml:space="preserve">组成本合同的文件</w:t>
      </w:r>
      <w:r/>
    </w:p>
    <w:p>
      <w:pPr>
        <w:ind w:firstLine="480"/>
        <w:spacing w:line="480" w:lineRule="exact"/>
        <w:rPr>
          <w:sz w:val="24"/>
          <w:szCs w:val="20"/>
        </w:rPr>
      </w:pPr>
      <w:r>
        <w:rPr>
          <w:rFonts w:hint="eastAsia" w:ascii="Times New Roman" w:hAnsi="Times New Roman" w:cs="宋体"/>
          <w:sz w:val="24"/>
          <w:szCs w:val="20"/>
          <w:lang w:bidi="ar"/>
        </w:rPr>
        <w:t xml:space="preserve">1、下列文件是组成本合同的不可分割的部分：（</w:t>
      </w:r>
      <w:r>
        <w:rPr>
          <w:rFonts w:ascii="Times New Roman" w:hAnsi="Times New Roman"/>
          <w:sz w:val="24"/>
          <w:szCs w:val="20"/>
          <w:lang w:bidi="ar"/>
        </w:rPr>
        <w:t xml:space="preserve">1</w:t>
      </w:r>
      <w:r>
        <w:rPr>
          <w:rFonts w:hint="eastAsia" w:ascii="Times New Roman" w:hAnsi="Times New Roman" w:cs="宋体"/>
          <w:sz w:val="24"/>
          <w:szCs w:val="20"/>
          <w:lang w:bidi="ar"/>
        </w:rPr>
        <w:t xml:space="preserve">）苏州工学院</w:t>
      </w:r>
      <w:r>
        <w:rPr>
          <w:rFonts w:hint="eastAsia" w:ascii="Times New Roman" w:hAnsi="Times New Roman" w:cs="宋体"/>
          <w:sz w:val="24"/>
          <w:szCs w:val="20"/>
          <w:u w:val="single"/>
          <w:lang w:eastAsia="zh-CN" w:bidi="ar"/>
        </w:rPr>
        <w:t xml:space="preserve">JSZC-320581-SZXY-G2026-0012</w:t>
      </w:r>
      <w:r>
        <w:rPr>
          <w:rFonts w:ascii="Times New Roman" w:hAnsi="Times New Roman"/>
          <w:sz w:val="24"/>
          <w:szCs w:val="20"/>
          <w:u w:val="single"/>
          <w:lang w:bidi="ar"/>
        </w:rPr>
        <w:t xml:space="preserve"> </w:t>
      </w:r>
      <w:r>
        <w:rPr>
          <w:rFonts w:hint="eastAsia" w:ascii="Times New Roman" w:hAnsi="Times New Roman" w:cs="宋体"/>
          <w:sz w:val="24"/>
          <w:szCs w:val="20"/>
          <w:lang w:bidi="ar"/>
        </w:rPr>
        <w:t xml:space="preserve">号招标文件；（</w:t>
      </w:r>
      <w:r>
        <w:rPr>
          <w:rFonts w:ascii="Times New Roman" w:hAnsi="Times New Roman"/>
          <w:sz w:val="24"/>
          <w:szCs w:val="20"/>
          <w:lang w:bidi="ar"/>
        </w:rPr>
        <w:t xml:space="preserve">2</w:t>
      </w:r>
      <w:r>
        <w:rPr>
          <w:rFonts w:hint="eastAsia" w:ascii="Times New Roman" w:hAnsi="Times New Roman" w:cs="宋体"/>
          <w:sz w:val="24"/>
          <w:szCs w:val="20"/>
          <w:lang w:bidi="ar"/>
        </w:rPr>
        <w:t xml:space="preserve">）乙方提交的投标文件；（</w:t>
      </w:r>
      <w:r>
        <w:rPr>
          <w:rFonts w:ascii="Times New Roman" w:hAnsi="Times New Roman"/>
          <w:sz w:val="24"/>
          <w:szCs w:val="20"/>
          <w:lang w:bidi="ar"/>
        </w:rPr>
        <w:t xml:space="preserve">3</w:t>
      </w:r>
      <w:r>
        <w:rPr>
          <w:rFonts w:hint="eastAsia" w:ascii="Times New Roman" w:hAnsi="Times New Roman" w:cs="宋体"/>
          <w:sz w:val="24"/>
          <w:szCs w:val="20"/>
          <w:lang w:bidi="ar"/>
        </w:rPr>
        <w:t xml:space="preserve">）乙方所作的相关书面澄清；（</w:t>
      </w:r>
      <w:r>
        <w:rPr>
          <w:rFonts w:ascii="Times New Roman" w:hAnsi="Times New Roman"/>
          <w:sz w:val="24"/>
          <w:szCs w:val="20"/>
          <w:lang w:bidi="ar"/>
        </w:rPr>
        <w:t xml:space="preserve">4</w:t>
      </w:r>
      <w:r>
        <w:rPr>
          <w:rFonts w:hint="eastAsia" w:ascii="Times New Roman" w:hAnsi="Times New Roman" w:cs="宋体"/>
          <w:sz w:val="24"/>
          <w:szCs w:val="20"/>
          <w:lang w:bidi="ar"/>
        </w:rPr>
        <w:t xml:space="preserve">）中标通知书；（</w:t>
      </w:r>
      <w:r>
        <w:rPr>
          <w:rFonts w:ascii="Times New Roman" w:hAnsi="Times New Roman"/>
          <w:sz w:val="24"/>
          <w:szCs w:val="20"/>
          <w:lang w:bidi="ar"/>
        </w:rPr>
        <w:t xml:space="preserve">5</w:t>
      </w:r>
      <w:r>
        <w:rPr>
          <w:rFonts w:hint="eastAsia" w:ascii="Times New Roman" w:hAnsi="Times New Roman" w:cs="宋体"/>
          <w:sz w:val="24"/>
          <w:szCs w:val="20"/>
          <w:lang w:bidi="ar"/>
        </w:rPr>
        <w:t xml:space="preserve">）甲乙双方商定的其他必要文件。</w:t>
      </w:r>
      <w:r/>
    </w:p>
    <w:p>
      <w:pPr>
        <w:ind w:firstLine="480"/>
        <w:spacing w:line="480" w:lineRule="exact"/>
        <w:rPr>
          <w:rFonts w:ascii="Times New Roman" w:hAnsi="Times New Roman" w:cs="宋体"/>
          <w:sz w:val="24"/>
          <w:szCs w:val="20"/>
          <w:lang w:bidi="ar"/>
        </w:rPr>
      </w:pPr>
      <w:r/>
      <w:bookmarkStart w:id="201" w:name="_Hlk144021334"/>
      <w:r>
        <w:rPr>
          <w:rFonts w:hint="eastAsia" w:ascii="Times New Roman" w:hAnsi="Times New Roman" w:cs="宋体"/>
          <w:sz w:val="24"/>
          <w:szCs w:val="20"/>
          <w:lang w:bidi="ar"/>
        </w:rPr>
        <w:t xml:space="preserve">2、上述文件之间如果出现不一致的，以甲方文件确定的内容为准，但乙方文件的内容对甲方更有利的，适用乙方文件。</w:t>
      </w:r>
      <w:r/>
    </w:p>
    <w:p>
      <w:pPr>
        <w:ind w:firstLine="480"/>
        <w:spacing w:line="480" w:lineRule="exact"/>
        <w:rPr>
          <w:rFonts w:ascii="Times New Roman" w:hAnsi="Times New Roman" w:cs="宋体"/>
          <w:b/>
          <w:sz w:val="24"/>
          <w:szCs w:val="20"/>
          <w:lang w:bidi="ar"/>
        </w:rPr>
      </w:pPr>
      <w:r>
        <w:rPr>
          <w:rFonts w:hint="eastAsia" w:ascii="Times New Roman" w:hAnsi="Times New Roman" w:cs="宋体"/>
          <w:sz w:val="24"/>
          <w:szCs w:val="20"/>
          <w:lang w:bidi="ar"/>
        </w:rPr>
        <w:t xml:space="preserve">3、乙方文件应当符合采购文件确定的原则，如果乙方文件中的表述，形式上符合招标文件原则，但具体内容对甲方不利、对乙方有利的，视为背离采购文件，不予适用。</w:t>
      </w:r>
      <w:bookmarkEnd w:id="201"/>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第三条 合同内容</w:t>
      </w:r>
      <w:r/>
    </w:p>
    <w:p>
      <w:pPr>
        <w:ind w:right="-27" w:firstLine="480"/>
        <w:spacing w:line="420" w:lineRule="exact"/>
        <w:tabs>
          <w:tab w:val="left" w:pos="0" w:leader="none"/>
        </w:tabs>
        <w:rPr>
          <w:rFonts w:ascii="宋体" w:hAnsi="宋体" w:cs="宋体"/>
          <w:bCs/>
          <w:color w:val="000000" w:themeColor="text1"/>
          <w:sz w:val="24"/>
          <w:szCs w:val="24"/>
          <w:u w:val="single"/>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1、服务内容：</w:t>
      </w:r>
      <w:r>
        <w:rPr>
          <w:rFonts w:hint="eastAsia" w:ascii="Times New Roman" w:hAnsi="Times New Roman"/>
          <w:color w:val="000000" w:themeColor="text1"/>
          <w:sz w:val="24"/>
          <w:szCs w:val="24"/>
          <w:u w:val="single"/>
          <w14:textFill>
            <w14:solidFill>
              <w14:schemeClr w14:val="tx1"/>
            </w14:solidFill>
          </w14:textFill>
        </w:rPr>
        <w:t xml:space="preserve">苏州工学院所需的苏州工学院社会车辆租赁服务</w:t>
      </w:r>
      <w:r>
        <w:rPr>
          <w:rFonts w:hint="eastAsia" w:ascii="宋体" w:hAnsi="宋体" w:cs="宋体"/>
          <w:bCs/>
          <w:color w:val="000000" w:themeColor="text1"/>
          <w:sz w:val="24"/>
          <w:szCs w:val="24"/>
          <w:u w:val="single"/>
          <w14:textFill>
            <w14:solidFill>
              <w14:schemeClr w14:val="tx1"/>
            </w14:solidFill>
          </w14:textFill>
        </w:rPr>
        <w:t xml:space="preserve">。</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sz w:val="24"/>
          <w:szCs w:val="24"/>
        </w:rPr>
        <w:t xml:space="preserve">2、服务范围：标段    。</w:t>
      </w:r>
      <w:r/>
    </w:p>
    <w:p>
      <w:pPr>
        <w:ind w:right="-27" w:firstLine="480"/>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3、服务期限：</w:t>
      </w:r>
      <w:r>
        <w:rPr>
          <w:rFonts w:hint="eastAsia" w:ascii="宋体" w:hAnsi="宋体"/>
          <w:sz w:val="24"/>
          <w:szCs w:val="24"/>
        </w:rPr>
        <w:t xml:space="preserve">自签订合同之日起2年</w:t>
      </w:r>
      <w:r>
        <w:rPr>
          <w:rFonts w:hint="eastAsia" w:ascii="宋体" w:hAnsi="宋体" w:cs="宋体"/>
          <w:bCs/>
          <w:sz w:val="24"/>
          <w:szCs w:val="24"/>
        </w:rPr>
        <w:t xml:space="preserve">。 本期合同   年  月  日至  年  月  日</w:t>
      </w:r>
      <w:r/>
    </w:p>
    <w:p>
      <w:pPr>
        <w:ind w:right="-27" w:firstLine="480"/>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4、乙方承诺上述服务由乙方自行完成，不转包予第三方完成。</w:t>
      </w:r>
      <w:r/>
    </w:p>
    <w:p>
      <w:pPr>
        <w:ind w:right="-27" w:firstLine="482"/>
        <w:spacing w:line="440" w:lineRule="exact"/>
        <w:tabs>
          <w:tab w:val="left" w:pos="0" w:leader="none"/>
        </w:tabs>
        <w:rPr>
          <w:rFonts w:ascii="宋体" w:hAnsi="宋体" w:cs="宋体"/>
          <w:b/>
          <w:bCs/>
          <w:sz w:val="24"/>
          <w:szCs w:val="24"/>
        </w:rPr>
      </w:pPr>
      <w:r>
        <w:rPr>
          <w:rFonts w:hint="eastAsia" w:ascii="宋体" w:hAnsi="宋体" w:cs="宋体"/>
          <w:b/>
          <w:bCs/>
          <w:sz w:val="24"/>
          <w:szCs w:val="24"/>
        </w:rPr>
        <w:t xml:space="preserve">第四条 合同价款</w:t>
      </w:r>
      <w:r/>
    </w:p>
    <w:p>
      <w:pPr>
        <w:ind w:right="-27" w:firstLine="480"/>
        <w:spacing w:line="440" w:lineRule="exact"/>
        <w:tabs>
          <w:tab w:val="left" w:pos="0" w:leader="none"/>
        </w:tabs>
        <w:rPr>
          <w:rFonts w:ascii="宋体" w:hAnsi="宋体" w:cs="宋体"/>
          <w:sz w:val="24"/>
          <w:szCs w:val="24"/>
        </w:rPr>
      </w:pPr>
      <w:r>
        <w:rPr>
          <w:rFonts w:hint="eastAsia" w:ascii="宋体" w:hAnsi="宋体" w:cs="宋体"/>
          <w:sz w:val="24"/>
          <w:szCs w:val="24"/>
        </w:rPr>
        <w:t xml:space="preserve">本项目下合同优惠率为</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 xml:space="preserve">%。</w:t>
      </w:r>
      <w:r/>
    </w:p>
    <w:p>
      <w:pPr>
        <w:ind w:right="-27" w:firstLine="480"/>
        <w:spacing w:line="440" w:lineRule="exact"/>
        <w:tabs>
          <w:tab w:val="left" w:pos="0" w:leader="none"/>
        </w:tabs>
        <w:rPr>
          <w:rFonts w:ascii="宋体" w:hAnsi="宋体" w:cs="宋体"/>
          <w:sz w:val="24"/>
          <w:szCs w:val="24"/>
        </w:rPr>
      </w:pPr>
      <w:r>
        <w:rPr>
          <w:rFonts w:hint="eastAsia" w:ascii="宋体" w:hAnsi="宋体" w:cs="宋体"/>
          <w:sz w:val="24"/>
          <w:szCs w:val="24"/>
        </w:rPr>
        <w:t xml:space="preserve">结算方式：结算费用=各类车型校内用车服务最高单价限价*实际数量*（1-中标优惠率）</w:t>
      </w:r>
      <w:r/>
    </w:p>
    <w:p>
      <w:pPr>
        <w:ind w:right="-27" w:firstLine="482"/>
        <w:spacing w:line="460" w:lineRule="exact"/>
        <w:tabs>
          <w:tab w:val="left" w:pos="0" w:leader="none"/>
        </w:tabs>
        <w:rPr>
          <w:rFonts w:ascii="宋体" w:hAnsi="宋体" w:cs="宋体"/>
          <w:b/>
          <w:bCs/>
          <w:sz w:val="24"/>
          <w:szCs w:val="24"/>
        </w:rPr>
      </w:pPr>
      <w:r>
        <w:rPr>
          <w:rFonts w:hint="eastAsia" w:ascii="宋体" w:hAnsi="宋体" w:cs="宋体"/>
          <w:b/>
          <w:bCs/>
          <w:sz w:val="24"/>
          <w:szCs w:val="24"/>
        </w:rPr>
        <w:t xml:space="preserve">第五条 付款方式 </w:t>
      </w:r>
      <w:r/>
    </w:p>
    <w:p>
      <w:pPr>
        <w:ind w:right="-27" w:firstLine="480"/>
        <w:spacing w:line="42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1、承运方与采购人协商确定校内用车服务费用支付事项，签订采购合同。承运方与用车方按照合同约定的付款计划进行结算。结算时承运方需提供正规发票、用车明细表（需加盖承运方的公章）等凭证。</w:t>
      </w:r>
      <w:r/>
    </w:p>
    <w:p>
      <w:pPr>
        <w:ind w:right="-27" w:firstLine="480"/>
        <w:spacing w:line="42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2、校内用车服务费用支付要严格执行学校财务相关制度，不得以现金方式支付。</w:t>
      </w:r>
      <w:r/>
    </w:p>
    <w:p>
      <w:pPr>
        <w:ind w:right="-27" w:firstLine="480"/>
        <w:spacing w:line="42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3、用车方应在满足采购合同的结算条件下，自收到发票后30日内（或承运方和采购人双方约定时间），将校内用车服务费用支付到承运方账户。</w:t>
      </w:r>
      <w:r/>
    </w:p>
    <w:p>
      <w:pPr>
        <w:ind w:right="-27" w:firstLine="480"/>
        <w:spacing w:line="42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注：（1）以上付款前，承运方均应提供符合采购人要求的同等金额的合法有效发票。否则，采购人有权顺延付款时间，且不承担任何违约及/或赔偿责任。</w:t>
      </w:r>
      <w:r/>
    </w:p>
    <w:p>
      <w:pPr>
        <w:ind w:right="-27" w:firstLine="480"/>
        <w:spacing w:line="42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（2）本项目支付方式支持数字人民币方式。</w:t>
      </w:r>
      <w:r/>
    </w:p>
    <w:p>
      <w:pPr>
        <w:ind w:firstLine="472"/>
        <w:spacing w:line="440" w:lineRule="exact"/>
        <w:rPr>
          <w:b/>
          <w:sz w:val="24"/>
          <w:szCs w:val="24"/>
        </w:rPr>
      </w:pPr>
      <w:r>
        <w:rPr>
          <w:rFonts w:ascii="宋体" w:hAnsi="宋体"/>
          <w:b/>
          <w:sz w:val="24"/>
          <w:szCs w:val="24"/>
        </w:rPr>
        <w:t xml:space="preserve">第</w:t>
      </w:r>
      <w:r>
        <w:rPr>
          <w:rFonts w:hint="eastAsia" w:ascii="宋体" w:hAnsi="宋体"/>
          <w:b/>
          <w:sz w:val="24"/>
          <w:szCs w:val="24"/>
        </w:rPr>
        <w:t xml:space="preserve">六</w:t>
      </w:r>
      <w:r>
        <w:rPr>
          <w:rFonts w:ascii="宋体" w:hAnsi="宋体"/>
          <w:b/>
          <w:sz w:val="24"/>
          <w:szCs w:val="24"/>
        </w:rPr>
        <w:t xml:space="preserve">条</w:t>
      </w:r>
      <w:r>
        <w:rPr>
          <w:b/>
          <w:sz w:val="24"/>
          <w:szCs w:val="24"/>
        </w:rPr>
        <w:t xml:space="preserve">  </w:t>
      </w:r>
      <w:r>
        <w:rPr>
          <w:rFonts w:hint="eastAsia" w:ascii="宋体" w:hAnsi="宋体"/>
          <w:b/>
          <w:sz w:val="24"/>
          <w:szCs w:val="24"/>
        </w:rPr>
        <w:t xml:space="preserve">考核办法</w:t>
      </w:r>
      <w:r/>
    </w:p>
    <w:p>
      <w:pPr>
        <w:ind w:firstLine="480"/>
        <w:spacing w:line="440" w:lineRule="exact"/>
        <w:rPr>
          <w:sz w:val="24"/>
          <w:szCs w:val="24"/>
        </w:rPr>
      </w:pPr>
      <w:r>
        <w:rPr>
          <w:rFonts w:hint="eastAsia" w:ascii="Times New Roman" w:hAnsi="Times New Roman"/>
          <w:sz w:val="24"/>
          <w:szCs w:val="24"/>
          <w:lang w:bidi="ar"/>
        </w:rPr>
        <w:t xml:space="preserve">考核要求详见附件17。</w:t>
      </w:r>
      <w:r/>
    </w:p>
    <w:p>
      <w:pPr>
        <w:ind w:right="-27" w:firstLine="482"/>
        <w:spacing w:line="440" w:lineRule="exact"/>
        <w:tabs>
          <w:tab w:val="left" w:pos="0" w:leader="none"/>
          <w:tab w:val="left" w:pos="6983"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第七条 验收办法</w:t>
      </w:r>
      <w:r>
        <w:rPr>
          <w:rFonts w:ascii="宋体" w:hAnsi="宋体" w:cs="宋体"/>
          <w:b/>
          <w:bCs/>
          <w:color w:val="000000" w:themeColor="text1"/>
          <w:sz w:val="24"/>
          <w:szCs w:val="24"/>
          <w14:textFill>
            <w14:solidFill>
              <w14:schemeClr w14:val="tx1"/>
            </w14:solidFill>
          </w14:textFill>
        </w:rPr>
        <w:tab/>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1、甲方依法组织履约验收工作。</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2、甲方按照确定的验收方案或分期考核方案（包括履约验收的时间、方式、程序等内容），综合考核情况和服务效果进行验收。乙方应根据验收方案内容做好相应配合工作。</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3、对于实际使用人和甲方分离的项目，甲方邀请实际使用人参与验收。</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4、如有必要，甲方邀请参加本项目的其他投标人或第三方专业机构及专家参与验收，相关意见将作为验收书的参考资料。</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 验收合格的项目，甲方根据采购合同的约定及时向乙方支付合同款项、退还履约保证金（如有）。验收不合格的项目，甲方依法及时处理。</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第八条</w:t>
      </w:r>
      <w:r>
        <w:rPr>
          <w:rFonts w:ascii="宋体" w:hAnsi="宋体" w:cs="宋体"/>
          <w:b/>
          <w:bCs/>
          <w:color w:val="000000" w:themeColor="text1"/>
          <w:sz w:val="24"/>
          <w:szCs w:val="24"/>
          <w14:textFill>
            <w14:solidFill>
              <w14:schemeClr w14:val="tx1"/>
            </w14:solidFill>
          </w14:textFill>
        </w:rPr>
        <w:t xml:space="preserve">  </w:t>
      </w:r>
      <w:r>
        <w:rPr>
          <w:rFonts w:hint="eastAsia" w:ascii="宋体" w:hAnsi="宋体" w:cs="宋体"/>
          <w:b/>
          <w:bCs/>
          <w:color w:val="000000" w:themeColor="text1"/>
          <w:sz w:val="24"/>
          <w:szCs w:val="24"/>
          <w14:textFill>
            <w14:solidFill>
              <w14:schemeClr w14:val="tx1"/>
            </w14:solidFill>
          </w14:textFill>
        </w:rPr>
        <w:t xml:space="preserve">双方的其他权利义务</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1、甲方权利义务</w:t>
      </w:r>
      <w:r/>
    </w:p>
    <w:p>
      <w:pPr>
        <w:ind w:right="-27" w:firstLine="72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1.1 甲方权利</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甲方有权随时向乙方了解服务进展，提出改进意见和建议；甲方有权根据实际履约质量和进度情况要求乙方按照本合同约定加强管理直至提供符合约定的服务。</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1.2</w:t>
      </w:r>
      <w:r>
        <w:rPr>
          <w:rFonts w:hint="eastAsia" w:ascii="宋体" w:hAnsi="宋体" w:cs="宋体"/>
          <w:bCs/>
          <w:color w:val="000000" w:themeColor="text1"/>
          <w:sz w:val="24"/>
          <w:szCs w:val="24"/>
          <w14:textFill>
            <w14:solidFill>
              <w14:schemeClr w14:val="tx1"/>
            </w14:solidFill>
          </w14:textFill>
        </w:rPr>
        <w:t xml:space="preserve">甲方义务</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甲方应按时支付合同价款；为乙方履行合同提供必要的便利条件；本合同约定的其他义务。</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2乙方权利义务</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2.1乙方权利</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乙方有权按照合同获得合同价款；乙方有权根据服务内容的需要，请求甲方予以配合。</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2.2</w:t>
      </w:r>
      <w:r>
        <w:rPr>
          <w:rFonts w:hint="eastAsia" w:ascii="宋体" w:hAnsi="宋体" w:cs="宋体"/>
          <w:bCs/>
          <w:color w:val="000000" w:themeColor="text1"/>
          <w:sz w:val="24"/>
          <w:szCs w:val="24"/>
          <w14:textFill>
            <w14:solidFill>
              <w14:schemeClr w14:val="tx1"/>
            </w14:solidFill>
          </w14:textFill>
        </w:rPr>
        <w:t xml:space="preserve">除其他有关条款的约定外，乙方义务还包括：</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fldChar w:fldCharType="begin"/>
      </w:r>
      <w:r>
        <w:rPr>
          <w:rFonts w:ascii="宋体" w:hAnsi="宋体" w:cs="宋体"/>
          <w:bCs/>
          <w:color w:val="000000" w:themeColor="text1"/>
          <w:sz w:val="24"/>
          <w:szCs w:val="24"/>
          <w14:textFill>
            <w14:solidFill>
              <w14:schemeClr w14:val="tx1"/>
            </w14:solidFill>
          </w14:textFill>
        </w:rPr>
        <w:instrText xml:space="preserve"> </w:instrText>
      </w:r>
      <w:r>
        <w:rPr>
          <w:rFonts w:hint="eastAsia" w:ascii="宋体" w:hAnsi="宋体" w:cs="宋体"/>
          <w:bCs/>
          <w:color w:val="000000" w:themeColor="text1"/>
          <w:sz w:val="24"/>
          <w:szCs w:val="24"/>
          <w14:textFill>
            <w14:solidFill>
              <w14:schemeClr w14:val="tx1"/>
            </w14:solidFill>
          </w14:textFill>
        </w:rPr>
        <w:instrText xml:space="preserve">= 1 \* GB3</w:instrText>
      </w:r>
      <w:r>
        <w:rPr>
          <w:rFonts w:ascii="宋体" w:hAnsi="宋体" w:cs="宋体"/>
          <w:bCs/>
          <w:color w:val="000000" w:themeColor="text1"/>
          <w:sz w:val="24"/>
          <w:szCs w:val="24"/>
          <w14:textFill>
            <w14:solidFill>
              <w14:schemeClr w14:val="tx1"/>
            </w14:solidFill>
          </w14:textFill>
        </w:rPr>
        <w:instrText xml:space="preserve"> </w:instrText>
      </w:r>
      <w:r>
        <w:rPr>
          <w:rFonts w:ascii="宋体" w:hAnsi="宋体" w:cs="宋体"/>
          <w:bCs/>
          <w:color w:val="000000" w:themeColor="text1"/>
          <w:sz w:val="24"/>
          <w:szCs w:val="24"/>
          <w14:textFill>
            <w14:solidFill>
              <w14:schemeClr w14:val="tx1"/>
            </w14:solidFill>
          </w14:textFill>
        </w:rPr>
        <w:fldChar w:fldCharType="separate"/>
      </w:r>
      <w:r>
        <w:rPr>
          <w:rFonts w:hint="eastAsia" w:ascii="宋体" w:hAnsi="宋体" w:cs="宋体"/>
          <w:bCs/>
          <w:color w:val="000000" w:themeColor="text1"/>
          <w:sz w:val="24"/>
          <w:szCs w:val="24"/>
          <w14:textFill>
            <w14:solidFill>
              <w14:schemeClr w14:val="tx1"/>
            </w14:solidFill>
          </w14:textFill>
        </w:rPr>
        <w:t xml:space="preserve">①</w:t>
      </w:r>
      <w:r>
        <w:rPr>
          <w:rFonts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 xml:space="preserve">的，视为乙方丧失提供服务的能力。</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fldChar w:fldCharType="begin"/>
      </w:r>
      <w:r>
        <w:rPr>
          <w:rFonts w:ascii="宋体" w:hAnsi="宋体" w:cs="宋体"/>
          <w:bCs/>
          <w:color w:val="000000" w:themeColor="text1"/>
          <w:sz w:val="24"/>
          <w:szCs w:val="24"/>
          <w14:textFill>
            <w14:solidFill>
              <w14:schemeClr w14:val="tx1"/>
            </w14:solidFill>
          </w14:textFill>
        </w:rPr>
        <w:instrText xml:space="preserve"> </w:instrText>
      </w:r>
      <w:r>
        <w:rPr>
          <w:rFonts w:hint="eastAsia" w:ascii="宋体" w:hAnsi="宋体" w:cs="宋体"/>
          <w:bCs/>
          <w:color w:val="000000" w:themeColor="text1"/>
          <w:sz w:val="24"/>
          <w:szCs w:val="24"/>
          <w14:textFill>
            <w14:solidFill>
              <w14:schemeClr w14:val="tx1"/>
            </w14:solidFill>
          </w14:textFill>
        </w:rPr>
        <w:instrText xml:space="preserve">= 2 \* GB3</w:instrText>
      </w:r>
      <w:r>
        <w:rPr>
          <w:rFonts w:ascii="宋体" w:hAnsi="宋体" w:cs="宋体"/>
          <w:bCs/>
          <w:color w:val="000000" w:themeColor="text1"/>
          <w:sz w:val="24"/>
          <w:szCs w:val="24"/>
          <w14:textFill>
            <w14:solidFill>
              <w14:schemeClr w14:val="tx1"/>
            </w14:solidFill>
          </w14:textFill>
        </w:rPr>
        <w:instrText xml:space="preserve"> </w:instrText>
      </w:r>
      <w:r>
        <w:rPr>
          <w:rFonts w:ascii="宋体" w:hAnsi="宋体" w:cs="宋体"/>
          <w:bCs/>
          <w:color w:val="000000" w:themeColor="text1"/>
          <w:sz w:val="24"/>
          <w:szCs w:val="24"/>
          <w14:textFill>
            <w14:solidFill>
              <w14:schemeClr w14:val="tx1"/>
            </w14:solidFill>
          </w14:textFill>
        </w:rPr>
        <w:fldChar w:fldCharType="separate"/>
      </w:r>
      <w:r>
        <w:rPr>
          <w:rFonts w:hint="eastAsia" w:ascii="宋体" w:hAnsi="宋体" w:cs="宋体"/>
          <w:bCs/>
          <w:color w:val="000000" w:themeColor="text1"/>
          <w:sz w:val="24"/>
          <w:szCs w:val="24"/>
          <w14:textFill>
            <w14:solidFill>
              <w14:schemeClr w14:val="tx1"/>
            </w14:solidFill>
          </w14:textFill>
        </w:rPr>
        <w:t xml:space="preserve">②</w:t>
      </w:r>
      <w:r>
        <w:rPr>
          <w:rFonts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 xml:space="preserve">乙方应安排身体健康、品性良好的服务人员为甲方提供服务。</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fldChar w:fldCharType="begin"/>
      </w:r>
      <w:r>
        <w:rPr>
          <w:rFonts w:ascii="宋体" w:hAnsi="宋体" w:cs="宋体"/>
          <w:bCs/>
          <w:color w:val="000000" w:themeColor="text1"/>
          <w:sz w:val="24"/>
          <w:szCs w:val="24"/>
          <w14:textFill>
            <w14:solidFill>
              <w14:schemeClr w14:val="tx1"/>
            </w14:solidFill>
          </w14:textFill>
        </w:rPr>
        <w:instrText xml:space="preserve"> </w:instrText>
      </w:r>
      <w:r>
        <w:rPr>
          <w:rFonts w:hint="eastAsia" w:ascii="宋体" w:hAnsi="宋体" w:cs="宋体"/>
          <w:bCs/>
          <w:color w:val="000000" w:themeColor="text1"/>
          <w:sz w:val="24"/>
          <w:szCs w:val="24"/>
          <w14:textFill>
            <w14:solidFill>
              <w14:schemeClr w14:val="tx1"/>
            </w14:solidFill>
          </w14:textFill>
        </w:rPr>
        <w:instrText xml:space="preserve">= 3 \* GB3</w:instrText>
      </w:r>
      <w:r>
        <w:rPr>
          <w:rFonts w:ascii="宋体" w:hAnsi="宋体" w:cs="宋体"/>
          <w:bCs/>
          <w:color w:val="000000" w:themeColor="text1"/>
          <w:sz w:val="24"/>
          <w:szCs w:val="24"/>
          <w14:textFill>
            <w14:solidFill>
              <w14:schemeClr w14:val="tx1"/>
            </w14:solidFill>
          </w14:textFill>
        </w:rPr>
        <w:instrText xml:space="preserve"> </w:instrText>
      </w:r>
      <w:r>
        <w:rPr>
          <w:rFonts w:ascii="宋体" w:hAnsi="宋体" w:cs="宋体"/>
          <w:bCs/>
          <w:color w:val="000000" w:themeColor="text1"/>
          <w:sz w:val="24"/>
          <w:szCs w:val="24"/>
          <w14:textFill>
            <w14:solidFill>
              <w14:schemeClr w14:val="tx1"/>
            </w14:solidFill>
          </w14:textFill>
        </w:rPr>
        <w:fldChar w:fldCharType="separate"/>
      </w:r>
      <w:r>
        <w:rPr>
          <w:rFonts w:hint="eastAsia" w:ascii="宋体" w:hAnsi="宋体" w:cs="宋体"/>
          <w:bCs/>
          <w:color w:val="000000" w:themeColor="text1"/>
          <w:sz w:val="24"/>
          <w:szCs w:val="24"/>
          <w14:textFill>
            <w14:solidFill>
              <w14:schemeClr w14:val="tx1"/>
            </w14:solidFill>
          </w14:textFill>
        </w:rPr>
        <w:t xml:space="preserve">③</w:t>
      </w:r>
      <w:r>
        <w:rPr>
          <w:rFonts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 xml:space="preserve">乙方应保证服务人员的稳定，未经甲方同意，不得变更服务人员。</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fldChar w:fldCharType="begin"/>
      </w:r>
      <w:r>
        <w:rPr>
          <w:rFonts w:ascii="宋体" w:hAnsi="宋体" w:cs="宋体"/>
          <w:bCs/>
          <w:color w:val="000000" w:themeColor="text1"/>
          <w:sz w:val="24"/>
          <w:szCs w:val="24"/>
          <w14:textFill>
            <w14:solidFill>
              <w14:schemeClr w14:val="tx1"/>
            </w14:solidFill>
          </w14:textFill>
        </w:rPr>
        <w:instrText xml:space="preserve"> </w:instrText>
      </w:r>
      <w:r>
        <w:rPr>
          <w:rFonts w:hint="eastAsia" w:ascii="宋体" w:hAnsi="宋体" w:cs="宋体"/>
          <w:bCs/>
          <w:color w:val="000000" w:themeColor="text1"/>
          <w:sz w:val="24"/>
          <w:szCs w:val="24"/>
          <w14:textFill>
            <w14:solidFill>
              <w14:schemeClr w14:val="tx1"/>
            </w14:solidFill>
          </w14:textFill>
        </w:rPr>
        <w:instrText xml:space="preserve">= 4 \* GB3</w:instrText>
      </w:r>
      <w:r>
        <w:rPr>
          <w:rFonts w:ascii="宋体" w:hAnsi="宋体" w:cs="宋体"/>
          <w:bCs/>
          <w:color w:val="000000" w:themeColor="text1"/>
          <w:sz w:val="24"/>
          <w:szCs w:val="24"/>
          <w14:textFill>
            <w14:solidFill>
              <w14:schemeClr w14:val="tx1"/>
            </w14:solidFill>
          </w14:textFill>
        </w:rPr>
        <w:instrText xml:space="preserve"> </w:instrText>
      </w:r>
      <w:r>
        <w:rPr>
          <w:rFonts w:ascii="宋体" w:hAnsi="宋体" w:cs="宋体"/>
          <w:bCs/>
          <w:color w:val="000000" w:themeColor="text1"/>
          <w:sz w:val="24"/>
          <w:szCs w:val="24"/>
          <w14:textFill>
            <w14:solidFill>
              <w14:schemeClr w14:val="tx1"/>
            </w14:solidFill>
          </w14:textFill>
        </w:rPr>
        <w:fldChar w:fldCharType="separate"/>
      </w:r>
      <w:r>
        <w:rPr>
          <w:rFonts w:hint="eastAsia" w:ascii="宋体" w:hAnsi="宋体" w:cs="宋体"/>
          <w:bCs/>
          <w:color w:val="000000" w:themeColor="text1"/>
          <w:sz w:val="24"/>
          <w:szCs w:val="24"/>
          <w14:textFill>
            <w14:solidFill>
              <w14:schemeClr w14:val="tx1"/>
            </w14:solidFill>
          </w14:textFill>
        </w:rPr>
        <w:t xml:space="preserve">④</w:t>
      </w:r>
      <w:r>
        <w:rPr>
          <w:rFonts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 xml:space="preserve">乙方应当及时响应甲方的服务需求，在甲方提出派员到场服务时，应当与甲方确定到场时间。甲方紧急服务需求时，乙方应在</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14:textFill>
            <w14:solidFill>
              <w14:schemeClr w14:val="tx1"/>
            </w14:solidFill>
          </w14:textFill>
        </w:rPr>
        <w:t xml:space="preserve">0.5</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 xml:space="preserve">小时内派员到场。</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fldChar w:fldCharType="begin"/>
      </w:r>
      <w:r>
        <w:rPr>
          <w:rFonts w:ascii="宋体" w:hAnsi="宋体" w:cs="宋体"/>
          <w:bCs/>
          <w:color w:val="000000" w:themeColor="text1"/>
          <w:sz w:val="24"/>
          <w:szCs w:val="24"/>
          <w14:textFill>
            <w14:solidFill>
              <w14:schemeClr w14:val="tx1"/>
            </w14:solidFill>
          </w14:textFill>
        </w:rPr>
        <w:instrText xml:space="preserve"> </w:instrText>
      </w:r>
      <w:r>
        <w:rPr>
          <w:rFonts w:hint="eastAsia" w:ascii="宋体" w:hAnsi="宋体" w:cs="宋体"/>
          <w:bCs/>
          <w:color w:val="000000" w:themeColor="text1"/>
          <w:sz w:val="24"/>
          <w:szCs w:val="24"/>
          <w14:textFill>
            <w14:solidFill>
              <w14:schemeClr w14:val="tx1"/>
            </w14:solidFill>
          </w14:textFill>
        </w:rPr>
        <w:instrText xml:space="preserve">= 5 \* GB3</w:instrText>
      </w:r>
      <w:r>
        <w:rPr>
          <w:rFonts w:ascii="宋体" w:hAnsi="宋体" w:cs="宋体"/>
          <w:bCs/>
          <w:color w:val="000000" w:themeColor="text1"/>
          <w:sz w:val="24"/>
          <w:szCs w:val="24"/>
          <w14:textFill>
            <w14:solidFill>
              <w14:schemeClr w14:val="tx1"/>
            </w14:solidFill>
          </w14:textFill>
        </w:rPr>
        <w:instrText xml:space="preserve"> </w:instrText>
      </w:r>
      <w:r>
        <w:rPr>
          <w:rFonts w:ascii="宋体" w:hAnsi="宋体" w:cs="宋体"/>
          <w:bCs/>
          <w:color w:val="000000" w:themeColor="text1"/>
          <w:sz w:val="24"/>
          <w:szCs w:val="24"/>
          <w14:textFill>
            <w14:solidFill>
              <w14:schemeClr w14:val="tx1"/>
            </w14:solidFill>
          </w14:textFill>
        </w:rPr>
        <w:fldChar w:fldCharType="separate"/>
      </w:r>
      <w:r>
        <w:rPr>
          <w:rFonts w:hint="eastAsia" w:ascii="宋体" w:hAnsi="宋体" w:cs="宋体"/>
          <w:bCs/>
          <w:color w:val="000000" w:themeColor="text1"/>
          <w:sz w:val="24"/>
          <w:szCs w:val="24"/>
          <w14:textFill>
            <w14:solidFill>
              <w14:schemeClr w14:val="tx1"/>
            </w14:solidFill>
          </w14:textFill>
        </w:rPr>
        <w:t xml:space="preserve">⑤</w:t>
      </w:r>
      <w:r>
        <w:rPr>
          <w:rFonts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 xml:space="preserve">定期组织服务人员进行培训学习，不断提高服务人员业务技能。</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fldChar w:fldCharType="begin"/>
      </w:r>
      <w:r>
        <w:rPr>
          <w:rFonts w:ascii="宋体" w:hAnsi="宋体" w:cs="宋体"/>
          <w:bCs/>
          <w:color w:val="000000" w:themeColor="text1"/>
          <w:sz w:val="24"/>
          <w:szCs w:val="24"/>
          <w14:textFill>
            <w14:solidFill>
              <w14:schemeClr w14:val="tx1"/>
            </w14:solidFill>
          </w14:textFill>
        </w:rPr>
        <w:instrText xml:space="preserve"> </w:instrText>
      </w:r>
      <w:r>
        <w:rPr>
          <w:rFonts w:hint="eastAsia" w:ascii="宋体" w:hAnsi="宋体" w:cs="宋体"/>
          <w:bCs/>
          <w:color w:val="000000" w:themeColor="text1"/>
          <w:sz w:val="24"/>
          <w:szCs w:val="24"/>
          <w14:textFill>
            <w14:solidFill>
              <w14:schemeClr w14:val="tx1"/>
            </w14:solidFill>
          </w14:textFill>
        </w:rPr>
        <w:instrText xml:space="preserve">= 6 \* GB3</w:instrText>
      </w:r>
      <w:r>
        <w:rPr>
          <w:rFonts w:ascii="宋体" w:hAnsi="宋体" w:cs="宋体"/>
          <w:bCs/>
          <w:color w:val="000000" w:themeColor="text1"/>
          <w:sz w:val="24"/>
          <w:szCs w:val="24"/>
          <w14:textFill>
            <w14:solidFill>
              <w14:schemeClr w14:val="tx1"/>
            </w14:solidFill>
          </w14:textFill>
        </w:rPr>
        <w:instrText xml:space="preserve"> </w:instrText>
      </w:r>
      <w:r>
        <w:rPr>
          <w:rFonts w:ascii="宋体" w:hAnsi="宋体" w:cs="宋体"/>
          <w:bCs/>
          <w:color w:val="000000" w:themeColor="text1"/>
          <w:sz w:val="24"/>
          <w:szCs w:val="24"/>
          <w14:textFill>
            <w14:solidFill>
              <w14:schemeClr w14:val="tx1"/>
            </w14:solidFill>
          </w14:textFill>
        </w:rPr>
        <w:fldChar w:fldCharType="separate"/>
      </w:r>
      <w:r>
        <w:rPr>
          <w:rFonts w:hint="eastAsia" w:ascii="宋体" w:hAnsi="宋体" w:cs="宋体"/>
          <w:bCs/>
          <w:color w:val="000000" w:themeColor="text1"/>
          <w:sz w:val="24"/>
          <w:szCs w:val="24"/>
          <w14:textFill>
            <w14:solidFill>
              <w14:schemeClr w14:val="tx1"/>
            </w14:solidFill>
          </w14:textFill>
        </w:rPr>
        <w:t xml:space="preserve">⑥</w:t>
      </w:r>
      <w:r>
        <w:rPr>
          <w:rFonts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 xml:space="preserve">乙方做好安全生产工作，对在工作中出现的服务人员的人身安全承担责任，并对由于服务人员的原因导致的第三人的人身财产损失承担赔偿责任。</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fldChar w:fldCharType="begin"/>
      </w:r>
      <w:r>
        <w:rPr>
          <w:rFonts w:ascii="宋体" w:hAnsi="宋体" w:cs="宋体"/>
          <w:bCs/>
          <w:color w:val="000000" w:themeColor="text1"/>
          <w:sz w:val="24"/>
          <w:szCs w:val="24"/>
          <w14:textFill>
            <w14:solidFill>
              <w14:schemeClr w14:val="tx1"/>
            </w14:solidFill>
          </w14:textFill>
        </w:rPr>
        <w:instrText xml:space="preserve"> </w:instrText>
      </w:r>
      <w:r>
        <w:rPr>
          <w:rFonts w:hint="eastAsia" w:ascii="宋体" w:hAnsi="宋体" w:cs="宋体"/>
          <w:bCs/>
          <w:color w:val="000000" w:themeColor="text1"/>
          <w:sz w:val="24"/>
          <w:szCs w:val="24"/>
          <w14:textFill>
            <w14:solidFill>
              <w14:schemeClr w14:val="tx1"/>
            </w14:solidFill>
          </w14:textFill>
        </w:rPr>
        <w:instrText xml:space="preserve">= 7 \* GB3</w:instrText>
      </w:r>
      <w:r>
        <w:rPr>
          <w:rFonts w:ascii="宋体" w:hAnsi="宋体" w:cs="宋体"/>
          <w:bCs/>
          <w:color w:val="000000" w:themeColor="text1"/>
          <w:sz w:val="24"/>
          <w:szCs w:val="24"/>
          <w14:textFill>
            <w14:solidFill>
              <w14:schemeClr w14:val="tx1"/>
            </w14:solidFill>
          </w14:textFill>
        </w:rPr>
        <w:instrText xml:space="preserve"> </w:instrText>
      </w:r>
      <w:r>
        <w:rPr>
          <w:rFonts w:ascii="宋体" w:hAnsi="宋体" w:cs="宋体"/>
          <w:bCs/>
          <w:color w:val="000000" w:themeColor="text1"/>
          <w:sz w:val="24"/>
          <w:szCs w:val="24"/>
          <w14:textFill>
            <w14:solidFill>
              <w14:schemeClr w14:val="tx1"/>
            </w14:solidFill>
          </w14:textFill>
        </w:rPr>
        <w:fldChar w:fldCharType="separate"/>
      </w:r>
      <w:r>
        <w:rPr>
          <w:rFonts w:hint="eastAsia" w:ascii="宋体" w:hAnsi="宋体" w:cs="宋体"/>
          <w:bCs/>
          <w:color w:val="000000" w:themeColor="text1"/>
          <w:sz w:val="24"/>
          <w:szCs w:val="24"/>
          <w14:textFill>
            <w14:solidFill>
              <w14:schemeClr w14:val="tx1"/>
            </w14:solidFill>
          </w14:textFill>
        </w:rPr>
        <w:t xml:space="preserve">⑦</w:t>
      </w:r>
      <w:r>
        <w:rPr>
          <w:rFonts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fldChar w:fldCharType="begin"/>
      </w:r>
      <w:r>
        <w:rPr>
          <w:rFonts w:ascii="宋体" w:hAnsi="宋体" w:cs="宋体"/>
          <w:bCs/>
          <w:color w:val="000000" w:themeColor="text1"/>
          <w:sz w:val="24"/>
          <w:szCs w:val="24"/>
          <w14:textFill>
            <w14:solidFill>
              <w14:schemeClr w14:val="tx1"/>
            </w14:solidFill>
          </w14:textFill>
        </w:rPr>
        <w:instrText xml:space="preserve"> </w:instrText>
      </w:r>
      <w:r>
        <w:rPr>
          <w:rFonts w:hint="eastAsia" w:ascii="宋体" w:hAnsi="宋体" w:cs="宋体"/>
          <w:bCs/>
          <w:color w:val="000000" w:themeColor="text1"/>
          <w:sz w:val="24"/>
          <w:szCs w:val="24"/>
          <w14:textFill>
            <w14:solidFill>
              <w14:schemeClr w14:val="tx1"/>
            </w14:solidFill>
          </w14:textFill>
        </w:rPr>
        <w:instrText xml:space="preserve">= 8 \* GB3</w:instrText>
      </w:r>
      <w:r>
        <w:rPr>
          <w:rFonts w:ascii="宋体" w:hAnsi="宋体" w:cs="宋体"/>
          <w:bCs/>
          <w:color w:val="000000" w:themeColor="text1"/>
          <w:sz w:val="24"/>
          <w:szCs w:val="24"/>
          <w14:textFill>
            <w14:solidFill>
              <w14:schemeClr w14:val="tx1"/>
            </w14:solidFill>
          </w14:textFill>
        </w:rPr>
        <w:instrText xml:space="preserve"> </w:instrText>
      </w:r>
      <w:r>
        <w:rPr>
          <w:rFonts w:ascii="宋体" w:hAnsi="宋体" w:cs="宋体"/>
          <w:bCs/>
          <w:color w:val="000000" w:themeColor="text1"/>
          <w:sz w:val="24"/>
          <w:szCs w:val="24"/>
          <w14:textFill>
            <w14:solidFill>
              <w14:schemeClr w14:val="tx1"/>
            </w14:solidFill>
          </w14:textFill>
        </w:rPr>
        <w:fldChar w:fldCharType="separate"/>
      </w:r>
      <w:r>
        <w:rPr>
          <w:rFonts w:hint="eastAsia" w:ascii="宋体" w:hAnsi="宋体" w:cs="宋体"/>
          <w:bCs/>
          <w:color w:val="000000" w:themeColor="text1"/>
          <w:sz w:val="24"/>
          <w:szCs w:val="24"/>
          <w14:textFill>
            <w14:solidFill>
              <w14:schemeClr w14:val="tx1"/>
            </w14:solidFill>
          </w14:textFill>
        </w:rPr>
        <w:t xml:space="preserve">⑧</w:t>
      </w:r>
      <w:r>
        <w:rPr>
          <w:rFonts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 xml:space="preserve">法规、政策规定由乙方承担的其他责任。</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第九条 质量保证</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乙方各项服务承诺指标及所采取的措施按照采购文件要求及相应文件的承诺予以确定。  </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第十条 违约责任</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1</w:t>
      </w:r>
      <w:r>
        <w:rPr>
          <w:rFonts w:hint="eastAsia" w:ascii="宋体" w:hAnsi="宋体" w:cs="宋体"/>
          <w:bCs/>
          <w:color w:val="000000" w:themeColor="text1"/>
          <w:sz w:val="24"/>
          <w:szCs w:val="24"/>
          <w14:textFill>
            <w14:solidFill>
              <w14:schemeClr w14:val="tx1"/>
            </w14:solidFill>
          </w14:textFill>
        </w:rPr>
        <w:t xml:space="preserve">、有下列情形之一的，乙方应当向甲方支付合同约定合同价款金额</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14:textFill>
            <w14:solidFill>
              <w14:schemeClr w14:val="tx1"/>
            </w14:solidFill>
          </w14:textFill>
        </w:rPr>
        <w:t xml:space="preserve">5</w:t>
      </w:r>
      <w:r>
        <w:rPr>
          <w:rFonts w:ascii="宋体" w:hAnsi="宋体" w:cs="宋体"/>
          <w:bCs/>
          <w:color w:val="000000" w:themeColor="text1"/>
          <w:sz w:val="24"/>
          <w:szCs w:val="24"/>
          <w:u w:val="single"/>
          <w14:textFill>
            <w14:solidFill>
              <w14:schemeClr w14:val="tx1"/>
            </w14:solidFill>
          </w14:textFill>
        </w:rPr>
        <w:t xml:space="preserve"> </w:t>
      </w:r>
      <w:r>
        <w:rPr>
          <w:rFonts w:ascii="宋体" w:hAnsi="宋体" w:cs="宋体"/>
          <w:bCs/>
          <w:color w:val="000000" w:themeColor="text1"/>
          <w:sz w:val="24"/>
          <w:szCs w:val="24"/>
          <w14:textFill>
            <w14:solidFill>
              <w14:schemeClr w14:val="tx1"/>
            </w14:solidFill>
          </w14:textFill>
        </w:rPr>
        <w:t xml:space="preserve">%</w:t>
      </w:r>
      <w:r>
        <w:rPr>
          <w:rFonts w:hint="eastAsia" w:ascii="宋体" w:hAnsi="宋体" w:cs="宋体"/>
          <w:bCs/>
          <w:color w:val="000000" w:themeColor="text1"/>
          <w:sz w:val="24"/>
          <w:szCs w:val="24"/>
          <w14:textFill>
            <w14:solidFill>
              <w14:schemeClr w14:val="tx1"/>
            </w14:solidFill>
          </w14:textFill>
        </w:rPr>
        <w:t xml:space="preserve">的违约金：</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1.1</w:t>
      </w:r>
      <w:r>
        <w:rPr>
          <w:rFonts w:hint="eastAsia" w:ascii="宋体" w:hAnsi="宋体" w:cs="宋体"/>
          <w:bCs/>
          <w:color w:val="000000" w:themeColor="text1"/>
          <w:sz w:val="24"/>
          <w:szCs w:val="24"/>
          <w14:textFill>
            <w14:solidFill>
              <w14:schemeClr w14:val="tx1"/>
            </w14:solidFill>
          </w14:textFill>
        </w:rPr>
        <w:t xml:space="preserve">乙方服务团队成员未经甲方同意发生变更，经甲方要求恢复后，未在合理期限内（</w:t>
      </w:r>
      <w:r>
        <w:rPr>
          <w:rFonts w:ascii="宋体" w:hAnsi="宋体" w:cs="宋体"/>
          <w:bCs/>
          <w:color w:val="000000" w:themeColor="text1"/>
          <w:sz w:val="24"/>
          <w:szCs w:val="24"/>
          <w:u w:val="single"/>
          <w14:textFill>
            <w14:solidFill>
              <w14:schemeClr w14:val="tx1"/>
            </w14:solidFill>
          </w14:textFill>
        </w:rPr>
        <w:t xml:space="preserve">5</w:t>
      </w:r>
      <w:r>
        <w:rPr>
          <w:rFonts w:hint="eastAsia" w:ascii="宋体" w:hAnsi="宋体" w:cs="宋体"/>
          <w:bCs/>
          <w:color w:val="000000" w:themeColor="text1"/>
          <w:sz w:val="24"/>
          <w:szCs w:val="24"/>
          <w:u w:val="single"/>
          <w14:textFill>
            <w14:solidFill>
              <w14:schemeClr w14:val="tx1"/>
            </w14:solidFill>
          </w14:textFill>
        </w:rPr>
        <w:t xml:space="preserve">个</w:t>
      </w:r>
      <w:r>
        <w:rPr>
          <w:rFonts w:ascii="宋体" w:hAnsi="宋体" w:cs="宋体"/>
          <w:bCs/>
          <w:color w:val="000000" w:themeColor="text1"/>
          <w:sz w:val="24"/>
          <w:szCs w:val="24"/>
          <w:u w:val="single"/>
          <w14:textFill>
            <w14:solidFill>
              <w14:schemeClr w14:val="tx1"/>
            </w14:solidFill>
          </w14:textFill>
        </w:rPr>
        <w:t xml:space="preserve">工作</w:t>
      </w:r>
      <w:r>
        <w:rPr>
          <w:rFonts w:hint="eastAsia" w:ascii="宋体" w:hAnsi="宋体" w:cs="宋体"/>
          <w:bCs/>
          <w:color w:val="000000" w:themeColor="text1"/>
          <w:sz w:val="24"/>
          <w:szCs w:val="24"/>
          <w14:textFill>
            <w14:solidFill>
              <w14:schemeClr w14:val="tx1"/>
            </w14:solidFill>
          </w14:textFill>
        </w:rPr>
        <w:t xml:space="preserve">日内）恢复的；</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1.2</w:t>
      </w:r>
      <w:r>
        <w:rPr>
          <w:rFonts w:hint="eastAsia" w:ascii="宋体" w:hAnsi="宋体" w:cs="宋体"/>
          <w:bCs/>
          <w:color w:val="000000" w:themeColor="text1"/>
          <w:sz w:val="24"/>
          <w:szCs w:val="24"/>
          <w14:textFill>
            <w14:solidFill>
              <w14:schemeClr w14:val="tx1"/>
            </w14:solidFill>
          </w14:textFill>
        </w:rPr>
        <w:t xml:space="preserve">乙方单位总体服务能力发生下降，专业技术人员减员或资质下降人数达到</w:t>
      </w:r>
      <w:r>
        <w:rPr>
          <w:rFonts w:ascii="宋体" w:hAnsi="宋体" w:cs="宋体"/>
          <w:bCs/>
          <w:color w:val="000000" w:themeColor="text1"/>
          <w:sz w:val="24"/>
          <w:szCs w:val="24"/>
          <w:u w:val="single"/>
          <w14:textFill>
            <w14:solidFill>
              <w14:schemeClr w14:val="tx1"/>
            </w14:solidFill>
          </w14:textFill>
        </w:rPr>
        <w:t xml:space="preserve">20%</w:t>
      </w:r>
      <w:r>
        <w:rPr>
          <w:rFonts w:hint="eastAsia" w:ascii="宋体" w:hAnsi="宋体" w:cs="宋体"/>
          <w:bCs/>
          <w:color w:val="000000" w:themeColor="text1"/>
          <w:sz w:val="24"/>
          <w:szCs w:val="24"/>
          <w14:textFill>
            <w14:solidFill>
              <w14:schemeClr w14:val="tx1"/>
            </w14:solidFill>
          </w14:textFill>
        </w:rPr>
        <w:t xml:space="preserve">的；</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1.3</w:t>
      </w:r>
      <w:r>
        <w:rPr>
          <w:rFonts w:hint="eastAsia" w:ascii="宋体" w:hAnsi="宋体" w:cs="宋体"/>
          <w:bCs/>
          <w:color w:val="000000" w:themeColor="text1"/>
          <w:sz w:val="24"/>
          <w:szCs w:val="24"/>
          <w14:textFill>
            <w14:solidFill>
              <w14:schemeClr w14:val="tx1"/>
            </w14:solidFill>
          </w14:textFill>
        </w:rPr>
        <w:t xml:space="preserve">乙方人员无故未能按约到甲方提供服务，服务期限内达到</w:t>
      </w:r>
      <w:r>
        <w:rPr>
          <w:rFonts w:hint="eastAsia" w:ascii="宋体" w:hAnsi="宋体" w:cs="宋体"/>
          <w:bCs/>
          <w:color w:val="000000" w:themeColor="text1"/>
          <w:sz w:val="24"/>
          <w:szCs w:val="24"/>
          <w:u w:val="single"/>
          <w14:textFill>
            <w14:solidFill>
              <w14:schemeClr w14:val="tx1"/>
            </w14:solidFill>
          </w14:textFill>
        </w:rPr>
        <w:t xml:space="preserve">二</w:t>
      </w:r>
      <w:r>
        <w:rPr>
          <w:rFonts w:hint="eastAsia" w:ascii="宋体" w:hAnsi="宋体" w:cs="宋体"/>
          <w:bCs/>
          <w:color w:val="000000" w:themeColor="text1"/>
          <w:sz w:val="24"/>
          <w:szCs w:val="24"/>
          <w14:textFill>
            <w14:solidFill>
              <w14:schemeClr w14:val="tx1"/>
            </w14:solidFill>
          </w14:textFill>
        </w:rPr>
        <w:t xml:space="preserve">人次的；</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1.4</w:t>
      </w:r>
      <w:r>
        <w:rPr>
          <w:rFonts w:hint="eastAsia" w:ascii="宋体" w:hAnsi="宋体" w:cs="宋体"/>
          <w:bCs/>
          <w:color w:val="000000" w:themeColor="text1"/>
          <w:sz w:val="24"/>
          <w:szCs w:val="24"/>
          <w14:textFill>
            <w14:solidFill>
              <w14:schemeClr w14:val="tx1"/>
            </w14:solidFill>
          </w14:textFill>
        </w:rPr>
        <w:t xml:space="preserve">乙方人员不能响应甲方紧急服务需求的；</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1.5因</w:t>
      </w:r>
      <w:r>
        <w:rPr>
          <w:rFonts w:hint="eastAsia" w:ascii="宋体" w:hAnsi="宋体" w:cs="宋体"/>
          <w:bCs/>
          <w:color w:val="000000" w:themeColor="text1"/>
          <w:sz w:val="24"/>
          <w:szCs w:val="24"/>
          <w14:textFill>
            <w14:solidFill>
              <w14:schemeClr w14:val="tx1"/>
            </w14:solidFill>
          </w14:textFill>
        </w:rPr>
        <w:t xml:space="preserve">乙方服务人员原因在服务期间给甲方造成不良影响的，服务期限内达到</w:t>
      </w:r>
      <w:r>
        <w:rPr>
          <w:rFonts w:hint="eastAsia" w:ascii="宋体" w:hAnsi="宋体" w:cs="宋体"/>
          <w:bCs/>
          <w:color w:val="000000" w:themeColor="text1"/>
          <w:sz w:val="24"/>
          <w:szCs w:val="24"/>
          <w:u w:val="single"/>
          <w14:textFill>
            <w14:solidFill>
              <w14:schemeClr w14:val="tx1"/>
            </w14:solidFill>
          </w14:textFill>
        </w:rPr>
        <w:t xml:space="preserve">一</w:t>
      </w:r>
      <w:r>
        <w:rPr>
          <w:rFonts w:hint="eastAsia" w:ascii="宋体" w:hAnsi="宋体" w:cs="宋体"/>
          <w:bCs/>
          <w:color w:val="000000" w:themeColor="text1"/>
          <w:sz w:val="24"/>
          <w:szCs w:val="24"/>
          <w14:textFill>
            <w14:solidFill>
              <w14:schemeClr w14:val="tx1"/>
            </w14:solidFill>
          </w14:textFill>
        </w:rPr>
        <w:t xml:space="preserve">次的；</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1.6</w:t>
      </w:r>
      <w:r>
        <w:rPr>
          <w:rFonts w:hint="eastAsia" w:ascii="宋体" w:hAnsi="宋体" w:cs="宋体"/>
          <w:bCs/>
          <w:color w:val="000000" w:themeColor="text1"/>
          <w:sz w:val="24"/>
          <w:szCs w:val="24"/>
          <w14:textFill>
            <w14:solidFill>
              <w14:schemeClr w14:val="tx1"/>
            </w14:solidFill>
          </w14:textFill>
        </w:rPr>
        <w:t xml:space="preserve">乙方及其服务人员虚报服务内容、服务时间等，骗取甲方服务费用的；</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1.7</w:t>
      </w:r>
      <w:r>
        <w:rPr>
          <w:rFonts w:hint="eastAsia" w:ascii="宋体" w:hAnsi="宋体" w:cs="宋体"/>
          <w:bCs/>
          <w:color w:val="000000" w:themeColor="text1"/>
          <w:sz w:val="24"/>
          <w:szCs w:val="24"/>
          <w14:textFill>
            <w14:solidFill>
              <w14:schemeClr w14:val="tx1"/>
            </w14:solidFill>
          </w14:textFill>
        </w:rPr>
        <w:t xml:space="preserve">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rFonts w:hint="eastAsia" w:ascii="宋体" w:hAnsi="宋体" w:cs="宋体"/>
          <w:bCs/>
          <w:color w:val="000000" w:themeColor="text1"/>
          <w:sz w:val="24"/>
          <w:szCs w:val="24"/>
          <w:u w:val="single"/>
          <w14:textFill>
            <w14:solidFill>
              <w14:schemeClr w14:val="tx1"/>
            </w14:solidFill>
          </w14:textFill>
        </w:rPr>
        <w:t xml:space="preserve"> </w:t>
      </w:r>
      <w:r>
        <w:rPr>
          <w:rFonts w:ascii="宋体" w:hAnsi="宋体" w:cs="宋体"/>
          <w:bCs/>
          <w:color w:val="000000" w:themeColor="text1"/>
          <w:sz w:val="24"/>
          <w:szCs w:val="24"/>
          <w:u w:val="single"/>
          <w14:textFill>
            <w14:solidFill>
              <w14:schemeClr w14:val="tx1"/>
            </w14:solidFill>
          </w14:textFill>
        </w:rPr>
        <w:t xml:space="preserve">5 </w:t>
      </w:r>
      <w:r>
        <w:rPr>
          <w:rFonts w:hint="eastAsia" w:ascii="宋体" w:hAnsi="宋体" w:cs="宋体"/>
          <w:bCs/>
          <w:color w:val="000000" w:themeColor="text1"/>
          <w:sz w:val="24"/>
          <w:szCs w:val="24"/>
          <w14:textFill>
            <w14:solidFill>
              <w14:schemeClr w14:val="tx1"/>
            </w14:solidFill>
          </w14:textFill>
        </w:rPr>
        <w:t xml:space="preserve">％的违约金。</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2</w:t>
      </w:r>
      <w:r>
        <w:rPr>
          <w:rFonts w:hint="eastAsia" w:ascii="宋体" w:hAnsi="宋体" w:cs="宋体"/>
          <w:bCs/>
          <w:color w:val="000000" w:themeColor="text1"/>
          <w:sz w:val="24"/>
          <w:szCs w:val="24"/>
          <w14:textFill>
            <w14:solidFill>
              <w14:schemeClr w14:val="tx1"/>
            </w14:solidFill>
          </w14:textFill>
        </w:rPr>
        <w:t xml:space="preserve">、乙方在承担上述“1”项中一项或多项违约责任后，仍应继续履行合同规定的义务（甲方解除合同的除外）。甲方未能及时追究乙方的任何一项违约责任并不表明甲方放弃追究乙方该项或其他违约责任。</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第十一条 合同的解除</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出现下列情形之一的，甲方有权解除本合同：</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1</w:t>
      </w:r>
      <w:r>
        <w:rPr>
          <w:rFonts w:hint="eastAsia" w:ascii="宋体" w:hAnsi="宋体" w:cs="宋体"/>
          <w:bCs/>
          <w:color w:val="000000" w:themeColor="text1"/>
          <w:sz w:val="24"/>
          <w:szCs w:val="24"/>
          <w14:textFill>
            <w14:solidFill>
              <w14:schemeClr w14:val="tx1"/>
            </w14:solidFill>
          </w14:textFill>
        </w:rPr>
        <w:t xml:space="preserve">、乙方单位总体服务能力发生下降，专业技术人员减员或资质下降人数达到</w:t>
      </w:r>
      <w:r>
        <w:rPr>
          <w:rFonts w:ascii="宋体" w:hAnsi="宋体" w:cs="宋体"/>
          <w:bCs/>
          <w:color w:val="000000" w:themeColor="text1"/>
          <w:sz w:val="24"/>
          <w:szCs w:val="24"/>
          <w:u w:val="single"/>
          <w14:textFill>
            <w14:solidFill>
              <w14:schemeClr w14:val="tx1"/>
            </w14:solidFill>
          </w14:textFill>
        </w:rPr>
        <w:t xml:space="preserve">30%</w:t>
      </w:r>
      <w:r>
        <w:rPr>
          <w:rFonts w:hint="eastAsia" w:ascii="宋体" w:hAnsi="宋体" w:cs="宋体"/>
          <w:bCs/>
          <w:color w:val="000000" w:themeColor="text1"/>
          <w:sz w:val="24"/>
          <w:szCs w:val="24"/>
          <w14:textFill>
            <w14:solidFill>
              <w14:schemeClr w14:val="tx1"/>
            </w14:solidFill>
          </w14:textFill>
        </w:rPr>
        <w:t xml:space="preserve">的；</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2</w:t>
      </w:r>
      <w:r>
        <w:rPr>
          <w:rFonts w:hint="eastAsia" w:ascii="宋体" w:hAnsi="宋体" w:cs="宋体"/>
          <w:bCs/>
          <w:color w:val="000000" w:themeColor="text1"/>
          <w:sz w:val="24"/>
          <w:szCs w:val="24"/>
          <w14:textFill>
            <w14:solidFill>
              <w14:schemeClr w14:val="tx1"/>
            </w14:solidFill>
          </w14:textFill>
        </w:rPr>
        <w:t xml:space="preserve">、乙方人员无故未能按约到甲方提供服务，服务期限内达到</w:t>
      </w:r>
      <w:r>
        <w:rPr>
          <w:rFonts w:hint="eastAsia" w:ascii="宋体" w:hAnsi="宋体" w:cs="宋体"/>
          <w:bCs/>
          <w:color w:val="000000" w:themeColor="text1"/>
          <w:sz w:val="24"/>
          <w:szCs w:val="24"/>
          <w:u w:val="single"/>
          <w14:textFill>
            <w14:solidFill>
              <w14:schemeClr w14:val="tx1"/>
            </w14:solidFill>
          </w14:textFill>
        </w:rPr>
        <w:t xml:space="preserve">三</w:t>
      </w:r>
      <w:r>
        <w:rPr>
          <w:rFonts w:hint="eastAsia" w:ascii="宋体" w:hAnsi="宋体" w:cs="宋体"/>
          <w:bCs/>
          <w:color w:val="000000" w:themeColor="text1"/>
          <w:sz w:val="24"/>
          <w:szCs w:val="24"/>
          <w14:textFill>
            <w14:solidFill>
              <w14:schemeClr w14:val="tx1"/>
            </w14:solidFill>
          </w14:textFill>
        </w:rPr>
        <w:t xml:space="preserve">人次的；</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3</w:t>
      </w:r>
      <w:r>
        <w:rPr>
          <w:rFonts w:hint="eastAsia" w:ascii="宋体" w:hAnsi="宋体" w:cs="宋体"/>
          <w:bCs/>
          <w:color w:val="000000" w:themeColor="text1"/>
          <w:sz w:val="24"/>
          <w:szCs w:val="24"/>
          <w14:textFill>
            <w14:solidFill>
              <w14:schemeClr w14:val="tx1"/>
            </w14:solidFill>
          </w14:textFill>
        </w:rPr>
        <w:t xml:space="preserve">、乙方人员不能响应甲方紧急服务需求的，经甲方指出后未能改正的；</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4</w:t>
      </w:r>
      <w:r>
        <w:rPr>
          <w:rFonts w:hint="eastAsia" w:ascii="宋体" w:hAnsi="宋体" w:cs="宋体"/>
          <w:bCs/>
          <w:color w:val="000000" w:themeColor="text1"/>
          <w:sz w:val="24"/>
          <w:szCs w:val="24"/>
          <w14:textFill>
            <w14:solidFill>
              <w14:schemeClr w14:val="tx1"/>
            </w14:solidFill>
          </w14:textFill>
        </w:rPr>
        <w:t xml:space="preserve">、</w:t>
      </w:r>
      <w:r>
        <w:rPr>
          <w:rFonts w:ascii="宋体" w:hAnsi="宋体" w:cs="宋体"/>
          <w:bCs/>
          <w:color w:val="000000" w:themeColor="text1"/>
          <w:sz w:val="24"/>
          <w:szCs w:val="24"/>
          <w14:textFill>
            <w14:solidFill>
              <w14:schemeClr w14:val="tx1"/>
            </w14:solidFill>
          </w14:textFill>
        </w:rPr>
        <w:t xml:space="preserve">因</w:t>
      </w:r>
      <w:r>
        <w:rPr>
          <w:rFonts w:hint="eastAsia" w:ascii="宋体" w:hAnsi="宋体" w:cs="宋体"/>
          <w:bCs/>
          <w:color w:val="000000" w:themeColor="text1"/>
          <w:sz w:val="24"/>
          <w:szCs w:val="24"/>
          <w14:textFill>
            <w14:solidFill>
              <w14:schemeClr w14:val="tx1"/>
            </w14:solidFill>
          </w14:textFill>
        </w:rPr>
        <w:t xml:space="preserve">乙方服务人员原因在服务期间给甲方造成不良影响的，服务期限内达到</w:t>
      </w:r>
      <w:r>
        <w:rPr>
          <w:rFonts w:hint="eastAsia" w:ascii="宋体" w:hAnsi="宋体" w:cs="宋体"/>
          <w:bCs/>
          <w:color w:val="000000" w:themeColor="text1"/>
          <w:sz w:val="24"/>
          <w:szCs w:val="24"/>
          <w:u w:val="single"/>
          <w14:textFill>
            <w14:solidFill>
              <w14:schemeClr w14:val="tx1"/>
            </w14:solidFill>
          </w14:textFill>
        </w:rPr>
        <w:t xml:space="preserve">二</w:t>
      </w:r>
      <w:r>
        <w:rPr>
          <w:rFonts w:hint="eastAsia" w:ascii="宋体" w:hAnsi="宋体" w:cs="宋体"/>
          <w:bCs/>
          <w:color w:val="000000" w:themeColor="text1"/>
          <w:sz w:val="24"/>
          <w:szCs w:val="24"/>
          <w14:textFill>
            <w14:solidFill>
              <w14:schemeClr w14:val="tx1"/>
            </w14:solidFill>
          </w14:textFill>
        </w:rPr>
        <w:t xml:space="preserve">次的；</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5</w:t>
      </w:r>
      <w:r>
        <w:rPr>
          <w:rFonts w:hint="eastAsia" w:ascii="宋体" w:hAnsi="宋体" w:cs="宋体"/>
          <w:bCs/>
          <w:color w:val="000000" w:themeColor="text1"/>
          <w:sz w:val="24"/>
          <w:szCs w:val="24"/>
          <w14:textFill>
            <w14:solidFill>
              <w14:schemeClr w14:val="tx1"/>
            </w14:solidFill>
          </w14:textFill>
        </w:rPr>
        <w:t xml:space="preserve">、乙方及其服务人员虚报服务内容、服务时间等，骗取甲方服务费用的；</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6</w:t>
      </w:r>
      <w:r>
        <w:rPr>
          <w:rFonts w:hint="eastAsia" w:ascii="宋体" w:hAnsi="宋体" w:cs="宋体"/>
          <w:bCs/>
          <w:color w:val="000000" w:themeColor="text1"/>
          <w:sz w:val="24"/>
          <w:szCs w:val="24"/>
          <w14:textFill>
            <w14:solidFill>
              <w14:schemeClr w14:val="tx1"/>
            </w14:solidFill>
          </w14:textFill>
        </w:rPr>
        <w:t xml:space="preserve">、因乙方不当服务或服务人员违法，给甲方造成严重不良影响的；</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7、乙方一年内因生产安全事故受到行政处罚达到三次的，或者因为乙方发生生产安全事故、环境损害事故，给甲方造成重大不良影响的或导致甲方受到行政处罚的。</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第十二条 不可抗力</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1</w:t>
      </w:r>
      <w:r>
        <w:rPr>
          <w:rFonts w:hint="eastAsia" w:ascii="宋体" w:hAnsi="宋体" w:cs="宋体"/>
          <w:bCs/>
          <w:color w:val="000000" w:themeColor="text1"/>
          <w:sz w:val="24"/>
          <w:szCs w:val="24"/>
          <w14:textFill>
            <w14:solidFill>
              <w14:schemeClr w14:val="tx1"/>
            </w14:solidFill>
          </w14:textFill>
        </w:rPr>
        <w:t xml:space="preserve">、不可抗力，是指不能预见、不能避免并不能克服的客观情况，如战争、动乱、洪水、地震、风暴等。</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2</w:t>
      </w:r>
      <w:r>
        <w:rPr>
          <w:rFonts w:hint="eastAsia" w:ascii="宋体" w:hAnsi="宋体" w:cs="宋体"/>
          <w:bCs/>
          <w:color w:val="000000" w:themeColor="text1"/>
          <w:sz w:val="24"/>
          <w:szCs w:val="24"/>
          <w14:textFill>
            <w14:solidFill>
              <w14:schemeClr w14:val="tx1"/>
            </w14:solidFill>
          </w14:textFill>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3</w:t>
      </w:r>
      <w:r>
        <w:rPr>
          <w:rFonts w:hint="eastAsia" w:ascii="宋体" w:hAnsi="宋体" w:cs="宋体"/>
          <w:bCs/>
          <w:color w:val="000000" w:themeColor="text1"/>
          <w:sz w:val="24"/>
          <w:szCs w:val="24"/>
          <w14:textFill>
            <w14:solidFill>
              <w14:schemeClr w14:val="tx1"/>
            </w14:solidFill>
          </w14:textFill>
        </w:rPr>
        <w:t xml:space="preserve">、发生不可抗力事件，任何一方均不对因不可抗力无法履行或迟延履行本合同义务而使另一方蒙受的任何损失承担责任，法律另有规定的除外。</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4</w:t>
      </w:r>
      <w:r>
        <w:rPr>
          <w:rFonts w:hint="eastAsia" w:ascii="宋体" w:hAnsi="宋体" w:cs="宋体"/>
          <w:bCs/>
          <w:color w:val="000000" w:themeColor="text1"/>
          <w:sz w:val="24"/>
          <w:szCs w:val="24"/>
          <w14:textFill>
            <w14:solidFill>
              <w14:schemeClr w14:val="tx1"/>
            </w14:solidFill>
          </w14:textFill>
        </w:rPr>
        <w:t xml:space="preserve">、合同各方应根据不可抗力对本合同履行的影响程度，协商确定是否终止或是继续履行本合同。</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第十三条 合同的变更、中止</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本合同一经签订，双方均不得擅自变更或中止合同，除非合同的继续履行将损害国家利益和社会公共利益。</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第十四条 合同的终止</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1、本合同因下列原因而终止：</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1.1 本合同正常履行完毕；</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1.2 因不可抗力导致本合同无法履行或履行不必要；</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1.3 任何一方行使解除权解除本合同；</w:t>
      </w:r>
      <w:r/>
    </w:p>
    <w:p>
      <w:pPr>
        <w:ind w:right="-27" w:firstLine="789"/>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1.4 合同的继续履行将损害国家利益和社会公共利益且不宜变更、中止的。</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2、除上述情形外，甲乙双方不得擅自终止合同。</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第十五条 合同的转让</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乙方不得将其合同项下的权利义务部分或全部转让给第三方。</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第十六条 履约保证金</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本项目不收取履约保证金。</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第十七条 争议解决方式</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1、在执行本合同过程中所发生的或与本合同有关的一切争端，甲乙双方友好协商解决。如协商不能解决，则全部争端由甲方所在地人民法院管辖。</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2、如因乙方违约，导致甲方起诉的，甲方由此产生的诉讼费用、律师费用、差旅费用等，均由乙方承担。</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第十八条 通知与送达</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1、甲乙双方因履行本合同需要向对方发送通知、文件、资料的，均以下列联系信息确定内容进行：</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1.1</w:t>
      </w:r>
      <w:r>
        <w:rPr>
          <w:rFonts w:hint="eastAsia" w:ascii="宋体" w:hAnsi="宋体" w:cs="宋体"/>
          <w:bCs/>
          <w:color w:val="000000" w:themeColor="text1"/>
          <w:sz w:val="24"/>
          <w:szCs w:val="24"/>
          <w14:textFill>
            <w14:solidFill>
              <w14:schemeClr w14:val="tx1"/>
            </w14:solidFill>
          </w14:textFill>
        </w:rPr>
        <w:t xml:space="preserve">甲方联系信息：</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指定收件人：</w:t>
      </w:r>
      <w:r>
        <w:rPr>
          <w:rFonts w:hint="eastAsia" w:ascii="宋体" w:hAnsi="宋体" w:cs="宋体"/>
          <w:bCs/>
          <w:color w:val="000000" w:themeColor="text1"/>
          <w:sz w:val="24"/>
          <w:szCs w:val="24"/>
          <w:u w:val="single"/>
          <w14:textFill>
            <w14:solidFill>
              <w14:schemeClr w14:val="tx1"/>
            </w14:solidFill>
          </w14:textFill>
        </w:rPr>
        <w:t xml:space="preserve">                           </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送达地址：</w:t>
      </w:r>
      <w:r>
        <w:rPr>
          <w:rFonts w:hint="eastAsia" w:ascii="宋体" w:hAnsi="宋体" w:cs="宋体"/>
          <w:bCs/>
          <w:color w:val="000000" w:themeColor="text1"/>
          <w:sz w:val="24"/>
          <w:szCs w:val="24"/>
          <w:u w:val="single"/>
          <w14:textFill>
            <w14:solidFill>
              <w14:schemeClr w14:val="tx1"/>
            </w14:solidFill>
          </w14:textFill>
        </w:rPr>
        <w:t xml:space="preserve">                           </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指定电子收件方式：</w:t>
      </w:r>
      <w:r>
        <w:rPr>
          <w:rFonts w:hint="eastAsia" w:ascii="宋体" w:hAnsi="宋体" w:cs="宋体"/>
          <w:bCs/>
          <w:color w:val="000000" w:themeColor="text1"/>
          <w:sz w:val="24"/>
          <w:szCs w:val="24"/>
          <w:u w:val="single"/>
          <w14:textFill>
            <w14:solidFill>
              <w14:schemeClr w14:val="tx1"/>
            </w14:solidFill>
          </w14:textFill>
        </w:rPr>
        <w:t xml:space="preserve">                           </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1.2</w:t>
      </w:r>
      <w:r>
        <w:rPr>
          <w:rFonts w:hint="eastAsia" w:ascii="宋体" w:hAnsi="宋体" w:cs="宋体"/>
          <w:bCs/>
          <w:color w:val="000000" w:themeColor="text1"/>
          <w:sz w:val="24"/>
          <w:szCs w:val="24"/>
          <w14:textFill>
            <w14:solidFill>
              <w14:schemeClr w14:val="tx1"/>
            </w14:solidFill>
          </w14:textFill>
        </w:rPr>
        <w:t xml:space="preserve">乙方联系信息：</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指定收件人：</w:t>
      </w:r>
      <w:r>
        <w:rPr>
          <w:rFonts w:hint="eastAsia" w:ascii="宋体" w:hAnsi="宋体" w:cs="宋体"/>
          <w:bCs/>
          <w:color w:val="000000" w:themeColor="text1"/>
          <w:sz w:val="24"/>
          <w:szCs w:val="24"/>
          <w:u w:val="single"/>
          <w14:textFill>
            <w14:solidFill>
              <w14:schemeClr w14:val="tx1"/>
            </w14:solidFill>
          </w14:textFill>
        </w:rPr>
        <w:t xml:space="preserve">                           </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送达地址：</w:t>
      </w:r>
      <w:r>
        <w:rPr>
          <w:rFonts w:hint="eastAsia" w:ascii="宋体" w:hAnsi="宋体" w:cs="宋体"/>
          <w:bCs/>
          <w:color w:val="000000" w:themeColor="text1"/>
          <w:sz w:val="24"/>
          <w:szCs w:val="24"/>
          <w:u w:val="single"/>
          <w14:textFill>
            <w14:solidFill>
              <w14:schemeClr w14:val="tx1"/>
            </w14:solidFill>
          </w14:textFill>
        </w:rPr>
        <w:t xml:space="preserve">                           </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指定电子收件方式：</w:t>
      </w:r>
      <w:r>
        <w:rPr>
          <w:rFonts w:hint="eastAsia" w:ascii="宋体" w:hAnsi="宋体" w:cs="宋体"/>
          <w:bCs/>
          <w:color w:val="000000" w:themeColor="text1"/>
          <w:sz w:val="24"/>
          <w:szCs w:val="24"/>
          <w:u w:val="single"/>
          <w14:textFill>
            <w14:solidFill>
              <w14:schemeClr w14:val="tx1"/>
            </w14:solidFill>
          </w14:textFill>
        </w:rPr>
        <w:t xml:space="preserve">                           </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2、双方确认前述联系信息作为解决争议时接受人民法院诉讼文书的送达地址和联系方式。</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3、任何一方改变前述联系信息的，应在发生变更后的3天内告知对方并做好通知到达对方前可能存在的邮件的接收。如未通知的，视为没有变更。</w:t>
      </w:r>
      <w:r/>
    </w:p>
    <w:p>
      <w:pPr>
        <w:ind w:right="-27" w:firstLine="482"/>
        <w:spacing w:line="440" w:lineRule="exact"/>
        <w:tabs>
          <w:tab w:val="left" w:pos="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第十九条 合同生效及其他</w:t>
      </w:r>
      <w:r/>
    </w:p>
    <w:p>
      <w:pPr>
        <w:ind w:right="-27" w:firstLine="480"/>
        <w:spacing w:line="440" w:lineRule="exact"/>
        <w:tabs>
          <w:tab w:val="left" w:pos="0" w:leader="none"/>
        </w:tabs>
        <w:rPr>
          <w:rFonts w:ascii="Times New Roman" w:hAnsi="Times New Roman"/>
          <w:b/>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合同在双方加盖公章或</w:t>
      </w:r>
      <w:r>
        <w:rPr>
          <w:rFonts w:hint="eastAsia" w:ascii="宋体" w:hAnsi="宋体"/>
          <w:b/>
          <w:color w:val="000000" w:themeColor="text1"/>
          <w:sz w:val="24"/>
          <w:szCs w:val="24"/>
          <w14:textFill>
            <w14:solidFill>
              <w14:schemeClr w14:val="tx1"/>
            </w14:solidFill>
          </w14:textFill>
        </w:rPr>
        <w:t xml:space="preserve">双方法定代表人、授权代表签字后生效</w:t>
      </w:r>
      <w:r/>
    </w:p>
    <w:p>
      <w:pPr>
        <w:ind w:right="-27" w:firstLine="480"/>
        <w:spacing w:line="440" w:lineRule="exact"/>
        <w:tabs>
          <w:tab w:val="left" w:pos="0" w:leader="none"/>
        </w:tabs>
        <w:rPr>
          <w:rFonts w:ascii="Times New Roman" w:hAnsi="Times New Roman"/>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本合同一式</w:t>
      </w:r>
      <w:r>
        <w:rPr>
          <w:rFonts w:hint="eastAsia" w:ascii="宋体" w:hAnsi="宋体"/>
          <w:color w:val="000000" w:themeColor="text1"/>
          <w:sz w:val="24"/>
          <w:szCs w:val="24"/>
          <w:u w:val="single"/>
          <w14:textFill>
            <w14:solidFill>
              <w14:schemeClr w14:val="tx1"/>
            </w14:solidFill>
          </w14:textFill>
        </w:rPr>
        <w:t xml:space="preserve">四</w:t>
      </w:r>
      <w:r>
        <w:rPr>
          <w:rFonts w:hint="eastAsia" w:ascii="宋体" w:hAnsi="宋体"/>
          <w:color w:val="000000" w:themeColor="text1"/>
          <w:sz w:val="24"/>
          <w:szCs w:val="24"/>
          <w14:textFill>
            <w14:solidFill>
              <w14:schemeClr w14:val="tx1"/>
            </w14:solidFill>
          </w14:textFill>
        </w:rPr>
        <w:t xml:space="preserve">份，以简体中文书写，甲方、乙方各执二份。</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3、本合同应按照中华人民共和国的现行法律进行解释。</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甲方（公章）：                       乙方（公章）：</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法定（授权）代表人（签字）：        </w:t>
      </w:r>
      <w:r>
        <w:rPr>
          <w:rFonts w:ascii="宋体" w:hAnsi="宋体"/>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法定（授权）代表人（签字）：</w:t>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    年   月   日                        年   月   日</w:t>
      </w:r>
      <w:r/>
    </w:p>
    <w:p>
      <w:pPr>
        <w:pStyle w:val="1048"/>
        <w:spacing w:line="360" w:lineRule="auto"/>
        <w:widowControl/>
        <w:rPr>
          <w:rFonts w:hint="default" w:hAnsi="宋体" w:eastAsia="宋体"/>
          <w:sz w:val="24"/>
          <w:szCs w:val="24"/>
        </w:rPr>
      </w:pPr>
      <w:r>
        <w:rPr>
          <w:rFonts w:hint="default" w:hAnsi="宋体" w:eastAsia="宋体"/>
          <w:sz w:val="24"/>
          <w:szCs w:val="24"/>
        </w:rPr>
        <w:br w:type="page" w:clear="all"/>
      </w:r>
      <w:r/>
    </w:p>
    <w:p>
      <w:pPr>
        <w:pStyle w:val="1048"/>
        <w:spacing w:line="360" w:lineRule="auto"/>
        <w:widowControl/>
        <w:rPr>
          <w:rFonts w:hint="default" w:hAnsi="宋体" w:eastAsia="宋体"/>
          <w:sz w:val="24"/>
          <w:szCs w:val="24"/>
        </w:rPr>
      </w:pPr>
      <w:r>
        <w:rPr>
          <w:rFonts w:hint="default" w:hAnsi="宋体" w:eastAsia="宋体"/>
          <w:sz w:val="24"/>
          <w:szCs w:val="24"/>
        </w:rPr>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jc w:val="center"/>
        <w:keepNext/>
        <w:rPr>
          <w:rFonts w:ascii="宋体" w:hAnsi="宋体" w:cs="Courier New"/>
          <w:color w:val="000000" w:themeColor="text1"/>
          <w:sz w:val="24"/>
          <w:szCs w:val="24"/>
          <w14:textFill>
            <w14:solidFill>
              <w14:schemeClr w14:val="tx1"/>
            </w14:solidFill>
          </w14:textFill>
        </w:rPr>
        <w:outlineLvl w:val="0"/>
      </w:pPr>
      <w:r/>
      <w:bookmarkStart w:id="202" w:name="_Toc228349836"/>
      <w:r>
        <w:rPr>
          <w:rFonts w:hint="eastAsia" w:ascii="黑体" w:hAnsi="Courier New" w:eastAsia="黑体" w:cs="Courier New"/>
          <w:bCs/>
          <w:color w:val="000000" w:themeColor="text1"/>
          <w:sz w:val="44"/>
          <w:szCs w:val="21"/>
          <w14:textFill>
            <w14:solidFill>
              <w14:schemeClr w14:val="tx1"/>
            </w14:solidFill>
          </w14:textFill>
        </w:rPr>
        <w:t xml:space="preserve">第</w:t>
      </w:r>
      <w:bookmarkEnd w:id="195"/>
      <w:r>
        <w:rPr>
          <w:rFonts w:hint="eastAsia" w:ascii="黑体" w:hAnsi="Courier New" w:eastAsia="黑体" w:cs="Courier New"/>
          <w:bCs/>
          <w:color w:val="000000" w:themeColor="text1"/>
          <w:sz w:val="44"/>
          <w:szCs w:val="21"/>
          <w14:textFill>
            <w14:solidFill>
              <w14:schemeClr w14:val="tx1"/>
            </w14:solidFill>
          </w14:textFill>
        </w:rPr>
        <w:t xml:space="preserve">四章 </w:t>
      </w:r>
      <w:r>
        <w:rPr>
          <w:rFonts w:ascii="黑体" w:hAnsi="Courier New" w:eastAsia="黑体" w:cs="Courier New"/>
          <w:bCs/>
          <w:color w:val="000000" w:themeColor="text1"/>
          <w:sz w:val="44"/>
          <w:szCs w:val="21"/>
          <w14:textFill>
            <w14:solidFill>
              <w14:schemeClr w14:val="tx1"/>
            </w14:solidFill>
          </w14:textFill>
        </w:rPr>
        <w:t xml:space="preserve"> </w:t>
      </w:r>
      <w:r>
        <w:rPr>
          <w:rFonts w:hint="eastAsia" w:ascii="黑体" w:hAnsi="Courier New" w:eastAsia="黑体" w:cs="Courier New"/>
          <w:bCs/>
          <w:color w:val="000000" w:themeColor="text1"/>
          <w:sz w:val="44"/>
          <w:szCs w:val="21"/>
          <w14:textFill>
            <w14:solidFill>
              <w14:schemeClr w14:val="tx1"/>
            </w14:solidFill>
          </w14:textFill>
        </w:rPr>
        <w:t xml:space="preserve">采购需求</w:t>
      </w:r>
      <w:bookmarkEnd w:id="196"/>
      <w:r/>
      <w:bookmarkEnd w:id="197"/>
      <w:r/>
      <w:bookmarkEnd w:id="198"/>
      <w:r/>
      <w:bookmarkEnd w:id="202"/>
      <w:r/>
      <w:r/>
    </w:p>
    <w:p>
      <w:pPr>
        <w:jc w:val="left"/>
        <w:keepNext/>
        <w:rPr>
          <w:b/>
          <w:bCs/>
          <w:color w:val="000000" w:themeColor="text1"/>
          <w:sz w:val="28"/>
          <w:szCs w:val="28"/>
          <w14:textFill>
            <w14:solidFill>
              <w14:schemeClr w14:val="tx1"/>
            </w14:solidFill>
          </w14:textFill>
        </w:rPr>
        <w:outlineLvl w:val="0"/>
      </w:pPr>
      <w:r/>
      <w:bookmarkStart w:id="203" w:name="_Toc6043"/>
      <w:r/>
      <w:bookmarkStart w:id="204" w:name="_Toc228349837"/>
      <w:r/>
      <w:bookmarkStart w:id="205" w:name="_Toc157604637"/>
      <w:r/>
      <w:bookmarkStart w:id="206" w:name="_Toc120614281"/>
      <w:r/>
      <w:bookmarkStart w:id="207" w:name="_Toc49090575"/>
      <w:r/>
      <w:bookmarkStart w:id="208" w:name="_Toc26554093"/>
      <w:r>
        <w:rPr>
          <w:rFonts w:hint="eastAsia" w:ascii="Times New Roman" w:hAnsi="Times New Roman"/>
          <w:b/>
          <w:sz w:val="28"/>
          <w:szCs w:val="28"/>
          <w:lang w:bidi="ar"/>
        </w:rPr>
        <w:t xml:space="preserve">标段一、标段二</w:t>
      </w:r>
      <w:bookmarkEnd w:id="203"/>
      <w:r/>
      <w:bookmarkEnd w:id="204"/>
      <w:r/>
      <w:r/>
    </w:p>
    <w:p>
      <w:pPr>
        <w:spacing w:line="440" w:lineRule="exact"/>
        <w:rPr>
          <w:b/>
          <w:bCs/>
          <w:color w:val="000000" w:themeColor="text1"/>
          <w:sz w:val="28"/>
          <w:szCs w:val="28"/>
          <w14:textFill>
            <w14:solidFill>
              <w14:schemeClr w14:val="tx1"/>
            </w14:solidFill>
          </w14:textFill>
        </w:rPr>
      </w:pPr>
      <w:r>
        <w:rPr>
          <w:rFonts w:hint="eastAsia"/>
          <w:b/>
          <w:bCs/>
          <w:color w:val="000000" w:themeColor="text1"/>
          <w:sz w:val="28"/>
          <w:szCs w:val="28"/>
          <w14:textFill>
            <w14:solidFill>
              <w14:schemeClr w14:val="tx1"/>
            </w14:solidFill>
          </w14:textFill>
        </w:rPr>
        <w:t xml:space="preserve">一、项目说明</w:t>
      </w:r>
      <w:bookmarkEnd w:id="205"/>
      <w:r/>
      <w:r/>
    </w:p>
    <w:p>
      <w:pPr>
        <w:ind w:firstLine="480"/>
        <w:spacing w:line="460" w:lineRule="exact"/>
        <w:rPr>
          <w:rFonts w:ascii="Times New Roman" w:hAnsi="Times New Roman"/>
          <w:color w:val="000000" w:themeColor="text1"/>
          <w:sz w:val="24"/>
          <w:szCs w:val="24"/>
          <w14:textFill>
            <w14:solidFill>
              <w14:schemeClr w14:val="tx1"/>
            </w14:solidFill>
          </w14:textFill>
        </w:rPr>
      </w:pPr>
      <w:r/>
      <w:bookmarkStart w:id="209" w:name="_Toc153263475"/>
      <w:r/>
      <w:bookmarkStart w:id="210" w:name="_Toc157604638"/>
      <w:r>
        <w:rPr>
          <w:rFonts w:hint="eastAsia" w:ascii="宋体" w:hAnsi="宋体"/>
          <w:color w:val="000000" w:themeColor="text1"/>
          <w:sz w:val="24"/>
          <w:szCs w:val="24"/>
          <w14:textFill>
            <w14:solidFill>
              <w14:schemeClr w14:val="tx1"/>
            </w14:solidFill>
          </w14:textFill>
        </w:rPr>
        <w:t xml:space="preserve">1、采购需求概况：苏州工学院所需的苏州工学院社会车辆租赁服务</w:t>
      </w:r>
      <w:r>
        <w:rPr>
          <w:rFonts w:hint="eastAsia"/>
          <w:color w:val="000000" w:themeColor="text1"/>
          <w:sz w:val="24"/>
          <w:szCs w:val="24"/>
          <w14:textFill>
            <w14:solidFill>
              <w14:schemeClr w14:val="tx1"/>
            </w14:solidFill>
          </w14:textFill>
        </w:rPr>
        <w:t xml:space="preserve">。</w:t>
      </w:r>
      <w:r/>
    </w:p>
    <w:p>
      <w:pPr>
        <w:ind w:firstLine="480"/>
        <w:spacing w:line="480" w:lineRule="exact"/>
        <w:rPr>
          <w:rFonts w:ascii="宋体" w:hAnsi="宋体"/>
          <w:i/>
          <w:color w:val="000000" w:themeColor="text1"/>
          <w:sz w:val="24"/>
          <w:szCs w:val="24"/>
          <w:u w:val="single"/>
          <w14:textFill>
            <w14:solidFill>
              <w14:schemeClr w14:val="tx1"/>
            </w14:solidFill>
          </w14:textFill>
        </w:rPr>
      </w:pPr>
      <w:r>
        <w:rPr>
          <w:rFonts w:hint="eastAsia" w:ascii="宋体" w:hAnsi="宋体"/>
          <w:i/>
          <w:color w:val="000000" w:themeColor="text1"/>
          <w:sz w:val="24"/>
          <w:szCs w:val="24"/>
          <w:u w:val="single"/>
          <w14:textFill>
            <w14:solidFill>
              <w14:schemeClr w14:val="tx1"/>
            </w14:solidFill>
          </w14:textFill>
        </w:rPr>
        <w:t xml:space="preserve">2、合同履行期限：自签订合同之日起2年。</w:t>
      </w:r>
      <w:r/>
    </w:p>
    <w:p>
      <w:pPr>
        <w:ind w:firstLine="480"/>
        <w:spacing w:line="480" w:lineRule="exact"/>
        <w:rPr>
          <w:rFonts w:ascii="宋体" w:hAnsi="宋体"/>
          <w:color w:val="000000" w:themeColor="text1"/>
          <w:sz w:val="24"/>
          <w:szCs w:val="24"/>
          <w14:textFill>
            <w14:solidFill>
              <w14:schemeClr w14:val="tx1"/>
            </w14:solidFill>
          </w14:textFill>
        </w:rPr>
      </w:pPr>
      <w:r>
        <w:rPr>
          <w:rFonts w:hint="eastAsia" w:ascii="宋体" w:hAnsi="宋体" w:cs="宋体"/>
          <w:sz w:val="24"/>
          <w:szCs w:val="24"/>
          <w:lang w:bidi="ar"/>
        </w:rPr>
        <w:t xml:space="preserve">3、服务时间地点：授予合同之日起10日内或者根据合同约定时间和地点开展服务</w:t>
      </w:r>
      <w:r/>
    </w:p>
    <w:p>
      <w:pPr>
        <w:ind w:firstLine="480"/>
        <w:spacing w:line="48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4、投标人应对项目现场进行踏勘，但费用由投标人自行承担。投标人在投标报价时应充分考虑现场实际情况，采购人不负担因投标人对项目现场情况考虑不周而产生的其他任何费用。</w:t>
      </w:r>
      <w:r/>
    </w:p>
    <w:p>
      <w:pPr>
        <w:ind w:firstLine="480"/>
        <w:spacing w:line="480" w:lineRule="exact"/>
        <w:rPr>
          <w:rFonts w:ascii="宋体" w:hAnsi="宋体"/>
          <w:i/>
          <w:color w:val="000000" w:themeColor="text1"/>
          <w:sz w:val="24"/>
          <w:szCs w:val="24"/>
          <w:u w:val="single"/>
          <w14:textFill>
            <w14:solidFill>
              <w14:schemeClr w14:val="tx1"/>
            </w14:solidFill>
          </w14:textFill>
        </w:rPr>
      </w:pPr>
      <w:r>
        <w:rPr>
          <w:rFonts w:hint="eastAsia" w:ascii="宋体" w:hAnsi="宋体"/>
          <w:i/>
          <w:color w:val="000000" w:themeColor="text1"/>
          <w:sz w:val="24"/>
          <w:szCs w:val="24"/>
          <w:u w:val="single"/>
          <w14:textFill>
            <w14:solidFill>
              <w14:schemeClr w14:val="tx1"/>
            </w14:solidFill>
          </w14:textFill>
        </w:rPr>
        <w:t xml:space="preserve">5、结算方式：结算费用=各类车型校内用车服务最高单价限价*实际数量*（1-中标优惠率）</w:t>
      </w:r>
      <w:r/>
    </w:p>
    <w:p>
      <w:pPr>
        <w:ind w:firstLine="480"/>
        <w:spacing w:line="480" w:lineRule="exact"/>
        <w:rPr>
          <w:rFonts w:ascii="宋体" w:hAnsi="宋体"/>
          <w:i/>
          <w:color w:val="000000" w:themeColor="text1"/>
          <w:sz w:val="24"/>
          <w:szCs w:val="24"/>
          <w:u w:val="single"/>
          <w14:textFill>
            <w14:solidFill>
              <w14:schemeClr w14:val="tx1"/>
            </w14:solidFill>
          </w14:textFill>
        </w:rPr>
      </w:pPr>
      <w:r>
        <w:rPr>
          <w:rFonts w:hint="eastAsia" w:ascii="宋体" w:hAnsi="宋体"/>
          <w:i/>
          <w:color w:val="000000" w:themeColor="text1"/>
          <w:sz w:val="24"/>
          <w:szCs w:val="24"/>
          <w:u w:val="single"/>
          <w14:textFill>
            <w14:solidFill>
              <w14:schemeClr w14:val="tx1"/>
            </w14:solidFill>
          </w14:textFill>
        </w:rPr>
        <w:t xml:space="preserve">6、付款方式：</w:t>
      </w:r>
      <w:r/>
    </w:p>
    <w:p>
      <w:pPr>
        <w:ind w:firstLine="482"/>
        <w:spacing w:line="480" w:lineRule="exact"/>
        <w:rPr>
          <w:rFonts w:ascii="宋体" w:hAnsi="宋体"/>
          <w:bCs/>
          <w:i/>
          <w:color w:val="000000" w:themeColor="text1"/>
          <w:sz w:val="24"/>
          <w:szCs w:val="24"/>
          <w:u w:val="single"/>
          <w14:textFill>
            <w14:solidFill>
              <w14:schemeClr w14:val="tx1"/>
            </w14:solidFill>
          </w14:textFill>
        </w:rPr>
      </w:pPr>
      <w:r>
        <w:rPr>
          <w:rFonts w:hint="eastAsia" w:ascii="宋体" w:hAnsi="宋体"/>
          <w:bCs/>
          <w:i/>
          <w:color w:val="000000" w:themeColor="text1"/>
          <w:sz w:val="24"/>
          <w:szCs w:val="24"/>
          <w:u w:val="single"/>
          <w14:textFill>
            <w14:solidFill>
              <w14:schemeClr w14:val="tx1"/>
            </w14:solidFill>
          </w14:textFill>
        </w:rPr>
        <w:t xml:space="preserve">承运方与采购人协商确定校内用车服务费用支付事项，签订采购合同。承运方与用车方按照合同约定的付款计划进行结算。结算时承运方需提供正规发票、用车明细表（需加盖承运方的公章）等凭证。</w:t>
      </w:r>
      <w:r/>
    </w:p>
    <w:p>
      <w:pPr>
        <w:ind w:firstLine="482"/>
        <w:spacing w:line="480" w:lineRule="exact"/>
        <w:rPr>
          <w:rFonts w:ascii="宋体" w:hAnsi="宋体"/>
          <w:bCs/>
          <w:i/>
          <w:color w:val="000000" w:themeColor="text1"/>
          <w:sz w:val="24"/>
          <w:szCs w:val="24"/>
          <w:u w:val="single"/>
          <w14:textFill>
            <w14:solidFill>
              <w14:schemeClr w14:val="tx1"/>
            </w14:solidFill>
          </w14:textFill>
        </w:rPr>
      </w:pPr>
      <w:r>
        <w:rPr>
          <w:rFonts w:hint="eastAsia" w:ascii="宋体" w:hAnsi="宋体"/>
          <w:bCs/>
          <w:i/>
          <w:color w:val="000000" w:themeColor="text1"/>
          <w:sz w:val="24"/>
          <w:szCs w:val="24"/>
          <w:u w:val="single"/>
          <w14:textFill>
            <w14:solidFill>
              <w14:schemeClr w14:val="tx1"/>
            </w14:solidFill>
          </w14:textFill>
        </w:rPr>
        <w:t xml:space="preserve">2、校内用车服务费用支付要严格执行学校财务相关制度，不得以现金方式支付。</w:t>
      </w:r>
      <w:r/>
    </w:p>
    <w:p>
      <w:pPr>
        <w:ind w:firstLine="482"/>
        <w:spacing w:line="480" w:lineRule="exact"/>
        <w:rPr>
          <w:rFonts w:ascii="宋体" w:hAnsi="宋体"/>
          <w:bCs/>
          <w:i/>
          <w:color w:val="000000" w:themeColor="text1"/>
          <w:sz w:val="24"/>
          <w:szCs w:val="24"/>
          <w:u w:val="single"/>
          <w14:textFill>
            <w14:solidFill>
              <w14:schemeClr w14:val="tx1"/>
            </w14:solidFill>
          </w14:textFill>
        </w:rPr>
      </w:pPr>
      <w:r>
        <w:rPr>
          <w:rFonts w:hint="eastAsia" w:ascii="宋体" w:hAnsi="宋体"/>
          <w:bCs/>
          <w:i/>
          <w:color w:val="000000" w:themeColor="text1"/>
          <w:sz w:val="24"/>
          <w:szCs w:val="24"/>
          <w:u w:val="single"/>
          <w14:textFill>
            <w14:solidFill>
              <w14:schemeClr w14:val="tx1"/>
            </w14:solidFill>
          </w14:textFill>
        </w:rPr>
        <w:t xml:space="preserve">3、用车方应在满足采购合同的结算条件下，自收到发票后30日内（或承运方和采购人双方约定时间），将校内用车服务费用支付到承运方账户。</w:t>
      </w:r>
      <w:r/>
    </w:p>
    <w:p>
      <w:pPr>
        <w:ind w:firstLine="482"/>
        <w:spacing w:line="480" w:lineRule="exact"/>
        <w:rPr>
          <w:rFonts w:ascii="宋体" w:hAnsi="宋体"/>
          <w:b/>
          <w:i/>
          <w:color w:val="000000" w:themeColor="text1"/>
          <w:sz w:val="24"/>
          <w:szCs w:val="24"/>
          <w:u w:val="single"/>
          <w14:textFill>
            <w14:solidFill>
              <w14:schemeClr w14:val="tx1"/>
            </w14:solidFill>
          </w14:textFill>
        </w:rPr>
      </w:pPr>
      <w:r>
        <w:rPr>
          <w:rFonts w:hint="eastAsia" w:ascii="宋体" w:hAnsi="宋体"/>
          <w:b/>
          <w:i/>
          <w:color w:val="000000" w:themeColor="text1"/>
          <w:sz w:val="24"/>
          <w:szCs w:val="24"/>
          <w:u w:val="single"/>
          <w14:textFill>
            <w14:solidFill>
              <w14:schemeClr w14:val="tx1"/>
            </w14:solidFill>
          </w14:textFill>
        </w:rPr>
        <w:t xml:space="preserve">注：（1）以上付款前，承运方均应提供符合采购人要求的同等金额的合法有效发票。否则，采购人有权顺延付款时间，且不承担任何违约及/或赔偿责任。</w:t>
      </w:r>
      <w:r/>
    </w:p>
    <w:p>
      <w:pPr>
        <w:ind w:firstLine="964"/>
        <w:spacing w:line="480" w:lineRule="exact"/>
        <w:rPr>
          <w:rFonts w:ascii="宋体" w:hAnsi="宋体"/>
          <w:b/>
          <w:i/>
          <w:color w:val="000000" w:themeColor="text1"/>
          <w:sz w:val="24"/>
          <w:szCs w:val="24"/>
          <w:u w:val="single"/>
          <w14:textFill>
            <w14:solidFill>
              <w14:schemeClr w14:val="tx1"/>
            </w14:solidFill>
          </w14:textFill>
        </w:rPr>
      </w:pPr>
      <w:r>
        <w:rPr>
          <w:rFonts w:hint="eastAsia" w:ascii="宋体" w:hAnsi="宋体"/>
          <w:b/>
          <w:i/>
          <w:color w:val="000000" w:themeColor="text1"/>
          <w:sz w:val="24"/>
          <w:szCs w:val="24"/>
          <w:u w:val="single"/>
          <w14:textFill>
            <w14:solidFill>
              <w14:schemeClr w14:val="tx1"/>
            </w14:solidFill>
          </w14:textFill>
        </w:rPr>
        <w:t xml:space="preserve">（2）本项目支付方式支持数字人民币方式。</w:t>
      </w:r>
      <w:r/>
    </w:p>
    <w:p>
      <w:pPr>
        <w:ind w:firstLine="482"/>
        <w:spacing w:line="440" w:lineRule="exac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7、</w:t>
      </w:r>
      <w:r>
        <w:rPr>
          <w:rFonts w:ascii="Times New Roman" w:hAnsi="Times New Roman"/>
          <w:color w:val="000000" w:themeColor="text1"/>
          <w:sz w:val="24"/>
          <w:szCs w:val="24"/>
          <w14:textFill>
            <w14:solidFill>
              <w14:schemeClr w14:val="tx1"/>
            </w14:solidFill>
          </w14:textFill>
        </w:rPr>
        <w:t xml:space="preserve">预算金额：</w:t>
      </w:r>
      <w:r>
        <w:rPr>
          <w:rFonts w:hint="eastAsia" w:ascii="Times New Roman" w:hAnsi="Times New Roman"/>
          <w:color w:val="000000" w:themeColor="text1"/>
          <w:sz w:val="24"/>
          <w:szCs w:val="24"/>
          <w14:textFill>
            <w14:solidFill>
              <w14:schemeClr w14:val="tx1"/>
            </w14:solidFill>
          </w14:textFill>
        </w:rPr>
        <w:t xml:space="preserve">总预算</w:t>
      </w:r>
      <w:r>
        <w:rPr>
          <w:rFonts w:ascii="Times New Roman" w:hAnsi="Times New Roman"/>
          <w:color w:val="000000" w:themeColor="text1"/>
          <w:sz w:val="24"/>
          <w:szCs w:val="24"/>
          <w14:textFill>
            <w14:solidFill>
              <w14:schemeClr w14:val="tx1"/>
            </w14:solidFill>
          </w14:textFill>
        </w:rPr>
        <w:t xml:space="preserve">人民币</w:t>
      </w:r>
      <w:r>
        <w:rPr>
          <w:rFonts w:hint="eastAsia" w:ascii="Times New Roman" w:hAnsi="Times New Roman"/>
          <w:color w:val="000000" w:themeColor="text1"/>
          <w:sz w:val="24"/>
          <w:szCs w:val="24"/>
          <w14:textFill>
            <w14:solidFill>
              <w14:schemeClr w14:val="tx1"/>
            </w14:solidFill>
          </w14:textFill>
        </w:rPr>
        <w:t xml:space="preserve">7000000.00元；每年预算人民币3500000.00元；</w:t>
      </w:r>
      <w:r>
        <w:rPr>
          <w:rFonts w:hint="eastAsia" w:ascii="Times New Roman" w:hAnsi="Times New Roman"/>
          <w:sz w:val="24"/>
          <w:szCs w:val="24"/>
          <w:lang w:bidi="ar"/>
        </w:rPr>
        <w:t xml:space="preserve">本项目共二个标段，标段一总预算人民币3500000.00元，每年预算人民币1750000</w:t>
      </w:r>
      <w:r>
        <w:rPr>
          <w:rFonts w:ascii="Times New Roman" w:hAnsi="Times New Roman"/>
          <w:sz w:val="24"/>
          <w:szCs w:val="24"/>
          <w:lang w:bidi="ar"/>
        </w:rPr>
        <w:t xml:space="preserve">.00</w:t>
      </w:r>
      <w:r>
        <w:rPr>
          <w:rFonts w:hint="eastAsia" w:ascii="Times New Roman" w:hAnsi="Times New Roman"/>
          <w:sz w:val="24"/>
          <w:szCs w:val="24"/>
          <w:lang w:bidi="ar"/>
        </w:rPr>
        <w:t xml:space="preserve">元；标段二总预算人民币3500000.00元，每年预算人民币1750000</w:t>
      </w:r>
      <w:r>
        <w:rPr>
          <w:rFonts w:ascii="Times New Roman" w:hAnsi="Times New Roman"/>
          <w:sz w:val="24"/>
          <w:szCs w:val="24"/>
          <w:lang w:bidi="ar"/>
        </w:rPr>
        <w:t xml:space="preserve">.00</w:t>
      </w:r>
      <w:r>
        <w:rPr>
          <w:rFonts w:hint="eastAsia" w:ascii="Times New Roman" w:hAnsi="Times New Roman"/>
          <w:sz w:val="24"/>
          <w:szCs w:val="24"/>
          <w:lang w:bidi="ar"/>
        </w:rPr>
        <w:t xml:space="preserve">元。</w:t>
      </w:r>
      <w:r>
        <w:rPr>
          <w:rFonts w:hint="eastAsia" w:ascii="宋体" w:hAnsi="宋体"/>
          <w:b/>
          <w:bCs/>
          <w:color w:val="000000" w:themeColor="text1"/>
          <w:sz w:val="24"/>
          <w:szCs w:val="24"/>
          <w14:textFill>
            <w14:solidFill>
              <w14:schemeClr w14:val="tx1"/>
            </w14:solidFill>
          </w14:textFill>
        </w:rPr>
        <w:t xml:space="preserve">；每个标段最终结算金额不超过各标段预算金额。</w:t>
      </w:r>
      <w:r/>
    </w:p>
    <w:p>
      <w:pPr>
        <w:ind w:firstLine="480"/>
        <w:spacing w:line="480" w:lineRule="exact"/>
        <w:rPr>
          <w:b/>
          <w:bCs/>
          <w:color w:val="000000" w:themeColor="text1"/>
          <w:sz w:val="28"/>
          <w:szCs w:val="28"/>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w:t>
      </w:r>
      <w:r>
        <w:rPr>
          <w:rFonts w:hint="eastAsia" w:ascii="宋体" w:hAnsi="宋体" w:cs="宋体"/>
          <w:color w:val="000000" w:themeColor="text1"/>
          <w:sz w:val="24"/>
          <w:lang w:val="zh-CN"/>
          <w14:textFill>
            <w14:solidFill>
              <w14:schemeClr w14:val="tx1"/>
            </w14:solidFill>
          </w14:textFill>
        </w:rPr>
        <w:t xml:space="preserve">、本标段不得以任何形式进行转包及分包。</w:t>
      </w:r>
      <w:bookmarkEnd w:id="209"/>
      <w:r/>
      <w:bookmarkEnd w:id="210"/>
      <w:r/>
      <w:r/>
    </w:p>
    <w:p>
      <w:pPr>
        <w:spacing w:line="440" w:lineRule="exact"/>
        <w:rPr>
          <w:b/>
          <w:bCs/>
          <w:color w:val="000000" w:themeColor="text1"/>
          <w:sz w:val="28"/>
          <w:szCs w:val="28"/>
          <w14:textFill>
            <w14:solidFill>
              <w14:schemeClr w14:val="tx1"/>
            </w14:solidFill>
          </w14:textFill>
        </w:rPr>
      </w:pPr>
      <w:r>
        <w:rPr>
          <w:rFonts w:hint="eastAsia"/>
          <w:b/>
          <w:bCs/>
          <w:color w:val="000000" w:themeColor="text1"/>
          <w:sz w:val="28"/>
          <w:szCs w:val="28"/>
          <w14:textFill>
            <w14:solidFill>
              <w14:schemeClr w14:val="tx1"/>
            </w14:solidFill>
          </w14:textFill>
        </w:rPr>
        <w:t xml:space="preserve">二、项目服务要求：</w:t>
      </w:r>
      <w:r/>
    </w:p>
    <w:p>
      <w:pPr>
        <w:ind w:firstLine="480"/>
        <w:spacing w:line="480" w:lineRule="exact"/>
        <w:rPr>
          <w:rFonts w:ascii="宋体" w:hAnsi="宋体" w:cs="宋体"/>
          <w:i/>
          <w:iCs/>
          <w:color w:val="000000" w:themeColor="text1"/>
          <w:sz w:val="24"/>
          <w:u w:val="single"/>
          <w14:textFill>
            <w14:solidFill>
              <w14:schemeClr w14:val="tx1"/>
            </w14:solidFill>
          </w14:textFill>
        </w:rPr>
      </w:pPr>
      <w:r>
        <w:rPr>
          <w:rFonts w:hint="eastAsia" w:ascii="宋体" w:hAnsi="宋体" w:cs="宋体"/>
          <w:i/>
          <w:iCs/>
          <w:color w:val="000000" w:themeColor="text1"/>
          <w:sz w:val="24"/>
          <w:u w:val="single"/>
          <w14:textFill>
            <w14:solidFill>
              <w14:schemeClr w14:val="tx1"/>
            </w14:solidFill>
          </w14:textFill>
        </w:rPr>
        <w:t xml:space="preserve">1、自愿按照不高于苏州工学院校内用车服务结算标准为学校用车部门和师生提供用车服务，并自觉遵守采购人相关车辆管理规定，接受苏州工学院监督管理。</w:t>
      </w:r>
      <w:r/>
    </w:p>
    <w:p>
      <w:pPr>
        <w:ind w:firstLine="48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2、未经采购人同意，不得使用除成交时</w:t>
      </w:r>
      <w:r>
        <w:rPr>
          <w:rFonts w:hint="eastAsia" w:ascii="宋体" w:hAnsi="宋体" w:cs="宋体"/>
          <w:color w:val="000000" w:themeColor="text1"/>
          <w:sz w:val="24"/>
          <w:lang w:val="zh-CN"/>
          <w14:textFill>
            <w14:solidFill>
              <w14:schemeClr w14:val="tx1"/>
            </w14:solidFill>
          </w14:textFill>
        </w:rPr>
        <w:t xml:space="preserve">提供的</w:t>
      </w:r>
      <w:r>
        <w:rPr>
          <w:rFonts w:hint="eastAsia" w:ascii="宋体" w:hAnsi="宋体" w:cs="宋体"/>
          <w:color w:val="000000" w:themeColor="text1"/>
          <w:sz w:val="24"/>
          <w14:textFill>
            <w14:solidFill>
              <w14:schemeClr w14:val="tx1"/>
            </w14:solidFill>
          </w14:textFill>
        </w:rPr>
        <w:t xml:space="preserve">自有车辆清单之外车辆，如有违反，自愿接受采购人的处罚。</w:t>
      </w:r>
      <w:r/>
    </w:p>
    <w:p>
      <w:pPr>
        <w:ind w:firstLine="48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3、为采购人提供服务用车的驾驶员不得使用非单位聘用的驾驶员。</w:t>
      </w:r>
      <w:r/>
    </w:p>
    <w:p>
      <w:pPr>
        <w:ind w:firstLine="48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4、车辆维护保养管理规范，有专业固定的维修保养定点场所。</w:t>
      </w:r>
      <w:r/>
    </w:p>
    <w:p>
      <w:pPr>
        <w:ind w:firstLine="480"/>
        <w:spacing w:line="480" w:lineRule="exact"/>
        <w:rPr>
          <w:rFonts w:ascii="宋体" w:hAnsi="宋体" w:cs="宋体"/>
          <w:color w:val="000000" w:themeColor="text1"/>
          <w:sz w:val="24"/>
          <w14:textFill>
            <w14:solidFill>
              <w14:schemeClr w14:val="tx1"/>
            </w14:solidFill>
          </w14:textFill>
        </w:rPr>
      </w:pPr>
      <w:r/>
      <w:bookmarkStart w:id="211" w:name="_Toc21512"/>
      <w:r>
        <w:rPr>
          <w:rFonts w:hint="eastAsia" w:ascii="宋体" w:hAnsi="宋体" w:cs="宋体"/>
          <w:color w:val="000000" w:themeColor="text1"/>
          <w:sz w:val="24"/>
          <w14:textFill>
            <w14:solidFill>
              <w14:schemeClr w14:val="tx1"/>
            </w14:solidFill>
          </w14:textFill>
        </w:rPr>
        <w:t xml:space="preserve">5、车辆在校内用车服务期间发生故障，无法正常行驶，能及时调换其它合规车辆确保用车方正常用车。</w:t>
      </w:r>
      <w:bookmarkEnd w:id="211"/>
      <w:r/>
      <w:r/>
    </w:p>
    <w:p>
      <w:pPr>
        <w:ind w:firstLine="48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6、在</w:t>
      </w:r>
      <w:r>
        <w:rPr>
          <w:rFonts w:hint="eastAsia" w:ascii="宋体" w:hAnsi="宋体" w:cs="宋体"/>
          <w:color w:val="000000" w:themeColor="text1"/>
          <w:sz w:val="24"/>
          <w:lang w:val="zh-CN"/>
          <w14:textFill>
            <w14:solidFill>
              <w14:schemeClr w14:val="tx1"/>
            </w14:solidFill>
          </w14:textFill>
        </w:rPr>
        <w:t xml:space="preserve">车辆服务期间，</w:t>
      </w:r>
      <w:r>
        <w:rPr>
          <w:rFonts w:hint="eastAsia" w:ascii="宋体" w:hAnsi="宋体" w:cs="宋体"/>
          <w:color w:val="000000" w:themeColor="text1"/>
          <w:sz w:val="24"/>
          <w14:textFill>
            <w14:solidFill>
              <w14:schemeClr w14:val="tx1"/>
            </w14:solidFill>
          </w14:textFill>
        </w:rPr>
        <w:t xml:space="preserve">由于天气或不可抗拒因素（如交通事故引起的堵塞、临时交通管制、恶劣天气等）造成的脱班延误，投标人应妥善协调解决。对于持续性的交通管制，投标人应及时调整车辆路线。</w:t>
      </w:r>
      <w:r/>
    </w:p>
    <w:p>
      <w:pPr>
        <w:ind w:firstLine="480"/>
        <w:spacing w:line="480" w:lineRule="exact"/>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7、投标人</w:t>
      </w:r>
      <w:r>
        <w:rPr>
          <w:rFonts w:hint="eastAsia" w:ascii="宋体" w:hAnsi="宋体" w:cs="宋体"/>
          <w:color w:val="000000" w:themeColor="text1"/>
          <w:sz w:val="24"/>
          <w:lang w:val="zh-CN"/>
          <w14:textFill>
            <w14:solidFill>
              <w14:schemeClr w14:val="tx1"/>
            </w14:solidFill>
          </w14:textFill>
        </w:rPr>
        <w:t xml:space="preserve">应保证各项设备、设施完好，具备履行合同的能力。向</w:t>
      </w:r>
      <w:r>
        <w:rPr>
          <w:rFonts w:hint="eastAsia" w:ascii="宋体" w:hAnsi="宋体" w:cs="宋体"/>
          <w:color w:val="000000" w:themeColor="text1"/>
          <w:sz w:val="24"/>
          <w14:textFill>
            <w14:solidFill>
              <w14:schemeClr w14:val="tx1"/>
            </w14:solidFill>
          </w14:textFill>
        </w:rPr>
        <w:t xml:space="preserve">采购人</w:t>
      </w:r>
      <w:r>
        <w:rPr>
          <w:rFonts w:hint="eastAsia" w:ascii="宋体" w:hAnsi="宋体" w:cs="宋体"/>
          <w:color w:val="000000" w:themeColor="text1"/>
          <w:sz w:val="24"/>
          <w:lang w:val="zh-CN"/>
          <w14:textFill>
            <w14:solidFill>
              <w14:schemeClr w14:val="tx1"/>
            </w14:solidFill>
          </w14:textFill>
        </w:rPr>
        <w:t xml:space="preserve">提供技术性能良好、符合安全行驶条件的车辆以及该车行驶必备的有关证件、备件、工具。</w:t>
      </w:r>
      <w:r/>
    </w:p>
    <w:p>
      <w:pPr>
        <w:ind w:firstLine="480"/>
        <w:spacing w:line="480" w:lineRule="exact"/>
        <w:rPr>
          <w:rFonts w:ascii="宋体" w:hAnsi="宋体" w:cs="宋体"/>
          <w:i/>
          <w:iCs/>
          <w:color w:val="000000" w:themeColor="text1"/>
          <w:sz w:val="24"/>
          <w:u w:val="single"/>
          <w14:textFill>
            <w14:solidFill>
              <w14:schemeClr w14:val="tx1"/>
            </w14:solidFill>
          </w14:textFill>
        </w:rPr>
      </w:pPr>
      <w:r>
        <w:rPr>
          <w:rFonts w:hint="eastAsia" w:ascii="宋体" w:hAnsi="宋体" w:cs="宋体"/>
          <w:i/>
          <w:iCs/>
          <w:color w:val="000000" w:themeColor="text1"/>
          <w:sz w:val="24"/>
          <w:u w:val="single"/>
          <w14:textFill>
            <w14:solidFill>
              <w14:schemeClr w14:val="tx1"/>
            </w14:solidFill>
          </w14:textFill>
        </w:rPr>
        <w:t xml:space="preserve">8、除国家规定的必保险种，投标人还应为提供校内用车服务的车辆投保第三者责任险（不低于100万元）、承运人责任险或车上人员责任险（不低于50万/座位），保证合同签订前提供的车辆保险险种、限额达到上述要求，否则投标人承担由此产生的所有责任。</w:t>
      </w:r>
      <w:r/>
    </w:p>
    <w:p>
      <w:pPr>
        <w:ind w:firstLine="48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9、提供用车服务的过程中所发生的交通事故、交通罚款、第三者责任等一切责任以及因驾驶员、车辆本身或驾驶员、车辆引发的任何人员或财产损失，由投标人承担。</w:t>
      </w:r>
      <w:r/>
    </w:p>
    <w:p>
      <w:pPr>
        <w:ind w:firstLine="48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在基本服务质量要求外，应就车辆的地面、座位、窗户玻璃、窗帘的卫生保洁，驾驶员接送站、驾驶过程中的服务质量标准化、服务监督的组织体系和标准、应急预案、重大活动保障、服务创新等方面作出服务承诺。</w:t>
      </w:r>
      <w:r/>
    </w:p>
    <w:p>
      <w:pPr>
        <w:ind w:firstLine="48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中标人积极接受采购履约监督及现场检查，配合监管部门组织的日常考核、监督检查和管理。若用车方投诉中标人服务态度恶劣或在中标人在校内用车服务期内出现重大交通安全事故等不良情况，监管部门有权约谈并督其改正。</w:t>
      </w:r>
      <w:r/>
    </w:p>
    <w:p>
      <w:pPr>
        <w:ind w:firstLine="48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12、用于服务的车辆应优先保障用车方的包车客运需求。</w:t>
      </w:r>
      <w:r/>
    </w:p>
    <w:p>
      <w:pPr>
        <w:ind w:firstLine="48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13、车辆符合国家相关法律法规规定，保险及年检均合法有效。</w:t>
      </w:r>
      <w:r/>
    </w:p>
    <w:p>
      <w:pPr>
        <w:ind w:firstLine="48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14、服务期间内，投标人的驾驶员需履行保密义务。</w:t>
      </w:r>
      <w:r/>
    </w:p>
    <w:p>
      <w:pPr>
        <w:ind w:firstLine="48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15、车辆类型（自有，以行驶证为准）、数量及驾驶员人数要求：</w:t>
      </w:r>
      <w:r/>
    </w:p>
    <w:p>
      <w:pPr>
        <w:ind w:firstLine="480"/>
        <w:jc w:val="center"/>
        <w:spacing w:line="480" w:lineRule="exact"/>
        <w:rPr>
          <w:iCs/>
        </w:rPr>
      </w:pPr>
      <w:r>
        <w:rPr>
          <w:rFonts w:hint="eastAsia" w:ascii="宋体" w:hAnsi="宋体" w:cs="宋体"/>
          <w:iCs/>
          <w:color w:val="000000"/>
          <w:sz w:val="24"/>
          <w:szCs w:val="24"/>
          <w:lang w:bidi="ar"/>
        </w:rPr>
        <w:t xml:space="preserve">车辆类型、数量及驾驶员人数表</w:t>
      </w:r>
      <w:r/>
    </w:p>
    <w:tbl>
      <w:tblPr>
        <w:tblStyle w:val="689"/>
        <w:tblW w:w="85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8"/>
        <w:gridCol w:w="2034"/>
        <w:gridCol w:w="3612"/>
        <w:gridCol w:w="2215"/>
      </w:tblGrid>
      <w:tr>
        <w:trPr>
          <w:jc w:val="center"/>
          <w:trHeight w:val="412"/>
        </w:trPr>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atLeast"/>
              <w:rPr>
                <w:rFonts w:ascii="宋体" w:hAnsi="宋体" w:cs="宋体"/>
                <w:iCs/>
                <w:color w:val="000000"/>
              </w:rPr>
            </w:pPr>
            <w:r>
              <w:rPr>
                <w:rFonts w:hint="eastAsia" w:ascii="宋体" w:hAnsi="宋体" w:cs="宋体"/>
                <w:iCs/>
                <w:color w:val="000000"/>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jc w:val="center"/>
              <w:spacing w:line="240" w:lineRule="atLeast"/>
              <w:rPr>
                <w:rFonts w:ascii="宋体" w:hAnsi="宋体" w:cs="宋体"/>
                <w:iCs/>
                <w:color w:val="000000"/>
              </w:rPr>
            </w:pPr>
            <w:r>
              <w:rPr>
                <w:rFonts w:hint="eastAsia" w:ascii="宋体" w:hAnsi="宋体" w:cs="宋体"/>
                <w:iCs/>
                <w:color w:val="000000"/>
                <w:szCs w:val="21"/>
                <w:lang w:bidi="ar"/>
              </w:rPr>
              <w:t xml:space="preserve">车辆类型</w:t>
            </w:r>
            <w:r/>
          </w:p>
        </w:tc>
        <w:tc>
          <w:tcPr>
            <w:shd w:val="clear" w:color="auto" w:fill="auto"/>
            <w:tcBorders>
              <w:top w:val="single" w:color="000000" w:sz="4" w:space="0"/>
              <w:left w:val="single" w:color="000000" w:sz="4" w:space="0"/>
              <w:bottom w:val="single" w:color="000000" w:sz="4" w:space="0"/>
              <w:right w:val="single" w:color="000000" w:sz="4" w:space="0"/>
            </w:tcBorders>
            <w:tcW w:w="3612" w:type="dxa"/>
            <w:vAlign w:val="center"/>
            <w:textDirection w:val="lrTb"/>
            <w:noWrap w:val="false"/>
          </w:tcPr>
          <w:p>
            <w:pPr>
              <w:jc w:val="center"/>
              <w:spacing w:line="240" w:lineRule="atLeast"/>
              <w:rPr>
                <w:rFonts w:ascii="宋体" w:hAnsi="宋体" w:cs="宋体"/>
                <w:iCs/>
                <w:color w:val="000000"/>
              </w:rPr>
            </w:pPr>
            <w:r>
              <w:rPr>
                <w:rFonts w:hint="eastAsia" w:ascii="宋体" w:hAnsi="宋体" w:cs="宋体"/>
                <w:iCs/>
                <w:color w:val="000000"/>
                <w:szCs w:val="21"/>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215" w:type="dxa"/>
            <w:vAlign w:val="center"/>
            <w:textDirection w:val="lrTb"/>
            <w:noWrap w:val="false"/>
          </w:tcPr>
          <w:p>
            <w:pPr>
              <w:jc w:val="center"/>
              <w:spacing w:line="240" w:lineRule="atLeast"/>
              <w:rPr>
                <w:rFonts w:ascii="宋体" w:hAnsi="宋体" w:cs="宋体"/>
                <w:iCs/>
                <w:color w:val="000000"/>
              </w:rPr>
            </w:pPr>
            <w:r>
              <w:rPr>
                <w:rFonts w:hint="eastAsia" w:ascii="宋体" w:hAnsi="宋体" w:cs="宋体"/>
                <w:iCs/>
                <w:color w:val="000000"/>
                <w:szCs w:val="21"/>
                <w:lang w:bidi="ar"/>
              </w:rPr>
              <w:t xml:space="preserve">驾驶员人数</w:t>
            </w:r>
            <w:r/>
          </w:p>
        </w:tc>
      </w:tr>
      <w:tr>
        <w:trPr>
          <w:jc w:val="center"/>
          <w:trHeight w:val="622"/>
        </w:trPr>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atLeast"/>
              <w:rPr>
                <w:rFonts w:ascii="宋体" w:hAnsi="宋体" w:cs="宋体"/>
                <w:iCs/>
                <w:color w:val="000000"/>
              </w:rPr>
            </w:pPr>
            <w:r>
              <w:rPr>
                <w:rFonts w:hint="eastAsia" w:ascii="宋体" w:hAnsi="宋体" w:cs="宋体"/>
                <w:iCs/>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jc w:val="center"/>
              <w:spacing w:line="240" w:lineRule="atLeast"/>
              <w:rPr>
                <w:rFonts w:ascii="宋体" w:hAnsi="宋体" w:cs="宋体"/>
                <w:iCs/>
                <w:color w:val="000000"/>
              </w:rPr>
            </w:pPr>
            <w:r>
              <w:rPr>
                <w:rFonts w:hint="eastAsia" w:ascii="宋体" w:hAnsi="宋体" w:cs="宋体"/>
                <w:iCs/>
                <w:color w:val="000000"/>
                <w:szCs w:val="21"/>
                <w:lang w:bidi="ar"/>
              </w:rPr>
              <w:t xml:space="preserve">5座轿车</w:t>
            </w:r>
            <w:r/>
          </w:p>
        </w:tc>
        <w:tc>
          <w:tcPr>
            <w:shd w:val="clear" w:color="auto" w:fill="auto"/>
            <w:tcBorders>
              <w:top w:val="single" w:color="000000" w:sz="4" w:space="0"/>
              <w:left w:val="single" w:color="000000" w:sz="4" w:space="0"/>
              <w:bottom w:val="single" w:color="000000" w:sz="4" w:space="0"/>
              <w:right w:val="single" w:color="000000" w:sz="4" w:space="0"/>
            </w:tcBorders>
            <w:tcW w:w="3612" w:type="dxa"/>
            <w:vAlign w:val="center"/>
            <w:textDirection w:val="lrTb"/>
            <w:noWrap w:val="false"/>
          </w:tcPr>
          <w:p>
            <w:pPr>
              <w:jc w:val="center"/>
              <w:spacing w:line="240" w:lineRule="atLeast"/>
              <w:rPr>
                <w:rFonts w:ascii="宋体" w:hAnsi="宋体" w:cs="宋体"/>
                <w:iCs/>
                <w:color w:val="000000"/>
              </w:rPr>
            </w:pPr>
            <w:r>
              <w:rPr>
                <w:rFonts w:hint="eastAsia" w:ascii="宋体" w:hAnsi="宋体" w:cs="宋体"/>
                <w:iCs/>
                <w:color w:val="000000"/>
                <w:szCs w:val="21"/>
                <w:lang w:bidi="ar"/>
              </w:rPr>
              <w:t xml:space="preserve">不少于10辆</w:t>
            </w:r>
            <w:r/>
          </w:p>
        </w:tc>
        <w:tc>
          <w:tcPr>
            <w:shd w:val="clear" w:color="auto" w:fill="auto"/>
            <w:tcBorders>
              <w:top w:val="single" w:color="000000" w:sz="4" w:space="0"/>
              <w:left w:val="single" w:color="000000" w:sz="4" w:space="0"/>
              <w:bottom w:val="single" w:color="000000" w:sz="4" w:space="0"/>
              <w:right w:val="single" w:color="000000" w:sz="4" w:space="0"/>
            </w:tcBorders>
            <w:tcW w:w="2215" w:type="dxa"/>
            <w:vAlign w:val="center"/>
            <w:textDirection w:val="lrTb"/>
            <w:noWrap w:val="false"/>
          </w:tcPr>
          <w:p>
            <w:pPr>
              <w:jc w:val="center"/>
              <w:spacing w:line="240" w:lineRule="atLeast"/>
              <w:rPr>
                <w:rFonts w:ascii="宋体" w:hAnsi="宋体" w:cs="宋体"/>
                <w:iCs/>
                <w:color w:val="000000"/>
              </w:rPr>
            </w:pPr>
            <w:r>
              <w:rPr>
                <w:rFonts w:hint="eastAsia" w:ascii="宋体" w:hAnsi="宋体" w:cs="宋体"/>
                <w:iCs/>
                <w:color w:val="000000"/>
                <w:szCs w:val="21"/>
                <w:lang w:bidi="ar"/>
              </w:rPr>
              <w:t xml:space="preserve">不少于10人</w:t>
            </w:r>
            <w:r/>
          </w:p>
        </w:tc>
      </w:tr>
      <w:tr>
        <w:trPr>
          <w:jc w:val="center"/>
          <w:trHeight w:val="497"/>
        </w:trPr>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atLeast"/>
              <w:rPr>
                <w:rFonts w:ascii="宋体" w:hAnsi="宋体" w:cs="宋体"/>
                <w:iCs/>
                <w:color w:val="000000"/>
                <w:szCs w:val="21"/>
                <w:lang w:bidi="ar"/>
              </w:rPr>
            </w:pPr>
            <w:r>
              <w:rPr>
                <w:rFonts w:hint="eastAsia" w:ascii="宋体" w:hAnsi="宋体" w:cs="宋体"/>
                <w:iCs/>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jc w:val="center"/>
              <w:spacing w:line="240" w:lineRule="atLeast"/>
              <w:rPr>
                <w:rFonts w:ascii="宋体" w:hAnsi="宋体" w:cs="宋体"/>
                <w:iCs/>
                <w:color w:val="000000"/>
                <w:szCs w:val="21"/>
                <w:lang w:bidi="ar"/>
              </w:rPr>
            </w:pPr>
            <w:r>
              <w:rPr>
                <w:rFonts w:hint="eastAsia" w:ascii="宋体" w:hAnsi="宋体" w:cs="宋体"/>
                <w:iCs/>
                <w:color w:val="000000"/>
                <w:szCs w:val="21"/>
                <w:lang w:bidi="ar"/>
              </w:rPr>
              <w:t xml:space="preserve">新能源5座轿车</w:t>
            </w:r>
            <w:r/>
          </w:p>
        </w:tc>
        <w:tc>
          <w:tcPr>
            <w:shd w:val="clear" w:color="auto" w:fill="auto"/>
            <w:tcBorders>
              <w:top w:val="single" w:color="000000" w:sz="4" w:space="0"/>
              <w:left w:val="single" w:color="000000" w:sz="4" w:space="0"/>
              <w:bottom w:val="single" w:color="000000" w:sz="4" w:space="0"/>
              <w:right w:val="single" w:color="000000" w:sz="4" w:space="0"/>
            </w:tcBorders>
            <w:tcW w:w="3612" w:type="dxa"/>
            <w:vAlign w:val="center"/>
            <w:textDirection w:val="lrTb"/>
            <w:noWrap w:val="false"/>
          </w:tcPr>
          <w:p>
            <w:pPr>
              <w:jc w:val="center"/>
              <w:spacing w:line="240" w:lineRule="atLeast"/>
              <w:rPr>
                <w:rFonts w:ascii="宋体" w:hAnsi="宋体" w:cs="宋体"/>
                <w:iCs/>
                <w:color w:val="000000"/>
                <w:szCs w:val="21"/>
                <w:lang w:bidi="ar"/>
              </w:rPr>
            </w:pPr>
            <w:r>
              <w:rPr>
                <w:rFonts w:hint="eastAsia" w:ascii="宋体" w:hAnsi="宋体" w:cs="宋体"/>
                <w:iCs/>
                <w:color w:val="000000"/>
                <w:szCs w:val="21"/>
                <w:lang w:bidi="ar"/>
              </w:rPr>
              <w:t xml:space="preserve">不少于10辆</w:t>
            </w:r>
            <w:r/>
          </w:p>
        </w:tc>
        <w:tc>
          <w:tcPr>
            <w:shd w:val="clear" w:color="auto" w:fill="auto"/>
            <w:tcBorders>
              <w:top w:val="single" w:color="000000" w:sz="4" w:space="0"/>
              <w:left w:val="single" w:color="000000" w:sz="4" w:space="0"/>
              <w:bottom w:val="single" w:color="000000" w:sz="4" w:space="0"/>
              <w:right w:val="single" w:color="000000" w:sz="4" w:space="0"/>
            </w:tcBorders>
            <w:tcW w:w="2215" w:type="dxa"/>
            <w:vAlign w:val="center"/>
            <w:textDirection w:val="lrTb"/>
            <w:noWrap w:val="false"/>
          </w:tcPr>
          <w:p>
            <w:pPr>
              <w:jc w:val="center"/>
              <w:spacing w:line="240" w:lineRule="atLeast"/>
              <w:rPr>
                <w:rFonts w:ascii="宋体" w:hAnsi="宋体" w:cs="宋体"/>
                <w:iCs/>
                <w:color w:val="000000"/>
                <w:szCs w:val="21"/>
                <w:lang w:bidi="ar"/>
              </w:rPr>
            </w:pPr>
            <w:r>
              <w:rPr>
                <w:rFonts w:hint="eastAsia" w:ascii="宋体" w:hAnsi="宋体" w:cs="宋体"/>
                <w:iCs/>
                <w:color w:val="000000"/>
                <w:szCs w:val="21"/>
                <w:lang w:bidi="ar"/>
              </w:rPr>
              <w:t xml:space="preserve">不少于10人</w:t>
            </w:r>
            <w:r/>
          </w:p>
        </w:tc>
      </w:tr>
      <w:tr>
        <w:trPr>
          <w:jc w:val="center"/>
          <w:trHeight w:val="497"/>
        </w:trPr>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atLeast"/>
              <w:rPr>
                <w:rFonts w:ascii="宋体" w:hAnsi="宋体" w:cs="宋体"/>
                <w:iCs/>
                <w:color w:val="000000"/>
              </w:rPr>
            </w:pPr>
            <w:r>
              <w:rPr>
                <w:rFonts w:hint="eastAsia" w:ascii="宋体" w:hAnsi="宋体" w:cs="宋体"/>
                <w:iCs/>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jc w:val="center"/>
              <w:spacing w:line="240" w:lineRule="atLeast"/>
              <w:rPr>
                <w:rFonts w:ascii="宋体" w:hAnsi="宋体" w:cs="宋体"/>
                <w:iCs/>
                <w:color w:val="000000"/>
              </w:rPr>
            </w:pPr>
            <w:r>
              <w:rPr>
                <w:rFonts w:hint="eastAsia" w:ascii="宋体" w:hAnsi="宋体" w:cs="宋体"/>
                <w:iCs/>
                <w:color w:val="000000"/>
                <w:szCs w:val="21"/>
                <w:lang w:bidi="ar"/>
              </w:rPr>
              <w:t xml:space="preserve">7座商务车</w:t>
            </w:r>
            <w:r/>
          </w:p>
        </w:tc>
        <w:tc>
          <w:tcPr>
            <w:shd w:val="clear" w:color="auto" w:fill="auto"/>
            <w:tcBorders>
              <w:top w:val="single" w:color="000000" w:sz="4" w:space="0"/>
              <w:left w:val="single" w:color="000000" w:sz="4" w:space="0"/>
              <w:bottom w:val="single" w:color="000000" w:sz="4" w:space="0"/>
              <w:right w:val="single" w:color="000000" w:sz="4" w:space="0"/>
            </w:tcBorders>
            <w:tcW w:w="3612" w:type="dxa"/>
            <w:vAlign w:val="center"/>
            <w:textDirection w:val="lrTb"/>
            <w:noWrap w:val="false"/>
          </w:tcPr>
          <w:p>
            <w:pPr>
              <w:jc w:val="center"/>
              <w:spacing w:line="240" w:lineRule="atLeast"/>
              <w:rPr>
                <w:rFonts w:ascii="宋体" w:hAnsi="宋体" w:cs="宋体"/>
                <w:iCs/>
                <w:color w:val="000000"/>
              </w:rPr>
            </w:pPr>
            <w:r>
              <w:rPr>
                <w:rFonts w:hint="eastAsia" w:ascii="宋体" w:hAnsi="宋体" w:cs="宋体"/>
                <w:iCs/>
                <w:color w:val="000000"/>
                <w:szCs w:val="21"/>
                <w:lang w:bidi="ar"/>
              </w:rPr>
              <w:t xml:space="preserve">不少于10辆</w:t>
            </w:r>
            <w:r/>
          </w:p>
        </w:tc>
        <w:tc>
          <w:tcPr>
            <w:shd w:val="clear" w:color="auto" w:fill="auto"/>
            <w:tcBorders>
              <w:top w:val="single" w:color="000000" w:sz="4" w:space="0"/>
              <w:left w:val="single" w:color="000000" w:sz="4" w:space="0"/>
              <w:bottom w:val="single" w:color="000000" w:sz="4" w:space="0"/>
              <w:right w:val="single" w:color="000000" w:sz="4" w:space="0"/>
            </w:tcBorders>
            <w:tcW w:w="2215" w:type="dxa"/>
            <w:vAlign w:val="center"/>
            <w:textDirection w:val="lrTb"/>
            <w:noWrap w:val="false"/>
          </w:tcPr>
          <w:p>
            <w:pPr>
              <w:jc w:val="center"/>
              <w:spacing w:line="240" w:lineRule="atLeast"/>
              <w:rPr>
                <w:rFonts w:ascii="宋体" w:hAnsi="宋体" w:cs="宋体"/>
                <w:iCs/>
                <w:color w:val="000000"/>
              </w:rPr>
            </w:pPr>
            <w:r>
              <w:rPr>
                <w:rFonts w:hint="eastAsia" w:ascii="宋体" w:hAnsi="宋体" w:cs="宋体"/>
                <w:iCs/>
                <w:color w:val="000000"/>
                <w:szCs w:val="21"/>
                <w:lang w:bidi="ar"/>
              </w:rPr>
              <w:t xml:space="preserve">不少于10人</w:t>
            </w:r>
            <w:r/>
          </w:p>
        </w:tc>
      </w:tr>
      <w:tr>
        <w:trPr>
          <w:jc w:val="center"/>
          <w:trHeight w:val="497"/>
        </w:trPr>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atLeast"/>
              <w:rPr>
                <w:rFonts w:ascii="宋体" w:hAnsi="宋体" w:cs="宋体"/>
                <w:iCs/>
                <w:color w:val="000000"/>
              </w:rPr>
            </w:pPr>
            <w:r>
              <w:rPr>
                <w:rFonts w:hint="eastAsia" w:ascii="宋体" w:hAnsi="宋体" w:cs="宋体"/>
                <w:iCs/>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jc w:val="center"/>
              <w:spacing w:line="240" w:lineRule="atLeast"/>
              <w:rPr>
                <w:rFonts w:ascii="宋体" w:hAnsi="宋体" w:cs="宋体"/>
                <w:iCs/>
                <w:color w:val="000000"/>
              </w:rPr>
            </w:pPr>
            <w:r>
              <w:rPr>
                <w:rFonts w:hint="eastAsia" w:ascii="宋体" w:hAnsi="宋体" w:cs="宋体"/>
                <w:iCs/>
                <w:color w:val="000000"/>
                <w:szCs w:val="21"/>
                <w:lang w:bidi="ar"/>
              </w:rPr>
              <w:t xml:space="preserve">13—17座中型客车</w:t>
            </w:r>
            <w:r/>
          </w:p>
        </w:tc>
        <w:tc>
          <w:tcPr>
            <w:shd w:val="clear" w:color="auto" w:fill="auto"/>
            <w:tcBorders>
              <w:top w:val="single" w:color="000000" w:sz="4" w:space="0"/>
              <w:left w:val="single" w:color="000000" w:sz="4" w:space="0"/>
              <w:bottom w:val="single" w:color="000000" w:sz="4" w:space="0"/>
              <w:right w:val="single" w:color="000000" w:sz="4" w:space="0"/>
            </w:tcBorders>
            <w:tcW w:w="3612" w:type="dxa"/>
            <w:vAlign w:val="center"/>
            <w:textDirection w:val="lrTb"/>
            <w:noWrap w:val="false"/>
          </w:tcPr>
          <w:p>
            <w:pPr>
              <w:jc w:val="center"/>
              <w:spacing w:line="240" w:lineRule="atLeast"/>
              <w:rPr>
                <w:rFonts w:ascii="宋体" w:hAnsi="宋体" w:cs="宋体"/>
                <w:iCs/>
                <w:color w:val="000000"/>
              </w:rPr>
            </w:pPr>
            <w:r>
              <w:rPr>
                <w:rFonts w:hint="eastAsia" w:ascii="宋体" w:hAnsi="宋体" w:cs="宋体"/>
                <w:iCs/>
                <w:color w:val="000000"/>
                <w:szCs w:val="21"/>
                <w:lang w:bidi="ar"/>
              </w:rPr>
              <w:t xml:space="preserve">不少于10辆</w:t>
            </w:r>
            <w:r/>
          </w:p>
        </w:tc>
        <w:tc>
          <w:tcPr>
            <w:shd w:val="clear" w:color="auto" w:fill="auto"/>
            <w:tcBorders>
              <w:top w:val="single" w:color="000000" w:sz="4" w:space="0"/>
              <w:left w:val="single" w:color="000000" w:sz="4" w:space="0"/>
              <w:bottom w:val="single" w:color="000000" w:sz="4" w:space="0"/>
              <w:right w:val="single" w:color="000000" w:sz="4" w:space="0"/>
            </w:tcBorders>
            <w:tcW w:w="2215" w:type="dxa"/>
            <w:vAlign w:val="center"/>
            <w:textDirection w:val="lrTb"/>
            <w:noWrap w:val="false"/>
          </w:tcPr>
          <w:p>
            <w:pPr>
              <w:jc w:val="center"/>
              <w:spacing w:line="240" w:lineRule="atLeast"/>
              <w:rPr>
                <w:rFonts w:ascii="宋体" w:hAnsi="宋体" w:cs="宋体"/>
                <w:iCs/>
                <w:color w:val="000000"/>
              </w:rPr>
            </w:pPr>
            <w:r>
              <w:rPr>
                <w:rFonts w:hint="eastAsia" w:ascii="宋体" w:hAnsi="宋体" w:cs="宋体"/>
                <w:iCs/>
                <w:color w:val="000000"/>
                <w:szCs w:val="21"/>
                <w:lang w:bidi="ar"/>
              </w:rPr>
              <w:t xml:space="preserve">不少于10人</w:t>
            </w:r>
            <w:r/>
          </w:p>
        </w:tc>
      </w:tr>
      <w:tr>
        <w:trPr>
          <w:jc w:val="center"/>
          <w:trHeight w:val="497"/>
        </w:trPr>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atLeast"/>
              <w:rPr>
                <w:rFonts w:ascii="宋体" w:hAnsi="宋体" w:cs="宋体"/>
                <w:iCs/>
                <w:color w:val="000000"/>
              </w:rPr>
            </w:pPr>
            <w:r>
              <w:rPr>
                <w:rFonts w:hint="eastAsia" w:ascii="宋体" w:hAnsi="宋体" w:cs="宋体"/>
                <w:iCs/>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jc w:val="center"/>
              <w:spacing w:line="240" w:lineRule="atLeast"/>
              <w:rPr>
                <w:rFonts w:ascii="宋体" w:hAnsi="宋体" w:cs="宋体"/>
                <w:iCs/>
                <w:color w:val="000000"/>
              </w:rPr>
            </w:pPr>
            <w:r>
              <w:rPr>
                <w:rFonts w:hint="eastAsia" w:ascii="宋体" w:hAnsi="宋体" w:cs="宋体"/>
                <w:iCs/>
                <w:color w:val="000000"/>
                <w:szCs w:val="21"/>
                <w:lang w:bidi="ar"/>
              </w:rPr>
              <w:t xml:space="preserve">19—35座大型客车</w:t>
            </w:r>
            <w:r/>
          </w:p>
        </w:tc>
        <w:tc>
          <w:tcPr>
            <w:shd w:val="clear" w:color="auto" w:fill="auto"/>
            <w:tcBorders>
              <w:top w:val="single" w:color="000000" w:sz="4" w:space="0"/>
              <w:left w:val="single" w:color="000000" w:sz="4" w:space="0"/>
              <w:bottom w:val="single" w:color="000000" w:sz="4" w:space="0"/>
              <w:right w:val="single" w:color="000000" w:sz="4" w:space="0"/>
            </w:tcBorders>
            <w:tcW w:w="3612" w:type="dxa"/>
            <w:vAlign w:val="center"/>
            <w:textDirection w:val="lrTb"/>
            <w:noWrap w:val="false"/>
          </w:tcPr>
          <w:p>
            <w:pPr>
              <w:jc w:val="center"/>
              <w:spacing w:line="240" w:lineRule="atLeast"/>
              <w:rPr>
                <w:rFonts w:ascii="宋体" w:hAnsi="宋体" w:cs="宋体"/>
                <w:iCs/>
                <w:color w:val="000000"/>
              </w:rPr>
            </w:pPr>
            <w:r>
              <w:rPr>
                <w:rFonts w:hint="eastAsia" w:ascii="宋体" w:hAnsi="宋体" w:cs="宋体"/>
                <w:iCs/>
                <w:color w:val="000000"/>
                <w:szCs w:val="21"/>
                <w:lang w:bidi="ar"/>
              </w:rPr>
              <w:t xml:space="preserve">不少于10辆</w:t>
            </w:r>
            <w:r/>
          </w:p>
        </w:tc>
        <w:tc>
          <w:tcPr>
            <w:shd w:val="clear" w:color="auto" w:fill="auto"/>
            <w:tcBorders>
              <w:top w:val="single" w:color="000000" w:sz="4" w:space="0"/>
              <w:left w:val="single" w:color="000000" w:sz="4" w:space="0"/>
              <w:bottom w:val="single" w:color="000000" w:sz="4" w:space="0"/>
              <w:right w:val="single" w:color="000000" w:sz="4" w:space="0"/>
            </w:tcBorders>
            <w:tcW w:w="2215" w:type="dxa"/>
            <w:vAlign w:val="center"/>
            <w:textDirection w:val="lrTb"/>
            <w:noWrap w:val="false"/>
          </w:tcPr>
          <w:p>
            <w:pPr>
              <w:jc w:val="center"/>
              <w:spacing w:line="240" w:lineRule="atLeast"/>
              <w:rPr>
                <w:rFonts w:ascii="宋体" w:hAnsi="宋体" w:cs="宋体"/>
                <w:iCs/>
                <w:color w:val="000000"/>
              </w:rPr>
            </w:pPr>
            <w:r>
              <w:rPr>
                <w:rFonts w:hint="eastAsia" w:ascii="宋体" w:hAnsi="宋体" w:cs="宋体"/>
                <w:iCs/>
                <w:color w:val="000000"/>
                <w:szCs w:val="21"/>
                <w:lang w:bidi="ar"/>
              </w:rPr>
              <w:t xml:space="preserve">不少于10人</w:t>
            </w:r>
            <w:r/>
          </w:p>
        </w:tc>
      </w:tr>
      <w:tr>
        <w:trPr>
          <w:jc w:val="center"/>
          <w:trHeight w:val="497"/>
        </w:trPr>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atLeast"/>
              <w:rPr>
                <w:rFonts w:ascii="宋体" w:hAnsi="宋体" w:cs="宋体"/>
                <w:iCs/>
                <w:color w:val="000000"/>
              </w:rPr>
            </w:pPr>
            <w:r>
              <w:rPr>
                <w:rFonts w:hint="eastAsia" w:ascii="宋体" w:hAnsi="宋体" w:cs="宋体"/>
                <w:iCs/>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jc w:val="center"/>
              <w:spacing w:line="240" w:lineRule="atLeast"/>
              <w:rPr>
                <w:rFonts w:ascii="宋体" w:hAnsi="宋体" w:cs="宋体"/>
                <w:iCs/>
                <w:color w:val="000000"/>
              </w:rPr>
            </w:pPr>
            <w:r>
              <w:rPr>
                <w:rFonts w:hint="eastAsia" w:ascii="宋体" w:hAnsi="宋体" w:cs="宋体"/>
                <w:iCs/>
                <w:color w:val="000000"/>
                <w:szCs w:val="21"/>
                <w:lang w:bidi="ar"/>
              </w:rPr>
              <w:t xml:space="preserve">45座及以上大客车</w:t>
            </w:r>
            <w:r/>
          </w:p>
        </w:tc>
        <w:tc>
          <w:tcPr>
            <w:shd w:val="clear" w:color="auto" w:fill="auto"/>
            <w:tcBorders>
              <w:top w:val="single" w:color="000000" w:sz="4" w:space="0"/>
              <w:left w:val="single" w:color="000000" w:sz="4" w:space="0"/>
              <w:bottom w:val="single" w:color="000000" w:sz="4" w:space="0"/>
              <w:right w:val="single" w:color="000000" w:sz="4" w:space="0"/>
            </w:tcBorders>
            <w:tcW w:w="3612" w:type="dxa"/>
            <w:vAlign w:val="center"/>
            <w:textDirection w:val="lrTb"/>
            <w:noWrap w:val="false"/>
          </w:tcPr>
          <w:p>
            <w:pPr>
              <w:jc w:val="center"/>
              <w:spacing w:line="240" w:lineRule="atLeast"/>
              <w:rPr>
                <w:rFonts w:ascii="宋体" w:hAnsi="宋体" w:cs="宋体"/>
                <w:iCs/>
                <w:color w:val="000000"/>
              </w:rPr>
            </w:pPr>
            <w:r>
              <w:rPr>
                <w:rFonts w:hint="eastAsia" w:ascii="宋体" w:hAnsi="宋体" w:cs="宋体"/>
                <w:iCs/>
                <w:color w:val="000000"/>
                <w:szCs w:val="21"/>
                <w:lang w:bidi="ar"/>
              </w:rPr>
              <w:t xml:space="preserve">不少于10辆</w:t>
            </w:r>
            <w:r/>
          </w:p>
        </w:tc>
        <w:tc>
          <w:tcPr>
            <w:shd w:val="clear" w:color="auto" w:fill="auto"/>
            <w:tcBorders>
              <w:top w:val="single" w:color="000000" w:sz="4" w:space="0"/>
              <w:left w:val="single" w:color="000000" w:sz="4" w:space="0"/>
              <w:bottom w:val="single" w:color="000000" w:sz="4" w:space="0"/>
              <w:right w:val="single" w:color="000000" w:sz="4" w:space="0"/>
            </w:tcBorders>
            <w:tcW w:w="2215" w:type="dxa"/>
            <w:vAlign w:val="center"/>
            <w:textDirection w:val="lrTb"/>
            <w:noWrap w:val="false"/>
          </w:tcPr>
          <w:p>
            <w:pPr>
              <w:jc w:val="center"/>
              <w:spacing w:line="240" w:lineRule="atLeast"/>
              <w:rPr>
                <w:rFonts w:ascii="宋体" w:hAnsi="宋体" w:cs="宋体"/>
                <w:iCs/>
                <w:color w:val="000000"/>
              </w:rPr>
            </w:pPr>
            <w:r>
              <w:rPr>
                <w:rFonts w:hint="eastAsia" w:ascii="宋体" w:hAnsi="宋体" w:cs="宋体"/>
                <w:iCs/>
                <w:color w:val="000000"/>
                <w:szCs w:val="21"/>
                <w:lang w:bidi="ar"/>
              </w:rPr>
              <w:t xml:space="preserve">不少于10人</w:t>
            </w:r>
            <w:r/>
          </w:p>
        </w:tc>
      </w:tr>
    </w:tbl>
    <w:p>
      <w:pPr>
        <w:ind w:firstLine="48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16、投标人提供校内用车的车辆须列明于投标文件中的《可供校内用车服务车辆清单》中。满足要求的各车辆类型及数量、驾驶员人数符合要求。</w:t>
      </w:r>
      <w:r/>
    </w:p>
    <w:p>
      <w:pPr>
        <w:ind w:firstLine="48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17、所提供车辆购置年限8年（含）以内，应符合安全行驶标准，车辆应安全、大方、舒适，能满足学校不同接待规格。车辆牌照必须是苏州地区牌照，保证服务安全规范。投标人提供的车辆须列明于《可供校内用车服务车辆清单》中。</w:t>
      </w:r>
      <w:r/>
    </w:p>
    <w:p>
      <w:pPr>
        <w:ind w:firstLine="480"/>
        <w:jc w:val="center"/>
        <w:spacing w:line="480" w:lineRule="exact"/>
        <w:rPr>
          <w:iCs/>
          <w:color w:val="000000"/>
          <w:sz w:val="24"/>
          <w:szCs w:val="24"/>
        </w:rPr>
      </w:pPr>
      <w:r/>
      <w:bookmarkStart w:id="212" w:name="_Toc20997"/>
      <w:r>
        <w:rPr>
          <w:iCs/>
          <w:color w:val="000000"/>
          <w:sz w:val="24"/>
          <w:szCs w:val="24"/>
        </w:rPr>
        <w:t xml:space="preserve">各车型参考品牌表</w:t>
      </w:r>
      <w:bookmarkEnd w:id="212"/>
      <w:r/>
      <w:r/>
    </w:p>
    <w:tbl>
      <w:tblPr>
        <w:tblStyle w:val="689"/>
        <w:tblpPr w:horzAnchor="margin" w:tblpXSpec="center" w:vertAnchor="text" w:tblpY="110" w:leftFromText="180" w:topFromText="0" w:rightFromText="180" w:bottomFromText="0"/>
        <w:tblW w:w="8489" w:type="dxa"/>
        <w:tblInd w:w="0" w:type="dxa"/>
        <w:tblLayout w:type="fixed"/>
        <w:tblCellMar>
          <w:left w:w="108" w:type="dxa"/>
          <w:top w:w="0" w:type="dxa"/>
          <w:right w:w="108" w:type="dxa"/>
          <w:bottom w:w="0" w:type="dxa"/>
        </w:tblCellMar>
        <w:tblLook w:val="04A0" w:firstRow="1" w:lastRow="0" w:firstColumn="1" w:lastColumn="0" w:noHBand="0" w:noVBand="1"/>
      </w:tblPr>
      <w:tblGrid>
        <w:gridCol w:w="739"/>
        <w:gridCol w:w="2054"/>
        <w:gridCol w:w="5696"/>
      </w:tblGrid>
      <w:tr>
        <w:trPr>
          <w:trHeight w:val="414"/>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spacing w:line="240" w:lineRule="atLeast"/>
              <w:rPr>
                <w:rFonts w:ascii="宋体" w:hAnsi="宋体" w:cs="宋体"/>
                <w:iCs/>
                <w:color w:val="000000"/>
              </w:rPr>
            </w:pPr>
            <w:r>
              <w:rPr>
                <w:rFonts w:hint="eastAsia" w:ascii="宋体" w:hAnsi="宋体" w:cs="宋体"/>
                <w:iCs/>
                <w:color w:val="000000"/>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54" w:type="dxa"/>
            <w:vAlign w:val="center"/>
            <w:textDirection w:val="lrTb"/>
            <w:noWrap w:val="false"/>
          </w:tcPr>
          <w:p>
            <w:pPr>
              <w:jc w:val="center"/>
              <w:spacing w:line="240" w:lineRule="atLeast"/>
              <w:rPr>
                <w:rFonts w:ascii="宋体" w:hAnsi="宋体" w:cs="宋体"/>
                <w:iCs/>
                <w:color w:val="000000"/>
              </w:rPr>
            </w:pPr>
            <w:r>
              <w:rPr>
                <w:rFonts w:hint="eastAsia" w:ascii="宋体" w:hAnsi="宋体" w:cs="宋体"/>
                <w:iCs/>
                <w:color w:val="000000"/>
                <w:szCs w:val="21"/>
                <w:lang w:bidi="ar"/>
              </w:rPr>
              <w:t xml:space="preserve">车型</w:t>
            </w:r>
            <w:r/>
          </w:p>
        </w:tc>
        <w:tc>
          <w:tcPr>
            <w:shd w:val="clear" w:color="auto" w:fill="auto"/>
            <w:tcBorders>
              <w:top w:val="single" w:color="000000" w:sz="4" w:space="0"/>
              <w:left w:val="single" w:color="000000" w:sz="4" w:space="0"/>
              <w:bottom w:val="single" w:color="000000" w:sz="4" w:space="0"/>
              <w:right w:val="single" w:color="auto" w:sz="4" w:space="0"/>
            </w:tcBorders>
            <w:tcW w:w="5696" w:type="dxa"/>
            <w:vAlign w:val="center"/>
            <w:textDirection w:val="lrTb"/>
            <w:noWrap w:val="false"/>
          </w:tcPr>
          <w:p>
            <w:pPr>
              <w:jc w:val="center"/>
              <w:spacing w:line="240" w:lineRule="atLeast"/>
              <w:rPr>
                <w:rFonts w:ascii="宋体" w:hAnsi="宋体" w:cs="宋体"/>
                <w:iCs/>
                <w:color w:val="000000"/>
              </w:rPr>
            </w:pPr>
            <w:r>
              <w:rPr>
                <w:rFonts w:hint="eastAsia" w:ascii="宋体" w:hAnsi="宋体" w:cs="宋体"/>
                <w:iCs/>
                <w:color w:val="000000"/>
                <w:szCs w:val="21"/>
                <w:lang w:bidi="ar"/>
              </w:rPr>
              <w:t xml:space="preserve">品牌要求</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spacing w:line="240" w:lineRule="atLeast"/>
              <w:rPr>
                <w:rFonts w:ascii="宋体" w:hAnsi="宋体" w:cs="宋体"/>
                <w:iCs/>
                <w:color w:val="000000"/>
              </w:rPr>
            </w:pPr>
            <w:r>
              <w:rPr>
                <w:rFonts w:hint="eastAsia" w:ascii="宋体" w:hAnsi="宋体" w:cs="宋体"/>
                <w:iCs/>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4" w:type="dxa"/>
            <w:vAlign w:val="center"/>
            <w:textDirection w:val="lrTb"/>
            <w:noWrap w:val="false"/>
          </w:tcPr>
          <w:p>
            <w:pPr>
              <w:jc w:val="center"/>
              <w:spacing w:line="240" w:lineRule="atLeast"/>
              <w:rPr>
                <w:rFonts w:ascii="宋体" w:hAnsi="宋体" w:cs="宋体"/>
                <w:iCs/>
                <w:color w:val="000000"/>
              </w:rPr>
            </w:pPr>
            <w:r>
              <w:rPr>
                <w:rFonts w:hint="eastAsia" w:ascii="宋体" w:hAnsi="宋体" w:cs="宋体"/>
                <w:iCs/>
                <w:color w:val="000000"/>
                <w:szCs w:val="21"/>
                <w:lang w:bidi="ar"/>
              </w:rPr>
              <w:t xml:space="preserve">5座轿车</w:t>
            </w:r>
            <w:r/>
          </w:p>
        </w:tc>
        <w:tc>
          <w:tcPr>
            <w:shd w:val="clear" w:color="auto" w:fill="auto"/>
            <w:tcBorders>
              <w:top w:val="single" w:color="000000" w:sz="4" w:space="0"/>
              <w:left w:val="single" w:color="000000" w:sz="4" w:space="0"/>
              <w:bottom w:val="single" w:color="000000" w:sz="4" w:space="0"/>
              <w:right w:val="single" w:color="auto" w:sz="4" w:space="0"/>
            </w:tcBorders>
            <w:tcW w:w="5696" w:type="dxa"/>
            <w:vAlign w:val="center"/>
            <w:textDirection w:val="lrTb"/>
            <w:noWrap w:val="false"/>
          </w:tcPr>
          <w:p>
            <w:pPr>
              <w:jc w:val="left"/>
              <w:spacing w:line="240" w:lineRule="atLeast"/>
              <w:rPr>
                <w:rFonts w:ascii="宋体" w:hAnsi="宋体" w:cs="宋体"/>
                <w:iCs/>
                <w:color w:val="000000"/>
              </w:rPr>
            </w:pPr>
            <w:r>
              <w:rPr>
                <w:rFonts w:hint="eastAsia" w:ascii="宋体" w:hAnsi="宋体" w:cs="宋体"/>
                <w:iCs/>
                <w:color w:val="000000"/>
                <w:szCs w:val="21"/>
                <w:lang w:bidi="ar"/>
              </w:rPr>
              <w:t xml:space="preserve">汽油车：凯美瑞、帕萨特、雅阁、别克君越等或同档次车辆</w:t>
            </w:r>
            <w:r/>
          </w:p>
          <w:p>
            <w:pPr>
              <w:jc w:val="left"/>
              <w:spacing w:line="240" w:lineRule="atLeast"/>
              <w:rPr>
                <w:rFonts w:ascii="宋体" w:hAnsi="宋体" w:cs="宋体"/>
                <w:iCs/>
                <w:color w:val="000000"/>
              </w:rPr>
            </w:pPr>
            <w:r>
              <w:rPr>
                <w:rFonts w:hint="eastAsia" w:ascii="宋体" w:hAnsi="宋体" w:cs="宋体"/>
                <w:iCs/>
                <w:color w:val="000000"/>
                <w:szCs w:val="21"/>
                <w:lang w:bidi="ar"/>
              </w:rPr>
              <w:t xml:space="preserve">新能源车：比亚迪，红旗，吉利等的B级（含）以上车辆</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spacing w:line="240" w:lineRule="atLeast"/>
              <w:rPr>
                <w:rFonts w:ascii="宋体" w:hAnsi="宋体" w:cs="宋体"/>
                <w:iCs/>
                <w:color w:val="000000"/>
              </w:rPr>
            </w:pPr>
            <w:r>
              <w:rPr>
                <w:rFonts w:hint="eastAsia" w:ascii="宋体" w:hAnsi="宋体" w:cs="宋体"/>
                <w:iCs/>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54" w:type="dxa"/>
            <w:vAlign w:val="center"/>
            <w:textDirection w:val="lrTb"/>
            <w:noWrap w:val="false"/>
          </w:tcPr>
          <w:p>
            <w:pPr>
              <w:jc w:val="center"/>
              <w:spacing w:line="240" w:lineRule="atLeast"/>
              <w:rPr>
                <w:rFonts w:ascii="宋体" w:hAnsi="宋体" w:cs="宋体"/>
                <w:iCs/>
                <w:color w:val="000000"/>
              </w:rPr>
            </w:pPr>
            <w:r>
              <w:rPr>
                <w:rFonts w:hint="eastAsia" w:ascii="宋体" w:hAnsi="宋体" w:cs="宋体"/>
                <w:iCs/>
                <w:color w:val="000000"/>
                <w:szCs w:val="21"/>
                <w:lang w:bidi="ar"/>
              </w:rPr>
              <w:t xml:space="preserve">7座商务车</w:t>
            </w:r>
            <w:r/>
          </w:p>
        </w:tc>
        <w:tc>
          <w:tcPr>
            <w:shd w:val="clear" w:color="auto" w:fill="auto"/>
            <w:tcBorders>
              <w:top w:val="single" w:color="000000" w:sz="4" w:space="0"/>
              <w:left w:val="single" w:color="000000" w:sz="4" w:space="0"/>
              <w:bottom w:val="single" w:color="000000" w:sz="4" w:space="0"/>
              <w:right w:val="single" w:color="auto" w:sz="4" w:space="0"/>
            </w:tcBorders>
            <w:tcW w:w="5696" w:type="dxa"/>
            <w:vAlign w:val="center"/>
            <w:textDirection w:val="lrTb"/>
            <w:noWrap w:val="false"/>
          </w:tcPr>
          <w:p>
            <w:pPr>
              <w:jc w:val="left"/>
              <w:spacing w:line="240" w:lineRule="atLeast"/>
              <w:rPr>
                <w:rFonts w:ascii="宋体" w:hAnsi="宋体" w:cs="宋体"/>
                <w:iCs/>
                <w:color w:val="000000"/>
              </w:rPr>
            </w:pPr>
            <w:r>
              <w:rPr>
                <w:rFonts w:hint="eastAsia" w:ascii="宋体" w:hAnsi="宋体" w:cs="宋体"/>
                <w:iCs/>
                <w:color w:val="000000"/>
                <w:szCs w:val="21"/>
                <w:lang w:bidi="ar"/>
              </w:rPr>
              <w:t xml:space="preserve">汽油车：别克GL8、奥德赛等或同档次车辆</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spacing w:line="240" w:lineRule="atLeast"/>
              <w:rPr>
                <w:rFonts w:ascii="宋体" w:hAnsi="宋体" w:cs="宋体"/>
                <w:iCs/>
                <w:color w:val="000000"/>
              </w:rPr>
            </w:pPr>
            <w:r>
              <w:rPr>
                <w:rFonts w:hint="eastAsia" w:ascii="宋体" w:hAnsi="宋体" w:cs="宋体"/>
                <w:iCs/>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54" w:type="dxa"/>
            <w:vAlign w:val="center"/>
            <w:textDirection w:val="lrTb"/>
            <w:noWrap w:val="false"/>
          </w:tcPr>
          <w:p>
            <w:pPr>
              <w:jc w:val="center"/>
              <w:spacing w:line="240" w:lineRule="atLeast"/>
              <w:rPr>
                <w:rFonts w:ascii="宋体" w:hAnsi="宋体" w:cs="宋体"/>
                <w:iCs/>
                <w:color w:val="000000"/>
              </w:rPr>
            </w:pPr>
            <w:r>
              <w:rPr>
                <w:rFonts w:hint="eastAsia" w:ascii="宋体" w:hAnsi="宋体" w:cs="宋体"/>
                <w:iCs/>
                <w:color w:val="000000"/>
                <w:szCs w:val="21"/>
                <w:lang w:bidi="ar"/>
              </w:rPr>
              <w:t xml:space="preserve">13—17座中型客车</w:t>
            </w:r>
            <w:r/>
          </w:p>
        </w:tc>
        <w:tc>
          <w:tcPr>
            <w:shd w:val="clear" w:color="auto" w:fill="auto"/>
            <w:tcBorders>
              <w:top w:val="single" w:color="000000" w:sz="4" w:space="0"/>
              <w:left w:val="single" w:color="000000" w:sz="4" w:space="0"/>
              <w:bottom w:val="single" w:color="000000" w:sz="4" w:space="0"/>
              <w:right w:val="single" w:color="auto" w:sz="4" w:space="0"/>
            </w:tcBorders>
            <w:tcW w:w="5696" w:type="dxa"/>
            <w:vAlign w:val="center"/>
            <w:textDirection w:val="lrTb"/>
            <w:noWrap w:val="false"/>
          </w:tcPr>
          <w:p>
            <w:pPr>
              <w:jc w:val="left"/>
              <w:spacing w:line="240" w:lineRule="atLeast"/>
              <w:rPr>
                <w:rFonts w:ascii="宋体" w:hAnsi="宋体" w:cs="宋体"/>
                <w:iCs/>
                <w:color w:val="000000"/>
              </w:rPr>
            </w:pPr>
            <w:r>
              <w:rPr>
                <w:rFonts w:hint="eastAsia" w:ascii="宋体" w:hAnsi="宋体" w:cs="宋体"/>
                <w:iCs/>
                <w:color w:val="000000"/>
                <w:szCs w:val="21"/>
                <w:lang w:bidi="ar"/>
              </w:rPr>
              <w:t xml:space="preserve">汽油车：海狮、宇通、考斯特或同档次车辆</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spacing w:line="240" w:lineRule="atLeast"/>
              <w:rPr>
                <w:rFonts w:ascii="宋体" w:hAnsi="宋体" w:cs="宋体"/>
                <w:iCs/>
                <w:color w:val="000000"/>
              </w:rPr>
            </w:pPr>
            <w:r>
              <w:rPr>
                <w:rFonts w:hint="eastAsia" w:ascii="宋体" w:hAnsi="宋体" w:cs="宋体"/>
                <w:iCs/>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54" w:type="dxa"/>
            <w:vAlign w:val="center"/>
            <w:textDirection w:val="lrTb"/>
            <w:noWrap w:val="false"/>
          </w:tcPr>
          <w:p>
            <w:pPr>
              <w:jc w:val="center"/>
              <w:spacing w:line="240" w:lineRule="atLeast"/>
              <w:rPr>
                <w:rFonts w:ascii="宋体" w:hAnsi="宋体" w:cs="宋体"/>
                <w:iCs/>
                <w:color w:val="000000"/>
              </w:rPr>
            </w:pPr>
            <w:r>
              <w:rPr>
                <w:rFonts w:hint="eastAsia" w:ascii="宋体" w:hAnsi="宋体" w:cs="宋体"/>
                <w:iCs/>
                <w:color w:val="000000"/>
                <w:szCs w:val="21"/>
                <w:lang w:bidi="ar"/>
              </w:rPr>
              <w:t xml:space="preserve">19—35座大型客车</w:t>
            </w:r>
            <w:r/>
          </w:p>
        </w:tc>
        <w:tc>
          <w:tcPr>
            <w:shd w:val="clear" w:color="auto" w:fill="auto"/>
            <w:tcBorders>
              <w:top w:val="single" w:color="000000" w:sz="4" w:space="0"/>
              <w:left w:val="single" w:color="000000" w:sz="4" w:space="0"/>
              <w:bottom w:val="single" w:color="000000" w:sz="4" w:space="0"/>
              <w:right w:val="single" w:color="auto" w:sz="4" w:space="0"/>
            </w:tcBorders>
            <w:tcW w:w="5696" w:type="dxa"/>
            <w:vAlign w:val="center"/>
            <w:textDirection w:val="lrTb"/>
            <w:noWrap w:val="false"/>
          </w:tcPr>
          <w:p>
            <w:pPr>
              <w:jc w:val="left"/>
              <w:spacing w:line="240" w:lineRule="atLeast"/>
              <w:rPr>
                <w:rFonts w:ascii="宋体" w:hAnsi="宋体" w:cs="宋体"/>
                <w:iCs/>
                <w:color w:val="000000"/>
              </w:rPr>
            </w:pPr>
            <w:r>
              <w:rPr>
                <w:rFonts w:hint="eastAsia" w:ascii="宋体" w:hAnsi="宋体" w:cs="宋体"/>
                <w:iCs/>
                <w:color w:val="000000"/>
                <w:szCs w:val="21"/>
                <w:lang w:bidi="ar"/>
              </w:rPr>
              <w:t xml:space="preserve">汽油车：考斯特、宇通、金龙等或同档次车辆</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spacing w:line="240" w:lineRule="atLeast"/>
              <w:rPr>
                <w:rFonts w:ascii="宋体" w:hAnsi="宋体" w:cs="宋体"/>
                <w:iCs/>
                <w:color w:val="000000"/>
              </w:rPr>
            </w:pPr>
            <w:r>
              <w:rPr>
                <w:rFonts w:hint="eastAsia" w:ascii="宋体" w:hAnsi="宋体" w:cs="宋体"/>
                <w:iCs/>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54" w:type="dxa"/>
            <w:vAlign w:val="center"/>
            <w:textDirection w:val="lrTb"/>
            <w:noWrap w:val="false"/>
          </w:tcPr>
          <w:p>
            <w:pPr>
              <w:jc w:val="center"/>
              <w:spacing w:line="240" w:lineRule="atLeast"/>
              <w:rPr>
                <w:rFonts w:ascii="宋体" w:hAnsi="宋体" w:cs="宋体"/>
                <w:iCs/>
                <w:color w:val="000000"/>
              </w:rPr>
            </w:pPr>
            <w:r>
              <w:rPr>
                <w:rFonts w:hint="eastAsia" w:ascii="宋体" w:hAnsi="宋体" w:cs="宋体"/>
                <w:iCs/>
                <w:color w:val="000000"/>
                <w:szCs w:val="21"/>
                <w:lang w:bidi="ar"/>
              </w:rPr>
              <w:t xml:space="preserve">45座及以上大客车</w:t>
            </w:r>
            <w:r/>
          </w:p>
        </w:tc>
        <w:tc>
          <w:tcPr>
            <w:shd w:val="clear" w:color="auto" w:fill="auto"/>
            <w:tcBorders>
              <w:top w:val="single" w:color="000000" w:sz="4" w:space="0"/>
              <w:left w:val="single" w:color="000000" w:sz="4" w:space="0"/>
              <w:bottom w:val="single" w:color="000000" w:sz="4" w:space="0"/>
              <w:right w:val="single" w:color="auto" w:sz="4" w:space="0"/>
            </w:tcBorders>
            <w:tcW w:w="5696" w:type="dxa"/>
            <w:vAlign w:val="center"/>
            <w:textDirection w:val="lrTb"/>
            <w:noWrap w:val="false"/>
          </w:tcPr>
          <w:p>
            <w:pPr>
              <w:jc w:val="left"/>
              <w:spacing w:line="240" w:lineRule="atLeast"/>
              <w:rPr>
                <w:rFonts w:ascii="宋体" w:hAnsi="宋体" w:cs="宋体"/>
                <w:iCs/>
                <w:color w:val="000000"/>
              </w:rPr>
            </w:pPr>
            <w:r>
              <w:rPr>
                <w:rFonts w:hint="eastAsia" w:ascii="宋体" w:hAnsi="宋体" w:cs="宋体"/>
                <w:iCs/>
                <w:color w:val="000000"/>
                <w:szCs w:val="21"/>
                <w:lang w:bidi="ar"/>
              </w:rPr>
              <w:t xml:space="preserve">汽油车：宇通、金龙或同档次车辆</w:t>
            </w:r>
            <w:r/>
          </w:p>
        </w:tc>
      </w:tr>
    </w:tbl>
    <w:p>
      <w:pPr>
        <w:spacing w:before="120" w:line="360" w:lineRule="auto"/>
        <w:rPr>
          <w:rFonts w:ascii="宋体" w:hAnsi="宋体" w:cs="宋体"/>
          <w:iCs/>
          <w:color w:val="ff0000"/>
          <w:sz w:val="24"/>
          <w:szCs w:val="24"/>
          <w:lang w:bidi="ar"/>
        </w:rPr>
      </w:pPr>
      <w:r>
        <w:rPr>
          <w:rFonts w:ascii="宋体" w:hAnsi="宋体" w:cs="宋体"/>
          <w:iCs/>
          <w:color w:val="ff0000"/>
          <w:sz w:val="24"/>
          <w:szCs w:val="24"/>
          <w:lang w:bidi="ar"/>
        </w:rPr>
      </w:r>
      <w:r/>
    </w:p>
    <w:p>
      <w:pPr>
        <w:spacing w:before="120" w:line="360" w:lineRule="auto"/>
        <w:rPr>
          <w:rFonts w:ascii="宋体" w:hAnsi="宋体" w:cs="宋体"/>
          <w:iCs/>
          <w:color w:val="ff0000"/>
          <w:sz w:val="24"/>
          <w:szCs w:val="24"/>
          <w:lang w:bidi="ar"/>
        </w:rPr>
      </w:pPr>
      <w:r>
        <w:rPr>
          <w:rFonts w:ascii="宋体" w:hAnsi="宋体" w:cs="宋体"/>
          <w:iCs/>
          <w:color w:val="ff0000"/>
          <w:sz w:val="24"/>
          <w:szCs w:val="24"/>
          <w:lang w:bidi="ar"/>
        </w:rPr>
      </w:r>
      <w:r/>
    </w:p>
    <w:p>
      <w:pPr>
        <w:spacing w:before="120" w:line="360" w:lineRule="auto"/>
        <w:rPr>
          <w:rFonts w:ascii="宋体" w:hAnsi="宋体" w:cs="宋体"/>
          <w:iCs/>
          <w:color w:val="ff0000"/>
          <w:sz w:val="24"/>
          <w:szCs w:val="24"/>
          <w:lang w:bidi="ar"/>
        </w:rPr>
      </w:pPr>
      <w:r>
        <w:rPr>
          <w:rFonts w:ascii="宋体" w:hAnsi="宋体" w:cs="宋体"/>
          <w:iCs/>
          <w:color w:val="ff0000"/>
          <w:sz w:val="24"/>
          <w:szCs w:val="24"/>
          <w:lang w:bidi="ar"/>
        </w:rPr>
      </w:r>
      <w:r/>
    </w:p>
    <w:p>
      <w:pPr>
        <w:spacing w:before="120" w:line="360" w:lineRule="auto"/>
        <w:rPr>
          <w:rFonts w:ascii="宋体" w:hAnsi="宋体" w:cs="宋体"/>
          <w:iCs/>
          <w:color w:val="ff0000"/>
          <w:sz w:val="24"/>
          <w:szCs w:val="24"/>
          <w:lang w:bidi="ar"/>
        </w:rPr>
      </w:pPr>
      <w:r>
        <w:rPr>
          <w:rFonts w:ascii="宋体" w:hAnsi="宋体" w:cs="宋体"/>
          <w:iCs/>
          <w:color w:val="ff0000"/>
          <w:sz w:val="24"/>
          <w:szCs w:val="24"/>
          <w:lang w:bidi="ar"/>
        </w:rPr>
      </w:r>
      <w:r/>
    </w:p>
    <w:p>
      <w:pPr>
        <w:spacing w:before="120" w:line="360" w:lineRule="auto"/>
        <w:rPr>
          <w:rFonts w:ascii="宋体" w:hAnsi="宋体" w:cs="宋体"/>
          <w:iCs/>
          <w:color w:val="ff0000"/>
          <w:sz w:val="24"/>
          <w:szCs w:val="24"/>
          <w:lang w:bidi="ar"/>
        </w:rPr>
      </w:pPr>
      <w:r>
        <w:rPr>
          <w:rFonts w:ascii="宋体" w:hAnsi="宋体" w:cs="宋体"/>
          <w:iCs/>
          <w:color w:val="ff0000"/>
          <w:sz w:val="24"/>
          <w:szCs w:val="24"/>
          <w:lang w:bidi="ar"/>
        </w:rPr>
      </w:r>
      <w:r/>
    </w:p>
    <w:p>
      <w:pPr>
        <w:ind w:firstLine="480"/>
        <w:spacing w:line="480" w:lineRule="exact"/>
        <w:rPr>
          <w:rFonts w:hint="eastAsia" w:ascii="宋体" w:hAnsi="宋体" w:cs="宋体"/>
          <w:sz w:val="24"/>
        </w:rPr>
      </w:pPr>
      <w:r>
        <w:rPr>
          <w:rFonts w:hint="eastAsia" w:ascii="宋体" w:hAnsi="宋体" w:cs="宋体"/>
          <w:sz w:val="24"/>
        </w:rPr>
      </w:r>
      <w:r/>
    </w:p>
    <w:p>
      <w:pPr>
        <w:ind w:firstLine="480"/>
        <w:spacing w:line="480" w:lineRule="exact"/>
        <w:rPr>
          <w:rFonts w:ascii="宋体" w:hAnsi="宋体" w:cs="宋体"/>
          <w:sz w:val="24"/>
        </w:rPr>
      </w:pPr>
      <w:r>
        <w:rPr>
          <w:rFonts w:hint="eastAsia" w:ascii="宋体" w:hAnsi="宋体" w:cs="宋体"/>
          <w:sz w:val="24"/>
        </w:rPr>
        <w:t xml:space="preserve">18、用车响应速度：</w:t>
      </w:r>
      <w:r/>
    </w:p>
    <w:p>
      <w:pPr>
        <w:ind w:firstLine="720"/>
        <w:spacing w:line="480" w:lineRule="exact"/>
        <w:rPr>
          <w:rFonts w:ascii="宋体" w:hAnsi="宋体" w:cs="宋体"/>
          <w:sz w:val="24"/>
        </w:rPr>
      </w:pPr>
      <w:r>
        <w:rPr>
          <w:rFonts w:hint="eastAsia" w:ascii="宋体" w:hAnsi="宋体" w:cs="宋体"/>
          <w:sz w:val="24"/>
        </w:rPr>
        <w:t xml:space="preserve">18.1日常用车：响应时间严格控制在 30分钟内，接到用车申请后，10分钟内反馈确认，明确车辆到达时间（提前 15 分钟到达指定地点）；</w:t>
      </w:r>
      <w:r/>
    </w:p>
    <w:p>
      <w:pPr>
        <w:ind w:firstLine="720"/>
        <w:spacing w:line="480" w:lineRule="exact"/>
        <w:rPr>
          <w:rFonts w:ascii="宋体" w:hAnsi="宋体" w:cs="宋体"/>
          <w:sz w:val="24"/>
        </w:rPr>
      </w:pPr>
      <w:r>
        <w:rPr>
          <w:rFonts w:hint="eastAsia" w:ascii="宋体" w:hAnsi="宋体" w:cs="宋体"/>
          <w:sz w:val="24"/>
        </w:rPr>
        <w:t xml:space="preserve">18.2紧急用车：响应时间严格控制在15分钟内，接到申请后5分钟内反馈，优先调配就近合规车辆，确保最快速度抵达指定地点；</w:t>
      </w:r>
      <w:r/>
    </w:p>
    <w:p>
      <w:pPr>
        <w:ind w:firstLine="720"/>
        <w:spacing w:line="480" w:lineRule="exact"/>
        <w:rPr>
          <w:rFonts w:ascii="宋体" w:hAnsi="宋体" w:cs="宋体"/>
          <w:sz w:val="24"/>
        </w:rPr>
      </w:pPr>
      <w:r>
        <w:rPr>
          <w:rFonts w:hint="eastAsia" w:ascii="宋体" w:hAnsi="宋体" w:cs="宋体"/>
          <w:sz w:val="24"/>
        </w:rPr>
        <w:t xml:space="preserve">18.3节假日 / 高峰时段（如开学、放假、重大活动）：提前预留应急车辆，响应时间较日常缩短 30%，避免因车辆紧张导致延误。</w:t>
      </w:r>
      <w:r/>
    </w:p>
    <w:p>
      <w:pPr>
        <w:ind w:firstLine="480"/>
        <w:spacing w:line="480" w:lineRule="exact"/>
        <w:rPr>
          <w:rFonts w:ascii="宋体" w:hAnsi="宋体" w:cs="宋体"/>
          <w:sz w:val="24"/>
        </w:rPr>
      </w:pPr>
      <w:r>
        <w:rPr>
          <w:rFonts w:hint="eastAsia" w:ascii="宋体" w:hAnsi="宋体" w:cs="宋体"/>
          <w:sz w:val="24"/>
        </w:rPr>
        <w:t xml:space="preserve">19、用车服务质量：</w:t>
      </w:r>
      <w:r/>
    </w:p>
    <w:p>
      <w:pPr>
        <w:ind w:firstLine="720"/>
        <w:spacing w:line="480" w:lineRule="exact"/>
        <w:rPr>
          <w:rFonts w:ascii="宋体" w:hAnsi="宋体" w:cs="宋体"/>
          <w:sz w:val="24"/>
        </w:rPr>
      </w:pPr>
      <w:r>
        <w:rPr>
          <w:rFonts w:hint="eastAsia" w:ascii="宋体" w:hAnsi="宋体" w:cs="宋体"/>
          <w:sz w:val="24"/>
        </w:rPr>
        <w:t xml:space="preserve">19.1 车辆质量：除原有要求外，车辆内部无异味、无杂物，座椅整洁可调节，空调、音响、导航等设备正常使用，每次用车前进行全面安全检查（含胎压、刹车、油量等），留存检查记录；</w:t>
      </w:r>
      <w:r/>
    </w:p>
    <w:p>
      <w:pPr>
        <w:ind w:firstLine="720"/>
        <w:spacing w:line="480" w:lineRule="exact"/>
        <w:rPr>
          <w:rFonts w:ascii="宋体" w:hAnsi="宋体" w:cs="宋体"/>
          <w:sz w:val="24"/>
        </w:rPr>
      </w:pPr>
      <w:r>
        <w:rPr>
          <w:rFonts w:hint="eastAsia" w:ascii="宋体" w:hAnsi="宋体" w:cs="宋体"/>
          <w:sz w:val="24"/>
        </w:rPr>
        <w:t xml:space="preserve">19.2 服务监督：建立 24 小时投诉反馈渠道，接到投诉后 12 小时内响应处理，24 小时内给出明确解决方案，每月提交服务质量报告，包含投诉处理、用车满意度等数据。</w:t>
      </w:r>
      <w:r/>
    </w:p>
    <w:p>
      <w:pPr>
        <w:ind w:firstLine="720"/>
        <w:spacing w:line="480" w:lineRule="exact"/>
        <w:rPr>
          <w:rFonts w:ascii="宋体" w:hAnsi="宋体" w:cs="宋体"/>
          <w:sz w:val="24"/>
          <w:highlight w:val="none"/>
        </w:rPr>
      </w:pPr>
      <w:r>
        <w:rPr>
          <w:rFonts w:hint="eastAsia" w:ascii="宋体" w:hAnsi="宋体" w:cs="宋体"/>
          <w:sz w:val="24"/>
          <w:highlight w:val="none"/>
        </w:rPr>
        <w:t xml:space="preserve">19.3 考核频次：服务期间内，每年年末开展一次考核。（考核要求详见附件17）​</w:t>
      </w:r>
      <w:r/>
    </w:p>
    <w:p>
      <w:pPr>
        <w:ind w:firstLine="720"/>
        <w:spacing w:line="480" w:lineRule="exact"/>
        <w:rPr>
          <w:rFonts w:ascii="宋体" w:hAnsi="宋体" w:cs="宋体"/>
          <w:sz w:val="24"/>
          <w:highlight w:val="none"/>
        </w:rPr>
      </w:pPr>
      <w:r>
        <w:rPr>
          <w:rFonts w:hint="eastAsia" w:ascii="宋体" w:hAnsi="宋体" w:cs="宋体"/>
          <w:sz w:val="24"/>
          <w:highlight w:val="none"/>
        </w:rPr>
        <w:t xml:space="preserve">19.4考核等第：考核结果分为合格与不合格两个等第，考核标准参照本项目技术及商务要求、服务承诺及日常履约情况制定。​</w:t>
      </w:r>
      <w:r/>
    </w:p>
    <w:p>
      <w:pPr>
        <w:ind w:firstLine="720"/>
        <w:spacing w:line="480" w:lineRule="exact"/>
        <w:rPr>
          <w:rFonts w:ascii="宋体" w:hAnsi="宋体" w:cs="宋体"/>
          <w:sz w:val="24"/>
        </w:rPr>
      </w:pPr>
      <w:r>
        <w:rPr>
          <w:rFonts w:hint="eastAsia" w:ascii="宋体" w:hAnsi="宋体" w:cs="宋体"/>
          <w:sz w:val="24"/>
          <w:highlight w:val="none"/>
        </w:rPr>
        <w:t xml:space="preserve">19.5考核结果处理：若考核等第为不</w:t>
      </w:r>
      <w:r>
        <w:rPr>
          <w:rFonts w:hint="eastAsia" w:ascii="宋体" w:hAnsi="宋体" w:cs="宋体"/>
          <w:sz w:val="24"/>
        </w:rPr>
        <w:t xml:space="preserve">合格，采购人有权单方面解除本项目服务合同，中标人需承担因合同解除产生的全部相关责任。</w:t>
      </w:r>
      <w:r/>
    </w:p>
    <w:p>
      <w:pPr>
        <w:ind w:firstLine="480"/>
        <w:spacing w:line="480" w:lineRule="exact"/>
        <w:rPr>
          <w:rFonts w:ascii="宋体" w:hAnsi="宋体" w:cs="宋体"/>
          <w:sz w:val="24"/>
        </w:rPr>
      </w:pPr>
      <w:r>
        <w:rPr>
          <w:rFonts w:hint="eastAsia" w:ascii="宋体" w:hAnsi="宋体" w:cs="宋体"/>
          <w:sz w:val="24"/>
        </w:rPr>
        <w:t xml:space="preserve">20、服务细致度：</w:t>
      </w:r>
      <w:r/>
    </w:p>
    <w:p>
      <w:pPr>
        <w:ind w:firstLine="720"/>
        <w:spacing w:line="480" w:lineRule="exact"/>
        <w:rPr>
          <w:rFonts w:ascii="宋体" w:hAnsi="宋体" w:cs="宋体"/>
          <w:sz w:val="24"/>
        </w:rPr>
      </w:pPr>
      <w:r>
        <w:rPr>
          <w:rFonts w:hint="eastAsia" w:ascii="宋体" w:hAnsi="宋体" w:cs="宋体"/>
          <w:sz w:val="24"/>
        </w:rPr>
        <w:t xml:space="preserve">20.1个性化服务：针对老弱病残师生、携带大件行李 / 贵重物品的用车需求，驾驶员需主动提供协助（如搬运行李、搀扶上下车）；</w:t>
      </w:r>
      <w:r/>
    </w:p>
    <w:p>
      <w:pPr>
        <w:ind w:firstLine="720"/>
        <w:spacing w:line="480" w:lineRule="exact"/>
        <w:rPr>
          <w:rFonts w:ascii="宋体" w:hAnsi="宋体" w:cs="宋体"/>
          <w:sz w:val="24"/>
        </w:rPr>
      </w:pPr>
      <w:r>
        <w:rPr>
          <w:rFonts w:hint="eastAsia" w:ascii="宋体" w:hAnsi="宋体" w:cs="宋体"/>
          <w:sz w:val="24"/>
        </w:rPr>
        <w:t xml:space="preserve">20.2行程保障：提前熟悉用车路线，避开拥堵路段，若遇路线变更，提前与用车方沟通确认；公务用车可根据需求提供饮用水、雨伞、抽纸等便民物品； </w:t>
      </w:r>
      <w:r/>
    </w:p>
    <w:p>
      <w:pPr>
        <w:ind w:firstLine="720"/>
        <w:spacing w:line="480" w:lineRule="exact"/>
        <w:rPr>
          <w:rFonts w:ascii="宋体" w:hAnsi="宋体" w:cs="宋体"/>
          <w:sz w:val="24"/>
        </w:rPr>
      </w:pPr>
      <w:r>
        <w:rPr>
          <w:rFonts w:hint="eastAsia" w:ascii="宋体" w:hAnsi="宋体" w:cs="宋体"/>
          <w:sz w:val="24"/>
        </w:rPr>
        <w:t xml:space="preserve">20.3细节管控：用车结束后，及时清理车辆内遗留物品，若有遗失物品，第一时间联系用车方归还，做好登记记录；严格按照用车方指定的时间、地点接送，不擅自更改行程、提前离岗。</w:t>
      </w:r>
      <w:r/>
    </w:p>
    <w:p>
      <w:pPr>
        <w:ind w:firstLine="480"/>
        <w:spacing w:line="480" w:lineRule="exact"/>
        <w:rPr>
          <w:rFonts w:ascii="宋体" w:hAnsi="宋体"/>
          <w:sz w:val="24"/>
          <w:szCs w:val="24"/>
        </w:rPr>
      </w:pPr>
      <w:r>
        <w:rPr>
          <w:rFonts w:hint="eastAsia" w:ascii="宋体" w:hAnsi="宋体"/>
          <w:sz w:val="24"/>
          <w:szCs w:val="24"/>
        </w:rPr>
        <w:t xml:space="preserve">21、汽车驾驶员要求：</w:t>
      </w:r>
      <w:r/>
    </w:p>
    <w:p>
      <w:pPr>
        <w:ind w:firstLine="787"/>
        <w:spacing w:line="460" w:lineRule="exact"/>
        <w:rPr>
          <w:rFonts w:ascii="宋体" w:hAnsi="宋体"/>
          <w:sz w:val="24"/>
          <w:szCs w:val="24"/>
        </w:rPr>
      </w:pPr>
      <w:r>
        <w:rPr>
          <w:rFonts w:hint="eastAsia" w:ascii="宋体" w:hAnsi="宋体"/>
          <w:sz w:val="24"/>
          <w:szCs w:val="24"/>
        </w:rPr>
        <w:t xml:space="preserve">21.1 驾驶员年龄60周岁以下，统一着装、言行文明，无吸烟、闲聊、接打私人电话等影响服务的行为，应有从事该业务的相关资质，证照齐全，身体健康，技术良好。具有3年及以上驾龄，3年内无重大交通事故，文明上岗，诚信守时，作风正派，有较强的服务意识和保密意识等。可以公司承诺书的形式确认保证。</w:t>
      </w:r>
      <w:r/>
    </w:p>
    <w:p>
      <w:pPr>
        <w:ind w:firstLine="787"/>
        <w:spacing w:line="460" w:lineRule="exact"/>
        <w:rPr>
          <w:rFonts w:ascii="宋体" w:hAnsi="宋体"/>
          <w:sz w:val="24"/>
          <w:szCs w:val="24"/>
        </w:rPr>
      </w:pPr>
      <w:r>
        <w:rPr>
          <w:rFonts w:hint="eastAsia" w:ascii="宋体" w:hAnsi="宋体"/>
          <w:sz w:val="24"/>
          <w:szCs w:val="24"/>
        </w:rPr>
        <w:t xml:space="preserve">21.2 在承担运输任务时，驾驶员应按照行程规划合理路线，并提前15分钟到达指定服务地点，服务热忱，保密意识强、言谈举止文明礼貌。</w:t>
      </w:r>
      <w:r/>
    </w:p>
    <w:p>
      <w:pPr>
        <w:ind w:firstLine="787"/>
        <w:spacing w:line="460" w:lineRule="exact"/>
        <w:rPr>
          <w:rFonts w:ascii="宋体" w:hAnsi="宋体"/>
          <w:sz w:val="24"/>
          <w:szCs w:val="24"/>
        </w:rPr>
      </w:pPr>
      <w:r>
        <w:rPr>
          <w:rFonts w:hint="eastAsia" w:ascii="宋体" w:hAnsi="宋体"/>
          <w:sz w:val="24"/>
          <w:szCs w:val="24"/>
        </w:rPr>
        <w:t xml:space="preserve">21.3 驾驶员应保持车辆内部、外部之清洁卫生，保证车况良好，并在气温超过或低于国家规定的数值时开启空调以满足乘坐人员的需求。</w:t>
      </w:r>
      <w:r/>
    </w:p>
    <w:p>
      <w:pPr>
        <w:ind w:firstLine="787"/>
        <w:spacing w:line="460" w:lineRule="exact"/>
        <w:rPr>
          <w:rFonts w:ascii="宋体" w:hAnsi="宋体"/>
          <w:sz w:val="24"/>
          <w:szCs w:val="24"/>
        </w:rPr>
      </w:pPr>
      <w:r>
        <w:rPr>
          <w:rFonts w:hint="eastAsia" w:ascii="宋体" w:hAnsi="宋体"/>
          <w:sz w:val="24"/>
          <w:szCs w:val="24"/>
        </w:rPr>
        <w:t xml:space="preserve">21.4 安全管理要求。中标人需定期对驾驶员开展安全教育，传达、学习有关安全、文明营运文件，对驾驶员的安全行车提出具体要求，消除事故隐患，开好安全车。驾驶员应</w:t>
      </w:r>
      <w:r>
        <w:rPr>
          <w:rFonts w:hint="eastAsia" w:ascii="宋体" w:hAnsi="宋体"/>
          <w:sz w:val="24"/>
          <w:szCs w:val="24"/>
          <w:lang w:val="zh-CN"/>
        </w:rPr>
        <w:t xml:space="preserve">具备处理应急事务的能力。</w:t>
      </w:r>
      <w:r/>
    </w:p>
    <w:p>
      <w:pPr>
        <w:jc w:val="left"/>
        <w:spacing w:line="440" w:lineRule="exact"/>
        <w:rPr>
          <w:rFonts w:ascii="宋体" w:hAnsi="宋体" w:cs="宋体"/>
          <w:b/>
          <w:sz w:val="28"/>
          <w:szCs w:val="28"/>
        </w:rPr>
      </w:pPr>
      <w:r>
        <w:rPr>
          <w:rFonts w:hint="eastAsia" w:ascii="宋体" w:hAnsi="宋体" w:cs="宋体"/>
          <w:b/>
          <w:sz w:val="28"/>
          <w:szCs w:val="28"/>
          <w:lang w:bidi="ar"/>
        </w:rPr>
        <w:t xml:space="preserve">三、投标报价要求</w:t>
      </w:r>
      <w:r/>
    </w:p>
    <w:p>
      <w:pPr>
        <w:ind w:firstLine="480"/>
        <w:spacing w:line="460" w:lineRule="exact"/>
        <w:rPr>
          <w:rFonts w:ascii="宋体" w:hAnsi="宋体"/>
          <w:color w:val="000000" w:themeColor="text1"/>
          <w:sz w:val="24"/>
          <w:szCs w:val="24"/>
          <w14:textFill>
            <w14:solidFill>
              <w14:schemeClr w14:val="tx1"/>
            </w14:solidFill>
          </w14:textFill>
        </w:rPr>
      </w:pPr>
      <w:r>
        <w:rPr>
          <w:rFonts w:hint="eastAsia" w:ascii="宋体" w:hAnsi="宋体"/>
          <w:sz w:val="24"/>
          <w:szCs w:val="24"/>
        </w:rPr>
        <w:t xml:space="preserve">1、校内用车服务（含驾驶员）报价包括燃油费、充电费、过路过桥费、停车费、驾驶员工资、保险费、折旧费、维修费、利润、税费等与本项目有关的所有费用。驾驶员食宿费由用车单位承</w:t>
      </w:r>
      <w:r>
        <w:rPr>
          <w:rFonts w:hint="eastAsia" w:ascii="宋体" w:hAnsi="宋体"/>
          <w:color w:val="000000" w:themeColor="text1"/>
          <w:sz w:val="24"/>
          <w:szCs w:val="24"/>
          <w14:textFill>
            <w14:solidFill>
              <w14:schemeClr w14:val="tx1"/>
            </w14:solidFill>
          </w14:textFill>
        </w:rPr>
        <w:t xml:space="preserve">担，但不得超出我校财务差旅相关制度规定标准。</w:t>
      </w:r>
      <w:bookmarkStart w:id="267" w:name="_GoBack"/>
      <w:r/>
      <w:bookmarkEnd w:id="267"/>
      <w:r/>
      <w:r/>
    </w:p>
    <w:p>
      <w:pPr>
        <w:ind w:firstLine="480"/>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hint="eastAsia" w:ascii="Times New Roman" w:hAnsi="Times New Roman" w:cs="宋体"/>
          <w:sz w:val="24"/>
          <w:szCs w:val="20"/>
          <w:lang w:bidi="ar"/>
        </w:rPr>
        <w:t xml:space="preserve">本项目以优惠率（单位为</w:t>
      </w:r>
      <w:r>
        <w:rPr>
          <w:rFonts w:ascii="Times New Roman" w:hAnsi="Times New Roman"/>
          <w:sz w:val="24"/>
          <w:szCs w:val="20"/>
          <w:lang w:bidi="ar"/>
        </w:rPr>
        <w:t xml:space="preserve">%</w:t>
      </w:r>
      <w:r>
        <w:rPr>
          <w:rFonts w:hint="eastAsia" w:ascii="Times New Roman" w:hAnsi="Times New Roman" w:cs="宋体"/>
          <w:sz w:val="24"/>
          <w:szCs w:val="20"/>
          <w:lang w:bidi="ar"/>
        </w:rPr>
        <w:t xml:space="preserve">，如</w:t>
      </w:r>
      <w:r>
        <w:rPr>
          <w:rFonts w:hint="eastAsia" w:ascii="Times New Roman" w:hAnsi="Times New Roman"/>
          <w:sz w:val="24"/>
          <w:szCs w:val="20"/>
          <w:lang w:bidi="ar"/>
        </w:rPr>
        <w:t xml:space="preserve">10</w:t>
      </w:r>
      <w:r>
        <w:rPr>
          <w:rFonts w:ascii="Times New Roman" w:hAnsi="Times New Roman"/>
          <w:sz w:val="24"/>
          <w:szCs w:val="20"/>
          <w:lang w:bidi="ar"/>
        </w:rPr>
        <w:t xml:space="preserve">.00%</w:t>
      </w:r>
      <w:r>
        <w:rPr>
          <w:rFonts w:hint="eastAsia" w:ascii="Times New Roman" w:hAnsi="Times New Roman" w:cs="宋体"/>
          <w:sz w:val="24"/>
          <w:szCs w:val="20"/>
          <w:lang w:bidi="ar"/>
        </w:rPr>
        <w:t xml:space="preserve">）的形式报价，</w:t>
      </w:r>
      <w:r>
        <w:rPr>
          <w:rFonts w:hint="eastAsia" w:ascii="Times New Roman" w:hAnsi="Times New Roman" w:cs="宋体"/>
          <w:b/>
          <w:sz w:val="24"/>
          <w:szCs w:val="20"/>
          <w:lang w:bidi="ar"/>
        </w:rPr>
        <w:t xml:space="preserve">否则将作无效投标处理。</w:t>
      </w:r>
      <w:r/>
    </w:p>
    <w:p>
      <w:pPr>
        <w:ind w:firstLine="480"/>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3、报价须按照各类车型校内用车服务最高单价限价填报优惠率。各车型最高单价限价如下：</w:t>
      </w:r>
      <w:r/>
    </w:p>
    <w:p>
      <w:pPr>
        <w:jc w:val="center"/>
        <w:rPr>
          <w:rFonts w:ascii="宋体" w:hAnsi="宋体" w:cs="宋体"/>
          <w:b/>
          <w:color w:val="000000"/>
          <w:sz w:val="24"/>
          <w:szCs w:val="24"/>
        </w:rPr>
      </w:pPr>
      <w:r>
        <w:rPr>
          <w:rFonts w:hint="eastAsia" w:ascii="宋体" w:hAnsi="宋体" w:cs="宋体"/>
          <w:b/>
          <w:color w:val="000000"/>
          <w:sz w:val="24"/>
          <w:szCs w:val="24"/>
          <w:lang w:bidi="ar"/>
        </w:rPr>
        <w:t xml:space="preserve">各类车型校内用车服务最高单价限价表</w:t>
      </w:r>
      <w:r/>
    </w:p>
    <w:tbl>
      <w:tblPr>
        <w:tblStyle w:val="689"/>
        <w:tblW w:w="983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232"/>
        <w:gridCol w:w="1230"/>
        <w:gridCol w:w="1080"/>
        <w:gridCol w:w="987"/>
        <w:gridCol w:w="920"/>
        <w:gridCol w:w="877"/>
        <w:gridCol w:w="878"/>
        <w:gridCol w:w="878"/>
        <w:gridCol w:w="1061"/>
      </w:tblGrid>
      <w:tr>
        <w:trPr>
          <w:jc w:val="center"/>
          <w:trHeight w:val="498"/>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val="false"/>
          </w:tcPr>
          <w:p>
            <w:pPr>
              <w:jc w:val="center"/>
              <w:spacing w:line="320" w:lineRule="exact"/>
              <w:rPr>
                <w:rFonts w:ascii="宋体" w:hAnsi="宋体" w:cs="宋体"/>
                <w:sz w:val="24"/>
                <w:szCs w:val="24"/>
              </w:rPr>
            </w:pPr>
            <w:r/>
            <w:bookmarkStart w:id="213" w:name="OLE_LINK1"/>
            <w:r>
              <w:rPr>
                <w:rFonts w:hint="eastAsia" w:ascii="宋体" w:hAnsi="宋体" w:cs="宋体"/>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vMerge w:val="restart"/>
            <w:textDirection w:val="lrTb"/>
            <w:noWrap w:val="false"/>
          </w:tcPr>
          <w:p>
            <w:pPr>
              <w:jc w:val="center"/>
              <w:spacing w:line="320" w:lineRule="exact"/>
              <w:rPr>
                <w:rFonts w:ascii="宋体" w:hAnsi="宋体" w:cs="宋体"/>
                <w:sz w:val="24"/>
                <w:szCs w:val="24"/>
              </w:rPr>
            </w:pPr>
            <w:r>
              <w:rPr>
                <w:rFonts w:hint="eastAsia" w:ascii="宋体" w:hAnsi="宋体" w:cs="宋体"/>
                <w:sz w:val="24"/>
                <w:szCs w:val="24"/>
              </w:rPr>
              <w:t xml:space="preserve">车型</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restart"/>
            <w:textDirection w:val="lrTb"/>
            <w:noWrap w:val="false"/>
          </w:tcPr>
          <w:p>
            <w:pPr>
              <w:jc w:val="center"/>
              <w:spacing w:line="320" w:lineRule="exact"/>
              <w:rPr>
                <w:rFonts w:ascii="宋体" w:hAnsi="宋体" w:cs="宋体"/>
                <w:sz w:val="24"/>
                <w:szCs w:val="24"/>
              </w:rPr>
            </w:pPr>
            <w:r>
              <w:rPr>
                <w:rFonts w:hint="eastAsia" w:ascii="宋体" w:hAnsi="宋体" w:cs="宋体"/>
                <w:sz w:val="24"/>
                <w:szCs w:val="24"/>
                <w:lang w:bidi="ar"/>
              </w:rPr>
              <w:t xml:space="preserve">日租（元）</w:t>
            </w:r>
            <w:r/>
          </w:p>
          <w:p>
            <w:pPr>
              <w:jc w:val="center"/>
              <w:spacing w:line="320" w:lineRule="exact"/>
              <w:rPr>
                <w:rFonts w:ascii="宋体" w:hAnsi="宋体" w:cs="宋体"/>
                <w:sz w:val="24"/>
                <w:szCs w:val="24"/>
              </w:rPr>
            </w:pPr>
            <w:r>
              <w:rPr>
                <w:rFonts w:hint="eastAsia" w:ascii="宋体" w:hAnsi="宋体" w:cs="宋体"/>
                <w:sz w:val="24"/>
                <w:szCs w:val="24"/>
              </w:rPr>
              <w:t xml:space="preserve">（8小时/100公里）</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spacing w:line="320" w:lineRule="exact"/>
              <w:rPr>
                <w:rFonts w:ascii="宋体" w:hAnsi="宋体" w:cs="宋体"/>
                <w:sz w:val="24"/>
                <w:szCs w:val="24"/>
              </w:rPr>
            </w:pPr>
            <w:r>
              <w:rPr>
                <w:rFonts w:hint="eastAsia" w:ascii="宋体" w:hAnsi="宋体" w:cs="宋体"/>
                <w:sz w:val="24"/>
                <w:szCs w:val="24"/>
                <w:lang w:bidi="ar"/>
              </w:rPr>
              <w:t xml:space="preserve">超时</w:t>
            </w:r>
            <w:r/>
          </w:p>
          <w:p>
            <w:pPr>
              <w:jc w:val="center"/>
              <w:spacing w:line="320" w:lineRule="exact"/>
              <w:rPr>
                <w:rFonts w:ascii="宋体" w:hAnsi="宋体" w:cs="宋体"/>
                <w:sz w:val="24"/>
                <w:szCs w:val="24"/>
              </w:rPr>
            </w:pPr>
            <w:r>
              <w:rPr>
                <w:rFonts w:hint="eastAsia" w:ascii="宋体" w:hAnsi="宋体" w:cs="宋体"/>
                <w:sz w:val="24"/>
                <w:szCs w:val="24"/>
              </w:rPr>
              <w:t xml:space="preserve">（元/小时）</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val="false"/>
          </w:tcPr>
          <w:p>
            <w:pPr>
              <w:jc w:val="center"/>
              <w:spacing w:line="320" w:lineRule="exact"/>
              <w:rPr>
                <w:rFonts w:ascii="宋体" w:hAnsi="宋体" w:cs="宋体"/>
                <w:sz w:val="24"/>
                <w:szCs w:val="24"/>
              </w:rPr>
            </w:pPr>
            <w:r>
              <w:rPr>
                <w:rFonts w:hint="eastAsia" w:ascii="宋体" w:hAnsi="宋体" w:cs="宋体"/>
                <w:sz w:val="24"/>
                <w:szCs w:val="24"/>
                <w:lang w:bidi="ar"/>
              </w:rPr>
              <w:t xml:space="preserve">超公里</w:t>
            </w:r>
            <w:r/>
          </w:p>
          <w:p>
            <w:pPr>
              <w:jc w:val="center"/>
              <w:spacing w:line="320" w:lineRule="exact"/>
              <w:rPr>
                <w:rFonts w:ascii="宋体" w:hAnsi="宋体" w:cs="宋体"/>
                <w:sz w:val="24"/>
                <w:szCs w:val="24"/>
              </w:rPr>
            </w:pPr>
            <w:r>
              <w:rPr>
                <w:rFonts w:hint="eastAsia" w:ascii="宋体" w:hAnsi="宋体" w:cs="宋体"/>
                <w:sz w:val="24"/>
                <w:szCs w:val="24"/>
              </w:rPr>
              <w:t xml:space="preserve">（元/公里）</w:t>
            </w:r>
            <w:r/>
          </w:p>
        </w:tc>
        <w:tc>
          <w:tcPr>
            <w:gridSpan w:val="5"/>
            <w:shd w:val="clear" w:color="auto" w:fill="auto"/>
            <w:tcBorders>
              <w:top w:val="single" w:color="000000" w:sz="4" w:space="0"/>
              <w:left w:val="single" w:color="000000" w:sz="4" w:space="0"/>
              <w:bottom w:val="single" w:color="000000" w:sz="4" w:space="0"/>
              <w:right w:val="single" w:color="auto" w:sz="4" w:space="0"/>
            </w:tcBorders>
            <w:tcW w:w="4614" w:type="dxa"/>
            <w:vAlign w:val="center"/>
            <w:textDirection w:val="lrTb"/>
            <w:noWrap w:val="false"/>
          </w:tcPr>
          <w:p>
            <w:pPr>
              <w:jc w:val="center"/>
              <w:widowControl/>
            </w:pPr>
            <w:r>
              <w:rPr>
                <w:rFonts w:hint="eastAsia" w:ascii="宋体" w:hAnsi="宋体" w:cs="宋体"/>
                <w:sz w:val="24"/>
                <w:szCs w:val="24"/>
              </w:rPr>
              <w:t xml:space="preserve">专线报价（元）</w:t>
            </w:r>
            <w:r/>
          </w:p>
        </w:tc>
      </w:tr>
      <w:tr>
        <w:trPr>
          <w:jc w:val="center"/>
          <w:trHeight w:val="1162" w:hRule="exact"/>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jc w:val="center"/>
              <w:rPr>
                <w:rFonts w:ascii="Times New Roman" w:hAnsi="Times New Roman"/>
                <w:sz w:val="20"/>
                <w:szCs w:val="20"/>
              </w:rPr>
            </w:pPr>
            <w:r>
              <w:rPr>
                <w:rFonts w:ascii="Times New Roman" w:hAnsi="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vMerge w:val="continue"/>
            <w:textDirection w:val="lrTb"/>
            <w:noWrap w:val="false"/>
          </w:tcPr>
          <w:p>
            <w:pPr>
              <w:jc w:val="center"/>
              <w:rPr>
                <w:rFonts w:ascii="Times New Roman" w:hAnsi="Times New Roman"/>
                <w:sz w:val="20"/>
                <w:szCs w:val="20"/>
              </w:rPr>
            </w:pPr>
            <w:r>
              <w:rPr>
                <w:rFonts w:ascii="Times New Roman" w:hAnsi="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ascii="Times New Roman" w:hAnsi="Times New Roman"/>
                <w:sz w:val="20"/>
                <w:szCs w:val="20"/>
              </w:rPr>
            </w:pPr>
            <w:r>
              <w:rPr>
                <w:rFonts w:ascii="Times New Roman" w:hAnsi="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ascii="Times New Roman" w:hAnsi="Times New Roman"/>
                <w:sz w:val="20"/>
                <w:szCs w:val="20"/>
              </w:rPr>
            </w:pPr>
            <w:r>
              <w:rPr>
                <w:rFonts w:ascii="Times New Roman" w:hAnsi="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jc w:val="center"/>
              <w:rPr>
                <w:rFonts w:ascii="Times New Roman" w:hAnsi="Times New Roman"/>
                <w:sz w:val="20"/>
                <w:szCs w:val="20"/>
              </w:rPr>
            </w:pPr>
            <w:r>
              <w:rPr>
                <w:rFonts w:ascii="Times New Roman" w:hAnsi="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spacing w:line="320" w:lineRule="exact"/>
              <w:rPr>
                <w:rFonts w:ascii="宋体" w:hAnsi="宋体" w:cs="宋体"/>
                <w:sz w:val="24"/>
                <w:szCs w:val="24"/>
              </w:rPr>
            </w:pPr>
            <w:r>
              <w:rPr>
                <w:rFonts w:hint="eastAsia" w:ascii="宋体" w:hAnsi="宋体" w:cs="宋体"/>
                <w:sz w:val="24"/>
                <w:szCs w:val="24"/>
              </w:rPr>
              <w:t xml:space="preserve">常熟站</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20" w:lineRule="exact"/>
              <w:rPr>
                <w:rFonts w:ascii="宋体" w:hAnsi="宋体" w:cs="宋体"/>
                <w:sz w:val="24"/>
                <w:szCs w:val="24"/>
              </w:rPr>
            </w:pPr>
            <w:r>
              <w:rPr>
                <w:rFonts w:hint="eastAsia" w:ascii="宋体" w:hAnsi="宋体" w:cs="宋体"/>
                <w:sz w:val="24"/>
                <w:szCs w:val="24"/>
              </w:rPr>
              <w:t xml:space="preserve">苏州北站</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spacing w:line="320" w:lineRule="exact"/>
              <w:rPr>
                <w:rFonts w:ascii="宋体" w:hAnsi="宋体" w:cs="宋体"/>
                <w:sz w:val="24"/>
                <w:szCs w:val="24"/>
              </w:rPr>
            </w:pPr>
            <w:r>
              <w:rPr>
                <w:rFonts w:hint="eastAsia" w:ascii="宋体" w:hAnsi="宋体" w:cs="宋体"/>
                <w:sz w:val="24"/>
                <w:szCs w:val="24"/>
              </w:rPr>
              <w:t xml:space="preserve">硕放机场</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spacing w:line="320" w:lineRule="exact"/>
              <w:rPr>
                <w:rFonts w:ascii="宋体" w:hAnsi="宋体" w:cs="宋体"/>
                <w:sz w:val="24"/>
                <w:szCs w:val="24"/>
              </w:rPr>
            </w:pPr>
            <w:r>
              <w:rPr>
                <w:rFonts w:hint="eastAsia" w:ascii="宋体" w:hAnsi="宋体" w:cs="宋体"/>
                <w:sz w:val="24"/>
                <w:szCs w:val="24"/>
              </w:rPr>
              <w:t xml:space="preserve">虹桥机场</w:t>
            </w:r>
            <w:r/>
          </w:p>
        </w:tc>
        <w:tc>
          <w:tcPr>
            <w:shd w:val="clear" w:color="auto" w:fill="auto"/>
            <w:tcBorders>
              <w:top w:val="single" w:color="auto" w:sz="4" w:space="0"/>
              <w:left w:val="single" w:color="000000" w:sz="4" w:space="0"/>
              <w:bottom w:val="none" w:color="000000" w:sz="4" w:space="0"/>
              <w:right w:val="single" w:color="auto" w:sz="4" w:space="0"/>
            </w:tcBorders>
            <w:tcW w:w="1061" w:type="dxa"/>
            <w:vAlign w:val="center"/>
            <w:textDirection w:val="lrTb"/>
            <w:noWrap w:val="false"/>
          </w:tcPr>
          <w:p>
            <w:pPr>
              <w:jc w:val="center"/>
              <w:spacing w:line="320" w:lineRule="exact"/>
              <w:rPr>
                <w:rFonts w:ascii="宋体" w:hAnsi="宋体" w:cs="宋体"/>
                <w:sz w:val="24"/>
                <w:szCs w:val="24"/>
              </w:rPr>
            </w:pPr>
            <w:r>
              <w:rPr>
                <w:rFonts w:hint="eastAsia" w:ascii="宋体" w:hAnsi="宋体" w:cs="宋体"/>
                <w:sz w:val="24"/>
                <w:szCs w:val="24"/>
              </w:rPr>
              <w:t xml:space="preserve">浦东机场</w:t>
            </w:r>
            <w:r/>
          </w:p>
        </w:tc>
      </w:tr>
      <w:tr>
        <w:trPr>
          <w:jc w:val="center"/>
          <w:trHeight w:val="1047" w:hRule="exact"/>
        </w:trPr>
        <w:tc>
          <w:tcPr>
            <w:shd w:val="clear" w:color="auto" w:fill="auto"/>
            <w:tcBorders>
              <w:top w:val="single" w:color="000000" w:sz="4" w:space="0"/>
              <w:left w:val="single" w:color="000000" w:sz="4" w:space="0"/>
              <w:bottom w:val="single" w:color="auto" w:sz="4" w:space="0"/>
              <w:right w:val="single" w:color="000000" w:sz="4" w:space="0"/>
            </w:tcBorders>
            <w:tcW w:w="69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jc w:val="center"/>
              <w:widowControl/>
              <w:rPr>
                <w:rFonts w:ascii="宋体" w:hAnsi="宋体" w:cs="宋体"/>
                <w:sz w:val="24"/>
                <w:szCs w:val="24"/>
              </w:rPr>
            </w:pPr>
            <w:r>
              <w:rPr>
                <w:rFonts w:hint="eastAsia" w:ascii="宋体" w:hAnsi="宋体" w:cs="宋体"/>
                <w:spacing w:val="20"/>
                <w:sz w:val="24"/>
                <w:szCs w:val="24"/>
                <w:lang w:bidi="ar"/>
              </w:rPr>
              <w:t xml:space="preserve">5座轿车</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ascii="宋体" w:hAnsi="宋体" w:cs="宋体"/>
                <w:szCs w:val="24"/>
              </w:rPr>
            </w:pPr>
            <w:r>
              <w:rPr>
                <w:rFonts w:hint="eastAsia" w:ascii="宋体" w:hAnsi="宋体" w:cs="宋体"/>
                <w:szCs w:val="24"/>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ascii="宋体" w:hAnsi="宋体" w:cs="宋体"/>
                <w:szCs w:val="24"/>
              </w:rPr>
            </w:pPr>
            <w:r>
              <w:rPr>
                <w:rFonts w:hint="eastAsia" w:ascii="宋体" w:hAnsi="宋体" w:cs="宋体"/>
                <w:szCs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ascii="宋体" w:hAnsi="宋体" w:cs="宋体"/>
                <w:szCs w:val="24"/>
              </w:rPr>
            </w:pPr>
            <w:r>
              <w:rPr>
                <w:rFonts w:hint="eastAsia" w:ascii="宋体" w:hAnsi="宋体" w:cs="宋体"/>
                <w:szCs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rPr>
                <w:rFonts w:ascii="宋体" w:hAnsi="宋体" w:cs="宋体"/>
                <w:szCs w:val="24"/>
              </w:rPr>
            </w:pPr>
            <w:r>
              <w:rPr>
                <w:rFonts w:hint="eastAsia" w:ascii="宋体" w:hAnsi="宋体" w:cs="宋体"/>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rPr>
                <w:rFonts w:ascii="宋体" w:hAnsi="宋体" w:cs="宋体"/>
                <w:szCs w:val="24"/>
              </w:rPr>
            </w:pPr>
            <w:r>
              <w:rPr>
                <w:rFonts w:hint="eastAsia" w:ascii="宋体" w:hAnsi="宋体" w:cs="宋体"/>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rPr>
                <w:rFonts w:ascii="宋体" w:hAnsi="宋体" w:cs="宋体"/>
                <w:szCs w:val="24"/>
              </w:rPr>
            </w:pPr>
            <w:r>
              <w:rPr>
                <w:rFonts w:hint="eastAsia" w:ascii="宋体" w:hAnsi="宋体" w:cs="宋体"/>
                <w:lang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rPr>
                <w:rFonts w:ascii="宋体" w:hAnsi="宋体" w:cs="宋体"/>
                <w:szCs w:val="24"/>
              </w:rPr>
            </w:pPr>
            <w:r>
              <w:rPr>
                <w:rFonts w:hint="eastAsia" w:ascii="宋体" w:hAnsi="宋体" w:cs="宋体"/>
                <w:lang w:bidi="ar"/>
              </w:rPr>
              <w:t xml:space="preserve">550</w:t>
            </w:r>
            <w:r/>
          </w:p>
        </w:tc>
        <w:tc>
          <w:tcPr>
            <w:shd w:val="clear" w:color="auto" w:fill="auto"/>
            <w:tcBorders>
              <w:top w:val="single" w:color="auto" w:sz="4" w:space="0"/>
              <w:left w:val="single" w:color="000000" w:sz="4" w:space="0"/>
              <w:bottom w:val="none" w:color="000000" w:sz="4" w:space="0"/>
              <w:right w:val="single" w:color="auto" w:sz="4" w:space="0"/>
            </w:tcBorders>
            <w:tcW w:w="1061" w:type="dxa"/>
            <w:vAlign w:val="center"/>
            <w:textDirection w:val="lrTb"/>
            <w:noWrap w:val="false"/>
          </w:tcPr>
          <w:p>
            <w:pPr>
              <w:jc w:val="center"/>
              <w:rPr>
                <w:rFonts w:ascii="宋体" w:hAnsi="宋体" w:cs="宋体"/>
              </w:rPr>
            </w:pPr>
            <w:r>
              <w:rPr>
                <w:rFonts w:hint="eastAsia" w:ascii="宋体" w:hAnsi="宋体" w:cs="宋体"/>
                <w:lang w:bidi="ar"/>
              </w:rPr>
              <w:t xml:space="preserve">700</w:t>
            </w:r>
            <w:r/>
          </w:p>
        </w:tc>
      </w:tr>
      <w:tr>
        <w:trPr>
          <w:jc w:val="center"/>
          <w:trHeight w:val="1049" w:hRule="exact"/>
        </w:trPr>
        <w:tc>
          <w:tcPr>
            <w:shd w:val="clear" w:color="auto" w:fill="auto"/>
            <w:tcBorders>
              <w:top w:val="single" w:color="auto" w:sz="4" w:space="0"/>
              <w:left w:val="single" w:color="000000" w:sz="4" w:space="0"/>
              <w:bottom w:val="single" w:color="auto" w:sz="4" w:space="0"/>
              <w:right w:val="single" w:color="000000" w:sz="4" w:space="0"/>
            </w:tcBorders>
            <w:tcW w:w="69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jc w:val="center"/>
              <w:widowControl/>
              <w:rPr>
                <w:rFonts w:ascii="宋体" w:hAnsi="宋体" w:cs="宋体"/>
                <w:sz w:val="24"/>
                <w:szCs w:val="24"/>
              </w:rPr>
            </w:pPr>
            <w:r>
              <w:rPr>
                <w:rFonts w:hint="eastAsia" w:ascii="宋体" w:hAnsi="宋体" w:cs="宋体"/>
                <w:spacing w:val="20"/>
                <w:sz w:val="24"/>
                <w:szCs w:val="24"/>
                <w:lang w:bidi="ar"/>
              </w:rPr>
              <w:t xml:space="preserve">7座商务车</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ascii="宋体" w:hAnsi="宋体" w:cs="宋体"/>
                <w:szCs w:val="24"/>
              </w:rPr>
            </w:pPr>
            <w:r>
              <w:rPr>
                <w:rFonts w:hint="eastAsia" w:ascii="宋体" w:hAnsi="宋体" w:cs="宋体"/>
                <w:szCs w:val="24"/>
                <w:lang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ascii="宋体" w:hAnsi="宋体" w:cs="宋体"/>
                <w:szCs w:val="24"/>
              </w:rPr>
            </w:pPr>
            <w:r>
              <w:rPr>
                <w:rFonts w:hint="eastAsia" w:ascii="宋体" w:hAnsi="宋体" w:cs="宋体"/>
                <w:szCs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ascii="宋体" w:hAnsi="宋体" w:cs="宋体"/>
                <w:szCs w:val="24"/>
              </w:rPr>
            </w:pPr>
            <w:r>
              <w:rPr>
                <w:rFonts w:hint="eastAsia" w:ascii="宋体" w:hAnsi="宋体" w:cs="宋体"/>
                <w:szCs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rPr>
                <w:rFonts w:ascii="宋体" w:hAnsi="宋体" w:cs="宋体"/>
                <w:szCs w:val="24"/>
              </w:rPr>
            </w:pPr>
            <w:r>
              <w:rPr>
                <w:rFonts w:hint="eastAsia" w:ascii="宋体" w:hAnsi="宋体" w:cs="宋体"/>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rPr>
                <w:rFonts w:ascii="宋体" w:hAnsi="宋体" w:cs="宋体"/>
                <w:szCs w:val="24"/>
              </w:rPr>
            </w:pPr>
            <w:r>
              <w:rPr>
                <w:rFonts w:hint="eastAsia" w:ascii="宋体" w:hAnsi="宋体" w:cs="宋体"/>
                <w:lang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rPr>
                <w:rFonts w:ascii="宋体" w:hAnsi="宋体" w:cs="宋体"/>
                <w:szCs w:val="24"/>
              </w:rPr>
            </w:pPr>
            <w:r>
              <w:rPr>
                <w:rFonts w:hint="eastAsia" w:ascii="宋体" w:hAnsi="宋体" w:cs="宋体"/>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rPr>
                <w:rFonts w:ascii="宋体" w:hAnsi="宋体" w:cs="宋体"/>
                <w:szCs w:val="24"/>
              </w:rPr>
            </w:pPr>
            <w:r>
              <w:rPr>
                <w:rFonts w:hint="eastAsia" w:ascii="宋体" w:hAnsi="宋体" w:cs="宋体"/>
                <w:lang w:bidi="ar"/>
              </w:rPr>
              <w:t xml:space="preserve">700</w:t>
            </w:r>
            <w:r/>
          </w:p>
        </w:tc>
        <w:tc>
          <w:tcPr>
            <w:shd w:val="clear" w:color="auto" w:fill="auto"/>
            <w:tcBorders>
              <w:top w:val="single" w:color="auto" w:sz="4" w:space="0"/>
              <w:left w:val="single" w:color="000000" w:sz="4" w:space="0"/>
              <w:bottom w:val="single" w:color="auto" w:sz="4" w:space="0"/>
              <w:right w:val="single" w:color="auto" w:sz="4" w:space="0"/>
            </w:tcBorders>
            <w:tcW w:w="1061" w:type="dxa"/>
            <w:vAlign w:val="center"/>
            <w:textDirection w:val="lrTb"/>
            <w:noWrap w:val="false"/>
          </w:tcPr>
          <w:p>
            <w:pPr>
              <w:jc w:val="center"/>
              <w:rPr>
                <w:rFonts w:ascii="宋体" w:hAnsi="宋体" w:cs="宋体"/>
              </w:rPr>
            </w:pPr>
            <w:r>
              <w:rPr>
                <w:rFonts w:hint="eastAsia" w:ascii="宋体" w:hAnsi="宋体" w:cs="宋体"/>
                <w:lang w:bidi="ar"/>
              </w:rPr>
              <w:t xml:space="preserve">800</w:t>
            </w:r>
            <w:r/>
          </w:p>
        </w:tc>
      </w:tr>
      <w:tr>
        <w:trPr>
          <w:jc w:val="center"/>
          <w:trHeight w:val="1307" w:hRule="exact"/>
        </w:trPr>
        <w:tc>
          <w:tcPr>
            <w:shd w:val="clear" w:color="auto" w:fill="auto"/>
            <w:tcBorders>
              <w:top w:val="single" w:color="auto" w:sz="4" w:space="0"/>
              <w:left w:val="single" w:color="000000" w:sz="4" w:space="0"/>
              <w:bottom w:val="single" w:color="auto" w:sz="4" w:space="0"/>
              <w:right w:val="single" w:color="000000" w:sz="4" w:space="0"/>
            </w:tcBorders>
            <w:tcW w:w="69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shd w:val="clear" w:color="auto" w:fill="auto"/>
            <w:tcBorders>
              <w:top w:val="single" w:color="000000" w:sz="4" w:space="0"/>
              <w:left w:val="single" w:color="000000" w:sz="4" w:space="0"/>
              <w:bottom w:val="single" w:color="auto" w:sz="4" w:space="0"/>
              <w:right w:val="single" w:color="000000" w:sz="4" w:space="0"/>
            </w:tcBorders>
            <w:tcW w:w="1232" w:type="dxa"/>
            <w:vAlign w:val="center"/>
            <w:textDirection w:val="lrTb"/>
            <w:noWrap w:val="false"/>
          </w:tcPr>
          <w:p>
            <w:pPr>
              <w:jc w:val="center"/>
              <w:widowControl/>
              <w:rPr>
                <w:rFonts w:ascii="宋体" w:hAnsi="宋体" w:cs="宋体"/>
                <w:spacing w:val="20"/>
                <w:sz w:val="24"/>
                <w:szCs w:val="24"/>
              </w:rPr>
            </w:pPr>
            <w:r>
              <w:rPr>
                <w:rFonts w:hint="eastAsia" w:ascii="宋体" w:hAnsi="宋体" w:cs="宋体"/>
                <w:spacing w:val="20"/>
                <w:sz w:val="24"/>
                <w:szCs w:val="24"/>
                <w:lang w:bidi="ar"/>
              </w:rPr>
              <w:t xml:space="preserve">13—17座中型客车</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ascii="宋体" w:hAnsi="宋体" w:cs="宋体"/>
                <w:szCs w:val="24"/>
              </w:rPr>
            </w:pPr>
            <w:r>
              <w:rPr>
                <w:rFonts w:hint="eastAsia" w:ascii="宋体" w:hAnsi="宋体" w:cs="宋体"/>
                <w:szCs w:val="24"/>
                <w:lang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ascii="宋体" w:hAnsi="宋体" w:cs="宋体"/>
                <w:szCs w:val="24"/>
              </w:rPr>
            </w:pPr>
            <w:r>
              <w:rPr>
                <w:rFonts w:hint="eastAsia" w:ascii="宋体" w:hAnsi="宋体" w:cs="宋体"/>
                <w:szCs w:val="24"/>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ascii="宋体" w:hAnsi="宋体" w:cs="宋体"/>
                <w:szCs w:val="24"/>
              </w:rPr>
            </w:pPr>
            <w:r>
              <w:rPr>
                <w:rFonts w:hint="eastAsia" w:ascii="宋体" w:hAnsi="宋体" w:cs="宋体"/>
                <w:szCs w:val="24"/>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rPr>
                <w:rFonts w:ascii="宋体" w:hAnsi="宋体" w:cs="宋体"/>
              </w:rPr>
            </w:pPr>
            <w:r>
              <w:rPr>
                <w:rFonts w:hint="eastAsia" w:ascii="宋体" w:hAnsi="宋体" w:cs="宋体"/>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rPr>
                <w:rFonts w:ascii="宋体" w:hAnsi="宋体" w:cs="宋体"/>
              </w:rPr>
            </w:pPr>
            <w:r>
              <w:rPr>
                <w:rFonts w:hint="eastAsia" w:ascii="宋体" w:hAnsi="宋体" w:cs="宋体"/>
                <w:lang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rPr>
                <w:rFonts w:ascii="宋体" w:hAnsi="宋体" w:cs="宋体"/>
              </w:rPr>
            </w:pPr>
            <w:r>
              <w:rPr>
                <w:rFonts w:hint="eastAsia" w:ascii="宋体" w:hAnsi="宋体" w:cs="宋体"/>
                <w:lang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rPr>
                <w:rFonts w:ascii="宋体" w:hAnsi="宋体" w:cs="宋体"/>
              </w:rPr>
            </w:pPr>
            <w:r>
              <w:rPr>
                <w:rFonts w:hint="eastAsia" w:ascii="宋体" w:hAnsi="宋体" w:cs="宋体"/>
                <w:lang w:bidi="ar"/>
              </w:rPr>
              <w:t xml:space="preserve">950</w:t>
            </w:r>
            <w:r/>
          </w:p>
        </w:tc>
        <w:tc>
          <w:tcPr>
            <w:shd w:val="clear" w:color="auto" w:fill="auto"/>
            <w:tcBorders>
              <w:top w:val="none" w:color="000000" w:sz="4" w:space="0"/>
              <w:left w:val="single" w:color="000000" w:sz="4" w:space="0"/>
              <w:bottom w:val="single" w:color="auto" w:sz="4" w:space="0"/>
              <w:right w:val="single" w:color="auto" w:sz="4" w:space="0"/>
            </w:tcBorders>
            <w:tcW w:w="1061" w:type="dxa"/>
            <w:vAlign w:val="center"/>
            <w:textDirection w:val="lrTb"/>
            <w:noWrap w:val="false"/>
          </w:tcPr>
          <w:p>
            <w:pPr>
              <w:pStyle w:val="717"/>
              <w:jc w:val="center"/>
              <w:spacing w:before="0" w:beforeAutospacing="0" w:after="0" w:afterAutospacing="0"/>
            </w:pPr>
            <w:r>
              <w:rPr>
                <w:rFonts w:hint="eastAsia"/>
                <w:szCs w:val="21"/>
                <w:lang w:bidi="ar"/>
              </w:rPr>
              <w:t xml:space="preserve">1050</w:t>
            </w:r>
            <w:r/>
          </w:p>
        </w:tc>
      </w:tr>
      <w:tr>
        <w:trPr>
          <w:jc w:val="center"/>
          <w:trHeight w:val="1241" w:hRule="exact"/>
        </w:trPr>
        <w:tc>
          <w:tcPr>
            <w:shd w:val="clear" w:color="auto" w:fill="auto"/>
            <w:tcBorders>
              <w:top w:val="single" w:color="auto" w:sz="4" w:space="0"/>
              <w:left w:val="single" w:color="000000" w:sz="4" w:space="0"/>
              <w:bottom w:val="single" w:color="auto" w:sz="4" w:space="0"/>
              <w:right w:val="single" w:color="000000" w:sz="4" w:space="0"/>
            </w:tcBorders>
            <w:tcW w:w="69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w:t>
            </w:r>
            <w:r/>
          </w:p>
        </w:tc>
        <w:tc>
          <w:tcPr>
            <w:shd w:val="clear" w:color="auto" w:fill="auto"/>
            <w:tcBorders>
              <w:top w:val="single" w:color="auto" w:sz="4" w:space="0"/>
              <w:left w:val="single" w:color="000000" w:sz="4" w:space="0"/>
              <w:bottom w:val="single" w:color="auto" w:sz="4" w:space="0"/>
              <w:right w:val="single" w:color="000000" w:sz="4" w:space="0"/>
            </w:tcBorders>
            <w:tcW w:w="1232" w:type="dxa"/>
            <w:vAlign w:val="center"/>
            <w:textDirection w:val="lrTb"/>
            <w:noWrap w:val="false"/>
          </w:tcPr>
          <w:p>
            <w:pPr>
              <w:jc w:val="center"/>
              <w:widowControl/>
              <w:rPr>
                <w:rFonts w:ascii="宋体" w:hAnsi="宋体" w:cs="宋体"/>
                <w:b/>
                <w:sz w:val="24"/>
                <w:szCs w:val="24"/>
              </w:rPr>
            </w:pPr>
            <w:r>
              <w:rPr>
                <w:rFonts w:hint="eastAsia" w:ascii="宋体" w:hAnsi="宋体" w:cs="宋体"/>
                <w:spacing w:val="20"/>
                <w:sz w:val="24"/>
                <w:szCs w:val="24"/>
                <w:lang w:bidi="ar"/>
              </w:rPr>
              <w:t xml:space="preserve">19—35座大客车</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ascii="宋体" w:hAnsi="宋体" w:cs="宋体"/>
                <w:szCs w:val="24"/>
              </w:rPr>
            </w:pPr>
            <w:r>
              <w:rPr>
                <w:rFonts w:hint="eastAsia" w:ascii="宋体" w:hAnsi="宋体" w:cs="宋体"/>
                <w:szCs w:val="24"/>
                <w:lang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ascii="宋体" w:hAnsi="宋体" w:cs="宋体"/>
                <w:szCs w:val="24"/>
              </w:rPr>
            </w:pPr>
            <w:r>
              <w:rPr>
                <w:rFonts w:hint="eastAsia" w:ascii="宋体" w:hAnsi="宋体" w:cs="宋体"/>
                <w:szCs w:val="24"/>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ascii="宋体" w:hAnsi="宋体" w:cs="宋体"/>
                <w:szCs w:val="24"/>
              </w:rPr>
            </w:pPr>
            <w:r>
              <w:rPr>
                <w:rFonts w:hint="eastAsia" w:ascii="宋体" w:hAnsi="宋体" w:cs="宋体"/>
                <w:szCs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rPr>
                <w:rFonts w:ascii="宋体" w:hAnsi="宋体" w:cs="宋体"/>
                <w:szCs w:val="24"/>
              </w:rPr>
            </w:pPr>
            <w:r>
              <w:rPr>
                <w:rFonts w:hint="eastAsia" w:ascii="宋体" w:hAnsi="宋体" w:cs="宋体"/>
                <w:lang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rPr>
                <w:rFonts w:ascii="宋体" w:hAnsi="宋体" w:cs="宋体"/>
                <w:szCs w:val="24"/>
              </w:rPr>
            </w:pPr>
            <w:r>
              <w:rPr>
                <w:rFonts w:hint="eastAsia" w:ascii="宋体" w:hAnsi="宋体" w:cs="宋体"/>
                <w:lang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rPr>
                <w:rFonts w:ascii="宋体" w:hAnsi="宋体" w:cs="宋体"/>
                <w:szCs w:val="24"/>
              </w:rPr>
            </w:pPr>
            <w:r>
              <w:rPr>
                <w:rFonts w:hint="eastAsia" w:ascii="宋体" w:hAnsi="宋体" w:cs="宋体"/>
                <w:lang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rPr>
                <w:rFonts w:ascii="宋体" w:hAnsi="宋体" w:cs="宋体"/>
                <w:szCs w:val="24"/>
              </w:rPr>
            </w:pPr>
            <w:r>
              <w:rPr>
                <w:rFonts w:hint="eastAsia" w:ascii="宋体" w:hAnsi="宋体" w:cs="宋体"/>
                <w:lang w:bidi="ar"/>
              </w:rPr>
              <w:t xml:space="preserve">1200</w:t>
            </w:r>
            <w:r/>
          </w:p>
        </w:tc>
        <w:tc>
          <w:tcPr>
            <w:shd w:val="clear" w:color="auto" w:fill="auto"/>
            <w:tcBorders>
              <w:top w:val="none" w:color="000000" w:sz="4" w:space="0"/>
              <w:left w:val="single" w:color="000000" w:sz="4" w:space="0"/>
              <w:bottom w:val="single" w:color="auto" w:sz="4" w:space="0"/>
              <w:right w:val="single" w:color="auto" w:sz="4" w:space="0"/>
            </w:tcBorders>
            <w:tcW w:w="1061" w:type="dxa"/>
            <w:vAlign w:val="center"/>
            <w:textDirection w:val="lrTb"/>
            <w:noWrap w:val="false"/>
          </w:tcPr>
          <w:p>
            <w:pPr>
              <w:jc w:val="center"/>
              <w:rPr>
                <w:rFonts w:ascii="宋体" w:hAnsi="宋体" w:cs="宋体"/>
              </w:rPr>
            </w:pPr>
            <w:r>
              <w:rPr>
                <w:rFonts w:hint="eastAsia" w:ascii="宋体" w:hAnsi="宋体" w:cs="宋体"/>
                <w:lang w:bidi="ar"/>
              </w:rPr>
              <w:t xml:space="preserve">1500</w:t>
            </w:r>
            <w:r/>
          </w:p>
        </w:tc>
      </w:tr>
      <w:tr>
        <w:trPr>
          <w:jc w:val="center"/>
          <w:trHeight w:val="1290" w:hRule="exact"/>
        </w:trPr>
        <w:tc>
          <w:tcPr>
            <w:shd w:val="clear" w:color="auto" w:fill="auto"/>
            <w:tcBorders>
              <w:top w:val="single" w:color="auto" w:sz="4" w:space="0"/>
              <w:left w:val="single" w:color="000000" w:sz="4" w:space="0"/>
              <w:bottom w:val="single" w:color="auto" w:sz="4" w:space="0"/>
              <w:right w:val="single" w:color="000000" w:sz="4" w:space="0"/>
            </w:tcBorders>
            <w:tcW w:w="69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c>
          <w:tcPr>
            <w:shd w:val="clear" w:color="auto" w:fill="auto"/>
            <w:tcBorders>
              <w:top w:val="single" w:color="auto" w:sz="4" w:space="0"/>
              <w:left w:val="single" w:color="000000" w:sz="4" w:space="0"/>
              <w:bottom w:val="single" w:color="auto" w:sz="4" w:space="0"/>
              <w:right w:val="single" w:color="000000" w:sz="4" w:space="0"/>
            </w:tcBorders>
            <w:tcW w:w="1232" w:type="dxa"/>
            <w:vAlign w:val="center"/>
            <w:textDirection w:val="lrTb"/>
            <w:noWrap w:val="false"/>
          </w:tcPr>
          <w:p>
            <w:pPr>
              <w:jc w:val="center"/>
              <w:widowControl/>
              <w:rPr>
                <w:rFonts w:ascii="宋体" w:hAnsi="宋体" w:cs="宋体"/>
                <w:b/>
                <w:sz w:val="24"/>
                <w:szCs w:val="24"/>
              </w:rPr>
            </w:pPr>
            <w:r>
              <w:rPr>
                <w:rFonts w:hint="eastAsia" w:ascii="宋体" w:hAnsi="宋体" w:cs="宋体"/>
                <w:spacing w:val="20"/>
                <w:sz w:val="24"/>
                <w:szCs w:val="24"/>
                <w:lang w:bidi="ar"/>
              </w:rPr>
              <w:t xml:space="preserve">45座及以上大客车</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ascii="宋体" w:hAnsi="宋体" w:cs="宋体"/>
                <w:szCs w:val="24"/>
              </w:rPr>
            </w:pPr>
            <w:r>
              <w:rPr>
                <w:rFonts w:hint="eastAsia" w:ascii="宋体" w:hAnsi="宋体" w:cs="宋体"/>
                <w:szCs w:val="24"/>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ascii="宋体" w:hAnsi="宋体" w:cs="宋体"/>
                <w:szCs w:val="24"/>
              </w:rPr>
            </w:pPr>
            <w:r>
              <w:rPr>
                <w:rFonts w:hint="eastAsia" w:ascii="宋体" w:hAnsi="宋体" w:cs="宋体"/>
                <w:szCs w:val="24"/>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ascii="宋体" w:hAnsi="宋体" w:cs="宋体"/>
                <w:szCs w:val="24"/>
              </w:rPr>
            </w:pPr>
            <w:r>
              <w:rPr>
                <w:rFonts w:hint="eastAsia" w:ascii="宋体" w:hAnsi="宋体" w:cs="宋体"/>
                <w:szCs w:val="24"/>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rPr>
                <w:rFonts w:ascii="宋体" w:hAnsi="宋体" w:cs="宋体"/>
                <w:szCs w:val="24"/>
              </w:rPr>
            </w:pPr>
            <w:r>
              <w:rPr>
                <w:rFonts w:hint="eastAsia" w:ascii="宋体" w:hAnsi="宋体" w:cs="宋体"/>
                <w:lang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rPr>
                <w:rFonts w:ascii="宋体" w:hAnsi="宋体" w:cs="宋体"/>
                <w:szCs w:val="24"/>
              </w:rPr>
            </w:pPr>
            <w:r>
              <w:rPr>
                <w:rFonts w:hint="eastAsia" w:ascii="宋体" w:hAnsi="宋体" w:cs="宋体"/>
                <w:lang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rPr>
                <w:rFonts w:ascii="宋体" w:hAnsi="宋体" w:cs="宋体"/>
                <w:szCs w:val="24"/>
              </w:rPr>
            </w:pPr>
            <w:r>
              <w:rPr>
                <w:rFonts w:hint="eastAsia" w:ascii="宋体" w:hAnsi="宋体" w:cs="宋体"/>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rPr>
                <w:rFonts w:ascii="宋体" w:hAnsi="宋体" w:cs="宋体"/>
                <w:szCs w:val="24"/>
              </w:rPr>
            </w:pPr>
            <w:r>
              <w:rPr>
                <w:rFonts w:hint="eastAsia" w:ascii="宋体" w:hAnsi="宋体" w:cs="宋体"/>
                <w:lang w:bidi="ar"/>
              </w:rPr>
              <w:t xml:space="preserve">1500</w:t>
            </w:r>
            <w:r/>
          </w:p>
        </w:tc>
        <w:tc>
          <w:tcPr>
            <w:shd w:val="clear" w:color="auto" w:fill="auto"/>
            <w:tcBorders>
              <w:top w:val="none" w:color="000000" w:sz="4" w:space="0"/>
              <w:left w:val="single" w:color="000000" w:sz="4" w:space="0"/>
              <w:bottom w:val="single" w:color="auto" w:sz="4" w:space="0"/>
              <w:right w:val="single" w:color="auto" w:sz="4" w:space="0"/>
            </w:tcBorders>
            <w:tcW w:w="1061" w:type="dxa"/>
            <w:vAlign w:val="center"/>
            <w:textDirection w:val="lrTb"/>
            <w:noWrap w:val="false"/>
          </w:tcPr>
          <w:p>
            <w:pPr>
              <w:jc w:val="center"/>
            </w:pPr>
            <w:r>
              <w:rPr>
                <w:rFonts w:hint="eastAsia" w:ascii="宋体" w:hAnsi="宋体" w:cs="宋体"/>
                <w:lang w:bidi="ar"/>
              </w:rPr>
              <w:t xml:space="preserve">1700</w:t>
            </w:r>
            <w:r/>
          </w:p>
        </w:tc>
      </w:tr>
      <w:tr>
        <w:trPr>
          <w:jc w:val="center"/>
          <w:trHeight w:val="1318" w:hRule="exact"/>
        </w:trPr>
        <w:tc>
          <w:tcPr>
            <w:shd w:val="clear" w:color="auto" w:fill="auto"/>
            <w:tcBorders>
              <w:top w:val="single" w:color="auto"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w:t>
            </w:r>
            <w:r/>
          </w:p>
        </w:tc>
        <w:tc>
          <w:tcPr>
            <w:shd w:val="clear" w:color="auto" w:fill="auto"/>
            <w:tcBorders>
              <w:top w:val="single" w:color="auto" w:sz="4" w:space="0"/>
              <w:left w:val="single" w:color="000000" w:sz="4" w:space="0"/>
              <w:bottom w:val="single" w:color="000000" w:sz="4" w:space="0"/>
              <w:right w:val="single" w:color="000000" w:sz="4" w:space="0"/>
            </w:tcBorders>
            <w:tcW w:w="1232" w:type="dxa"/>
            <w:vAlign w:val="center"/>
            <w:textDirection w:val="lrTb"/>
            <w:noWrap w:val="false"/>
          </w:tcPr>
          <w:p>
            <w:pPr>
              <w:jc w:val="center"/>
              <w:widowControl/>
              <w:rPr>
                <w:rFonts w:ascii="宋体" w:hAnsi="宋体" w:cs="宋体"/>
                <w:spacing w:val="20"/>
                <w:sz w:val="24"/>
                <w:szCs w:val="24"/>
              </w:rPr>
            </w:pPr>
            <w:r>
              <w:rPr>
                <w:rFonts w:hint="eastAsia" w:ascii="宋体" w:hAnsi="宋体" w:cs="宋体"/>
                <w:spacing w:val="20"/>
                <w:sz w:val="24"/>
                <w:szCs w:val="24"/>
                <w:lang w:bidi="ar"/>
              </w:rPr>
              <w:t xml:space="preserve">新能源5座轿车</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ascii="宋体" w:hAnsi="宋体" w:cs="宋体"/>
                <w:szCs w:val="24"/>
              </w:rPr>
            </w:pPr>
            <w:r>
              <w:rPr>
                <w:rFonts w:hint="eastAsia" w:ascii="宋体" w:hAnsi="宋体" w:cs="宋体"/>
                <w:szCs w:val="24"/>
                <w:lang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ascii="宋体" w:hAnsi="宋体" w:cs="宋体"/>
                <w:szCs w:val="24"/>
              </w:rPr>
            </w:pPr>
            <w:r>
              <w:rPr>
                <w:rFonts w:hint="eastAsia" w:ascii="宋体" w:hAnsi="宋体" w:cs="宋体"/>
                <w:szCs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ascii="宋体" w:hAnsi="宋体" w:cs="宋体"/>
                <w:szCs w:val="24"/>
              </w:rPr>
            </w:pPr>
            <w:r>
              <w:rPr>
                <w:rFonts w:hint="eastAsia" w:ascii="宋体" w:hAnsi="宋体" w:cs="宋体"/>
                <w:szCs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rPr>
                <w:rFonts w:ascii="宋体" w:hAnsi="宋体" w:cs="宋体"/>
              </w:rPr>
            </w:pPr>
            <w:r>
              <w:rPr>
                <w:rFonts w:hint="eastAsia" w:ascii="宋体" w:hAnsi="宋体" w:cs="宋体"/>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rPr>
                <w:rFonts w:ascii="宋体" w:hAnsi="宋体" w:cs="宋体"/>
              </w:rPr>
            </w:pPr>
            <w:r>
              <w:rPr>
                <w:rFonts w:hint="eastAsia" w:ascii="宋体" w:hAnsi="宋体" w:cs="宋体"/>
                <w:lang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rPr>
                <w:rFonts w:ascii="宋体" w:hAnsi="宋体" w:cs="宋体"/>
              </w:rPr>
            </w:pPr>
            <w:r>
              <w:rPr>
                <w:rFonts w:hint="eastAsia" w:ascii="宋体" w:hAnsi="宋体" w:cs="宋体"/>
                <w:lang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rPr>
                <w:rFonts w:ascii="宋体" w:hAnsi="宋体" w:cs="宋体"/>
              </w:rPr>
            </w:pPr>
            <w:r>
              <w:rPr>
                <w:rFonts w:hint="eastAsia" w:ascii="宋体" w:hAnsi="宋体" w:cs="宋体"/>
                <w:lang w:bidi="ar"/>
              </w:rPr>
              <w:t xml:space="preserve">500</w:t>
            </w:r>
            <w:r/>
          </w:p>
        </w:tc>
        <w:tc>
          <w:tcPr>
            <w:shd w:val="clear" w:color="auto" w:fill="auto"/>
            <w:tcBorders>
              <w:top w:val="none" w:color="000000" w:sz="4" w:space="0"/>
              <w:left w:val="single" w:color="000000" w:sz="4" w:space="0"/>
              <w:bottom w:val="single" w:color="auto" w:sz="4" w:space="0"/>
              <w:right w:val="single" w:color="auto" w:sz="4" w:space="0"/>
            </w:tcBorders>
            <w:tcW w:w="1061" w:type="dxa"/>
            <w:vAlign w:val="center"/>
            <w:textDirection w:val="lrTb"/>
            <w:noWrap w:val="false"/>
          </w:tcPr>
          <w:p>
            <w:pPr>
              <w:jc w:val="center"/>
              <w:rPr>
                <w:rFonts w:ascii="宋体" w:hAnsi="宋体" w:cs="宋体"/>
              </w:rPr>
            </w:pPr>
            <w:r>
              <w:rPr>
                <w:rFonts w:ascii="宋体" w:hAnsi="宋体" w:cs="宋体"/>
              </w:rPr>
            </w:r>
            <w:r/>
          </w:p>
          <w:p>
            <w:pPr>
              <w:jc w:val="center"/>
              <w:rPr>
                <w:rFonts w:ascii="宋体" w:hAnsi="宋体" w:cs="宋体"/>
              </w:rPr>
            </w:pPr>
            <w:r>
              <w:rPr>
                <w:rFonts w:hint="eastAsia" w:ascii="宋体" w:hAnsi="宋体" w:cs="宋体"/>
                <w:szCs w:val="21"/>
                <w:lang w:bidi="ar"/>
              </w:rPr>
              <w:t xml:space="preserve">650</w:t>
            </w:r>
            <w:r/>
          </w:p>
          <w:p>
            <w:pPr>
              <w:jc w:val="center"/>
              <w:rPr>
                <w:rFonts w:ascii="宋体" w:hAnsi="宋体" w:cs="宋体"/>
              </w:rPr>
            </w:pPr>
            <w:r>
              <w:rPr>
                <w:rFonts w:ascii="宋体" w:hAnsi="宋体" w:cs="宋体"/>
              </w:rPr>
            </w:r>
            <w:bookmarkEnd w:id="213"/>
            <w:r/>
          </w:p>
        </w:tc>
      </w:tr>
    </w:tbl>
    <w:p>
      <w:pPr>
        <w:ind w:firstLine="482"/>
        <w:jc w:val="left"/>
        <w:spacing w:line="440" w:lineRule="exact"/>
        <w:rPr>
          <w:rFonts w:ascii="宋体" w:hAnsi="宋体" w:cs="宋体"/>
          <w:b/>
          <w:bCs/>
          <w:sz w:val="24"/>
          <w:szCs w:val="24"/>
          <w:lang w:bidi="ar"/>
        </w:rPr>
      </w:pPr>
      <w:r>
        <w:rPr>
          <w:rFonts w:hint="eastAsia" w:ascii="宋体" w:hAnsi="宋体" w:cs="宋体"/>
          <w:b/>
          <w:bCs/>
          <w:sz w:val="24"/>
          <w:szCs w:val="24"/>
          <w:lang w:bidi="ar"/>
        </w:rPr>
        <w:t xml:space="preserve">注：上述费用结算时按照有利于采购人的租赁方式进行结算。</w:t>
      </w:r>
      <w:r/>
    </w:p>
    <w:p>
      <w:pPr>
        <w:spacing w:line="440" w:lineRule="exact"/>
        <w:rPr>
          <w:rFonts w:ascii="宋体" w:hAnsi="宋体" w:cs="宋体"/>
          <w:b/>
          <w:sz w:val="28"/>
          <w:szCs w:val="28"/>
        </w:rPr>
      </w:pPr>
      <w:r>
        <w:rPr>
          <w:rFonts w:hint="eastAsia" w:ascii="宋体" w:hAnsi="宋体" w:cs="宋体"/>
          <w:b/>
          <w:sz w:val="28"/>
          <w:szCs w:val="28"/>
          <w:lang w:bidi="ar"/>
        </w:rPr>
        <w:t xml:space="preserve">四、商务要求：</w:t>
      </w:r>
      <w:r/>
    </w:p>
    <w:p>
      <w:pPr>
        <w:ind w:firstLine="480"/>
        <w:jc w:val="left"/>
        <w:spacing w:line="440" w:lineRule="exact"/>
        <w:rPr>
          <w:rFonts w:ascii="宋体" w:hAnsi="宋体" w:cs="宋体"/>
          <w:sz w:val="24"/>
          <w:szCs w:val="24"/>
          <w:lang w:bidi="ar"/>
        </w:rPr>
      </w:pPr>
      <w:r>
        <w:rPr>
          <w:rFonts w:hint="eastAsia" w:ascii="宋体" w:hAnsi="宋体" w:cs="宋体"/>
          <w:sz w:val="24"/>
          <w:szCs w:val="24"/>
          <w:lang w:bidi="ar"/>
        </w:rPr>
        <w:t xml:space="preserve">1、保证能接受采购人的监督、检查。</w:t>
      </w:r>
      <w:r/>
    </w:p>
    <w:p>
      <w:pPr>
        <w:ind w:firstLine="480"/>
        <w:jc w:val="left"/>
        <w:spacing w:line="440" w:lineRule="exact"/>
        <w:rPr>
          <w:rFonts w:ascii="宋体" w:hAnsi="宋体" w:cs="宋体"/>
          <w:sz w:val="24"/>
          <w:szCs w:val="24"/>
          <w:lang w:bidi="ar"/>
        </w:rPr>
      </w:pPr>
      <w:r>
        <w:rPr>
          <w:rFonts w:hint="eastAsia" w:ascii="宋体" w:hAnsi="宋体" w:cs="宋体"/>
          <w:sz w:val="24"/>
          <w:szCs w:val="24"/>
          <w:lang w:bidi="ar"/>
        </w:rPr>
        <w:t xml:space="preserve">2、保证所提供的服务符合国家有关质量技术标准及相关法律、法规规定的要求。</w:t>
      </w:r>
      <w:r/>
    </w:p>
    <w:p>
      <w:pPr>
        <w:ind w:firstLine="480"/>
        <w:jc w:val="left"/>
        <w:spacing w:line="440" w:lineRule="exact"/>
        <w:rPr>
          <w:rFonts w:ascii="宋体" w:hAnsi="宋体" w:cs="宋体"/>
          <w:sz w:val="24"/>
          <w:szCs w:val="24"/>
          <w:lang w:bidi="ar"/>
        </w:rPr>
      </w:pPr>
      <w:r>
        <w:rPr>
          <w:rFonts w:hint="eastAsia" w:ascii="宋体" w:hAnsi="宋体" w:cs="宋体"/>
          <w:sz w:val="24"/>
          <w:szCs w:val="24"/>
          <w:lang w:bidi="ar"/>
        </w:rPr>
        <w:t xml:space="preserve">3、保证本项目采购人优先享受各项服务。</w:t>
      </w:r>
      <w:r/>
    </w:p>
    <w:p>
      <w:pPr>
        <w:ind w:firstLine="480"/>
        <w:jc w:val="left"/>
        <w:spacing w:line="440" w:lineRule="exact"/>
        <w:rPr>
          <w:rFonts w:ascii="宋体" w:hAnsi="宋体" w:cs="宋体"/>
          <w:sz w:val="24"/>
          <w:szCs w:val="24"/>
          <w:lang w:bidi="ar"/>
        </w:rPr>
      </w:pPr>
      <w:r>
        <w:rPr>
          <w:rFonts w:hint="eastAsia" w:ascii="宋体" w:hAnsi="宋体" w:cs="宋体"/>
          <w:sz w:val="24"/>
          <w:szCs w:val="24"/>
          <w:lang w:bidi="ar"/>
        </w:rPr>
        <w:t xml:space="preserve">4、针对本项目成立服务小组，指派专人负责日常管理及联络工作。</w:t>
      </w:r>
      <w:r/>
    </w:p>
    <w:p>
      <w:pPr>
        <w:ind w:firstLine="480"/>
        <w:jc w:val="left"/>
        <w:spacing w:line="440" w:lineRule="exact"/>
        <w:rPr>
          <w:rFonts w:ascii="宋体" w:hAnsi="宋体" w:cs="宋体"/>
          <w:sz w:val="24"/>
          <w:szCs w:val="24"/>
          <w:lang w:bidi="ar"/>
        </w:rPr>
      </w:pPr>
      <w:r>
        <w:rPr>
          <w:rFonts w:hint="eastAsia" w:ascii="宋体" w:hAnsi="宋体" w:cs="宋体"/>
          <w:sz w:val="24"/>
          <w:szCs w:val="24"/>
          <w:lang w:bidi="ar"/>
        </w:rPr>
        <w:t xml:space="preserve">5、建立采购人投诉及处理台账，记录投诉内容及协调处理方法，有效督促严格履约。</w:t>
      </w:r>
      <w:r/>
    </w:p>
    <w:p>
      <w:pPr>
        <w:ind w:firstLine="480"/>
        <w:jc w:val="left"/>
        <w:spacing w:line="440" w:lineRule="exact"/>
        <w:rPr>
          <w:rFonts w:ascii="宋体" w:hAnsi="宋体" w:cs="宋体"/>
          <w:sz w:val="24"/>
          <w:szCs w:val="24"/>
          <w:lang w:bidi="ar"/>
        </w:rPr>
      </w:pPr>
      <w:r>
        <w:rPr>
          <w:rFonts w:hint="eastAsia" w:ascii="宋体" w:hAnsi="宋体" w:cs="宋体"/>
          <w:sz w:val="24"/>
          <w:szCs w:val="24"/>
          <w:lang w:bidi="ar"/>
        </w:rPr>
        <w:t xml:space="preserve">6、提供技术服务热线（7*24小时），负责解答采购人遇到的问题。</w:t>
      </w:r>
      <w:r/>
    </w:p>
    <w:p>
      <w:pPr>
        <w:ind w:firstLine="480"/>
        <w:jc w:val="left"/>
        <w:spacing w:line="440" w:lineRule="exact"/>
        <w:rPr>
          <w:rFonts w:ascii="宋体" w:hAnsi="宋体" w:cs="宋体"/>
          <w:sz w:val="24"/>
          <w:szCs w:val="24"/>
          <w:lang w:bidi="ar"/>
        </w:rPr>
      </w:pPr>
      <w:r>
        <w:rPr>
          <w:rFonts w:hint="eastAsia" w:ascii="宋体" w:hAnsi="宋体" w:cs="宋体"/>
          <w:sz w:val="24"/>
          <w:szCs w:val="24"/>
          <w:lang w:bidi="ar"/>
        </w:rPr>
        <w:t xml:space="preserve">7、协助有关部门做好廉政工作，防止腐败现象的出现。</w:t>
      </w:r>
      <w:r/>
    </w:p>
    <w:p>
      <w:pPr>
        <w:ind w:firstLine="480"/>
        <w:jc w:val="left"/>
        <w:spacing w:line="440" w:lineRule="exact"/>
        <w:rPr>
          <w:rFonts w:ascii="宋体" w:hAnsi="宋体" w:cs="宋体"/>
          <w:sz w:val="24"/>
          <w:szCs w:val="24"/>
          <w:lang w:bidi="ar"/>
        </w:rPr>
      </w:pPr>
      <w:r>
        <w:rPr>
          <w:rFonts w:hint="eastAsia" w:ascii="宋体" w:hAnsi="宋体" w:cs="宋体"/>
          <w:sz w:val="24"/>
          <w:szCs w:val="24"/>
          <w:lang w:bidi="ar"/>
        </w:rPr>
        <w:t xml:space="preserve">8、投标人提供的其他服务承诺。</w:t>
      </w:r>
      <w:r/>
    </w:p>
    <w:p>
      <w:pPr>
        <w:ind w:firstLine="480"/>
        <w:jc w:val="left"/>
        <w:spacing w:line="440" w:lineRule="exact"/>
        <w:rPr>
          <w:rFonts w:ascii="宋体" w:hAnsi="宋体" w:cs="宋体"/>
          <w:sz w:val="24"/>
          <w:szCs w:val="24"/>
          <w:lang w:bidi="ar"/>
        </w:rPr>
      </w:pPr>
      <w:r>
        <w:rPr>
          <w:rFonts w:hint="eastAsia" w:ascii="宋体" w:hAnsi="宋体" w:cs="宋体"/>
          <w:sz w:val="24"/>
          <w:szCs w:val="24"/>
          <w:lang w:bidi="ar"/>
        </w:rPr>
        <w:t xml:space="preserve">9、投标人应按照管理相关规定，主动配合采购人和各级财政部门的管理，按照相关的要求实施，并应做好信息维护、履约管理等工作。</w:t>
      </w:r>
      <w:r/>
    </w:p>
    <w:p>
      <w:pPr>
        <w:ind w:firstLine="480"/>
        <w:jc w:val="left"/>
        <w:spacing w:line="440" w:lineRule="exact"/>
        <w:rPr>
          <w:rFonts w:ascii="宋体" w:hAnsi="宋体" w:cs="宋体"/>
          <w:b/>
          <w:sz w:val="28"/>
          <w:szCs w:val="28"/>
          <w:lang w:bidi="ar"/>
        </w:rPr>
      </w:pPr>
      <w:r>
        <w:rPr>
          <w:rFonts w:hint="eastAsia" w:ascii="宋体" w:hAnsi="宋体" w:cs="宋体"/>
          <w:sz w:val="24"/>
          <w:szCs w:val="24"/>
          <w:lang w:bidi="ar"/>
        </w:rPr>
        <w:t xml:space="preserve">10、验收：采购人组织验收，符合采购文件和投标文件要求和承诺书承诺方可验收。</w:t>
      </w:r>
      <w:r/>
    </w:p>
    <w:p>
      <w:pPr>
        <w:spacing w:line="440" w:lineRule="exact"/>
        <w:rPr>
          <w:rFonts w:ascii="宋体" w:hAnsi="宋体" w:cs="宋体"/>
          <w:b/>
          <w:sz w:val="28"/>
          <w:szCs w:val="28"/>
        </w:rPr>
      </w:pPr>
      <w:r>
        <w:rPr>
          <w:rFonts w:hint="eastAsia" w:ascii="宋体" w:hAnsi="宋体" w:cs="宋体"/>
          <w:b/>
          <w:sz w:val="28"/>
          <w:szCs w:val="28"/>
          <w:lang w:bidi="ar"/>
        </w:rPr>
        <w:t xml:space="preserve">五、履约管理要求：</w:t>
      </w:r>
      <w:r/>
    </w:p>
    <w:p>
      <w:pPr>
        <w:ind w:firstLine="480"/>
        <w:jc w:val="left"/>
        <w:spacing w:line="440" w:lineRule="exact"/>
        <w:rPr>
          <w:rFonts w:ascii="宋体" w:hAnsi="宋体" w:cs="宋体"/>
          <w:sz w:val="24"/>
          <w:szCs w:val="24"/>
          <w:lang w:bidi="ar"/>
        </w:rPr>
      </w:pPr>
      <w:r>
        <w:rPr>
          <w:rFonts w:hint="eastAsia" w:ascii="宋体" w:hAnsi="宋体" w:cs="宋体"/>
          <w:sz w:val="24"/>
          <w:szCs w:val="24"/>
          <w:lang w:bidi="ar"/>
        </w:rPr>
        <w:t xml:space="preserve">1、管理形式</w:t>
      </w:r>
      <w:r/>
    </w:p>
    <w:p>
      <w:pPr>
        <w:ind w:firstLine="480"/>
        <w:jc w:val="left"/>
        <w:spacing w:line="440" w:lineRule="exact"/>
        <w:rPr>
          <w:rFonts w:ascii="宋体" w:hAnsi="宋体" w:cs="宋体"/>
          <w:sz w:val="24"/>
          <w:szCs w:val="24"/>
          <w:lang w:bidi="ar"/>
        </w:rPr>
      </w:pPr>
      <w:r>
        <w:rPr>
          <w:rFonts w:hint="eastAsia" w:ascii="宋体" w:hAnsi="宋体" w:cs="宋体"/>
          <w:sz w:val="24"/>
          <w:szCs w:val="24"/>
          <w:lang w:bidi="ar"/>
        </w:rPr>
        <w:t xml:space="preserve">采购人通过满意度调查、随机抽查、投诉举报处理等方式，对中标人开展履约及售后服务监督，检查和处理结果将在一定范围内公布。</w:t>
      </w:r>
      <w:r/>
    </w:p>
    <w:p>
      <w:pPr>
        <w:ind w:firstLine="480"/>
        <w:jc w:val="left"/>
        <w:spacing w:line="440" w:lineRule="exact"/>
        <w:rPr>
          <w:rFonts w:ascii="宋体" w:hAnsi="宋体" w:cs="宋体"/>
          <w:sz w:val="24"/>
          <w:szCs w:val="24"/>
          <w:lang w:bidi="ar"/>
        </w:rPr>
      </w:pPr>
      <w:r>
        <w:rPr>
          <w:rFonts w:hint="eastAsia" w:ascii="宋体" w:hAnsi="宋体" w:cs="宋体"/>
          <w:sz w:val="24"/>
          <w:szCs w:val="24"/>
          <w:lang w:bidi="ar"/>
        </w:rPr>
        <w:t xml:space="preserve">2、管理标准</w:t>
      </w:r>
      <w:r/>
    </w:p>
    <w:p>
      <w:pPr>
        <w:ind w:firstLine="480"/>
        <w:jc w:val="left"/>
        <w:spacing w:line="440" w:lineRule="exact"/>
        <w:rPr>
          <w:rFonts w:ascii="宋体" w:hAnsi="宋体" w:cs="宋体"/>
          <w:sz w:val="24"/>
          <w:szCs w:val="24"/>
          <w:lang w:bidi="ar"/>
        </w:rPr>
      </w:pPr>
      <w:r>
        <w:rPr>
          <w:rFonts w:hint="eastAsia" w:ascii="宋体" w:hAnsi="宋体" w:cs="宋体"/>
          <w:sz w:val="24"/>
          <w:szCs w:val="24"/>
          <w:lang w:bidi="ar"/>
        </w:rPr>
        <w:t xml:space="preserve">在监管检查中，如发现以下情形，视为不合格行为。采购人在核实情况后将对相关责任中标人予以处理： </w:t>
      </w:r>
      <w:r/>
    </w:p>
    <w:p>
      <w:pPr>
        <w:ind w:firstLine="720"/>
        <w:jc w:val="left"/>
        <w:spacing w:line="440" w:lineRule="exact"/>
        <w:rPr>
          <w:rFonts w:ascii="宋体" w:hAnsi="宋体" w:cs="宋体"/>
          <w:sz w:val="24"/>
          <w:szCs w:val="24"/>
          <w:lang w:bidi="ar"/>
        </w:rPr>
      </w:pPr>
      <w:r>
        <w:rPr>
          <w:rFonts w:hint="eastAsia" w:ascii="宋体" w:hAnsi="宋体" w:cs="宋体"/>
          <w:sz w:val="24"/>
          <w:szCs w:val="24"/>
          <w:lang w:bidi="ar"/>
        </w:rPr>
        <w:t xml:space="preserve">2.1服务不符合国家有关规定、投标承诺和招标文件规定。</w:t>
      </w:r>
      <w:r/>
    </w:p>
    <w:p>
      <w:pPr>
        <w:ind w:firstLine="720"/>
        <w:jc w:val="left"/>
        <w:spacing w:line="440" w:lineRule="exact"/>
        <w:rPr>
          <w:rFonts w:ascii="宋体" w:hAnsi="宋体" w:cs="宋体"/>
          <w:sz w:val="24"/>
          <w:szCs w:val="24"/>
          <w:lang w:bidi="ar"/>
        </w:rPr>
      </w:pPr>
      <w:r>
        <w:rPr>
          <w:rFonts w:hint="eastAsia" w:ascii="宋体" w:hAnsi="宋体" w:cs="宋体"/>
          <w:sz w:val="24"/>
          <w:szCs w:val="24"/>
          <w:lang w:bidi="ar"/>
        </w:rPr>
        <w:t xml:space="preserve">2.2无正当理由不按照承诺服务或提供售后服务。</w:t>
      </w:r>
      <w:r/>
    </w:p>
    <w:p>
      <w:pPr>
        <w:ind w:firstLine="720"/>
        <w:jc w:val="left"/>
        <w:spacing w:line="440" w:lineRule="exact"/>
        <w:rPr>
          <w:rFonts w:ascii="宋体" w:hAnsi="宋体" w:cs="宋体"/>
          <w:sz w:val="24"/>
          <w:szCs w:val="24"/>
          <w:lang w:bidi="ar"/>
        </w:rPr>
      </w:pPr>
      <w:r>
        <w:rPr>
          <w:rFonts w:hint="eastAsia" w:ascii="宋体" w:hAnsi="宋体" w:cs="宋体"/>
          <w:sz w:val="24"/>
          <w:szCs w:val="24"/>
          <w:lang w:bidi="ar"/>
        </w:rPr>
        <w:t xml:space="preserve">2.3具体项目成交价高于其投标价格或服务承诺。</w:t>
      </w:r>
      <w:r/>
    </w:p>
    <w:p>
      <w:pPr>
        <w:ind w:firstLine="720"/>
        <w:jc w:val="left"/>
        <w:spacing w:line="440" w:lineRule="exact"/>
        <w:rPr>
          <w:rFonts w:ascii="宋体" w:hAnsi="宋体" w:cs="宋体"/>
          <w:sz w:val="24"/>
          <w:szCs w:val="24"/>
          <w:lang w:bidi="ar"/>
        </w:rPr>
      </w:pPr>
      <w:r>
        <w:rPr>
          <w:rFonts w:hint="eastAsia" w:ascii="宋体" w:hAnsi="宋体" w:cs="宋体"/>
          <w:sz w:val="24"/>
          <w:szCs w:val="24"/>
          <w:lang w:bidi="ar"/>
        </w:rPr>
        <w:t xml:space="preserve">2.4使用不正当竞争手段，影响采购单位正常采购活动。</w:t>
      </w:r>
      <w:r/>
    </w:p>
    <w:p>
      <w:pPr>
        <w:ind w:firstLine="720"/>
        <w:jc w:val="left"/>
        <w:spacing w:line="440" w:lineRule="exact"/>
        <w:rPr>
          <w:rFonts w:ascii="宋体" w:hAnsi="宋体" w:cs="宋体"/>
          <w:sz w:val="24"/>
          <w:szCs w:val="24"/>
          <w:lang w:bidi="ar"/>
        </w:rPr>
      </w:pPr>
      <w:r>
        <w:rPr>
          <w:rFonts w:hint="eastAsia" w:ascii="宋体" w:hAnsi="宋体" w:cs="宋体"/>
          <w:sz w:val="24"/>
          <w:szCs w:val="24"/>
          <w:lang w:bidi="ar"/>
        </w:rPr>
        <w:t xml:space="preserve">2.5满意度调查中采购人反馈不满意，经核实确系中标人责任。</w:t>
      </w:r>
      <w:r/>
    </w:p>
    <w:p>
      <w:pPr>
        <w:ind w:firstLine="720"/>
        <w:jc w:val="left"/>
        <w:spacing w:line="440" w:lineRule="exact"/>
        <w:rPr>
          <w:rFonts w:ascii="宋体" w:hAnsi="宋体" w:cs="宋体"/>
          <w:sz w:val="24"/>
          <w:szCs w:val="24"/>
          <w:lang w:bidi="ar"/>
        </w:rPr>
      </w:pPr>
      <w:r>
        <w:rPr>
          <w:rFonts w:hint="eastAsia" w:ascii="宋体" w:hAnsi="宋体" w:cs="宋体"/>
          <w:sz w:val="24"/>
          <w:szCs w:val="24"/>
          <w:lang w:bidi="ar"/>
        </w:rPr>
        <w:t xml:space="preserve">2.6无正当理由放弃资格。</w:t>
      </w:r>
      <w:r/>
    </w:p>
    <w:p>
      <w:pPr>
        <w:ind w:firstLine="720"/>
        <w:jc w:val="left"/>
        <w:spacing w:line="440" w:lineRule="exact"/>
        <w:rPr>
          <w:rFonts w:ascii="宋体" w:hAnsi="宋体" w:cs="宋体"/>
          <w:sz w:val="24"/>
          <w:szCs w:val="24"/>
          <w:lang w:bidi="ar"/>
        </w:rPr>
      </w:pPr>
      <w:r>
        <w:rPr>
          <w:rFonts w:hint="eastAsia" w:ascii="宋体" w:hAnsi="宋体" w:cs="宋体"/>
          <w:sz w:val="24"/>
          <w:szCs w:val="24"/>
          <w:lang w:bidi="ar"/>
        </w:rPr>
        <w:t xml:space="preserve">2.7其他违法违规行为。</w:t>
      </w:r>
      <w:r/>
    </w:p>
    <w:p>
      <w:pPr>
        <w:ind w:firstLine="480"/>
        <w:jc w:val="left"/>
        <w:spacing w:line="440" w:lineRule="exact"/>
        <w:rPr>
          <w:rFonts w:ascii="宋体" w:hAnsi="宋体" w:cs="宋体"/>
          <w:sz w:val="24"/>
          <w:szCs w:val="24"/>
          <w:lang w:bidi="ar"/>
        </w:rPr>
      </w:pPr>
      <w:r>
        <w:rPr>
          <w:rFonts w:hint="eastAsia" w:ascii="宋体" w:hAnsi="宋体" w:cs="宋体"/>
          <w:sz w:val="24"/>
          <w:szCs w:val="24"/>
          <w:lang w:bidi="ar"/>
        </w:rPr>
        <w:t xml:space="preserve">3、管理措施</w:t>
      </w:r>
      <w:r/>
    </w:p>
    <w:p>
      <w:pPr>
        <w:ind w:firstLine="480"/>
        <w:jc w:val="left"/>
        <w:spacing w:line="440" w:lineRule="exact"/>
        <w:rPr>
          <w:rFonts w:ascii="宋体" w:hAnsi="宋体" w:cs="宋体"/>
          <w:sz w:val="24"/>
          <w:szCs w:val="24"/>
          <w:lang w:bidi="ar"/>
        </w:rPr>
      </w:pPr>
      <w:r>
        <w:rPr>
          <w:rFonts w:hint="eastAsia" w:ascii="宋体" w:hAnsi="宋体" w:cs="宋体"/>
          <w:sz w:val="24"/>
          <w:szCs w:val="24"/>
          <w:lang w:bidi="ar"/>
        </w:rPr>
        <w:t xml:space="preserve">对履约监管中发现的不合格行为，按以下措施处理：</w:t>
      </w:r>
      <w:r/>
    </w:p>
    <w:p>
      <w:pPr>
        <w:ind w:firstLine="720"/>
        <w:jc w:val="left"/>
        <w:spacing w:line="440" w:lineRule="exact"/>
        <w:rPr>
          <w:rFonts w:ascii="宋体" w:hAnsi="宋体" w:cs="宋体"/>
          <w:sz w:val="24"/>
          <w:szCs w:val="24"/>
          <w:lang w:bidi="ar"/>
        </w:rPr>
      </w:pPr>
      <w:r>
        <w:rPr>
          <w:rFonts w:hint="eastAsia" w:ascii="宋体" w:hAnsi="宋体" w:cs="宋体"/>
          <w:sz w:val="24"/>
          <w:szCs w:val="24"/>
          <w:lang w:bidi="ar"/>
        </w:rPr>
        <w:t xml:space="preserve">3.1整改</w:t>
      </w:r>
      <w:r/>
    </w:p>
    <w:p>
      <w:pPr>
        <w:ind w:firstLine="720"/>
        <w:jc w:val="left"/>
        <w:spacing w:line="440" w:lineRule="exact"/>
        <w:rPr>
          <w:rFonts w:ascii="宋体" w:hAnsi="宋体" w:cs="宋体"/>
          <w:sz w:val="24"/>
          <w:szCs w:val="24"/>
          <w:lang w:bidi="ar"/>
        </w:rPr>
      </w:pPr>
      <w:r>
        <w:rPr>
          <w:rFonts w:hint="eastAsia" w:ascii="宋体" w:hAnsi="宋体" w:cs="宋体"/>
          <w:sz w:val="24"/>
          <w:szCs w:val="24"/>
          <w:lang w:bidi="ar"/>
        </w:rPr>
        <w:t xml:space="preserve">中标人在服务期间存在不合格行为，采购人出具《责令整改通知书》，限定时间完成整改。被开具《责令整改通知书》的中标人，视作差评，记录在案。</w:t>
      </w:r>
      <w:r/>
    </w:p>
    <w:p>
      <w:pPr>
        <w:ind w:firstLine="720"/>
        <w:jc w:val="left"/>
        <w:spacing w:line="440" w:lineRule="exact"/>
        <w:rPr>
          <w:rFonts w:ascii="宋体" w:hAnsi="宋体" w:cs="宋体"/>
          <w:sz w:val="24"/>
          <w:szCs w:val="24"/>
          <w:lang w:bidi="ar"/>
        </w:rPr>
      </w:pPr>
      <w:r>
        <w:rPr>
          <w:rFonts w:hint="eastAsia" w:ascii="宋体" w:hAnsi="宋体" w:cs="宋体"/>
          <w:sz w:val="24"/>
          <w:szCs w:val="24"/>
          <w:lang w:bidi="ar"/>
        </w:rPr>
        <w:t xml:space="preserve">3.2暂停交易资格</w:t>
      </w:r>
      <w:r/>
    </w:p>
    <w:p>
      <w:pPr>
        <w:ind w:firstLine="720"/>
        <w:jc w:val="left"/>
        <w:spacing w:line="440" w:lineRule="exact"/>
        <w:rPr>
          <w:rFonts w:ascii="宋体" w:hAnsi="宋体" w:cs="宋体"/>
          <w:sz w:val="24"/>
          <w:szCs w:val="24"/>
          <w:lang w:bidi="ar"/>
        </w:rPr>
      </w:pPr>
      <w:r>
        <w:rPr>
          <w:rFonts w:hint="eastAsia" w:ascii="宋体" w:hAnsi="宋体" w:cs="宋体"/>
          <w:sz w:val="24"/>
          <w:szCs w:val="24"/>
          <w:lang w:bidi="ar"/>
        </w:rPr>
        <w:t xml:space="preserve">对拒不接受采购人约谈，或者规定时间未按《责令整改通知书》完成整改的中标人，暂停其资格三个月，并在校内网站公示。</w:t>
      </w:r>
      <w:r/>
    </w:p>
    <w:p>
      <w:pPr>
        <w:ind w:firstLine="720"/>
        <w:jc w:val="left"/>
        <w:spacing w:line="440" w:lineRule="exact"/>
        <w:rPr>
          <w:rFonts w:ascii="宋体" w:hAnsi="宋体" w:cs="宋体"/>
          <w:sz w:val="24"/>
          <w:szCs w:val="24"/>
          <w:lang w:bidi="ar"/>
        </w:rPr>
      </w:pPr>
      <w:r>
        <w:rPr>
          <w:rFonts w:hint="eastAsia" w:ascii="宋体" w:hAnsi="宋体" w:cs="宋体"/>
          <w:sz w:val="24"/>
          <w:szCs w:val="24"/>
          <w:lang w:bidi="ar"/>
        </w:rPr>
        <w:t xml:space="preserve">3.3终止交易资格</w:t>
      </w:r>
      <w:r/>
    </w:p>
    <w:p>
      <w:pPr>
        <w:ind w:firstLine="720"/>
        <w:jc w:val="left"/>
        <w:spacing w:line="440" w:lineRule="exact"/>
      </w:pPr>
      <w:r>
        <w:rPr>
          <w:rFonts w:hint="eastAsia" w:ascii="宋体" w:hAnsi="宋体" w:cs="宋体"/>
          <w:sz w:val="24"/>
          <w:szCs w:val="24"/>
          <w:lang w:bidi="ar"/>
        </w:rPr>
        <w:t xml:space="preserve">中标人在被发现存在恶意违规，造成严重后果，或在服务有效期内两次被开具《责令整改通知单》，解除当期资格，同时报请学校采购管理部门，记录在案。</w:t>
      </w:r>
      <w:r/>
    </w:p>
    <w:p>
      <w:pPr>
        <w:spacing w:line="440" w:lineRule="exact"/>
        <w:rPr>
          <w:rFonts w:ascii="宋体" w:hAnsi="宋体" w:cs="宋体"/>
          <w:b/>
          <w:sz w:val="28"/>
          <w:szCs w:val="28"/>
        </w:rPr>
      </w:pPr>
      <w:r>
        <w:rPr>
          <w:rFonts w:hint="eastAsia" w:ascii="宋体" w:hAnsi="宋体" w:cs="宋体"/>
          <w:b/>
          <w:sz w:val="28"/>
          <w:szCs w:val="28"/>
          <w:lang w:bidi="ar"/>
        </w:rPr>
        <w:t xml:space="preserve">六、其他要求：</w:t>
      </w:r>
      <w:r/>
    </w:p>
    <w:p>
      <w:pPr>
        <w:ind w:firstLine="482"/>
        <w:jc w:val="left"/>
        <w:spacing w:line="440" w:lineRule="exact"/>
        <w:rPr>
          <w:b/>
          <w:bCs/>
          <w:color w:val="000000" w:themeColor="text1"/>
          <w:sz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1、“第四章  采购需求”中，斜体且有下划线部分为实质性要求，</w:t>
      </w:r>
      <w:r>
        <w:rPr>
          <w:rFonts w:hint="eastAsia" w:ascii="Times New Roman" w:hAnsi="Times New Roman"/>
          <w:b/>
          <w:bCs/>
          <w:color w:val="000000" w:themeColor="text1"/>
          <w:sz w:val="24"/>
          <w:szCs w:val="24"/>
          <w14:textFill>
            <w14:solidFill>
              <w14:schemeClr w14:val="tx1"/>
            </w14:solidFill>
          </w14:textFill>
        </w:rPr>
        <w:t xml:space="preserve">任何一项</w:t>
      </w:r>
      <w:r>
        <w:rPr>
          <w:rFonts w:hint="eastAsia"/>
          <w:b/>
          <w:bCs/>
          <w:color w:val="000000" w:themeColor="text1"/>
          <w:sz w:val="24"/>
          <w14:textFill>
            <w14:solidFill>
              <w14:schemeClr w14:val="tx1"/>
            </w14:solidFill>
          </w14:textFill>
        </w:rPr>
        <w:t xml:space="preserve">实质性要求</w:t>
      </w:r>
      <w:r>
        <w:rPr>
          <w:rFonts w:hint="eastAsia" w:ascii="Times New Roman" w:hAnsi="Times New Roman"/>
          <w:b/>
          <w:bCs/>
          <w:color w:val="000000" w:themeColor="text1"/>
          <w:sz w:val="24"/>
          <w:szCs w:val="24"/>
          <w14:textFill>
            <w14:solidFill>
              <w14:schemeClr w14:val="tx1"/>
            </w14:solidFill>
          </w14:textFill>
        </w:rPr>
        <w:t xml:space="preserve">未满足的，</w:t>
      </w:r>
      <w:r>
        <w:rPr>
          <w:rFonts w:hint="eastAsia" w:ascii="Times New Roman" w:hAnsi="Times New Roman"/>
          <w:b/>
          <w:bCs/>
          <w:color w:val="000000" w:themeColor="text1"/>
          <w:sz w:val="24"/>
          <w14:textFill>
            <w14:solidFill>
              <w14:schemeClr w14:val="tx1"/>
            </w14:solidFill>
          </w14:textFill>
        </w:rPr>
        <w:t xml:space="preserve">将作无效投标处理</w:t>
      </w:r>
      <w:r>
        <w:rPr>
          <w:rFonts w:hint="eastAsia"/>
          <w:b/>
          <w:bCs/>
          <w:color w:val="000000" w:themeColor="text1"/>
          <w:sz w:val="24"/>
          <w14:textFill>
            <w14:solidFill>
              <w14:schemeClr w14:val="tx1"/>
            </w14:solidFill>
          </w14:textFill>
        </w:rPr>
        <w:t xml:space="preserve">。</w:t>
      </w:r>
      <w:r/>
    </w:p>
    <w:p>
      <w:pPr>
        <w:jc w:val="left"/>
        <w:spacing w:line="440" w:lineRule="exact"/>
        <w:rPr>
          <w:rFonts w:ascii="宋体" w:hAnsi="宋体" w:cs="宋体"/>
          <w:sz w:val="24"/>
          <w:szCs w:val="24"/>
          <w:lang w:bidi="ar"/>
        </w:rPr>
      </w:pPr>
      <w:r>
        <w:rPr>
          <w:rFonts w:hint="eastAsia" w:ascii="宋体" w:hAnsi="宋体" w:cs="宋体"/>
          <w:sz w:val="24"/>
          <w:szCs w:val="24"/>
          <w:lang w:bidi="ar"/>
        </w:rPr>
        <w:t xml:space="preserve">    </w:t>
      </w:r>
      <w:r>
        <w:rPr>
          <w:rFonts w:hint="eastAsia" w:ascii="宋体" w:hAnsi="宋体"/>
          <w:b/>
          <w:bCs/>
          <w:color w:val="000000" w:themeColor="text1"/>
          <w:sz w:val="24"/>
          <w:szCs w:val="24"/>
          <w14:textFill>
            <w14:solidFill>
              <w14:schemeClr w14:val="tx1"/>
            </w14:solidFill>
          </w14:textFill>
        </w:rPr>
        <w:t xml:space="preserve">2、投标人须提供国家企业信用信息公示系统、企查查或天眼查等企业信息查询平台的查询页面完整截图，并对查询结果中体现的与其他企业、个人存在控股、管理关系的情况如实作出对应的文字说明（如提供虚假材料，则一切后果由投标人自负）</w:t>
      </w:r>
      <w:r>
        <w:rPr>
          <w:rFonts w:hint="eastAsia" w:asciiTheme="minorEastAsia" w:hAnsiTheme="minorEastAsia" w:eastAsiaTheme="minorEastAsia" w:cstheme="minorEastAsia"/>
          <w:b/>
          <w:bCs/>
          <w:sz w:val="24"/>
          <w:szCs w:val="24"/>
        </w:rPr>
        <w:t xml:space="preserve">。</w:t>
      </w:r>
      <w:r/>
    </w:p>
    <w:p>
      <w:pPr>
        <w:jc w:val="left"/>
        <w:spacing w:line="440" w:lineRule="exact"/>
        <w:rPr>
          <w:rFonts w:ascii="宋体" w:hAnsi="宋体" w:cs="宋体"/>
          <w:sz w:val="24"/>
          <w:szCs w:val="24"/>
          <w:lang w:bidi="ar"/>
        </w:rPr>
      </w:pPr>
      <w:r>
        <w:rPr>
          <w:rFonts w:ascii="宋体" w:hAnsi="宋体" w:cs="宋体"/>
          <w:sz w:val="24"/>
          <w:szCs w:val="24"/>
          <w:lang w:bidi="ar"/>
        </w:rPr>
      </w:r>
      <w:r/>
    </w:p>
    <w:p>
      <w:pPr>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jc w:val="center"/>
        <w:keepNext/>
        <w:rPr>
          <w:rFonts w:ascii="黑体" w:hAnsi="Courier New" w:eastAsia="黑体" w:cs="Courier New"/>
          <w:bCs/>
          <w:color w:val="000000" w:themeColor="text1"/>
          <w:sz w:val="44"/>
          <w:szCs w:val="21"/>
          <w14:textFill>
            <w14:solidFill>
              <w14:schemeClr w14:val="tx1"/>
            </w14:solidFill>
          </w14:textFill>
        </w:rPr>
        <w:outlineLvl w:val="0"/>
      </w:pPr>
      <w:r/>
      <w:bookmarkStart w:id="214" w:name="_Toc228349838"/>
      <w:r>
        <w:rPr>
          <w:rFonts w:hint="eastAsia" w:ascii="黑体" w:hAnsi="Courier New" w:eastAsia="黑体" w:cs="Courier New"/>
          <w:bCs/>
          <w:color w:val="000000" w:themeColor="text1"/>
          <w:sz w:val="44"/>
          <w:szCs w:val="21"/>
          <w14:textFill>
            <w14:solidFill>
              <w14:schemeClr w14:val="tx1"/>
            </w14:solidFill>
          </w14:textFill>
        </w:rPr>
        <w:t xml:space="preserve">第五章  评标方法与评标标准</w:t>
      </w:r>
      <w:bookmarkEnd w:id="214"/>
      <w:r/>
      <w:r/>
    </w:p>
    <w:p>
      <w:pP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r>
      <w:r/>
    </w:p>
    <w:p>
      <w:pPr>
        <w:ind w:firstLine="281"/>
        <w:jc w:val="left"/>
        <w:keepNext/>
        <w:rPr>
          <w:b/>
          <w:bCs/>
          <w:color w:val="000000" w:themeColor="text1"/>
          <w:sz w:val="28"/>
          <w:szCs w:val="28"/>
          <w14:textFill>
            <w14:solidFill>
              <w14:schemeClr w14:val="tx1"/>
            </w14:solidFill>
          </w14:textFill>
        </w:rPr>
        <w:outlineLvl w:val="0"/>
      </w:pPr>
      <w:r/>
      <w:bookmarkStart w:id="215" w:name="_Toc228349839"/>
      <w:r/>
      <w:bookmarkStart w:id="216" w:name="_Toc17476"/>
      <w:r/>
      <w:bookmarkStart w:id="217" w:name="_Toc698"/>
      <w:r/>
      <w:bookmarkStart w:id="218" w:name="_Toc16264"/>
      <w:r>
        <w:rPr>
          <w:rFonts w:hint="eastAsia" w:ascii="Times New Roman" w:hAnsi="Times New Roman"/>
          <w:b/>
          <w:sz w:val="28"/>
          <w:szCs w:val="28"/>
          <w:lang w:bidi="ar"/>
        </w:rPr>
        <w:t xml:space="preserve">标段一、标段二</w:t>
      </w:r>
      <w:bookmarkEnd w:id="215"/>
      <w:r/>
      <w:r/>
    </w:p>
    <w:p>
      <w:pPr>
        <w:spacing w:line="480" w:lineRule="exact"/>
        <w:rPr>
          <w:b/>
          <w:bCs/>
          <w:color w:val="000000" w:themeColor="text1"/>
          <w:sz w:val="28"/>
          <w14:textFill>
            <w14:solidFill>
              <w14:schemeClr w14:val="tx1"/>
            </w14:solidFill>
          </w14:textFill>
        </w:rPr>
      </w:pPr>
      <w:r>
        <w:rPr>
          <w:rFonts w:hint="eastAsia"/>
          <w:b/>
          <w:bCs/>
          <w:color w:val="000000" w:themeColor="text1"/>
          <w:sz w:val="28"/>
          <w14:textFill>
            <w14:solidFill>
              <w14:schemeClr w14:val="tx1"/>
            </w14:solidFill>
          </w14:textFill>
        </w:rPr>
        <w:t xml:space="preserve">一、评标办法：</w:t>
      </w:r>
      <w:bookmarkEnd w:id="216"/>
      <w:r/>
      <w:bookmarkEnd w:id="217"/>
      <w:r/>
      <w:bookmarkEnd w:id="218"/>
      <w:r/>
      <w:r/>
    </w:p>
    <w:p>
      <w:pPr>
        <w:ind w:firstLine="480"/>
        <w:spacing w:line="460" w:lineRule="exact"/>
        <w:rPr>
          <w:rFonts w:hint="eastAsia" w:ascii="宋体" w:hAnsi="宋体" w:cs="宋体"/>
          <w:bCs/>
          <w:sz w:val="24"/>
          <w:szCs w:val="20"/>
          <w:lang w:bidi="ar"/>
        </w:rPr>
      </w:pPr>
      <w:r>
        <w:rPr>
          <w:rFonts w:hint="eastAsia" w:ascii="宋体" w:hAnsi="宋体" w:eastAsia="宋体" w:cs="Times New Roman"/>
          <w:sz w:val="24"/>
          <w:szCs w:val="24"/>
        </w:rPr>
        <w:t xml:space="preserve">本项目根据</w:t>
      </w:r>
      <w:r>
        <w:rPr>
          <w:rFonts w:hint="eastAsia" w:ascii="宋体" w:hAnsi="宋体" w:eastAsia="宋体" w:cs="Times New Roman"/>
          <w:sz w:val="24"/>
          <w:szCs w:val="24"/>
          <w:lang w:eastAsia="zh-CN"/>
        </w:rPr>
        <w:t xml:space="preserve">标段</w:t>
      </w:r>
      <w:r>
        <w:rPr>
          <w:rFonts w:ascii="宋体" w:hAnsi="宋体" w:eastAsia="宋体" w:cs="Times New Roman"/>
          <w:sz w:val="24"/>
          <w:szCs w:val="24"/>
        </w:rPr>
        <w:t xml:space="preserve">进行</w:t>
      </w:r>
      <w:r>
        <w:rPr>
          <w:rFonts w:hint="eastAsia" w:ascii="宋体" w:hAnsi="宋体" w:eastAsia="宋体" w:cs="Times New Roman"/>
          <w:sz w:val="24"/>
          <w:szCs w:val="24"/>
        </w:rPr>
        <w:t xml:space="preserve">独立</w:t>
      </w:r>
      <w:r>
        <w:rPr>
          <w:rFonts w:ascii="宋体" w:hAnsi="宋体" w:eastAsia="宋体" w:cs="Times New Roman"/>
          <w:sz w:val="24"/>
          <w:szCs w:val="24"/>
        </w:rPr>
        <w:t xml:space="preserve">评审，</w:t>
      </w:r>
      <w:r>
        <w:rPr>
          <w:rFonts w:hint="eastAsia" w:ascii="宋体" w:hAnsi="宋体" w:eastAsia="宋体" w:cs="Times New Roman"/>
          <w:sz w:val="24"/>
          <w:szCs w:val="24"/>
        </w:rPr>
        <w:t xml:space="preserve">按</w:t>
      </w:r>
      <w:r>
        <w:rPr>
          <w:rFonts w:hint="eastAsia" w:ascii="宋体" w:hAnsi="宋体" w:eastAsia="宋体" w:cs="Times New Roman"/>
          <w:sz w:val="24"/>
          <w:szCs w:val="24"/>
          <w:lang w:eastAsia="zh-CN"/>
        </w:rPr>
        <w:t xml:space="preserve">标段</w:t>
      </w:r>
      <w:r>
        <w:rPr>
          <w:rFonts w:ascii="宋体" w:hAnsi="宋体" w:eastAsia="宋体" w:cs="Times New Roman"/>
          <w:sz w:val="24"/>
          <w:szCs w:val="24"/>
        </w:rPr>
        <w:t xml:space="preserve">一</w:t>
      </w:r>
      <w:r>
        <w:rPr>
          <w:rFonts w:hint="eastAsia" w:ascii="宋体" w:hAnsi="宋体" w:eastAsia="宋体" w:cs="Times New Roman"/>
          <w:sz w:val="24"/>
          <w:szCs w:val="24"/>
        </w:rPr>
        <w:t xml:space="preserve">、</w:t>
      </w:r>
      <w:r>
        <w:rPr>
          <w:rFonts w:hint="eastAsia" w:ascii="宋体" w:hAnsi="宋体" w:eastAsia="宋体" w:cs="Times New Roman"/>
          <w:sz w:val="24"/>
          <w:szCs w:val="24"/>
          <w:lang w:eastAsia="zh-CN"/>
        </w:rPr>
        <w:t xml:space="preserve">标段</w:t>
      </w:r>
      <w:r>
        <w:rPr>
          <w:rFonts w:ascii="宋体" w:hAnsi="宋体" w:eastAsia="宋体" w:cs="Times New Roman"/>
          <w:sz w:val="24"/>
          <w:szCs w:val="24"/>
        </w:rPr>
        <w:t xml:space="preserve">二的</w:t>
      </w:r>
      <w:r>
        <w:rPr>
          <w:rFonts w:hint="eastAsia" w:ascii="宋体" w:hAnsi="宋体" w:eastAsia="宋体" w:cs="Times New Roman"/>
          <w:sz w:val="24"/>
          <w:szCs w:val="24"/>
        </w:rPr>
        <w:t xml:space="preserve">顺序进行。已评审完的</w:t>
      </w:r>
      <w:r>
        <w:rPr>
          <w:rFonts w:hint="eastAsia" w:ascii="宋体" w:hAnsi="宋体" w:cs="Times New Roman"/>
          <w:sz w:val="24"/>
          <w:szCs w:val="24"/>
          <w:lang w:val="en-US" w:eastAsia="zh-CN"/>
        </w:rPr>
        <w:t xml:space="preserve">标段</w:t>
      </w:r>
      <w:r>
        <w:rPr>
          <w:rFonts w:hint="eastAsia" w:ascii="宋体" w:hAnsi="宋体" w:eastAsia="宋体" w:cs="Times New Roman"/>
          <w:sz w:val="24"/>
          <w:szCs w:val="24"/>
        </w:rPr>
        <w:t xml:space="preserve">中被确定中标人的，在后续</w:t>
      </w:r>
      <w:r>
        <w:rPr>
          <w:rFonts w:hint="eastAsia" w:ascii="宋体" w:hAnsi="宋体" w:cs="Times New Roman"/>
          <w:sz w:val="24"/>
          <w:szCs w:val="24"/>
          <w:lang w:val="en-US" w:eastAsia="zh-CN"/>
        </w:rPr>
        <w:t xml:space="preserve">标段</w:t>
      </w:r>
      <w:r>
        <w:rPr>
          <w:rFonts w:hint="eastAsia" w:ascii="宋体" w:hAnsi="宋体" w:eastAsia="宋体" w:cs="Times New Roman"/>
          <w:sz w:val="24"/>
          <w:szCs w:val="24"/>
        </w:rPr>
        <w:t xml:space="preserve">中不具有得标权。</w:t>
      </w:r>
      <w:r/>
    </w:p>
    <w:p>
      <w:pPr>
        <w:ind w:firstLine="480"/>
        <w:spacing w:line="460" w:lineRule="exact"/>
        <w:rPr>
          <w:rFonts w:ascii="宋体" w:hAnsi="宋体" w:cs="宋体"/>
          <w:bCs/>
          <w:sz w:val="24"/>
          <w:szCs w:val="20"/>
          <w:lang w:bidi="ar"/>
        </w:rPr>
      </w:pPr>
      <w:r>
        <w:rPr>
          <w:rFonts w:hint="eastAsia" w:ascii="宋体" w:hAnsi="宋体" w:cs="宋体"/>
          <w:bCs/>
          <w:sz w:val="24"/>
          <w:szCs w:val="20"/>
          <w:lang w:bidi="ar"/>
        </w:rPr>
        <w:t xml:space="preserve">1、评标办法采用综合评分法。评审结果按评审后得分由高到低顺序排列。得分相同的，按最后报价由低到高顺序排列。得分且最后报价相同的，按技术指标优劣顺序排列。</w:t>
      </w:r>
      <w:r/>
    </w:p>
    <w:p>
      <w:pPr>
        <w:ind w:firstLine="480"/>
        <w:spacing w:line="460" w:lineRule="exact"/>
        <w:rPr>
          <w:rFonts w:ascii="宋体" w:hAnsi="宋体" w:cs="宋体"/>
          <w:bCs/>
          <w:sz w:val="24"/>
          <w:szCs w:val="20"/>
          <w:lang w:bidi="ar"/>
        </w:rPr>
      </w:pPr>
      <w:r>
        <w:rPr>
          <w:rFonts w:hint="eastAsia" w:ascii="宋体" w:hAnsi="宋体" w:cs="宋体"/>
          <w:bCs/>
          <w:sz w:val="24"/>
          <w:szCs w:val="20"/>
          <w:lang w:bidi="ar"/>
        </w:rPr>
        <w:t xml:space="preserve">2、中标人确定规则：</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1）若</w:t>
      </w:r>
      <w:r>
        <w:rPr>
          <w:rFonts w:hint="eastAsia" w:ascii="宋体" w:hAnsi="宋体" w:eastAsia="宋体" w:cs="Times New Roman"/>
          <w:sz w:val="24"/>
          <w:szCs w:val="24"/>
        </w:rPr>
        <w:t xml:space="preserve">通过资格性和符合性审查，具有得标权的投标人</w:t>
      </w:r>
      <w:r>
        <w:rPr>
          <w:rFonts w:ascii="宋体" w:hAnsi="宋体" w:eastAsia="宋体" w:cs="Times New Roman"/>
          <w:sz w:val="24"/>
          <w:szCs w:val="24"/>
        </w:rPr>
        <w:t xml:space="preserve">≥3家时，评标委员会根据排列情况将推荐前3名为中标候选人，并根据采购人委托直接确定</w:t>
      </w:r>
      <w:r>
        <w:rPr>
          <w:rFonts w:hint="eastAsia" w:ascii="宋体" w:hAnsi="宋体" w:eastAsia="宋体" w:cs="Times New Roman"/>
          <w:sz w:val="24"/>
          <w:szCs w:val="24"/>
        </w:rPr>
        <w:t xml:space="preserve">第1</w:t>
      </w:r>
      <w:r>
        <w:rPr>
          <w:rFonts w:ascii="宋体" w:hAnsi="宋体" w:eastAsia="宋体" w:cs="Times New Roman"/>
          <w:sz w:val="24"/>
          <w:szCs w:val="24"/>
        </w:rPr>
        <w:t xml:space="preserve">名为中标人。中标候选人并列的，采取随机抽取的方式确定。</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2）若</w:t>
      </w:r>
      <w:r>
        <w:rPr>
          <w:rFonts w:hint="eastAsia" w:ascii="宋体" w:hAnsi="宋体" w:eastAsia="宋体" w:cs="Times New Roman"/>
          <w:sz w:val="24"/>
          <w:szCs w:val="24"/>
        </w:rPr>
        <w:t xml:space="preserve">通过资格性和符合性审查，具有得标权的投标人</w:t>
      </w:r>
      <w:r>
        <w:rPr>
          <w:rFonts w:ascii="宋体" w:hAnsi="宋体" w:eastAsia="宋体" w:cs="Times New Roman"/>
          <w:sz w:val="24"/>
          <w:szCs w:val="24"/>
        </w:rPr>
        <w:t xml:space="preserve">≤2家时，本项目终止采购活动。</w:t>
      </w:r>
      <w:r/>
    </w:p>
    <w:p>
      <w:pPr>
        <w:ind w:firstLine="480"/>
        <w:spacing w:line="460" w:lineRule="exact"/>
        <w:rPr>
          <w:rFonts w:ascii="宋体" w:hAnsi="宋体" w:cs="宋体"/>
          <w:b/>
          <w:sz w:val="24"/>
          <w:szCs w:val="20"/>
          <w:lang w:bidi="ar"/>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3）中标人放弃中标、因不可抗力不能履行合同，或者被查实存在影响成交结果的违法行为等情形，不符合中标条件的，或法律规定被取消成交资格的，采购人可按照评标委员会提出的中标选人名单排序依次确定其他中标候选人为中标人，也可以重新组织采购。</w:t>
      </w:r>
      <w:r/>
    </w:p>
    <w:p>
      <w:pPr>
        <w:spacing w:line="480" w:lineRule="exact"/>
        <w:rPr>
          <w:b/>
          <w:bCs/>
          <w:color w:val="000000" w:themeColor="text1"/>
          <w:sz w:val="28"/>
          <w14:textFill>
            <w14:solidFill>
              <w14:schemeClr w14:val="tx1"/>
            </w14:solidFill>
          </w14:textFill>
        </w:rPr>
      </w:pPr>
      <w:r>
        <w:rPr>
          <w:b/>
          <w:bCs/>
          <w:color w:val="000000" w:themeColor="text1"/>
          <w:sz w:val="28"/>
          <w14:textFill>
            <w14:solidFill>
              <w14:schemeClr w14:val="tx1"/>
            </w14:solidFill>
          </w14:textFill>
        </w:rPr>
        <w:t xml:space="preserve">二、评分标准：</w:t>
      </w:r>
      <w:r/>
    </w:p>
    <w:p>
      <w:pPr>
        <w:ind w:firstLine="482"/>
        <w:spacing w:line="460" w:lineRule="exact"/>
        <w:rPr>
          <w:rFonts w:ascii="宋体" w:hAnsi="宋体" w:cs="宋体"/>
          <w:b/>
          <w:sz w:val="28"/>
          <w:szCs w:val="20"/>
        </w:rPr>
      </w:pPr>
      <w:r>
        <w:rPr>
          <w:rFonts w:hint="eastAsia" w:ascii="宋体" w:hAnsi="宋体" w:cs="宋体"/>
          <w:b/>
          <w:sz w:val="24"/>
          <w:szCs w:val="20"/>
          <w:lang w:bidi="ar"/>
        </w:rPr>
        <w:t xml:space="preserve">1、投标报价25分</w:t>
      </w:r>
      <w:r/>
    </w:p>
    <w:p>
      <w:pPr>
        <w:ind w:firstLine="470"/>
        <w:spacing w:line="460" w:lineRule="exact"/>
        <w:rPr>
          <w:rFonts w:ascii="宋体" w:hAnsi="宋体" w:cs="宋体"/>
          <w:sz w:val="24"/>
          <w:szCs w:val="20"/>
        </w:rPr>
      </w:pPr>
      <w:r>
        <w:rPr>
          <w:rFonts w:hint="eastAsia" w:ascii="宋体" w:hAnsi="宋体" w:cs="宋体"/>
          <w:color w:val="000000" w:themeColor="text1"/>
          <w:sz w:val="24"/>
          <w:szCs w:val="24"/>
          <w14:textFill>
            <w14:solidFill>
              <w14:schemeClr w14:val="tx1"/>
            </w14:solidFill>
          </w14:textFill>
        </w:rPr>
        <w:t xml:space="preserve">满足招标文件要求且</w:t>
      </w:r>
      <w:r>
        <w:rPr>
          <w:rFonts w:hint="eastAsia" w:ascii="宋体" w:hAnsi="宋体" w:cs="宋体"/>
          <w:b/>
          <w:bCs/>
          <w:color w:val="000000" w:themeColor="text1"/>
          <w:sz w:val="24"/>
          <w:szCs w:val="24"/>
          <w14:textFill>
            <w14:solidFill>
              <w14:schemeClr w14:val="tx1"/>
            </w14:solidFill>
          </w14:textFill>
        </w:rPr>
        <w:t xml:space="preserve">优惠率最高</w:t>
      </w:r>
      <w:r>
        <w:rPr>
          <w:rFonts w:hint="eastAsia" w:ascii="宋体" w:hAnsi="宋体" w:cs="宋体"/>
          <w:color w:val="000000" w:themeColor="text1"/>
          <w:sz w:val="24"/>
          <w:szCs w:val="24"/>
          <w14:textFill>
            <w14:solidFill>
              <w14:schemeClr w14:val="tx1"/>
            </w14:solidFill>
          </w14:textFill>
        </w:rPr>
        <w:t xml:space="preserve">的投标报价为评标基准价，其价格分为25分；其他投标人的价格分按下列公式计算：投标报价得分＝（1-评标基准价）／（1-投标优惠率）×25分</w:t>
      </w:r>
      <w:r>
        <w:rPr>
          <w:rFonts w:hint="eastAsia"/>
          <w:sz w:val="24"/>
          <w:szCs w:val="24"/>
        </w:rPr>
        <w:t xml:space="preserve">。</w:t>
      </w:r>
      <w:r/>
    </w:p>
    <w:p>
      <w:pPr>
        <w:ind w:firstLine="470"/>
        <w:spacing w:line="44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评审过程中出现下列情形之一的，评审委员会应当启动异常低价投标（响应）审查程序：</w:t>
      </w:r>
      <w:r/>
    </w:p>
    <w:p>
      <w:pPr>
        <w:ind w:firstLine="470"/>
        <w:spacing w:line="44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70"/>
        <w:spacing w:line="44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70"/>
        <w:spacing w:line="44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3、投标（响应）报价低于采购项目最高限价45%的，即投标（响应）报价&lt;采购项目最高限价×45%；</w:t>
      </w:r>
      <w:r/>
    </w:p>
    <w:p>
      <w:pPr>
        <w:ind w:firstLine="470"/>
        <w:spacing w:line="44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4、评审委员会基于专业判断，认为供应商报价过低，有可能影响产品质量或者不能诚信履约的其他情形。</w:t>
      </w:r>
      <w:r/>
    </w:p>
    <w:p>
      <w:pPr>
        <w:ind w:firstLine="480"/>
        <w:spacing w:line="460" w:lineRule="exact"/>
        <w:rPr>
          <w:rFonts w:ascii="Times New Roman" w:hAnsi="Times New Roman"/>
          <w:b/>
          <w:sz w:val="24"/>
          <w:szCs w:val="24"/>
        </w:rPr>
      </w:pPr>
      <w:r>
        <w:rPr>
          <w:rFonts w:hint="eastAsia"/>
          <w:color w:val="000000" w:themeColor="text1"/>
          <w:sz w:val="24"/>
          <w14:textFill>
            <w14:solidFill>
              <w14:schemeClr w14:val="tx1"/>
            </w14:solidFill>
          </w14:textFill>
        </w:rPr>
        <w:t xml:space="preserve">启动异常低价投标（响应）审查后，评审委员会应当要求相关供应商在评审现场合理的时间内对投标（响应）价格作出解释，提供项目具体成本测算等与报价合理性相关的书面说明及必要的证明材</w:t>
      </w:r>
      <w:r>
        <w:rPr>
          <w:rFonts w:hint="eastAsia"/>
          <w:color w:val="000000" w:themeColor="text1"/>
          <w:sz w:val="24"/>
          <w14:textFill>
            <w14:solidFill>
              <w14:schemeClr w14:val="tx1"/>
            </w14:solidFill>
          </w14:textFill>
        </w:rPr>
        <w:t xml:space="preserve">料，包括但不限于原材料成本、人工成本、制造费用等，给予相关供应商的合理时间（30分钟内）。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60" w:lineRule="exact"/>
        <w:rPr>
          <w:rFonts w:ascii="宋体" w:hAnsi="宋体" w:cs="宋体"/>
          <w:b/>
          <w:sz w:val="24"/>
          <w:szCs w:val="20"/>
        </w:rPr>
      </w:pPr>
      <w:r>
        <w:rPr>
          <w:rFonts w:hint="eastAsia" w:ascii="宋体" w:hAnsi="宋体" w:cs="宋体"/>
          <w:b/>
          <w:sz w:val="24"/>
          <w:szCs w:val="20"/>
          <w:lang w:bidi="ar"/>
        </w:rPr>
        <w:t xml:space="preserve">2、服务方案37分</w:t>
      </w:r>
      <w:r/>
    </w:p>
    <w:tbl>
      <w:tblPr>
        <w:tblStyle w:val="689"/>
        <w:tblW w:w="971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276"/>
        <w:gridCol w:w="839"/>
        <w:gridCol w:w="6852"/>
      </w:tblGrid>
      <w:tr>
        <w:trPr>
          <w:jc w:val="center"/>
          <w:trHeight w:val="388"/>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ascii="宋体" w:hAnsi="宋体" w:cs="宋体"/>
                <w:sz w:val="24"/>
                <w:szCs w:val="20"/>
              </w:rPr>
            </w:pPr>
            <w:r>
              <w:rPr>
                <w:rFonts w:hint="eastAsia" w:ascii="宋体" w:hAnsi="宋体" w:cs="宋体"/>
                <w:sz w:val="24"/>
                <w:szCs w:val="20"/>
                <w:lang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s="宋体"/>
                <w:sz w:val="24"/>
                <w:szCs w:val="20"/>
              </w:rPr>
            </w:pPr>
            <w:r>
              <w:rPr>
                <w:rFonts w:hint="eastAsia" w:ascii="宋体" w:hAnsi="宋体" w:cs="宋体"/>
                <w:sz w:val="24"/>
                <w:szCs w:val="20"/>
                <w:lang w:bidi="ar"/>
              </w:rPr>
              <w:t xml:space="preserve">评审因素</w:t>
            </w:r>
            <w:r/>
          </w:p>
        </w:tc>
        <w:tc>
          <w:tcPr>
            <w:shd w:val="clear" w:color="auto" w:fill="auto"/>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rPr>
                <w:rFonts w:ascii="宋体" w:hAnsi="宋体" w:cs="宋体"/>
                <w:sz w:val="24"/>
                <w:szCs w:val="20"/>
              </w:rPr>
            </w:pPr>
            <w:r>
              <w:rPr>
                <w:rFonts w:hint="eastAsia" w:ascii="宋体" w:hAnsi="宋体" w:cs="宋体"/>
                <w:sz w:val="24"/>
                <w:szCs w:val="20"/>
                <w:lang w:bidi="ar"/>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W w:w="6852" w:type="dxa"/>
            <w:vAlign w:val="center"/>
            <w:textDirection w:val="lrTb"/>
            <w:noWrap w:val="false"/>
          </w:tcPr>
          <w:p>
            <w:pPr>
              <w:jc w:val="center"/>
              <w:rPr>
                <w:rFonts w:ascii="宋体" w:hAnsi="宋体" w:cs="宋体"/>
                <w:sz w:val="24"/>
                <w:szCs w:val="20"/>
              </w:rPr>
            </w:pPr>
            <w:r>
              <w:rPr>
                <w:rFonts w:hint="eastAsia" w:ascii="宋体" w:hAnsi="宋体" w:cs="宋体"/>
                <w:sz w:val="24"/>
                <w:szCs w:val="20"/>
                <w:lang w:bidi="ar"/>
              </w:rPr>
              <w:t xml:space="preserve">评分标准</w:t>
            </w:r>
            <w:r/>
          </w:p>
        </w:tc>
      </w:tr>
      <w:tr>
        <w:trPr>
          <w:jc w:val="center"/>
          <w:trHeight w:val="698"/>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ascii="宋体" w:hAnsi="宋体" w:cs="宋体"/>
                <w:sz w:val="24"/>
                <w:szCs w:val="20"/>
                <w:lang w:bidi="ar"/>
              </w:rPr>
            </w:pPr>
            <w:r>
              <w:rPr>
                <w:rFonts w:hint="eastAsia" w:ascii="宋体" w:hAnsi="宋体" w:cs="宋体"/>
                <w:sz w:val="24"/>
                <w:szCs w:val="20"/>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s="宋体"/>
                <w:sz w:val="24"/>
                <w:szCs w:val="24"/>
              </w:rPr>
            </w:pPr>
            <w:r>
              <w:rPr>
                <w:sz w:val="24"/>
              </w:rPr>
              <w:t xml:space="preserve">服务响应情况</w:t>
            </w:r>
            <w:r/>
          </w:p>
        </w:tc>
        <w:tc>
          <w:tcPr>
            <w:shd w:val="clear" w:color="auto" w:fill="auto"/>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rPr>
                <w:rFonts w:ascii="宋体" w:hAnsi="宋体" w:cs="宋体"/>
                <w:sz w:val="24"/>
                <w:szCs w:val="24"/>
                <w:lang w:bidi="ar"/>
              </w:rPr>
            </w:pPr>
            <w:r>
              <w:rPr>
                <w:rFonts w:hint="eastAsia" w:ascii="宋体" w:hAnsi="宋体" w:cs="宋体"/>
                <w:sz w:val="24"/>
                <w:szCs w:val="24"/>
                <w:lang w:bidi="ar"/>
              </w:rPr>
              <w:t xml:space="preserve">6</w:t>
            </w:r>
            <w:r>
              <w:rPr>
                <w:rFonts w:ascii="宋体" w:hAnsi="宋体" w:cs="宋体"/>
                <w:sz w:val="24"/>
                <w:szCs w:val="24"/>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852" w:type="dxa"/>
            <w:vAlign w:val="center"/>
            <w:textDirection w:val="lrTb"/>
            <w:noWrap w:val="false"/>
          </w:tcPr>
          <w:p>
            <w:pPr>
              <w:widowControl/>
              <w:rPr>
                <w:rFonts w:ascii="宋体" w:hAnsi="宋体"/>
                <w:bCs/>
                <w:color w:val="000000"/>
                <w:sz w:val="24"/>
                <w:szCs w:val="21"/>
                <w:lang w:bidi="ar"/>
              </w:rPr>
            </w:pPr>
            <w:r>
              <w:rPr>
                <w:rFonts w:ascii="宋体" w:hAnsi="宋体"/>
                <w:bCs/>
                <w:color w:val="000000"/>
                <w:sz w:val="24"/>
                <w:szCs w:val="21"/>
                <w:lang w:bidi="ar"/>
              </w:rPr>
              <w:t xml:space="preserve">投标人承诺提供的服务全部满足招标文件要求</w:t>
            </w:r>
            <w:r>
              <w:rPr>
                <w:rFonts w:hint="eastAsia" w:ascii="宋体" w:hAnsi="宋体"/>
                <w:bCs/>
                <w:color w:val="000000"/>
                <w:sz w:val="24"/>
                <w:szCs w:val="21"/>
                <w:lang w:bidi="ar"/>
              </w:rPr>
              <w:t xml:space="preserve">（30条）</w:t>
            </w:r>
            <w:r>
              <w:rPr>
                <w:rFonts w:ascii="宋体" w:hAnsi="宋体"/>
                <w:bCs/>
                <w:color w:val="000000"/>
                <w:sz w:val="24"/>
                <w:szCs w:val="21"/>
                <w:lang w:bidi="ar"/>
              </w:rPr>
              <w:t xml:space="preserve">的得基本分</w:t>
            </w:r>
            <w:r>
              <w:rPr>
                <w:rFonts w:hint="eastAsia" w:ascii="宋体" w:hAnsi="宋体"/>
                <w:bCs/>
                <w:color w:val="000000"/>
                <w:sz w:val="24"/>
                <w:szCs w:val="21"/>
                <w:lang w:bidi="ar"/>
              </w:rPr>
              <w:t xml:space="preserve">6</w:t>
            </w:r>
            <w:r>
              <w:rPr>
                <w:rFonts w:ascii="宋体" w:hAnsi="宋体"/>
                <w:bCs/>
                <w:color w:val="000000"/>
                <w:sz w:val="24"/>
                <w:szCs w:val="21"/>
                <w:lang w:bidi="ar"/>
              </w:rPr>
              <w:t xml:space="preserve">分；有</w:t>
            </w:r>
            <w:r>
              <w:rPr>
                <w:rFonts w:hint="eastAsia" w:ascii="宋体" w:hAnsi="宋体"/>
                <w:bCs/>
                <w:color w:val="000000"/>
                <w:sz w:val="24"/>
                <w:szCs w:val="21"/>
                <w:lang w:bidi="ar"/>
              </w:rPr>
              <w:t xml:space="preserve">负</w:t>
            </w:r>
            <w:r>
              <w:rPr>
                <w:rFonts w:ascii="宋体" w:hAnsi="宋体"/>
                <w:bCs/>
                <w:color w:val="000000"/>
                <w:sz w:val="24"/>
                <w:szCs w:val="21"/>
                <w:lang w:bidi="ar"/>
              </w:rPr>
              <w:t xml:space="preserve">偏离</w:t>
            </w:r>
            <w:r>
              <w:rPr>
                <w:rFonts w:hint="eastAsia" w:ascii="宋体" w:hAnsi="宋体"/>
                <w:bCs/>
                <w:color w:val="000000"/>
                <w:sz w:val="24"/>
                <w:szCs w:val="21"/>
                <w:lang w:bidi="ar"/>
              </w:rPr>
              <w:t xml:space="preserve">的</w:t>
            </w:r>
            <w:r>
              <w:rPr>
                <w:rFonts w:ascii="宋体" w:hAnsi="宋体"/>
                <w:bCs/>
                <w:color w:val="000000"/>
                <w:sz w:val="24"/>
                <w:szCs w:val="21"/>
                <w:lang w:bidi="ar"/>
              </w:rPr>
              <w:t xml:space="preserve">，每条扣</w:t>
            </w:r>
            <w:r>
              <w:rPr>
                <w:rFonts w:hint="eastAsia" w:ascii="宋体" w:hAnsi="宋体"/>
                <w:bCs/>
                <w:color w:val="000000"/>
                <w:sz w:val="24"/>
                <w:szCs w:val="21"/>
                <w:lang w:bidi="ar"/>
              </w:rPr>
              <w:t xml:space="preserve">0.2</w:t>
            </w:r>
            <w:r>
              <w:rPr>
                <w:rFonts w:ascii="宋体" w:hAnsi="宋体"/>
                <w:bCs/>
                <w:color w:val="000000"/>
                <w:sz w:val="24"/>
                <w:szCs w:val="21"/>
                <w:lang w:bidi="ar"/>
              </w:rPr>
              <w:t xml:space="preserve">分。</w:t>
            </w:r>
            <w:r/>
          </w:p>
        </w:tc>
      </w:tr>
      <w:tr>
        <w:trPr>
          <w:jc w:val="center"/>
          <w:trHeight w:val="698"/>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ascii="宋体" w:hAnsi="宋体" w:cs="宋体"/>
                <w:sz w:val="24"/>
                <w:szCs w:val="20"/>
              </w:rPr>
            </w:pPr>
            <w:r>
              <w:rPr>
                <w:rFonts w:hint="eastAsia" w:ascii="宋体" w:hAnsi="宋体" w:cs="宋体"/>
                <w:sz w:val="24"/>
                <w:szCs w:val="20"/>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整体方案 </w:t>
            </w:r>
            <w:r/>
          </w:p>
        </w:tc>
        <w:tc>
          <w:tcPr>
            <w:shd w:val="clear" w:color="auto" w:fill="auto"/>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rPr>
                <w:rFonts w:ascii="宋体" w:hAnsi="宋体" w:cs="宋体"/>
                <w:sz w:val="24"/>
                <w:szCs w:val="24"/>
              </w:rPr>
            </w:pPr>
            <w:r>
              <w:rPr>
                <w:rFonts w:hint="eastAsia" w:ascii="宋体" w:hAnsi="宋体" w:cs="宋体"/>
                <w:sz w:val="24"/>
                <w:szCs w:val="24"/>
                <w:lang w:bidi="ar"/>
              </w:rPr>
              <w:t xml:space="preserve">7分</w:t>
            </w:r>
            <w:r/>
          </w:p>
        </w:tc>
        <w:tc>
          <w:tcPr>
            <w:shd w:val="clear" w:color="auto" w:fill="auto"/>
            <w:tcBorders>
              <w:top w:val="single" w:color="auto" w:sz="4" w:space="0"/>
              <w:left w:val="single" w:color="auto" w:sz="4" w:space="0"/>
              <w:bottom w:val="single" w:color="auto" w:sz="4" w:space="0"/>
              <w:right w:val="single" w:color="auto" w:sz="4" w:space="0"/>
            </w:tcBorders>
            <w:tcW w:w="6852" w:type="dxa"/>
            <w:vAlign w:val="center"/>
            <w:textDirection w:val="lrTb"/>
            <w:noWrap w:val="false"/>
          </w:tcPr>
          <w:p>
            <w:pPr>
              <w:widowControl/>
              <w:rPr>
                <w:rFonts w:ascii="宋体" w:hAnsi="宋体" w:cs="宋体"/>
                <w:bCs/>
                <w:sz w:val="24"/>
                <w:szCs w:val="20"/>
              </w:rPr>
            </w:pPr>
            <w:r/>
            <w:bookmarkStart w:id="219" w:name="OLE_LINK5"/>
            <w:r>
              <w:rPr>
                <w:rFonts w:hint="eastAsia" w:ascii="宋体" w:hAnsi="宋体"/>
                <w:bCs/>
                <w:color w:val="000000"/>
                <w:sz w:val="24"/>
                <w:szCs w:val="21"/>
                <w:lang w:bidi="ar"/>
              </w:rPr>
              <w:t xml:space="preserve">根据项目需求和特点，投标人提供社会化车辆包车整体方案: 拟投入服务车辆介绍、设置专线电话、提供24小时叫车服务、公布24小时叫车电话、服务车辆团队人员配置齐备、岗位分工明确、科学，执行力强等情况进行综合评定。方案完善、与实际情况贴合、可行性强的得7分；方案基本符合要求，可行性一般的得5分；方案有所欠缺的得3分；未作说明的不得分。</w:t>
            </w:r>
            <w:bookmarkEnd w:id="219"/>
            <w:r/>
            <w:r/>
          </w:p>
        </w:tc>
      </w:tr>
      <w:tr>
        <w:trPr>
          <w:jc w:val="center"/>
          <w:trHeight w:val="698"/>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保障配套方案</w:t>
            </w:r>
            <w:r/>
          </w:p>
        </w:tc>
        <w:tc>
          <w:tcPr>
            <w:shd w:val="clear" w:color="auto" w:fill="auto"/>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rPr>
                <w:rFonts w:ascii="宋体" w:hAnsi="宋体" w:cs="宋体"/>
                <w:sz w:val="24"/>
                <w:szCs w:val="24"/>
              </w:rPr>
            </w:pPr>
            <w:r>
              <w:rPr>
                <w:rFonts w:hint="eastAsia" w:ascii="宋体" w:hAnsi="宋体" w:cs="宋体"/>
                <w:sz w:val="24"/>
                <w:szCs w:val="24"/>
                <w:lang w:bidi="ar"/>
              </w:rPr>
              <w:t xml:space="preserve">5分</w:t>
            </w:r>
            <w:r/>
          </w:p>
        </w:tc>
        <w:tc>
          <w:tcPr>
            <w:shd w:val="clear" w:color="auto" w:fill="auto"/>
            <w:tcBorders>
              <w:top w:val="single" w:color="auto" w:sz="4" w:space="0"/>
              <w:left w:val="single" w:color="auto" w:sz="4" w:space="0"/>
              <w:bottom w:val="single" w:color="auto" w:sz="4" w:space="0"/>
              <w:right w:val="single" w:color="auto" w:sz="4" w:space="0"/>
            </w:tcBorders>
            <w:tcW w:w="6852" w:type="dxa"/>
            <w:vAlign w:val="center"/>
            <w:textDirection w:val="lrTb"/>
            <w:noWrap w:val="false"/>
          </w:tcPr>
          <w:p>
            <w:pPr>
              <w:widowControl/>
              <w:rPr>
                <w:rFonts w:ascii="宋体" w:hAnsi="宋体" w:cs="宋体"/>
                <w:sz w:val="24"/>
                <w:szCs w:val="24"/>
              </w:rPr>
            </w:pPr>
            <w:r>
              <w:rPr>
                <w:rFonts w:hint="eastAsia" w:ascii="宋体" w:hAnsi="宋体"/>
                <w:bCs/>
                <w:color w:val="000000"/>
                <w:sz w:val="24"/>
                <w:szCs w:val="21"/>
                <w:lang w:bidi="ar"/>
              </w:rPr>
              <w:t xml:space="preserve">根据投标人提供的保障配套方案（包括包车客运、车辆保养、车辆维修等方面保障配套、服务及时便捷）进行综合评定。方案完善、与实际情况贴合、可行性强的得5分；方案基本符合要求，可行性一般的得3分；方案有所欠缺的得1分；未作说明的不得分。</w:t>
            </w:r>
            <w:r/>
          </w:p>
        </w:tc>
      </w:tr>
      <w:tr>
        <w:trPr>
          <w:jc w:val="center"/>
          <w:trHeight w:val="698"/>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s="宋体"/>
                <w:sz w:val="24"/>
                <w:szCs w:val="24"/>
              </w:rPr>
            </w:pPr>
            <w:r>
              <w:rPr>
                <w:rFonts w:hint="eastAsia" w:ascii="宋体" w:hAnsi="宋体"/>
                <w:bCs/>
                <w:color w:val="000000"/>
                <w:sz w:val="24"/>
                <w:szCs w:val="21"/>
                <w:lang w:bidi="ar"/>
              </w:rPr>
              <w:t xml:space="preserve">服务质量跟踪及管理措施</w:t>
            </w:r>
            <w:r/>
          </w:p>
        </w:tc>
        <w:tc>
          <w:tcPr>
            <w:shd w:val="clear" w:color="auto" w:fill="auto"/>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rPr>
                <w:rFonts w:ascii="宋体" w:hAnsi="宋体" w:cs="宋体"/>
                <w:sz w:val="24"/>
                <w:szCs w:val="24"/>
                <w:lang w:bidi="ar"/>
              </w:rPr>
            </w:pPr>
            <w:r>
              <w:rPr>
                <w:rFonts w:hint="eastAsia" w:ascii="宋体" w:hAnsi="宋体" w:cs="宋体"/>
                <w:sz w:val="24"/>
                <w:szCs w:val="24"/>
                <w:lang w:bidi="ar"/>
              </w:rPr>
              <w:t xml:space="preserve">5分</w:t>
            </w:r>
            <w:r/>
          </w:p>
        </w:tc>
        <w:tc>
          <w:tcPr>
            <w:shd w:val="clear" w:color="auto" w:fill="auto"/>
            <w:tcBorders>
              <w:top w:val="single" w:color="auto" w:sz="4" w:space="0"/>
              <w:left w:val="single" w:color="auto" w:sz="4" w:space="0"/>
              <w:bottom w:val="single" w:color="auto" w:sz="4" w:space="0"/>
              <w:right w:val="single" w:color="auto" w:sz="4" w:space="0"/>
            </w:tcBorders>
            <w:tcW w:w="6852" w:type="dxa"/>
            <w:vAlign w:val="center"/>
            <w:textDirection w:val="lrTb"/>
            <w:noWrap w:val="false"/>
          </w:tcPr>
          <w:p>
            <w:pPr>
              <w:widowControl/>
              <w:rPr>
                <w:rFonts w:ascii="宋体" w:hAnsi="宋体"/>
                <w:bCs/>
                <w:color w:val="000000"/>
                <w:sz w:val="24"/>
                <w:szCs w:val="21"/>
                <w:lang w:bidi="ar"/>
              </w:rPr>
            </w:pPr>
            <w:r>
              <w:rPr>
                <w:rFonts w:hint="eastAsia" w:ascii="宋体" w:hAnsi="宋体"/>
                <w:bCs/>
                <w:color w:val="000000"/>
                <w:sz w:val="24"/>
                <w:szCs w:val="21"/>
                <w:lang w:bidi="ar"/>
              </w:rPr>
              <w:t xml:space="preserve">根据投标人提供的服务质量跟踪及管理措施方案（包括设置服务质量监督部门，提供投诉受理场所，配备专职服务质量监督岗位人员等）进行综合评定。方案完善、与实际情况贴合、可行性强的得5分；方案基本符合要求，可行性一般的得3分；方案有所欠缺的得1分；未作说明的不得分。</w:t>
            </w:r>
            <w:r/>
          </w:p>
        </w:tc>
      </w:tr>
      <w:tr>
        <w:trPr>
          <w:jc w:val="center"/>
          <w:trHeight w:val="698"/>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bCs/>
                <w:color w:val="000000"/>
                <w:sz w:val="24"/>
                <w:szCs w:val="21"/>
                <w:lang w:bidi="ar"/>
              </w:rPr>
            </w:pPr>
            <w:r>
              <w:rPr>
                <w:rFonts w:hint="eastAsia" w:ascii="宋体" w:hAnsi="宋体"/>
                <w:bCs/>
                <w:color w:val="000000"/>
                <w:sz w:val="24"/>
                <w:szCs w:val="21"/>
                <w:lang w:bidi="ar"/>
              </w:rPr>
              <w:t xml:space="preserve">应急方案及服务保障承诺</w:t>
            </w:r>
            <w:r/>
          </w:p>
        </w:tc>
        <w:tc>
          <w:tcPr>
            <w:shd w:val="clear" w:color="auto" w:fill="auto"/>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rPr>
                <w:rFonts w:ascii="宋体" w:hAnsi="宋体" w:cs="宋体"/>
                <w:sz w:val="24"/>
                <w:szCs w:val="24"/>
                <w:lang w:bidi="ar"/>
              </w:rPr>
            </w:pPr>
            <w:r>
              <w:rPr>
                <w:rFonts w:hint="eastAsia" w:ascii="宋体" w:hAnsi="宋体" w:cs="宋体"/>
                <w:sz w:val="24"/>
                <w:szCs w:val="24"/>
                <w:lang w:bidi="ar"/>
              </w:rPr>
              <w:t xml:space="preserve">5分</w:t>
            </w:r>
            <w:r/>
          </w:p>
        </w:tc>
        <w:tc>
          <w:tcPr>
            <w:shd w:val="clear" w:color="auto" w:fill="auto"/>
            <w:tcBorders>
              <w:top w:val="single" w:color="auto" w:sz="4" w:space="0"/>
              <w:left w:val="single" w:color="auto" w:sz="4" w:space="0"/>
              <w:bottom w:val="single" w:color="auto" w:sz="4" w:space="0"/>
              <w:right w:val="single" w:color="auto" w:sz="4" w:space="0"/>
            </w:tcBorders>
            <w:tcW w:w="6852" w:type="dxa"/>
            <w:vAlign w:val="center"/>
            <w:textDirection w:val="lrTb"/>
            <w:noWrap w:val="false"/>
          </w:tcPr>
          <w:p>
            <w:pPr>
              <w:widowControl/>
              <w:rPr>
                <w:rFonts w:ascii="宋体" w:hAnsi="宋体"/>
                <w:bCs/>
                <w:color w:val="000000"/>
                <w:sz w:val="24"/>
                <w:szCs w:val="21"/>
                <w:lang w:bidi="ar"/>
              </w:rPr>
            </w:pPr>
            <w:r>
              <w:rPr>
                <w:rFonts w:hint="eastAsia" w:ascii="宋体" w:hAnsi="宋体"/>
                <w:bCs/>
                <w:color w:val="000000"/>
                <w:sz w:val="24"/>
                <w:szCs w:val="21"/>
                <w:lang w:bidi="ar"/>
              </w:rPr>
              <w:t xml:space="preserve">根据投标人提供的应急方案及服务保障承诺方案（投标人根据自身情况，除基本服务质量要求外，在保持车辆车身内外整洁，以顾客为中心的服务保障创新，驾驶员按时接送站和安全文明驾驶的控制机制，服务监督、应急、重大活动服务保障的人员、车辆、工作机制等方面提供相应方案和承诺）进行综合评定。方案完善、与实际情况贴合、可行性强的得5分；方案基本符合要求，可行性一般的得3分；方案有所欠缺的得1分；未作说明的不得分。</w:t>
            </w:r>
            <w:r/>
          </w:p>
        </w:tc>
      </w:tr>
      <w:tr>
        <w:trPr>
          <w:jc w:val="center"/>
          <w:trHeight w:val="698"/>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bCs/>
                <w:color w:val="000000"/>
                <w:sz w:val="24"/>
                <w:szCs w:val="21"/>
                <w:lang w:bidi="ar"/>
              </w:rPr>
            </w:pPr>
            <w:r>
              <w:rPr>
                <w:rFonts w:hint="eastAsia" w:ascii="宋体" w:hAnsi="宋体"/>
                <w:bCs/>
                <w:color w:val="000000"/>
                <w:sz w:val="24"/>
                <w:szCs w:val="21"/>
                <w:lang w:bidi="ar"/>
              </w:rPr>
              <w:t xml:space="preserve">从业人员岗位培训情况</w:t>
            </w:r>
            <w:r/>
          </w:p>
        </w:tc>
        <w:tc>
          <w:tcPr>
            <w:shd w:val="clear" w:color="auto" w:fill="auto"/>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rPr>
                <w:rFonts w:ascii="宋体" w:hAnsi="宋体" w:cs="宋体"/>
                <w:sz w:val="24"/>
                <w:szCs w:val="24"/>
                <w:lang w:bidi="ar"/>
              </w:rPr>
            </w:pPr>
            <w:r>
              <w:rPr>
                <w:rFonts w:hint="eastAsia" w:ascii="宋体" w:hAnsi="宋体" w:cs="宋体"/>
                <w:sz w:val="24"/>
                <w:szCs w:val="24"/>
                <w:lang w:bidi="ar"/>
              </w:rPr>
              <w:t xml:space="preserve">4分</w:t>
            </w:r>
            <w:r/>
          </w:p>
        </w:tc>
        <w:tc>
          <w:tcPr>
            <w:shd w:val="clear" w:color="auto" w:fill="auto"/>
            <w:tcBorders>
              <w:top w:val="single" w:color="auto" w:sz="4" w:space="0"/>
              <w:left w:val="single" w:color="auto" w:sz="4" w:space="0"/>
              <w:bottom w:val="single" w:color="auto" w:sz="4" w:space="0"/>
              <w:right w:val="single" w:color="auto" w:sz="4" w:space="0"/>
            </w:tcBorders>
            <w:tcW w:w="6852" w:type="dxa"/>
            <w:vAlign w:val="center"/>
            <w:textDirection w:val="lrTb"/>
            <w:noWrap w:val="false"/>
          </w:tcPr>
          <w:p>
            <w:pPr>
              <w:widowControl/>
              <w:rPr>
                <w:rFonts w:ascii="宋体" w:hAnsi="宋体"/>
                <w:bCs/>
                <w:color w:val="000000"/>
                <w:sz w:val="24"/>
                <w:szCs w:val="21"/>
                <w:lang w:bidi="ar"/>
              </w:rPr>
            </w:pPr>
            <w:r>
              <w:rPr>
                <w:rFonts w:hint="eastAsia" w:ascii="宋体" w:hAnsi="宋体"/>
                <w:bCs/>
                <w:color w:val="000000"/>
                <w:sz w:val="24"/>
                <w:szCs w:val="21"/>
                <w:lang w:bidi="ar"/>
              </w:rPr>
              <w:t xml:space="preserve">根据投标人提供的从业人员岗位培训情况方案（驾驶员或运营人员聘用程序规范、从业资质符合要求，岗前培训、安全教育培训有长效机制，从业行为考核奖罚分明，安全告诫（行车提醒）方案、行车日志方案完备，防止疲劳驾驶、超速行驶管理措施有操作性等情况完整规范。）进行综合评定。方案完善、与实际情况贴合、可行性强的得4分；方案基本符合要求，可行性一般的得2.5分；方案有所欠缺的得1分；未作说明的不得分。</w:t>
            </w:r>
            <w:r/>
          </w:p>
        </w:tc>
      </w:tr>
      <w:tr>
        <w:trPr>
          <w:jc w:val="center"/>
          <w:trHeight w:val="698"/>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bCs/>
                <w:color w:val="000000"/>
                <w:sz w:val="24"/>
                <w:szCs w:val="21"/>
                <w:lang w:bidi="ar"/>
              </w:rPr>
            </w:pPr>
            <w:r>
              <w:rPr>
                <w:rFonts w:hint="eastAsia" w:ascii="宋体" w:hAnsi="宋体"/>
                <w:bCs/>
                <w:color w:val="000000"/>
                <w:sz w:val="24"/>
                <w:szCs w:val="21"/>
                <w:lang w:bidi="ar"/>
              </w:rPr>
              <w:t xml:space="preserve">安全管理方案及措施</w:t>
            </w:r>
            <w:r/>
          </w:p>
        </w:tc>
        <w:tc>
          <w:tcPr>
            <w:shd w:val="clear" w:color="auto" w:fill="auto"/>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rPr>
                <w:rFonts w:ascii="宋体" w:hAnsi="宋体" w:cs="宋体"/>
                <w:sz w:val="24"/>
                <w:szCs w:val="24"/>
                <w:lang w:bidi="ar"/>
              </w:rPr>
            </w:pPr>
            <w:r>
              <w:rPr>
                <w:rFonts w:hint="eastAsia" w:ascii="宋体" w:hAnsi="宋体" w:cs="宋体"/>
                <w:sz w:val="24"/>
                <w:szCs w:val="24"/>
                <w:lang w:bidi="ar"/>
              </w:rPr>
              <w:t xml:space="preserve">5分</w:t>
            </w:r>
            <w:r/>
          </w:p>
        </w:tc>
        <w:tc>
          <w:tcPr>
            <w:shd w:val="clear" w:color="auto" w:fill="auto"/>
            <w:tcBorders>
              <w:top w:val="single" w:color="auto" w:sz="4" w:space="0"/>
              <w:left w:val="single" w:color="auto" w:sz="4" w:space="0"/>
              <w:bottom w:val="single" w:color="auto" w:sz="4" w:space="0"/>
              <w:right w:val="single" w:color="auto" w:sz="4" w:space="0"/>
            </w:tcBorders>
            <w:tcW w:w="6852" w:type="dxa"/>
            <w:vAlign w:val="center"/>
            <w:textDirection w:val="lrTb"/>
            <w:noWrap w:val="false"/>
          </w:tcPr>
          <w:p>
            <w:pPr>
              <w:widowControl/>
              <w:rPr>
                <w:rFonts w:ascii="宋体" w:hAnsi="宋体"/>
                <w:bCs/>
                <w:color w:val="000000"/>
                <w:sz w:val="24"/>
                <w:szCs w:val="21"/>
                <w:lang w:bidi="ar"/>
              </w:rPr>
            </w:pPr>
            <w:r>
              <w:rPr>
                <w:rFonts w:hint="eastAsia" w:ascii="宋体" w:hAnsi="宋体"/>
                <w:bCs/>
                <w:color w:val="000000"/>
                <w:sz w:val="24"/>
                <w:szCs w:val="21"/>
                <w:lang w:bidi="ar"/>
              </w:rPr>
              <w:t xml:space="preserve">根据投标人提供的安全管理方案及措施方案（客运驾驶员管理、车辆管理、动态监控、运输组织、安全生产操作规程、安全生产管理制度等情况。）进行综合评定。方案完善、与实际情况贴合、可行性强的得5分；方案基本符合要求，可行性一般的得3分；方案有所欠缺的得1分；未作说明的不得分。</w:t>
            </w:r>
            <w:r/>
          </w:p>
        </w:tc>
      </w:tr>
    </w:tbl>
    <w:p>
      <w:pPr>
        <w:ind w:firstLine="482"/>
        <w:spacing w:line="460" w:lineRule="exact"/>
        <w:rPr>
          <w:rFonts w:ascii="宋体" w:hAnsi="宋体" w:cs="宋体"/>
          <w:b/>
          <w:sz w:val="24"/>
          <w:szCs w:val="20"/>
        </w:rPr>
      </w:pPr>
      <w:r>
        <w:rPr>
          <w:rFonts w:hint="eastAsia" w:ascii="宋体" w:hAnsi="宋体" w:cs="宋体"/>
          <w:b/>
          <w:sz w:val="24"/>
          <w:szCs w:val="20"/>
          <w:lang w:bidi="ar"/>
        </w:rPr>
        <w:t xml:space="preserve">3、人员及车辆28分</w:t>
      </w:r>
      <w:r/>
    </w:p>
    <w:tbl>
      <w:tblPr>
        <w:tblStyle w:val="689"/>
        <w:tblW w:w="984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238"/>
        <w:gridCol w:w="888"/>
        <w:gridCol w:w="6908"/>
      </w:tblGrid>
      <w:tr>
        <w:trPr>
          <w:jc w:val="center"/>
          <w:trHeight w:val="464"/>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宋体" w:hAnsi="宋体" w:cs="宋体"/>
                <w:sz w:val="24"/>
                <w:szCs w:val="20"/>
              </w:rPr>
            </w:pPr>
            <w:r>
              <w:rPr>
                <w:rFonts w:hint="eastAsia" w:ascii="宋体" w:hAnsi="宋体" w:cs="宋体"/>
                <w:sz w:val="24"/>
                <w:szCs w:val="20"/>
                <w:lang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rPr>
                <w:rFonts w:ascii="宋体" w:hAnsi="宋体" w:cs="宋体"/>
                <w:sz w:val="24"/>
                <w:szCs w:val="20"/>
              </w:rPr>
            </w:pPr>
            <w:r>
              <w:rPr>
                <w:rFonts w:hint="eastAsia" w:ascii="宋体" w:hAnsi="宋体" w:cs="宋体"/>
                <w:sz w:val="24"/>
                <w:szCs w:val="20"/>
                <w:lang w:bidi="ar"/>
              </w:rPr>
              <w:t xml:space="preserve">评审因素</w:t>
            </w:r>
            <w:r/>
          </w:p>
        </w:tc>
        <w:tc>
          <w:tcPr>
            <w:shd w:val="clear" w:color="auto" w:fill="auto"/>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rPr>
                <w:rFonts w:ascii="宋体" w:hAnsi="宋体" w:cs="宋体"/>
                <w:sz w:val="24"/>
                <w:szCs w:val="20"/>
              </w:rPr>
            </w:pPr>
            <w:r>
              <w:rPr>
                <w:rFonts w:hint="eastAsia" w:ascii="宋体" w:hAnsi="宋体" w:cs="宋体"/>
                <w:sz w:val="24"/>
                <w:szCs w:val="20"/>
                <w:lang w:bidi="ar"/>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W w:w="6908" w:type="dxa"/>
            <w:vAlign w:val="center"/>
            <w:textDirection w:val="lrTb"/>
            <w:noWrap w:val="false"/>
          </w:tcPr>
          <w:p>
            <w:pPr>
              <w:jc w:val="center"/>
              <w:rPr>
                <w:rFonts w:ascii="宋体" w:hAnsi="宋体" w:cs="宋体"/>
                <w:sz w:val="24"/>
                <w:szCs w:val="20"/>
              </w:rPr>
            </w:pPr>
            <w:r>
              <w:rPr>
                <w:rFonts w:hint="eastAsia" w:ascii="宋体" w:hAnsi="宋体" w:cs="宋体"/>
                <w:sz w:val="24"/>
                <w:szCs w:val="20"/>
                <w:lang w:bidi="ar"/>
              </w:rPr>
              <w:t xml:space="preserve">评分标准</w:t>
            </w:r>
            <w:r/>
          </w:p>
        </w:tc>
      </w:tr>
      <w:tr>
        <w:trPr>
          <w:jc w:val="center"/>
          <w:trHeight w:val="104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0"/>
                <w:lang w:bidi="ar"/>
              </w:rPr>
              <w:t xml:space="preserve">驾驶人员</w:t>
            </w:r>
            <w:r/>
          </w:p>
        </w:tc>
        <w:tc>
          <w:tcPr>
            <w:shd w:val="clear" w:color="auto" w:fill="auto"/>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10分</w:t>
            </w:r>
            <w:r/>
          </w:p>
        </w:tc>
        <w:tc>
          <w:tcPr>
            <w:shd w:val="clear" w:color="auto" w:fill="auto"/>
            <w:tcBorders>
              <w:top w:val="single" w:color="auto" w:sz="4" w:space="0"/>
              <w:left w:val="single" w:color="auto" w:sz="4" w:space="0"/>
              <w:bottom w:val="single" w:color="auto" w:sz="4" w:space="0"/>
              <w:right w:val="single" w:color="auto" w:sz="4" w:space="0"/>
            </w:tcBorders>
            <w:tcW w:w="6908" w:type="dxa"/>
            <w:textDirection w:val="lrTb"/>
            <w:noWrap w:val="false"/>
          </w:tcPr>
          <w:p>
            <w:pPr>
              <w:numPr>
                <w:ilvl w:val="0"/>
                <w:numId w:val="5"/>
              </w:numPr>
              <w:jc w:val="left"/>
              <w:tabs>
                <w:tab w:val="left" w:pos="430"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投标人提供的驾驶人员满足项目需求的得基本分6分。</w:t>
            </w:r>
            <w:r/>
          </w:p>
          <w:p>
            <w:pPr>
              <w:jc w:val="left"/>
              <w:tabs>
                <w:tab w:val="left" w:pos="430" w:leader="none"/>
              </w:tabs>
              <w:rPr>
                <w:rFonts w:ascii="宋体" w:hAnsi="宋体" w:cs="宋体"/>
                <w:sz w:val="24"/>
                <w:szCs w:val="20"/>
                <w:lang w:bidi="ar"/>
              </w:rPr>
            </w:pPr>
            <w:r>
              <w:rPr>
                <w:rFonts w:hint="eastAsia" w:ascii="宋体" w:hAnsi="宋体" w:cs="宋体"/>
                <w:color w:val="000000"/>
                <w:sz w:val="24"/>
                <w:szCs w:val="24"/>
                <w:lang w:bidi="ar"/>
              </w:rPr>
              <w:t xml:space="preserve">2、在满足项目采购需求驾驶人员要求基础上</w:t>
            </w:r>
            <w:r>
              <w:rPr>
                <w:rFonts w:hint="eastAsia" w:ascii="宋体" w:hAnsi="宋体" w:cs="宋体"/>
                <w:sz w:val="24"/>
                <w:szCs w:val="24"/>
                <w:lang w:bidi="ar"/>
              </w:rPr>
              <w:t xml:space="preserve">，每增加1人得1分，最高加4分。</w:t>
            </w:r>
            <w:r>
              <w:rPr>
                <w:rFonts w:hint="eastAsia"/>
                <w:b/>
                <w:sz w:val="24"/>
                <w:szCs w:val="24"/>
              </w:rPr>
              <w:t xml:space="preserve">注：投标文件中须提供驾驶员身份证、驾驶证及投标人为其缴纳的近3个月中任意一个月的社保证明材料扫描件，未提供的不得分。</w:t>
            </w:r>
            <w:r/>
          </w:p>
        </w:tc>
      </w:tr>
      <w:tr>
        <w:trPr>
          <w:jc w:val="center"/>
          <w:trHeight w:val="1286"/>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车辆条件</w:t>
            </w:r>
            <w:r/>
          </w:p>
        </w:tc>
        <w:tc>
          <w:tcPr>
            <w:shd w:val="clear" w:color="auto" w:fill="auto"/>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16分</w:t>
            </w:r>
            <w:r/>
          </w:p>
        </w:tc>
        <w:tc>
          <w:tcPr>
            <w:shd w:val="clear" w:color="auto" w:fill="auto"/>
            <w:tcBorders>
              <w:top w:val="single" w:color="auto" w:sz="4" w:space="0"/>
              <w:left w:val="single" w:color="auto" w:sz="4" w:space="0"/>
              <w:bottom w:val="single" w:color="auto" w:sz="4" w:space="0"/>
              <w:right w:val="single" w:color="auto" w:sz="4" w:space="0"/>
            </w:tcBorders>
            <w:tcW w:w="6908" w:type="dxa"/>
            <w:textDirection w:val="lrTb"/>
            <w:noWrap w:val="false"/>
          </w:tcPr>
          <w:p>
            <w:pPr>
              <w:jc w:val="left"/>
              <w:tabs>
                <w:tab w:val="left" w:pos="430"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投标人提供的自有或租赁的各车型数量全部满足项目需求的得基本分10分。</w:t>
            </w:r>
            <w:r/>
          </w:p>
          <w:p>
            <w:pPr>
              <w:jc w:val="left"/>
              <w:tabs>
                <w:tab w:val="left" w:pos="430"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1、投标人在满足项目采购需求车辆要求基础上，每多提供一辆属于投标人自有或租赁的5座轿车的得0.5分，最多得1分,并承诺当采购人需要用车时，无条件满足要求。</w:t>
            </w:r>
            <w:r/>
          </w:p>
          <w:p>
            <w:pPr>
              <w:jc w:val="left"/>
              <w:tabs>
                <w:tab w:val="left" w:pos="430"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2、投标人在满足项目采购需求车辆要求基础上，每多提供一辆属于投标人自有或租赁的7座商务车的得0.5分，最多得1分,并承诺当采购人需要用车时，无条件满足要求。</w:t>
            </w:r>
            <w:r/>
          </w:p>
          <w:p>
            <w:pPr>
              <w:jc w:val="left"/>
              <w:tabs>
                <w:tab w:val="left" w:pos="430"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3、投标人在满足项目采购需求车辆要求基础上，每多提供一辆属于投标人自有或租赁的13—17座中型客车的得0.5分，最多得1分,并承诺当采购人需要用车时，无条件满足要求。</w:t>
            </w:r>
            <w:r/>
          </w:p>
          <w:p>
            <w:pPr>
              <w:jc w:val="left"/>
              <w:tabs>
                <w:tab w:val="left" w:pos="430"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4、投标人在满足项目采购需求车辆要求基础上，每多提供一辆属于投标人自有或租赁的19—35座大型客车的得0.5分，最多得1分,并承诺当采购人需要用车时，无条件满足要求。</w:t>
            </w:r>
            <w:r/>
          </w:p>
          <w:p>
            <w:pPr>
              <w:jc w:val="left"/>
              <w:tabs>
                <w:tab w:val="left" w:pos="430"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5、投标人在满足项目采购需求车辆要求基础上，每多提供一辆属于投标人自有或租赁的45座及以上大客车的得0.5分，最多得1分,并承诺当采购人需要用车时，无条件满足要求。</w:t>
            </w:r>
            <w:r/>
          </w:p>
          <w:p>
            <w:pPr>
              <w:jc w:val="left"/>
              <w:tabs>
                <w:tab w:val="left" w:pos="430"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6、投标人在满足项目采购需求车辆要求基础上，每多提供一辆属于投标人自有或租赁的新能源5座轿车的得0.5分，最多得1分,并承诺当采购人需要用车时，无条件满足要求。</w:t>
            </w:r>
            <w:r/>
          </w:p>
          <w:p>
            <w:pPr>
              <w:jc w:val="left"/>
              <w:tabs>
                <w:tab w:val="left" w:pos="430" w:leader="none"/>
              </w:tabs>
              <w:rPr>
                <w:rFonts w:ascii="宋体" w:hAnsi="宋体" w:cs="宋体"/>
                <w:color w:val="000000"/>
                <w:sz w:val="24"/>
                <w:szCs w:val="24"/>
                <w:lang w:bidi="ar"/>
              </w:rPr>
            </w:pPr>
            <w:r>
              <w:rPr>
                <w:rFonts w:hint="eastAsia"/>
                <w:b/>
                <w:sz w:val="24"/>
                <w:szCs w:val="24"/>
              </w:rPr>
              <w:t xml:space="preserve">注：投标文件中自有的需提供行驶证及承诺函（承诺函需盖章），租赁的需提供行驶证、租赁合同及承诺函（承诺函需盖章）未提供的不得分。（承诺函格式自拟）</w:t>
            </w:r>
            <w:r/>
          </w:p>
        </w:tc>
      </w:tr>
      <w:tr>
        <w:trPr>
          <w:jc w:val="center"/>
          <w:trHeight w:val="1335"/>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widowControl/>
              <w:rPr>
                <w:rFonts w:ascii="宋体" w:hAnsi="宋体" w:cs="宋体"/>
                <w:sz w:val="24"/>
                <w:szCs w:val="24"/>
                <w:lang w:val="zh-CN"/>
              </w:rPr>
            </w:pPr>
            <w:r>
              <w:rPr>
                <w:rFonts w:ascii="宋体" w:hAnsi="宋体" w:cs="宋体"/>
                <w:sz w:val="24"/>
                <w:szCs w:val="24"/>
                <w:lang w:val="zh-CN"/>
              </w:rPr>
              <w:t xml:space="preserve">安全资质条件</w:t>
            </w:r>
            <w:r/>
          </w:p>
        </w:tc>
        <w:tc>
          <w:tcPr>
            <w:shd w:val="clear" w:color="auto" w:fill="auto"/>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widowControl/>
              <w:rPr>
                <w:rFonts w:ascii="宋体" w:hAnsi="宋体" w:cs="宋体"/>
                <w:sz w:val="24"/>
                <w:szCs w:val="24"/>
                <w:lang w:val="zh-CN"/>
              </w:rPr>
            </w:pPr>
            <w:r>
              <w:rPr>
                <w:rFonts w:hint="eastAsia" w:ascii="宋体" w:hAnsi="宋体" w:cs="宋体"/>
                <w:sz w:val="24"/>
                <w:szCs w:val="24"/>
                <w:lang w:bidi="ar"/>
              </w:rPr>
              <w:t xml:space="preserve">2</w:t>
            </w:r>
            <w:r>
              <w:rPr>
                <w:rFonts w:hint="eastAsia" w:ascii="宋体" w:hAnsi="宋体" w:cs="宋体"/>
                <w:sz w:val="24"/>
                <w:szCs w:val="24"/>
                <w:lang w:val="zh-CN"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908" w:type="dxa"/>
            <w:textDirection w:val="lrTb"/>
            <w:noWrap w:val="false"/>
          </w:tcPr>
          <w:p>
            <w:pPr>
              <w:jc w:val="left"/>
              <w:tabs>
                <w:tab w:val="left" w:pos="430" w:leader="none"/>
              </w:tabs>
              <w:rPr>
                <w:rFonts w:ascii="宋体" w:hAnsi="宋体" w:cs="宋体"/>
                <w:sz w:val="24"/>
                <w:szCs w:val="20"/>
                <w:lang w:val="zh-CN" w:bidi="ar"/>
              </w:rPr>
            </w:pPr>
            <w:r>
              <w:rPr>
                <w:rFonts w:ascii="宋体" w:hAnsi="宋体" w:cs="宋体"/>
                <w:sz w:val="24"/>
                <w:szCs w:val="20"/>
                <w:lang w:val="zh-CN" w:bidi="ar"/>
              </w:rPr>
              <w:t xml:space="preserve">投标人承诺投入运营的全部车辆</w:t>
            </w:r>
            <w:r>
              <w:rPr>
                <w:rFonts w:hint="eastAsia" w:ascii="宋体" w:hAnsi="宋体"/>
                <w:bCs/>
                <w:color w:val="000000"/>
                <w:sz w:val="24"/>
                <w:szCs w:val="21"/>
                <w:lang w:bidi="ar"/>
              </w:rPr>
              <w:t xml:space="preserve">连续5年安全出车超过150万公里，未发生过重大及以上等级安全事故（一次造成死亡1至2人，或者重伤3人以上10人以下，或者财产损失3万元以上不足6万元的事故）的</w:t>
            </w:r>
            <w:r>
              <w:rPr>
                <w:rFonts w:ascii="宋体" w:hAnsi="宋体" w:cs="宋体"/>
                <w:sz w:val="24"/>
                <w:szCs w:val="20"/>
                <w:lang w:val="zh-CN" w:bidi="ar"/>
              </w:rPr>
              <w:t xml:space="preserve">，得</w:t>
            </w:r>
            <w:r>
              <w:rPr>
                <w:rFonts w:hint="eastAsia" w:ascii="宋体" w:hAnsi="宋体" w:cs="宋体"/>
                <w:sz w:val="24"/>
                <w:szCs w:val="20"/>
                <w:lang w:bidi="ar"/>
              </w:rPr>
              <w:t xml:space="preserve">2</w:t>
            </w:r>
            <w:r>
              <w:rPr>
                <w:rFonts w:ascii="宋体" w:hAnsi="宋体" w:cs="宋体"/>
                <w:sz w:val="24"/>
                <w:szCs w:val="20"/>
                <w:lang w:val="zh-CN" w:bidi="ar"/>
              </w:rPr>
              <w:t xml:space="preserve">分，未提供不得分。</w:t>
            </w:r>
            <w:r>
              <w:rPr>
                <w:rFonts w:hint="eastAsia"/>
                <w:b/>
                <w:sz w:val="24"/>
                <w:szCs w:val="24"/>
              </w:rPr>
              <w:t xml:space="preserve">投标文件中须提供承诺函（承诺函需盖章），未提供的不得分。（承诺函格式自拟）</w:t>
            </w:r>
            <w:r/>
          </w:p>
        </w:tc>
      </w:tr>
    </w:tbl>
    <w:p>
      <w:pPr>
        <w:ind w:firstLine="482"/>
        <w:spacing w:line="460" w:lineRule="exact"/>
        <w:rPr>
          <w:rFonts w:ascii="宋体" w:hAnsi="宋体" w:cs="宋体"/>
          <w:b/>
          <w:sz w:val="24"/>
          <w:szCs w:val="20"/>
        </w:rPr>
      </w:pPr>
      <w:r>
        <w:rPr>
          <w:rFonts w:hint="eastAsia" w:ascii="宋体" w:hAnsi="宋体" w:cs="宋体"/>
          <w:b/>
          <w:sz w:val="24"/>
          <w:szCs w:val="20"/>
          <w:lang w:bidi="ar"/>
        </w:rPr>
        <w:t xml:space="preserve">5、综合能力10分</w:t>
      </w:r>
      <w:r/>
    </w:p>
    <w:tbl>
      <w:tblPr>
        <w:tblStyle w:val="689"/>
        <w:tblW w:w="98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8"/>
        <w:gridCol w:w="1276"/>
        <w:gridCol w:w="882"/>
        <w:gridCol w:w="6914"/>
      </w:tblGrid>
      <w:tr>
        <w:trPr>
          <w:jc w:val="center"/>
          <w:trHeight w:val="487"/>
        </w:trPr>
        <w:tc>
          <w:tcPr>
            <w:shd w:val="clear" w:color="auto" w:fill="auto"/>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宋体" w:hAnsi="宋体" w:cs="宋体"/>
                <w:sz w:val="24"/>
                <w:szCs w:val="20"/>
              </w:rPr>
            </w:pPr>
            <w:r>
              <w:rPr>
                <w:rFonts w:hint="eastAsia" w:ascii="宋体" w:hAnsi="宋体" w:cs="宋体"/>
                <w:sz w:val="24"/>
                <w:szCs w:val="20"/>
                <w:lang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s="宋体"/>
                <w:sz w:val="24"/>
                <w:szCs w:val="20"/>
              </w:rPr>
            </w:pPr>
            <w:r>
              <w:rPr>
                <w:rFonts w:hint="eastAsia" w:ascii="宋体" w:hAnsi="宋体" w:cs="宋体"/>
                <w:sz w:val="24"/>
                <w:szCs w:val="20"/>
                <w:lang w:bidi="ar"/>
              </w:rPr>
              <w:t xml:space="preserve">评审因素</w:t>
            </w:r>
            <w:r/>
          </w:p>
        </w:tc>
        <w:tc>
          <w:tcPr>
            <w:shd w:val="clear" w:color="auto" w:fill="auto"/>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jc w:val="center"/>
              <w:rPr>
                <w:rFonts w:ascii="宋体" w:hAnsi="宋体" w:cs="宋体"/>
                <w:sz w:val="24"/>
                <w:szCs w:val="20"/>
              </w:rPr>
            </w:pPr>
            <w:r>
              <w:rPr>
                <w:rFonts w:hint="eastAsia" w:ascii="宋体" w:hAnsi="宋体" w:cs="宋体"/>
                <w:sz w:val="24"/>
                <w:szCs w:val="20"/>
                <w:lang w:bidi="ar"/>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jc w:val="center"/>
              <w:rPr>
                <w:rFonts w:ascii="宋体" w:hAnsi="宋体" w:cs="宋体"/>
                <w:sz w:val="24"/>
                <w:szCs w:val="20"/>
              </w:rPr>
            </w:pPr>
            <w:r>
              <w:rPr>
                <w:rFonts w:hint="eastAsia" w:ascii="宋体" w:hAnsi="宋体" w:cs="宋体"/>
                <w:sz w:val="24"/>
                <w:szCs w:val="20"/>
                <w:lang w:bidi="ar"/>
              </w:rPr>
              <w:t xml:space="preserve">评分标准</w:t>
            </w:r>
            <w:r/>
          </w:p>
        </w:tc>
      </w:tr>
      <w:tr>
        <w:trPr>
          <w:jc w:val="center"/>
          <w:trHeight w:val="822"/>
        </w:trPr>
        <w:tc>
          <w:tcPr>
            <w:shd w:val="clear" w:color="auto" w:fill="auto"/>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宋体" w:hAnsi="宋体" w:cs="宋体"/>
                <w:sz w:val="24"/>
                <w:szCs w:val="20"/>
              </w:rPr>
            </w:pPr>
            <w:r>
              <w:rPr>
                <w:rFonts w:hint="eastAsia" w:ascii="宋体" w:hAnsi="宋体" w:cs="宋体"/>
                <w:sz w:val="24"/>
                <w:szCs w:val="20"/>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tabs>
                <w:tab w:val="left" w:pos="430" w:leader="none"/>
              </w:tabs>
              <w:rPr>
                <w:rFonts w:ascii="宋体" w:hAnsi="宋体" w:cs="宋体"/>
                <w:sz w:val="24"/>
                <w:szCs w:val="20"/>
              </w:rPr>
            </w:pPr>
            <w:r>
              <w:rPr>
                <w:rFonts w:hint="eastAsia" w:ascii="宋体" w:hAnsi="宋体" w:cs="宋体"/>
                <w:sz w:val="24"/>
                <w:szCs w:val="20"/>
                <w:lang w:bidi="ar"/>
              </w:rPr>
              <w:t xml:space="preserve">商务条件响应性</w:t>
            </w:r>
            <w:r/>
          </w:p>
        </w:tc>
        <w:tc>
          <w:tcPr>
            <w:shd w:val="clear" w:color="auto" w:fill="auto"/>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jc w:val="center"/>
              <w:rPr>
                <w:rFonts w:ascii="宋体" w:hAnsi="宋体" w:cs="宋体"/>
                <w:sz w:val="24"/>
                <w:szCs w:val="20"/>
              </w:rPr>
            </w:pPr>
            <w:r>
              <w:rPr>
                <w:rFonts w:hint="eastAsia" w:ascii="宋体" w:hAnsi="宋体" w:cs="宋体"/>
                <w:sz w:val="24"/>
                <w:szCs w:val="20"/>
                <w:lang w:bidi="ar"/>
              </w:rPr>
              <w:t xml:space="preserve">2分</w:t>
            </w:r>
            <w:r/>
          </w:p>
        </w:tc>
        <w:tc>
          <w:tcPr>
            <w:shd w:val="clear" w:color="auto" w:fill="auto"/>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jc w:val="left"/>
              <w:tabs>
                <w:tab w:val="left" w:pos="430" w:leader="none"/>
              </w:tabs>
              <w:rPr>
                <w:rFonts w:ascii="宋体" w:hAnsi="宋体" w:cs="宋体"/>
                <w:sz w:val="24"/>
                <w:szCs w:val="20"/>
              </w:rPr>
            </w:pPr>
            <w:r>
              <w:rPr>
                <w:rFonts w:hint="eastAsia" w:ascii="宋体" w:hAnsi="宋体" w:cs="宋体"/>
                <w:sz w:val="24"/>
                <w:szCs w:val="20"/>
                <w:lang w:bidi="ar"/>
              </w:rPr>
              <w:t xml:space="preserve">投标人对招标文件中合同条款等商务条件完全响应的得2分，</w:t>
            </w:r>
            <w:r>
              <w:rPr>
                <w:rFonts w:hint="eastAsia" w:ascii="宋体" w:hAnsi="宋体" w:cs="宋体"/>
                <w:sz w:val="24"/>
                <w:szCs w:val="24"/>
                <w:lang w:bidi="ar"/>
              </w:rPr>
              <w:t xml:space="preserve">有负偏离的每条扣0.1分；扣完为止。</w:t>
            </w:r>
            <w:r/>
          </w:p>
        </w:tc>
      </w:tr>
      <w:tr>
        <w:trPr>
          <w:jc w:val="center"/>
          <w:trHeight w:val="1430"/>
        </w:trPr>
        <w:tc>
          <w:tcPr>
            <w:shd w:val="clear" w:color="auto" w:fill="auto"/>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宋体" w:hAnsi="宋体" w:cs="宋体"/>
                <w:sz w:val="24"/>
                <w:szCs w:val="20"/>
              </w:rPr>
            </w:pPr>
            <w:r>
              <w:rPr>
                <w:rFonts w:hint="eastAsia" w:ascii="宋体" w:hAnsi="宋体" w:cs="宋体"/>
                <w:sz w:val="24"/>
                <w:szCs w:val="20"/>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s="宋体"/>
                <w:sz w:val="28"/>
                <w:szCs w:val="24"/>
              </w:rPr>
            </w:pPr>
            <w:r>
              <w:rPr>
                <w:rFonts w:hint="eastAsia" w:ascii="宋体" w:hAnsi="宋体" w:cs="宋体"/>
                <w:sz w:val="24"/>
                <w:szCs w:val="20"/>
                <w:lang w:bidi="ar"/>
              </w:rPr>
              <w:t xml:space="preserve">业绩情况</w:t>
            </w:r>
            <w:r/>
          </w:p>
        </w:tc>
        <w:tc>
          <w:tcPr>
            <w:shd w:val="clear" w:color="auto" w:fill="auto"/>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jc w:val="center"/>
              <w:spacing w:line="480" w:lineRule="exact"/>
              <w:rPr>
                <w:rFonts w:ascii="宋体" w:hAnsi="宋体" w:cs="宋体"/>
                <w:sz w:val="24"/>
                <w:szCs w:val="20"/>
              </w:rPr>
            </w:pPr>
            <w:r>
              <w:rPr>
                <w:rFonts w:hint="eastAsia" w:ascii="宋体" w:hAnsi="宋体" w:cs="宋体"/>
                <w:sz w:val="24"/>
                <w:szCs w:val="20"/>
                <w:lang w:bidi="ar"/>
              </w:rPr>
              <w:t xml:space="preserve">8分</w:t>
            </w:r>
            <w:r/>
          </w:p>
        </w:tc>
        <w:tc>
          <w:tcPr>
            <w:shd w:val="clear" w:color="auto" w:fill="auto"/>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jc w:val="left"/>
              <w:rPr>
                <w:rFonts w:ascii="宋体" w:hAnsi="宋体" w:cs="宋体"/>
                <w:sz w:val="24"/>
                <w:szCs w:val="24"/>
              </w:rPr>
            </w:pPr>
            <w:r>
              <w:rPr>
                <w:rFonts w:hint="eastAsia" w:ascii="宋体" w:hAnsi="宋体" w:cs="宋体"/>
                <w:sz w:val="24"/>
                <w:szCs w:val="24"/>
                <w:lang w:bidi="ar"/>
              </w:rPr>
              <w:t xml:space="preserve">根据投标人自2023年1月1日至今（时间以合同签订日期为准）承接过的</w:t>
            </w:r>
            <w:r>
              <w:rPr>
                <w:rFonts w:hint="eastAsia" w:ascii="宋体" w:hAnsi="宋体" w:cs="宋体"/>
                <w:sz w:val="24"/>
                <w:szCs w:val="24"/>
                <w:lang w:bidi="ar"/>
              </w:rPr>
              <w:t xml:space="preserve">车辆租赁服务</w:t>
            </w:r>
            <w:r>
              <w:rPr>
                <w:rFonts w:hint="eastAsia" w:ascii="宋体" w:hAnsi="宋体" w:cs="宋体"/>
                <w:sz w:val="24"/>
                <w:szCs w:val="24"/>
                <w:lang w:bidi="ar"/>
              </w:rPr>
              <w:t xml:space="preserve">项目业绩情况进行评定，每提供一个得2分，最高得8分。</w:t>
            </w:r>
            <w:r>
              <w:rPr>
                <w:rFonts w:hint="eastAsia" w:ascii="宋体" w:hAnsi="宋体" w:cs="宋体"/>
                <w:b/>
                <w:sz w:val="24"/>
                <w:szCs w:val="20"/>
                <w:lang w:bidi="ar"/>
              </w:rPr>
              <w:t xml:space="preserve">（投标文件中提供合同的证明材料，未提供的不得分）</w:t>
            </w:r>
            <w:r/>
          </w:p>
        </w:tc>
      </w:tr>
    </w:tbl>
    <w:p>
      <w:pPr>
        <w:spacing w:line="480" w:lineRule="exact"/>
        <w:rPr>
          <w:b/>
          <w:bCs/>
          <w:color w:val="000000" w:themeColor="text1"/>
          <w:sz w:val="28"/>
          <w14:textFill>
            <w14:solidFill>
              <w14:schemeClr w14:val="tx1"/>
            </w14:solidFill>
          </w14:textFill>
        </w:rPr>
      </w:pPr>
      <w:r>
        <w:rPr>
          <w:rFonts w:hint="eastAsia"/>
          <w:b/>
          <w:bCs/>
          <w:color w:val="000000" w:themeColor="text1"/>
          <w:sz w:val="28"/>
          <w14:textFill>
            <w14:solidFill>
              <w14:schemeClr w14:val="tx1"/>
            </w14:solidFill>
          </w14:textFill>
        </w:rPr>
        <w:t xml:space="preserve">三、政府采购政策：</w:t>
      </w:r>
      <w:r/>
    </w:p>
    <w:p>
      <w:pPr>
        <w:ind w:firstLine="360"/>
        <w:spacing w:line="440" w:lineRule="exact"/>
        <w:rPr>
          <w:color w:val="000000"/>
          <w:sz w:val="24"/>
          <w:szCs w:val="20"/>
        </w:rPr>
      </w:pPr>
      <w:r>
        <w:rPr>
          <w:rFonts w:ascii="Times New Roman" w:hAnsi="Times New Roman"/>
          <w:color w:val="000000"/>
          <w:sz w:val="24"/>
          <w:szCs w:val="20"/>
          <w:lang w:bidi="ar"/>
        </w:rPr>
        <w:t xml:space="preserve">1</w:t>
      </w:r>
      <w:r>
        <w:rPr>
          <w:rFonts w:hint="eastAsia" w:ascii="Times New Roman" w:hAnsi="Times New Roman" w:cs="宋体"/>
          <w:color w:val="000000"/>
          <w:sz w:val="24"/>
          <w:szCs w:val="20"/>
          <w:lang w:bidi="ar"/>
        </w:rPr>
        <w:t xml:space="preserve">、针对中小型企业、残疾人福利单位和监狱企业的评审：</w:t>
      </w:r>
      <w:r/>
    </w:p>
    <w:p>
      <w:pPr>
        <w:ind w:firstLine="360"/>
        <w:spacing w:line="440" w:lineRule="exact"/>
        <w:rPr>
          <w:color w:val="000000"/>
          <w:sz w:val="24"/>
          <w:szCs w:val="20"/>
        </w:rPr>
      </w:pPr>
      <w:r>
        <w:rPr>
          <w:rFonts w:hint="eastAsia" w:ascii="Times New Roman" w:hAnsi="Times New Roman" w:cs="宋体"/>
          <w:color w:val="000000"/>
          <w:sz w:val="24"/>
          <w:szCs w:val="20"/>
          <w:lang w:bidi="ar"/>
        </w:rPr>
        <w:t xml:space="preserve">（</w:t>
      </w:r>
      <w:r>
        <w:rPr>
          <w:rFonts w:ascii="Times New Roman" w:hAnsi="Times New Roman"/>
          <w:color w:val="000000"/>
          <w:sz w:val="24"/>
          <w:szCs w:val="20"/>
          <w:lang w:bidi="ar"/>
        </w:rPr>
        <w:t xml:space="preserve">1</w:t>
      </w:r>
      <w:r>
        <w:rPr>
          <w:rFonts w:hint="eastAsia" w:ascii="Times New Roman" w:hAnsi="Times New Roman" w:cs="宋体"/>
          <w:color w:val="000000"/>
          <w:sz w:val="24"/>
          <w:szCs w:val="20"/>
          <w:lang w:bidi="ar"/>
        </w:rPr>
        <w:t xml:space="preserve">）</w:t>
      </w:r>
      <w:r>
        <w:rPr>
          <w:rFonts w:hint="eastAsia" w:ascii="宋体" w:hAnsi="宋体"/>
          <w:sz w:val="24"/>
          <w:szCs w:val="24"/>
        </w:rPr>
        <w:t xml:space="preserve">根据《政府采购促进中小企业发展管理办法》（财库〔</w:t>
      </w:r>
      <w:r>
        <w:rPr>
          <w:rFonts w:ascii="宋体" w:hAnsi="宋体"/>
          <w:sz w:val="24"/>
          <w:szCs w:val="24"/>
        </w:rPr>
        <w:t xml:space="preserve">2020</w:t>
      </w:r>
      <w:r>
        <w:rPr>
          <w:rFonts w:hint="eastAsia" w:ascii="宋体" w:hAnsi="宋体"/>
          <w:sz w:val="24"/>
          <w:szCs w:val="24"/>
        </w:rPr>
        <w:t xml:space="preserve">〕</w:t>
      </w:r>
      <w:r>
        <w:rPr>
          <w:rFonts w:ascii="宋体" w:hAnsi="宋体"/>
          <w:sz w:val="24"/>
          <w:szCs w:val="24"/>
        </w:rPr>
        <w:t xml:space="preserve">46</w:t>
      </w:r>
      <w:r>
        <w:rPr>
          <w:rFonts w:hint="eastAsia" w:ascii="宋体" w:hAnsi="宋体"/>
          <w:sz w:val="24"/>
          <w:szCs w:val="24"/>
        </w:rPr>
        <w:t xml:space="preserve">号）、《关于促进残疾人就业政府采购政策的通知》（财库〔</w:t>
      </w:r>
      <w:r>
        <w:rPr>
          <w:rFonts w:ascii="宋体" w:hAnsi="宋体"/>
          <w:sz w:val="24"/>
          <w:szCs w:val="24"/>
        </w:rPr>
        <w:t xml:space="preserve">2017</w:t>
      </w:r>
      <w:r>
        <w:rPr>
          <w:rFonts w:hint="eastAsia" w:ascii="宋体" w:hAnsi="宋体"/>
          <w:sz w:val="24"/>
          <w:szCs w:val="24"/>
        </w:rPr>
        <w:t xml:space="preserve">〕</w:t>
      </w:r>
      <w:r>
        <w:rPr>
          <w:rFonts w:ascii="宋体" w:hAnsi="宋体"/>
          <w:sz w:val="24"/>
          <w:szCs w:val="24"/>
        </w:rPr>
        <w:t xml:space="preserve">141</w:t>
      </w:r>
      <w:r>
        <w:rPr>
          <w:rFonts w:hint="eastAsia" w:ascii="宋体" w:hAnsi="宋体"/>
          <w:sz w:val="24"/>
          <w:szCs w:val="24"/>
        </w:rPr>
        <w:t xml:space="preserve">号）、《关于政府采购支持监狱企业发展有关问题的通知》（财库〔</w:t>
      </w:r>
      <w:r>
        <w:rPr>
          <w:rFonts w:ascii="宋体" w:hAnsi="宋体"/>
          <w:sz w:val="24"/>
          <w:szCs w:val="24"/>
        </w:rPr>
        <w:t xml:space="preserve">2014</w:t>
      </w:r>
      <w:r>
        <w:rPr>
          <w:rFonts w:hint="eastAsia" w:ascii="宋体" w:hAnsi="宋体"/>
          <w:sz w:val="24"/>
          <w:szCs w:val="24"/>
        </w:rPr>
        <w:t xml:space="preserve">〕</w:t>
      </w:r>
      <w:r>
        <w:rPr>
          <w:rFonts w:ascii="宋体" w:hAnsi="宋体"/>
          <w:sz w:val="24"/>
          <w:szCs w:val="24"/>
        </w:rPr>
        <w:t xml:space="preserve">68</w:t>
      </w:r>
      <w:r>
        <w:rPr>
          <w:rFonts w:hint="eastAsia" w:ascii="宋体" w:hAnsi="宋体"/>
          <w:sz w:val="24"/>
          <w:szCs w:val="24"/>
        </w:rPr>
        <w:t xml:space="preserve">号）和《关于印发＜苏州市政府采购促进中小企业发展实施意见＞的通知》（苏财购〔</w:t>
      </w:r>
      <w:r>
        <w:rPr>
          <w:rFonts w:ascii="宋体" w:hAnsi="宋体"/>
          <w:sz w:val="24"/>
          <w:szCs w:val="24"/>
        </w:rPr>
        <w:t xml:space="preserve">2022</w:t>
      </w:r>
      <w:r>
        <w:rPr>
          <w:rFonts w:hint="eastAsia" w:ascii="宋体" w:hAnsi="宋体"/>
          <w:sz w:val="24"/>
          <w:szCs w:val="24"/>
        </w:rPr>
        <w:t xml:space="preserve">〕</w:t>
      </w:r>
      <w:r>
        <w:rPr>
          <w:rFonts w:ascii="宋体" w:hAnsi="宋体"/>
          <w:sz w:val="24"/>
          <w:szCs w:val="24"/>
        </w:rPr>
        <w:t xml:space="preserve">16</w:t>
      </w:r>
      <w:r>
        <w:rPr>
          <w:rFonts w:hint="eastAsia" w:ascii="宋体" w:hAnsi="宋体"/>
          <w:sz w:val="24"/>
          <w:szCs w:val="24"/>
        </w:rPr>
        <w:t xml:space="preserve">号）</w:t>
      </w:r>
      <w:r>
        <w:rPr>
          <w:rFonts w:hint="eastAsia" w:ascii="Times New Roman" w:hAnsi="Times New Roman" w:cs="宋体"/>
          <w:color w:val="000000"/>
          <w:sz w:val="24"/>
          <w:szCs w:val="20"/>
          <w:lang w:bidi="ar"/>
        </w:rPr>
        <w:t xml:space="preserve">，对属于小微企业、残疾人福利性单位、监狱企业给予评审优惠，其价格给予</w:t>
      </w:r>
      <w:r>
        <w:rPr>
          <w:rFonts w:ascii="Times New Roman" w:hAnsi="Times New Roman"/>
          <w:color w:val="000000"/>
          <w:sz w:val="24"/>
          <w:szCs w:val="20"/>
          <w:lang w:bidi="ar"/>
        </w:rPr>
        <w:t xml:space="preserve">10%</w:t>
      </w:r>
      <w:r>
        <w:rPr>
          <w:rFonts w:hint="eastAsia" w:ascii="Times New Roman" w:hAnsi="Times New Roman" w:cs="宋体"/>
          <w:color w:val="000000"/>
          <w:sz w:val="24"/>
          <w:szCs w:val="20"/>
          <w:lang w:bidi="ar"/>
        </w:rPr>
        <w:t xml:space="preserve">的扣除，用扣除后的价格参与评审，如扣除后的价格为最低价的，则作为评标基准价，中标金额则以实际投标报价为准。残疾人福利性单位、监狱企业属于小型、微型企业的，不重复享受政策。</w:t>
      </w:r>
      <w:r/>
    </w:p>
    <w:p>
      <w:pPr>
        <w:ind w:firstLine="360"/>
        <w:spacing w:line="440" w:lineRule="exact"/>
        <w:rPr>
          <w:color w:val="000000"/>
          <w:sz w:val="24"/>
          <w:szCs w:val="20"/>
        </w:rPr>
      </w:pPr>
      <w:r>
        <w:rPr>
          <w:rFonts w:hint="eastAsia" w:ascii="Times New Roman" w:hAnsi="Times New Roman" w:cs="宋体"/>
          <w:color w:val="000000"/>
          <w:sz w:val="24"/>
          <w:szCs w:val="20"/>
          <w:lang w:bidi="ar"/>
        </w:rPr>
        <w:t xml:space="preserve">（</w:t>
      </w:r>
      <w:r>
        <w:rPr>
          <w:rFonts w:ascii="Times New Roman" w:hAnsi="Times New Roman"/>
          <w:color w:val="000000"/>
          <w:sz w:val="24"/>
          <w:szCs w:val="20"/>
          <w:lang w:bidi="ar"/>
        </w:rPr>
        <w:t xml:space="preserve">2</w:t>
      </w:r>
      <w:r>
        <w:rPr>
          <w:rFonts w:hint="eastAsia" w:ascii="Times New Roman" w:hAnsi="Times New Roman" w:cs="宋体"/>
          <w:color w:val="000000"/>
          <w:sz w:val="24"/>
          <w:szCs w:val="20"/>
          <w:lang w:bidi="ar"/>
        </w:rPr>
        <w:t xml:space="preserve">）在政府采购活动中，供应商提供的货物符合下列情形的，享受中小企业扶持政策：货物由中小企业制造，即货物由中小企业生产且使用该中小企业商号或者注册商标。</w:t>
      </w:r>
      <w:r/>
    </w:p>
    <w:p>
      <w:pPr>
        <w:ind w:firstLine="360"/>
        <w:spacing w:line="440" w:lineRule="exact"/>
        <w:rPr>
          <w:color w:val="000000"/>
          <w:sz w:val="24"/>
          <w:szCs w:val="20"/>
        </w:rPr>
      </w:pPr>
      <w:r>
        <w:rPr>
          <w:rFonts w:hint="eastAsia" w:ascii="Times New Roman" w:hAnsi="Times New Roman" w:cs="宋体"/>
          <w:color w:val="000000"/>
          <w:sz w:val="24"/>
          <w:szCs w:val="20"/>
          <w:lang w:bidi="ar"/>
        </w:rPr>
        <w:t xml:space="preserve">在货物采购项目中，供应商提供的货物既有中小企业制造货物，也有大型企业制造货物的，不享受中小企业扶持政策。</w:t>
      </w:r>
      <w:r/>
    </w:p>
    <w:p>
      <w:pPr>
        <w:ind w:firstLine="360"/>
        <w:spacing w:line="440" w:lineRule="exact"/>
        <w:rPr>
          <w:color w:val="000000"/>
          <w:sz w:val="24"/>
          <w:szCs w:val="20"/>
        </w:rPr>
      </w:pPr>
      <w:r>
        <w:rPr>
          <w:rFonts w:hint="eastAsia" w:ascii="Times New Roman" w:hAnsi="Times New Roman" w:cs="宋体"/>
          <w:color w:val="000000"/>
          <w:sz w:val="24"/>
          <w:szCs w:val="20"/>
          <w:lang w:bidi="ar"/>
        </w:rPr>
        <w:t xml:space="preserve">（</w:t>
      </w:r>
      <w:r>
        <w:rPr>
          <w:rFonts w:ascii="Times New Roman" w:hAnsi="Times New Roman"/>
          <w:color w:val="000000"/>
          <w:sz w:val="24"/>
          <w:szCs w:val="20"/>
          <w:lang w:bidi="ar"/>
        </w:rPr>
        <w:t xml:space="preserve">3</w:t>
      </w:r>
      <w:r>
        <w:rPr>
          <w:rFonts w:hint="eastAsia" w:ascii="Times New Roman" w:hAnsi="Times New Roman" w:cs="宋体"/>
          <w:color w:val="000000"/>
          <w:sz w:val="24"/>
          <w:szCs w:val="20"/>
          <w:lang w:bidi="ar"/>
        </w:rPr>
        <w:t xml:space="preserve">）在投标文件中，小微企业需提供《中小企业声明函》（填报严格按“工信部联企业〔</w:t>
      </w:r>
      <w:r>
        <w:rPr>
          <w:rFonts w:ascii="Times New Roman" w:hAnsi="Times New Roman"/>
          <w:color w:val="000000"/>
          <w:sz w:val="24"/>
          <w:szCs w:val="20"/>
          <w:lang w:bidi="ar"/>
        </w:rPr>
        <w:t xml:space="preserve">2011</w:t>
      </w:r>
      <w:r>
        <w:rPr>
          <w:rFonts w:hint="eastAsia" w:ascii="Times New Roman" w:hAnsi="Times New Roman" w:cs="宋体"/>
          <w:color w:val="000000"/>
          <w:sz w:val="24"/>
          <w:szCs w:val="20"/>
          <w:lang w:bidi="ar"/>
        </w:rPr>
        <w:t xml:space="preserve">〕</w:t>
      </w:r>
      <w:r>
        <w:rPr>
          <w:rFonts w:ascii="Times New Roman" w:hAnsi="Times New Roman"/>
          <w:color w:val="000000"/>
          <w:sz w:val="24"/>
          <w:szCs w:val="20"/>
          <w:lang w:bidi="ar"/>
        </w:rPr>
        <w:t xml:space="preserve">300</w:t>
      </w:r>
      <w:r>
        <w:rPr>
          <w:rFonts w:hint="eastAsia" w:ascii="Times New Roman" w:hAnsi="Times New Roman" w:cs="宋体"/>
          <w:color w:val="000000"/>
          <w:sz w:val="24"/>
          <w:szCs w:val="20"/>
          <w:lang w:bidi="ar"/>
        </w:rPr>
        <w:t xml:space="preserve">号通知中的《中小企业划型标准规定》进行。）；残疾人福利性单位需提供《残疾人福利性单位声明函》；监狱企业需提供由省级以上监狱管理局、戒毒管理局（含新疆生产建设兵团）出具的属于监狱企业的证明文件。</w:t>
      </w:r>
      <w:r/>
    </w:p>
    <w:p>
      <w:pPr>
        <w:ind w:firstLine="360"/>
        <w:spacing w:line="440" w:lineRule="exact"/>
        <w:rPr>
          <w:color w:val="000000"/>
          <w:sz w:val="24"/>
          <w:szCs w:val="20"/>
        </w:rPr>
      </w:pPr>
      <w:r>
        <w:rPr>
          <w:rFonts w:hint="eastAsia" w:ascii="Times New Roman" w:hAnsi="Times New Roman" w:cs="宋体"/>
          <w:color w:val="000000"/>
          <w:sz w:val="24"/>
          <w:szCs w:val="20"/>
          <w:lang w:bidi="ar"/>
        </w:rPr>
        <w:t xml:space="preserve">投标人如不提供以上声明函或证明材料的，则不享受评审优惠政策。</w:t>
      </w:r>
      <w:r/>
    </w:p>
    <w:p>
      <w:pPr>
        <w:ind w:firstLine="360"/>
        <w:spacing w:line="440" w:lineRule="exact"/>
        <w:rPr>
          <w:color w:val="000000"/>
          <w:sz w:val="24"/>
          <w:szCs w:val="20"/>
        </w:rPr>
      </w:pPr>
      <w:r>
        <w:rPr>
          <w:rFonts w:hint="eastAsia" w:ascii="Times New Roman" w:hAnsi="Times New Roman" w:cs="宋体"/>
          <w:color w:val="000000"/>
          <w:sz w:val="24"/>
          <w:szCs w:val="20"/>
          <w:lang w:bidi="ar"/>
        </w:rPr>
        <w:t xml:space="preserve">（</w:t>
      </w:r>
      <w:r>
        <w:rPr>
          <w:rFonts w:ascii="Times New Roman" w:hAnsi="Times New Roman"/>
          <w:color w:val="000000"/>
          <w:sz w:val="24"/>
          <w:szCs w:val="20"/>
          <w:lang w:bidi="ar"/>
        </w:rPr>
        <w:t xml:space="preserve">4</w:t>
      </w:r>
      <w:r>
        <w:rPr>
          <w:rFonts w:hint="eastAsia" w:ascii="Times New Roman" w:hAnsi="Times New Roman" w:cs="宋体"/>
          <w:color w:val="000000"/>
          <w:sz w:val="24"/>
          <w:szCs w:val="20"/>
          <w:lang w:bidi="ar"/>
        </w:rPr>
        <w:t xml:space="preserve">）享受政府采购支持政策的残疾人福利性单位应当同时满足以下条件：</w:t>
      </w:r>
      <w:r/>
    </w:p>
    <w:p>
      <w:pPr>
        <w:ind w:firstLine="360"/>
        <w:spacing w:line="440" w:lineRule="exact"/>
        <w:rPr>
          <w:color w:val="000000"/>
          <w:sz w:val="24"/>
          <w:szCs w:val="20"/>
        </w:rPr>
      </w:pPr>
      <w:r>
        <w:rPr>
          <w:rFonts w:hint="eastAsia" w:ascii="Times New Roman" w:hAnsi="Times New Roman" w:cs="宋体"/>
          <w:color w:val="000000"/>
          <w:sz w:val="24"/>
          <w:szCs w:val="20"/>
          <w:lang w:bidi="ar"/>
        </w:rPr>
        <w:t xml:space="preserve">安置的残疾人占本单位在职职工人数的比例不低于</w:t>
      </w:r>
      <w:r>
        <w:rPr>
          <w:rFonts w:ascii="Times New Roman" w:hAnsi="Times New Roman"/>
          <w:color w:val="000000"/>
          <w:sz w:val="24"/>
          <w:szCs w:val="20"/>
          <w:lang w:bidi="ar"/>
        </w:rPr>
        <w:t xml:space="preserve">25%</w:t>
      </w:r>
      <w:r>
        <w:rPr>
          <w:rFonts w:hint="eastAsia" w:ascii="Times New Roman" w:hAnsi="Times New Roman" w:cs="宋体"/>
          <w:color w:val="000000"/>
          <w:sz w:val="24"/>
          <w:szCs w:val="20"/>
          <w:lang w:bidi="ar"/>
        </w:rPr>
        <w:t xml:space="preserve">（含</w:t>
      </w:r>
      <w:r>
        <w:rPr>
          <w:rFonts w:ascii="Times New Roman" w:hAnsi="Times New Roman"/>
          <w:color w:val="000000"/>
          <w:sz w:val="24"/>
          <w:szCs w:val="20"/>
          <w:lang w:bidi="ar"/>
        </w:rPr>
        <w:t xml:space="preserve">25%</w:t>
      </w:r>
      <w:r>
        <w:rPr>
          <w:rFonts w:hint="eastAsia" w:ascii="Times New Roman" w:hAnsi="Times New Roman" w:cs="宋体"/>
          <w:color w:val="000000"/>
          <w:sz w:val="24"/>
          <w:szCs w:val="20"/>
          <w:lang w:bidi="ar"/>
        </w:rPr>
        <w:t xml:space="preserve">），并且安置的残疾人人数不少于</w:t>
      </w:r>
      <w:r>
        <w:rPr>
          <w:rFonts w:ascii="Times New Roman" w:hAnsi="Times New Roman"/>
          <w:color w:val="000000"/>
          <w:sz w:val="24"/>
          <w:szCs w:val="20"/>
          <w:lang w:bidi="ar"/>
        </w:rPr>
        <w:t xml:space="preserve">10</w:t>
      </w:r>
      <w:r>
        <w:rPr>
          <w:rFonts w:hint="eastAsia" w:ascii="Times New Roman" w:hAnsi="Times New Roman" w:cs="宋体"/>
          <w:color w:val="000000"/>
          <w:sz w:val="24"/>
          <w:szCs w:val="20"/>
          <w:lang w:bidi="ar"/>
        </w:rPr>
        <w:t xml:space="preserve">人（含</w:t>
      </w:r>
      <w:r>
        <w:rPr>
          <w:rFonts w:ascii="Times New Roman" w:hAnsi="Times New Roman"/>
          <w:color w:val="000000"/>
          <w:sz w:val="24"/>
          <w:szCs w:val="20"/>
          <w:lang w:bidi="ar"/>
        </w:rPr>
        <w:t xml:space="preserve">10</w:t>
      </w:r>
      <w:r>
        <w:rPr>
          <w:rFonts w:hint="eastAsia" w:ascii="Times New Roman" w:hAnsi="Times New Roman" w:cs="宋体"/>
          <w:color w:val="000000"/>
          <w:sz w:val="24"/>
          <w:szCs w:val="20"/>
          <w:lang w:bidi="ar"/>
        </w:rPr>
        <w:t xml:space="preserve">人）；依法与安置的每位残疾人签订了一年以上（含一年）的劳动合同或服务协议；</w:t>
      </w:r>
      <w:r/>
    </w:p>
    <w:p>
      <w:pPr>
        <w:ind w:firstLine="360"/>
        <w:spacing w:line="440" w:lineRule="exact"/>
        <w:rPr>
          <w:color w:val="000000"/>
          <w:sz w:val="24"/>
          <w:szCs w:val="20"/>
        </w:rPr>
      </w:pPr>
      <w:r>
        <w:rPr>
          <w:rFonts w:hint="eastAsia" w:ascii="Times New Roman" w:hAnsi="Times New Roman" w:cs="宋体"/>
          <w:color w:val="000000"/>
          <w:sz w:val="24"/>
          <w:szCs w:val="20"/>
          <w:lang w:bidi="ar"/>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360"/>
        <w:spacing w:line="440" w:lineRule="exact"/>
        <w:rPr>
          <w:color w:val="000000"/>
          <w:sz w:val="24"/>
          <w:szCs w:val="20"/>
        </w:rPr>
      </w:pPr>
      <w:r>
        <w:rPr>
          <w:rFonts w:hint="eastAsia" w:ascii="Times New Roman" w:hAnsi="Times New Roman" w:cs="宋体"/>
          <w:color w:val="000000"/>
          <w:sz w:val="24"/>
          <w:szCs w:val="20"/>
          <w:lang w:bidi="ar"/>
        </w:rPr>
        <w:t xml:space="preserve">提供本单位制造的货物、承担的工程或者服务，或者提供其他残疾人福利性单位制造的货物（不包括使用非残疾人福利性单位注册商标的货物）。</w:t>
      </w:r>
      <w:r/>
    </w:p>
    <w:p>
      <w:pPr>
        <w:ind w:firstLine="360"/>
        <w:spacing w:line="440" w:lineRule="exact"/>
        <w:rPr>
          <w:color w:val="000000"/>
          <w:sz w:val="24"/>
          <w:szCs w:val="20"/>
        </w:rPr>
      </w:pPr>
      <w:r>
        <w:rPr>
          <w:rFonts w:hint="eastAsia" w:ascii="Times New Roman" w:hAnsi="Times New Roman" w:cs="宋体"/>
          <w:color w:val="000000"/>
          <w:sz w:val="24"/>
          <w:szCs w:val="20"/>
          <w:lang w:bidi="ar"/>
        </w:rPr>
        <w:t xml:space="preserve">前款所称残疾人是指法定劳动年龄内，持有《中华人民共和国残疾人证》或者《中华人民共和国残疾军人证（</w:t>
      </w:r>
      <w:r>
        <w:rPr>
          <w:rFonts w:ascii="Times New Roman" w:hAnsi="Times New Roman"/>
          <w:color w:val="000000"/>
          <w:sz w:val="24"/>
          <w:szCs w:val="20"/>
          <w:lang w:bidi="ar"/>
        </w:rPr>
        <w:t xml:space="preserve">1</w:t>
      </w:r>
      <w:r>
        <w:rPr>
          <w:rFonts w:hint="eastAsia" w:ascii="Times New Roman" w:hAnsi="Times New Roman" w:cs="宋体"/>
          <w:color w:val="000000"/>
          <w:sz w:val="24"/>
          <w:szCs w:val="20"/>
          <w:lang w:bidi="ar"/>
        </w:rPr>
        <w:t xml:space="preserve">至</w:t>
      </w:r>
      <w:r>
        <w:rPr>
          <w:rFonts w:ascii="Times New Roman" w:hAnsi="Times New Roman"/>
          <w:color w:val="000000"/>
          <w:sz w:val="24"/>
          <w:szCs w:val="20"/>
          <w:lang w:bidi="ar"/>
        </w:rPr>
        <w:t xml:space="preserve">8</w:t>
      </w:r>
      <w:r>
        <w:rPr>
          <w:rFonts w:hint="eastAsia" w:ascii="Times New Roman" w:hAnsi="Times New Roman" w:cs="宋体"/>
          <w:color w:val="000000"/>
          <w:sz w:val="24"/>
          <w:szCs w:val="20"/>
          <w:lang w:bidi="ar"/>
        </w:rPr>
        <w:t xml:space="preserve">级）》的自然人，包括具有劳动条件和劳动意愿的精神残疾人。在职职工人数是指与残疾人福利性单位建立劳动关系并依法签订劳动合同或者服务协议的雇员人数。</w:t>
      </w:r>
      <w:r/>
    </w:p>
    <w:p>
      <w:pPr>
        <w:ind w:firstLine="360"/>
        <w:spacing w:line="440" w:lineRule="exact"/>
        <w:rPr>
          <w:color w:val="000000"/>
          <w:sz w:val="24"/>
          <w:szCs w:val="20"/>
        </w:rPr>
      </w:pPr>
      <w:r>
        <w:rPr>
          <w:rFonts w:hint="eastAsia" w:ascii="Times New Roman" w:hAnsi="Times New Roman" w:cs="宋体"/>
          <w:color w:val="000000"/>
          <w:sz w:val="24"/>
          <w:szCs w:val="20"/>
          <w:lang w:bidi="ar"/>
        </w:rPr>
        <w:t xml:space="preserve">（</w:t>
      </w:r>
      <w:r>
        <w:rPr>
          <w:rFonts w:ascii="Times New Roman" w:hAnsi="Times New Roman"/>
          <w:color w:val="000000"/>
          <w:sz w:val="24"/>
          <w:szCs w:val="20"/>
          <w:lang w:bidi="ar"/>
        </w:rPr>
        <w:t xml:space="preserve">5</w:t>
      </w:r>
      <w:r>
        <w:rPr>
          <w:rFonts w:hint="eastAsia" w:ascii="Times New Roman" w:hAnsi="Times New Roman" w:cs="宋体"/>
          <w:color w:val="000000"/>
          <w:sz w:val="24"/>
          <w:szCs w:val="20"/>
          <w:lang w:bidi="ar"/>
        </w:rPr>
        <w:t xml:space="preserve">）中标、成交供应商享受中小企业扶持政策或者为残疾人福利性单位的，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r/>
    </w:p>
    <w:p>
      <w:pPr>
        <w:ind w:firstLine="360"/>
        <w:spacing w:line="440" w:lineRule="exact"/>
        <w:rPr>
          <w:color w:val="000000"/>
          <w:sz w:val="24"/>
          <w:szCs w:val="20"/>
        </w:rPr>
      </w:pPr>
      <w:r/>
      <w:bookmarkStart w:id="220" w:name="_Hlk100141537"/>
      <w:r>
        <w:rPr>
          <w:rFonts w:ascii="Times New Roman" w:hAnsi="Times New Roman"/>
          <w:color w:val="000000"/>
          <w:sz w:val="24"/>
          <w:szCs w:val="20"/>
          <w:lang w:bidi="ar"/>
        </w:rPr>
        <w:t xml:space="preserve">2</w:t>
      </w:r>
      <w:r>
        <w:rPr>
          <w:rFonts w:hint="eastAsia" w:ascii="Times New Roman" w:hAnsi="Times New Roman" w:cs="宋体"/>
          <w:color w:val="000000"/>
          <w:sz w:val="24"/>
          <w:szCs w:val="20"/>
          <w:lang w:bidi="ar"/>
        </w:rPr>
        <w:t xml:space="preserve">、针对节能产品和环境标志产品的评审：</w:t>
      </w:r>
      <w:bookmarkEnd w:id="220"/>
      <w:r/>
      <w:r/>
    </w:p>
    <w:p>
      <w:pPr>
        <w:ind w:firstLine="360"/>
        <w:spacing w:line="440" w:lineRule="exact"/>
        <w:rPr>
          <w:color w:val="000000"/>
          <w:sz w:val="24"/>
          <w:szCs w:val="20"/>
        </w:rPr>
      </w:pPr>
      <w:r>
        <w:rPr>
          <w:rFonts w:hint="eastAsia" w:ascii="Times New Roman" w:hAnsi="Times New Roman" w:cs="宋体"/>
          <w:color w:val="000000"/>
          <w:sz w:val="24"/>
          <w:szCs w:val="20"/>
          <w:lang w:bidi="ar"/>
        </w:rPr>
        <w:t xml:space="preserve">（</w:t>
      </w:r>
      <w:r>
        <w:rPr>
          <w:rFonts w:ascii="Times New Roman" w:hAnsi="Times New Roman"/>
          <w:color w:val="000000"/>
          <w:sz w:val="24"/>
          <w:szCs w:val="20"/>
          <w:lang w:bidi="ar"/>
        </w:rPr>
        <w:t xml:space="preserve">1</w:t>
      </w:r>
      <w:r>
        <w:rPr>
          <w:rFonts w:hint="eastAsia" w:ascii="Times New Roman" w:hAnsi="Times New Roman" w:cs="宋体"/>
          <w:color w:val="000000"/>
          <w:sz w:val="24"/>
          <w:szCs w:val="20"/>
          <w:lang w:bidi="ar"/>
        </w:rPr>
        <w:t xml:space="preserve">）根据《关于调整优化节能产品、环境标志产品政府采购执行机制的通知》（财库〔</w:t>
      </w:r>
      <w:r>
        <w:rPr>
          <w:rFonts w:ascii="Times New Roman" w:hAnsi="Times New Roman"/>
          <w:color w:val="000000"/>
          <w:sz w:val="24"/>
          <w:szCs w:val="20"/>
          <w:lang w:bidi="ar"/>
        </w:rPr>
        <w:t xml:space="preserve">2019</w:t>
      </w:r>
      <w:r>
        <w:rPr>
          <w:rFonts w:hint="eastAsia" w:ascii="Times New Roman" w:hAnsi="Times New Roman" w:cs="宋体"/>
          <w:color w:val="000000"/>
          <w:sz w:val="24"/>
          <w:szCs w:val="20"/>
          <w:lang w:bidi="ar"/>
        </w:rPr>
        <w:t xml:space="preserve">〕</w:t>
      </w:r>
      <w:r>
        <w:rPr>
          <w:rFonts w:ascii="Times New Roman" w:hAnsi="Times New Roman"/>
          <w:color w:val="000000"/>
          <w:sz w:val="24"/>
          <w:szCs w:val="20"/>
          <w:lang w:bidi="ar"/>
        </w:rPr>
        <w:t xml:space="preserve">9</w:t>
      </w:r>
      <w:r>
        <w:rPr>
          <w:rFonts w:hint="eastAsia" w:ascii="Times New Roman" w:hAnsi="Times New Roman" w:cs="宋体"/>
          <w:color w:val="000000"/>
          <w:sz w:val="24"/>
          <w:szCs w:val="20"/>
          <w:lang w:bidi="ar"/>
        </w:rPr>
        <w:t xml:space="preserve">号）等相关文件的规定，对属于《节能产品政府采购品目清单》、《环境标志产品政府采购品目清单》范围内产品实施政府优先采购或强制采购，上述品目清单可通过“中国政府采购网”（</w:t>
      </w:r>
      <w:r>
        <w:rPr>
          <w:rFonts w:ascii="Times New Roman" w:hAnsi="Times New Roman"/>
          <w:color w:val="000000"/>
          <w:sz w:val="24"/>
          <w:szCs w:val="20"/>
          <w:lang w:bidi="ar"/>
        </w:rPr>
        <w:t xml:space="preserve">http://www.ccgp.gov.cn</w:t>
      </w:r>
      <w:r>
        <w:rPr>
          <w:rFonts w:hint="eastAsia" w:ascii="Times New Roman" w:hAnsi="Times New Roman" w:cs="宋体"/>
          <w:color w:val="000000"/>
          <w:sz w:val="24"/>
          <w:szCs w:val="20"/>
          <w:lang w:bidi="ar"/>
        </w:rPr>
        <w:t xml:space="preserve">）查询。</w:t>
      </w:r>
      <w:r/>
    </w:p>
    <w:p>
      <w:pPr>
        <w:ind w:firstLine="470"/>
        <w:spacing w:line="430" w:lineRule="exact"/>
        <w:rPr>
          <w:rFonts w:ascii="宋体" w:hAnsi="宋体" w:cs="宋体"/>
          <w:color w:val="000000"/>
          <w:sz w:val="24"/>
          <w:szCs w:val="20"/>
        </w:rPr>
      </w:pPr>
      <w:r>
        <w:rPr>
          <w:rFonts w:hint="eastAsia" w:ascii="Times New Roman" w:hAnsi="Times New Roman" w:cs="宋体"/>
          <w:color w:val="000000"/>
          <w:sz w:val="24"/>
          <w:szCs w:val="20"/>
          <w:lang w:bidi="ar"/>
        </w:rPr>
        <w:t xml:space="preserve">（</w:t>
      </w:r>
      <w:r>
        <w:rPr>
          <w:rFonts w:ascii="Times New Roman" w:hAnsi="Times New Roman"/>
          <w:color w:val="000000"/>
          <w:sz w:val="24"/>
          <w:szCs w:val="20"/>
          <w:lang w:bidi="ar"/>
        </w:rPr>
        <w:t xml:space="preserve">2</w:t>
      </w:r>
      <w:r>
        <w:rPr>
          <w:rFonts w:hint="eastAsia" w:ascii="Times New Roman" w:hAnsi="Times New Roman" w:cs="宋体"/>
          <w:color w:val="000000"/>
          <w:sz w:val="24"/>
          <w:szCs w:val="20"/>
          <w:lang w:bidi="ar"/>
        </w:rPr>
        <w:t xml:space="preserve">）投标人在投标文件中提供由国家确定的认证机构出具的、处于有效期之内的节能产品、环境标志产品认证证书电子扫描件。若属于政府强制采购产品范围但相关认证证书电子件未提供或提供不全的，将视为未实质性响应采购要求。</w:t>
      </w:r>
      <w:r/>
    </w:p>
    <w:p>
      <w:pPr>
        <w:spacing w:line="480" w:lineRule="exact"/>
        <w:rPr>
          <w:b/>
          <w:bCs/>
          <w:color w:val="000000" w:themeColor="text1"/>
          <w:sz w:val="28"/>
          <w14:textFill>
            <w14:solidFill>
              <w14:schemeClr w14:val="tx1"/>
            </w14:solidFill>
          </w14:textFill>
        </w:rPr>
      </w:pPr>
      <w:r>
        <w:rPr>
          <w:rFonts w:hint="eastAsia"/>
          <w:b/>
          <w:bCs/>
          <w:color w:val="000000" w:themeColor="text1"/>
          <w:sz w:val="28"/>
          <w14:textFill>
            <w14:solidFill>
              <w14:schemeClr w14:val="tx1"/>
            </w14:solidFill>
          </w14:textFill>
        </w:rPr>
        <w:t xml:space="preserve">四、信用记录：</w:t>
      </w:r>
      <w:r/>
    </w:p>
    <w:p>
      <w:pPr>
        <w:ind w:firstLine="480"/>
        <w:spacing w:line="440" w:lineRule="exact"/>
        <w:rPr>
          <w:rFonts w:ascii="宋体" w:hAnsi="宋体" w:cs="宋体"/>
          <w:bCs/>
          <w:color w:val="000000"/>
          <w:sz w:val="24"/>
          <w:szCs w:val="20"/>
        </w:rPr>
      </w:pPr>
      <w:r>
        <w:rPr>
          <w:rFonts w:hint="eastAsia" w:ascii="宋体" w:hAnsi="宋体" w:cs="宋体"/>
          <w:bCs/>
          <w:color w:val="000000"/>
          <w:sz w:val="24"/>
          <w:szCs w:val="20"/>
          <w:lang w:bidi="ar"/>
        </w:rPr>
        <w:t xml:space="preserve">1、根据政府采购法及相关法规，以及苏州市财政局《关于印发苏州市市级政府采购信用记录查询和使用工作试行办法的通知》（苏财购（2017）11号）文件的规定，我们将依法对投标人进行信用查询，凡经确认不符合政府采购相关法律法规规定的，将依法拒绝其参与政府采购活动。</w:t>
      </w:r>
      <w:r/>
    </w:p>
    <w:p>
      <w:pPr>
        <w:ind w:firstLine="480"/>
        <w:spacing w:line="440" w:lineRule="exact"/>
        <w:rPr>
          <w:rFonts w:ascii="宋体" w:hAnsi="宋体" w:cs="宋体"/>
          <w:bCs/>
          <w:color w:val="000000"/>
          <w:sz w:val="24"/>
          <w:szCs w:val="20"/>
        </w:rPr>
      </w:pPr>
      <w:r>
        <w:rPr>
          <w:rFonts w:hint="eastAsia" w:ascii="宋体" w:hAnsi="宋体" w:cs="宋体"/>
          <w:bCs/>
          <w:color w:val="000000"/>
          <w:sz w:val="24"/>
          <w:szCs w:val="20"/>
          <w:lang w:bidi="ar"/>
        </w:rPr>
        <w:t xml:space="preserve">2、查询时间：进入评审环节前。</w:t>
      </w:r>
      <w:r/>
    </w:p>
    <w:p>
      <w:pPr>
        <w:ind w:firstLine="480"/>
        <w:spacing w:line="440" w:lineRule="exact"/>
        <w:rPr>
          <w:rFonts w:ascii="宋体" w:hAnsi="宋体" w:cs="宋体"/>
          <w:bCs/>
          <w:color w:val="000000"/>
          <w:sz w:val="24"/>
          <w:szCs w:val="20"/>
        </w:rPr>
      </w:pPr>
      <w:r>
        <w:rPr>
          <w:rFonts w:hint="eastAsia" w:ascii="宋体" w:hAnsi="宋体" w:cs="宋体"/>
          <w:bCs/>
          <w:color w:val="000000"/>
          <w:sz w:val="24"/>
          <w:szCs w:val="20"/>
          <w:lang w:bidi="ar"/>
        </w:rPr>
        <w:t xml:space="preserve">3、查询渠道：</w:t>
      </w:r>
      <w:r/>
    </w:p>
    <w:p>
      <w:pPr>
        <w:ind w:firstLine="480"/>
        <w:spacing w:line="440" w:lineRule="exact"/>
        <w:rPr>
          <w:rFonts w:ascii="宋体" w:hAnsi="宋体" w:cs="宋体"/>
          <w:bCs/>
          <w:color w:val="000000"/>
          <w:sz w:val="24"/>
          <w:szCs w:val="20"/>
        </w:rPr>
      </w:pPr>
      <w:r>
        <w:rPr>
          <w:rFonts w:hint="eastAsia" w:ascii="宋体" w:hAnsi="宋体" w:cs="宋体"/>
          <w:bCs/>
          <w:color w:val="000000"/>
          <w:sz w:val="24"/>
          <w:szCs w:val="20"/>
          <w:lang w:bidi="ar"/>
        </w:rPr>
        <w:t xml:space="preserve">采购人、采购代理机构应当通过中国政府采购网(http://www.ccgp.gov.cn/search/cr/)、信用中国（ https://www.creditchina.gov.cn/ ）、信用江苏（http://credit.jiangsu.gov.cn/）、信用中国（江苏苏州）（https://credit.suzhou.gov.cn/）等渠道查询相关主体信用记录，并采取必要方式做好信用信息报告等查询记录留存。</w:t>
      </w:r>
      <w:r/>
    </w:p>
    <w:p>
      <w:pPr>
        <w:ind w:firstLine="480"/>
        <w:spacing w:line="440" w:lineRule="exact"/>
        <w:rPr>
          <w:rFonts w:ascii="宋体" w:hAnsi="宋体" w:cs="宋体"/>
          <w:bCs/>
          <w:color w:val="000000"/>
          <w:sz w:val="24"/>
          <w:szCs w:val="20"/>
        </w:rPr>
      </w:pPr>
      <w:r>
        <w:rPr>
          <w:rFonts w:hint="eastAsia" w:ascii="宋体" w:hAnsi="宋体" w:cs="宋体"/>
          <w:bCs/>
          <w:color w:val="000000"/>
          <w:sz w:val="24"/>
          <w:szCs w:val="20"/>
          <w:lang w:bidi="ar"/>
        </w:rPr>
        <w:t xml:space="preserve">4、信用记录使用规则：</w:t>
      </w:r>
      <w:r/>
    </w:p>
    <w:p>
      <w:pPr>
        <w:ind w:firstLine="480"/>
        <w:spacing w:line="440" w:lineRule="exact"/>
        <w:rPr>
          <w:rFonts w:ascii="宋体" w:hAnsi="宋体" w:cs="宋体"/>
          <w:bCs/>
          <w:color w:val="000000"/>
          <w:sz w:val="24"/>
          <w:szCs w:val="20"/>
        </w:rPr>
      </w:pPr>
      <w:r>
        <w:rPr>
          <w:rFonts w:hint="eastAsia" w:ascii="宋体" w:hAnsi="宋体" w:cs="宋体"/>
          <w:bCs/>
          <w:color w:val="000000"/>
          <w:sz w:val="24"/>
          <w:szCs w:val="20"/>
          <w:lang w:bidi="ar"/>
        </w:rPr>
        <w:t xml:space="preserve">代理机构应根据查询结果对投标人的不良信用记录逐项甄别确认。按照《中华人民共和国政府采购法》第二十二条规定，下列信用记录属于应依法拒绝投标人参加政府采购的失信信息：</w:t>
      </w:r>
      <w:r/>
    </w:p>
    <w:p>
      <w:pPr>
        <w:ind w:firstLine="480"/>
        <w:spacing w:line="440" w:lineRule="exact"/>
        <w:rPr>
          <w:rFonts w:ascii="宋体" w:hAnsi="宋体" w:cs="宋体"/>
          <w:bCs/>
          <w:color w:val="000000"/>
          <w:sz w:val="24"/>
          <w:szCs w:val="20"/>
        </w:rPr>
      </w:pPr>
      <w:r>
        <w:rPr>
          <w:rFonts w:hint="eastAsia" w:ascii="宋体" w:hAnsi="宋体" w:cs="宋体"/>
          <w:bCs/>
          <w:color w:val="000000"/>
          <w:sz w:val="24"/>
          <w:szCs w:val="20"/>
          <w:lang w:bidi="ar"/>
        </w:rPr>
        <w:t xml:space="preserve">（一）政府采购严重违法记录，即供应商被全国各级财政部门列入“政府采购严重违法失信行为记录名单”，且在处罚有效期内的。</w:t>
      </w:r>
      <w:r/>
    </w:p>
    <w:p>
      <w:pPr>
        <w:ind w:firstLine="480"/>
        <w:spacing w:line="440" w:lineRule="exact"/>
        <w:rPr>
          <w:rFonts w:ascii="宋体" w:hAnsi="宋体" w:cs="宋体"/>
          <w:bCs/>
          <w:color w:val="000000"/>
          <w:sz w:val="24"/>
          <w:szCs w:val="20"/>
        </w:rPr>
      </w:pPr>
      <w:r>
        <w:rPr>
          <w:rFonts w:hint="eastAsia" w:ascii="宋体" w:hAnsi="宋体" w:cs="宋体"/>
          <w:bCs/>
          <w:color w:val="000000"/>
          <w:sz w:val="24"/>
          <w:szCs w:val="20"/>
          <w:lang w:bidi="ar"/>
        </w:rPr>
        <w:t xml:space="preserve">（二）财政部门与法院、工商、税务等部门联合惩戒的失信信息，包括：</w:t>
      </w:r>
      <w:r/>
    </w:p>
    <w:p>
      <w:pPr>
        <w:ind w:firstLine="480"/>
        <w:spacing w:line="440" w:lineRule="exact"/>
        <w:rPr>
          <w:rFonts w:ascii="宋体" w:hAnsi="宋体" w:cs="宋体"/>
          <w:bCs/>
          <w:color w:val="000000"/>
          <w:sz w:val="24"/>
          <w:szCs w:val="20"/>
        </w:rPr>
      </w:pPr>
      <w:r>
        <w:rPr>
          <w:rFonts w:hint="eastAsia" w:ascii="宋体" w:hAnsi="宋体" w:cs="宋体"/>
          <w:bCs/>
          <w:color w:val="000000"/>
          <w:sz w:val="24"/>
          <w:szCs w:val="20"/>
          <w:lang w:bidi="ar"/>
        </w:rPr>
        <w:t xml:space="preserve">1) 被列入失信被执行人名单；</w:t>
      </w:r>
      <w:r/>
    </w:p>
    <w:p>
      <w:pPr>
        <w:ind w:firstLine="480"/>
        <w:spacing w:line="440" w:lineRule="exact"/>
        <w:rPr>
          <w:rFonts w:ascii="宋体" w:hAnsi="宋体" w:cs="宋体"/>
          <w:bCs/>
          <w:color w:val="000000"/>
          <w:sz w:val="24"/>
          <w:szCs w:val="20"/>
        </w:rPr>
      </w:pPr>
      <w:r>
        <w:rPr>
          <w:rFonts w:hint="eastAsia" w:ascii="宋体" w:hAnsi="宋体" w:cs="宋体"/>
          <w:bCs/>
          <w:color w:val="000000"/>
          <w:sz w:val="24"/>
          <w:szCs w:val="20"/>
          <w:lang w:bidi="ar"/>
        </w:rPr>
        <w:t xml:space="preserve">2) 被列入重大税收违法案件当事人名单；</w:t>
      </w:r>
      <w:r/>
    </w:p>
    <w:p>
      <w:pPr>
        <w:ind w:firstLine="480"/>
        <w:spacing w:line="440" w:lineRule="exact"/>
        <w:rPr>
          <w:rFonts w:ascii="宋体" w:hAnsi="宋体" w:cs="宋体"/>
          <w:bCs/>
          <w:color w:val="000000"/>
          <w:sz w:val="24"/>
          <w:szCs w:val="20"/>
        </w:rPr>
      </w:pPr>
      <w:r>
        <w:rPr>
          <w:rFonts w:hint="eastAsia" w:ascii="宋体" w:hAnsi="宋体" w:cs="宋体"/>
          <w:bCs/>
          <w:color w:val="000000"/>
          <w:sz w:val="24"/>
          <w:szCs w:val="20"/>
          <w:lang w:bidi="ar"/>
        </w:rPr>
        <w:t xml:space="preserve">3) 企业经营异常名录中被责令停产停业、暂扣或者吊销许可证或者执照，或者对经营活动中的违法行为处较大数额罚款（较大数额罚款为200万元以上的罚款，法律、行政法规以及国务院有关部门明确规定相关领域“较大数额罚款”标准高于200万元的，从其规定）的信用记录。处罚生效日至递交投标文件日未满三年的。</w:t>
      </w:r>
      <w:r/>
    </w:p>
    <w:p>
      <w:pPr>
        <w:ind w:firstLine="480"/>
        <w:spacing w:line="440" w:lineRule="exact"/>
        <w:rPr>
          <w:rFonts w:ascii="宋体" w:hAnsi="宋体" w:cs="宋体"/>
          <w:bCs/>
          <w:color w:val="000000"/>
          <w:sz w:val="24"/>
          <w:szCs w:val="20"/>
        </w:rPr>
      </w:pPr>
      <w:r>
        <w:rPr>
          <w:rFonts w:hint="eastAsia" w:ascii="宋体" w:hAnsi="宋体" w:cs="宋体"/>
          <w:bCs/>
          <w:color w:val="000000"/>
          <w:sz w:val="24"/>
          <w:szCs w:val="20"/>
          <w:lang w:bidi="ar"/>
        </w:rPr>
        <w:t xml:space="preserve">以上失信信息应按苏财购[2017]11号第十一条规定的办法进行查询确认。</w:t>
      </w:r>
      <w:r/>
    </w:p>
    <w:p>
      <w:pPr>
        <w:ind w:firstLine="480"/>
        <w:spacing w:line="440" w:lineRule="exact"/>
        <w:rPr>
          <w:rFonts w:ascii="宋体" w:hAnsi="宋体" w:cs="宋体"/>
          <w:bCs/>
          <w:color w:val="000000"/>
          <w:sz w:val="24"/>
          <w:szCs w:val="20"/>
        </w:rPr>
      </w:pPr>
      <w:r>
        <w:rPr>
          <w:rFonts w:hint="eastAsia" w:ascii="宋体" w:hAnsi="宋体" w:cs="宋体"/>
          <w:bCs/>
          <w:color w:val="000000"/>
          <w:sz w:val="24"/>
          <w:szCs w:val="20"/>
          <w:lang w:bidi="ar"/>
        </w:rPr>
        <w:t xml:space="preserve">5、查询证据留存方式：</w:t>
      </w:r>
      <w:r/>
    </w:p>
    <w:p>
      <w:pPr>
        <w:ind w:firstLine="480"/>
        <w:spacing w:line="440" w:lineRule="exact"/>
        <w:rPr>
          <w:rFonts w:ascii="宋体" w:hAnsi="宋体" w:cs="宋体"/>
          <w:bCs/>
          <w:color w:val="000000"/>
          <w:sz w:val="24"/>
          <w:szCs w:val="20"/>
          <w:lang w:bidi="ar"/>
        </w:rPr>
      </w:pPr>
      <w:r>
        <w:rPr>
          <w:rFonts w:hint="eastAsia" w:ascii="宋体" w:hAnsi="宋体" w:cs="宋体"/>
          <w:bCs/>
          <w:color w:val="000000"/>
          <w:sz w:val="24"/>
          <w:szCs w:val="20"/>
          <w:lang w:bidi="ar"/>
        </w:rPr>
        <w:t xml:space="preserve">按照相关管理办法查询有关主体的信用记录，并保存好相关证据材料。对存在的失信信息，应登录到来源网站页面进行复核并打印，作为证据留存。</w:t>
      </w:r>
      <w:r/>
    </w:p>
    <w:p>
      <w:pPr>
        <w:ind w:firstLine="480"/>
        <w:spacing w:line="440" w:lineRule="exact"/>
        <w:rPr>
          <w:rFonts w:ascii="Times New Roman" w:hAnsi="Times New Roman"/>
          <w:b/>
          <w:sz w:val="28"/>
          <w:szCs w:val="28"/>
          <w:lang w:bidi="ar"/>
        </w:rPr>
      </w:pPr>
      <w:r>
        <w:rPr>
          <w:rFonts w:hint="eastAsia" w:ascii="宋体" w:hAnsi="宋体" w:cs="宋体"/>
          <w:bCs/>
          <w:color w:val="000000"/>
          <w:sz w:val="24"/>
          <w:szCs w:val="20"/>
          <w:lang w:bidi="ar"/>
        </w:rPr>
        <w:t xml:space="preserve">6、经查询发现供应商存在应依法拒绝参加政府采购的失信信息，并对此不良信用记录甄别确认的，作无效投标处理</w:t>
      </w:r>
      <w:r>
        <w:rPr>
          <w:color w:val="000000" w:themeColor="text1"/>
          <w:sz w:val="24"/>
          <w:szCs w:val="24"/>
          <w14:textFill>
            <w14:solidFill>
              <w14:schemeClr w14:val="tx1"/>
            </w14:solidFill>
          </w14:textFill>
        </w:rPr>
        <w:t xml:space="preserve">。</w:t>
      </w:r>
      <w:r/>
    </w:p>
    <w:p>
      <w:pPr>
        <w:jc w:val="center"/>
        <w:keepNext/>
        <w:rPr>
          <w:rFonts w:ascii="黑体" w:hAnsi="Courier New" w:eastAsia="黑体" w:cs="Courier New"/>
          <w:bCs/>
          <w:color w:val="000000" w:themeColor="text1"/>
          <w:sz w:val="44"/>
          <w:szCs w:val="21"/>
          <w14:textFill>
            <w14:solidFill>
              <w14:schemeClr w14:val="tx1"/>
            </w14:solidFill>
          </w14:textFill>
        </w:rPr>
        <w:outlineLvl w:val="0"/>
      </w:pPr>
      <w:r>
        <w:rPr>
          <w:color w:val="000000" w:themeColor="text1"/>
          <w:sz w:val="24"/>
          <w:szCs w:val="24"/>
          <w14:textFill>
            <w14:solidFill>
              <w14:schemeClr w14:val="tx1"/>
            </w14:solidFill>
          </w14:textFill>
        </w:rPr>
        <w:br w:type="page" w:clear="all"/>
      </w:r>
      <w:bookmarkStart w:id="221" w:name="_Toc228349840"/>
      <w:r>
        <w:rPr>
          <w:rFonts w:hint="eastAsia" w:ascii="黑体" w:hAnsi="Courier New" w:eastAsia="黑体" w:cs="Courier New"/>
          <w:bCs/>
          <w:color w:val="000000" w:themeColor="text1"/>
          <w:sz w:val="44"/>
          <w:szCs w:val="21"/>
          <w14:textFill>
            <w14:solidFill>
              <w14:schemeClr w14:val="tx1"/>
            </w14:solidFill>
          </w14:textFill>
        </w:rPr>
        <w:t xml:space="preserve">第六章  投标</w:t>
      </w:r>
      <w:bookmarkEnd w:id="206"/>
      <w:r/>
      <w:bookmarkEnd w:id="207"/>
      <w:r/>
      <w:bookmarkEnd w:id="208"/>
      <w:r>
        <w:rPr>
          <w:rFonts w:hint="eastAsia" w:ascii="黑体" w:hAnsi="Courier New" w:eastAsia="黑体" w:cs="Courier New"/>
          <w:bCs/>
          <w:color w:val="000000" w:themeColor="text1"/>
          <w:sz w:val="44"/>
          <w:szCs w:val="21"/>
          <w14:textFill>
            <w14:solidFill>
              <w14:schemeClr w14:val="tx1"/>
            </w14:solidFill>
          </w14:textFill>
        </w:rPr>
        <w:t xml:space="preserve">文件格式</w:t>
      </w:r>
      <w:bookmarkEnd w:id="221"/>
      <w:r/>
      <w:r/>
    </w:p>
    <w:p>
      <w:pPr>
        <w:ind w:firstLine="1446"/>
        <w:jc w:val="center"/>
        <w:rPr>
          <w:rFonts w:ascii="宋体" w:hAnsi="宋体"/>
          <w:b/>
          <w:color w:val="000000" w:themeColor="text1"/>
          <w:sz w:val="72"/>
          <w:szCs w:val="21"/>
          <w14:textFill>
            <w14:solidFill>
              <w14:schemeClr w14:val="tx1"/>
            </w14:solidFill>
          </w14:textFill>
        </w:rPr>
      </w:pPr>
      <w:r/>
      <w:bookmarkStart w:id="222" w:name="_Hlt26955039"/>
      <w:r/>
      <w:bookmarkEnd w:id="222"/>
      <w:r/>
      <w:bookmarkStart w:id="223" w:name="_Hlt26671244"/>
      <w:r/>
      <w:bookmarkEnd w:id="223"/>
      <w:r/>
      <w:bookmarkStart w:id="224" w:name="_Toc120614282"/>
      <w:r/>
      <w:bookmarkStart w:id="225" w:name="_Toc26554094"/>
      <w:r/>
      <w:bookmarkStart w:id="226" w:name="_Toc49090576"/>
      <w:r/>
      <w:r/>
    </w:p>
    <w:p>
      <w:pPr>
        <w:jc w:val="center"/>
        <w:rPr>
          <w:rFonts w:ascii="宋体" w:hAnsi="宋体"/>
          <w:b/>
          <w:color w:val="000000" w:themeColor="text1"/>
          <w:sz w:val="72"/>
          <w:szCs w:val="21"/>
          <w14:textFill>
            <w14:solidFill>
              <w14:schemeClr w14:val="tx1"/>
            </w14:solidFill>
          </w14:textFill>
        </w:rPr>
      </w:pPr>
      <w:r>
        <w:rPr>
          <w:rFonts w:hint="eastAsia" w:ascii="宋体" w:hAnsi="宋体"/>
          <w:b/>
          <w:color w:val="000000" w:themeColor="text1"/>
          <w:sz w:val="72"/>
          <w:szCs w:val="21"/>
          <w14:textFill>
            <w14:solidFill>
              <w14:schemeClr w14:val="tx1"/>
            </w14:solidFill>
          </w14:textFill>
        </w:rPr>
        <w:t xml:space="preserve">投  标  文  件</w:t>
      </w:r>
      <w:r/>
    </w:p>
    <w:p>
      <w:pPr>
        <w:ind w:firstLine="1446"/>
        <w:jc w:val="center"/>
        <w:rPr>
          <w:rFonts w:ascii="宋体" w:hAnsi="宋体"/>
          <w:b/>
          <w:color w:val="000000" w:themeColor="text1"/>
          <w:sz w:val="72"/>
          <w:szCs w:val="21"/>
          <w14:textFill>
            <w14:solidFill>
              <w14:schemeClr w14:val="tx1"/>
            </w14:solidFill>
          </w14:textFill>
        </w:rPr>
      </w:pPr>
      <w:r>
        <w:rPr>
          <w:rFonts w:ascii="宋体" w:hAnsi="宋体"/>
          <w:b/>
          <w:color w:val="000000" w:themeColor="text1"/>
          <w:sz w:val="72"/>
          <w:szCs w:val="21"/>
          <w14:textFill>
            <w14:solidFill>
              <w14:schemeClr w14:val="tx1"/>
            </w14:solidFill>
          </w14:textFill>
        </w:rPr>
      </w:r>
      <w:r/>
    </w:p>
    <w:p>
      <w:pPr>
        <w:ind w:firstLine="1446"/>
        <w:jc w:val="center"/>
        <w:rPr>
          <w:rFonts w:ascii="宋体" w:hAnsi="宋体"/>
          <w:b/>
          <w:color w:val="000000" w:themeColor="text1"/>
          <w:sz w:val="72"/>
          <w:szCs w:val="21"/>
          <w14:textFill>
            <w14:solidFill>
              <w14:schemeClr w14:val="tx1"/>
            </w14:solidFill>
          </w14:textFill>
        </w:rPr>
      </w:pPr>
      <w:r>
        <w:rPr>
          <w:rFonts w:ascii="宋体" w:hAnsi="宋体"/>
          <w:b/>
          <w:color w:val="000000" w:themeColor="text1"/>
          <w:sz w:val="72"/>
          <w:szCs w:val="21"/>
          <w14:textFill>
            <w14:solidFill>
              <w14:schemeClr w14:val="tx1"/>
            </w14:solidFill>
          </w14:textFill>
        </w:rPr>
      </w:r>
      <w:r/>
    </w:p>
    <w:p>
      <w:pPr>
        <w:ind w:firstLine="723"/>
        <w:jc w:val="center"/>
        <w:rPr>
          <w:rFonts w:ascii="宋体" w:hAnsi="宋体"/>
          <w:b/>
          <w:color w:val="000000" w:themeColor="text1"/>
          <w:sz w:val="36"/>
          <w:szCs w:val="21"/>
          <w14:textFill>
            <w14:solidFill>
              <w14:schemeClr w14:val="tx1"/>
            </w14:solidFill>
          </w14:textFill>
        </w:rPr>
      </w:pPr>
      <w:r>
        <w:rPr>
          <w:rFonts w:ascii="宋体" w:hAnsi="宋体"/>
          <w:b/>
          <w:color w:val="000000" w:themeColor="text1"/>
          <w:sz w:val="36"/>
          <w:szCs w:val="21"/>
          <w14:textFill>
            <w14:solidFill>
              <w14:schemeClr w14:val="tx1"/>
            </w14:solidFill>
          </w14:textFill>
        </w:rPr>
      </w:r>
      <w:r/>
    </w:p>
    <w:p>
      <w:pPr>
        <w:ind w:firstLine="723"/>
        <w:jc w:val="center"/>
        <w:rPr>
          <w:rFonts w:ascii="宋体" w:hAnsi="宋体"/>
          <w:b/>
          <w:color w:val="000000" w:themeColor="text1"/>
          <w:sz w:val="36"/>
          <w:szCs w:val="21"/>
          <w14:textFill>
            <w14:solidFill>
              <w14:schemeClr w14:val="tx1"/>
            </w14:solidFill>
          </w14:textFill>
        </w:rPr>
      </w:pPr>
      <w:r>
        <w:rPr>
          <w:rFonts w:ascii="宋体" w:hAnsi="宋体"/>
          <w:b/>
          <w:color w:val="000000" w:themeColor="text1"/>
          <w:sz w:val="36"/>
          <w:szCs w:val="21"/>
          <w14:textFill>
            <w14:solidFill>
              <w14:schemeClr w14:val="tx1"/>
            </w14:solidFill>
          </w14:textFill>
        </w:rPr>
      </w:r>
      <w:r/>
    </w:p>
    <w:p>
      <w:pPr>
        <w:ind w:firstLine="723"/>
        <w:jc w:val="center"/>
        <w:rPr>
          <w:rFonts w:ascii="宋体" w:hAnsi="宋体"/>
          <w:b/>
          <w:color w:val="000000" w:themeColor="text1"/>
          <w:sz w:val="36"/>
          <w:szCs w:val="21"/>
          <w14:textFill>
            <w14:solidFill>
              <w14:schemeClr w14:val="tx1"/>
            </w14:solidFill>
          </w14:textFill>
        </w:rPr>
      </w:pPr>
      <w:r>
        <w:rPr>
          <w:rFonts w:ascii="宋体" w:hAnsi="宋体"/>
          <w:b/>
          <w:color w:val="000000" w:themeColor="text1"/>
          <w:sz w:val="36"/>
          <w:szCs w:val="21"/>
          <w14:textFill>
            <w14:solidFill>
              <w14:schemeClr w14:val="tx1"/>
            </w14:solidFill>
          </w14:textFill>
        </w:rPr>
      </w:r>
      <w:r/>
    </w:p>
    <w:p>
      <w:pPr>
        <w:ind w:firstLine="1606"/>
        <w:spacing w:line="360" w:lineRule="auto"/>
        <w:rPr>
          <w:rFonts w:ascii="宋体" w:hAnsi="宋体"/>
          <w:b/>
          <w:color w:val="000000" w:themeColor="text1"/>
          <w:sz w:val="40"/>
          <w14:textFill>
            <w14:solidFill>
              <w14:schemeClr w14:val="tx1"/>
            </w14:solidFill>
          </w14:textFill>
        </w:rPr>
      </w:pPr>
      <w:r>
        <w:rPr>
          <w:rFonts w:hint="eastAsia" w:ascii="宋体" w:hAnsi="宋体"/>
          <w:b/>
          <w:color w:val="000000" w:themeColor="text1"/>
          <w:sz w:val="40"/>
          <w14:textFill>
            <w14:solidFill>
              <w14:schemeClr w14:val="tx1"/>
            </w14:solidFill>
          </w14:textFill>
        </w:rPr>
        <w:t xml:space="preserve">项 目 名 称：</w:t>
      </w:r>
      <w:r>
        <w:rPr>
          <w:rFonts w:hint="eastAsia" w:ascii="宋体" w:hAnsi="宋体"/>
          <w:b/>
          <w:color w:val="000000" w:themeColor="text1"/>
          <w:sz w:val="36"/>
          <w:szCs w:val="24"/>
          <w14:textFill>
            <w14:solidFill>
              <w14:schemeClr w14:val="tx1"/>
            </w14:solidFill>
          </w14:textFill>
        </w:rPr>
        <w:t xml:space="preserve">苏州工学院社会车辆租赁服务</w:t>
      </w:r>
      <w:r/>
    </w:p>
    <w:p>
      <w:pPr>
        <w:ind w:firstLine="1606"/>
        <w:spacing w:line="360" w:lineRule="auto"/>
        <w:rPr>
          <w:rFonts w:hint="eastAsia" w:ascii="宋体" w:hAnsi="宋体" w:eastAsia="宋体"/>
          <w:b/>
          <w:color w:val="000000" w:themeColor="text1"/>
          <w:sz w:val="40"/>
          <w:u w:val="single"/>
          <w:lang w:eastAsia="zh-CN"/>
          <w14:textFill>
            <w14:solidFill>
              <w14:schemeClr w14:val="tx1"/>
            </w14:solidFill>
          </w14:textFill>
        </w:rPr>
      </w:pPr>
      <w:r>
        <w:rPr>
          <w:rFonts w:hint="eastAsia" w:ascii="宋体" w:hAnsi="宋体"/>
          <w:b/>
          <w:color w:val="000000" w:themeColor="text1"/>
          <w:sz w:val="40"/>
          <w14:textFill>
            <w14:solidFill>
              <w14:schemeClr w14:val="tx1"/>
            </w14:solidFill>
          </w14:textFill>
        </w:rPr>
        <w:t xml:space="preserve">项 目 编 号：</w:t>
      </w:r>
      <w:r>
        <w:rPr>
          <w:rFonts w:hint="eastAsia" w:ascii="宋体" w:hAnsi="宋体"/>
          <w:b/>
          <w:color w:val="000000" w:themeColor="text1"/>
          <w:sz w:val="36"/>
          <w:szCs w:val="24"/>
          <w:lang w:eastAsia="zh-CN"/>
          <w14:textFill>
            <w14:solidFill>
              <w14:schemeClr w14:val="tx1"/>
            </w14:solidFill>
          </w14:textFill>
        </w:rPr>
        <w:t xml:space="preserve">JSZC-320581-SZXY-G2026-0012</w:t>
      </w:r>
      <w:r/>
    </w:p>
    <w:p>
      <w:pPr>
        <w:ind w:firstLine="1606"/>
        <w:spacing w:line="360" w:lineRule="auto"/>
        <w:rPr>
          <w:rFonts w:ascii="宋体" w:hAnsi="宋体"/>
          <w:b/>
          <w:color w:val="000000" w:themeColor="text1"/>
          <w:sz w:val="40"/>
          <w14:textFill>
            <w14:solidFill>
              <w14:schemeClr w14:val="tx1"/>
            </w14:solidFill>
          </w14:textFill>
        </w:rPr>
      </w:pPr>
      <w:r>
        <w:rPr>
          <w:rFonts w:hint="eastAsia" w:ascii="宋体" w:hAnsi="宋体"/>
          <w:b/>
          <w:color w:val="000000" w:themeColor="text1"/>
          <w:sz w:val="40"/>
          <w14:textFill>
            <w14:solidFill>
              <w14:schemeClr w14:val="tx1"/>
            </w14:solidFill>
          </w14:textFill>
        </w:rPr>
        <w:t xml:space="preserve">项 目 分 包：</w:t>
      </w:r>
      <w:r/>
    </w:p>
    <w:p>
      <w:pPr>
        <w:ind w:firstLine="1606"/>
        <w:spacing w:line="360" w:lineRule="auto"/>
        <w:rPr>
          <w:rFonts w:ascii="宋体" w:hAnsi="宋体"/>
          <w:b/>
          <w:color w:val="000000" w:themeColor="text1"/>
          <w:sz w:val="40"/>
          <w:u w:val="single"/>
          <w14:textFill>
            <w14:solidFill>
              <w14:schemeClr w14:val="tx1"/>
            </w14:solidFill>
          </w14:textFill>
        </w:rPr>
      </w:pPr>
      <w:r>
        <w:rPr>
          <w:rFonts w:hint="eastAsia" w:ascii="宋体" w:hAnsi="宋体"/>
          <w:b/>
          <w:color w:val="000000" w:themeColor="text1"/>
          <w:sz w:val="40"/>
          <w14:textFill>
            <w14:solidFill>
              <w14:schemeClr w14:val="tx1"/>
            </w14:solidFill>
          </w14:textFill>
        </w:rPr>
        <w:t xml:space="preserve">投标人名称 ：</w:t>
      </w:r>
      <w:r>
        <w:rPr>
          <w:rFonts w:hint="eastAsia" w:ascii="宋体" w:hAnsi="宋体"/>
          <w:b/>
          <w:color w:val="000000" w:themeColor="text1"/>
          <w:sz w:val="40"/>
          <w:u w:val="single"/>
          <w14:textFill>
            <w14:solidFill>
              <w14:schemeClr w14:val="tx1"/>
            </w14:solidFill>
          </w14:textFill>
        </w:rPr>
        <w:t xml:space="preserve">（加盖CA电子公章）</w:t>
      </w:r>
      <w:r/>
    </w:p>
    <w:p>
      <w:pPr>
        <w:ind w:firstLine="1606"/>
        <w:spacing w:line="360" w:lineRule="auto"/>
        <w:rPr>
          <w:rFonts w:ascii="宋体" w:hAnsi="宋体"/>
          <w:b/>
          <w:color w:val="000000" w:themeColor="text1"/>
          <w:sz w:val="40"/>
          <w14:textFill>
            <w14:solidFill>
              <w14:schemeClr w14:val="tx1"/>
            </w14:solidFill>
          </w14:textFill>
        </w:rPr>
      </w:pPr>
      <w:r>
        <w:rPr>
          <w:rFonts w:hint="eastAsia" w:ascii="宋体" w:hAnsi="宋体"/>
          <w:b/>
          <w:color w:val="000000" w:themeColor="text1"/>
          <w:sz w:val="40"/>
          <w14:textFill>
            <w14:solidFill>
              <w14:schemeClr w14:val="tx1"/>
            </w14:solidFill>
          </w14:textFill>
        </w:rPr>
        <w:t xml:space="preserve">日      期 ：2026年   月     日</w:t>
      </w:r>
      <w:r/>
    </w:p>
    <w:p>
      <w:pPr>
        <w:ind w:firstLine="803"/>
        <w:spacing w:line="480" w:lineRule="exact"/>
        <w:rPr>
          <w:rFonts w:ascii="宋体" w:hAnsi="宋体"/>
          <w:b/>
          <w:color w:val="000000" w:themeColor="text1"/>
          <w:sz w:val="40"/>
          <w14:textFill>
            <w14:solidFill>
              <w14:schemeClr w14:val="tx1"/>
            </w14:solidFill>
          </w14:textFill>
        </w:rPr>
      </w:pPr>
      <w:r>
        <w:rPr>
          <w:rFonts w:ascii="宋体" w:hAnsi="宋体"/>
          <w:b/>
          <w:color w:val="000000" w:themeColor="text1"/>
          <w:sz w:val="40"/>
          <w14:textFill>
            <w14:solidFill>
              <w14:schemeClr w14:val="tx1"/>
            </w14:solidFill>
          </w14:textFill>
        </w:rPr>
      </w:r>
      <w:r/>
    </w:p>
    <w:p>
      <w:pPr>
        <w:ind w:firstLine="803"/>
        <w:spacing w:line="480" w:lineRule="exact"/>
        <w:rPr>
          <w:rFonts w:ascii="宋体" w:hAnsi="宋体"/>
          <w:b/>
          <w:color w:val="000000" w:themeColor="text1"/>
          <w:sz w:val="40"/>
          <w14:textFill>
            <w14:solidFill>
              <w14:schemeClr w14:val="tx1"/>
            </w14:solidFill>
          </w14:textFill>
        </w:rPr>
      </w:pPr>
      <w:r>
        <w:rPr>
          <w:rFonts w:ascii="宋体" w:hAnsi="宋体"/>
          <w:b/>
          <w:color w:val="000000" w:themeColor="text1"/>
          <w:sz w:val="40"/>
          <w14:textFill>
            <w14:solidFill>
              <w14:schemeClr w14:val="tx1"/>
            </w14:solidFill>
          </w14:textFill>
        </w:rPr>
      </w:r>
      <w:r/>
    </w:p>
    <w:p>
      <w:pPr>
        <w:ind w:firstLine="803"/>
        <w:spacing w:line="480" w:lineRule="exact"/>
        <w:rPr>
          <w:rFonts w:ascii="宋体" w:hAnsi="宋体"/>
          <w:b/>
          <w:color w:val="000000" w:themeColor="text1"/>
          <w:sz w:val="40"/>
          <w14:textFill>
            <w14:solidFill>
              <w14:schemeClr w14:val="tx1"/>
            </w14:solidFill>
          </w14:textFill>
        </w:rPr>
      </w:pPr>
      <w:r>
        <w:rPr>
          <w:rFonts w:ascii="宋体" w:hAnsi="宋体"/>
          <w:b/>
          <w:color w:val="000000" w:themeColor="text1"/>
          <w:sz w:val="40"/>
          <w14:textFill>
            <w14:solidFill>
              <w14:schemeClr w14:val="tx1"/>
            </w14:solidFill>
          </w14:textFill>
        </w:rPr>
      </w:r>
      <w:r/>
    </w:p>
    <w:p>
      <w:pPr>
        <w:ind w:firstLine="803"/>
        <w:spacing w:line="480" w:lineRule="exact"/>
        <w:rPr>
          <w:rFonts w:ascii="宋体" w:hAnsi="宋体"/>
          <w:b/>
          <w:color w:val="000000" w:themeColor="text1"/>
          <w:sz w:val="40"/>
          <w14:textFill>
            <w14:solidFill>
              <w14:schemeClr w14:val="tx1"/>
            </w14:solidFill>
          </w14:textFill>
        </w:rPr>
      </w:pPr>
      <w:r>
        <w:rPr>
          <w:rFonts w:ascii="宋体" w:hAnsi="宋体"/>
          <w:b/>
          <w:color w:val="000000" w:themeColor="text1"/>
          <w:sz w:val="40"/>
          <w14:textFill>
            <w14:solidFill>
              <w14:schemeClr w14:val="tx1"/>
            </w14:solidFill>
          </w14:textFill>
        </w:rPr>
      </w:r>
      <w:r/>
    </w:p>
    <w:p>
      <w:pPr>
        <w:ind w:firstLine="803"/>
        <w:spacing w:line="480" w:lineRule="exact"/>
        <w:rPr>
          <w:rFonts w:ascii="宋体" w:hAnsi="宋体"/>
          <w:b/>
          <w:color w:val="000000" w:themeColor="text1"/>
          <w:sz w:val="40"/>
          <w14:textFill>
            <w14:solidFill>
              <w14:schemeClr w14:val="tx1"/>
            </w14:solidFill>
          </w14:textFill>
        </w:rPr>
      </w:pPr>
      <w:r>
        <w:rPr>
          <w:rFonts w:ascii="宋体" w:hAnsi="宋体"/>
          <w:b/>
          <w:color w:val="000000" w:themeColor="text1"/>
          <w:sz w:val="40"/>
          <w14:textFill>
            <w14:solidFill>
              <w14:schemeClr w14:val="tx1"/>
            </w14:solidFill>
          </w14:textFill>
        </w:rPr>
      </w:r>
      <w:r/>
    </w:p>
    <w:p>
      <w:pPr>
        <w:ind w:firstLine="803"/>
        <w:spacing w:line="480" w:lineRule="exact"/>
        <w:rPr>
          <w:rFonts w:ascii="宋体" w:hAnsi="宋体"/>
          <w:b/>
          <w:color w:val="000000" w:themeColor="text1"/>
          <w:sz w:val="40"/>
          <w14:textFill>
            <w14:solidFill>
              <w14:schemeClr w14:val="tx1"/>
            </w14:solidFill>
          </w14:textFill>
        </w:rPr>
      </w:pPr>
      <w:r>
        <w:rPr>
          <w:rFonts w:ascii="宋体" w:hAnsi="宋体"/>
          <w:b/>
          <w:color w:val="000000" w:themeColor="text1"/>
          <w:sz w:val="40"/>
          <w14:textFill>
            <w14:solidFill>
              <w14:schemeClr w14:val="tx1"/>
            </w14:solidFill>
          </w14:textFill>
        </w:rPr>
      </w:r>
      <w:r/>
    </w:p>
    <w:p>
      <w:pPr>
        <w:ind w:firstLine="803"/>
        <w:spacing w:line="480" w:lineRule="exact"/>
        <w:rPr>
          <w:rFonts w:ascii="宋体" w:hAnsi="宋体"/>
          <w:b/>
          <w:color w:val="000000" w:themeColor="text1"/>
          <w:sz w:val="40"/>
          <w14:textFill>
            <w14:solidFill>
              <w14:schemeClr w14:val="tx1"/>
            </w14:solidFill>
          </w14:textFill>
        </w:rPr>
      </w:pPr>
      <w:r>
        <w:rPr>
          <w:rFonts w:ascii="宋体" w:hAnsi="宋体"/>
          <w:b/>
          <w:color w:val="000000" w:themeColor="text1"/>
          <w:sz w:val="40"/>
          <w14:textFill>
            <w14:solidFill>
              <w14:schemeClr w14:val="tx1"/>
            </w14:solidFill>
          </w14:textFill>
        </w:rPr>
      </w:r>
      <w:r/>
    </w:p>
    <w:p>
      <w:pPr>
        <w:ind w:firstLine="803"/>
        <w:spacing w:line="480" w:lineRule="exact"/>
        <w:rPr>
          <w:rFonts w:ascii="宋体" w:hAnsi="宋体"/>
          <w:b/>
          <w:color w:val="000000" w:themeColor="text1"/>
          <w:sz w:val="40"/>
          <w14:textFill>
            <w14:solidFill>
              <w14:schemeClr w14:val="tx1"/>
            </w14:solidFill>
          </w14:textFill>
        </w:rPr>
      </w:pPr>
      <w:r>
        <w:rPr>
          <w:rFonts w:ascii="宋体" w:hAnsi="宋体"/>
          <w:b/>
          <w:color w:val="000000" w:themeColor="text1"/>
          <w:sz w:val="40"/>
          <w14:textFill>
            <w14:solidFill>
              <w14:schemeClr w14:val="tx1"/>
            </w14:solidFill>
          </w14:textFill>
        </w:rPr>
      </w:r>
      <w:r/>
    </w:p>
    <w:p>
      <w:pPr>
        <w:spacing w:line="44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ind w:firstLine="643"/>
        <w:jc w:val="left"/>
        <w:widowControl/>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br w:type="page" w:clear="all"/>
      </w:r>
      <w:r/>
    </w:p>
    <w:p>
      <w:pPr>
        <w:ind w:firstLine="281"/>
        <w:jc w:val="left"/>
        <w:keepNext/>
        <w:rPr>
          <w:rFonts w:ascii="宋体" w:hAnsi="宋体"/>
          <w:b/>
          <w:bCs/>
          <w:color w:val="000000" w:themeColor="text1"/>
          <w:sz w:val="32"/>
          <w:szCs w:val="32"/>
          <w14:textFill>
            <w14:solidFill>
              <w14:schemeClr w14:val="tx1"/>
            </w14:solidFill>
          </w14:textFill>
        </w:rPr>
        <w:outlineLvl w:val="0"/>
      </w:pPr>
      <w:r/>
      <w:bookmarkStart w:id="227" w:name="_Toc228349841"/>
      <w:r>
        <w:rPr>
          <w:rFonts w:hint="eastAsia" w:ascii="Times New Roman" w:hAnsi="Times New Roman"/>
          <w:b/>
          <w:sz w:val="28"/>
          <w:szCs w:val="28"/>
          <w:lang w:bidi="ar"/>
        </w:rPr>
        <w:t xml:space="preserve">标段一、标段二</w:t>
      </w:r>
      <w:bookmarkEnd w:id="227"/>
      <w:r/>
      <w:r/>
    </w:p>
    <w:p>
      <w:pPr>
        <w:ind w:firstLine="643"/>
        <w:jc w:val="center"/>
        <w:spacing w:line="440" w:lineRule="exact"/>
        <w:rPr>
          <w:rFonts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t xml:space="preserve">投标文件目录</w:t>
      </w:r>
      <w:r/>
    </w:p>
    <w:p>
      <w:pPr>
        <w:ind w:firstLine="482"/>
        <w:spacing w:line="44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一、投标文件内容</w:t>
      </w:r>
      <w:r/>
    </w:p>
    <w:p>
      <w:pPr>
        <w:ind w:firstLine="72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1、开标一览表（格式见附件）</w:t>
      </w:r>
      <w:r/>
    </w:p>
    <w:p>
      <w:pPr>
        <w:ind w:firstLine="72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2、服务要求响应及偏离表（格式见附件）</w:t>
      </w:r>
      <w:r/>
    </w:p>
    <w:p>
      <w:pPr>
        <w:ind w:firstLine="72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3、项目方案（格式见附件）</w:t>
      </w:r>
      <w:r/>
    </w:p>
    <w:p>
      <w:pPr>
        <w:ind w:firstLine="72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4、人员及车辆一览表（格式见附件）</w:t>
      </w:r>
      <w:r/>
    </w:p>
    <w:p>
      <w:pPr>
        <w:ind w:firstLine="72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5、业绩一览表（格式见附件）</w:t>
      </w:r>
      <w:r/>
    </w:p>
    <w:p>
      <w:pPr>
        <w:ind w:firstLine="72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6、商务要求响应及偏离表（格式见附件）</w:t>
      </w:r>
      <w:r/>
    </w:p>
    <w:p>
      <w:pPr>
        <w:ind w:firstLine="72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7、其他（格式详见附件）</w:t>
      </w:r>
      <w:r/>
    </w:p>
    <w:p>
      <w:pPr>
        <w:ind w:firstLine="72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w:t>
      </w:r>
      <w:bookmarkStart w:id="228" w:name="OLE_LINK12"/>
      <w:r/>
      <w:bookmarkStart w:id="229" w:name="OLE_LINK14"/>
      <w:r>
        <w:rPr>
          <w:rFonts w:hint="eastAsia" w:ascii="宋体" w:hAnsi="宋体" w:cs="宋体"/>
          <w:color w:val="000000" w:themeColor="text1"/>
          <w:sz w:val="24"/>
          <w14:textFill>
            <w14:solidFill>
              <w14:schemeClr w14:val="tx1"/>
            </w14:solidFill>
          </w14:textFill>
        </w:rPr>
        <w:t xml:space="preserve">中小企业声明函（格式见附件）或残疾人福利性单位声明函（格式见附件）或省级以上监狱管理局、戒毒管理局（含新疆生产建设兵团）出具的属于监狱企业的证明文件。</w:t>
      </w:r>
      <w:bookmarkEnd w:id="228"/>
      <w:r/>
      <w:bookmarkEnd w:id="229"/>
      <w:r/>
    </w:p>
    <w:p>
      <w:pPr>
        <w:ind w:firstLine="720"/>
        <w:spacing w:line="440" w:lineRule="exact"/>
        <w:rPr>
          <w:rFonts w:ascii="宋体" w:hAnsi="宋体" w:cs="宋体"/>
          <w:b/>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9、企业关联信息证明材料</w:t>
      </w:r>
      <w:r>
        <w:rPr>
          <w:rFonts w:hint="eastAsia" w:ascii="宋体" w:hAnsi="宋体" w:cs="宋体"/>
          <w:color w:val="000000" w:themeColor="text1"/>
          <w:sz w:val="24"/>
          <w14:textFill>
            <w14:solidFill>
              <w14:schemeClr w14:val="tx1"/>
            </w14:solidFill>
          </w14:textFill>
        </w:rPr>
        <w:t xml:space="preserve">（格式详见附件）</w:t>
      </w:r>
      <w:r/>
    </w:p>
    <w:p>
      <w:pPr>
        <w:ind w:firstLine="482"/>
        <w:spacing w:line="44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二、资格审查内容</w:t>
      </w:r>
      <w:r/>
    </w:p>
    <w:p>
      <w:pPr>
        <w:ind w:firstLine="720"/>
        <w:spacing w:line="440" w:lineRule="exact"/>
        <w:rPr>
          <w:rFonts w:ascii="宋体" w:hAnsi="宋体"/>
          <w:b/>
          <w:sz w:val="24"/>
        </w:rPr>
      </w:pPr>
      <w:r>
        <w:rPr>
          <w:rFonts w:ascii="宋体" w:hAnsi="宋体"/>
          <w:sz w:val="24"/>
        </w:rPr>
        <w:t xml:space="preserve">1</w:t>
      </w:r>
      <w:r>
        <w:rPr>
          <w:rFonts w:hint="eastAsia" w:ascii="宋体" w:hAnsi="宋体"/>
          <w:sz w:val="24"/>
        </w:rPr>
        <w:t xml:space="preserve">、具有独立承担民事责任的能力</w:t>
      </w:r>
      <w:r>
        <w:rPr>
          <w:rFonts w:hint="eastAsia" w:ascii="宋体" w:hAnsi="宋体"/>
          <w:b/>
          <w:sz w:val="24"/>
        </w:rPr>
        <w:t xml:space="preserve">（</w:t>
      </w:r>
      <w:bookmarkStart w:id="230" w:name="OLE_LINK6"/>
      <w:r>
        <w:rPr>
          <w:rFonts w:hint="eastAsia" w:ascii="宋体" w:hAnsi="宋体"/>
          <w:b/>
          <w:sz w:val="24"/>
        </w:rPr>
        <w:t xml:space="preserve">提供法人或者其他组织的营业执照等证明文件</w:t>
      </w:r>
      <w:bookmarkEnd w:id="230"/>
      <w:r>
        <w:rPr>
          <w:rFonts w:hint="eastAsia" w:ascii="宋体" w:hAnsi="宋体"/>
          <w:b/>
          <w:sz w:val="24"/>
        </w:rPr>
        <w:t xml:space="preserve">）</w:t>
      </w:r>
      <w:r/>
    </w:p>
    <w:p>
      <w:pPr>
        <w:ind w:firstLine="720"/>
        <w:spacing w:line="440" w:lineRule="exact"/>
        <w:rPr>
          <w:rFonts w:ascii="宋体" w:hAnsi="宋体"/>
          <w:b/>
          <w:sz w:val="24"/>
        </w:rPr>
      </w:pPr>
      <w:r>
        <w:rPr>
          <w:rFonts w:ascii="宋体" w:hAnsi="宋体"/>
          <w:sz w:val="24"/>
        </w:rPr>
        <w:t xml:space="preserve">2</w:t>
      </w:r>
      <w:r>
        <w:rPr>
          <w:rFonts w:hint="eastAsia" w:ascii="宋体" w:hAnsi="宋体"/>
          <w:sz w:val="24"/>
        </w:rPr>
        <w:t xml:space="preserve">、具有良好的商业信誉和健全的财务会计制度</w:t>
      </w:r>
      <w:r>
        <w:rPr>
          <w:rFonts w:hint="eastAsia" w:ascii="宋体" w:hAnsi="宋体"/>
          <w:b/>
          <w:sz w:val="24"/>
        </w:rPr>
        <w:t xml:space="preserve">（</w:t>
      </w:r>
      <w:bookmarkStart w:id="231" w:name="OLE_LINK8"/>
      <w:r>
        <w:rPr>
          <w:rFonts w:hint="eastAsia" w:ascii="宋体" w:hAnsi="宋体"/>
          <w:b/>
          <w:sz w:val="24"/>
        </w:rPr>
        <w:t xml:space="preserve">提供最近一期的财务报告（财务报表）或金融机构（中介机构）出具的资信证明</w:t>
      </w:r>
      <w:bookmarkEnd w:id="231"/>
      <w:r>
        <w:rPr>
          <w:rFonts w:hint="eastAsia" w:ascii="宋体" w:hAnsi="宋体"/>
          <w:b/>
          <w:sz w:val="24"/>
        </w:rPr>
        <w:t xml:space="preserve">）</w:t>
      </w:r>
      <w:r/>
    </w:p>
    <w:p>
      <w:pPr>
        <w:ind w:firstLine="720"/>
        <w:spacing w:line="440" w:lineRule="exact"/>
        <w:rPr>
          <w:rFonts w:ascii="宋体" w:hAnsi="宋体" w:cs="宋体"/>
          <w:color w:val="000000" w:themeColor="text1"/>
          <w:sz w:val="24"/>
          <w14:textFill>
            <w14:solidFill>
              <w14:schemeClr w14:val="tx1"/>
            </w14:solidFill>
          </w14:textFill>
        </w:rPr>
      </w:pPr>
      <w:r>
        <w:rPr>
          <w:rFonts w:ascii="宋体" w:hAnsi="宋体"/>
          <w:sz w:val="24"/>
        </w:rPr>
        <w:t xml:space="preserve">3</w:t>
      </w:r>
      <w:r>
        <w:rPr>
          <w:rFonts w:hint="eastAsia" w:ascii="宋体" w:hAnsi="宋体"/>
          <w:sz w:val="24"/>
        </w:rPr>
        <w:t xml:space="preserve">、具有履行合同所必需的设备和专业技术能力</w:t>
      </w:r>
      <w:r>
        <w:rPr>
          <w:rFonts w:hint="eastAsia" w:ascii="宋体" w:hAnsi="宋体"/>
          <w:b/>
          <w:sz w:val="24"/>
        </w:rPr>
        <w:t xml:space="preserve">（</w:t>
      </w:r>
      <w:bookmarkStart w:id="232" w:name="OLE_LINK13"/>
      <w:r>
        <w:rPr>
          <w:rFonts w:hint="eastAsia" w:ascii="宋体" w:hAnsi="宋体"/>
          <w:b/>
          <w:sz w:val="24"/>
        </w:rPr>
        <w:t xml:space="preserve">提供具有履行合同所必需的设备和专业技术能力的声明函</w:t>
      </w:r>
      <w:bookmarkEnd w:id="232"/>
      <w:r>
        <w:rPr>
          <w:rFonts w:hint="eastAsia" w:ascii="宋体" w:hAnsi="宋体"/>
          <w:b/>
          <w:sz w:val="24"/>
        </w:rPr>
        <w:t xml:space="preserve">）</w:t>
      </w:r>
      <w:r/>
    </w:p>
    <w:p>
      <w:pPr>
        <w:ind w:firstLine="720"/>
        <w:spacing w:line="440" w:lineRule="exact"/>
        <w:rPr>
          <w:rFonts w:ascii="宋体" w:hAnsi="宋体"/>
          <w:b/>
          <w:sz w:val="24"/>
        </w:rPr>
      </w:pPr>
      <w:r>
        <w:rPr>
          <w:rFonts w:ascii="宋体" w:hAnsi="宋体"/>
          <w:sz w:val="24"/>
        </w:rPr>
        <w:t xml:space="preserve">4</w:t>
      </w:r>
      <w:r>
        <w:rPr>
          <w:rFonts w:hint="eastAsia" w:ascii="宋体" w:hAnsi="宋体"/>
          <w:sz w:val="24"/>
        </w:rPr>
        <w:t xml:space="preserve">、有依法缴纳税收和社会保障资金的良好记录</w:t>
      </w:r>
      <w:r>
        <w:rPr>
          <w:rFonts w:hint="eastAsia" w:ascii="宋体" w:hAnsi="宋体"/>
          <w:b/>
          <w:sz w:val="24"/>
        </w:rPr>
        <w:t xml:space="preserve">（</w:t>
      </w:r>
      <w:bookmarkStart w:id="233" w:name="OLE_LINK10"/>
      <w:r>
        <w:rPr>
          <w:rFonts w:hint="eastAsia" w:ascii="宋体" w:hAnsi="宋体"/>
          <w:b/>
          <w:sz w:val="24"/>
        </w:rPr>
        <w:t xml:space="preserve">提供开标时间前一年内至少一个月依法缴纳税收及缴纳社会保障资金的证明材料</w:t>
      </w:r>
      <w:r>
        <w:rPr>
          <w:rFonts w:ascii="宋体" w:hAnsi="宋体"/>
          <w:b/>
          <w:sz w:val="24"/>
          <w:szCs w:val="24"/>
        </w:rPr>
        <w:t xml:space="preserve">，如缴纳税收的凭据、缴纳社会保险的专用收据或社会保险缴纳清单</w:t>
      </w:r>
      <w:r>
        <w:rPr>
          <w:rFonts w:hint="eastAsia" w:ascii="宋体" w:hAnsi="宋体"/>
          <w:b/>
          <w:sz w:val="24"/>
        </w:rPr>
        <w:t xml:space="preserve">；依法享受免缴税收、社会保障资金的提供证明材料</w:t>
      </w:r>
      <w:bookmarkEnd w:id="233"/>
      <w:r>
        <w:rPr>
          <w:rFonts w:hint="eastAsia" w:ascii="宋体" w:hAnsi="宋体"/>
          <w:b/>
          <w:sz w:val="24"/>
        </w:rPr>
        <w:t xml:space="preserve">）</w:t>
      </w:r>
      <w:r/>
    </w:p>
    <w:p>
      <w:pPr>
        <w:ind w:firstLine="720"/>
        <w:spacing w:line="440" w:lineRule="exact"/>
        <w:rPr>
          <w:rFonts w:ascii="宋体" w:hAnsi="宋体" w:cs="宋体"/>
          <w:color w:val="000000" w:themeColor="text1"/>
          <w:sz w:val="24"/>
          <w14:textFill>
            <w14:solidFill>
              <w14:schemeClr w14:val="tx1"/>
            </w14:solidFill>
          </w14:textFill>
        </w:rPr>
      </w:pPr>
      <w:r>
        <w:rPr>
          <w:rFonts w:ascii="宋体" w:hAnsi="宋体"/>
          <w:sz w:val="24"/>
        </w:rPr>
        <w:t xml:space="preserve">5</w:t>
      </w:r>
      <w:r>
        <w:rPr>
          <w:rFonts w:hint="eastAsia" w:ascii="宋体" w:hAnsi="宋体"/>
          <w:sz w:val="24"/>
        </w:rPr>
        <w:t xml:space="preserve">、参加采购活动前三年内，在经营活动中没有重大违法记录</w:t>
      </w:r>
      <w:r>
        <w:rPr>
          <w:rFonts w:hint="eastAsia" w:ascii="宋体" w:hAnsi="宋体"/>
          <w:b/>
          <w:sz w:val="24"/>
        </w:rPr>
        <w:t xml:space="preserve">（</w:t>
      </w:r>
      <w:bookmarkStart w:id="234" w:name="OLE_LINK11"/>
      <w:r>
        <w:rPr>
          <w:rFonts w:hint="eastAsia" w:ascii="宋体" w:hAnsi="宋体"/>
          <w:b/>
          <w:sz w:val="24"/>
        </w:rPr>
        <w:t xml:space="preserve">提供承诺说明</w:t>
      </w:r>
      <w:bookmarkEnd w:id="234"/>
      <w:r>
        <w:rPr>
          <w:rFonts w:hint="eastAsia" w:ascii="宋体" w:hAnsi="宋体"/>
          <w:b/>
          <w:sz w:val="24"/>
        </w:rPr>
        <w:t xml:space="preserve">）</w:t>
      </w:r>
      <w:r/>
    </w:p>
    <w:p>
      <w:pPr>
        <w:ind w:firstLine="720"/>
        <w:spacing w:line="440" w:lineRule="exact"/>
        <w:rPr>
          <w:rFonts w:ascii="宋体" w:hAnsi="宋体"/>
          <w:sz w:val="24"/>
        </w:rPr>
      </w:pPr>
      <w:r>
        <w:rPr>
          <w:rFonts w:hint="eastAsia" w:ascii="宋体" w:hAnsi="宋体"/>
          <w:sz w:val="24"/>
        </w:rPr>
        <w:t xml:space="preserve">6、</w:t>
      </w:r>
      <w:r>
        <w:rPr>
          <w:rFonts w:hint="eastAsia" w:ascii="宋体" w:hAnsi="宋体" w:cs="宋体"/>
          <w:color w:val="000000"/>
          <w:sz w:val="24"/>
          <w:szCs w:val="24"/>
          <w:lang w:bidi="ar"/>
        </w:rPr>
        <w:t xml:space="preserve">具有合法有效的《道路运输经营许可证》（经营范围包括城市公共交通、省际包车客运），且道路运输经营许可证经营范围须包含汽车租赁或包车客运或旅游客运</w:t>
      </w:r>
      <w:r>
        <w:rPr>
          <w:rFonts w:hint="eastAsia" w:ascii="宋体" w:hAnsi="宋体" w:cs="宋体"/>
          <w:color w:val="000000" w:themeColor="text1"/>
          <w:sz w:val="24"/>
          <w:szCs w:val="24"/>
          <w14:textFill>
            <w14:solidFill>
              <w14:schemeClr w14:val="tx1"/>
            </w14:solidFill>
          </w14:textFill>
        </w:rPr>
        <w:t xml:space="preserve">。</w:t>
      </w:r>
      <w:r/>
    </w:p>
    <w:p>
      <w:pPr>
        <w:ind w:firstLine="482"/>
        <w:spacing w:line="44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三、符合性审查内容</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1、投标函（格式见附件）</w:t>
      </w:r>
      <w:r/>
    </w:p>
    <w:p>
      <w:pPr>
        <w:ind w:firstLine="480"/>
        <w:spacing w:line="440" w:lineRule="exact"/>
        <w:tabs>
          <w:tab w:val="left" w:pos="53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2、法人授权书（格式见附件）（</w:t>
      </w:r>
      <w:r>
        <w:rPr>
          <w:rFonts w:ascii="宋体" w:hAnsi="宋体"/>
          <w:b/>
          <w:sz w:val="24"/>
        </w:rPr>
        <w:t xml:space="preserve">①</w:t>
      </w:r>
      <w:r>
        <w:rPr>
          <w:rFonts w:hint="eastAsia" w:ascii="宋体" w:hAnsi="宋体"/>
          <w:b/>
          <w:sz w:val="24"/>
        </w:rPr>
        <w:t xml:space="preserve">如授权代表参加本项目投报，“法人授权书”必须提供，且须提供被授权人居民身份证正反面扫描件、被授权人的投标单位为其缴纳的近三个月任意一个月的社保证明材料及法定代表人居民身份证正反面扫描件。②如法定代表人参加本项目投报，“法人授权书”可不提供，但须提供法定代表人身份证正反面扫描件。</w:t>
      </w:r>
      <w:r>
        <w:rPr>
          <w:rFonts w:hint="eastAsia" w:ascii="宋体" w:hAnsi="宋体" w:cs="宋体"/>
          <w:color w:val="000000" w:themeColor="text1"/>
          <w:sz w:val="24"/>
          <w14:textFill>
            <w14:solidFill>
              <w14:schemeClr w14:val="tx1"/>
            </w14:solidFill>
          </w14:textFill>
        </w:rPr>
        <w:t xml:space="preserve">）</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3、实质性要求响应及偏离表（格式见附件）</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olor w:val="000000"/>
          <w:sz w:val="24"/>
        </w:rPr>
        <w:t xml:space="preserve">4、承诺函(格式见附件）</w:t>
      </w:r>
      <w:r/>
    </w:p>
    <w:p>
      <w:pPr>
        <w:ind w:firstLine="482"/>
        <w:spacing w:line="440" w:lineRule="exac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备注：针对“二、资格审查内容”和“三、符合性审查内容”，投标人必须在投标文件中提供相关材料，若有缺失或无效的，将导致其投标无效。</w:t>
      </w:r>
      <w:r/>
    </w:p>
    <w:p>
      <w:pPr>
        <w:ind w:firstLine="482"/>
        <w:jc w:val="center"/>
        <w:spacing w:line="440" w:lineRule="exact"/>
        <w:rPr>
          <w:rFonts w:ascii="Times New Roman" w:hAnsi="Times New Roman"/>
          <w:b/>
          <w:bCs/>
          <w:color w:val="000000" w:themeColor="text1"/>
          <w:sz w:val="28"/>
          <w:szCs w:val="28"/>
          <w14:textFill>
            <w14:solidFill>
              <w14:schemeClr w14:val="tx1"/>
            </w14:solidFill>
          </w14:textFill>
        </w:rPr>
        <w:outlineLvl w:val="1"/>
      </w:pPr>
      <w:r>
        <w:rPr>
          <w:rFonts w:hint="eastAsia" w:ascii="宋体" w:hAnsi="宋体"/>
          <w:b/>
          <w:color w:val="000000" w:themeColor="text1"/>
          <w:sz w:val="24"/>
          <w:szCs w:val="24"/>
          <w14:textFill>
            <w14:solidFill>
              <w14:schemeClr w14:val="tx1"/>
            </w14:solidFill>
          </w14:textFill>
        </w:rPr>
        <w:br w:type="page" w:clear="all"/>
      </w:r>
      <w:bookmarkStart w:id="235" w:name="_Toc228349842"/>
      <w:r>
        <w:rPr>
          <w:rFonts w:hint="eastAsia" w:ascii="Times New Roman" w:hAnsi="Times New Roman"/>
          <w:b/>
          <w:bCs/>
          <w:color w:val="000000" w:themeColor="text1"/>
          <w:sz w:val="28"/>
          <w:szCs w:val="28"/>
          <w14:textFill>
            <w14:solidFill>
              <w14:schemeClr w14:val="tx1"/>
            </w14:solidFill>
          </w14:textFill>
        </w:rPr>
        <w:t xml:space="preserve">附件1 开标一览表</w:t>
      </w:r>
      <w:bookmarkEnd w:id="235"/>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投标人全称（加盖CA电子签章）：</w:t>
      </w:r>
      <w:r/>
    </w:p>
    <w:p>
      <w:pPr>
        <w:ind w:firstLine="482"/>
        <w:spacing w:line="44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项目名称：苏州工学院社会车辆租赁服务</w:t>
      </w:r>
      <w:r/>
    </w:p>
    <w:p>
      <w:pPr>
        <w:ind w:firstLine="482"/>
        <w:spacing w:line="440" w:lineRule="exact"/>
        <w:rPr>
          <w:rFonts w:ascii="宋体" w:hAnsi="宋体"/>
          <w:color w:val="000000" w:themeColor="text1"/>
          <w:sz w:val="24"/>
          <w:szCs w:val="24"/>
          <w14:textFill>
            <w14:solidFill>
              <w14:schemeClr w14:val="tx1"/>
            </w14:solidFill>
          </w14:textFill>
        </w:rPr>
      </w:pPr>
      <w:r>
        <w:rPr>
          <w:rFonts w:hint="eastAsia" w:ascii="Times New Roman" w:hAnsi="Times New Roman"/>
          <w:sz w:val="24"/>
          <w:szCs w:val="24"/>
          <w:lang w:bidi="ar"/>
        </w:rPr>
        <w:t xml:space="preserve">分</w:t>
      </w:r>
      <w:r>
        <w:rPr>
          <w:rFonts w:ascii="Times New Roman" w:hAnsi="Times New Roman"/>
          <w:sz w:val="24"/>
          <w:szCs w:val="24"/>
          <w:lang w:bidi="ar"/>
        </w:rPr>
        <w:t xml:space="preserve"> </w:t>
      </w:r>
      <w:r>
        <w:rPr>
          <w:rFonts w:hint="eastAsia" w:ascii="Times New Roman" w:hAnsi="Times New Roman"/>
          <w:sz w:val="24"/>
          <w:szCs w:val="24"/>
          <w:lang w:bidi="ar"/>
        </w:rPr>
        <w:t xml:space="preserve">包</w:t>
      </w:r>
      <w:r>
        <w:rPr>
          <w:rFonts w:ascii="Times New Roman" w:hAnsi="Times New Roman"/>
          <w:sz w:val="24"/>
          <w:szCs w:val="24"/>
          <w:lang w:bidi="ar"/>
        </w:rPr>
        <w:t xml:space="preserve"> </w:t>
      </w:r>
      <w:r>
        <w:rPr>
          <w:rFonts w:hint="eastAsia" w:ascii="Times New Roman" w:hAnsi="Times New Roman"/>
          <w:sz w:val="24"/>
          <w:szCs w:val="24"/>
          <w:lang w:bidi="ar"/>
        </w:rPr>
        <w:t xml:space="preserve">号：标段一、标段二</w:t>
      </w:r>
      <w:r/>
    </w:p>
    <w:p>
      <w:pPr>
        <w:ind w:firstLine="482"/>
        <w:spacing w:line="440" w:lineRule="exact"/>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项目编号：</w:t>
      </w:r>
      <w:r>
        <w:rPr>
          <w:rFonts w:hint="eastAsia" w:ascii="宋体" w:hAnsi="宋体"/>
          <w:color w:val="000000" w:themeColor="text1"/>
          <w:sz w:val="24"/>
          <w:szCs w:val="24"/>
          <w:lang w:eastAsia="zh-CN"/>
          <w14:textFill>
            <w14:solidFill>
              <w14:schemeClr w14:val="tx1"/>
            </w14:solidFill>
          </w14:textFill>
        </w:rPr>
        <w:t xml:space="preserve">JSZC-320581-SZXY-G2026-0012</w:t>
      </w:r>
      <w:bookmarkEnd w:id="199"/>
      <w:bookmarkEnd w:id="200"/>
      <w:bookmarkEnd w:id="224"/>
      <w:bookmarkEnd w:id="225"/>
      <w:bookmarkEnd w:id="226"/>
      <w:r/>
    </w:p>
    <w:tbl>
      <w:tblPr>
        <w:tblStyle w:val="724"/>
        <w:tblpPr w:horzAnchor="page" w:tblpX="1318" w:vertAnchor="text" w:tblpY="279" w:leftFromText="180" w:topFromText="0" w:rightFromText="180" w:bottomFromText="0"/>
        <w:tblW w:w="94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25"/>
        <w:gridCol w:w="4650"/>
      </w:tblGrid>
      <w:tr>
        <w:trPr>
          <w:trHeight w:val="482"/>
        </w:trPr>
        <w:tc>
          <w:tcPr>
            <w:tcW w:w="4825"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项目名称</w:t>
            </w:r>
            <w:r/>
          </w:p>
        </w:tc>
        <w:tc>
          <w:tcPr>
            <w:tcW w:w="4650"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投标优惠率</w:t>
            </w:r>
            <w:r/>
          </w:p>
        </w:tc>
      </w:tr>
      <w:tr>
        <w:trPr>
          <w:trHeight w:val="585"/>
        </w:trPr>
        <w:tc>
          <w:tcPr>
            <w:tcW w:w="4825"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苏州工学院社会车辆租赁服务（标段一、标段二）</w:t>
            </w:r>
            <w:r/>
          </w:p>
        </w:tc>
        <w:tc>
          <w:tcPr>
            <w:tcW w:w="4650"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w:t>
            </w:r>
            <w:r/>
          </w:p>
        </w:tc>
      </w:tr>
    </w:tbl>
    <w:p>
      <w:pP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ind w:firstLine="482"/>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482"/>
        <w:jc w:val="center"/>
        <w:rPr>
          <w:rFonts w:ascii="宋体" w:hAnsi="宋体"/>
          <w:b/>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日期</w:t>
      </w:r>
      <w:r>
        <w:rPr>
          <w:rFonts w:hint="eastAsia" w:ascii="宋体" w:hAnsi="宋体"/>
          <w:b/>
          <w:color w:val="000000" w:themeColor="text1"/>
          <w:sz w:val="24"/>
          <w:szCs w:val="24"/>
          <w14:textFill>
            <w14:solidFill>
              <w14:schemeClr w14:val="tx1"/>
            </w14:solidFill>
          </w14:textFill>
        </w:rPr>
        <w:t xml:space="preserve">：</w:t>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jc w:val="center"/>
        <w:spacing w:line="440" w:lineRule="exact"/>
        <w:rPr>
          <w:rFonts w:ascii="宋体" w:hAnsi="宋体"/>
          <w:b/>
          <w:color w:val="000000" w:themeColor="text1"/>
          <w:sz w:val="24"/>
          <w:szCs w:val="24"/>
          <w14:textFill>
            <w14:solidFill>
              <w14:schemeClr w14:val="tx1"/>
            </w14:solidFill>
          </w14:textFill>
        </w:rPr>
        <w:outlineLvl w:val="1"/>
      </w:pPr>
      <w:r>
        <w:rPr>
          <w:rFonts w:hint="eastAsia" w:ascii="宋体" w:hAnsi="宋体"/>
          <w:b/>
          <w:color w:val="000000" w:themeColor="text1"/>
          <w:sz w:val="24"/>
          <w:szCs w:val="24"/>
          <w14:textFill>
            <w14:solidFill>
              <w14:schemeClr w14:val="tx1"/>
            </w14:solidFill>
          </w14:textFill>
        </w:rPr>
        <w:br w:type="page" w:clear="all"/>
      </w:r>
      <w:bookmarkStart w:id="236" w:name="_Toc228349843"/>
      <w:r>
        <w:rPr>
          <w:rFonts w:hint="eastAsia" w:ascii="Times New Roman" w:hAnsi="Times New Roman"/>
          <w:b/>
          <w:bCs/>
          <w:color w:val="000000" w:themeColor="text1"/>
          <w:sz w:val="28"/>
          <w:szCs w:val="28"/>
          <w14:textFill>
            <w14:solidFill>
              <w14:schemeClr w14:val="tx1"/>
            </w14:solidFill>
          </w14:textFill>
        </w:rPr>
        <w:t xml:space="preserve">附件2</w:t>
      </w:r>
      <w:r>
        <w:rPr>
          <w:rFonts w:ascii="Times New Roman" w:hAnsi="Times New Roman"/>
          <w:b/>
          <w:bCs/>
          <w:color w:val="000000" w:themeColor="text1"/>
          <w:sz w:val="28"/>
          <w:szCs w:val="28"/>
          <w14:textFill>
            <w14:solidFill>
              <w14:schemeClr w14:val="tx1"/>
            </w14:solidFill>
          </w14:textFill>
        </w:rPr>
        <w:t xml:space="preserve"> </w:t>
      </w:r>
      <w:r>
        <w:rPr>
          <w:rFonts w:hint="eastAsia" w:ascii="Times New Roman" w:hAnsi="Times New Roman"/>
          <w:b/>
          <w:bCs/>
          <w:color w:val="000000" w:themeColor="text1"/>
          <w:sz w:val="28"/>
          <w:szCs w:val="28"/>
          <w14:textFill>
            <w14:solidFill>
              <w14:schemeClr w14:val="tx1"/>
            </w14:solidFill>
          </w14:textFill>
        </w:rPr>
        <w:t xml:space="preserve">服务要求响应及偏离表</w:t>
      </w:r>
      <w:bookmarkEnd w:id="236"/>
      <w:r/>
      <w:r/>
    </w:p>
    <w:tbl>
      <w:tblPr>
        <w:tblStyle w:val="689"/>
        <w:tblW w:w="999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8"/>
        <w:gridCol w:w="2897"/>
        <w:gridCol w:w="2333"/>
        <w:gridCol w:w="1889"/>
        <w:gridCol w:w="2110"/>
      </w:tblGrid>
      <w:tr>
        <w:trPr>
          <w:trHeight w:val="794"/>
        </w:trPr>
        <w:tc>
          <w:tcPr>
            <w:tcW w:w="768"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序号</w:t>
            </w:r>
            <w:r/>
          </w:p>
        </w:tc>
        <w:tc>
          <w:tcPr>
            <w:tcW w:w="2897" w:type="dxa"/>
            <w:vAlign w:val="center"/>
            <w:textDirection w:val="lrTb"/>
            <w:noWrap w:val="false"/>
          </w:tcPr>
          <w:p>
            <w:pPr>
              <w:jc w:val="center"/>
              <w:rPr>
                <w:color w:val="000000" w:themeColor="text1"/>
                <w14:textFill>
                  <w14:solidFill>
                    <w14:schemeClr w14:val="tx1"/>
                  </w14:solidFill>
                </w14:textFill>
              </w:rPr>
            </w:pPr>
            <w:r>
              <w:rPr>
                <w:rFonts w:hint="eastAsia"/>
                <w:color w:val="000000" w:themeColor="text1"/>
                <w:szCs w:val="21"/>
                <w14:textFill>
                  <w14:solidFill>
                    <w14:schemeClr w14:val="tx1"/>
                  </w14:solidFill>
                </w14:textFill>
              </w:rPr>
              <w:t xml:space="preserve">招标文件</w:t>
            </w:r>
            <w:r>
              <w:rPr>
                <w:color w:val="000000" w:themeColor="text1"/>
                <w:szCs w:val="21"/>
                <w14:textFill>
                  <w14:solidFill>
                    <w14:schemeClr w14:val="tx1"/>
                  </w14:solidFill>
                </w14:textFill>
              </w:rPr>
              <w:t xml:space="preserve">要求</w:t>
            </w:r>
            <w:r/>
          </w:p>
        </w:tc>
        <w:tc>
          <w:tcPr>
            <w:tcW w:w="2333" w:type="dxa"/>
            <w:vAlign w:val="center"/>
            <w:textDirection w:val="lrTb"/>
            <w:noWrap w:val="false"/>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投标人</w:t>
            </w:r>
            <w:r>
              <w:rPr>
                <w:color w:val="000000" w:themeColor="text1"/>
                <w:szCs w:val="21"/>
                <w14:textFill>
                  <w14:solidFill>
                    <w14:schemeClr w14:val="tx1"/>
                  </w14:solidFill>
                </w14:textFill>
              </w:rPr>
              <w:t xml:space="preserve">提供服务承诺</w:t>
            </w:r>
            <w:r/>
          </w:p>
        </w:tc>
        <w:tc>
          <w:tcPr>
            <w:tcW w:w="1889" w:type="dxa"/>
            <w:vAlign w:val="center"/>
            <w:textDirection w:val="lrTb"/>
            <w:noWrap w:val="false"/>
          </w:tcPr>
          <w:p>
            <w:pPr>
              <w:jc w:val="center"/>
              <w:rPr>
                <w:color w:val="000000" w:themeColor="text1"/>
                <w14:textFill>
                  <w14:solidFill>
                    <w14:schemeClr w14:val="tx1"/>
                  </w14:solidFill>
                </w14:textFill>
              </w:rPr>
            </w:pPr>
            <w:r>
              <w:rPr>
                <w:color w:val="000000" w:themeColor="text1"/>
                <w14:textFill>
                  <w14:solidFill>
                    <w14:schemeClr w14:val="tx1"/>
                  </w14:solidFill>
                </w14:textFill>
              </w:rPr>
              <w:t xml:space="preserve">有无偏离</w:t>
            </w:r>
            <w:r/>
          </w:p>
        </w:tc>
        <w:tc>
          <w:tcPr>
            <w:tcW w:w="2110" w:type="dxa"/>
            <w:vAlign w:val="center"/>
            <w:textDirection w:val="lrTb"/>
            <w:noWrap w:val="false"/>
          </w:tcPr>
          <w:p>
            <w:pPr>
              <w:jc w:val="center"/>
              <w:rPr>
                <w:color w:val="000000" w:themeColor="text1"/>
                <w14:textFill>
                  <w14:solidFill>
                    <w14:schemeClr w14:val="tx1"/>
                  </w14:solidFill>
                </w14:textFill>
              </w:rPr>
            </w:pPr>
            <w:r>
              <w:rPr>
                <w:color w:val="000000" w:themeColor="text1"/>
                <w14:textFill>
                  <w14:solidFill>
                    <w14:schemeClr w14:val="tx1"/>
                  </w14:solidFill>
                </w14:textFill>
              </w:rPr>
              <w:t xml:space="preserve">偏离内容及原因</w:t>
            </w:r>
            <w:r/>
          </w:p>
        </w:tc>
      </w:tr>
      <w:tr>
        <w:trPr>
          <w:trHeight w:val="623"/>
        </w:trPr>
        <w:tc>
          <w:tcPr>
            <w:tcW w:w="768"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W w:w="2897"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333"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889"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110"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23"/>
        </w:trPr>
        <w:tc>
          <w:tcPr>
            <w:tcW w:w="768"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2</w:t>
            </w:r>
            <w:r/>
          </w:p>
        </w:tc>
        <w:tc>
          <w:tcPr>
            <w:tcW w:w="2897"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333"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889"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110"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23"/>
        </w:trPr>
        <w:tc>
          <w:tcPr>
            <w:tcW w:w="768"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3</w:t>
            </w:r>
            <w:r/>
          </w:p>
        </w:tc>
        <w:tc>
          <w:tcPr>
            <w:tcW w:w="2897"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333"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889"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110"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23"/>
        </w:trPr>
        <w:tc>
          <w:tcPr>
            <w:tcW w:w="768" w:type="dxa"/>
            <w:vAlign w:val="center"/>
            <w:textDirection w:val="lrTb"/>
            <w:noWrap w:val="false"/>
          </w:tcPr>
          <w:p>
            <w:pPr>
              <w:jc w:val="center"/>
              <w:spacing w:line="44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p>
        </w:tc>
        <w:tc>
          <w:tcPr>
            <w:tcW w:w="2897"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333"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889"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110"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23"/>
        </w:trPr>
        <w:tc>
          <w:tcPr>
            <w:tcW w:w="768" w:type="dxa"/>
            <w:vAlign w:val="center"/>
            <w:textDirection w:val="lrTb"/>
            <w:noWrap w:val="false"/>
          </w:tcPr>
          <w:p>
            <w:pPr>
              <w:jc w:val="center"/>
              <w:spacing w:line="44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w:t>
            </w:r>
            <w:r/>
          </w:p>
        </w:tc>
        <w:tc>
          <w:tcPr>
            <w:tcW w:w="2897"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333"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889"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110"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23"/>
        </w:trPr>
        <w:tc>
          <w:tcPr>
            <w:tcW w:w="768" w:type="dxa"/>
            <w:vAlign w:val="center"/>
            <w:textDirection w:val="lrTb"/>
            <w:noWrap w:val="false"/>
          </w:tcPr>
          <w:p>
            <w:pPr>
              <w:jc w:val="center"/>
              <w:spacing w:line="44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w:t>
            </w:r>
            <w:r/>
          </w:p>
        </w:tc>
        <w:tc>
          <w:tcPr>
            <w:tcW w:w="2897"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333"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889"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110"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23"/>
        </w:trPr>
        <w:tc>
          <w:tcPr>
            <w:tcW w:w="768" w:type="dxa"/>
            <w:vAlign w:val="center"/>
            <w:textDirection w:val="lrTb"/>
            <w:noWrap w:val="false"/>
          </w:tcPr>
          <w:p>
            <w:pPr>
              <w:jc w:val="center"/>
              <w:spacing w:line="44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w:t>
            </w:r>
            <w:r/>
          </w:p>
        </w:tc>
        <w:tc>
          <w:tcPr>
            <w:tcW w:w="2897"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333"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889"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110"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46"/>
        </w:trPr>
        <w:tc>
          <w:tcPr>
            <w:tcW w:w="768" w:type="dxa"/>
            <w:vAlign w:val="center"/>
            <w:textDirection w:val="lrTb"/>
            <w:noWrap w:val="false"/>
          </w:tcPr>
          <w:p>
            <w:pPr>
              <w:jc w:val="center"/>
              <w:spacing w:line="44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p>
        </w:tc>
        <w:tc>
          <w:tcPr>
            <w:tcW w:w="2897"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333"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889"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2110"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bl>
    <w:p>
      <w:pPr>
        <w:jc w:val="left"/>
        <w:spacing w:line="460" w:lineRule="exact"/>
        <w:rPr>
          <w:rFonts w:ascii="宋体" w:hAnsi="宋体" w:cs="宋体"/>
          <w:sz w:val="24"/>
          <w:szCs w:val="20"/>
        </w:rPr>
      </w:pPr>
      <w:r>
        <w:rPr>
          <w:rFonts w:ascii="宋体" w:hAnsi="宋体" w:cs="宋体"/>
          <w:sz w:val="24"/>
          <w:szCs w:val="20"/>
        </w:rPr>
      </w:r>
      <w:r/>
    </w:p>
    <w:p>
      <w:pPr>
        <w:ind w:firstLine="480"/>
        <w:spacing w:line="460" w:lineRule="exact"/>
        <w:rPr>
          <w:rFonts w:ascii="宋体" w:hAnsi="宋体" w:cs="宋体"/>
          <w:bCs/>
          <w:sz w:val="24"/>
          <w:szCs w:val="24"/>
        </w:rPr>
      </w:pPr>
      <w:r>
        <w:rPr>
          <w:rFonts w:hint="eastAsia" w:ascii="宋体" w:hAnsi="宋体" w:cs="宋体"/>
          <w:bCs/>
          <w:sz w:val="24"/>
          <w:szCs w:val="24"/>
        </w:rPr>
        <w:t xml:space="preserve">注：1、供应商应根据“第四章 项目需求”中的“二、项目服务要求”对照所投报货物的技术性能参数进行逐项评议。</w:t>
      </w:r>
      <w:r/>
    </w:p>
    <w:p>
      <w:pPr>
        <w:ind w:firstLine="960"/>
        <w:spacing w:line="460" w:lineRule="exact"/>
        <w:rPr>
          <w:rFonts w:ascii="宋体" w:hAnsi="宋体" w:cs="宋体"/>
          <w:bCs/>
          <w:sz w:val="24"/>
          <w:szCs w:val="24"/>
        </w:rPr>
      </w:pPr>
      <w:r>
        <w:rPr>
          <w:rFonts w:hint="eastAsia" w:ascii="宋体" w:hAnsi="宋体" w:cs="宋体"/>
          <w:bCs/>
          <w:sz w:val="24"/>
          <w:szCs w:val="24"/>
        </w:rPr>
        <w:t xml:space="preserve">2、若无偏离，在“有无偏离”栏中填写“无”；若有偏离在“有无偏离”栏中填写“有”并在“偏离内容及原因”栏中作出说明。</w:t>
      </w:r>
      <w:r/>
    </w:p>
    <w:p>
      <w:pPr>
        <w:ind w:firstLine="960"/>
        <w:spacing w:line="460" w:lineRule="exact"/>
        <w:rPr>
          <w:rFonts w:ascii="宋体" w:hAnsi="宋体" w:cs="宋体"/>
          <w:bCs/>
          <w:sz w:val="24"/>
          <w:szCs w:val="20"/>
        </w:rPr>
      </w:pPr>
      <w:r>
        <w:rPr>
          <w:rFonts w:hint="eastAsia" w:ascii="宋体" w:hAnsi="宋体" w:cs="宋体"/>
          <w:bCs/>
          <w:sz w:val="24"/>
          <w:szCs w:val="24"/>
        </w:rPr>
        <w:t xml:space="preserve">3、表格不够可另接。</w:t>
      </w:r>
      <w:r/>
    </w:p>
    <w:p>
      <w:pPr>
        <w:jc w:val="center"/>
        <w:spacing w:line="440" w:lineRule="exact"/>
        <w:rPr>
          <w:rFonts w:ascii="Times New Roman" w:hAnsi="Times New Roman"/>
          <w:b/>
          <w:bCs/>
          <w:color w:val="000000" w:themeColor="text1"/>
          <w:sz w:val="28"/>
          <w:szCs w:val="28"/>
          <w14:textFill>
            <w14:solidFill>
              <w14:schemeClr w14:val="tx1"/>
            </w14:solidFill>
          </w14:textFill>
        </w:rPr>
        <w:outlineLvl w:val="1"/>
      </w:pPr>
      <w:r>
        <w:rPr>
          <w:color w:val="000000" w:themeColor="text1"/>
          <w14:textFill>
            <w14:solidFill>
              <w14:schemeClr w14:val="tx1"/>
            </w14:solidFill>
          </w14:textFill>
        </w:rPr>
        <w:br w:type="page" w:clear="all"/>
      </w:r>
      <w:bookmarkStart w:id="237" w:name="_Toc228349844"/>
      <w:r/>
      <w:bookmarkStart w:id="238" w:name="_Toc522610225"/>
      <w:r/>
      <w:bookmarkStart w:id="239" w:name="_Toc43821328"/>
      <w:r/>
      <w:bookmarkStart w:id="240" w:name="_Toc354834784"/>
      <w:r/>
      <w:bookmarkStart w:id="241" w:name="_Toc146524609"/>
      <w:r/>
      <w:bookmarkStart w:id="242" w:name="_Toc387400419"/>
      <w:r>
        <w:rPr>
          <w:rFonts w:hint="eastAsia" w:ascii="Times New Roman" w:hAnsi="Times New Roman"/>
          <w:b/>
          <w:bCs/>
          <w:color w:val="000000" w:themeColor="text1"/>
          <w:sz w:val="28"/>
          <w:szCs w:val="28"/>
          <w14:textFill>
            <w14:solidFill>
              <w14:schemeClr w14:val="tx1"/>
            </w14:solidFill>
          </w14:textFill>
        </w:rPr>
        <w:t xml:space="preserve">附件3</w:t>
      </w:r>
      <w:r>
        <w:rPr>
          <w:rFonts w:ascii="Times New Roman" w:hAnsi="Times New Roman"/>
          <w:b/>
          <w:bCs/>
          <w:color w:val="000000" w:themeColor="text1"/>
          <w:sz w:val="28"/>
          <w:szCs w:val="28"/>
          <w14:textFill>
            <w14:solidFill>
              <w14:schemeClr w14:val="tx1"/>
            </w14:solidFill>
          </w14:textFill>
        </w:rPr>
        <w:t xml:space="preserve"> </w:t>
      </w:r>
      <w:r>
        <w:rPr>
          <w:rFonts w:hint="eastAsia" w:ascii="Times New Roman" w:hAnsi="Times New Roman"/>
          <w:b/>
          <w:bCs/>
          <w:color w:val="000000" w:themeColor="text1"/>
          <w:sz w:val="28"/>
          <w:szCs w:val="28"/>
          <w14:textFill>
            <w14:solidFill>
              <w14:schemeClr w14:val="tx1"/>
            </w14:solidFill>
          </w14:textFill>
        </w:rPr>
        <w:t xml:space="preserve">项目方案</w:t>
      </w:r>
      <w:bookmarkEnd w:id="237"/>
      <w:r/>
      <w:r/>
    </w:p>
    <w:p>
      <w:pPr>
        <w:ind w:firstLine="480"/>
        <w:spacing w:line="440" w:lineRule="exact"/>
        <w:tabs>
          <w:tab w:val="left" w:pos="287" w:leader="none"/>
        </w:tabs>
        <w:rPr>
          <w:rFonts w:ascii="宋体" w:hAnsi="宋体" w:cs="宋体"/>
          <w:sz w:val="24"/>
          <w:szCs w:val="24"/>
          <w:lang w:bidi="ar"/>
        </w:rPr>
      </w:pPr>
      <w:r>
        <w:rPr>
          <w:rFonts w:hint="eastAsia" w:ascii="宋体" w:hAnsi="宋体" w:cs="宋体"/>
          <w:sz w:val="24"/>
          <w:szCs w:val="24"/>
          <w:lang w:bidi="ar"/>
        </w:rPr>
        <w:t xml:space="preserve">请根据“第四章  项目需求”及“第五章  评审因素和评分标准”要求编写相关服务方案</w:t>
      </w:r>
      <w:r>
        <w:rPr>
          <w:rFonts w:hint="eastAsia" w:ascii="宋体" w:hAnsi="宋体" w:cs="宋体"/>
          <w:sz w:val="24"/>
          <w:szCs w:val="24"/>
          <w:lang w:bidi="ar"/>
        </w:rPr>
        <w:br w:type="page" w:clear="all"/>
      </w:r>
      <w:r/>
    </w:p>
    <w:p>
      <w:pPr>
        <w:pStyle w:val="680"/>
        <w:jc w:val="center"/>
        <w:widowControl/>
        <w:rPr>
          <w:rFonts w:ascii="Times New Roman" w:hAnsi="Times New Roman" w:eastAsia="宋体" w:cs="Times New Roman"/>
          <w:b/>
          <w:bCs/>
          <w:color w:val="000000" w:themeColor="text1"/>
          <w:sz w:val="28"/>
          <w:szCs w:val="28"/>
          <w14:textFill>
            <w14:solidFill>
              <w14:schemeClr w14:val="tx1"/>
            </w14:solidFill>
          </w14:textFill>
        </w:rPr>
      </w:pPr>
      <w:r/>
      <w:bookmarkStart w:id="243" w:name="_Toc164426719"/>
      <w:r/>
      <w:bookmarkStart w:id="244" w:name="_Toc228349845"/>
      <w:r>
        <w:rPr>
          <w:rFonts w:hint="eastAsia" w:ascii="Times New Roman" w:hAnsi="Times New Roman"/>
          <w:b/>
          <w:bCs/>
          <w:color w:val="000000" w:themeColor="text1"/>
          <w:sz w:val="28"/>
          <w:szCs w:val="28"/>
          <w14:textFill>
            <w14:solidFill>
              <w14:schemeClr w14:val="tx1"/>
            </w14:solidFill>
          </w14:textFill>
        </w:rPr>
        <w:t xml:space="preserve">附件</w:t>
      </w:r>
      <w:r>
        <w:rPr>
          <w:rFonts w:hint="eastAsia" w:ascii="Times New Roman" w:hAnsi="Times New Roman" w:eastAsia="宋体"/>
          <w:b/>
          <w:bCs/>
          <w:color w:val="000000" w:themeColor="text1"/>
          <w:sz w:val="28"/>
          <w:szCs w:val="28"/>
          <w14:textFill>
            <w14:solidFill>
              <w14:schemeClr w14:val="tx1"/>
            </w14:solidFill>
          </w14:textFill>
        </w:rPr>
        <w:t xml:space="preserve">4</w:t>
      </w:r>
      <w:r>
        <w:rPr>
          <w:rFonts w:hint="eastAsia" w:ascii="Times New Roman" w:hAnsi="Times New Roman" w:eastAsia="宋体" w:cs="Times New Roman"/>
          <w:b/>
          <w:bCs/>
          <w:color w:val="000000" w:themeColor="text1"/>
          <w:sz w:val="28"/>
          <w:szCs w:val="28"/>
          <w14:textFill>
            <w14:solidFill>
              <w14:schemeClr w14:val="tx1"/>
            </w14:solidFill>
          </w14:textFill>
        </w:rPr>
        <w:t xml:space="preserve"> </w:t>
      </w:r>
      <w:bookmarkEnd w:id="243"/>
      <w:r>
        <w:rPr>
          <w:rFonts w:hint="eastAsia" w:ascii="Times New Roman" w:hAnsi="Times New Roman" w:eastAsia="宋体" w:cs="Times New Roman"/>
          <w:b/>
          <w:bCs/>
          <w:color w:val="000000" w:themeColor="text1"/>
          <w:sz w:val="28"/>
          <w:szCs w:val="28"/>
          <w14:textFill>
            <w14:solidFill>
              <w14:schemeClr w14:val="tx1"/>
            </w14:solidFill>
          </w14:textFill>
        </w:rPr>
        <w:t xml:space="preserve">人员及车辆一览表</w:t>
      </w:r>
      <w:bookmarkEnd w:id="244"/>
      <w:r/>
      <w:r/>
    </w:p>
    <w:p>
      <w:pPr>
        <w:jc w:val="left"/>
        <w:spacing w:line="460" w:lineRule="exact"/>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（一）驾驶员</w:t>
      </w:r>
      <w:r/>
    </w:p>
    <w:p>
      <w:pPr>
        <w:jc w:val="left"/>
        <w:spacing w:line="460" w:lineRule="exact"/>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1、5座轿车驾驶员</w:t>
      </w:r>
      <w:r/>
    </w:p>
    <w:tbl>
      <w:tblPr>
        <w:tblStyle w:val="689"/>
        <w:tblW w:w="901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1626"/>
        <w:gridCol w:w="739"/>
        <w:gridCol w:w="886"/>
        <w:gridCol w:w="739"/>
        <w:gridCol w:w="739"/>
        <w:gridCol w:w="1774"/>
        <w:gridCol w:w="886"/>
        <w:gridCol w:w="887"/>
      </w:tblGrid>
      <w:tr>
        <w:trPr>
          <w:jc w:val="center"/>
          <w:trHeight w:val="1474"/>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本项目中拟担任的职务</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姓名</w:t>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专业</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职称</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学历</w:t>
            </w:r>
            <w:r/>
          </w:p>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学位</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具有证书情况</w:t>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从业经验</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履历情况</w:t>
            </w:r>
            <w:r/>
          </w:p>
        </w:tc>
      </w:tr>
      <w:tr>
        <w:trPr>
          <w:cantSplit/>
          <w:jc w:val="center"/>
          <w:trHeight w:val="754"/>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741"/>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741"/>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765"/>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bl>
    <w:p>
      <w:pPr>
        <w:jc w:val="left"/>
        <w:spacing w:line="460" w:lineRule="exact"/>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2 、7座商务车驾驶员</w:t>
      </w:r>
      <w:r/>
    </w:p>
    <w:tbl>
      <w:tblPr>
        <w:tblStyle w:val="689"/>
        <w:tblW w:w="901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1626"/>
        <w:gridCol w:w="739"/>
        <w:gridCol w:w="886"/>
        <w:gridCol w:w="739"/>
        <w:gridCol w:w="739"/>
        <w:gridCol w:w="1774"/>
        <w:gridCol w:w="886"/>
        <w:gridCol w:w="887"/>
      </w:tblGrid>
      <w:tr>
        <w:trPr>
          <w:jc w:val="center"/>
          <w:trHeight w:val="1474"/>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本项目中拟担任的职务</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姓名</w:t>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专业</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职称</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学历</w:t>
            </w:r>
            <w:r/>
          </w:p>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学位</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具有证书情况</w:t>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从业经验</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履历情况</w:t>
            </w:r>
            <w:r/>
          </w:p>
        </w:tc>
      </w:tr>
      <w:tr>
        <w:trPr>
          <w:cantSplit/>
          <w:jc w:val="center"/>
          <w:trHeight w:val="754"/>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741"/>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741"/>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765"/>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bl>
    <w:p>
      <w:pPr>
        <w:jc w:val="left"/>
        <w:spacing w:line="460" w:lineRule="exact"/>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3、13—17座中型客车驾驶员</w:t>
      </w:r>
      <w:r/>
    </w:p>
    <w:tbl>
      <w:tblPr>
        <w:tblStyle w:val="689"/>
        <w:tblW w:w="901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1626"/>
        <w:gridCol w:w="739"/>
        <w:gridCol w:w="886"/>
        <w:gridCol w:w="739"/>
        <w:gridCol w:w="739"/>
        <w:gridCol w:w="1774"/>
        <w:gridCol w:w="886"/>
        <w:gridCol w:w="887"/>
      </w:tblGrid>
      <w:tr>
        <w:trPr>
          <w:jc w:val="center"/>
          <w:trHeight w:val="1474"/>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本项目中拟担任的职务</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姓名</w:t>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专业</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职称</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学历</w:t>
            </w:r>
            <w:r/>
          </w:p>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学位</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具有证书情况</w:t>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从业经验</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履历情况</w:t>
            </w:r>
            <w:r/>
          </w:p>
        </w:tc>
      </w:tr>
      <w:tr>
        <w:trPr>
          <w:cantSplit/>
          <w:jc w:val="center"/>
          <w:trHeight w:val="754"/>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741"/>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741"/>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765"/>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bl>
    <w:p>
      <w:pPr>
        <w:jc w:val="left"/>
        <w:spacing w:line="460" w:lineRule="exact"/>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4、19—35座大型客车驾驶员</w:t>
      </w:r>
      <w:r/>
    </w:p>
    <w:tbl>
      <w:tblPr>
        <w:tblStyle w:val="689"/>
        <w:tblW w:w="901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1626"/>
        <w:gridCol w:w="739"/>
        <w:gridCol w:w="886"/>
        <w:gridCol w:w="739"/>
        <w:gridCol w:w="739"/>
        <w:gridCol w:w="1774"/>
        <w:gridCol w:w="886"/>
        <w:gridCol w:w="887"/>
      </w:tblGrid>
      <w:tr>
        <w:trPr>
          <w:jc w:val="center"/>
          <w:trHeight w:val="1474"/>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本项目中拟担任的职务</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姓名</w:t>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专业</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职称</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学历</w:t>
            </w:r>
            <w:r/>
          </w:p>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学位</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具有证书情况</w:t>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从业经验</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履历情况</w:t>
            </w:r>
            <w:r/>
          </w:p>
        </w:tc>
      </w:tr>
      <w:tr>
        <w:trPr>
          <w:cantSplit/>
          <w:jc w:val="center"/>
          <w:trHeight w:val="754"/>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741"/>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741"/>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765"/>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bl>
    <w:p>
      <w:pPr>
        <w:jc w:val="left"/>
        <w:spacing w:line="460" w:lineRule="exact"/>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5、45座及以上大客车驾驶员</w:t>
      </w:r>
      <w:r/>
    </w:p>
    <w:tbl>
      <w:tblPr>
        <w:tblStyle w:val="689"/>
        <w:tblW w:w="901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1626"/>
        <w:gridCol w:w="739"/>
        <w:gridCol w:w="886"/>
        <w:gridCol w:w="739"/>
        <w:gridCol w:w="739"/>
        <w:gridCol w:w="1774"/>
        <w:gridCol w:w="886"/>
        <w:gridCol w:w="887"/>
      </w:tblGrid>
      <w:tr>
        <w:trPr>
          <w:jc w:val="center"/>
          <w:trHeight w:val="1474"/>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本项目中拟担任的职务</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姓名</w:t>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专业</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职称</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学历</w:t>
            </w:r>
            <w:r/>
          </w:p>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学位</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具有证书情况</w:t>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从业经验</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履历情况</w:t>
            </w:r>
            <w:r/>
          </w:p>
        </w:tc>
      </w:tr>
      <w:tr>
        <w:trPr>
          <w:cantSplit/>
          <w:jc w:val="center"/>
          <w:trHeight w:val="754"/>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741"/>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741"/>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765"/>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bl>
    <w:p>
      <w:pPr>
        <w:jc w:val="left"/>
        <w:spacing w:line="460" w:lineRule="exact"/>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6、新能源5座轿车驾驶员</w:t>
      </w:r>
      <w:r/>
    </w:p>
    <w:tbl>
      <w:tblPr>
        <w:tblStyle w:val="689"/>
        <w:tblW w:w="901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1626"/>
        <w:gridCol w:w="739"/>
        <w:gridCol w:w="886"/>
        <w:gridCol w:w="739"/>
        <w:gridCol w:w="739"/>
        <w:gridCol w:w="1774"/>
        <w:gridCol w:w="886"/>
        <w:gridCol w:w="887"/>
      </w:tblGrid>
      <w:tr>
        <w:trPr>
          <w:jc w:val="center"/>
          <w:trHeight w:val="1474"/>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本项目中拟担任的职务</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姓名</w:t>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专业</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职称</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学历</w:t>
            </w:r>
            <w:r/>
          </w:p>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学位</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具有证书情况</w:t>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从业经验</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履历情况</w:t>
            </w:r>
            <w:r/>
          </w:p>
        </w:tc>
      </w:tr>
      <w:tr>
        <w:trPr>
          <w:cantSplit/>
          <w:jc w:val="center"/>
          <w:trHeight w:val="754"/>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741"/>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741"/>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765"/>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bl>
    <w:p>
      <w:pPr>
        <w:jc w:val="left"/>
        <w:spacing w:line="460" w:lineRule="exact"/>
        <w:rPr>
          <w:rFonts w:ascii="宋体" w:hAnsi="宋体" w:cs="宋体"/>
          <w:color w:val="000000" w:themeColor="text1"/>
          <w:sz w:val="24"/>
          <w:szCs w:val="24"/>
          <w:lang w:bidi="ar"/>
          <w14:textFill>
            <w14:solidFill>
              <w14:schemeClr w14:val="tx1"/>
            </w14:solidFill>
          </w14:textFill>
        </w:rPr>
      </w:pPr>
      <w:r>
        <w:rPr>
          <w:rFonts w:ascii="宋体" w:hAnsi="宋体" w:cs="宋体"/>
          <w:color w:val="000000" w:themeColor="text1"/>
          <w:sz w:val="24"/>
          <w:szCs w:val="24"/>
          <w:lang w:bidi="ar"/>
          <w14:textFill>
            <w14:solidFill>
              <w14:schemeClr w14:val="tx1"/>
            </w14:solidFill>
          </w14:textFill>
        </w:rPr>
      </w:r>
      <w:r/>
    </w:p>
    <w:p>
      <w:pPr>
        <w:jc w:val="left"/>
        <w:spacing w:line="46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注：1、投标人根据项目实际情况配置人员，如实详细填写上述表格。</w:t>
      </w:r>
      <w:r/>
    </w:p>
    <w:p>
      <w:pPr>
        <w:ind w:firstLine="480"/>
        <w:jc w:val="left"/>
        <w:spacing w:line="460" w:lineRule="exact"/>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2、相关人员从业经验、履历情况等内容可另附详细说明，需按“第五章  评标方法与评标标准”要求提供相关证明材料。</w:t>
      </w:r>
      <w:r/>
    </w:p>
    <w:p>
      <w:pPr>
        <w:jc w:val="left"/>
        <w:spacing w:line="460" w:lineRule="exact"/>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（二）车辆</w:t>
      </w:r>
      <w:r/>
    </w:p>
    <w:p>
      <w:pPr>
        <w:jc w:val="left"/>
        <w:spacing w:line="460" w:lineRule="exact"/>
      </w:pPr>
      <w:r>
        <w:rPr>
          <w:rFonts w:hint="eastAsia" w:ascii="宋体" w:hAnsi="宋体" w:cs="宋体"/>
          <w:color w:val="000000" w:themeColor="text1"/>
          <w:sz w:val="24"/>
          <w:szCs w:val="24"/>
          <w:lang w:bidi="ar"/>
          <w14:textFill>
            <w14:solidFill>
              <w14:schemeClr w14:val="tx1"/>
            </w14:solidFill>
          </w14:textFill>
        </w:rPr>
        <w:t xml:space="preserve">1、</w:t>
      </w:r>
      <w:r/>
    </w:p>
    <w:tbl>
      <w:tblPr>
        <w:tblStyle w:val="689"/>
        <w:tblW w:w="10065"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735"/>
        <w:gridCol w:w="1383"/>
        <w:gridCol w:w="3113"/>
        <w:gridCol w:w="3124"/>
      </w:tblGrid>
      <w:tr>
        <w:trPr>
          <w:trHeight w:val="558"/>
        </w:trPr>
        <w:tc>
          <w:tcPr>
            <w:gridSpan w:val="5"/>
            <w:tcBorders>
              <w:top w:val="single" w:color="auto" w:sz="4" w:space="0"/>
              <w:left w:val="single" w:color="auto" w:sz="4" w:space="0"/>
              <w:bottom w:val="single" w:color="auto" w:sz="4" w:space="0"/>
              <w:right w:val="single" w:color="auto" w:sz="4" w:space="0"/>
            </w:tcBorders>
            <w:tcW w:w="10065" w:type="dxa"/>
            <w:vAlign w:val="center"/>
            <w:textDirection w:val="lrTb"/>
            <w:noWrap w:val="false"/>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bidi="ar"/>
                <w14:textFill>
                  <w14:solidFill>
                    <w14:schemeClr w14:val="tx1"/>
                  </w14:solidFill>
                </w14:textFill>
              </w:rPr>
              <w:t xml:space="preserve">5座轿车</w:t>
            </w:r>
            <w:r/>
          </w:p>
        </w:tc>
      </w:tr>
      <w:tr>
        <w:trPr>
          <w:trHeight w:val="558"/>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735" w:type="dxa"/>
            <w:vAlign w:val="center"/>
            <w:textDirection w:val="lrTb"/>
            <w:noWrap w:val="false"/>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车辆名称</w:t>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rPr>
                <w:rFonts w:ascii="宋体" w:hAnsi="宋体" w:cs="宋体"/>
                <w:b/>
                <w:color w:val="000000" w:themeColor="text1"/>
                <w:sz w:val="24"/>
                <w:szCs w:val="24"/>
                <w:lang w:bidi="ar"/>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数量</w:t>
            </w:r>
            <w:r/>
          </w:p>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3113" w:type="dxa"/>
            <w:vAlign w:val="center"/>
            <w:textDirection w:val="lrTb"/>
            <w:noWrap w:val="false"/>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照片</w:t>
            </w:r>
            <w:r/>
          </w:p>
        </w:tc>
        <w:tc>
          <w:tcPr>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备注</w:t>
            </w:r>
            <w:r/>
          </w:p>
        </w:tc>
      </w:tr>
      <w:tr>
        <w:trPr>
          <w:trHeight w:val="454"/>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735"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1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trHeight w:val="454"/>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735"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1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trHeight w:val="454"/>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35"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1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trHeight w:val="454"/>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35"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1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trHeight w:val="454"/>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35"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1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trHeight w:val="454"/>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35"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1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bl>
    <w:p>
      <w:pPr>
        <w:jc w:val="left"/>
        <w:spacing w:line="460" w:lineRule="exact"/>
      </w:pPr>
      <w:r>
        <w:rPr>
          <w:rFonts w:hint="eastAsia" w:ascii="宋体" w:hAnsi="宋体" w:cs="宋体"/>
          <w:color w:val="000000" w:themeColor="text1"/>
          <w:sz w:val="24"/>
          <w:szCs w:val="24"/>
          <w:lang w:bidi="ar"/>
          <w14:textFill>
            <w14:solidFill>
              <w14:schemeClr w14:val="tx1"/>
            </w14:solidFill>
          </w14:textFill>
        </w:rPr>
        <w:t xml:space="preserve">2、</w:t>
      </w:r>
      <w:r/>
    </w:p>
    <w:tbl>
      <w:tblPr>
        <w:tblStyle w:val="689"/>
        <w:tblW w:w="10065"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735"/>
        <w:gridCol w:w="1383"/>
        <w:gridCol w:w="3113"/>
        <w:gridCol w:w="3124"/>
      </w:tblGrid>
      <w:tr>
        <w:trPr>
          <w:trHeight w:val="558"/>
        </w:trPr>
        <w:tc>
          <w:tcPr>
            <w:gridSpan w:val="5"/>
            <w:tcBorders>
              <w:top w:val="single" w:color="auto" w:sz="4" w:space="0"/>
              <w:left w:val="single" w:color="auto" w:sz="4" w:space="0"/>
              <w:bottom w:val="single" w:color="auto" w:sz="4" w:space="0"/>
              <w:right w:val="single" w:color="auto" w:sz="4" w:space="0"/>
            </w:tcBorders>
            <w:tcW w:w="10065" w:type="dxa"/>
            <w:vAlign w:val="center"/>
            <w:textDirection w:val="lrTb"/>
            <w:noWrap w:val="false"/>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7座商务车</w:t>
            </w:r>
            <w:r/>
          </w:p>
        </w:tc>
      </w:tr>
      <w:tr>
        <w:trPr>
          <w:trHeight w:val="558"/>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735" w:type="dxa"/>
            <w:vAlign w:val="center"/>
            <w:textDirection w:val="lrTb"/>
            <w:noWrap w:val="false"/>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车辆名称</w:t>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rPr>
                <w:rFonts w:ascii="宋体" w:hAnsi="宋体" w:cs="宋体"/>
                <w:b/>
                <w:color w:val="000000" w:themeColor="text1"/>
                <w:sz w:val="24"/>
                <w:szCs w:val="24"/>
                <w:lang w:bidi="ar"/>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数量</w:t>
            </w:r>
            <w:r/>
          </w:p>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3113" w:type="dxa"/>
            <w:vAlign w:val="center"/>
            <w:textDirection w:val="lrTb"/>
            <w:noWrap w:val="false"/>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照片</w:t>
            </w:r>
            <w:r/>
          </w:p>
        </w:tc>
        <w:tc>
          <w:tcPr>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备注</w:t>
            </w:r>
            <w:r/>
          </w:p>
        </w:tc>
      </w:tr>
      <w:tr>
        <w:trPr>
          <w:trHeight w:val="454"/>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735"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1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trHeight w:val="454"/>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735"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1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trHeight w:val="454"/>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35"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1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trHeight w:val="454"/>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35"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1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trHeight w:val="454"/>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35"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1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trHeight w:val="454"/>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35"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1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bl>
    <w:p>
      <w:pPr>
        <w:jc w:val="left"/>
        <w:spacing w:line="460" w:lineRule="exact"/>
      </w:pPr>
      <w:r>
        <w:rPr>
          <w:rFonts w:hint="eastAsia" w:ascii="宋体" w:hAnsi="宋体" w:cs="宋体"/>
          <w:color w:val="000000" w:themeColor="text1"/>
          <w:sz w:val="24"/>
          <w:szCs w:val="24"/>
          <w:lang w:bidi="ar"/>
          <w14:textFill>
            <w14:solidFill>
              <w14:schemeClr w14:val="tx1"/>
            </w14:solidFill>
          </w14:textFill>
        </w:rPr>
        <w:t xml:space="preserve">3、</w:t>
      </w:r>
      <w:r/>
    </w:p>
    <w:tbl>
      <w:tblPr>
        <w:tblStyle w:val="689"/>
        <w:tblW w:w="10065"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735"/>
        <w:gridCol w:w="1383"/>
        <w:gridCol w:w="3113"/>
        <w:gridCol w:w="3124"/>
      </w:tblGrid>
      <w:tr>
        <w:trPr>
          <w:trHeight w:val="558"/>
        </w:trPr>
        <w:tc>
          <w:tcPr>
            <w:gridSpan w:val="5"/>
            <w:tcBorders>
              <w:top w:val="single" w:color="auto" w:sz="4" w:space="0"/>
              <w:left w:val="single" w:color="auto" w:sz="4" w:space="0"/>
              <w:bottom w:val="single" w:color="auto" w:sz="4" w:space="0"/>
              <w:right w:val="single" w:color="auto" w:sz="4" w:space="0"/>
            </w:tcBorders>
            <w:tcW w:w="10065" w:type="dxa"/>
            <w:vAlign w:val="center"/>
            <w:textDirection w:val="lrTb"/>
            <w:noWrap w:val="false"/>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13—17座中型客车</w:t>
            </w:r>
            <w:r/>
          </w:p>
        </w:tc>
      </w:tr>
      <w:tr>
        <w:trPr>
          <w:trHeight w:val="558"/>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735" w:type="dxa"/>
            <w:vAlign w:val="center"/>
            <w:textDirection w:val="lrTb"/>
            <w:noWrap w:val="false"/>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车辆名称</w:t>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rPr>
                <w:rFonts w:ascii="宋体" w:hAnsi="宋体" w:cs="宋体"/>
                <w:b/>
                <w:color w:val="000000" w:themeColor="text1"/>
                <w:sz w:val="24"/>
                <w:szCs w:val="24"/>
                <w:lang w:bidi="ar"/>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数量</w:t>
            </w:r>
            <w:r/>
          </w:p>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3113" w:type="dxa"/>
            <w:vAlign w:val="center"/>
            <w:textDirection w:val="lrTb"/>
            <w:noWrap w:val="false"/>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照片</w:t>
            </w:r>
            <w:r/>
          </w:p>
        </w:tc>
        <w:tc>
          <w:tcPr>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备注</w:t>
            </w:r>
            <w:r/>
          </w:p>
        </w:tc>
      </w:tr>
      <w:tr>
        <w:trPr>
          <w:trHeight w:val="454"/>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735"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1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trHeight w:val="454"/>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735"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1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trHeight w:val="454"/>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35"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1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trHeight w:val="454"/>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35"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1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trHeight w:val="454"/>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35"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1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trHeight w:val="454"/>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35"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1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bl>
    <w:p>
      <w:pPr>
        <w:jc w:val="left"/>
        <w:spacing w:line="460" w:lineRule="exact"/>
      </w:pPr>
      <w:r>
        <w:rPr>
          <w:rFonts w:hint="eastAsia" w:ascii="宋体" w:hAnsi="宋体" w:cs="宋体"/>
          <w:color w:val="000000" w:themeColor="text1"/>
          <w:sz w:val="24"/>
          <w:szCs w:val="24"/>
          <w:lang w:bidi="ar"/>
          <w14:textFill>
            <w14:solidFill>
              <w14:schemeClr w14:val="tx1"/>
            </w14:solidFill>
          </w14:textFill>
        </w:rPr>
        <w:t xml:space="preserve">4、</w:t>
      </w:r>
      <w:r/>
    </w:p>
    <w:tbl>
      <w:tblPr>
        <w:tblStyle w:val="689"/>
        <w:tblW w:w="10065"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735"/>
        <w:gridCol w:w="1383"/>
        <w:gridCol w:w="3113"/>
        <w:gridCol w:w="3124"/>
      </w:tblGrid>
      <w:tr>
        <w:trPr>
          <w:trHeight w:val="558"/>
        </w:trPr>
        <w:tc>
          <w:tcPr>
            <w:gridSpan w:val="5"/>
            <w:tcBorders>
              <w:top w:val="single" w:color="auto" w:sz="4" w:space="0"/>
              <w:left w:val="single" w:color="auto" w:sz="4" w:space="0"/>
              <w:bottom w:val="single" w:color="auto" w:sz="4" w:space="0"/>
              <w:right w:val="single" w:color="auto" w:sz="4" w:space="0"/>
            </w:tcBorders>
            <w:tcW w:w="10065" w:type="dxa"/>
            <w:vAlign w:val="center"/>
            <w:textDirection w:val="lrTb"/>
            <w:noWrap w:val="false"/>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19—35座大型客车</w:t>
            </w:r>
            <w:r/>
          </w:p>
        </w:tc>
      </w:tr>
      <w:tr>
        <w:trPr>
          <w:trHeight w:val="558"/>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735" w:type="dxa"/>
            <w:vAlign w:val="center"/>
            <w:textDirection w:val="lrTb"/>
            <w:noWrap w:val="false"/>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车辆名称</w:t>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rPr>
                <w:rFonts w:ascii="宋体" w:hAnsi="宋体" w:cs="宋体"/>
                <w:b/>
                <w:color w:val="000000" w:themeColor="text1"/>
                <w:sz w:val="24"/>
                <w:szCs w:val="24"/>
                <w:lang w:bidi="ar"/>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数量</w:t>
            </w:r>
            <w:r/>
          </w:p>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3113" w:type="dxa"/>
            <w:vAlign w:val="center"/>
            <w:textDirection w:val="lrTb"/>
            <w:noWrap w:val="false"/>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照片</w:t>
            </w:r>
            <w:r/>
          </w:p>
        </w:tc>
        <w:tc>
          <w:tcPr>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备注</w:t>
            </w:r>
            <w:r/>
          </w:p>
        </w:tc>
      </w:tr>
      <w:tr>
        <w:trPr>
          <w:trHeight w:val="454"/>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735"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1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trHeight w:val="454"/>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735"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1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trHeight w:val="454"/>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35"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1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trHeight w:val="454"/>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35"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1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trHeight w:val="454"/>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35"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1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trHeight w:val="454"/>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35"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1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bl>
    <w:p>
      <w:pPr>
        <w:jc w:val="left"/>
        <w:spacing w:line="460" w:lineRule="exact"/>
      </w:pPr>
      <w:r>
        <w:rPr>
          <w:rFonts w:hint="eastAsia" w:ascii="宋体" w:hAnsi="宋体" w:cs="宋体"/>
          <w:color w:val="000000" w:themeColor="text1"/>
          <w:sz w:val="24"/>
          <w:szCs w:val="24"/>
          <w:lang w:bidi="ar"/>
          <w14:textFill>
            <w14:solidFill>
              <w14:schemeClr w14:val="tx1"/>
            </w14:solidFill>
          </w14:textFill>
        </w:rPr>
        <w:t xml:space="preserve">5、</w:t>
      </w:r>
      <w:r/>
    </w:p>
    <w:tbl>
      <w:tblPr>
        <w:tblStyle w:val="689"/>
        <w:tblW w:w="10065"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735"/>
        <w:gridCol w:w="1383"/>
        <w:gridCol w:w="3113"/>
        <w:gridCol w:w="3124"/>
      </w:tblGrid>
      <w:tr>
        <w:trPr>
          <w:trHeight w:val="558"/>
        </w:trPr>
        <w:tc>
          <w:tcPr>
            <w:gridSpan w:val="5"/>
            <w:tcBorders>
              <w:top w:val="single" w:color="auto" w:sz="4" w:space="0"/>
              <w:left w:val="single" w:color="auto" w:sz="4" w:space="0"/>
              <w:bottom w:val="single" w:color="auto" w:sz="4" w:space="0"/>
              <w:right w:val="single" w:color="auto" w:sz="4" w:space="0"/>
            </w:tcBorders>
            <w:tcW w:w="10065" w:type="dxa"/>
            <w:vAlign w:val="center"/>
            <w:textDirection w:val="lrTb"/>
            <w:noWrap w:val="false"/>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45座及以上大客车</w:t>
            </w:r>
            <w:r/>
          </w:p>
        </w:tc>
      </w:tr>
      <w:tr>
        <w:trPr>
          <w:trHeight w:val="558"/>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735" w:type="dxa"/>
            <w:vAlign w:val="center"/>
            <w:textDirection w:val="lrTb"/>
            <w:noWrap w:val="false"/>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车辆名称</w:t>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rPr>
                <w:rFonts w:ascii="宋体" w:hAnsi="宋体" w:cs="宋体"/>
                <w:b/>
                <w:color w:val="000000" w:themeColor="text1"/>
                <w:sz w:val="24"/>
                <w:szCs w:val="24"/>
                <w:lang w:bidi="ar"/>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数量</w:t>
            </w:r>
            <w:r/>
          </w:p>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3113" w:type="dxa"/>
            <w:vAlign w:val="center"/>
            <w:textDirection w:val="lrTb"/>
            <w:noWrap w:val="false"/>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照片</w:t>
            </w:r>
            <w:r/>
          </w:p>
        </w:tc>
        <w:tc>
          <w:tcPr>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备注</w:t>
            </w:r>
            <w:r/>
          </w:p>
        </w:tc>
      </w:tr>
      <w:tr>
        <w:trPr>
          <w:trHeight w:val="454"/>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735"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1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trHeight w:val="454"/>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735"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1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trHeight w:val="454"/>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35"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1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trHeight w:val="454"/>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35"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1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trHeight w:val="454"/>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35"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1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trHeight w:val="454"/>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35"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1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bl>
    <w:p>
      <w:pPr>
        <w:jc w:val="left"/>
        <w:spacing w:line="460" w:lineRule="exact"/>
      </w:pPr>
      <w:r>
        <w:rPr>
          <w:rFonts w:hint="eastAsia" w:ascii="宋体" w:hAnsi="宋体" w:cs="宋体"/>
          <w:color w:val="000000" w:themeColor="text1"/>
          <w:sz w:val="24"/>
          <w:szCs w:val="24"/>
          <w:lang w:bidi="ar"/>
          <w14:textFill>
            <w14:solidFill>
              <w14:schemeClr w14:val="tx1"/>
            </w14:solidFill>
          </w14:textFill>
        </w:rPr>
        <w:t xml:space="preserve">6、</w:t>
      </w:r>
      <w:r/>
    </w:p>
    <w:tbl>
      <w:tblPr>
        <w:tblStyle w:val="689"/>
        <w:tblW w:w="10065"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735"/>
        <w:gridCol w:w="1383"/>
        <w:gridCol w:w="3113"/>
        <w:gridCol w:w="3124"/>
      </w:tblGrid>
      <w:tr>
        <w:trPr>
          <w:trHeight w:val="558"/>
        </w:trPr>
        <w:tc>
          <w:tcPr>
            <w:gridSpan w:val="5"/>
            <w:tcBorders>
              <w:top w:val="single" w:color="auto" w:sz="4" w:space="0"/>
              <w:left w:val="single" w:color="auto" w:sz="4" w:space="0"/>
              <w:bottom w:val="single" w:color="auto" w:sz="4" w:space="0"/>
              <w:right w:val="single" w:color="auto" w:sz="4" w:space="0"/>
            </w:tcBorders>
            <w:tcW w:w="10065" w:type="dxa"/>
            <w:vAlign w:val="center"/>
            <w:textDirection w:val="lrTb"/>
            <w:noWrap w:val="false"/>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新能源5座轿车</w:t>
            </w:r>
            <w:r/>
          </w:p>
        </w:tc>
      </w:tr>
      <w:tr>
        <w:trPr>
          <w:trHeight w:val="558"/>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735" w:type="dxa"/>
            <w:vAlign w:val="center"/>
            <w:textDirection w:val="lrTb"/>
            <w:noWrap w:val="false"/>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车辆名称</w:t>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rPr>
                <w:rFonts w:ascii="宋体" w:hAnsi="宋体" w:cs="宋体"/>
                <w:b/>
                <w:color w:val="000000" w:themeColor="text1"/>
                <w:sz w:val="24"/>
                <w:szCs w:val="24"/>
                <w:lang w:bidi="ar"/>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数量</w:t>
            </w:r>
            <w:r/>
          </w:p>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3113" w:type="dxa"/>
            <w:vAlign w:val="center"/>
            <w:textDirection w:val="lrTb"/>
            <w:noWrap w:val="false"/>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照片</w:t>
            </w:r>
            <w:r/>
          </w:p>
        </w:tc>
        <w:tc>
          <w:tcPr>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备注</w:t>
            </w:r>
            <w:r/>
          </w:p>
        </w:tc>
      </w:tr>
      <w:tr>
        <w:trPr>
          <w:trHeight w:val="454"/>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735"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1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trHeight w:val="454"/>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735"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1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trHeight w:val="454"/>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35"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1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trHeight w:val="454"/>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35"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1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trHeight w:val="454"/>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35"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1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trHeight w:val="454"/>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35"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1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bl>
    <w:p>
      <w:pPr>
        <w:jc w:val="left"/>
        <w:spacing w:line="460" w:lineRule="exact"/>
        <w:rPr>
          <w:rFonts w:ascii="宋体" w:hAnsi="宋体" w:cs="宋体"/>
          <w:color w:val="000000" w:themeColor="text1"/>
          <w:sz w:val="24"/>
          <w:szCs w:val="24"/>
          <w:lang w:bidi="ar"/>
          <w14:textFill>
            <w14:solidFill>
              <w14:schemeClr w14:val="tx1"/>
            </w14:solidFill>
          </w14:textFill>
        </w:rPr>
      </w:pPr>
      <w:r>
        <w:rPr>
          <w:rFonts w:ascii="宋体" w:hAnsi="宋体" w:cs="宋体"/>
          <w:color w:val="000000" w:themeColor="text1"/>
          <w:sz w:val="24"/>
          <w:szCs w:val="24"/>
          <w:lang w:bidi="ar"/>
          <w14:textFill>
            <w14:solidFill>
              <w14:schemeClr w14:val="tx1"/>
            </w14:solidFill>
          </w14:textFill>
        </w:rPr>
      </w:r>
      <w:r/>
    </w:p>
    <w:p>
      <w:pPr>
        <w:jc w:val="left"/>
        <w:spacing w:line="460" w:lineRule="exact"/>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注：1、投标文件中需根据“第五章  评标方法与评标标准”要求提供相关证明材料，因表述含糊导致的评标风险将由投标人承担。</w:t>
      </w:r>
      <w:r/>
    </w:p>
    <w:p>
      <w:pPr>
        <w:ind w:firstLine="480"/>
        <w:jc w:val="left"/>
        <w:spacing w:line="460" w:lineRule="exact"/>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2、如有需要说明的事项，请在备注中列明。</w:t>
      </w:r>
      <w:r/>
    </w:p>
    <w:p>
      <w:pPr>
        <w:ind w:firstLine="480"/>
        <w:jc w:val="left"/>
        <w:spacing w:line="460" w:lineRule="exact"/>
        <w:rPr>
          <w:rFonts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3、表格不够可另接。</w:t>
      </w:r>
      <w:r/>
    </w:p>
    <w:p>
      <w:pPr>
        <w:rPr>
          <w:rFonts w:ascii="Times New Roman" w:hAnsi="Times New Roman"/>
          <w:b/>
          <w:bCs/>
          <w:color w:val="000000" w:themeColor="text1"/>
          <w:sz w:val="28"/>
          <w:szCs w:val="28"/>
          <w14:textFill>
            <w14:solidFill>
              <w14:schemeClr w14:val="tx1"/>
            </w14:solidFill>
          </w14:textFill>
        </w:rPr>
      </w:pPr>
      <w:r>
        <w:rPr>
          <w:rFonts w:hint="eastAsia" w:ascii="Times New Roman" w:hAnsi="Times New Roman"/>
          <w:b/>
          <w:bCs/>
          <w:color w:val="000000" w:themeColor="text1"/>
          <w:sz w:val="28"/>
          <w:szCs w:val="28"/>
          <w14:textFill>
            <w14:solidFill>
              <w14:schemeClr w14:val="tx1"/>
            </w14:solidFill>
          </w14:textFill>
        </w:rPr>
        <w:br w:type="page" w:clear="all"/>
      </w:r>
      <w:r/>
    </w:p>
    <w:p>
      <w:pPr>
        <w:ind w:firstLine="840"/>
        <w:spacing w:line="480" w:lineRule="exact"/>
        <w:rPr>
          <w:color w:val="000000" w:themeColor="text1"/>
          <w14:textFill>
            <w14:solidFill>
              <w14:schemeClr w14:val="tx1"/>
            </w14:solidFill>
          </w14:textFill>
        </w:rPr>
      </w:pPr>
      <w:r>
        <w:rPr>
          <w:color w:val="000000" w:themeColor="text1"/>
          <w14:textFill>
            <w14:solidFill>
              <w14:schemeClr w14:val="tx1"/>
            </w14:solidFill>
          </w14:textFill>
        </w:rPr>
      </w:r>
      <w:r/>
    </w:p>
    <w:p>
      <w:pPr>
        <w:ind w:firstLine="482"/>
        <w:jc w:val="center"/>
        <w:spacing w:line="440" w:lineRule="exact"/>
        <w:rPr>
          <w:rFonts w:ascii="Times New Roman" w:hAnsi="Times New Roman"/>
          <w:b/>
          <w:bCs/>
          <w:color w:val="000000" w:themeColor="text1"/>
          <w:sz w:val="28"/>
          <w:szCs w:val="28"/>
          <w14:textFill>
            <w14:solidFill>
              <w14:schemeClr w14:val="tx1"/>
            </w14:solidFill>
          </w14:textFill>
        </w:rPr>
        <w:outlineLvl w:val="1"/>
      </w:pPr>
      <w:r/>
      <w:bookmarkStart w:id="245" w:name="_Toc228349846"/>
      <w:r>
        <w:rPr>
          <w:rFonts w:hint="eastAsia" w:ascii="Times New Roman" w:hAnsi="Times New Roman"/>
          <w:b/>
          <w:bCs/>
          <w:color w:val="000000" w:themeColor="text1"/>
          <w:sz w:val="28"/>
          <w:szCs w:val="28"/>
          <w14:textFill>
            <w14:solidFill>
              <w14:schemeClr w14:val="tx1"/>
            </w14:solidFill>
          </w14:textFill>
        </w:rPr>
        <w:t xml:space="preserve">附件5</w:t>
      </w:r>
      <w:r>
        <w:rPr>
          <w:rFonts w:ascii="Times New Roman" w:hAnsi="Times New Roman"/>
          <w:b/>
          <w:bCs/>
          <w:color w:val="000000" w:themeColor="text1"/>
          <w:sz w:val="28"/>
          <w:szCs w:val="28"/>
          <w14:textFill>
            <w14:solidFill>
              <w14:schemeClr w14:val="tx1"/>
            </w14:solidFill>
          </w14:textFill>
        </w:rPr>
        <w:t xml:space="preserve"> </w:t>
      </w:r>
      <w:r>
        <w:rPr>
          <w:rFonts w:hint="eastAsia" w:ascii="Times New Roman" w:hAnsi="Times New Roman"/>
          <w:b/>
          <w:bCs/>
          <w:color w:val="000000" w:themeColor="text1"/>
          <w:sz w:val="28"/>
          <w:szCs w:val="28"/>
          <w14:textFill>
            <w14:solidFill>
              <w14:schemeClr w14:val="tx1"/>
            </w14:solidFill>
          </w14:textFill>
        </w:rPr>
        <w:t xml:space="preserve">业绩一览表</w:t>
      </w:r>
      <w:bookmarkEnd w:id="238"/>
      <w:r/>
      <w:bookmarkEnd w:id="239"/>
      <w:r/>
      <w:bookmarkEnd w:id="240"/>
      <w:r/>
      <w:bookmarkEnd w:id="241"/>
      <w:r/>
      <w:bookmarkEnd w:id="242"/>
      <w:r/>
      <w:bookmarkEnd w:id="245"/>
      <w:r/>
      <w:r/>
    </w:p>
    <w:tbl>
      <w:tblPr>
        <w:tblStyle w:val="689"/>
        <w:tblW w:w="102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2832"/>
        <w:gridCol w:w="1743"/>
        <w:gridCol w:w="2124"/>
        <w:gridCol w:w="1617"/>
        <w:gridCol w:w="1176"/>
      </w:tblGrid>
      <w:tr>
        <w:trPr>
          <w:trHeight w:val="883"/>
        </w:trPr>
        <w:tc>
          <w:tcPr>
            <w:tcBorders>
              <w:top w:val="single" w:color="auto" w:sz="4" w:space="0"/>
              <w:left w:val="single" w:color="auto" w:sz="4" w:space="0"/>
              <w:bottom w:val="single" w:color="000000" w:sz="4" w:space="0"/>
              <w:right w:val="single" w:color="auto" w:sz="4" w:space="0"/>
            </w:tcBorders>
            <w:tcW w:w="765" w:type="dxa"/>
            <w:vAlign w:val="center"/>
            <w:textDirection w:val="lrTb"/>
            <w:noWrap w:val="false"/>
          </w:tcPr>
          <w:p>
            <w:pPr>
              <w:jc w:val="center"/>
              <w:spacing w:after="120"/>
              <w:rPr>
                <w:rFonts w:ascii="Times New Roman" w:hAnsi="Times New Roman"/>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jc w:val="center"/>
              <w:spacing w:after="120"/>
              <w:rPr>
                <w:rFonts w:ascii="Times New Roman" w:hAnsi="Times New Roman"/>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jc w:val="center"/>
              <w:spacing w:after="120"/>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合同金额</w:t>
            </w:r>
            <w:r/>
          </w:p>
        </w:tc>
        <w:tc>
          <w:tcPr>
            <w:tcBorders>
              <w:top w:val="single" w:color="auto" w:sz="4" w:space="0"/>
              <w:left w:val="single" w:color="auto" w:sz="4" w:space="0"/>
              <w:bottom w:val="single" w:color="auto" w:sz="4" w:space="0"/>
              <w:right w:val="single" w:color="auto" w:sz="4" w:space="0"/>
            </w:tcBorders>
            <w:tcW w:w="2124" w:type="dxa"/>
            <w:vAlign w:val="center"/>
            <w:textDirection w:val="lrTb"/>
            <w:noWrap w:val="false"/>
          </w:tcPr>
          <w:p>
            <w:pPr>
              <w:jc w:val="center"/>
              <w:spacing w:after="120"/>
              <w:rPr>
                <w:rFonts w:ascii="Times New Roman" w:hAnsi="Times New Roman"/>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实施日期</w:t>
            </w:r>
            <w:r/>
          </w:p>
        </w:tc>
        <w:tc>
          <w:tcPr>
            <w:tcBorders>
              <w:top w:val="single" w:color="auto" w:sz="4" w:space="0"/>
              <w:left w:val="single" w:color="auto" w:sz="4" w:space="0"/>
              <w:bottom w:val="single" w:color="auto" w:sz="4" w:space="0"/>
              <w:right w:val="single" w:color="auto" w:sz="4" w:space="0"/>
            </w:tcBorders>
            <w:tcW w:w="1617" w:type="dxa"/>
            <w:vAlign w:val="center"/>
            <w:textDirection w:val="lrTb"/>
            <w:noWrap w:val="false"/>
          </w:tcPr>
          <w:p>
            <w:pPr>
              <w:jc w:val="center"/>
              <w:spacing w:after="120"/>
              <w:rPr>
                <w:rFonts w:ascii="Times New Roman" w:hAnsi="Times New Roman"/>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联系人及联系电话</w:t>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spacing w:after="120" w:line="440" w:lineRule="exact"/>
              <w:rPr>
                <w:rFonts w:ascii="Times New Roman" w:hAnsi="Times New Roman"/>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备注</w:t>
            </w:r>
            <w:r/>
          </w:p>
        </w:tc>
      </w:tr>
      <w:tr>
        <w:trPr>
          <w:trHeight w:val="635"/>
        </w:trPr>
        <w:tc>
          <w:tcPr>
            <w:tcBorders>
              <w:top w:val="single" w:color="000000" w:sz="4" w:space="0"/>
              <w:left w:val="single" w:color="auto" w:sz="4" w:space="0"/>
              <w:bottom w:val="single" w:color="auto" w:sz="4" w:space="0"/>
              <w:right w:val="single" w:color="auto" w:sz="4" w:space="0"/>
            </w:tcBorders>
            <w:tcW w:w="765" w:type="dxa"/>
            <w:vAlign w:val="center"/>
            <w:textDirection w:val="lrTb"/>
            <w:noWrap w:val="false"/>
          </w:tcPr>
          <w:p>
            <w:pPr>
              <w:jc w:val="center"/>
              <w:spacing w:after="120"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jc w:val="center"/>
              <w:spacing w:after="120"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jc w:val="center"/>
              <w:spacing w:after="120"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24" w:type="dxa"/>
            <w:vAlign w:val="center"/>
            <w:textDirection w:val="lrTb"/>
            <w:noWrap w:val="false"/>
          </w:tcPr>
          <w:p>
            <w:pPr>
              <w:jc w:val="center"/>
              <w:spacing w:after="120"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7" w:type="dxa"/>
            <w:textDirection w:val="lrTb"/>
            <w:noWrap w:val="false"/>
          </w:tcPr>
          <w:p>
            <w:pPr>
              <w:jc w:val="center"/>
              <w:spacing w:after="120"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spacing w:after="120"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r>
      <w:tr>
        <w:trPr>
          <w:trHeight w:val="635"/>
        </w:trPr>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jc w:val="center"/>
              <w:spacing w:after="120"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jc w:val="center"/>
              <w:spacing w:after="120"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jc w:val="center"/>
              <w:spacing w:after="120"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24" w:type="dxa"/>
            <w:vAlign w:val="center"/>
            <w:textDirection w:val="lrTb"/>
            <w:noWrap w:val="false"/>
          </w:tcPr>
          <w:p>
            <w:pPr>
              <w:jc w:val="center"/>
              <w:spacing w:after="120"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7" w:type="dxa"/>
            <w:textDirection w:val="lrTb"/>
            <w:noWrap w:val="false"/>
          </w:tcPr>
          <w:p>
            <w:pPr>
              <w:jc w:val="center"/>
              <w:spacing w:after="120"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spacing w:after="120"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r>
      <w:tr>
        <w:trPr>
          <w:trHeight w:val="635"/>
        </w:trPr>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jc w:val="center"/>
              <w:spacing w:after="120"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jc w:val="center"/>
              <w:spacing w:after="120"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jc w:val="center"/>
              <w:spacing w:after="120"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24" w:type="dxa"/>
            <w:vAlign w:val="center"/>
            <w:textDirection w:val="lrTb"/>
            <w:noWrap w:val="false"/>
          </w:tcPr>
          <w:p>
            <w:pPr>
              <w:jc w:val="center"/>
              <w:spacing w:after="120"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7" w:type="dxa"/>
            <w:textDirection w:val="lrTb"/>
            <w:noWrap w:val="false"/>
          </w:tcPr>
          <w:p>
            <w:pPr>
              <w:jc w:val="center"/>
              <w:spacing w:after="120"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spacing w:after="120"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r>
      <w:tr>
        <w:trPr>
          <w:trHeight w:val="635"/>
        </w:trPr>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jc w:val="center"/>
              <w:spacing w:after="120"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jc w:val="center"/>
              <w:spacing w:after="120"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jc w:val="center"/>
              <w:spacing w:after="120"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24" w:type="dxa"/>
            <w:vAlign w:val="center"/>
            <w:textDirection w:val="lrTb"/>
            <w:noWrap w:val="false"/>
          </w:tcPr>
          <w:p>
            <w:pPr>
              <w:jc w:val="center"/>
              <w:spacing w:after="120"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7" w:type="dxa"/>
            <w:textDirection w:val="lrTb"/>
            <w:noWrap w:val="false"/>
          </w:tcPr>
          <w:p>
            <w:pPr>
              <w:jc w:val="center"/>
              <w:spacing w:after="120"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spacing w:after="120"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r>
      <w:tr>
        <w:trPr>
          <w:trHeight w:val="646"/>
        </w:trPr>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jc w:val="center"/>
              <w:spacing w:after="120" w:line="440" w:lineRule="exact"/>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jc w:val="center"/>
              <w:spacing w:after="120"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jc w:val="center"/>
              <w:spacing w:after="120"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24" w:type="dxa"/>
            <w:vAlign w:val="center"/>
            <w:textDirection w:val="lrTb"/>
            <w:noWrap w:val="false"/>
          </w:tcPr>
          <w:p>
            <w:pPr>
              <w:jc w:val="center"/>
              <w:spacing w:after="120"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7" w:type="dxa"/>
            <w:textDirection w:val="lrTb"/>
            <w:noWrap w:val="false"/>
          </w:tcPr>
          <w:p>
            <w:pPr>
              <w:jc w:val="center"/>
              <w:spacing w:after="120"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spacing w:after="120"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r>
    </w:tbl>
    <w:p>
      <w:pPr>
        <w:ind w:firstLine="240"/>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注：1、上述表格内容为投标人2023年1月1日（以合同签订时间为准）至今具有的符合“第五章  评标方法与评标标准”的业绩。</w:t>
      </w:r>
      <w:r/>
    </w:p>
    <w:p>
      <w:pPr>
        <w:ind w:firstLine="720"/>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2、请投标人提供上述一览表中主要业绩的合同证明材料。</w:t>
      </w:r>
      <w:r/>
    </w:p>
    <w:p>
      <w:pPr>
        <w:ind w:firstLine="720"/>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3、如有需要说明的事项，请在备注中列明。</w:t>
      </w:r>
      <w:r/>
    </w:p>
    <w:p>
      <w:pPr>
        <w:ind w:firstLine="482"/>
        <w:jc w:val="center"/>
        <w:spacing w:line="440" w:lineRule="exact"/>
        <w:rPr>
          <w:rFonts w:ascii="Times New Roman" w:hAnsi="Times New Roman"/>
          <w:b/>
          <w:bCs/>
          <w:color w:val="000000" w:themeColor="text1"/>
          <w:sz w:val="28"/>
          <w:szCs w:val="28"/>
          <w14:textFill>
            <w14:solidFill>
              <w14:schemeClr w14:val="tx1"/>
            </w14:solidFill>
          </w14:textFill>
        </w:rPr>
        <w:outlineLvl w:val="1"/>
      </w:pPr>
      <w:r>
        <w:rPr>
          <w:rFonts w:hint="eastAsia" w:ascii="宋体" w:hAnsi="宋体"/>
          <w:b/>
          <w:color w:val="000000" w:themeColor="text1"/>
          <w:sz w:val="24"/>
          <w:szCs w:val="24"/>
          <w14:textFill>
            <w14:solidFill>
              <w14:schemeClr w14:val="tx1"/>
            </w14:solidFill>
          </w14:textFill>
        </w:rPr>
        <w:br w:type="page" w:clear="all"/>
      </w:r>
      <w:bookmarkStart w:id="246" w:name="_Toc228349847"/>
      <w:r>
        <w:rPr>
          <w:rFonts w:hint="eastAsia" w:ascii="Times New Roman" w:hAnsi="Times New Roman"/>
          <w:b/>
          <w:bCs/>
          <w:color w:val="000000" w:themeColor="text1"/>
          <w:sz w:val="28"/>
          <w:szCs w:val="28"/>
          <w14:textFill>
            <w14:solidFill>
              <w14:schemeClr w14:val="tx1"/>
            </w14:solidFill>
          </w14:textFill>
        </w:rPr>
        <w:t xml:space="preserve">附件6 商务要求响应及偏离表</w:t>
      </w:r>
      <w:bookmarkEnd w:id="246"/>
      <w:r/>
      <w:r/>
    </w:p>
    <w:tbl>
      <w:tblPr>
        <w:tblStyle w:val="689"/>
        <w:tblW w:w="903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80"/>
        <w:gridCol w:w="2310"/>
        <w:gridCol w:w="2940"/>
      </w:tblGrid>
      <w:tr>
        <w:trPr>
          <w:trHeight w:val="451"/>
        </w:trPr>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jc w:val="center"/>
              <w:rPr>
                <w:rFonts w:ascii="宋体" w:hAnsi="宋体" w:cs="宋体"/>
                <w:sz w:val="24"/>
                <w:szCs w:val="24"/>
              </w:rPr>
            </w:pPr>
            <w:r>
              <w:rPr>
                <w:rFonts w:hint="eastAsia" w:ascii="宋体" w:hAnsi="宋体" w:cs="宋体"/>
                <w:sz w:val="24"/>
                <w:szCs w:val="24"/>
                <w:lang w:bidi="ar"/>
              </w:rPr>
              <w:t xml:space="preserve">合同条款</w:t>
            </w:r>
            <w:r/>
          </w:p>
        </w:tc>
        <w:tc>
          <w:tcPr>
            <w:shd w:val="clear" w:color="auto" w:fill="auto"/>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hAnsi="宋体" w:cs="宋体"/>
                <w:sz w:val="24"/>
                <w:szCs w:val="24"/>
              </w:rPr>
            </w:pPr>
            <w:r>
              <w:rPr>
                <w:rFonts w:hint="eastAsia" w:ascii="宋体" w:hAnsi="宋体" w:cs="宋体"/>
                <w:sz w:val="24"/>
                <w:szCs w:val="24"/>
                <w:lang w:bidi="ar"/>
              </w:rPr>
              <w:t xml:space="preserve">有无偏离</w:t>
            </w:r>
            <w:r/>
          </w:p>
        </w:tc>
        <w:tc>
          <w:tcPr>
            <w:shd w:val="clear" w:color="auto" w:fill="auto"/>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jc w:val="center"/>
              <w:rPr>
                <w:rFonts w:ascii="宋体" w:hAnsi="宋体" w:cs="宋体"/>
                <w:sz w:val="24"/>
                <w:szCs w:val="24"/>
              </w:rPr>
            </w:pPr>
            <w:r>
              <w:rPr>
                <w:rFonts w:hint="eastAsia" w:ascii="宋体" w:hAnsi="宋体" w:cs="宋体"/>
                <w:sz w:val="24"/>
                <w:szCs w:val="24"/>
                <w:lang w:bidi="ar"/>
              </w:rPr>
              <w:t xml:space="preserve">偏离内容及原因</w:t>
            </w:r>
            <w:r/>
          </w:p>
        </w:tc>
      </w:tr>
      <w:tr>
        <w:trPr>
          <w:trHeight w:val="441"/>
        </w:trPr>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rFonts w:ascii="宋体" w:hAnsi="宋体" w:cs="宋体"/>
                <w:sz w:val="24"/>
                <w:szCs w:val="24"/>
              </w:rPr>
            </w:pPr>
            <w:r>
              <w:rPr>
                <w:rFonts w:hint="eastAsia" w:ascii="宋体" w:hAnsi="宋体" w:cs="宋体"/>
                <w:sz w:val="24"/>
                <w:szCs w:val="24"/>
                <w:lang w:bidi="ar"/>
              </w:rPr>
              <w:t xml:space="preserve">第一条 定义</w:t>
            </w:r>
            <w:r/>
          </w:p>
        </w:tc>
        <w:tc>
          <w:tcPr>
            <w:shd w:val="clear" w:color="auto" w:fill="auto"/>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441"/>
        </w:trPr>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rFonts w:ascii="宋体" w:hAnsi="宋体" w:cs="宋体"/>
                <w:sz w:val="24"/>
                <w:szCs w:val="24"/>
              </w:rPr>
            </w:pPr>
            <w:r>
              <w:rPr>
                <w:rFonts w:hint="eastAsia" w:ascii="宋体" w:hAnsi="宋体" w:cs="宋体"/>
                <w:sz w:val="24"/>
                <w:szCs w:val="24"/>
                <w:lang w:bidi="ar"/>
              </w:rPr>
              <w:t xml:space="preserve">第二条 组成本合同的文件</w:t>
            </w:r>
            <w:r/>
          </w:p>
        </w:tc>
        <w:tc>
          <w:tcPr>
            <w:shd w:val="clear" w:color="auto" w:fill="auto"/>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441"/>
        </w:trPr>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rFonts w:ascii="宋体" w:hAnsi="宋体" w:cs="宋体"/>
                <w:sz w:val="24"/>
                <w:szCs w:val="24"/>
                <w:lang w:bidi="ar"/>
              </w:rPr>
            </w:pPr>
            <w:r>
              <w:rPr>
                <w:rFonts w:hint="eastAsia" w:ascii="宋体" w:hAnsi="宋体" w:cs="宋体"/>
                <w:sz w:val="24"/>
                <w:szCs w:val="24"/>
                <w:lang w:bidi="ar"/>
              </w:rPr>
              <w:t xml:space="preserve">第三条 合同货物</w:t>
            </w:r>
            <w:r/>
          </w:p>
        </w:tc>
        <w:tc>
          <w:tcPr>
            <w:shd w:val="clear" w:color="auto" w:fill="auto"/>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441"/>
        </w:trPr>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rFonts w:ascii="宋体" w:hAnsi="宋体" w:cs="宋体"/>
                <w:sz w:val="24"/>
                <w:szCs w:val="24"/>
                <w:lang w:bidi="ar"/>
              </w:rPr>
            </w:pPr>
            <w:r>
              <w:rPr>
                <w:rFonts w:hint="eastAsia" w:ascii="宋体" w:hAnsi="宋体" w:cs="宋体"/>
                <w:sz w:val="24"/>
                <w:szCs w:val="24"/>
                <w:lang w:bidi="ar"/>
              </w:rPr>
              <w:t xml:space="preserve">第四条 合同总价</w:t>
            </w:r>
            <w:r/>
          </w:p>
        </w:tc>
        <w:tc>
          <w:tcPr>
            <w:shd w:val="clear" w:color="auto" w:fill="auto"/>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441"/>
        </w:trPr>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rFonts w:ascii="宋体" w:hAnsi="宋体" w:cs="宋体"/>
                <w:sz w:val="24"/>
                <w:szCs w:val="24"/>
                <w:lang w:bidi="ar"/>
              </w:rPr>
            </w:pPr>
            <w:r>
              <w:rPr>
                <w:rFonts w:hint="eastAsia" w:ascii="宋体" w:hAnsi="宋体" w:cs="宋体"/>
                <w:sz w:val="24"/>
                <w:szCs w:val="24"/>
                <w:lang w:bidi="ar"/>
              </w:rPr>
              <w:t xml:space="preserve">第五条 付款方式</w:t>
            </w:r>
            <w:r/>
          </w:p>
        </w:tc>
        <w:tc>
          <w:tcPr>
            <w:shd w:val="clear" w:color="auto" w:fill="auto"/>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441"/>
        </w:trPr>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rFonts w:ascii="宋体" w:hAnsi="宋体" w:cs="宋体"/>
                <w:sz w:val="24"/>
                <w:szCs w:val="24"/>
              </w:rPr>
            </w:pPr>
            <w:r>
              <w:rPr>
                <w:rFonts w:hint="eastAsia" w:ascii="宋体" w:hAnsi="宋体" w:cs="宋体"/>
                <w:sz w:val="24"/>
                <w:szCs w:val="24"/>
                <w:lang w:bidi="ar"/>
              </w:rPr>
              <w:t xml:space="preserve">第六条 权利保证</w:t>
            </w:r>
            <w:r/>
          </w:p>
        </w:tc>
        <w:tc>
          <w:tcPr>
            <w:shd w:val="clear" w:color="auto" w:fill="auto"/>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441"/>
        </w:trPr>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rFonts w:ascii="宋体" w:hAnsi="宋体" w:cs="宋体"/>
                <w:sz w:val="24"/>
                <w:szCs w:val="24"/>
              </w:rPr>
            </w:pPr>
            <w:r>
              <w:rPr>
                <w:rFonts w:hint="eastAsia" w:ascii="宋体" w:hAnsi="宋体" w:cs="宋体"/>
                <w:sz w:val="24"/>
                <w:szCs w:val="24"/>
                <w:lang w:bidi="ar"/>
              </w:rPr>
              <w:t xml:space="preserve">第七条 质量保证</w:t>
            </w:r>
            <w:r/>
          </w:p>
        </w:tc>
        <w:tc>
          <w:tcPr>
            <w:shd w:val="clear" w:color="auto" w:fill="auto"/>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441"/>
        </w:trPr>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rFonts w:ascii="宋体" w:hAnsi="宋体" w:cs="宋体"/>
                <w:sz w:val="24"/>
                <w:szCs w:val="24"/>
              </w:rPr>
            </w:pPr>
            <w:r>
              <w:rPr>
                <w:rFonts w:hint="eastAsia" w:ascii="宋体" w:hAnsi="宋体" w:cs="宋体"/>
                <w:sz w:val="24"/>
                <w:szCs w:val="24"/>
                <w:lang w:bidi="ar"/>
              </w:rPr>
              <w:t xml:space="preserve">第八条 包装要求 </w:t>
            </w:r>
            <w:r/>
          </w:p>
        </w:tc>
        <w:tc>
          <w:tcPr>
            <w:shd w:val="clear" w:color="auto" w:fill="auto"/>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441"/>
        </w:trPr>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rFonts w:ascii="宋体" w:hAnsi="宋体" w:cs="宋体"/>
                <w:sz w:val="24"/>
                <w:szCs w:val="24"/>
                <w:lang w:bidi="ar"/>
              </w:rPr>
            </w:pPr>
            <w:r>
              <w:rPr>
                <w:rFonts w:hint="eastAsia" w:ascii="宋体" w:hAnsi="宋体" w:cs="宋体"/>
                <w:sz w:val="24"/>
                <w:szCs w:val="24"/>
                <w:lang w:bidi="ar"/>
              </w:rPr>
              <w:t xml:space="preserve">第九条 交货</w:t>
            </w:r>
            <w:r/>
          </w:p>
        </w:tc>
        <w:tc>
          <w:tcPr>
            <w:shd w:val="clear" w:color="auto" w:fill="auto"/>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441"/>
        </w:trPr>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rFonts w:ascii="宋体" w:hAnsi="宋体" w:cs="宋体"/>
                <w:sz w:val="24"/>
                <w:szCs w:val="24"/>
              </w:rPr>
            </w:pPr>
            <w:r>
              <w:rPr>
                <w:rFonts w:hint="eastAsia" w:ascii="宋体" w:hAnsi="宋体" w:cs="宋体"/>
                <w:sz w:val="24"/>
                <w:szCs w:val="24"/>
                <w:lang w:bidi="ar"/>
              </w:rPr>
              <w:t xml:space="preserve">第十条 到货验收 </w:t>
            </w:r>
            <w:r/>
          </w:p>
        </w:tc>
        <w:tc>
          <w:tcPr>
            <w:shd w:val="clear" w:color="auto" w:fill="auto"/>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441"/>
        </w:trPr>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rFonts w:ascii="宋体" w:hAnsi="宋体" w:cs="宋体"/>
                <w:sz w:val="24"/>
                <w:szCs w:val="24"/>
              </w:rPr>
            </w:pPr>
            <w:r>
              <w:rPr>
                <w:rFonts w:hint="eastAsia" w:ascii="宋体" w:hAnsi="宋体" w:cs="宋体"/>
                <w:sz w:val="24"/>
                <w:szCs w:val="24"/>
                <w:lang w:bidi="ar"/>
              </w:rPr>
              <w:t xml:space="preserve">第十一条 伴随服务</w:t>
            </w:r>
            <w:r/>
          </w:p>
        </w:tc>
        <w:tc>
          <w:tcPr>
            <w:shd w:val="clear" w:color="auto" w:fill="auto"/>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441"/>
        </w:trPr>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rFonts w:ascii="宋体" w:hAnsi="宋体" w:cs="宋体"/>
                <w:sz w:val="24"/>
                <w:szCs w:val="24"/>
              </w:rPr>
            </w:pPr>
            <w:r>
              <w:rPr>
                <w:rFonts w:hint="eastAsia" w:ascii="宋体" w:hAnsi="宋体" w:cs="宋体"/>
                <w:sz w:val="24"/>
                <w:szCs w:val="24"/>
                <w:lang w:bidi="ar"/>
              </w:rPr>
              <w:t xml:space="preserve">第十二条 最终验收</w:t>
            </w:r>
            <w:r/>
          </w:p>
        </w:tc>
        <w:tc>
          <w:tcPr>
            <w:shd w:val="clear" w:color="auto" w:fill="auto"/>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441"/>
        </w:trPr>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rFonts w:ascii="宋体" w:hAnsi="宋体" w:cs="宋体"/>
                <w:sz w:val="24"/>
                <w:szCs w:val="24"/>
              </w:rPr>
            </w:pPr>
            <w:r>
              <w:rPr>
                <w:rFonts w:hint="eastAsia" w:ascii="宋体" w:hAnsi="宋体" w:cs="宋体"/>
                <w:sz w:val="24"/>
                <w:szCs w:val="24"/>
                <w:lang w:bidi="ar"/>
              </w:rPr>
              <w:t xml:space="preserve">第十三条 售后服务</w:t>
            </w:r>
            <w:r/>
          </w:p>
        </w:tc>
        <w:tc>
          <w:tcPr>
            <w:shd w:val="clear" w:color="auto" w:fill="auto"/>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441"/>
        </w:trPr>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rFonts w:ascii="宋体" w:hAnsi="宋体" w:cs="宋体"/>
                <w:sz w:val="24"/>
                <w:szCs w:val="24"/>
              </w:rPr>
            </w:pPr>
            <w:r>
              <w:rPr>
                <w:rFonts w:hint="eastAsia" w:ascii="宋体" w:hAnsi="宋体" w:cs="宋体"/>
                <w:sz w:val="24"/>
                <w:szCs w:val="24"/>
                <w:lang w:bidi="ar"/>
              </w:rPr>
              <w:t xml:space="preserve">第十四条 违约责任</w:t>
            </w:r>
            <w:r/>
          </w:p>
        </w:tc>
        <w:tc>
          <w:tcPr>
            <w:shd w:val="clear" w:color="auto" w:fill="auto"/>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441"/>
        </w:trPr>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rFonts w:ascii="宋体" w:hAnsi="宋体" w:cs="宋体"/>
                <w:sz w:val="24"/>
                <w:szCs w:val="24"/>
              </w:rPr>
            </w:pPr>
            <w:r>
              <w:rPr>
                <w:rFonts w:hint="eastAsia" w:ascii="宋体" w:hAnsi="宋体" w:cs="宋体"/>
                <w:sz w:val="24"/>
                <w:szCs w:val="24"/>
                <w:lang w:bidi="ar"/>
              </w:rPr>
              <w:t xml:space="preserve">第十五条 不可抗力</w:t>
            </w:r>
            <w:r/>
          </w:p>
        </w:tc>
        <w:tc>
          <w:tcPr>
            <w:shd w:val="clear" w:color="auto" w:fill="auto"/>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441"/>
        </w:trPr>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rFonts w:ascii="宋体" w:hAnsi="宋体" w:cs="宋体"/>
                <w:sz w:val="24"/>
                <w:szCs w:val="24"/>
              </w:rPr>
            </w:pPr>
            <w:r>
              <w:rPr>
                <w:rFonts w:hint="eastAsia" w:ascii="宋体" w:hAnsi="宋体" w:cs="宋体"/>
                <w:sz w:val="24"/>
                <w:szCs w:val="24"/>
                <w:lang w:bidi="ar"/>
              </w:rPr>
              <w:t xml:space="preserve">第十六条 合同的补充</w:t>
            </w:r>
            <w:r/>
          </w:p>
        </w:tc>
        <w:tc>
          <w:tcPr>
            <w:shd w:val="clear" w:color="auto" w:fill="auto"/>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441"/>
        </w:trPr>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rFonts w:ascii="宋体" w:hAnsi="宋体" w:cs="宋体"/>
                <w:sz w:val="24"/>
                <w:szCs w:val="24"/>
              </w:rPr>
            </w:pPr>
            <w:r>
              <w:rPr>
                <w:rFonts w:hint="eastAsia" w:ascii="宋体" w:hAnsi="宋体" w:cs="宋体"/>
                <w:sz w:val="24"/>
                <w:szCs w:val="24"/>
                <w:lang w:bidi="ar"/>
              </w:rPr>
              <w:t xml:space="preserve">第十七条 合同的变更、中止</w:t>
            </w:r>
            <w:r/>
          </w:p>
        </w:tc>
        <w:tc>
          <w:tcPr>
            <w:shd w:val="clear" w:color="auto" w:fill="auto"/>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441"/>
        </w:trPr>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rFonts w:ascii="宋体" w:hAnsi="宋体" w:cs="宋体"/>
                <w:sz w:val="24"/>
                <w:szCs w:val="24"/>
              </w:rPr>
            </w:pPr>
            <w:r>
              <w:rPr>
                <w:rFonts w:hint="eastAsia" w:ascii="宋体" w:hAnsi="宋体" w:cs="宋体"/>
                <w:sz w:val="24"/>
                <w:szCs w:val="24"/>
                <w:lang w:bidi="ar"/>
              </w:rPr>
              <w:t xml:space="preserve">第十八条 合同的终止</w:t>
            </w:r>
            <w:r/>
          </w:p>
        </w:tc>
        <w:tc>
          <w:tcPr>
            <w:shd w:val="clear" w:color="auto" w:fill="auto"/>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441"/>
        </w:trPr>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rFonts w:ascii="宋体" w:hAnsi="宋体" w:cs="宋体"/>
                <w:sz w:val="24"/>
                <w:szCs w:val="24"/>
              </w:rPr>
            </w:pPr>
            <w:r>
              <w:rPr>
                <w:rFonts w:hint="eastAsia" w:ascii="宋体" w:hAnsi="宋体" w:cs="宋体"/>
                <w:sz w:val="24"/>
                <w:szCs w:val="24"/>
                <w:lang w:bidi="ar"/>
              </w:rPr>
              <w:t xml:space="preserve">第十九条 合同的转让</w:t>
            </w:r>
            <w:r/>
          </w:p>
        </w:tc>
        <w:tc>
          <w:tcPr>
            <w:shd w:val="clear" w:color="auto" w:fill="auto"/>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441"/>
        </w:trPr>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rFonts w:ascii="宋体" w:hAnsi="宋体" w:cs="宋体"/>
                <w:sz w:val="24"/>
                <w:szCs w:val="24"/>
              </w:rPr>
            </w:pPr>
            <w:r>
              <w:rPr>
                <w:rFonts w:hint="eastAsia" w:ascii="宋体" w:hAnsi="宋体" w:cs="宋体"/>
                <w:sz w:val="24"/>
                <w:szCs w:val="24"/>
                <w:lang w:bidi="ar"/>
              </w:rPr>
              <w:t xml:space="preserve">第二十条 履约保证金</w:t>
            </w:r>
            <w:r/>
          </w:p>
        </w:tc>
        <w:tc>
          <w:tcPr>
            <w:shd w:val="clear" w:color="auto" w:fill="auto"/>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441"/>
        </w:trPr>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rFonts w:ascii="宋体" w:hAnsi="宋体" w:cs="宋体"/>
                <w:sz w:val="24"/>
                <w:szCs w:val="24"/>
              </w:rPr>
            </w:pPr>
            <w:r>
              <w:rPr>
                <w:rFonts w:hint="eastAsia" w:ascii="宋体" w:hAnsi="宋体" w:cs="宋体"/>
                <w:sz w:val="24"/>
                <w:szCs w:val="24"/>
                <w:lang w:bidi="ar"/>
              </w:rPr>
              <w:t xml:space="preserve">第二十一条 争议解决方式</w:t>
            </w:r>
            <w:r/>
          </w:p>
        </w:tc>
        <w:tc>
          <w:tcPr>
            <w:shd w:val="clear" w:color="auto" w:fill="auto"/>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441"/>
        </w:trPr>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rFonts w:ascii="宋体" w:hAnsi="宋体" w:cs="宋体"/>
                <w:sz w:val="24"/>
                <w:szCs w:val="24"/>
              </w:rPr>
            </w:pPr>
            <w:r>
              <w:rPr>
                <w:rFonts w:hint="eastAsia" w:ascii="宋体" w:hAnsi="宋体" w:cs="宋体"/>
                <w:sz w:val="24"/>
                <w:szCs w:val="24"/>
                <w:lang w:bidi="ar"/>
              </w:rPr>
              <w:t xml:space="preserve">第二十二条 合同生效及其他</w:t>
            </w:r>
            <w:r/>
          </w:p>
        </w:tc>
        <w:tc>
          <w:tcPr>
            <w:shd w:val="clear" w:color="auto" w:fill="auto"/>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rPr>
                <w:rFonts w:ascii="宋体" w:hAnsi="宋体" w:cs="宋体"/>
                <w:sz w:val="24"/>
                <w:szCs w:val="24"/>
              </w:rPr>
            </w:pPr>
            <w:r>
              <w:rPr>
                <w:rFonts w:ascii="宋体" w:hAnsi="宋体" w:cs="宋体"/>
                <w:sz w:val="24"/>
                <w:szCs w:val="24"/>
              </w:rPr>
            </w:r>
            <w:r/>
          </w:p>
        </w:tc>
      </w:tr>
    </w:tbl>
    <w:p>
      <w:pPr>
        <w:ind w:firstLine="240"/>
        <w:spacing w:line="44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firstLine="240"/>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注：1、投标人应据实、详细填写上述表格，因表述含糊导致的评标风险将由投标人承担。</w:t>
      </w:r>
      <w:r/>
    </w:p>
    <w:p>
      <w:pPr>
        <w:ind w:firstLine="720"/>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2、若无偏离，在“有无偏离”栏中填写“无”；若有偏离在“有无偏离”栏中填写“有”并在“偏离内容及原因”栏中作出说明。</w:t>
      </w:r>
      <w:r/>
    </w:p>
    <w:p>
      <w:pPr>
        <w:ind w:firstLine="482"/>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br w:type="page" w:clear="all"/>
      </w:r>
      <w:r/>
    </w:p>
    <w:p>
      <w:pPr>
        <w:ind w:firstLine="562"/>
        <w:jc w:val="center"/>
        <w:spacing w:line="440" w:lineRule="exact"/>
        <w:rPr>
          <w:rFonts w:ascii="Times New Roman" w:hAnsi="Times New Roman"/>
          <w:b/>
          <w:bCs/>
          <w:color w:val="000000" w:themeColor="text1"/>
          <w:sz w:val="28"/>
          <w:szCs w:val="28"/>
          <w14:textFill>
            <w14:solidFill>
              <w14:schemeClr w14:val="tx1"/>
            </w14:solidFill>
          </w14:textFill>
        </w:rPr>
        <w:outlineLvl w:val="1"/>
      </w:pPr>
      <w:r/>
      <w:bookmarkStart w:id="247" w:name="_Toc228349848"/>
      <w:r>
        <w:rPr>
          <w:rFonts w:hint="eastAsia" w:ascii="Times New Roman" w:hAnsi="Times New Roman"/>
          <w:b/>
          <w:bCs/>
          <w:color w:val="000000" w:themeColor="text1"/>
          <w:sz w:val="28"/>
          <w:szCs w:val="28"/>
          <w14:textFill>
            <w14:solidFill>
              <w14:schemeClr w14:val="tx1"/>
            </w14:solidFill>
          </w14:textFill>
        </w:rPr>
        <w:t xml:space="preserve">附件7 其他</w:t>
      </w:r>
      <w:bookmarkEnd w:id="247"/>
      <w:r/>
      <w:r/>
    </w:p>
    <w:p>
      <w:pPr>
        <w:ind w:firstLine="480"/>
        <w:spacing w:line="400" w:lineRule="exact"/>
        <w:rPr>
          <w:rFonts w:ascii="Times New Roman" w:hAnsi="Times New Roman"/>
          <w:color w:val="000000" w:themeColor="text1"/>
          <w:sz w:val="24"/>
          <w:szCs w:val="20"/>
          <w14:textFill>
            <w14:solidFill>
              <w14:schemeClr w14:val="tx1"/>
            </w14:solidFill>
          </w14:textFill>
        </w:rPr>
      </w:pPr>
      <w:r>
        <w:rPr>
          <w:rFonts w:hint="eastAsia" w:ascii="Times New Roman" w:hAnsi="Times New Roman"/>
          <w:color w:val="000000" w:themeColor="text1"/>
          <w:sz w:val="24"/>
          <w:szCs w:val="20"/>
          <w14:textFill>
            <w14:solidFill>
              <w14:schemeClr w14:val="tx1"/>
            </w14:solidFill>
          </w14:textFill>
        </w:rPr>
        <w:t xml:space="preserve">1、投标人根据 “第五章 ”提供相关其他证明材料。</w:t>
      </w:r>
      <w:r/>
    </w:p>
    <w:p>
      <w:pPr>
        <w:ind w:firstLine="482"/>
        <w:jc w:val="center"/>
        <w:spacing w:line="440" w:lineRule="exact"/>
        <w:rPr>
          <w:rFonts w:ascii="Times New Roman" w:hAnsi="Times New Roman"/>
          <w:b/>
          <w:bCs/>
          <w:color w:val="000000" w:themeColor="text1"/>
          <w:sz w:val="28"/>
          <w:szCs w:val="28"/>
          <w14:textFill>
            <w14:solidFill>
              <w14:schemeClr w14:val="tx1"/>
            </w14:solidFill>
          </w14:textFill>
        </w:rPr>
        <w:outlineLvl w:val="1"/>
      </w:pPr>
      <w:r>
        <w:rPr>
          <w:rFonts w:hint="eastAsia" w:ascii="宋体" w:hAnsi="宋体"/>
          <w:b/>
          <w:color w:val="000000" w:themeColor="text1"/>
          <w:sz w:val="24"/>
          <w:szCs w:val="24"/>
          <w14:textFill>
            <w14:solidFill>
              <w14:schemeClr w14:val="tx1"/>
            </w14:solidFill>
          </w14:textFill>
        </w:rPr>
        <w:br w:type="page" w:clear="all"/>
      </w:r>
      <w:bookmarkStart w:id="248" w:name="_Toc228349849"/>
      <w:r>
        <w:rPr>
          <w:rFonts w:hint="eastAsia" w:ascii="Times New Roman" w:hAnsi="Times New Roman"/>
          <w:b/>
          <w:bCs/>
          <w:color w:val="000000" w:themeColor="text1"/>
          <w:sz w:val="28"/>
          <w:szCs w:val="28"/>
          <w14:textFill>
            <w14:solidFill>
              <w14:schemeClr w14:val="tx1"/>
            </w14:solidFill>
          </w14:textFill>
        </w:rPr>
        <w:t xml:space="preserve">附件8 具备履行合同所必需的人员和专业技术能力的书面声明</w:t>
      </w:r>
      <w:bookmarkEnd w:id="248"/>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我单位郑重声明：我单位具备履行本项采购合同所必需的人员和专业技术能力，为履行本项采购合同我公司具备如下主要人员和主要专业技术能力：</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主要人员有：</w:t>
      </w:r>
      <w:r>
        <w:rPr>
          <w:rFonts w:hint="eastAsia" w:ascii="宋体" w:hAnsi="宋体"/>
          <w:bCs/>
          <w:color w:val="000000" w:themeColor="text1"/>
          <w:sz w:val="24"/>
          <w:u w:val="single"/>
          <w14:textFill>
            <w14:solidFill>
              <w14:schemeClr w14:val="tx1"/>
            </w14:solidFill>
          </w14:textFill>
        </w:rPr>
        <w:t xml:space="preserve">  </w:t>
      </w:r>
      <w:r>
        <w:rPr>
          <w:rFonts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主要专业技术能力有：</w:t>
      </w:r>
      <w:r>
        <w:rPr>
          <w:rFonts w:hint="eastAsia" w:ascii="宋体" w:hAnsi="宋体"/>
          <w:bCs/>
          <w:color w:val="000000" w:themeColor="text1"/>
          <w:sz w:val="24"/>
          <w:u w:val="single"/>
          <w14:textFill>
            <w14:solidFill>
              <w14:schemeClr w14:val="tx1"/>
            </w14:solidFill>
          </w14:textFill>
        </w:rPr>
        <w:t xml:space="preserve">   </w:t>
      </w:r>
      <w:r>
        <w:rPr>
          <w:rFonts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w:t>
      </w:r>
      <w:r/>
    </w:p>
    <w:p>
      <w:pPr>
        <w:ind w:left="480" w:firstLine="482"/>
        <w:jc w:val="center"/>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r>
      <w:r/>
    </w:p>
    <w:p>
      <w:pPr>
        <w:ind w:firstLine="482"/>
        <w:jc w:val="center"/>
        <w:spacing w:line="440" w:lineRule="exact"/>
        <w:rPr>
          <w:rFonts w:ascii="Times New Roman" w:hAnsi="Times New Roman"/>
          <w:b/>
          <w:bCs/>
          <w:color w:val="000000" w:themeColor="text1"/>
          <w:sz w:val="28"/>
          <w:szCs w:val="28"/>
          <w14:textFill>
            <w14:solidFill>
              <w14:schemeClr w14:val="tx1"/>
            </w14:solidFill>
          </w14:textFill>
        </w:rPr>
        <w:outlineLvl w:val="1"/>
      </w:pPr>
      <w:r>
        <w:rPr>
          <w:rFonts w:hint="eastAsia" w:ascii="宋体" w:hAnsi="宋体"/>
          <w:b/>
          <w:color w:val="000000" w:themeColor="text1"/>
          <w:sz w:val="24"/>
          <w:szCs w:val="24"/>
          <w14:textFill>
            <w14:solidFill>
              <w14:schemeClr w14:val="tx1"/>
            </w14:solidFill>
          </w14:textFill>
        </w:rPr>
        <w:br w:type="page" w:clear="all"/>
      </w:r>
      <w:bookmarkStart w:id="249" w:name="_Toc228349850"/>
      <w:r>
        <w:rPr>
          <w:rFonts w:hint="eastAsia" w:ascii="Times New Roman" w:hAnsi="Times New Roman"/>
          <w:b/>
          <w:bCs/>
          <w:color w:val="000000" w:themeColor="text1"/>
          <w:sz w:val="28"/>
          <w:szCs w:val="28"/>
          <w14:textFill>
            <w14:solidFill>
              <w14:schemeClr w14:val="tx1"/>
            </w14:solidFill>
          </w14:textFill>
        </w:rPr>
        <w:t xml:space="preserve">附件9</w:t>
      </w:r>
      <w:r>
        <w:rPr>
          <w:rFonts w:ascii="Times New Roman" w:hAnsi="Times New Roman"/>
          <w:b/>
          <w:bCs/>
          <w:color w:val="000000" w:themeColor="text1"/>
          <w:sz w:val="28"/>
          <w:szCs w:val="28"/>
          <w14:textFill>
            <w14:solidFill>
              <w14:schemeClr w14:val="tx1"/>
            </w14:solidFill>
          </w14:textFill>
        </w:rPr>
        <w:t xml:space="preserve"> </w:t>
      </w:r>
      <w:r>
        <w:rPr>
          <w:rFonts w:hint="eastAsia" w:ascii="Times New Roman" w:hAnsi="Times New Roman"/>
          <w:b/>
          <w:bCs/>
          <w:color w:val="000000" w:themeColor="text1"/>
          <w:sz w:val="28"/>
          <w:szCs w:val="28"/>
          <w14:textFill>
            <w14:solidFill>
              <w14:schemeClr w14:val="tx1"/>
            </w14:solidFill>
          </w14:textFill>
        </w:rPr>
        <w:t xml:space="preserve">参加政府采购活动前 3 年内在经营活动中没有重大违法记录的书面声明</w:t>
      </w:r>
      <w:bookmarkEnd w:id="249"/>
      <w:r/>
      <w:r/>
    </w:p>
    <w:p>
      <w:pPr>
        <w:ind w:firstLine="482"/>
        <w:jc w:val="center"/>
        <w:spacing w:line="460" w:lineRule="exact"/>
        <w:rPr>
          <w:rFonts w:ascii="宋体" w:hAnsi="宋体"/>
          <w:b/>
          <w:bCs/>
          <w:color w:val="000000" w:themeColor="text1"/>
          <w:sz w:val="24"/>
          <w14:textFill>
            <w14:solidFill>
              <w14:schemeClr w14:val="tx1"/>
            </w14:solidFill>
          </w14:textFill>
        </w:rPr>
      </w:pPr>
      <w:r>
        <w:rPr>
          <w:rFonts w:ascii="宋体" w:hAnsi="宋体"/>
          <w:b/>
          <w:bCs/>
          <w:color w:val="000000" w:themeColor="text1"/>
          <w:sz w:val="24"/>
          <w14:textFill>
            <w14:solidFill>
              <w14:schemeClr w14:val="tx1"/>
            </w14:solidFill>
          </w14:textFill>
        </w:rPr>
      </w:r>
      <w:r/>
    </w:p>
    <w:p>
      <w:pPr>
        <w:ind w:firstLine="482"/>
        <w:jc w:val="center"/>
        <w:spacing w:line="46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声  明</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ind w:left="480" w:firstLine="482"/>
        <w:jc w:val="center"/>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r>
      <w:r/>
    </w:p>
    <w:p>
      <w:pPr>
        <w:ind w:firstLine="482"/>
        <w:spacing w:line="460" w:lineRule="exact"/>
        <w:rPr>
          <w:rFonts w:ascii="宋体" w:hAnsi="宋体"/>
          <w:bCs/>
          <w:color w:val="000000" w:themeColor="text1"/>
          <w:sz w:val="24"/>
          <w:szCs w:val="21"/>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br w:type="page" w:clear="all"/>
      </w:r>
      <w:r/>
    </w:p>
    <w:p>
      <w:pPr>
        <w:ind w:firstLine="562"/>
        <w:jc w:val="center"/>
        <w:spacing w:line="440" w:lineRule="exact"/>
        <w:rPr>
          <w:rFonts w:ascii="Times New Roman" w:hAnsi="Times New Roman"/>
          <w:b/>
          <w:bCs/>
          <w:color w:val="000000" w:themeColor="text1"/>
          <w:sz w:val="28"/>
          <w:szCs w:val="28"/>
          <w14:textFill>
            <w14:solidFill>
              <w14:schemeClr w14:val="tx1"/>
            </w14:solidFill>
          </w14:textFill>
        </w:rPr>
        <w:outlineLvl w:val="1"/>
      </w:pPr>
      <w:r/>
      <w:bookmarkStart w:id="250" w:name="_Toc228349851"/>
      <w:r>
        <w:rPr>
          <w:rFonts w:hint="eastAsia" w:ascii="Times New Roman" w:hAnsi="Times New Roman"/>
          <w:b/>
          <w:bCs/>
          <w:color w:val="000000" w:themeColor="text1"/>
          <w:sz w:val="28"/>
          <w:szCs w:val="28"/>
          <w14:textFill>
            <w14:solidFill>
              <w14:schemeClr w14:val="tx1"/>
            </w14:solidFill>
          </w14:textFill>
        </w:rPr>
        <w:t xml:space="preserve">附件10</w:t>
      </w:r>
      <w:r>
        <w:rPr>
          <w:rFonts w:ascii="Times New Roman" w:hAnsi="Times New Roman"/>
          <w:b/>
          <w:bCs/>
          <w:color w:val="000000" w:themeColor="text1"/>
          <w:sz w:val="28"/>
          <w:szCs w:val="28"/>
          <w14:textFill>
            <w14:solidFill>
              <w14:schemeClr w14:val="tx1"/>
            </w14:solidFill>
          </w14:textFill>
        </w:rPr>
        <w:t xml:space="preserve"> </w:t>
      </w:r>
      <w:r>
        <w:rPr>
          <w:rFonts w:hint="eastAsia" w:ascii="Times New Roman" w:hAnsi="Times New Roman"/>
          <w:b/>
          <w:bCs/>
          <w:color w:val="000000" w:themeColor="text1"/>
          <w:sz w:val="28"/>
          <w:szCs w:val="28"/>
          <w14:textFill>
            <w14:solidFill>
              <w14:schemeClr w14:val="tx1"/>
            </w14:solidFill>
          </w14:textFill>
        </w:rPr>
        <w:t xml:space="preserve">法人授权书</w:t>
      </w:r>
      <w:bookmarkEnd w:id="250"/>
      <w:r/>
      <w:r/>
    </w:p>
    <w:p>
      <w:pPr>
        <w:ind w:firstLine="480"/>
        <w:spacing w:line="440" w:lineRule="exact"/>
        <w:tabs>
          <w:tab w:val="left" w:pos="360" w:leader="none"/>
        </w:tabs>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本授权书声明：____________（投标人名称）授权________________（被授权人的姓名）为我方就</w:t>
      </w:r>
      <w:r>
        <w:rPr>
          <w:rFonts w:hint="eastAsia" w:ascii="Times New Roman" w:hAnsi="Times New Roman"/>
          <w:color w:val="000000" w:themeColor="text1"/>
          <w:sz w:val="24"/>
          <w:szCs w:val="24"/>
          <w:lang w:eastAsia="zh-CN"/>
          <w14:textFill>
            <w14:solidFill>
              <w14:schemeClr w14:val="tx1"/>
            </w14:solidFill>
          </w14:textFill>
        </w:rPr>
        <w:t xml:space="preserve">JSZC-320581-SZXY-G2026-0012</w:t>
      </w:r>
      <w:r>
        <w:rPr>
          <w:rFonts w:ascii="Times New Roman" w:hAnsi="Times New Roman"/>
          <w:color w:val="000000" w:themeColor="text1"/>
          <w:sz w:val="24"/>
          <w:szCs w:val="24"/>
          <w14:textFill>
            <w14:solidFill>
              <w14:schemeClr w14:val="tx1"/>
            </w14:solidFill>
          </w14:textFill>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本授权书于</w:t>
      </w:r>
      <w:r>
        <w:rPr>
          <w:rFonts w:hint="eastAsia"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 xml:space="preserve">年____月____日起生效，特此声明。</w:t>
      </w:r>
      <w:r/>
    </w:p>
    <w:p>
      <w:pPr>
        <w:ind w:firstLine="480"/>
        <w:spacing w:line="440" w:lineRule="exact"/>
        <w:tabs>
          <w:tab w:val="left" w:pos="360" w:leader="none"/>
        </w:tabs>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p>
      <w:pPr>
        <w:ind w:firstLine="480"/>
        <w:spacing w:line="440" w:lineRule="exact"/>
        <w:tabs>
          <w:tab w:val="left" w:pos="360" w:leader="none"/>
        </w:tabs>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p>
      <w:pPr>
        <w:ind w:firstLine="480"/>
        <w:spacing w:line="440" w:lineRule="exact"/>
        <w:tabs>
          <w:tab w:val="left" w:pos="360" w:leader="none"/>
        </w:tabs>
        <w:rPr>
          <w:rFonts w:ascii="Times New Roman" w:hAnsi="Times New Roman"/>
          <w:color w:val="000000" w:themeColor="text1"/>
          <w:sz w:val="24"/>
          <w:szCs w:val="24"/>
          <w:u w:val="single"/>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被授权人身份证号码：</w:t>
      </w:r>
      <w:r>
        <w:rPr>
          <w:rFonts w:ascii="Times New Roman" w:hAnsi="Times New Roman"/>
          <w:color w:val="000000" w:themeColor="text1"/>
          <w:sz w:val="24"/>
          <w:szCs w:val="24"/>
          <w:u w:val="single"/>
          <w14:textFill>
            <w14:solidFill>
              <w14:schemeClr w14:val="tx1"/>
            </w14:solidFill>
          </w14:textFill>
        </w:rPr>
        <w:t xml:space="preserve">                              </w:t>
      </w:r>
      <w:r/>
    </w:p>
    <w:p>
      <w:pPr>
        <w:ind w:firstLine="480"/>
        <w:spacing w:line="440" w:lineRule="exact"/>
        <w:tabs>
          <w:tab w:val="left" w:pos="360" w:leader="none"/>
        </w:tabs>
        <w:rPr>
          <w:rFonts w:ascii="Times New Roman" w:hAnsi="Times New Roman"/>
          <w:color w:val="000000" w:themeColor="text1"/>
          <w:sz w:val="24"/>
          <w:szCs w:val="24"/>
          <w:u w:val="single"/>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被授权人联系电话：（手机）</w:t>
      </w:r>
      <w:r>
        <w:rPr>
          <w:rFonts w:ascii="Times New Roman" w:hAnsi="Times New Roman"/>
          <w:color w:val="000000" w:themeColor="text1"/>
          <w:sz w:val="24"/>
          <w:szCs w:val="24"/>
          <w:u w:val="single"/>
          <w14:textFill>
            <w14:solidFill>
              <w14:schemeClr w14:val="tx1"/>
            </w14:solidFill>
          </w14:textFill>
        </w:rPr>
        <w:t xml:space="preserve">                          </w:t>
      </w:r>
      <w:r/>
    </w:p>
    <w:p>
      <w:pPr>
        <w:ind w:firstLine="480"/>
        <w:spacing w:line="440" w:lineRule="exact"/>
        <w:tabs>
          <w:tab w:val="left" w:pos="360" w:leader="none"/>
        </w:tabs>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授权单位名称：</w:t>
      </w:r>
      <w:r>
        <w:rPr>
          <w:rFonts w:ascii="Times New Roman" w:hAnsi="Times New Roman"/>
          <w:color w:val="000000" w:themeColor="text1"/>
          <w:sz w:val="24"/>
          <w:szCs w:val="24"/>
          <w:u w:val="single"/>
          <w14:textFill>
            <w14:solidFill>
              <w14:schemeClr w14:val="tx1"/>
            </w14:solidFill>
          </w14:textFill>
        </w:rPr>
        <w:t xml:space="preserve">（加盖CA电子公章）</w:t>
      </w:r>
      <w:r/>
    </w:p>
    <w:p>
      <w:pPr>
        <w:ind w:firstLine="480"/>
        <w:spacing w:line="440" w:lineRule="exact"/>
        <w:tabs>
          <w:tab w:val="left" w:pos="360" w:leader="none"/>
        </w:tabs>
        <w:rPr>
          <w:rFonts w:ascii="Times New Roman" w:hAnsi="Times New Roman"/>
          <w:color w:val="000000" w:themeColor="text1"/>
          <w:sz w:val="24"/>
          <w:szCs w:val="24"/>
          <w:u w:val="single"/>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单位地址：</w:t>
      </w:r>
      <w:r>
        <w:rPr>
          <w:rFonts w:ascii="Times New Roman" w:hAnsi="Times New Roman"/>
          <w:color w:val="000000" w:themeColor="text1"/>
          <w:sz w:val="24"/>
          <w:szCs w:val="24"/>
          <w:u w:val="single"/>
          <w14:textFill>
            <w14:solidFill>
              <w14:schemeClr w14:val="tx1"/>
            </w14:solidFill>
          </w14:textFill>
        </w:rPr>
        <w:t xml:space="preserve">                                         </w:t>
      </w:r>
      <w:r/>
    </w:p>
    <w:p>
      <w:pPr>
        <w:ind w:firstLine="480"/>
        <w:spacing w:line="440" w:lineRule="exact"/>
        <w:tabs>
          <w:tab w:val="left" w:pos="360" w:leader="none"/>
        </w:tabs>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日期：</w:t>
      </w:r>
      <w:r>
        <w:rPr>
          <w:rFonts w:ascii="Times New Roman" w:hAnsi="Times New Roman"/>
          <w:color w:val="000000" w:themeColor="text1"/>
          <w:sz w:val="24"/>
          <w:szCs w:val="24"/>
          <w:u w:val="single"/>
          <w14:textFill>
            <w14:solidFill>
              <w14:schemeClr w14:val="tx1"/>
            </w14:solidFill>
          </w14:textFill>
        </w:rPr>
        <w:t xml:space="preserve">                                         </w:t>
      </w:r>
      <w:r/>
    </w:p>
    <w:p>
      <w:pPr>
        <w:ind w:firstLine="480"/>
        <w:spacing w:line="400" w:lineRule="exact"/>
        <w:rPr>
          <w:rFonts w:ascii="楷体" w:hAnsi="楷体" w:eastAsia="楷体"/>
          <w:color w:val="000000" w:themeColor="text1"/>
          <w:sz w:val="24"/>
          <w:szCs w:val="24"/>
          <w14:textFill>
            <w14:solidFill>
              <w14:schemeClr w14:val="tx1"/>
            </w14:solidFill>
          </w14:textFill>
        </w:rPr>
      </w:pPr>
      <w:r>
        <w:rPr>
          <w:rFonts w:ascii="楷体" w:hAnsi="楷体" w:eastAsia="楷体"/>
          <w:color w:val="000000" w:themeColor="text1"/>
          <w:sz w:val="24"/>
          <w:szCs w:val="24"/>
          <w14:textFill>
            <w14:solidFill>
              <w14:schemeClr w14:val="tx1"/>
            </w14:solidFill>
          </w14:textFill>
        </w:rPr>
      </w:r>
      <w:r/>
    </w:p>
    <w:p>
      <w:pPr>
        <w:ind w:firstLine="480"/>
        <w:spacing w:line="400" w:lineRule="exact"/>
        <w:rPr>
          <w:rFonts w:ascii="Times New Roman" w:hAnsi="Times New Roman"/>
          <w:i/>
          <w:color w:val="000000" w:themeColor="text1"/>
          <w:sz w:val="24"/>
          <w:szCs w:val="24"/>
          <w:u w:val="single"/>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注：</w:t>
      </w:r>
      <w:r>
        <w:rPr>
          <w:rFonts w:ascii="宋体" w:hAnsi="宋体"/>
          <w:b/>
          <w:sz w:val="24"/>
        </w:rPr>
        <w:t xml:space="preserve">①</w:t>
      </w:r>
      <w:r>
        <w:rPr>
          <w:rFonts w:hint="eastAsia" w:ascii="宋体" w:hAnsi="宋体"/>
          <w:b/>
          <w:sz w:val="24"/>
        </w:rPr>
        <w:t xml:space="preserve">如授权代表参加本项目投报，“法人授权书”必须提供，且须提供被授权人居民身份证正反面扫描件、被授权人的投标单位为其缴纳的近三个月任意一个月的社保证明材料及法定代表人居民身份证正反面扫描件。②如法定代表人参加本项目投报，“法人授权书”可不提供，但须提供法定代表人身份证正反面扫描件。</w:t>
      </w:r>
      <w:r>
        <w:rPr>
          <w:rFonts w:hint="eastAsia" w:ascii="Times New Roman" w:hAnsi="Times New Roman"/>
          <w:color w:val="000000" w:themeColor="text1"/>
          <w:sz w:val="24"/>
          <w:szCs w:val="24"/>
          <w14:textFill>
            <w14:solidFill>
              <w14:schemeClr w14:val="tx1"/>
            </w14:solidFill>
          </w14:textFill>
        </w:rPr>
      </w:r>
      <w:r/>
    </w:p>
    <w:p>
      <w:pPr>
        <w:ind w:firstLine="482"/>
        <w:jc w:val="center"/>
        <w:spacing w:line="440" w:lineRule="exact"/>
        <w:rPr>
          <w:rFonts w:ascii="Times New Roman" w:hAnsi="Times New Roman"/>
          <w:b/>
          <w:bCs/>
          <w:color w:val="000000" w:themeColor="text1"/>
          <w:sz w:val="28"/>
          <w:szCs w:val="28"/>
          <w14:textFill>
            <w14:solidFill>
              <w14:schemeClr w14:val="tx1"/>
            </w14:solidFill>
          </w14:textFill>
        </w:rPr>
        <w:outlineLvl w:val="1"/>
      </w:pPr>
      <w:r>
        <w:rPr>
          <w:rFonts w:ascii="宋体" w:hAnsi="宋体" w:eastAsia="幼圆" w:cs="Arial"/>
          <w:b/>
          <w:color w:val="000000" w:themeColor="text1"/>
          <w:sz w:val="24"/>
          <w:szCs w:val="44"/>
          <w14:textFill>
            <w14:solidFill>
              <w14:schemeClr w14:val="tx1"/>
            </w14:solidFill>
          </w14:textFill>
        </w:rPr>
        <w:br w:type="page" w:clear="all"/>
      </w:r>
      <w:bookmarkStart w:id="251" w:name="_Toc228349852"/>
      <w:r>
        <w:rPr>
          <w:rFonts w:hint="eastAsia" w:ascii="Times New Roman" w:hAnsi="Times New Roman"/>
          <w:b/>
          <w:bCs/>
          <w:color w:val="000000" w:themeColor="text1"/>
          <w:sz w:val="28"/>
          <w:szCs w:val="28"/>
          <w14:textFill>
            <w14:solidFill>
              <w14:schemeClr w14:val="tx1"/>
            </w14:solidFill>
          </w14:textFill>
        </w:rPr>
        <w:t xml:space="preserve">附件11 中小企业声明函</w:t>
      </w:r>
      <w:bookmarkEnd w:id="251"/>
      <w:r/>
      <w:r/>
    </w:p>
    <w:p>
      <w:pPr>
        <w:ind w:firstLine="480"/>
        <w:spacing w:line="440" w:lineRule="exact"/>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本公司（联合体）郑重声明，根据《政府采购促进中小企业发展管理办法》（财库</w:t>
      </w:r>
      <w:r>
        <w:rPr>
          <w:rFonts w:hint="eastAsia" w:ascii="宋体" w:hAnsi="宋体" w:cs="宋体"/>
          <w:color w:val="000000" w:themeColor="text1"/>
          <w:sz w:val="24"/>
          <w:szCs w:val="24"/>
          <w14:textFill>
            <w14:solidFill>
              <w14:schemeClr w14:val="tx1"/>
            </w14:solidFill>
          </w14:textFill>
        </w:rPr>
        <w:t xml:space="preserve">﹝</w:t>
      </w:r>
      <w:r>
        <w:rPr>
          <w:rFonts w:ascii="宋体" w:hAnsi="宋体" w:cs="仿宋"/>
          <w:color w:val="000000" w:themeColor="text1"/>
          <w:sz w:val="24"/>
          <w:szCs w:val="24"/>
          <w14:textFill>
            <w14:solidFill>
              <w14:schemeClr w14:val="tx1"/>
            </w14:solidFill>
          </w14:textFill>
        </w:rPr>
        <w:t xml:space="preserve">2020</w:t>
      </w:r>
      <w:r>
        <w:rPr>
          <w:rFonts w:hint="eastAsia" w:ascii="宋体" w:hAnsi="宋体" w:cs="宋体"/>
          <w:color w:val="000000" w:themeColor="text1"/>
          <w:sz w:val="24"/>
          <w:szCs w:val="24"/>
          <w14:textFill>
            <w14:solidFill>
              <w14:schemeClr w14:val="tx1"/>
            </w14:solidFill>
          </w14:textFill>
        </w:rPr>
        <w:t xml:space="preserve">﹞</w:t>
      </w:r>
      <w:r>
        <w:rPr>
          <w:rFonts w:ascii="宋体" w:hAnsi="宋体" w:cs="仿宋"/>
          <w:color w:val="000000" w:themeColor="text1"/>
          <w:sz w:val="24"/>
          <w:szCs w:val="24"/>
          <w14:textFill>
            <w14:solidFill>
              <w14:schemeClr w14:val="tx1"/>
            </w14:solidFill>
          </w14:textFill>
        </w:rPr>
        <w:t xml:space="preserve">46 </w:t>
      </w:r>
      <w:r>
        <w:rPr>
          <w:rFonts w:hint="eastAsia" w:ascii="宋体" w:hAnsi="宋体" w:cs="仿宋"/>
          <w:color w:val="000000" w:themeColor="text1"/>
          <w:sz w:val="24"/>
          <w:szCs w:val="24"/>
          <w14:textFill>
            <w14:solidFill>
              <w14:schemeClr w14:val="tx1"/>
            </w14:solidFill>
          </w14:textFill>
        </w:rPr>
        <w:t xml:space="preserve">号）的规定，本公司（联合体）参加</w:t>
      </w:r>
      <w:r>
        <w:rPr>
          <w:rFonts w:hint="eastAsia" w:ascii="宋体" w:hAnsi="宋体" w:cs="仿宋"/>
          <w:color w:val="000000" w:themeColor="text1"/>
          <w:sz w:val="24"/>
          <w:szCs w:val="24"/>
          <w:u w:val="single"/>
          <w14:textFill>
            <w14:solidFill>
              <w14:schemeClr w14:val="tx1"/>
            </w14:solidFill>
          </w14:textFill>
        </w:rPr>
        <w:t xml:space="preserve">苏州工学院</w:t>
      </w:r>
      <w:r>
        <w:rPr>
          <w:rFonts w:hint="eastAsia" w:ascii="宋体" w:hAnsi="宋体" w:cs="仿宋"/>
          <w:color w:val="000000" w:themeColor="text1"/>
          <w:sz w:val="24"/>
          <w:szCs w:val="24"/>
          <w14:textFill>
            <w14:solidFill>
              <w14:schemeClr w14:val="tx1"/>
            </w14:solidFill>
          </w14:textFill>
        </w:rPr>
        <w:t xml:space="preserve">的</w:t>
      </w:r>
      <w:r>
        <w:rPr>
          <w:rFonts w:hint="eastAsia" w:ascii="宋体" w:hAnsi="宋体" w:cs="仿宋"/>
          <w:color w:val="000000" w:themeColor="text1"/>
          <w:sz w:val="24"/>
          <w:szCs w:val="24"/>
          <w:u w:val="single"/>
          <w14:textFill>
            <w14:solidFill>
              <w14:schemeClr w14:val="tx1"/>
            </w14:solidFill>
          </w14:textFill>
        </w:rPr>
        <w:t xml:space="preserve">苏州工学院社会车辆租赁服务</w:t>
      </w:r>
      <w:r>
        <w:rPr>
          <w:rFonts w:hint="eastAsia" w:ascii="宋体" w:hAnsi="宋体" w:cs="仿宋"/>
          <w:color w:val="000000" w:themeColor="text1"/>
          <w:sz w:val="24"/>
          <w:szCs w:val="24"/>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40" w:lineRule="exact"/>
        <w:shd w:val="clear" w:color="auto" w:fill="ffffff"/>
        <w:widowControl/>
        <w:rPr>
          <w:rFonts w:ascii="宋体" w:hAnsi="宋体" w:cs="仿宋"/>
          <w:color w:val="000000" w:themeColor="text1"/>
          <w:sz w:val="24"/>
          <w:szCs w:val="24"/>
          <w14:textFill>
            <w14:solidFill>
              <w14:schemeClr w14:val="tx1"/>
            </w14:solidFill>
          </w14:textFill>
        </w:rPr>
      </w:pPr>
      <w:r>
        <w:rPr>
          <w:rFonts w:ascii="宋体" w:hAnsi="宋体" w:cs="仿宋"/>
          <w:color w:val="000000" w:themeColor="text1"/>
          <w:sz w:val="24"/>
          <w:szCs w:val="24"/>
          <w14:textFill>
            <w14:solidFill>
              <w14:schemeClr w14:val="tx1"/>
            </w14:solidFill>
          </w14:textFill>
        </w:rPr>
        <w:t xml:space="preserve">1、</w:t>
      </w:r>
      <w:r>
        <w:rPr>
          <w:rFonts w:hint="eastAsia" w:ascii="宋体" w:hAnsi="宋体" w:cs="仿宋"/>
          <w:color w:val="000000" w:themeColor="text1"/>
          <w:sz w:val="24"/>
          <w:szCs w:val="24"/>
          <w:u w:val="single"/>
          <w14:textFill>
            <w14:solidFill>
              <w14:schemeClr w14:val="tx1"/>
            </w14:solidFill>
          </w14:textFill>
        </w:rPr>
        <w:t xml:space="preserve">苏州工学院社会车辆租赁服务</w:t>
      </w:r>
      <w:r>
        <w:rPr>
          <w:rFonts w:hint="eastAsia" w:ascii="宋体" w:hAnsi="宋体" w:cs="仿宋"/>
          <w:color w:val="000000" w:themeColor="text1"/>
          <w:sz w:val="24"/>
          <w:szCs w:val="24"/>
          <w14:textFill>
            <w14:solidFill>
              <w14:schemeClr w14:val="tx1"/>
            </w14:solidFill>
          </w14:textFill>
        </w:rPr>
        <w:t xml:space="preserve">，属于</w:t>
      </w:r>
      <w:r>
        <w:rPr>
          <w:rFonts w:hint="eastAsia" w:ascii="宋体" w:hAnsi="宋体" w:cs="仿宋"/>
          <w:color w:val="000000" w:themeColor="text1"/>
          <w:sz w:val="24"/>
          <w:szCs w:val="24"/>
          <w:u w:val="single"/>
          <w14:textFill>
            <w14:solidFill>
              <w14:schemeClr w14:val="tx1"/>
            </w14:solidFill>
          </w14:textFill>
        </w:rPr>
        <w:t xml:space="preserve">交通运输业</w:t>
      </w:r>
      <w:r>
        <w:rPr>
          <w:rFonts w:hint="eastAsia" w:ascii="宋体" w:hAnsi="宋体" w:cs="仿宋"/>
          <w:color w:val="000000" w:themeColor="text1"/>
          <w:sz w:val="24"/>
          <w:szCs w:val="24"/>
          <w14:textFill>
            <w14:solidFill>
              <w14:schemeClr w14:val="tx1"/>
            </w14:solidFill>
          </w14:textFill>
        </w:rPr>
        <w:t xml:space="preserve">；承建（承接）企业为</w:t>
      </w:r>
      <w:r>
        <w:rPr>
          <w:rFonts w:hint="eastAsia" w:ascii="宋体" w:hAnsi="宋体" w:cs="仿宋"/>
          <w:color w:val="000000" w:themeColor="text1"/>
          <w:sz w:val="24"/>
          <w:szCs w:val="24"/>
          <w:u w:val="single"/>
          <w14:textFill>
            <w14:solidFill>
              <w14:schemeClr w14:val="tx1"/>
            </w14:solidFill>
          </w14:textFill>
        </w:rPr>
        <w:t xml:space="preserve">（企业名称）</w:t>
      </w:r>
      <w:r>
        <w:rPr>
          <w:rFonts w:hint="eastAsia" w:ascii="宋体" w:hAnsi="宋体" w:cs="仿宋"/>
          <w:color w:val="000000" w:themeColor="text1"/>
          <w:sz w:val="24"/>
          <w:szCs w:val="24"/>
          <w14:textFill>
            <w14:solidFill>
              <w14:schemeClr w14:val="tx1"/>
            </w14:solidFill>
          </w14:textFill>
        </w:rPr>
        <w:t xml:space="preserve">，从业人员</w:t>
      </w:r>
      <w:r>
        <w:rPr>
          <w:rFonts w:hint="eastAsia" w:ascii="宋体" w:hAnsi="宋体" w:cs="仿宋"/>
          <w:color w:val="000000" w:themeColor="text1"/>
          <w:sz w:val="24"/>
          <w:szCs w:val="24"/>
          <w:u w:val="single"/>
          <w14:textFill>
            <w14:solidFill>
              <w14:schemeClr w14:val="tx1"/>
            </w14:solidFill>
          </w14:textFill>
        </w:rPr>
        <w:t xml:space="preserve">        </w:t>
      </w:r>
      <w:r>
        <w:rPr>
          <w:rFonts w:hint="eastAsia" w:ascii="宋体" w:hAnsi="宋体" w:cs="仿宋"/>
          <w:color w:val="000000" w:themeColor="text1"/>
          <w:sz w:val="24"/>
          <w:szCs w:val="24"/>
          <w14:textFill>
            <w14:solidFill>
              <w14:schemeClr w14:val="tx1"/>
            </w14:solidFill>
          </w14:textFill>
        </w:rPr>
        <w:t xml:space="preserve">人，营业收入为</w:t>
      </w:r>
      <w:r>
        <w:rPr>
          <w:rFonts w:hint="eastAsia" w:ascii="宋体" w:hAnsi="宋体" w:cs="仿宋"/>
          <w:color w:val="000000" w:themeColor="text1"/>
          <w:sz w:val="24"/>
          <w:szCs w:val="24"/>
          <w:u w:val="single"/>
          <w14:textFill>
            <w14:solidFill>
              <w14:schemeClr w14:val="tx1"/>
            </w14:solidFill>
          </w14:textFill>
        </w:rPr>
        <w:t xml:space="preserve">       </w:t>
      </w:r>
      <w:r>
        <w:rPr>
          <w:rFonts w:hint="eastAsia" w:ascii="宋体" w:hAnsi="宋体" w:cs="仿宋"/>
          <w:color w:val="000000" w:themeColor="text1"/>
          <w:sz w:val="24"/>
          <w:szCs w:val="24"/>
          <w14:textFill>
            <w14:solidFill>
              <w14:schemeClr w14:val="tx1"/>
            </w14:solidFill>
          </w14:textFill>
        </w:rPr>
        <w:t xml:space="preserve">万元，资产总额为</w:t>
      </w:r>
      <w:r>
        <w:rPr>
          <w:rFonts w:hint="eastAsia" w:ascii="宋体" w:hAnsi="宋体" w:cs="仿宋"/>
          <w:color w:val="000000" w:themeColor="text1"/>
          <w:sz w:val="24"/>
          <w:szCs w:val="24"/>
          <w:u w:val="single"/>
          <w14:textFill>
            <w14:solidFill>
              <w14:schemeClr w14:val="tx1"/>
            </w14:solidFill>
          </w14:textFill>
        </w:rPr>
        <w:t xml:space="preserve">        </w:t>
      </w:r>
      <w:r>
        <w:rPr>
          <w:rFonts w:hint="eastAsia" w:ascii="宋体" w:hAnsi="宋体" w:cs="仿宋"/>
          <w:color w:val="000000" w:themeColor="text1"/>
          <w:sz w:val="24"/>
          <w:szCs w:val="24"/>
          <w14:textFill>
            <w14:solidFill>
              <w14:schemeClr w14:val="tx1"/>
            </w14:solidFill>
          </w14:textFill>
        </w:rPr>
        <w:t xml:space="preserve">万元，属于</w:t>
      </w:r>
      <w:r>
        <w:rPr>
          <w:rFonts w:hint="eastAsia" w:ascii="宋体" w:hAnsi="宋体" w:cs="仿宋"/>
          <w:color w:val="000000" w:themeColor="text1"/>
          <w:sz w:val="24"/>
          <w:szCs w:val="24"/>
          <w:u w:val="single"/>
          <w14:textFill>
            <w14:solidFill>
              <w14:schemeClr w14:val="tx1"/>
            </w14:solidFill>
          </w14:textFill>
        </w:rPr>
        <w:t xml:space="preserve">（中型企业、小型企业、微型企业）</w:t>
      </w:r>
      <w:r>
        <w:rPr>
          <w:rFonts w:hint="eastAsia" w:ascii="宋体" w:hAnsi="宋体" w:cs="仿宋"/>
          <w:color w:val="000000" w:themeColor="text1"/>
          <w:sz w:val="24"/>
          <w:szCs w:val="24"/>
          <w14:textFill>
            <w14:solidFill>
              <w14:schemeClr w14:val="tx1"/>
            </w14:solidFill>
          </w14:textFill>
        </w:rPr>
        <w:t xml:space="preserve">；</w:t>
      </w:r>
      <w:r/>
    </w:p>
    <w:p>
      <w:pPr>
        <w:ind w:firstLine="480"/>
        <w:spacing w:line="440" w:lineRule="exact"/>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本企业对上述声明内容的真实性负责。如有虚假，将依法承担相应责任。</w:t>
      </w:r>
      <w:r/>
    </w:p>
    <w:p>
      <w:pPr>
        <w:ind w:right="2640" w:firstLine="480"/>
        <w:jc w:val="right"/>
        <w:spacing w:line="560" w:lineRule="exac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投标人名称</w:t>
      </w:r>
      <w:r>
        <w:rPr>
          <w:rFonts w:hint="eastAsia" w:ascii="宋体" w:hAnsi="宋体"/>
          <w:color w:val="000000" w:themeColor="text1"/>
          <w:sz w:val="24"/>
          <w:szCs w:val="24"/>
          <w14:textFill>
            <w14:solidFill>
              <w14:schemeClr w14:val="tx1"/>
            </w14:solidFill>
          </w14:textFill>
        </w:rPr>
        <w:t xml:space="preserve">（加盖CA电子公章）</w:t>
      </w:r>
      <w:r>
        <w:rPr>
          <w:rFonts w:hint="eastAsia" w:ascii="宋体" w:hAnsi="宋体"/>
          <w:color w:val="000000" w:themeColor="text1"/>
          <w:sz w:val="24"/>
          <w:szCs w:val="21"/>
          <w14:textFill>
            <w14:solidFill>
              <w14:schemeClr w14:val="tx1"/>
            </w14:solidFill>
          </w14:textFill>
        </w:rPr>
        <w:t xml:space="preserve">：</w:t>
      </w:r>
      <w:r/>
    </w:p>
    <w:p>
      <w:pPr>
        <w:ind w:right="2640" w:firstLine="480"/>
        <w:jc w:val="right"/>
        <w:spacing w:line="560" w:lineRule="exac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日 </w:t>
      </w:r>
      <w:r>
        <w:rPr>
          <w:rFonts w:ascii="宋体" w:hAnsi="宋体"/>
          <w:color w:val="000000" w:themeColor="text1"/>
          <w:sz w:val="24"/>
          <w:szCs w:val="21"/>
          <w14:textFill>
            <w14:solidFill>
              <w14:schemeClr w14:val="tx1"/>
            </w14:solidFill>
          </w14:textFill>
        </w:rPr>
        <w:t xml:space="preserve"> </w:t>
      </w:r>
      <w:r>
        <w:rPr>
          <w:rFonts w:hint="eastAsia" w:ascii="宋体" w:hAnsi="宋体"/>
          <w:color w:val="000000" w:themeColor="text1"/>
          <w:sz w:val="24"/>
          <w:szCs w:val="21"/>
          <w14:textFill>
            <w14:solidFill>
              <w14:schemeClr w14:val="tx1"/>
            </w14:solidFill>
          </w14:textFill>
        </w:rPr>
        <w:t xml:space="preserve">期：</w:t>
      </w:r>
      <w:r/>
    </w:p>
    <w:p>
      <w:pPr>
        <w:spacing w:line="44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注：（1）从业人员、营业收入、资产总额填报上一年度数据，无上一年度数据的新成立企业可不填报。</w:t>
      </w:r>
      <w:r/>
    </w:p>
    <w:p>
      <w:pPr>
        <w:ind w:firstLine="482"/>
        <w:jc w:val="left"/>
        <w:spacing w:line="440" w:lineRule="exact"/>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w:t>
      </w:r>
      <w:r>
        <w:rPr>
          <w:b/>
          <w:bCs/>
          <w:color w:val="000000" w:themeColor="text1"/>
          <w:sz w:val="24"/>
          <w:szCs w:val="24"/>
          <w14:textFill>
            <w14:solidFill>
              <w14:schemeClr w14:val="tx1"/>
            </w14:solidFill>
          </w14:textFill>
        </w:rPr>
        <w:t xml:space="preserve">2</w:t>
      </w:r>
      <w:r>
        <w:rPr>
          <w:rFonts w:hint="eastAsia"/>
          <w:b/>
          <w:bCs/>
          <w:color w:val="000000" w:themeColor="text1"/>
          <w:sz w:val="24"/>
          <w:szCs w:val="24"/>
          <w14:textFill>
            <w14:solidFill>
              <w14:schemeClr w14:val="tx1"/>
            </w14:solidFill>
          </w14:textFill>
        </w:rPr>
        <w:t xml:space="preserve">）本项目所属行业为：交通运输业。</w:t>
      </w:r>
      <w:r/>
    </w:p>
    <w:p>
      <w:pPr>
        <w:ind w:firstLine="482"/>
        <w:spacing w:line="440" w:lineRule="exact"/>
        <w:rPr>
          <w:b/>
          <w:bCs/>
          <w:color w:val="000000" w:themeColor="text1"/>
          <w:sz w:val="24"/>
          <w:szCs w:val="24"/>
          <w14:textFill>
            <w14:solidFill>
              <w14:schemeClr w14:val="tx1"/>
            </w14:solidFill>
          </w14:textFill>
        </w:rPr>
      </w:pPr>
      <w:r>
        <w:rPr>
          <w:b/>
          <w:bCs/>
          <w:color w:val="000000" w:themeColor="text1"/>
          <w:sz w:val="24"/>
          <w:szCs w:val="24"/>
          <w14:textFill>
            <w14:solidFill>
              <w14:schemeClr w14:val="tx1"/>
            </w14:solidFill>
          </w14:textFill>
        </w:rPr>
        <w:t xml:space="preserve">（3）上述</w:t>
      </w:r>
      <w:r>
        <w:rPr>
          <w:rFonts w:hint="eastAsia"/>
          <w:b/>
          <w:bCs/>
          <w:color w:val="000000" w:themeColor="text1"/>
          <w:sz w:val="24"/>
          <w:szCs w:val="24"/>
          <w14:textFill>
            <w14:solidFill>
              <w14:schemeClr w14:val="tx1"/>
            </w14:solidFill>
          </w14:textFill>
        </w:rPr>
        <w:t xml:space="preserve">“</w:t>
      </w:r>
      <w:r>
        <w:rPr>
          <w:b/>
          <w:bCs/>
          <w:color w:val="000000" w:themeColor="text1"/>
          <w:sz w:val="24"/>
          <w:szCs w:val="24"/>
          <w14:textFill>
            <w14:solidFill>
              <w14:schemeClr w14:val="tx1"/>
            </w14:solidFill>
          </w14:textFill>
        </w:rPr>
        <w:t xml:space="preserve">中小企业声明函</w:t>
      </w:r>
      <w:r>
        <w:rPr>
          <w:rFonts w:hint="eastAsia"/>
          <w:b/>
          <w:bCs/>
          <w:color w:val="000000" w:themeColor="text1"/>
          <w:sz w:val="24"/>
          <w:szCs w:val="24"/>
          <w14:textFill>
            <w14:solidFill>
              <w14:schemeClr w14:val="tx1"/>
            </w14:solidFill>
          </w14:textFill>
        </w:rPr>
        <w:t xml:space="preserve">”</w:t>
      </w:r>
      <w:r>
        <w:rPr>
          <w:b/>
          <w:bCs/>
          <w:color w:val="000000" w:themeColor="text1"/>
          <w:sz w:val="24"/>
          <w:szCs w:val="24"/>
          <w14:textFill>
            <w14:solidFill>
              <w14:schemeClr w14:val="tx1"/>
            </w14:solidFill>
          </w14:textFill>
        </w:rPr>
        <w:t xml:space="preserve">格式原则上不得改动，因擅自改动引起的评审风险由</w:t>
      </w:r>
      <w:r>
        <w:rPr>
          <w:rFonts w:hint="eastAsia"/>
          <w:b/>
          <w:bCs/>
          <w:color w:val="000000" w:themeColor="text1"/>
          <w:sz w:val="24"/>
          <w:szCs w:val="24"/>
          <w14:textFill>
            <w14:solidFill>
              <w14:schemeClr w14:val="tx1"/>
            </w14:solidFill>
          </w14:textFill>
        </w:rPr>
        <w:t xml:space="preserve">投标人</w:t>
      </w:r>
      <w:r>
        <w:rPr>
          <w:b/>
          <w:bCs/>
          <w:color w:val="000000" w:themeColor="text1"/>
          <w:sz w:val="24"/>
          <w:szCs w:val="24"/>
          <w14:textFill>
            <w14:solidFill>
              <w14:schemeClr w14:val="tx1"/>
            </w14:solidFill>
          </w14:textFill>
        </w:rPr>
        <w:t xml:space="preserve">自行承担。</w:t>
      </w:r>
      <w:r/>
    </w:p>
    <w:p>
      <w:pPr>
        <w:ind w:firstLine="482"/>
        <w:spacing w:line="440" w:lineRule="exact"/>
        <w:rPr>
          <w:color w:val="000000" w:themeColor="text1"/>
          <w:sz w:val="24"/>
          <w:szCs w:val="24"/>
          <w14:textFill>
            <w14:solidFill>
              <w14:schemeClr w14:val="tx1"/>
            </w14:solidFill>
          </w14:textFill>
        </w:rPr>
      </w:pPr>
      <w:r/>
      <w:bookmarkStart w:id="252" w:name="_Hlk100143292"/>
      <w:r>
        <w:rPr>
          <w:rFonts w:hint="eastAsia"/>
          <w:b/>
          <w:bCs/>
          <w:color w:val="000000" w:themeColor="text1"/>
          <w:sz w:val="24"/>
          <w:szCs w:val="24"/>
          <w14:textFill>
            <w14:solidFill>
              <w14:schemeClr w14:val="tx1"/>
            </w14:solidFill>
          </w14:textFill>
        </w:rPr>
        <w:t xml:space="preserve">（</w:t>
      </w:r>
      <w:r>
        <w:rPr>
          <w:b/>
          <w:bCs/>
          <w:color w:val="000000" w:themeColor="text1"/>
          <w:sz w:val="24"/>
          <w:szCs w:val="24"/>
          <w14:textFill>
            <w14:solidFill>
              <w14:schemeClr w14:val="tx1"/>
            </w14:solidFill>
          </w14:textFill>
        </w:rPr>
        <w:t xml:space="preserve">4</w:t>
      </w:r>
      <w:r>
        <w:rPr>
          <w:rFonts w:hint="eastAsia"/>
          <w:b/>
          <w:bCs/>
          <w:color w:val="000000" w:themeColor="text1"/>
          <w:sz w:val="24"/>
          <w:szCs w:val="24"/>
          <w14:textFill>
            <w14:solidFill>
              <w14:schemeClr w14:val="tx1"/>
            </w14:solidFill>
          </w14:textFill>
        </w:rPr>
        <w:t xml:space="preserve">）如未对上述声明函内（中型企业、小型企业、微型企业）进行勾选或明确，</w:t>
      </w:r>
      <w:r>
        <w:rPr>
          <w:b/>
          <w:bCs/>
          <w:color w:val="000000" w:themeColor="text1"/>
          <w:sz w:val="24"/>
          <w:szCs w:val="24"/>
          <w14:textFill>
            <w14:solidFill>
              <w14:schemeClr w14:val="tx1"/>
            </w14:solidFill>
          </w14:textFill>
        </w:rPr>
        <w:t xml:space="preserve">引起的评审风险由</w:t>
      </w:r>
      <w:r>
        <w:rPr>
          <w:rFonts w:hint="eastAsia"/>
          <w:b/>
          <w:bCs/>
          <w:color w:val="000000" w:themeColor="text1"/>
          <w:sz w:val="24"/>
          <w:szCs w:val="24"/>
          <w14:textFill>
            <w14:solidFill>
              <w14:schemeClr w14:val="tx1"/>
            </w14:solidFill>
          </w14:textFill>
        </w:rPr>
        <w:t xml:space="preserve">投标人</w:t>
      </w:r>
      <w:r>
        <w:rPr>
          <w:b/>
          <w:bCs/>
          <w:color w:val="000000" w:themeColor="text1"/>
          <w:sz w:val="24"/>
          <w:szCs w:val="24"/>
          <w14:textFill>
            <w14:solidFill>
              <w14:schemeClr w14:val="tx1"/>
            </w14:solidFill>
          </w14:textFill>
        </w:rPr>
        <w:t xml:space="preserve">自行承担。</w:t>
      </w:r>
      <w:bookmarkEnd w:id="252"/>
      <w:r/>
      <w:r/>
    </w:p>
    <w:p>
      <w:pPr>
        <w:ind w:firstLine="643"/>
        <w:jc w:val="center"/>
        <w:spacing w:line="440" w:lineRule="exact"/>
        <w:rPr>
          <w:rFonts w:ascii="Times New Roman" w:hAnsi="Times New Roman"/>
          <w:b/>
          <w:bCs/>
          <w:color w:val="000000" w:themeColor="text1"/>
          <w:sz w:val="28"/>
          <w:szCs w:val="28"/>
          <w14:textFill>
            <w14:solidFill>
              <w14:schemeClr w14:val="tx1"/>
            </w14:solidFill>
          </w14:textFill>
        </w:rPr>
        <w:outlineLvl w:val="1"/>
      </w:pPr>
      <w:r>
        <w:rPr>
          <w:rFonts w:ascii="黑体" w:hAnsi="黑体" w:eastAsia="黑体"/>
          <w:b/>
          <w:color w:val="000000" w:themeColor="text1"/>
          <w:sz w:val="32"/>
          <w:szCs w:val="32"/>
          <w14:textFill>
            <w14:solidFill>
              <w14:schemeClr w14:val="tx1"/>
            </w14:solidFill>
          </w14:textFill>
        </w:rPr>
        <w:br w:type="page" w:clear="all"/>
      </w:r>
      <w:bookmarkStart w:id="253" w:name="_Toc228349853"/>
      <w:r>
        <w:rPr>
          <w:rFonts w:hint="eastAsia" w:ascii="Times New Roman" w:hAnsi="Times New Roman"/>
          <w:b/>
          <w:bCs/>
          <w:color w:val="000000" w:themeColor="text1"/>
          <w:sz w:val="28"/>
          <w:szCs w:val="28"/>
          <w14:textFill>
            <w14:solidFill>
              <w14:schemeClr w14:val="tx1"/>
            </w14:solidFill>
          </w14:textFill>
        </w:rPr>
        <w:t xml:space="preserve">附件12 残疾人福利性单位声明函</w:t>
      </w:r>
      <w:bookmarkEnd w:id="253"/>
      <w:r/>
      <w:r/>
    </w:p>
    <w:p>
      <w:pPr>
        <w:ind w:firstLine="480"/>
        <w:spacing w:line="588" w:lineRule="exac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themeColor="text1"/>
          <w:sz w:val="24"/>
          <w:szCs w:val="21"/>
          <w:u w:val="single"/>
          <w14:textFill>
            <w14:solidFill>
              <w14:schemeClr w14:val="tx1"/>
            </w14:solidFill>
          </w14:textFill>
        </w:rPr>
        <w:t xml:space="preserve">       </w:t>
      </w:r>
      <w:r>
        <w:rPr>
          <w:rFonts w:hint="eastAsia" w:ascii="宋体" w:hAnsi="宋体"/>
          <w:color w:val="000000" w:themeColor="text1"/>
          <w:sz w:val="24"/>
          <w:szCs w:val="21"/>
          <w14:textFill>
            <w14:solidFill>
              <w14:schemeClr w14:val="tx1"/>
            </w14:solidFill>
          </w14:textFill>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本单位对上述声明的真实性负责。如有虚假，将依法承担相应责任。</w:t>
      </w:r>
      <w:r/>
    </w:p>
    <w:p>
      <w:pPr>
        <w:ind w:firstLine="480"/>
        <w:spacing w:line="588"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p>
      <w:pPr>
        <w:ind w:firstLine="480"/>
        <w:spacing w:line="588" w:lineRule="exac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（备注：1、</w:t>
      </w:r>
      <w:r>
        <w:rPr>
          <w:rFonts w:hint="eastAsia" w:ascii="宋体" w:hAnsi="宋体"/>
          <w:color w:val="000000" w:themeColor="text1"/>
          <w:sz w:val="24"/>
          <w:szCs w:val="24"/>
          <w14:textFill>
            <w14:solidFill>
              <w14:schemeClr w14:val="tx1"/>
            </w14:solidFill>
          </w14:textFill>
        </w:rPr>
        <w:t xml:space="preserve">投标人</w:t>
      </w:r>
      <w:r>
        <w:rPr>
          <w:rFonts w:hint="eastAsia" w:ascii="宋体" w:hAnsi="宋体"/>
          <w:color w:val="000000" w:themeColor="text1"/>
          <w:sz w:val="24"/>
          <w:szCs w:val="21"/>
          <w14:textFill>
            <w14:solidFill>
              <w14:schemeClr w14:val="tx1"/>
            </w14:solidFill>
          </w14:textFill>
        </w:rPr>
        <w:t xml:space="preserve">如不提供此声明函，价格将不做相应扣除。2、中标人为残疾人福利单位的，此声明函将随中标结果同时公告，接受社会监督）</w:t>
      </w:r>
      <w:r/>
    </w:p>
    <w:p>
      <w:pPr>
        <w:ind w:firstLine="624"/>
        <w:spacing w:line="588" w:lineRule="exact"/>
        <w:rPr>
          <w:rFonts w:ascii="仿宋_GB2312" w:hAnsi="Times New Roman" w:eastAsia="仿宋_GB2312"/>
          <w:color w:val="000000" w:themeColor="text1"/>
          <w:spacing w:val="6"/>
          <w:sz w:val="30"/>
          <w:szCs w:val="30"/>
          <w14:textFill>
            <w14:solidFill>
              <w14:schemeClr w14:val="tx1"/>
            </w14:solidFill>
          </w14:textFill>
        </w:rPr>
      </w:pPr>
      <w:r>
        <w:rPr>
          <w:rFonts w:ascii="仿宋_GB2312" w:hAnsi="Times New Roman" w:eastAsia="仿宋_GB2312"/>
          <w:color w:val="000000" w:themeColor="text1"/>
          <w:spacing w:val="6"/>
          <w:sz w:val="30"/>
          <w:szCs w:val="30"/>
          <w14:textFill>
            <w14:solidFill>
              <w14:schemeClr w14:val="tx1"/>
            </w14:solidFill>
          </w14:textFill>
        </w:rPr>
      </w:r>
      <w:r/>
    </w:p>
    <w:p>
      <w:pPr>
        <w:ind w:right="1560" w:firstLine="624"/>
        <w:jc w:val="center"/>
        <w:spacing w:line="588" w:lineRule="exact"/>
        <w:tabs>
          <w:tab w:val="left" w:pos="4860" w:leader="none"/>
        </w:tabs>
        <w:rPr>
          <w:rFonts w:ascii="宋体" w:hAnsi="宋体"/>
          <w:color w:val="000000" w:themeColor="text1"/>
          <w:sz w:val="24"/>
          <w:szCs w:val="21"/>
          <w14:textFill>
            <w14:solidFill>
              <w14:schemeClr w14:val="tx1"/>
            </w14:solidFill>
          </w14:textFill>
        </w:rPr>
      </w:pPr>
      <w:r>
        <w:rPr>
          <w:rFonts w:hint="eastAsia" w:ascii="仿宋_GB2312" w:hAnsi="Times New Roman" w:eastAsia="仿宋_GB2312"/>
          <w:color w:val="000000" w:themeColor="text1"/>
          <w:spacing w:val="6"/>
          <w:sz w:val="30"/>
          <w:szCs w:val="30"/>
          <w14:textFill>
            <w14:solidFill>
              <w14:schemeClr w14:val="tx1"/>
            </w14:solidFill>
          </w14:textFill>
        </w:rPr>
        <w:t xml:space="preserve">             </w:t>
      </w:r>
      <w:r>
        <w:rPr>
          <w:rFonts w:hint="eastAsia" w:ascii="宋体" w:hAnsi="宋体"/>
          <w:color w:val="000000" w:themeColor="text1"/>
          <w:sz w:val="24"/>
          <w:szCs w:val="21"/>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投标人</w:t>
      </w:r>
      <w:r>
        <w:rPr>
          <w:rFonts w:hint="eastAsia" w:ascii="宋体" w:hAnsi="宋体"/>
          <w:color w:val="000000" w:themeColor="text1"/>
          <w:sz w:val="24"/>
          <w:szCs w:val="21"/>
          <w14:textFill>
            <w14:solidFill>
              <w14:schemeClr w14:val="tx1"/>
            </w14:solidFill>
          </w14:textFill>
        </w:rPr>
        <w:t xml:space="preserve">全称（加盖CA电子公章）：</w:t>
      </w:r>
      <w:r/>
    </w:p>
    <w:p>
      <w:pPr>
        <w:ind w:right="1560" w:firstLine="480"/>
        <w:jc w:val="center"/>
        <w:spacing w:line="588" w:lineRule="exact"/>
        <w:tabs>
          <w:tab w:val="left" w:pos="4860" w:leader="none"/>
        </w:tabs>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        日  期：</w:t>
      </w:r>
      <w:r/>
    </w:p>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br w:type="page" w:clear="all"/>
      </w:r>
      <w:r/>
    </w:p>
    <w:p>
      <w:pPr>
        <w:ind w:firstLine="562"/>
        <w:jc w:val="center"/>
        <w:spacing w:line="440" w:lineRule="exact"/>
        <w:rPr>
          <w:rFonts w:ascii="Times New Roman" w:hAnsi="Times New Roman"/>
          <w:b/>
          <w:bCs/>
          <w:color w:val="000000" w:themeColor="text1"/>
          <w:sz w:val="28"/>
          <w:szCs w:val="28"/>
          <w14:textFill>
            <w14:solidFill>
              <w14:schemeClr w14:val="tx1"/>
            </w14:solidFill>
          </w14:textFill>
        </w:rPr>
        <w:outlineLvl w:val="1"/>
      </w:pPr>
      <w:r/>
      <w:bookmarkStart w:id="254" w:name="_Toc228349854"/>
      <w:r/>
      <w:bookmarkStart w:id="255" w:name="_Toc155086474"/>
      <w:r/>
      <w:bookmarkStart w:id="256" w:name="_Toc155086574"/>
      <w:r/>
      <w:bookmarkStart w:id="257" w:name="_Toc17235"/>
      <w:r>
        <w:rPr>
          <w:rFonts w:hint="eastAsia" w:ascii="Times New Roman" w:hAnsi="Times New Roman"/>
          <w:b/>
          <w:bCs/>
          <w:color w:val="000000" w:themeColor="text1"/>
          <w:sz w:val="28"/>
          <w:szCs w:val="28"/>
          <w14:textFill>
            <w14:solidFill>
              <w14:schemeClr w14:val="tx1"/>
            </w14:solidFill>
          </w14:textFill>
        </w:rPr>
        <w:t xml:space="preserve">附件13</w:t>
      </w:r>
      <w:r>
        <w:rPr>
          <w:rFonts w:ascii="Times New Roman" w:hAnsi="Times New Roman"/>
          <w:b/>
          <w:bCs/>
          <w:color w:val="000000" w:themeColor="text1"/>
          <w:sz w:val="28"/>
          <w:szCs w:val="28"/>
          <w14:textFill>
            <w14:solidFill>
              <w14:schemeClr w14:val="tx1"/>
            </w14:solidFill>
          </w14:textFill>
        </w:rPr>
        <w:t xml:space="preserve"> </w:t>
      </w:r>
      <w:r>
        <w:rPr>
          <w:rFonts w:hint="eastAsia" w:ascii="Times New Roman" w:hAnsi="Times New Roman"/>
          <w:b/>
          <w:bCs/>
          <w:color w:val="000000" w:themeColor="text1"/>
          <w:sz w:val="28"/>
          <w:szCs w:val="28"/>
          <w14:textFill>
            <w14:solidFill>
              <w14:schemeClr w14:val="tx1"/>
            </w14:solidFill>
          </w14:textFill>
        </w:rPr>
        <w:t xml:space="preserve">投标函</w:t>
      </w:r>
      <w:bookmarkEnd w:id="254"/>
      <w:r/>
      <w:bookmarkEnd w:id="255"/>
      <w:r/>
      <w:bookmarkEnd w:id="256"/>
      <w:r/>
      <w:bookmarkEnd w:id="257"/>
      <w:r/>
      <w:r/>
    </w:p>
    <w:p>
      <w:pPr>
        <w:jc w:val="left"/>
        <w:spacing w:line="420"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p>
      <w:pPr>
        <w:spacing w:line="440" w:lineRule="exact"/>
        <w:rPr>
          <w:rFonts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致：</w:t>
      </w:r>
      <w:r>
        <w:rPr>
          <w:rFonts w:hint="eastAsia" w:ascii="宋体" w:hAnsi="宋体"/>
          <w:color w:val="000000" w:themeColor="text1"/>
          <w:sz w:val="24"/>
          <w:szCs w:val="24"/>
          <w:u w:val="single"/>
          <w:lang w:val="zh-CN"/>
          <w14:textFill>
            <w14:solidFill>
              <w14:schemeClr w14:val="tx1"/>
            </w14:solidFill>
          </w14:textFill>
        </w:rPr>
        <w:t xml:space="preserve">苏州新一造价师价格事务所有限公司</w:t>
      </w:r>
      <w:r/>
    </w:p>
    <w:p>
      <w:pPr>
        <w:pStyle w:val="922"/>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根据贵方的</w:t>
      </w:r>
      <w:r>
        <w:rPr>
          <w:rFonts w:hint="eastAsia" w:ascii="宋体" w:hAnsi="宋体"/>
          <w:color w:val="000000" w:themeColor="text1"/>
          <w:szCs w:val="21"/>
          <w:lang w:eastAsia="zh-CN"/>
          <w14:textFill>
            <w14:solidFill>
              <w14:schemeClr w14:val="tx1"/>
            </w14:solidFill>
          </w14:textFill>
        </w:rPr>
        <w:t xml:space="preserve">JSZC-320581-SZXY-G2026-0012</w:t>
      </w:r>
      <w:r>
        <w:rPr>
          <w:rFonts w:hint="eastAsia" w:ascii="宋体" w:hAnsi="宋体"/>
          <w:color w:val="000000" w:themeColor="text1"/>
          <w:szCs w:val="21"/>
          <w14:textFill>
            <w14:solidFill>
              <w14:schemeClr w14:val="tx1"/>
            </w14:solidFill>
          </w14:textFill>
        </w:rPr>
        <w:t xml:space="preserve">号招标文件，正式授权下述_____(姓名)代表我方_____________（投标人的名称），全权处理本次项目投标的有关事宜。</w:t>
      </w:r>
      <w:r/>
    </w:p>
    <w:p>
      <w:pPr>
        <w:pStyle w:val="922"/>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据此函，_________(姓名)代表兹宣布同意如下：</w:t>
      </w:r>
      <w:r/>
    </w:p>
    <w:p>
      <w:pPr>
        <w:pStyle w:val="922"/>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1.按招标文件规定的各项要求，向买方提供所需服务（包含与服务相关的货物）。</w:t>
      </w:r>
      <w:r/>
    </w:p>
    <w:p>
      <w:pPr>
        <w:pStyle w:val="922"/>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2.我们完全理解贵方不一定将合同授予最低报价的投标人。</w:t>
      </w:r>
      <w:r/>
    </w:p>
    <w:p>
      <w:pPr>
        <w:pStyle w:val="922"/>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3.我们已详细审核全部招标文件及其有效补充文件，我们知道必须放弃提出含糊不清或误解问题的权利。</w:t>
      </w:r>
      <w:r/>
    </w:p>
    <w:p>
      <w:pPr>
        <w:pStyle w:val="922"/>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4.我们同意从规定的开标日期起遵循本投标文件，并在规定的投标有效期期满之前均具有约束力。</w:t>
      </w:r>
      <w:r/>
    </w:p>
    <w:p>
      <w:pPr>
        <w:pStyle w:val="922"/>
        <w:spacing w:before="0" w:after="0" w:line="42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5</w:t>
      </w:r>
      <w:r>
        <w:rPr>
          <w:rFonts w:hint="eastAsia" w:ascii="宋体" w:hAnsi="宋体"/>
          <w:color w:val="000000" w:themeColor="text1"/>
          <w:szCs w:val="21"/>
          <w14:textFill>
            <w14:solidFill>
              <w14:schemeClr w14:val="tx1"/>
            </w14:solidFill>
          </w14:textFill>
        </w:rPr>
        <w:t xml:space="preserve">.同意向贵方提供贵方可能另外要求的与投标有关的任何证据或资料，并保证我方已提供和将要提供的文件是真实的、准确的。</w:t>
      </w:r>
      <w:r/>
    </w:p>
    <w:p>
      <w:pPr>
        <w:pStyle w:val="922"/>
        <w:spacing w:before="0" w:after="0" w:line="42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6</w:t>
      </w:r>
      <w:r>
        <w:rPr>
          <w:rFonts w:hint="eastAsia" w:ascii="宋体" w:hAnsi="宋体"/>
          <w:color w:val="000000" w:themeColor="text1"/>
          <w:szCs w:val="21"/>
          <w14:textFill>
            <w14:solidFill>
              <w14:schemeClr w14:val="tx1"/>
            </w14:solidFill>
          </w14:textFill>
        </w:rPr>
        <w:t xml:space="preserve">.一旦我方中标,我方将根据招标文件的规定，严格履行合同的责任和义务,并保证在招标文件规定的时间完成项目，交付买方验收、使用。</w:t>
      </w:r>
      <w:r/>
    </w:p>
    <w:p>
      <w:pPr>
        <w:pStyle w:val="922"/>
        <w:spacing w:before="0" w:after="0" w:line="42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7</w:t>
      </w:r>
      <w:r>
        <w:rPr>
          <w:rFonts w:hint="eastAsia" w:ascii="宋体" w:hAnsi="宋体"/>
          <w:color w:val="000000" w:themeColor="text1"/>
          <w:szCs w:val="21"/>
          <w14:textFill>
            <w14:solidFill>
              <w14:schemeClr w14:val="tx1"/>
            </w14:solidFill>
          </w14:textFill>
        </w:rPr>
        <w:t xml:space="preserve">.与本投标有关的正式通讯地址为：</w:t>
      </w:r>
      <w:r/>
    </w:p>
    <w:p>
      <w:pPr>
        <w:pStyle w:val="922"/>
        <w:ind w:left="420"/>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地          址：</w:t>
      </w:r>
      <w:r/>
    </w:p>
    <w:p>
      <w:pPr>
        <w:pStyle w:val="922"/>
        <w:ind w:left="420"/>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邮          编：</w:t>
      </w:r>
      <w:r/>
    </w:p>
    <w:p>
      <w:pPr>
        <w:pStyle w:val="922"/>
        <w:ind w:left="420"/>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电          话：</w:t>
      </w:r>
      <w:r/>
    </w:p>
    <w:p>
      <w:pPr>
        <w:pStyle w:val="922"/>
        <w:ind w:left="420"/>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传          真：</w:t>
      </w:r>
      <w:r/>
    </w:p>
    <w:p>
      <w:pPr>
        <w:pStyle w:val="922"/>
        <w:ind w:left="420"/>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 标 人开户行：</w:t>
      </w:r>
      <w:r/>
    </w:p>
    <w:p>
      <w:pPr>
        <w:pStyle w:val="922"/>
        <w:ind w:left="420"/>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账          号： </w:t>
      </w:r>
      <w:r/>
    </w:p>
    <w:p>
      <w:pPr>
        <w:pStyle w:val="922"/>
        <w:ind w:left="420"/>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日          期：________年____月____日</w:t>
      </w:r>
      <w:r/>
    </w:p>
    <w:p>
      <w:pPr>
        <w:ind w:firstLine="480"/>
        <w:rPr>
          <w:rFonts w:ascii="Times New Roman" w:hAnsi="Times New Roman"/>
          <w:i/>
          <w:color w:val="000000" w:themeColor="text1"/>
          <w:sz w:val="24"/>
          <w:szCs w:val="24"/>
          <w:u w:val="single"/>
          <w14:textFill>
            <w14:solidFill>
              <w14:schemeClr w14:val="tx1"/>
            </w14:solidFill>
          </w14:textFill>
        </w:rPr>
      </w:pPr>
      <w:r>
        <w:rPr>
          <w:rFonts w:ascii="Times New Roman" w:hAnsi="Times New Roman"/>
          <w:i/>
          <w:color w:val="000000" w:themeColor="text1"/>
          <w:sz w:val="24"/>
          <w:szCs w:val="24"/>
          <w:u w:val="single"/>
          <w14:textFill>
            <w14:solidFill>
              <w14:schemeClr w14:val="tx1"/>
            </w14:solidFill>
          </w14:textFill>
        </w:rPr>
      </w:r>
      <w:r/>
    </w:p>
    <w:p>
      <w:pPr>
        <w:pStyle w:val="694"/>
        <w:ind w:firstLine="482"/>
        <w:rPr>
          <w:color w:val="000000" w:themeColor="text1"/>
          <w14:textFill>
            <w14:solidFill>
              <w14:schemeClr w14:val="tx1"/>
            </w14:solidFill>
          </w14:textFill>
        </w:rPr>
      </w:pPr>
      <w:r>
        <w:rPr>
          <w:rFonts w:ascii="宋体" w:hAnsi="宋体" w:eastAsia="幼圆" w:cs="Arial"/>
          <w:b/>
          <w:color w:val="000000" w:themeColor="text1"/>
          <w:sz w:val="24"/>
          <w:szCs w:val="44"/>
          <w14:textFill>
            <w14:solidFill>
              <w14:schemeClr w14:val="tx1"/>
            </w14:solidFill>
          </w14:textFill>
        </w:rPr>
        <w:br w:type="page" w:clear="all"/>
      </w:r>
      <w:r/>
    </w:p>
    <w:p>
      <w:pPr>
        <w:ind w:firstLine="562"/>
        <w:jc w:val="center"/>
        <w:spacing w:line="440" w:lineRule="exact"/>
        <w:rPr>
          <w:rFonts w:ascii="Times New Roman" w:hAnsi="Times New Roman"/>
          <w:b/>
          <w:bCs/>
          <w:color w:val="000000" w:themeColor="text1"/>
          <w:sz w:val="28"/>
          <w:szCs w:val="28"/>
          <w14:textFill>
            <w14:solidFill>
              <w14:schemeClr w14:val="tx1"/>
            </w14:solidFill>
          </w14:textFill>
        </w:rPr>
        <w:outlineLvl w:val="1"/>
      </w:pPr>
      <w:r/>
      <w:bookmarkStart w:id="258" w:name="_Toc228349855"/>
      <w:r>
        <w:rPr>
          <w:rFonts w:hint="eastAsia" w:ascii="Times New Roman" w:hAnsi="Times New Roman"/>
          <w:b/>
          <w:bCs/>
          <w:color w:val="000000" w:themeColor="text1"/>
          <w:sz w:val="28"/>
          <w:szCs w:val="28"/>
          <w14:textFill>
            <w14:solidFill>
              <w14:schemeClr w14:val="tx1"/>
            </w14:solidFill>
          </w14:textFill>
        </w:rPr>
        <w:t xml:space="preserve">附件14 实质性要求响应及偏离表</w:t>
      </w:r>
      <w:bookmarkEnd w:id="258"/>
      <w:r/>
      <w:r/>
    </w:p>
    <w:tbl>
      <w:tblPr>
        <w:tblStyle w:val="689"/>
        <w:tblW w:w="985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5451"/>
        <w:gridCol w:w="1902"/>
        <w:gridCol w:w="1620"/>
      </w:tblGrid>
      <w:tr>
        <w:trPr>
          <w:cantSplit/>
          <w:jc w:val="center"/>
          <w:trHeight w:val="666"/>
        </w:trPr>
        <w:tc>
          <w:tcPr>
            <w:tcW w:w="885"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序号</w:t>
            </w:r>
            <w:r/>
          </w:p>
        </w:tc>
        <w:tc>
          <w:tcPr>
            <w:tcW w:w="5451"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服务</w:t>
            </w:r>
            <w:r>
              <w:rPr>
                <w:rFonts w:ascii="宋体" w:hAnsi="宋体"/>
                <w:color w:val="000000" w:themeColor="text1"/>
                <w:sz w:val="24"/>
                <w:szCs w:val="24"/>
                <w14:textFill>
                  <w14:solidFill>
                    <w14:schemeClr w14:val="tx1"/>
                  </w14:solidFill>
                </w14:textFill>
              </w:rPr>
              <w:t xml:space="preserve">要求和商务要求中的实质性要求</w:t>
            </w:r>
            <w:r/>
          </w:p>
        </w:tc>
        <w:tc>
          <w:tcPr>
            <w:tcW w:w="190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投标响应情况</w:t>
            </w:r>
            <w:r/>
          </w:p>
        </w:tc>
        <w:tc>
          <w:tcPr>
            <w:tcW w:w="1620"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超出、符合或偏离</w:t>
            </w:r>
            <w:r/>
          </w:p>
        </w:tc>
      </w:tr>
      <w:tr>
        <w:trPr>
          <w:cantSplit/>
          <w:jc w:val="center"/>
          <w:trHeight w:val="1019"/>
        </w:trPr>
        <w:tc>
          <w:tcPr>
            <w:tcW w:w="885"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p>
        </w:tc>
        <w:tc>
          <w:tcPr>
            <w:tcW w:w="5451" w:type="dxa"/>
            <w:vAlign w:val="center"/>
            <w:textDirection w:val="lrTb"/>
            <w:noWrap w:val="false"/>
          </w:tcPr>
          <w:p>
            <w:pPr>
              <w:ind w:firstLine="480"/>
              <w:spacing w:line="480" w:lineRule="exact"/>
              <w:rPr>
                <w:iCs/>
                <w:color w:val="000000" w:themeColor="text1"/>
                <w:sz w:val="24"/>
                <w14:textFill>
                  <w14:solidFill>
                    <w14:schemeClr w14:val="tx1"/>
                  </w14:solidFill>
                </w14:textFill>
              </w:rPr>
            </w:pPr>
            <w:r>
              <w:rPr>
                <w:rFonts w:hint="eastAsia" w:ascii="宋体" w:hAnsi="宋体"/>
                <w:i/>
                <w:color w:val="000000" w:themeColor="text1"/>
                <w:sz w:val="24"/>
                <w:szCs w:val="24"/>
                <w:u w:val="single"/>
                <w14:textFill>
                  <w14:solidFill>
                    <w14:schemeClr w14:val="tx1"/>
                  </w14:solidFill>
                </w14:textFill>
              </w:rPr>
              <w:t xml:space="preserve">合同履行期限：自签订合同之日起2年。</w:t>
            </w:r>
            <w:r/>
          </w:p>
        </w:tc>
        <w:tc>
          <w:tcPr>
            <w:tcW w:w="190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620"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7206"/>
        </w:trPr>
        <w:tc>
          <w:tcPr>
            <w:tcW w:w="885"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p>
        </w:tc>
        <w:tc>
          <w:tcPr>
            <w:tcW w:w="5451" w:type="dxa"/>
            <w:vAlign w:val="center"/>
            <w:textDirection w:val="lrTb"/>
            <w:noWrap w:val="false"/>
          </w:tcPr>
          <w:p>
            <w:pPr>
              <w:ind w:firstLine="480"/>
              <w:spacing w:line="480" w:lineRule="exact"/>
              <w:rPr>
                <w:rFonts w:ascii="宋体" w:hAnsi="宋体"/>
                <w:i/>
                <w:color w:val="000000" w:themeColor="text1"/>
                <w:sz w:val="24"/>
                <w:szCs w:val="24"/>
                <w:u w:val="single"/>
                <w14:textFill>
                  <w14:solidFill>
                    <w14:schemeClr w14:val="tx1"/>
                  </w14:solidFill>
                </w14:textFill>
              </w:rPr>
            </w:pPr>
            <w:r>
              <w:rPr>
                <w:rFonts w:hint="eastAsia" w:ascii="宋体" w:hAnsi="宋体"/>
                <w:i/>
                <w:color w:val="000000" w:themeColor="text1"/>
                <w:sz w:val="24"/>
                <w:szCs w:val="24"/>
                <w:u w:val="single"/>
                <w14:textFill>
                  <w14:solidFill>
                    <w14:schemeClr w14:val="tx1"/>
                  </w14:solidFill>
                </w14:textFill>
              </w:rPr>
              <w:t xml:space="preserve">结算方式：结算费用=各类车型校内用车服务最高单价限价*实际数量*（1-中标优惠率）</w:t>
            </w:r>
            <w:r/>
          </w:p>
          <w:p>
            <w:pPr>
              <w:ind w:firstLine="480"/>
              <w:spacing w:line="480" w:lineRule="exact"/>
              <w:rPr>
                <w:rFonts w:ascii="宋体" w:hAnsi="宋体"/>
                <w:i/>
                <w:color w:val="000000" w:themeColor="text1"/>
                <w:sz w:val="24"/>
                <w:szCs w:val="24"/>
                <w:u w:val="single"/>
                <w14:textFill>
                  <w14:solidFill>
                    <w14:schemeClr w14:val="tx1"/>
                  </w14:solidFill>
                </w14:textFill>
              </w:rPr>
            </w:pPr>
            <w:r>
              <w:rPr>
                <w:rFonts w:hint="eastAsia" w:ascii="宋体" w:hAnsi="宋体"/>
                <w:i/>
                <w:color w:val="000000" w:themeColor="text1"/>
                <w:sz w:val="24"/>
                <w:szCs w:val="24"/>
                <w:u w:val="single"/>
                <w14:textFill>
                  <w14:solidFill>
                    <w14:schemeClr w14:val="tx1"/>
                  </w14:solidFill>
                </w14:textFill>
              </w:rPr>
              <w:t xml:space="preserve">付款方式：</w:t>
            </w:r>
            <w:r/>
          </w:p>
          <w:p>
            <w:pPr>
              <w:ind w:firstLine="482"/>
              <w:spacing w:line="480" w:lineRule="exact"/>
              <w:rPr>
                <w:rFonts w:ascii="宋体" w:hAnsi="宋体"/>
                <w:bCs/>
                <w:i/>
                <w:color w:val="000000" w:themeColor="text1"/>
                <w:sz w:val="24"/>
                <w:szCs w:val="24"/>
                <w:u w:val="single"/>
                <w14:textFill>
                  <w14:solidFill>
                    <w14:schemeClr w14:val="tx1"/>
                  </w14:solidFill>
                </w14:textFill>
              </w:rPr>
            </w:pPr>
            <w:r>
              <w:rPr>
                <w:rFonts w:hint="eastAsia" w:ascii="宋体" w:hAnsi="宋体"/>
                <w:bCs/>
                <w:i/>
                <w:color w:val="000000" w:themeColor="text1"/>
                <w:sz w:val="24"/>
                <w:szCs w:val="24"/>
                <w:u w:val="single"/>
                <w14:textFill>
                  <w14:solidFill>
                    <w14:schemeClr w14:val="tx1"/>
                  </w14:solidFill>
                </w14:textFill>
              </w:rPr>
              <w:t xml:space="preserve">（1）承运方与采购人协商确定校内用车服务费用支付事项，签订采购合同。承运方与用车方按照合同约定的付款计划进行结算。结算时承运方需提供正规发票、由用车方签字确认的《出车单》及汇总单等凭证。</w:t>
            </w:r>
            <w:r/>
          </w:p>
          <w:p>
            <w:pPr>
              <w:ind w:firstLine="482"/>
              <w:spacing w:line="480" w:lineRule="exact"/>
              <w:rPr>
                <w:rFonts w:ascii="宋体" w:hAnsi="宋体"/>
                <w:bCs/>
                <w:i/>
                <w:color w:val="000000" w:themeColor="text1"/>
                <w:sz w:val="24"/>
                <w:szCs w:val="24"/>
                <w:u w:val="single"/>
                <w14:textFill>
                  <w14:solidFill>
                    <w14:schemeClr w14:val="tx1"/>
                  </w14:solidFill>
                </w14:textFill>
              </w:rPr>
            </w:pPr>
            <w:r>
              <w:rPr>
                <w:rFonts w:hint="eastAsia" w:ascii="宋体" w:hAnsi="宋体"/>
                <w:bCs/>
                <w:i/>
                <w:color w:val="000000" w:themeColor="text1"/>
                <w:sz w:val="24"/>
                <w:szCs w:val="24"/>
                <w:u w:val="single"/>
                <w14:textFill>
                  <w14:solidFill>
                    <w14:schemeClr w14:val="tx1"/>
                  </w14:solidFill>
                </w14:textFill>
              </w:rPr>
              <w:t xml:space="preserve">（2）校内用车服务费用支付要严格执行学校财务相关制度，不得以现金方式支付。</w:t>
            </w:r>
            <w:r/>
          </w:p>
          <w:p>
            <w:pPr>
              <w:ind w:firstLine="482"/>
              <w:spacing w:line="480" w:lineRule="exact"/>
              <w:rPr>
                <w:rFonts w:ascii="宋体" w:hAnsi="宋体"/>
                <w:bCs/>
                <w:i/>
                <w:color w:val="000000" w:themeColor="text1"/>
                <w:sz w:val="24"/>
                <w:szCs w:val="24"/>
                <w:u w:val="single"/>
                <w14:textFill>
                  <w14:solidFill>
                    <w14:schemeClr w14:val="tx1"/>
                  </w14:solidFill>
                </w14:textFill>
              </w:rPr>
            </w:pPr>
            <w:r>
              <w:rPr>
                <w:rFonts w:hint="eastAsia" w:ascii="宋体" w:hAnsi="宋体"/>
                <w:bCs/>
                <w:i/>
                <w:color w:val="000000" w:themeColor="text1"/>
                <w:sz w:val="24"/>
                <w:szCs w:val="24"/>
                <w:u w:val="single"/>
                <w14:textFill>
                  <w14:solidFill>
                    <w14:schemeClr w14:val="tx1"/>
                  </w14:solidFill>
                </w14:textFill>
              </w:rPr>
              <w:t xml:space="preserve">（3）用车方应在满足采购合同的结算条件下，自收到发票后15日内，将校内用车服务费用支付到承运方账户。</w:t>
            </w:r>
            <w:r/>
          </w:p>
          <w:p>
            <w:pPr>
              <w:ind w:firstLine="482"/>
              <w:spacing w:line="480" w:lineRule="exact"/>
              <w:rPr>
                <w:rFonts w:ascii="宋体" w:hAnsi="宋体"/>
                <w:b/>
                <w:i/>
                <w:color w:val="000000" w:themeColor="text1"/>
                <w:sz w:val="24"/>
                <w:szCs w:val="24"/>
                <w:u w:val="single"/>
                <w14:textFill>
                  <w14:solidFill>
                    <w14:schemeClr w14:val="tx1"/>
                  </w14:solidFill>
                </w14:textFill>
              </w:rPr>
            </w:pPr>
            <w:r>
              <w:rPr>
                <w:rFonts w:hint="eastAsia" w:ascii="宋体" w:hAnsi="宋体"/>
                <w:b/>
                <w:i/>
                <w:color w:val="000000" w:themeColor="text1"/>
                <w:sz w:val="24"/>
                <w:szCs w:val="24"/>
                <w:u w:val="single"/>
                <w14:textFill>
                  <w14:solidFill>
                    <w14:schemeClr w14:val="tx1"/>
                  </w14:solidFill>
                </w14:textFill>
              </w:rPr>
              <w:t xml:space="preserve">注：（1）以上付款前，承运方均应提供符合采购人要求的同等金额的合法有效发票。否则，采购人有权顺延付款时间，且不承担任何违约及/或赔偿责任。</w:t>
            </w:r>
            <w:r/>
          </w:p>
          <w:p>
            <w:pPr>
              <w:ind w:firstLine="482"/>
              <w:spacing w:line="480" w:lineRule="exact"/>
              <w:rPr>
                <w:rFonts w:ascii="宋体" w:hAnsi="宋体"/>
                <w:b/>
                <w:iCs/>
                <w:color w:val="000000" w:themeColor="text1"/>
                <w:sz w:val="24"/>
                <w:szCs w:val="24"/>
                <w:u w:val="single"/>
                <w14:textFill>
                  <w14:solidFill>
                    <w14:schemeClr w14:val="tx1"/>
                  </w14:solidFill>
                </w14:textFill>
              </w:rPr>
            </w:pPr>
            <w:r>
              <w:rPr>
                <w:rFonts w:hint="eastAsia" w:ascii="宋体" w:hAnsi="宋体"/>
                <w:b/>
                <w:i/>
                <w:color w:val="000000" w:themeColor="text1"/>
                <w:sz w:val="24"/>
                <w:szCs w:val="24"/>
                <w:u w:val="single"/>
                <w14:textFill>
                  <w14:solidFill>
                    <w14:schemeClr w14:val="tx1"/>
                  </w14:solidFill>
                </w14:textFill>
              </w:rPr>
              <w:t xml:space="preserve">（2）本项目支付方式支持数字人民币方式。</w:t>
            </w:r>
            <w:r/>
          </w:p>
        </w:tc>
        <w:tc>
          <w:tcPr>
            <w:tcW w:w="190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620"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2235"/>
        </w:trPr>
        <w:tc>
          <w:tcPr>
            <w:tcW w:w="885"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p>
        </w:tc>
        <w:tc>
          <w:tcPr>
            <w:tcW w:w="5451" w:type="dxa"/>
            <w:vAlign w:val="center"/>
            <w:textDirection w:val="lrTb"/>
            <w:noWrap w:val="false"/>
          </w:tcPr>
          <w:p>
            <w:pPr>
              <w:ind w:firstLine="482"/>
              <w:spacing w:line="480" w:lineRule="exact"/>
              <w:rPr>
                <w:rFonts w:ascii="宋体" w:hAnsi="宋体"/>
                <w:b/>
                <w:i/>
                <w:color w:val="000000" w:themeColor="text1"/>
                <w:sz w:val="24"/>
                <w:szCs w:val="24"/>
                <w:u w:val="single"/>
                <w14:textFill>
                  <w14:solidFill>
                    <w14:schemeClr w14:val="tx1"/>
                  </w14:solidFill>
                </w14:textFill>
              </w:rPr>
            </w:pPr>
            <w:r>
              <w:rPr>
                <w:rFonts w:hint="eastAsia" w:ascii="宋体" w:hAnsi="宋体" w:cs="宋体"/>
                <w:i/>
                <w:iCs/>
                <w:color w:val="000000" w:themeColor="text1"/>
                <w:sz w:val="24"/>
                <w:u w:val="single"/>
                <w14:textFill>
                  <w14:solidFill>
                    <w14:schemeClr w14:val="tx1"/>
                  </w14:solidFill>
                </w14:textFill>
              </w:rPr>
              <w:t xml:space="preserve">自愿按照不高于苏州工学院校内用车服务结算标准为学校用车部门和师生提供用车服务，并自觉遵守采购人相关车辆管理规定，接受苏州工学院监督管理。</w:t>
            </w:r>
            <w:r/>
          </w:p>
        </w:tc>
        <w:tc>
          <w:tcPr>
            <w:tcW w:w="190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620"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2235"/>
        </w:trPr>
        <w:tc>
          <w:tcPr>
            <w:tcW w:w="885"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p>
        </w:tc>
        <w:tc>
          <w:tcPr>
            <w:tcW w:w="5451" w:type="dxa"/>
            <w:vAlign w:val="center"/>
            <w:textDirection w:val="lrTb"/>
            <w:noWrap w:val="false"/>
          </w:tcPr>
          <w:p>
            <w:pPr>
              <w:ind w:firstLine="482"/>
              <w:spacing w:line="480" w:lineRule="exact"/>
              <w:rPr>
                <w:rFonts w:ascii="宋体" w:hAnsi="宋体" w:cs="宋体"/>
                <w:i/>
                <w:iCs/>
                <w:color w:val="000000" w:themeColor="text1"/>
                <w:sz w:val="24"/>
                <w:u w:val="single"/>
                <w14:textFill>
                  <w14:solidFill>
                    <w14:schemeClr w14:val="tx1"/>
                  </w14:solidFill>
                </w14:textFill>
              </w:rPr>
            </w:pPr>
            <w:r>
              <w:rPr>
                <w:rFonts w:hint="eastAsia" w:ascii="宋体" w:hAnsi="宋体" w:cs="宋体"/>
                <w:i/>
                <w:iCs/>
                <w:color w:val="000000" w:themeColor="text1"/>
                <w:sz w:val="24"/>
                <w:u w:val="single"/>
                <w14:textFill>
                  <w14:solidFill>
                    <w14:schemeClr w14:val="tx1"/>
                  </w14:solidFill>
                </w14:textFill>
              </w:rPr>
              <w:t xml:space="preserve">除国家规定的必保险种，投标人还应为提供校内用车服务的车辆投保第三者责任险（不低于100万元）、承运人责任险或车上人员责任险（不低于50万/座位），保证合同签订前提供的车辆保险险种、限额达到上述要求，否则投标人承担由此产生的所有责任。</w:t>
            </w:r>
            <w:r/>
          </w:p>
        </w:tc>
        <w:tc>
          <w:tcPr>
            <w:tcW w:w="190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620"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bl>
    <w:p>
      <w:pP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备注</w:t>
      </w:r>
      <w:r>
        <w:rPr>
          <w:rFonts w:ascii="宋体" w:hAnsi="宋体"/>
          <w:color w:val="000000" w:themeColor="text1"/>
          <w:sz w:val="24"/>
          <w:szCs w:val="24"/>
          <w14:textFill>
            <w14:solidFill>
              <w14:schemeClr w14:val="tx1"/>
            </w14:solidFill>
          </w14:textFill>
        </w:rPr>
        <w:t xml:space="preserve">：</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1.投标人必须</w:t>
      </w:r>
      <w:r>
        <w:rPr>
          <w:rFonts w:ascii="宋体" w:hAnsi="宋体"/>
          <w:color w:val="000000" w:themeColor="text1"/>
          <w:sz w:val="24"/>
          <w:szCs w:val="24"/>
          <w14:textFill>
            <w14:solidFill>
              <w14:schemeClr w14:val="tx1"/>
            </w14:solidFill>
          </w14:textFill>
        </w:rPr>
        <w:t xml:space="preserve">对技术</w:t>
      </w:r>
      <w:r>
        <w:rPr>
          <w:rFonts w:hint="eastAsia" w:ascii="宋体" w:hAnsi="宋体"/>
          <w:color w:val="000000" w:themeColor="text1"/>
          <w:sz w:val="24"/>
          <w:szCs w:val="24"/>
          <w14:textFill>
            <w14:solidFill>
              <w14:schemeClr w14:val="tx1"/>
            </w14:solidFill>
          </w14:textFill>
        </w:rPr>
        <w:t xml:space="preserve">要求</w:t>
      </w:r>
      <w:r>
        <w:rPr>
          <w:rFonts w:ascii="宋体" w:hAnsi="宋体"/>
          <w:color w:val="000000" w:themeColor="text1"/>
          <w:sz w:val="24"/>
          <w:szCs w:val="24"/>
          <w14:textFill>
            <w14:solidFill>
              <w14:schemeClr w14:val="tx1"/>
            </w14:solidFill>
          </w14:textFill>
        </w:rPr>
        <w:t xml:space="preserve">和商务要求中的实质性要求逐条做出明确响应</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否则作无效投标处理</w:t>
      </w:r>
      <w:r>
        <w:rPr>
          <w:rFonts w:ascii="宋体" w:hAnsi="宋体"/>
          <w:color w:val="000000" w:themeColor="text1"/>
          <w:sz w:val="24"/>
          <w14:textFill>
            <w14:solidFill>
              <w14:schemeClr w14:val="tx1"/>
            </w14:solidFill>
          </w14:textFill>
        </w:rPr>
        <w:t xml:space="preserve">。</w:t>
      </w:r>
      <w:r/>
    </w:p>
    <w:p>
      <w:pPr>
        <w:ind w:firstLine="480"/>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.投标人未对实质性要求逐条作出明确响应的，或未按招标文件要求提供证明材料（如有）的，该项目作无效投标处理。</w:t>
      </w:r>
      <w:r/>
    </w:p>
    <w:p>
      <w:pPr>
        <w:pStyle w:val="694"/>
      </w:pPr>
      <w:r>
        <w:br w:type="page" w:clear="all"/>
      </w:r>
      <w:r/>
    </w:p>
    <w:p>
      <w:pPr>
        <w:ind w:firstLine="562"/>
        <w:jc w:val="center"/>
        <w:spacing w:line="440" w:lineRule="exact"/>
        <w:rPr>
          <w:rFonts w:ascii="Times New Roman" w:hAnsi="Times New Roman"/>
          <w:b/>
          <w:bCs/>
          <w:color w:val="000000" w:themeColor="text1"/>
          <w:sz w:val="28"/>
          <w:szCs w:val="28"/>
          <w14:textFill>
            <w14:solidFill>
              <w14:schemeClr w14:val="tx1"/>
            </w14:solidFill>
          </w14:textFill>
        </w:rPr>
        <w:outlineLvl w:val="1"/>
      </w:pPr>
      <w:r/>
      <w:bookmarkStart w:id="259" w:name="_Toc75700861"/>
      <w:r/>
      <w:bookmarkStart w:id="260" w:name="_Toc133395929"/>
      <w:r/>
      <w:bookmarkStart w:id="261" w:name="_Toc228349856"/>
      <w:r/>
      <w:bookmarkStart w:id="262" w:name="_Toc524946938"/>
      <w:r/>
      <w:bookmarkStart w:id="263" w:name="_Toc525724792"/>
      <w:r/>
      <w:bookmarkStart w:id="264" w:name="_Toc525220773"/>
      <w:r>
        <w:rPr>
          <w:rFonts w:hint="eastAsia" w:ascii="Times New Roman" w:hAnsi="Times New Roman"/>
          <w:b/>
          <w:bCs/>
          <w:color w:val="000000" w:themeColor="text1"/>
          <w:sz w:val="28"/>
          <w:szCs w:val="28"/>
          <w14:textFill>
            <w14:solidFill>
              <w14:schemeClr w14:val="tx1"/>
            </w14:solidFill>
          </w14:textFill>
        </w:rPr>
        <w:t xml:space="preserve">附件15 </w:t>
      </w:r>
      <w:bookmarkEnd w:id="259"/>
      <w:r/>
      <w:bookmarkEnd w:id="260"/>
      <w:r>
        <w:rPr>
          <w:rFonts w:hint="eastAsia" w:ascii="Times New Roman" w:hAnsi="Times New Roman"/>
          <w:b/>
          <w:bCs/>
          <w:color w:val="000000" w:themeColor="text1"/>
          <w:sz w:val="28"/>
          <w:szCs w:val="28"/>
          <w14:textFill>
            <w14:solidFill>
              <w14:schemeClr w14:val="tx1"/>
            </w14:solidFill>
          </w14:textFill>
        </w:rPr>
        <w:t xml:space="preserve">承 诺 函</w:t>
      </w:r>
      <w:bookmarkEnd w:id="261"/>
      <w:r/>
      <w:r/>
    </w:p>
    <w:p>
      <w:pPr>
        <w:spacing w:line="460" w:lineRule="exact"/>
        <w:rPr>
          <w:rFonts w:ascii="宋体" w:hAnsi="宋体"/>
          <w:bCs/>
          <w:sz w:val="24"/>
        </w:rPr>
      </w:pPr>
      <w:r>
        <w:rPr>
          <w:rFonts w:hint="eastAsia" w:ascii="宋体" w:hAnsi="宋体"/>
          <w:bCs/>
          <w:sz w:val="24"/>
        </w:rPr>
        <w:t xml:space="preserve">本单位郑重承诺：</w:t>
      </w:r>
      <w:r/>
    </w:p>
    <w:p>
      <w:pPr>
        <w:ind w:firstLine="480"/>
        <w:spacing w:line="460" w:lineRule="exact"/>
        <w:rPr>
          <w:rFonts w:ascii="宋体" w:hAnsi="宋体"/>
          <w:bCs/>
          <w:sz w:val="24"/>
        </w:rPr>
      </w:pPr>
      <w:r>
        <w:rPr>
          <w:rFonts w:hint="eastAsia" w:ascii="宋体" w:hAnsi="宋体"/>
          <w:bCs/>
          <w:sz w:val="24"/>
        </w:rPr>
        <w:t xml:space="preserve">1.</w:t>
      </w:r>
      <w:r>
        <w:rPr>
          <w:rFonts w:ascii="宋体" w:hAnsi="宋体"/>
          <w:bCs/>
          <w:sz w:val="24"/>
        </w:rPr>
        <w:t xml:space="preserve"> </w:t>
      </w:r>
      <w:r>
        <w:rPr>
          <w:rFonts w:hint="eastAsia" w:ascii="宋体" w:hAnsi="宋体"/>
          <w:bCs/>
          <w:sz w:val="24"/>
        </w:rPr>
        <w:t xml:space="preserve">具备履行本项采购活动所必需的设备/服务和专业技术能力；</w:t>
      </w:r>
      <w:r/>
    </w:p>
    <w:p>
      <w:pPr>
        <w:ind w:firstLine="480"/>
        <w:spacing w:line="460" w:lineRule="exact"/>
        <w:rPr>
          <w:rFonts w:ascii="宋体" w:hAnsi="宋体"/>
          <w:bCs/>
          <w:sz w:val="24"/>
        </w:rPr>
      </w:pPr>
      <w:r>
        <w:rPr>
          <w:rFonts w:ascii="宋体" w:hAnsi="宋体"/>
          <w:bCs/>
          <w:sz w:val="24"/>
        </w:rPr>
        <w:t xml:space="preserve">2</w:t>
      </w:r>
      <w:r>
        <w:rPr>
          <w:rFonts w:hint="eastAsia" w:ascii="宋体" w:hAnsi="宋体"/>
          <w:bCs/>
          <w:sz w:val="24"/>
        </w:rPr>
        <w:t xml:space="preserve">.</w:t>
      </w:r>
      <w:r>
        <w:rPr>
          <w:rFonts w:ascii="宋体" w:hAnsi="宋体"/>
          <w:bCs/>
          <w:sz w:val="24"/>
        </w:rPr>
        <w:t xml:space="preserve"> </w:t>
      </w:r>
      <w:r>
        <w:rPr>
          <w:rFonts w:hint="eastAsia" w:ascii="宋体" w:hAnsi="宋体"/>
          <w:bCs/>
          <w:sz w:val="24"/>
        </w:rPr>
        <w:t xml:space="preserve">参加本项采购活动前3年内，我单位在经营活动中没有因违法经营受到刑事处罚或者责令停产停业、吊销许可证或者执照、较大数额罚款等行政处罚；</w:t>
      </w:r>
      <w:r/>
    </w:p>
    <w:p>
      <w:pPr>
        <w:ind w:firstLine="480"/>
        <w:spacing w:line="460" w:lineRule="exact"/>
        <w:rPr>
          <w:rFonts w:ascii="宋体" w:hAnsi="宋体"/>
          <w:bCs/>
          <w:sz w:val="24"/>
        </w:rPr>
      </w:pPr>
      <w:r>
        <w:rPr>
          <w:rFonts w:hint="eastAsia" w:ascii="宋体" w:hAnsi="宋体"/>
          <w:bCs/>
          <w:sz w:val="24"/>
        </w:rPr>
        <w:t xml:space="preserve">3.</w:t>
      </w:r>
      <w:r>
        <w:rPr>
          <w:rFonts w:ascii="宋体" w:hAnsi="宋体"/>
          <w:bCs/>
          <w:sz w:val="24"/>
        </w:rPr>
        <w:t xml:space="preserve"> </w:t>
      </w:r>
      <w:r>
        <w:rPr>
          <w:rFonts w:hint="eastAsia" w:ascii="宋体" w:hAnsi="宋体"/>
          <w:bCs/>
          <w:sz w:val="24"/>
        </w:rPr>
        <w:t xml:space="preserve">本项采购活动中不存在“单位负责人为同一人或者存在直接控股、管理关系的不同供应商”等恶意串通投标行为；</w:t>
      </w:r>
      <w:r/>
    </w:p>
    <w:p>
      <w:pPr>
        <w:ind w:firstLine="480"/>
        <w:spacing w:line="460" w:lineRule="exact"/>
        <w:rPr>
          <w:rFonts w:ascii="宋体" w:hAnsi="宋体"/>
          <w:bCs/>
          <w:sz w:val="24"/>
        </w:rPr>
      </w:pPr>
      <w:r>
        <w:rPr>
          <w:rFonts w:hint="eastAsia" w:ascii="宋体" w:hAnsi="宋体"/>
          <w:bCs/>
          <w:sz w:val="24"/>
        </w:rPr>
        <w:t xml:space="preserve">4.</w:t>
      </w:r>
      <w:r>
        <w:rPr>
          <w:rFonts w:ascii="宋体" w:hAnsi="宋体"/>
          <w:bCs/>
          <w:sz w:val="24"/>
        </w:rPr>
        <w:t xml:space="preserve"> </w:t>
      </w:r>
      <w:r>
        <w:rPr>
          <w:rFonts w:hint="eastAsia" w:ascii="宋体" w:hAnsi="宋体"/>
          <w:bCs/>
          <w:sz w:val="24"/>
        </w:rPr>
        <w:t xml:space="preserve">参加本项采购活动不存在违反《中华人民共和国政府采购法》及其实施条例等有关法律法规行为；</w:t>
      </w:r>
      <w:r/>
    </w:p>
    <w:p>
      <w:pPr>
        <w:ind w:firstLine="480"/>
        <w:spacing w:line="460" w:lineRule="exact"/>
        <w:rPr>
          <w:rFonts w:ascii="宋体" w:hAnsi="宋体"/>
          <w:bCs/>
          <w:sz w:val="24"/>
        </w:rPr>
      </w:pPr>
      <w:r>
        <w:rPr>
          <w:rFonts w:hint="eastAsia" w:ascii="宋体" w:hAnsi="宋体"/>
          <w:bCs/>
          <w:sz w:val="24"/>
        </w:rPr>
        <w:t xml:space="preserve">5</w:t>
      </w:r>
      <w:r>
        <w:rPr>
          <w:rFonts w:ascii="宋体" w:hAnsi="宋体"/>
          <w:bCs/>
          <w:sz w:val="24"/>
        </w:rPr>
        <w:t xml:space="preserve">. </w:t>
      </w:r>
      <w:r>
        <w:rPr>
          <w:rFonts w:hint="eastAsia" w:ascii="宋体" w:hAnsi="宋体"/>
          <w:bCs/>
          <w:sz w:val="24"/>
        </w:rPr>
        <w:t xml:space="preserve">所提供的投标材料均真实、有效；</w:t>
      </w:r>
      <w:r/>
    </w:p>
    <w:p>
      <w:pPr>
        <w:ind w:firstLine="480"/>
        <w:spacing w:line="460" w:lineRule="exact"/>
        <w:rPr>
          <w:rFonts w:ascii="宋体" w:hAnsi="宋体"/>
          <w:bCs/>
          <w:sz w:val="24"/>
        </w:rPr>
      </w:pPr>
      <w:r>
        <w:rPr>
          <w:rFonts w:ascii="宋体" w:hAnsi="宋体"/>
          <w:bCs/>
          <w:sz w:val="24"/>
        </w:rPr>
        <w:t xml:space="preserve">6. </w:t>
      </w:r>
      <w:r>
        <w:rPr>
          <w:rFonts w:hint="eastAsia" w:ascii="宋体" w:hAnsi="宋体"/>
          <w:bCs/>
          <w:sz w:val="24"/>
        </w:rPr>
        <w:t xml:space="preserve">如果我单位经本项目评审委员会推荐为中标（成交）候选人，在公示期间被他人举报并经核实，确认我单位违反以上承诺内容之一，我单位自动放弃中标（成交）资格，三年内不参加贵单位任何经济活动。</w:t>
      </w:r>
      <w:r/>
    </w:p>
    <w:p>
      <w:pPr>
        <w:spacing w:line="460" w:lineRule="exact"/>
        <w:rPr>
          <w:rFonts w:ascii="宋体" w:hAnsi="宋体"/>
          <w:bCs/>
          <w:sz w:val="24"/>
        </w:rPr>
      </w:pPr>
      <w:r>
        <w:rPr>
          <w:rFonts w:ascii="宋体" w:hAnsi="宋体"/>
          <w:bCs/>
          <w:sz w:val="24"/>
        </w:rPr>
      </w:r>
      <w:r/>
    </w:p>
    <w:p>
      <w:pPr>
        <w:ind w:firstLine="480"/>
        <w:jc w:val="left"/>
        <w:widowControl/>
        <w:rPr>
          <w:color w:val="000000"/>
          <w:sz w:val="24"/>
          <w:szCs w:val="24"/>
        </w:rPr>
      </w:pPr>
      <w:r>
        <w:rPr>
          <w:rFonts w:ascii="宋体" w:hAnsi="宋体" w:cs="宋体"/>
          <w:sz w:val="24"/>
        </w:rPr>
        <w:t xml:space="preserve">本</w:t>
      </w:r>
      <w:r>
        <w:rPr>
          <w:rFonts w:hint="eastAsia" w:ascii="宋体" w:hAnsi="宋体" w:cs="宋体"/>
          <w:sz w:val="24"/>
        </w:rPr>
        <w:t xml:space="preserve">单位</w:t>
      </w:r>
      <w:r>
        <w:rPr>
          <w:rFonts w:ascii="宋体" w:hAnsi="宋体" w:cs="宋体"/>
          <w:sz w:val="24"/>
        </w:rPr>
        <w:t xml:space="preserve">对上述</w:t>
      </w:r>
      <w:r>
        <w:rPr>
          <w:rFonts w:hint="eastAsia" w:ascii="宋体" w:hAnsi="宋体" w:cs="宋体"/>
          <w:sz w:val="24"/>
        </w:rPr>
        <w:t xml:space="preserve">承诺</w:t>
      </w:r>
      <w:r>
        <w:rPr>
          <w:rFonts w:ascii="宋体" w:hAnsi="宋体" w:cs="宋体"/>
          <w:sz w:val="24"/>
        </w:rPr>
        <w:t xml:space="preserve">的真实性负责。如有虚假，将依法承担相应责任</w:t>
      </w:r>
      <w:r>
        <w:rPr>
          <w:rFonts w:hint="eastAsia"/>
          <w:color w:val="000000"/>
          <w:sz w:val="24"/>
          <w:szCs w:val="24"/>
        </w:rPr>
        <w:t xml:space="preserve">。</w:t>
      </w:r>
      <w:r/>
    </w:p>
    <w:p>
      <w:pPr>
        <w:spacing w:line="480" w:lineRule="auto"/>
        <w:rPr>
          <w:rFonts w:ascii="宋体" w:hAnsi="宋体"/>
          <w:color w:val="000000"/>
          <w:sz w:val="24"/>
          <w:szCs w:val="24"/>
        </w:rPr>
      </w:pPr>
      <w:r>
        <w:rPr>
          <w:rFonts w:ascii="宋体" w:hAnsi="宋体"/>
          <w:color w:val="000000"/>
          <w:sz w:val="24"/>
          <w:szCs w:val="24"/>
        </w:rPr>
      </w:r>
      <w:r/>
    </w:p>
    <w:p>
      <w:pPr>
        <w:spacing w:line="480" w:lineRule="auto"/>
        <w:rPr>
          <w:rFonts w:ascii="宋体" w:hAnsi="宋体"/>
          <w:color w:val="000000"/>
          <w:sz w:val="24"/>
          <w:szCs w:val="24"/>
        </w:rPr>
      </w:pPr>
      <w:r>
        <w:rPr>
          <w:rFonts w:ascii="宋体" w:hAnsi="宋体"/>
          <w:color w:val="000000"/>
          <w:sz w:val="24"/>
          <w:szCs w:val="24"/>
        </w:rPr>
      </w:r>
      <w:r/>
    </w:p>
    <w:p>
      <w:pPr>
        <w:ind w:firstLine="4216"/>
        <w:spacing w:line="360" w:lineRule="auto"/>
        <w:rPr>
          <w:rFonts w:ascii="宋体" w:hAnsi="宋体"/>
          <w:b/>
          <w:color w:val="000000"/>
          <w:sz w:val="24"/>
          <w:szCs w:val="24"/>
        </w:rPr>
      </w:pPr>
      <w:r>
        <w:rPr>
          <w:rFonts w:hint="eastAsia" w:ascii="宋体" w:hAnsi="宋体"/>
          <w:b/>
          <w:color w:val="000000"/>
          <w:sz w:val="24"/>
          <w:szCs w:val="24"/>
        </w:rPr>
        <w:t xml:space="preserve">投标人（加盖CA电子公章）</w:t>
      </w:r>
      <w:r>
        <w:rPr>
          <w:rFonts w:ascii="宋体" w:hAnsi="宋体"/>
          <w:b/>
          <w:color w:val="000000"/>
          <w:sz w:val="24"/>
          <w:szCs w:val="24"/>
        </w:rPr>
        <w:t xml:space="preserve">：</w:t>
      </w:r>
      <w:r/>
    </w:p>
    <w:p>
      <w:pPr>
        <w:ind w:firstLine="4216"/>
        <w:spacing w:line="360" w:lineRule="auto"/>
        <w:rPr>
          <w:rFonts w:ascii="宋体" w:hAnsi="宋体"/>
          <w:b/>
          <w:color w:val="000000"/>
          <w:sz w:val="24"/>
          <w:szCs w:val="24"/>
        </w:rPr>
      </w:pPr>
      <w:r>
        <w:rPr>
          <w:rFonts w:ascii="宋体" w:hAnsi="宋体"/>
          <w:b/>
          <w:color w:val="000000"/>
          <w:sz w:val="24"/>
          <w:szCs w:val="24"/>
        </w:rPr>
        <w:t xml:space="preserve">日期：</w:t>
      </w:r>
      <w:r>
        <w:rPr>
          <w:rFonts w:hint="eastAsia" w:ascii="宋体" w:hAnsi="宋体"/>
          <w:b/>
          <w:color w:val="000000"/>
          <w:sz w:val="24"/>
          <w:szCs w:val="24"/>
        </w:rPr>
        <w:t xml:space="preserve"> </w:t>
      </w:r>
      <w:bookmarkEnd w:id="262"/>
      <w:r/>
      <w:bookmarkEnd w:id="263"/>
      <w:r/>
      <w:bookmarkEnd w:id="264"/>
      <w:r/>
      <w:r/>
    </w:p>
    <w:p>
      <w:pPr>
        <w:pStyle w:val="693"/>
        <w:ind w:firstLine="0"/>
      </w:pPr>
      <w:r>
        <w:br w:type="page" w:clear="all"/>
      </w:r>
      <w:r/>
    </w:p>
    <w:p>
      <w:pPr>
        <w:ind w:firstLine="562"/>
        <w:jc w:val="center"/>
        <w:spacing w:line="440" w:lineRule="exact"/>
        <w:rPr>
          <w:rFonts w:ascii="Times New Roman" w:hAnsi="Times New Roman"/>
          <w:b/>
          <w:bCs/>
          <w:color w:val="000000" w:themeColor="text1"/>
          <w:sz w:val="28"/>
          <w:szCs w:val="28"/>
          <w14:textFill>
            <w14:solidFill>
              <w14:schemeClr w14:val="tx1"/>
            </w14:solidFill>
          </w14:textFill>
        </w:rPr>
        <w:outlineLvl w:val="1"/>
      </w:pPr>
      <w:r/>
      <w:bookmarkStart w:id="265" w:name="_Toc228349857"/>
      <w:r>
        <w:rPr>
          <w:rFonts w:hint="eastAsia" w:ascii="Times New Roman" w:hAnsi="Times New Roman"/>
          <w:b/>
          <w:bCs/>
          <w:color w:val="000000" w:themeColor="text1"/>
          <w:sz w:val="28"/>
          <w:szCs w:val="28"/>
          <w14:textFill>
            <w14:solidFill>
              <w14:schemeClr w14:val="tx1"/>
            </w14:solidFill>
          </w14:textFill>
        </w:rPr>
        <w:t xml:space="preserve">附件16 企业关联信息证明材料</w:t>
      </w:r>
      <w:bookmarkEnd w:id="265"/>
      <w:r/>
      <w:r/>
    </w:p>
    <w:p>
      <w:pPr>
        <w:spacing w:line="460" w:lineRule="exact"/>
        <w:rPr>
          <w:rFonts w:ascii="宋体" w:hAnsi="宋体"/>
          <w:b/>
          <w:sz w:val="24"/>
        </w:rPr>
      </w:pPr>
      <w:r>
        <w:rPr>
          <w:rFonts w:hint="eastAsia" w:ascii="宋体" w:hAnsi="宋体"/>
          <w:b/>
          <w:sz w:val="24"/>
        </w:rPr>
        <w:t xml:space="preserve">投标人须提供国家企业信用信息公示系统、企查查或天眼查等企业信息查询平台的查询页面完整截图，并对查询结果中体现的与其他企业、个人存在控股、管理关系的情况如实作出对应的文字说明（如提供虚假材料，则一切后果由投标人自负）。</w:t>
      </w:r>
      <w:r/>
    </w:p>
    <w:p>
      <w:pPr>
        <w:spacing w:line="480" w:lineRule="auto"/>
        <w:rPr>
          <w:rFonts w:ascii="宋体" w:hAnsi="宋体"/>
          <w:color w:val="000000"/>
          <w:sz w:val="24"/>
          <w:szCs w:val="24"/>
        </w:rPr>
      </w:pPr>
      <w:r>
        <w:rPr>
          <w:rFonts w:ascii="宋体" w:hAnsi="宋体"/>
          <w:color w:val="000000"/>
          <w:sz w:val="24"/>
          <w:szCs w:val="24"/>
        </w:rPr>
      </w:r>
      <w:r/>
    </w:p>
    <w:p>
      <w:pPr>
        <w:ind w:firstLine="4216"/>
        <w:spacing w:line="360" w:lineRule="auto"/>
        <w:rPr>
          <w:rFonts w:ascii="宋体" w:hAnsi="宋体"/>
          <w:b/>
          <w:color w:val="000000"/>
          <w:sz w:val="24"/>
          <w:szCs w:val="24"/>
        </w:rPr>
      </w:pPr>
      <w:r>
        <w:rPr>
          <w:rFonts w:hint="eastAsia" w:ascii="宋体" w:hAnsi="宋体"/>
          <w:b/>
          <w:color w:val="000000"/>
          <w:sz w:val="24"/>
          <w:szCs w:val="24"/>
        </w:rPr>
        <w:t xml:space="preserve">投标人</w:t>
      </w:r>
      <w:r>
        <w:rPr>
          <w:rFonts w:ascii="宋体" w:hAnsi="宋体"/>
          <w:b/>
          <w:color w:val="000000"/>
          <w:sz w:val="24"/>
          <w:szCs w:val="24"/>
        </w:rPr>
        <w:t xml:space="preserve">：</w:t>
      </w:r>
      <w:r/>
    </w:p>
    <w:p>
      <w:pPr>
        <w:ind w:firstLine="4216"/>
        <w:spacing w:line="360" w:lineRule="auto"/>
        <w:rPr>
          <w:rFonts w:ascii="宋体" w:hAnsi="宋体"/>
          <w:b/>
          <w:color w:val="000000"/>
          <w:sz w:val="24"/>
          <w:szCs w:val="24"/>
        </w:rPr>
      </w:pPr>
      <w:r>
        <w:rPr>
          <w:rFonts w:ascii="宋体" w:hAnsi="宋体"/>
          <w:b/>
          <w:color w:val="000000"/>
          <w:sz w:val="24"/>
          <w:szCs w:val="24"/>
        </w:rPr>
        <w:t xml:space="preserve">日期：</w:t>
      </w:r>
      <w:r>
        <w:rPr>
          <w:rFonts w:hint="eastAsia" w:ascii="宋体" w:hAnsi="宋体"/>
          <w:b/>
          <w:color w:val="000000"/>
          <w:sz w:val="24"/>
          <w:szCs w:val="24"/>
        </w:rPr>
        <w:t xml:space="preserve"> </w:t>
      </w:r>
      <w:r/>
    </w:p>
    <w:p>
      <w:pPr>
        <w:pStyle w:val="695"/>
        <w:ind w:firstLine="0"/>
      </w:pPr>
      <w:r>
        <w:br w:type="page" w:clear="all"/>
      </w:r>
      <w:r/>
    </w:p>
    <w:p>
      <w:pPr>
        <w:ind w:firstLine="562"/>
        <w:jc w:val="center"/>
        <w:spacing w:line="440" w:lineRule="exact"/>
        <w:rPr>
          <w:rFonts w:ascii="Times New Roman" w:hAnsi="Times New Roman"/>
          <w:b/>
          <w:bCs/>
          <w:color w:val="000000" w:themeColor="text1"/>
          <w:sz w:val="28"/>
          <w:szCs w:val="28"/>
          <w14:textFill>
            <w14:solidFill>
              <w14:schemeClr w14:val="tx1"/>
            </w14:solidFill>
          </w14:textFill>
        </w:rPr>
        <w:outlineLvl w:val="1"/>
      </w:pPr>
      <w:r/>
      <w:bookmarkStart w:id="266" w:name="_Toc228349858"/>
      <w:r>
        <w:rPr>
          <w:rFonts w:hint="eastAsia" w:ascii="Times New Roman" w:hAnsi="Times New Roman"/>
          <w:b/>
          <w:bCs/>
          <w:color w:val="000000" w:themeColor="text1"/>
          <w:sz w:val="28"/>
          <w:szCs w:val="28"/>
          <w14:textFill>
            <w14:solidFill>
              <w14:schemeClr w14:val="tx1"/>
            </w14:solidFill>
          </w14:textFill>
        </w:rPr>
        <w:t xml:space="preserve">附件17 校内用车年度考核评分表</w:t>
      </w:r>
      <w:bookmarkEnd w:id="266"/>
      <w:r/>
      <w:r/>
    </w:p>
    <w:tbl>
      <w:tblPr>
        <w:tblStyle w:val="689"/>
        <w:tblW w:w="10622"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508"/>
        <w:gridCol w:w="1084"/>
        <w:gridCol w:w="1650"/>
        <w:gridCol w:w="1485"/>
        <w:gridCol w:w="3840"/>
        <w:gridCol w:w="2055"/>
      </w:tblGrid>
      <w:tr>
        <w:trPr>
          <w:trHeight w:val="1150"/>
        </w:trPr>
        <w:tc>
          <w:tcPr>
            <w:shd w:val="clear" w:color="auto" w:fill="auto"/>
            <w:tcBorders>
              <w:bottom w:val="single" w:color="000000" w:sz="4" w:space="0"/>
              <w:right w:val="single" w:color="000000" w:sz="4" w:space="0"/>
            </w:tcBorders>
            <w:tcW w:w="508" w:type="dxa"/>
            <w:vAlign w:val="center"/>
            <w:textDirection w:val="lrTb"/>
            <w:noWrap w:val="false"/>
          </w:tcPr>
          <w:p>
            <w:pPr>
              <w:jc w:val="center"/>
              <w:widowControl/>
              <w:rPr>
                <w:rFonts w:ascii="宋体" w:hAnsi="宋体" w:cs="宋体"/>
                <w:b/>
                <w:color w:val="000000"/>
                <w:sz w:val="24"/>
                <w:szCs w:val="24"/>
              </w:rPr>
            </w:pPr>
            <w:r>
              <w:rPr>
                <w:rFonts w:hint="eastAsia" w:ascii="宋体" w:hAnsi="宋体" w:cs="宋体"/>
                <w:b/>
                <w:color w:val="000000"/>
                <w:sz w:val="24"/>
                <w:szCs w:val="24"/>
                <w:lang w:bidi="ar"/>
              </w:rPr>
              <w:t xml:space="preserve">年度</w:t>
            </w:r>
            <w:r/>
          </w:p>
        </w:tc>
        <w:tc>
          <w:tcPr>
            <w:shd w:val="clear" w:color="auto" w:fill="auto"/>
            <w:tcBorders>
              <w:left w:val="single" w:color="000000" w:sz="4" w:space="0"/>
              <w:bottom w:val="single" w:color="000000" w:sz="4" w:space="0"/>
              <w:right w:val="single" w:color="000000" w:sz="4" w:space="0"/>
            </w:tcBorders>
            <w:tcW w:w="1084" w:type="dxa"/>
            <w:vAlign w:val="center"/>
            <w:textDirection w:val="lrTb"/>
            <w:noWrap w:val="false"/>
          </w:tcPr>
          <w:p>
            <w:pPr>
              <w:jc w:val="center"/>
              <w:widowControl/>
              <w:rPr>
                <w:rFonts w:ascii="宋体" w:hAnsi="宋体" w:cs="宋体"/>
                <w:b/>
                <w:color w:val="000000"/>
                <w:sz w:val="24"/>
                <w:szCs w:val="24"/>
              </w:rPr>
            </w:pPr>
            <w:r>
              <w:rPr>
                <w:rFonts w:hint="eastAsia" w:ascii="宋体" w:hAnsi="宋体" w:cs="宋体"/>
                <w:b/>
                <w:color w:val="000000"/>
                <w:sz w:val="24"/>
                <w:szCs w:val="24"/>
                <w:lang w:bidi="ar"/>
              </w:rPr>
              <w:t xml:space="preserve">租车公司</w:t>
            </w:r>
            <w:r/>
          </w:p>
        </w:tc>
        <w:tc>
          <w:tcPr>
            <w:shd w:val="clear" w:color="auto" w:fill="auto"/>
            <w:tcBorders>
              <w:left w:val="single" w:color="000000" w:sz="4" w:space="0"/>
              <w:bottom w:val="single" w:color="000000" w:sz="4" w:space="0"/>
              <w:right w:val="single" w:color="000000" w:sz="4" w:space="0"/>
            </w:tcBorders>
            <w:tcW w:w="1650" w:type="dxa"/>
            <w:vAlign w:val="center"/>
            <w:textDirection w:val="lrTb"/>
            <w:noWrap w:val="false"/>
          </w:tcPr>
          <w:p>
            <w:pPr>
              <w:jc w:val="center"/>
              <w:widowControl/>
              <w:rPr>
                <w:rFonts w:ascii="宋体" w:hAnsi="宋体" w:cs="宋体"/>
                <w:b/>
                <w:color w:val="000000"/>
                <w:sz w:val="24"/>
                <w:szCs w:val="24"/>
              </w:rPr>
            </w:pPr>
            <w:r>
              <w:rPr>
                <w:rFonts w:hint="eastAsia" w:ascii="宋体" w:hAnsi="宋体" w:cs="宋体"/>
                <w:b/>
                <w:color w:val="000000"/>
                <w:sz w:val="24"/>
                <w:szCs w:val="24"/>
                <w:lang w:bidi="ar"/>
              </w:rPr>
              <w:t xml:space="preserve">评分要素</w:t>
            </w:r>
            <w:r/>
          </w:p>
        </w:tc>
        <w:tc>
          <w:tcPr>
            <w:shd w:val="clear" w:color="auto" w:fill="auto"/>
            <w:tcBorders>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ascii="宋体" w:hAnsi="宋体" w:cs="宋体"/>
                <w:b/>
                <w:color w:val="000000"/>
                <w:sz w:val="24"/>
                <w:szCs w:val="24"/>
                <w:lang w:bidi="ar"/>
              </w:rPr>
            </w:pPr>
            <w:r>
              <w:rPr>
                <w:rFonts w:hint="eastAsia" w:ascii="宋体" w:hAnsi="宋体" w:cs="宋体"/>
                <w:b/>
                <w:color w:val="000000"/>
                <w:sz w:val="24"/>
                <w:szCs w:val="24"/>
                <w:lang w:bidi="ar"/>
              </w:rPr>
              <w:t xml:space="preserve">分值</w:t>
            </w:r>
            <w:r/>
          </w:p>
          <w:p>
            <w:pPr>
              <w:jc w:val="center"/>
              <w:widowControl/>
              <w:rPr>
                <w:rFonts w:ascii="宋体" w:hAnsi="宋体" w:cs="宋体"/>
                <w:b/>
                <w:color w:val="000000"/>
                <w:sz w:val="24"/>
                <w:szCs w:val="24"/>
              </w:rPr>
            </w:pPr>
            <w:r>
              <w:rPr>
                <w:rFonts w:hint="eastAsia" w:ascii="宋体" w:hAnsi="宋体" w:cs="宋体"/>
                <w:b/>
                <w:color w:val="000000"/>
                <w:sz w:val="24"/>
                <w:szCs w:val="24"/>
                <w:lang w:bidi="ar"/>
              </w:rPr>
              <w:t xml:space="preserve">（合计100）</w:t>
            </w:r>
            <w:r/>
          </w:p>
        </w:tc>
        <w:tc>
          <w:tcPr>
            <w:shd w:val="clear" w:color="auto" w:fill="auto"/>
            <w:tcBorders>
              <w:left w:val="single" w:color="000000" w:sz="4" w:space="0"/>
              <w:bottom w:val="single" w:color="000000" w:sz="4" w:space="0"/>
              <w:right w:val="single" w:color="000000" w:sz="4" w:space="0"/>
            </w:tcBorders>
            <w:tcW w:w="3840" w:type="dxa"/>
            <w:vAlign w:val="center"/>
            <w:textDirection w:val="lrTb"/>
            <w:noWrap w:val="false"/>
          </w:tcPr>
          <w:p>
            <w:pPr>
              <w:jc w:val="center"/>
              <w:widowControl/>
              <w:rPr>
                <w:rFonts w:ascii="宋体" w:hAnsi="宋体" w:cs="宋体"/>
                <w:b/>
                <w:color w:val="000000"/>
                <w:sz w:val="24"/>
                <w:szCs w:val="24"/>
              </w:rPr>
            </w:pPr>
            <w:r>
              <w:rPr>
                <w:rFonts w:hint="eastAsia" w:ascii="宋体" w:hAnsi="宋体" w:cs="宋体"/>
                <w:b/>
                <w:color w:val="000000"/>
                <w:sz w:val="24"/>
                <w:szCs w:val="24"/>
                <w:lang w:bidi="ar"/>
              </w:rPr>
              <w:t xml:space="preserve">评分标准</w:t>
            </w:r>
            <w:r/>
          </w:p>
        </w:tc>
        <w:tc>
          <w:tcPr>
            <w:shd w:val="clear" w:color="auto" w:fill="auto"/>
            <w:tcBorders>
              <w:left w:val="single" w:color="000000" w:sz="4" w:space="0"/>
              <w:bottom w:val="single" w:color="000000" w:sz="4" w:space="0"/>
            </w:tcBorders>
            <w:tcW w:w="2055" w:type="dxa"/>
            <w:vAlign w:val="center"/>
            <w:textDirection w:val="lrTb"/>
            <w:noWrap w:val="false"/>
          </w:tcPr>
          <w:p>
            <w:pPr>
              <w:jc w:val="center"/>
              <w:widowControl/>
              <w:rPr>
                <w:rFonts w:ascii="宋体" w:hAnsi="宋体" w:cs="宋体"/>
                <w:b/>
                <w:color w:val="000000"/>
                <w:sz w:val="24"/>
                <w:szCs w:val="24"/>
                <w:lang w:bidi="ar"/>
              </w:rPr>
            </w:pPr>
            <w:r>
              <w:rPr>
                <w:rFonts w:hint="eastAsia" w:ascii="宋体" w:hAnsi="宋体" w:cs="宋体"/>
                <w:b/>
                <w:color w:val="000000"/>
                <w:sz w:val="24"/>
                <w:szCs w:val="24"/>
                <w:lang w:bidi="ar"/>
              </w:rPr>
              <w:t xml:space="preserve">校内各单位打分</w:t>
            </w:r>
            <w:r/>
          </w:p>
        </w:tc>
      </w:tr>
      <w:tr>
        <w:trPr>
          <w:trHeight w:val="1351"/>
        </w:trPr>
        <w:tc>
          <w:tcPr>
            <w:shd w:val="clear" w:color="auto" w:fill="auto"/>
            <w:tcBorders>
              <w:top w:val="single" w:color="000000" w:sz="4" w:space="0"/>
              <w:right w:val="single" w:color="000000" w:sz="4" w:space="0"/>
            </w:tcBorders>
            <w:tcW w:w="508" w:type="dxa"/>
            <w:vAlign w:val="center"/>
            <w:vMerge w:val="restart"/>
            <w:textDirection w:val="lrTb"/>
            <w:noWrap w:val="false"/>
          </w:tcPr>
          <w:p>
            <w:pPr>
              <w:jc w:val="center"/>
              <w:rPr>
                <w:rFonts w:ascii="宋体" w:hAnsi="宋体" w:cs="宋体"/>
                <w:b/>
                <w:color w:val="000000"/>
                <w:sz w:val="24"/>
                <w:szCs w:val="24"/>
              </w:rPr>
            </w:pPr>
            <w:r>
              <w:rPr>
                <w:rFonts w:ascii="宋体" w:hAnsi="宋体" w:cs="宋体"/>
                <w:b/>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restart"/>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服务流程规范</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84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对用车单位整体服务流程打分，从沟通服务；派车响应；接送时长；行车安全；结算金额；乘客评价等6点打分，单点满分5分。</w:t>
            </w:r>
            <w:r/>
          </w:p>
        </w:tc>
        <w:tc>
          <w:tcPr>
            <w:shd w:val="clear" w:color="auto" w:fill="auto"/>
            <w:tcBorders>
              <w:top w:val="single" w:color="000000" w:sz="4" w:space="0"/>
              <w:left w:val="single" w:color="000000" w:sz="4" w:space="0"/>
              <w:bottom w:val="single" w:color="000000" w:sz="4" w:space="0"/>
            </w:tcBorders>
            <w:tcW w:w="2055" w:type="dxa"/>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1351"/>
        </w:trPr>
        <w:tc>
          <w:tcPr>
            <w:shd w:val="clear" w:color="auto" w:fill="auto"/>
            <w:tcBorders>
              <w:top w:val="single" w:color="000000" w:sz="4" w:space="0"/>
              <w:right w:val="single" w:color="000000" w:sz="4" w:space="0"/>
            </w:tcBorders>
            <w:tcW w:w="508" w:type="dxa"/>
            <w:vAlign w:val="center"/>
            <w:vMerge w:val="continue"/>
            <w:textDirection w:val="lrTb"/>
            <w:noWrap w:val="false"/>
          </w:tcPr>
          <w:p>
            <w:pPr>
              <w:jc w:val="center"/>
              <w:rPr>
                <w:rFonts w:ascii="宋体" w:hAnsi="宋体" w:cs="宋体"/>
                <w:b/>
                <w:color w:val="000000"/>
                <w:sz w:val="24"/>
                <w:szCs w:val="24"/>
              </w:rPr>
            </w:pPr>
            <w:r>
              <w:rPr>
                <w:rFonts w:ascii="宋体" w:hAnsi="宋体" w:cs="宋体"/>
                <w:b/>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车辆条件评估</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84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整车配件齐全；车况良好；车身整洁及车内清洁度；空调及其他设备完好；矿泉水、雨伞等配备齐全等5点打分，单点满分5分。</w:t>
            </w:r>
            <w:r/>
          </w:p>
        </w:tc>
        <w:tc>
          <w:tcPr>
            <w:shd w:val="clear" w:color="auto" w:fill="auto"/>
            <w:tcBorders>
              <w:top w:val="single" w:color="000000" w:sz="4" w:space="0"/>
              <w:left w:val="single" w:color="000000" w:sz="4" w:space="0"/>
              <w:bottom w:val="single" w:color="000000" w:sz="4" w:space="0"/>
            </w:tcBorders>
            <w:tcW w:w="2055" w:type="dxa"/>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1080"/>
        </w:trPr>
        <w:tc>
          <w:tcPr>
            <w:shd w:val="clear" w:color="auto" w:fill="auto"/>
            <w:tcBorders>
              <w:top w:val="single" w:color="000000" w:sz="4" w:space="0"/>
              <w:right w:val="single" w:color="000000" w:sz="4" w:space="0"/>
            </w:tcBorders>
            <w:tcW w:w="508" w:type="dxa"/>
            <w:vAlign w:val="center"/>
            <w:vMerge w:val="continue"/>
            <w:textDirection w:val="lrTb"/>
            <w:noWrap w:val="false"/>
          </w:tcPr>
          <w:p>
            <w:pPr>
              <w:jc w:val="center"/>
              <w:rPr>
                <w:rFonts w:ascii="宋体" w:hAnsi="宋体" w:cs="宋体"/>
                <w:b/>
                <w:color w:val="000000"/>
                <w:sz w:val="24"/>
                <w:szCs w:val="24"/>
              </w:rPr>
            </w:pPr>
            <w:r>
              <w:rPr>
                <w:rFonts w:ascii="宋体" w:hAnsi="宋体" w:cs="宋体"/>
                <w:b/>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司机素质评估</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84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司机着装；仪容仪表；礼貌周到；司机响应速度；不在车内抽烟等5点打分，单点满分5分。</w:t>
            </w:r>
            <w:r/>
          </w:p>
        </w:tc>
        <w:tc>
          <w:tcPr>
            <w:shd w:val="clear" w:color="auto" w:fill="auto"/>
            <w:tcBorders>
              <w:top w:val="single" w:color="000000" w:sz="4" w:space="0"/>
              <w:left w:val="single" w:color="000000" w:sz="4" w:space="0"/>
              <w:bottom w:val="single" w:color="000000" w:sz="4" w:space="0"/>
            </w:tcBorders>
            <w:tcW w:w="2055" w:type="dxa"/>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810"/>
        </w:trPr>
        <w:tc>
          <w:tcPr>
            <w:shd w:val="clear" w:color="auto" w:fill="auto"/>
            <w:tcBorders>
              <w:top w:val="single" w:color="000000" w:sz="4" w:space="0"/>
              <w:right w:val="single" w:color="000000" w:sz="4" w:space="0"/>
            </w:tcBorders>
            <w:tcW w:w="508" w:type="dxa"/>
            <w:vAlign w:val="center"/>
            <w:vMerge w:val="continue"/>
            <w:textDirection w:val="lrTb"/>
            <w:noWrap w:val="false"/>
          </w:tcPr>
          <w:p>
            <w:pPr>
              <w:jc w:val="center"/>
              <w:rPr>
                <w:rFonts w:ascii="宋体" w:hAnsi="宋体" w:cs="宋体"/>
                <w:b/>
                <w:color w:val="000000"/>
                <w:sz w:val="24"/>
                <w:szCs w:val="24"/>
              </w:rPr>
            </w:pPr>
            <w:r>
              <w:rPr>
                <w:rFonts w:ascii="宋体" w:hAnsi="宋体" w:cs="宋体"/>
                <w:b/>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车辆使用率</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84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使用率较高、满意度高的租车单位得6-10分，使用率一般的用车单位得3-5分。</w:t>
            </w:r>
            <w:r/>
          </w:p>
        </w:tc>
        <w:tc>
          <w:tcPr>
            <w:shd w:val="clear" w:color="auto" w:fill="auto"/>
            <w:tcBorders>
              <w:top w:val="single" w:color="000000" w:sz="4" w:space="0"/>
              <w:left w:val="single" w:color="000000" w:sz="4" w:space="0"/>
              <w:bottom w:val="single" w:color="000000" w:sz="4" w:space="0"/>
            </w:tcBorders>
            <w:tcW w:w="2055" w:type="dxa"/>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810"/>
        </w:trPr>
        <w:tc>
          <w:tcPr>
            <w:shd w:val="clear" w:color="auto" w:fill="auto"/>
            <w:tcBorders>
              <w:top w:val="single" w:color="000000" w:sz="4" w:space="0"/>
              <w:right w:val="single" w:color="000000" w:sz="4" w:space="0"/>
            </w:tcBorders>
            <w:tcW w:w="508" w:type="dxa"/>
            <w:vAlign w:val="center"/>
            <w:vMerge w:val="continue"/>
            <w:textDirection w:val="lrTb"/>
            <w:noWrap w:val="false"/>
          </w:tcPr>
          <w:p>
            <w:pPr>
              <w:jc w:val="center"/>
              <w:rPr>
                <w:rFonts w:ascii="宋体" w:hAnsi="宋体" w:cs="宋体"/>
                <w:b/>
                <w:color w:val="000000"/>
                <w:sz w:val="24"/>
                <w:szCs w:val="24"/>
              </w:rPr>
            </w:pPr>
            <w:r>
              <w:rPr>
                <w:rFonts w:ascii="宋体" w:hAnsi="宋体" w:cs="宋体"/>
                <w:b/>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投诉及事故</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84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有一起投诉扣5分，有一起事故本项不得分，无投诉及事故得满分。</w:t>
            </w:r>
            <w:r/>
          </w:p>
        </w:tc>
        <w:tc>
          <w:tcPr>
            <w:shd w:val="clear" w:color="auto" w:fill="auto"/>
            <w:tcBorders>
              <w:top w:val="single" w:color="000000" w:sz="4" w:space="0"/>
              <w:left w:val="single" w:color="000000" w:sz="4" w:space="0"/>
              <w:bottom w:val="single" w:color="000000" w:sz="4" w:space="0"/>
            </w:tcBorders>
            <w:tcW w:w="2055" w:type="dxa"/>
            <w:vAlign w:val="center"/>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525"/>
        </w:trPr>
        <w:tc>
          <w:tcPr>
            <w:shd w:val="clear" w:color="auto" w:fill="auto"/>
            <w:tcBorders>
              <w:top w:val="single" w:color="000000" w:sz="4" w:space="0"/>
              <w:right w:val="single" w:color="000000" w:sz="4" w:space="0"/>
            </w:tcBorders>
            <w:tcW w:w="508" w:type="dxa"/>
            <w:vAlign w:val="center"/>
            <w:textDirection w:val="lrTb"/>
            <w:noWrap w:val="false"/>
          </w:tcPr>
          <w:p>
            <w:pPr>
              <w:rPr>
                <w:rFonts w:ascii="宋体" w:hAnsi="宋体" w:cs="宋体"/>
                <w:b/>
                <w:color w:val="000000"/>
                <w:sz w:val="24"/>
                <w:szCs w:val="24"/>
              </w:rPr>
            </w:pPr>
            <w:r>
              <w:rPr>
                <w:rFonts w:ascii="宋体" w:hAnsi="宋体" w:cs="宋体"/>
                <w:b/>
                <w:color w:val="000000"/>
                <w:sz w:val="24"/>
                <w:szCs w:val="24"/>
              </w:rPr>
            </w:r>
            <w:r/>
          </w:p>
        </w:tc>
        <w:tc>
          <w:tcPr>
            <w:gridSpan w:val="2"/>
            <w:shd w:val="clear" w:color="auto" w:fill="auto"/>
            <w:tcBorders>
              <w:top w:val="single" w:color="000000" w:sz="4" w:space="0"/>
              <w:left w:val="single" w:color="000000" w:sz="4" w:space="0"/>
              <w:right w:val="single" w:color="000000" w:sz="4" w:space="0"/>
            </w:tcBorders>
            <w:tcW w:w="2734" w:type="dxa"/>
            <w:vAlign w:val="center"/>
            <w:textDirection w:val="lrTb"/>
            <w:noWrap w:val="false"/>
          </w:tcPr>
          <w:p>
            <w:pPr>
              <w:jc w:val="center"/>
              <w:widowControl/>
              <w:rPr>
                <w:rFonts w:ascii="宋体" w:hAnsi="宋体" w:cs="宋体"/>
                <w:b/>
                <w:color w:val="000000"/>
                <w:sz w:val="24"/>
                <w:szCs w:val="24"/>
              </w:rPr>
            </w:pPr>
            <w:r>
              <w:rPr>
                <w:rFonts w:hint="eastAsia" w:ascii="宋体" w:hAnsi="宋体" w:cs="宋体"/>
                <w:b/>
                <w:color w:val="000000"/>
                <w:sz w:val="24"/>
                <w:szCs w:val="24"/>
                <w:lang w:bidi="ar"/>
              </w:rPr>
              <w:t xml:space="preserve">总 得 分</w:t>
            </w:r>
            <w:r/>
          </w:p>
        </w:tc>
        <w:tc>
          <w:tcPr>
            <w:gridSpan w:val="2"/>
            <w:shd w:val="clear" w:color="auto" w:fill="auto"/>
            <w:tcBorders>
              <w:top w:val="single" w:color="000000" w:sz="4" w:space="0"/>
              <w:left w:val="single" w:color="000000" w:sz="4" w:space="0"/>
              <w:right w:val="single" w:color="000000" w:sz="4" w:space="0"/>
            </w:tcBorders>
            <w:tcW w:w="5325" w:type="dxa"/>
            <w:vAlign w:val="center"/>
            <w:textDirection w:val="lrTb"/>
            <w:noWrap w:val="false"/>
          </w:tcPr>
          <w:p>
            <w:pPr>
              <w:jc w:val="center"/>
              <w:rPr>
                <w:rFonts w:ascii="宋体" w:hAnsi="宋体" w:cs="宋体"/>
                <w:b/>
                <w:color w:val="000000"/>
                <w:sz w:val="24"/>
                <w:szCs w:val="24"/>
              </w:rPr>
            </w:pPr>
            <w:r>
              <w:rPr>
                <w:rFonts w:ascii="宋体" w:hAnsi="宋体" w:cs="宋体"/>
                <w:b/>
                <w:color w:val="000000"/>
                <w:sz w:val="24"/>
                <w:szCs w:val="24"/>
              </w:rPr>
            </w:r>
            <w:r/>
          </w:p>
        </w:tc>
        <w:tc>
          <w:tcPr>
            <w:shd w:val="clear" w:color="auto" w:fill="auto"/>
            <w:tcBorders>
              <w:top w:val="single" w:color="000000" w:sz="4" w:space="0"/>
              <w:left w:val="single" w:color="000000" w:sz="4" w:space="0"/>
            </w:tcBorders>
            <w:tcW w:w="2055" w:type="dxa"/>
            <w:vAlign w:val="center"/>
            <w:textDirection w:val="lrTb"/>
            <w:noWrap w:val="false"/>
          </w:tcPr>
          <w:p>
            <w:pPr>
              <w:jc w:val="center"/>
              <w:rPr>
                <w:rFonts w:ascii="宋体" w:hAnsi="宋体" w:cs="宋体"/>
                <w:b/>
                <w:color w:val="000000"/>
                <w:sz w:val="24"/>
                <w:szCs w:val="24"/>
              </w:rPr>
            </w:pPr>
            <w:r>
              <w:rPr>
                <w:rFonts w:ascii="宋体" w:hAnsi="宋体" w:cs="宋体"/>
                <w:b/>
                <w:color w:val="000000"/>
                <w:sz w:val="24"/>
                <w:szCs w:val="24"/>
              </w:rPr>
            </w:r>
            <w:r/>
          </w:p>
        </w:tc>
      </w:tr>
    </w:tbl>
    <w:p>
      <w:pPr>
        <w:pStyle w:val="693"/>
        <w:ind w:firstLine="0"/>
        <w:rPr>
          <w:rFonts w:ascii="宋体" w:hAnsi="宋体" w:eastAsia="宋体" w:cs="宋体"/>
          <w:b/>
          <w:color w:val="000000"/>
          <w:sz w:val="24"/>
          <w:szCs w:val="24"/>
        </w:rPr>
      </w:pPr>
      <w:r>
        <w:rPr>
          <w:rFonts w:ascii="宋体" w:hAnsi="宋体" w:eastAsia="宋体" w:cs="宋体"/>
          <w:b/>
          <w:color w:val="000000"/>
          <w:sz w:val="24"/>
          <w:szCs w:val="24"/>
        </w:rPr>
      </w:r>
      <w:r/>
    </w:p>
    <w:p>
      <w:pPr>
        <w:pStyle w:val="693"/>
        <w:ind w:firstLine="0"/>
        <w:rPr>
          <w:rFonts w:ascii="宋体" w:hAnsi="宋体" w:eastAsia="宋体" w:cs="宋体"/>
          <w:sz w:val="24"/>
          <w:szCs w:val="24"/>
        </w:rPr>
      </w:pPr>
      <w:r>
        <w:rPr>
          <w:rFonts w:hint="eastAsia" w:ascii="宋体" w:hAnsi="宋体" w:eastAsia="宋体" w:cs="宋体"/>
          <w:b/>
          <w:color w:val="000000"/>
          <w:sz w:val="24"/>
          <w:szCs w:val="24"/>
        </w:rPr>
        <w:t xml:space="preserve">注：各部门（学院）根据5项评分要素进行打分，每项最终分值为所有部门（学院）打分平均值，总得分等于或高于80分为合格，低于80分为不合格。</w:t>
      </w:r>
      <w:r/>
    </w:p>
    <w:sectPr>
      <w:headerReference w:type="default" r:id="rId9"/>
      <w:footerReference w:type="default" r:id="rId10"/>
      <w:footerReference w:type="even" r:id="rId11"/>
      <w:footnotePr/>
      <w:endnotePr/>
      <w:type w:val="nextPage"/>
      <w:pgSz w:w="11906" w:h="16838" w:orient="portrait"/>
      <w:pgMar w:top="771" w:right="720" w:bottom="720" w:left="720" w:header="231" w:footer="26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等线 Light">
    <w:panose1 w:val="02010600030101010101"/>
  </w:font>
  <w:font w:name="Berlin Sans FB Demi">
    <w:panose1 w:val="020E0802020502020306"/>
  </w:font>
  <w:font w:name="Calibri Light">
    <w:panose1 w:val="020F0302020204030204"/>
  </w:font>
  <w:font w:name="方正黑体_GBK">
    <w:panose1 w:val="020B0503020202020204"/>
  </w:font>
  <w:font w:name="Courier New">
    <w:panose1 w:val="020703090202050204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Microsoft YaHei UI">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ind w:firstLine="360"/>
      <w:rPr>
        <w:rStyle w:val="900"/>
        <w:rFonts w:ascii="宋体" w:hAnsi="宋体"/>
      </w:rPr>
      <w:framePr w:wrap="around" w:vAnchor="text" w:hAnchor="margin" w:xAlign="center" w:y="1"/>
    </w:pPr>
    <w:r>
      <w:rPr>
        <w:rFonts w:ascii="宋体" w:hAnsi="宋体"/>
      </w:rPr>
      <w:fldChar w:fldCharType="begin"/>
    </w:r>
    <w:r>
      <w:rPr>
        <w:rStyle w:val="900"/>
        <w:rFonts w:ascii="宋体" w:hAnsi="宋体"/>
      </w:rPr>
      <w:instrText xml:space="preserve">PAGE  </w:instrText>
    </w:r>
    <w:r>
      <w:rPr>
        <w:rFonts w:ascii="宋体" w:hAnsi="宋体"/>
      </w:rPr>
      <w:fldChar w:fldCharType="separate"/>
    </w:r>
    <w:r>
      <w:rPr>
        <w:rStyle w:val="900"/>
        <w:rFonts w:ascii="宋体" w:hAnsi="宋体"/>
      </w:rPr>
      <w:t xml:space="preserve">3</w:t>
    </w:r>
    <w:r>
      <w:rPr>
        <w:rFonts w:ascii="宋体" w:hAnsi="宋体"/>
      </w:rPr>
      <w:fldChar w:fldCharType="end"/>
    </w:r>
    <w:r/>
  </w:p>
  <w:p>
    <w:pPr>
      <w:pStyle w:val="972"/>
      <w:ind w:firstLine="361"/>
      <w:rPr>
        <w:b/>
        <w:i/>
      </w:rPr>
    </w:pPr>
    <w:r>
      <w:rPr>
        <w:b/>
        <w:i/>
      </w:rPr>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ind w:firstLine="360"/>
      <w:rPr>
        <w:rStyle w:val="900"/>
      </w:rPr>
      <w:framePr w:wrap="around" w:vAnchor="text" w:hAnchor="margin" w:xAlign="center" w:y="1"/>
    </w:pPr>
    <w:r>
      <w:fldChar w:fldCharType="begin"/>
    </w:r>
    <w:r>
      <w:rPr>
        <w:rStyle w:val="900"/>
      </w:rPr>
      <w:instrText xml:space="preserve">PAGE  </w:instrText>
    </w:r>
    <w:r>
      <w:fldChar w:fldCharType="separate"/>
    </w:r>
    <w:r>
      <w:rPr>
        <w:rStyle w:val="900"/>
      </w:rPr>
      <w:t xml:space="preserve">1</w:t>
    </w:r>
    <w:r>
      <w:fldChar w:fldCharType="end"/>
    </w:r>
    <w:r/>
  </w:p>
  <w:p>
    <w:pPr>
      <w:pStyle w:val="972"/>
      <w:ind w:firstLine="360"/>
    </w:pPr>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79"/>
      <w:isLgl w:val="false"/>
      <w:suff w:val="nothing"/>
      <w:lvlText w:val=""/>
      <w:lvlJc w:val="left"/>
      <w:pPr>
        <w:ind w:left="0" w:firstLine="0"/>
      </w:pPr>
      <w:rPr>
        <w:rFonts w:hint="eastAsia"/>
      </w:rPr>
    </w:lvl>
    <w:lvl w:ilvl="6">
      <w:start w:val="1"/>
      <w:numFmt w:val="decimal"/>
      <w:pStyle w:val="880"/>
      <w:isLgl w:val="false"/>
      <w:suff w:val="nothing"/>
      <w:lvlText w:val=""/>
      <w:lvlJc w:val="left"/>
      <w:pPr>
        <w:ind w:left="0" w:firstLine="0"/>
      </w:pPr>
      <w:rPr>
        <w:rFonts w:hint="eastAsia"/>
      </w:rPr>
    </w:lvl>
    <w:lvl w:ilvl="7">
      <w:start w:val="1"/>
      <w:numFmt w:val="decimal"/>
      <w:pStyle w:val="881"/>
      <w:isLgl w:val="false"/>
      <w:suff w:val="nothing"/>
      <w:lvlText w:val=""/>
      <w:lvlJc w:val="left"/>
      <w:pPr>
        <w:ind w:left="0" w:firstLine="0"/>
      </w:pPr>
      <w:rPr>
        <w:rFonts w:hint="eastAsia"/>
      </w:rPr>
    </w:lvl>
    <w:lvl w:ilvl="8">
      <w:start w:val="1"/>
      <w:numFmt w:val="decimal"/>
      <w:pStyle w:val="882"/>
      <w:isLgl w:val="false"/>
      <w:suff w:val="nothing"/>
      <w:lvlText w:val=""/>
      <w:lvlJc w:val="left"/>
      <w:pPr>
        <w:ind w:left="0" w:firstLine="0"/>
      </w:pPr>
      <w:rPr>
        <w:rFonts w:hint="eastAsia"/>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4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decimal"/>
      <w:pStyle w:val="1016"/>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upperLetter"/>
      <w:pStyle w:val="92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8"/>
    <w:link w:val="679"/>
    <w:uiPriority w:val="9"/>
    <w:rPr>
      <w:rFonts w:ascii="Arial" w:hAnsi="Arial" w:eastAsia="Arial" w:cs="Arial"/>
      <w:sz w:val="40"/>
      <w:szCs w:val="40"/>
    </w:rPr>
  </w:style>
  <w:style w:type="character" w:styleId="15">
    <w:name w:val="Heading 2 Char"/>
    <w:basedOn w:val="688"/>
    <w:link w:val="680"/>
    <w:uiPriority w:val="9"/>
    <w:rPr>
      <w:rFonts w:ascii="Arial" w:hAnsi="Arial" w:eastAsia="Arial" w:cs="Arial"/>
      <w:sz w:val="34"/>
    </w:rPr>
  </w:style>
  <w:style w:type="character" w:styleId="17">
    <w:name w:val="Heading 3 Char"/>
    <w:basedOn w:val="688"/>
    <w:link w:val="681"/>
    <w:uiPriority w:val="9"/>
    <w:rPr>
      <w:rFonts w:ascii="Arial" w:hAnsi="Arial" w:eastAsia="Arial" w:cs="Arial"/>
      <w:sz w:val="30"/>
      <w:szCs w:val="30"/>
    </w:rPr>
  </w:style>
  <w:style w:type="character" w:styleId="19">
    <w:name w:val="Heading 4 Char"/>
    <w:basedOn w:val="688"/>
    <w:link w:val="682"/>
    <w:uiPriority w:val="9"/>
    <w:rPr>
      <w:rFonts w:ascii="Arial" w:hAnsi="Arial" w:eastAsia="Arial" w:cs="Arial"/>
      <w:b/>
      <w:bCs/>
      <w:sz w:val="26"/>
      <w:szCs w:val="26"/>
    </w:rPr>
  </w:style>
  <w:style w:type="character" w:styleId="21">
    <w:name w:val="Heading 5 Char"/>
    <w:basedOn w:val="688"/>
    <w:link w:val="683"/>
    <w:uiPriority w:val="9"/>
    <w:rPr>
      <w:rFonts w:ascii="Arial" w:hAnsi="Arial" w:eastAsia="Arial" w:cs="Arial"/>
      <w:b/>
      <w:bCs/>
      <w:sz w:val="24"/>
      <w:szCs w:val="24"/>
    </w:rPr>
  </w:style>
  <w:style w:type="character" w:styleId="23">
    <w:name w:val="Heading 6 Char"/>
    <w:basedOn w:val="688"/>
    <w:link w:val="684"/>
    <w:uiPriority w:val="9"/>
    <w:rPr>
      <w:rFonts w:ascii="Arial" w:hAnsi="Arial" w:eastAsia="Arial" w:cs="Arial"/>
      <w:b/>
      <w:bCs/>
      <w:sz w:val="22"/>
      <w:szCs w:val="22"/>
    </w:rPr>
  </w:style>
  <w:style w:type="character" w:styleId="25">
    <w:name w:val="Heading 7 Char"/>
    <w:basedOn w:val="688"/>
    <w:link w:val="685"/>
    <w:uiPriority w:val="9"/>
    <w:rPr>
      <w:rFonts w:ascii="Arial" w:hAnsi="Arial" w:eastAsia="Arial" w:cs="Arial"/>
      <w:b/>
      <w:bCs/>
      <w:i/>
      <w:iCs/>
      <w:sz w:val="22"/>
      <w:szCs w:val="22"/>
    </w:rPr>
  </w:style>
  <w:style w:type="character" w:styleId="27">
    <w:name w:val="Heading 8 Char"/>
    <w:basedOn w:val="688"/>
    <w:link w:val="686"/>
    <w:uiPriority w:val="9"/>
    <w:rPr>
      <w:rFonts w:ascii="Arial" w:hAnsi="Arial" w:eastAsia="Arial" w:cs="Arial"/>
      <w:i/>
      <w:iCs/>
      <w:sz w:val="22"/>
      <w:szCs w:val="22"/>
    </w:rPr>
  </w:style>
  <w:style w:type="character" w:styleId="29">
    <w:name w:val="Heading 9 Char"/>
    <w:basedOn w:val="688"/>
    <w:link w:val="687"/>
    <w:uiPriority w:val="9"/>
    <w:rPr>
      <w:rFonts w:ascii="Arial" w:hAnsi="Arial" w:eastAsia="Arial" w:cs="Arial"/>
      <w:i/>
      <w:iCs/>
      <w:sz w:val="21"/>
      <w:szCs w:val="21"/>
    </w:rPr>
  </w:style>
  <w:style w:type="character" w:styleId="34">
    <w:name w:val="Title Char"/>
    <w:basedOn w:val="688"/>
    <w:link w:val="718"/>
    <w:uiPriority w:val="10"/>
    <w:rPr>
      <w:sz w:val="48"/>
      <w:szCs w:val="48"/>
    </w:rPr>
  </w:style>
  <w:style w:type="character" w:styleId="36">
    <w:name w:val="Subtitle Char"/>
    <w:basedOn w:val="688"/>
    <w:link w:val="710"/>
    <w:uiPriority w:val="11"/>
    <w:rPr>
      <w:sz w:val="24"/>
      <w:szCs w:val="24"/>
    </w:rPr>
  </w:style>
  <w:style w:type="character" w:styleId="38">
    <w:name w:val="Quote Char"/>
    <w:link w:val="738"/>
    <w:uiPriority w:val="29"/>
    <w:rPr>
      <w:i/>
    </w:rPr>
  </w:style>
  <w:style w:type="character" w:styleId="40">
    <w:name w:val="Intense Quote Char"/>
    <w:link w:val="740"/>
    <w:uiPriority w:val="30"/>
    <w:rPr>
      <w:i/>
    </w:rPr>
  </w:style>
  <w:style w:type="character" w:styleId="42">
    <w:name w:val="Header Char"/>
    <w:basedOn w:val="688"/>
    <w:link w:val="707"/>
    <w:uiPriority w:val="99"/>
  </w:style>
  <w:style w:type="character" w:styleId="46">
    <w:name w:val="Caption Char"/>
    <w:basedOn w:val="699"/>
    <w:link w:val="706"/>
    <w:uiPriority w:val="99"/>
  </w:style>
  <w:style w:type="table" w:styleId="49">
    <w:name w:val="Plain Table 1"/>
    <w:basedOn w:val="6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11"/>
    <w:uiPriority w:val="99"/>
    <w:rPr>
      <w:sz w:val="18"/>
    </w:rPr>
  </w:style>
  <w:style w:type="character" w:styleId="178">
    <w:name w:val="Endnote Text Char"/>
    <w:link w:val="704"/>
    <w:uiPriority w:val="99"/>
    <w:rPr>
      <w:sz w:val="20"/>
    </w:rPr>
  </w:style>
  <w:style w:type="paragraph" w:styleId="189">
    <w:name w:val="TOC Heading"/>
    <w:uiPriority w:val="39"/>
    <w:unhideWhenUsed/>
  </w:style>
  <w:style w:type="paragraph" w:styleId="678" w:default="1">
    <w:name w:val="Normal"/>
    <w:next w:val="680"/>
    <w:uiPriority w:val="0"/>
    <w:qFormat/>
    <w:pPr>
      <w:jc w:val="both"/>
      <w:widowControl w:val="off"/>
    </w:pPr>
    <w:rPr>
      <w:rFonts w:ascii="Calibri" w:hAnsi="Calibri" w:eastAsia="宋体" w:cs="Times New Roman"/>
      <w:sz w:val="21"/>
      <w:szCs w:val="22"/>
      <w:lang w:val="en-US" w:eastAsia="zh-CN" w:bidi="ar-SA"/>
    </w:rPr>
  </w:style>
  <w:style w:type="paragraph" w:styleId="679">
    <w:name w:val="Heading 1"/>
    <w:basedOn w:val="678"/>
    <w:next w:val="678"/>
    <w:link w:val="725"/>
    <w:uiPriority w:val="9"/>
    <w:qFormat/>
    <w:pPr>
      <w:keepLines/>
      <w:keepNext/>
      <w:spacing w:before="480" w:after="200"/>
      <w:outlineLvl w:val="0"/>
    </w:pPr>
    <w:rPr>
      <w:rFonts w:ascii="Arial" w:hAnsi="Arial" w:eastAsia="Arial" w:cs="Arial"/>
      <w:sz w:val="40"/>
      <w:szCs w:val="40"/>
    </w:rPr>
  </w:style>
  <w:style w:type="paragraph" w:styleId="680">
    <w:name w:val="Heading 2"/>
    <w:basedOn w:val="678"/>
    <w:next w:val="678"/>
    <w:link w:val="726"/>
    <w:uiPriority w:val="9"/>
    <w:unhideWhenUsed/>
    <w:qFormat/>
    <w:pPr>
      <w:keepLines/>
      <w:keepNext/>
      <w:spacing w:before="360" w:after="200"/>
      <w:outlineLvl w:val="1"/>
    </w:pPr>
    <w:rPr>
      <w:rFonts w:ascii="Arial" w:hAnsi="Arial" w:eastAsia="Arial" w:cs="Arial"/>
      <w:sz w:val="34"/>
    </w:rPr>
  </w:style>
  <w:style w:type="paragraph" w:styleId="681">
    <w:name w:val="Heading 3"/>
    <w:basedOn w:val="678"/>
    <w:next w:val="678"/>
    <w:link w:val="727"/>
    <w:uiPriority w:val="9"/>
    <w:unhideWhenUsed/>
    <w:qFormat/>
    <w:pPr>
      <w:keepLines/>
      <w:keepNext/>
      <w:spacing w:before="320" w:after="200"/>
      <w:outlineLvl w:val="2"/>
    </w:pPr>
    <w:rPr>
      <w:rFonts w:ascii="Arial" w:hAnsi="Arial" w:eastAsia="Arial" w:cs="Arial"/>
      <w:sz w:val="30"/>
      <w:szCs w:val="30"/>
    </w:rPr>
  </w:style>
  <w:style w:type="paragraph" w:styleId="682">
    <w:name w:val="Heading 4"/>
    <w:basedOn w:val="678"/>
    <w:next w:val="678"/>
    <w:link w:val="728"/>
    <w:uiPriority w:val="9"/>
    <w:unhideWhenUsed/>
    <w:qFormat/>
    <w:pPr>
      <w:keepLines/>
      <w:keepNext/>
      <w:spacing w:before="320" w:after="200"/>
      <w:outlineLvl w:val="3"/>
    </w:pPr>
    <w:rPr>
      <w:rFonts w:ascii="Arial" w:hAnsi="Arial" w:eastAsia="Arial" w:cs="Arial"/>
      <w:b/>
      <w:bCs/>
      <w:sz w:val="26"/>
      <w:szCs w:val="26"/>
    </w:rPr>
  </w:style>
  <w:style w:type="paragraph" w:styleId="683">
    <w:name w:val="Heading 5"/>
    <w:basedOn w:val="678"/>
    <w:next w:val="678"/>
    <w:link w:val="729"/>
    <w:uiPriority w:val="9"/>
    <w:unhideWhenUsed/>
    <w:qFormat/>
    <w:pPr>
      <w:keepLines/>
      <w:keepNext/>
      <w:spacing w:before="320" w:after="200"/>
      <w:outlineLvl w:val="4"/>
    </w:pPr>
    <w:rPr>
      <w:rFonts w:ascii="Arial" w:hAnsi="Arial" w:eastAsia="Arial" w:cs="Arial"/>
      <w:b/>
      <w:bCs/>
      <w:sz w:val="24"/>
      <w:szCs w:val="24"/>
    </w:rPr>
  </w:style>
  <w:style w:type="paragraph" w:styleId="684">
    <w:name w:val="Heading 6"/>
    <w:basedOn w:val="678"/>
    <w:next w:val="678"/>
    <w:link w:val="1052"/>
    <w:uiPriority w:val="9"/>
    <w:unhideWhenUsed/>
    <w:qFormat/>
    <w:pPr>
      <w:keepLines/>
      <w:keepNext/>
      <w:spacing w:before="320" w:after="200"/>
      <w:outlineLvl w:val="5"/>
    </w:pPr>
    <w:rPr>
      <w:rFonts w:ascii="Arial" w:hAnsi="Arial" w:eastAsia="Arial" w:cs="Arial"/>
      <w:b/>
      <w:bCs/>
      <w:sz w:val="22"/>
    </w:rPr>
  </w:style>
  <w:style w:type="paragraph" w:styleId="685">
    <w:name w:val="Heading 7"/>
    <w:basedOn w:val="678"/>
    <w:next w:val="678"/>
    <w:link w:val="731"/>
    <w:uiPriority w:val="9"/>
    <w:unhideWhenUsed/>
    <w:qFormat/>
    <w:pPr>
      <w:keepLines/>
      <w:keepNext/>
      <w:spacing w:before="320" w:after="200"/>
      <w:outlineLvl w:val="6"/>
    </w:pPr>
    <w:rPr>
      <w:rFonts w:ascii="Arial" w:hAnsi="Arial" w:eastAsia="Arial" w:cs="Arial"/>
      <w:b/>
      <w:bCs/>
      <w:i/>
      <w:iCs/>
      <w:sz w:val="22"/>
    </w:rPr>
  </w:style>
  <w:style w:type="paragraph" w:styleId="686">
    <w:name w:val="Heading 8"/>
    <w:basedOn w:val="678"/>
    <w:next w:val="678"/>
    <w:link w:val="732"/>
    <w:uiPriority w:val="9"/>
    <w:unhideWhenUsed/>
    <w:qFormat/>
    <w:pPr>
      <w:keepLines/>
      <w:keepNext/>
      <w:spacing w:before="320" w:after="200"/>
      <w:outlineLvl w:val="7"/>
    </w:pPr>
    <w:rPr>
      <w:rFonts w:ascii="Arial" w:hAnsi="Arial" w:eastAsia="Arial" w:cs="Arial"/>
      <w:i/>
      <w:iCs/>
      <w:sz w:val="22"/>
    </w:rPr>
  </w:style>
  <w:style w:type="paragraph" w:styleId="687">
    <w:name w:val="Heading 9"/>
    <w:basedOn w:val="678"/>
    <w:next w:val="678"/>
    <w:link w:val="733"/>
    <w:uiPriority w:val="9"/>
    <w:unhideWhenUsed/>
    <w:qFormat/>
    <w:pPr>
      <w:keepLines/>
      <w:keepNext/>
      <w:spacing w:before="320" w:after="200"/>
      <w:outlineLvl w:val="8"/>
    </w:pPr>
    <w:rPr>
      <w:rFonts w:ascii="Arial" w:hAnsi="Arial" w:eastAsia="Arial" w:cs="Arial"/>
      <w:i/>
      <w:iCs/>
      <w:szCs w:val="21"/>
    </w:rPr>
  </w:style>
  <w:style w:type="character" w:styleId="688" w:default="1">
    <w:name w:val="Default Paragraph Font"/>
    <w:uiPriority w:val="1"/>
    <w:semiHidden/>
    <w:unhideWhenUsed/>
  </w:style>
  <w:style w:type="table" w:styleId="689" w:default="1">
    <w:name w:val="Normal Table"/>
    <w:uiPriority w:val="99"/>
    <w:semiHidden/>
    <w:unhideWhenUsed/>
    <w:qFormat/>
    <w:tblPr>
      <w:tblLayout w:type="fixed"/>
      <w:tblCellMar>
        <w:left w:w="108" w:type="dxa"/>
        <w:top w:w="0" w:type="dxa"/>
        <w:right w:w="108" w:type="dxa"/>
        <w:bottom w:w="0" w:type="dxa"/>
      </w:tblCellMar>
    </w:tblPr>
  </w:style>
  <w:style w:type="paragraph" w:styleId="690">
    <w:name w:val="annotation subject"/>
    <w:basedOn w:val="691"/>
    <w:next w:val="691"/>
    <w:link w:val="1041"/>
    <w:uiPriority w:val="99"/>
    <w:semiHidden/>
    <w:unhideWhenUsed/>
    <w:qFormat/>
    <w:rPr>
      <w:b/>
      <w:bCs/>
    </w:rPr>
  </w:style>
  <w:style w:type="paragraph" w:styleId="691">
    <w:name w:val="annotation text"/>
    <w:basedOn w:val="678"/>
    <w:link w:val="1049"/>
    <w:uiPriority w:val="99"/>
    <w:unhideWhenUsed/>
    <w:qFormat/>
    <w:pPr>
      <w:jc w:val="left"/>
    </w:pPr>
    <w:rPr>
      <w:rFonts w:ascii="Times New Roman" w:hAnsi="Times New Roman"/>
      <w:szCs w:val="20"/>
    </w:rPr>
  </w:style>
  <w:style w:type="paragraph" w:styleId="692">
    <w:name w:val="toc 7"/>
    <w:basedOn w:val="678"/>
    <w:next w:val="678"/>
    <w:uiPriority w:val="39"/>
    <w:unhideWhenUsed/>
    <w:qFormat/>
    <w:pPr>
      <w:ind w:left="1701"/>
      <w:spacing w:after="57"/>
    </w:pPr>
  </w:style>
  <w:style w:type="paragraph" w:styleId="693">
    <w:name w:val="Body Text First Indent"/>
    <w:basedOn w:val="694"/>
    <w:next w:val="695"/>
    <w:uiPriority w:val="99"/>
    <w:unhideWhenUsed/>
    <w:qFormat/>
    <w:pPr>
      <w:ind w:firstLine="420"/>
    </w:pPr>
  </w:style>
  <w:style w:type="paragraph" w:styleId="694">
    <w:name w:val="Body Text"/>
    <w:basedOn w:val="678"/>
    <w:next w:val="693"/>
    <w:uiPriority w:val="0"/>
    <w:qFormat/>
    <w:rPr>
      <w:rFonts w:ascii="楷体_GB2312" w:hAnsi="Arial" w:eastAsia="楷体_GB2312"/>
      <w:sz w:val="28"/>
    </w:rPr>
  </w:style>
  <w:style w:type="paragraph" w:styleId="695">
    <w:name w:val="Body Text First Indent 2"/>
    <w:basedOn w:val="696"/>
    <w:next w:val="693"/>
    <w:uiPriority w:val="0"/>
    <w:qFormat/>
    <w:pPr>
      <w:ind w:firstLine="420"/>
    </w:pPr>
  </w:style>
  <w:style w:type="paragraph" w:styleId="696">
    <w:name w:val="Body Text Indent"/>
    <w:basedOn w:val="678"/>
    <w:next w:val="697"/>
    <w:uiPriority w:val="0"/>
    <w:qFormat/>
    <w:pPr>
      <w:ind w:firstLine="574"/>
      <w:spacing w:line="312" w:lineRule="atLeast"/>
    </w:pPr>
    <w:rPr>
      <w:rFonts w:ascii="宋体"/>
      <w:sz w:val="28"/>
    </w:rPr>
  </w:style>
  <w:style w:type="paragraph" w:styleId="697">
    <w:name w:val="envelope return"/>
    <w:basedOn w:val="678"/>
    <w:uiPriority w:val="0"/>
    <w:qFormat/>
    <w:rPr>
      <w:rFonts w:ascii="Arial" w:hAnsi="Arial"/>
    </w:rPr>
  </w:style>
  <w:style w:type="paragraph" w:styleId="698">
    <w:name w:val="Normal Indent"/>
    <w:basedOn w:val="678"/>
    <w:next w:val="678"/>
    <w:uiPriority w:val="99"/>
    <w:semiHidden/>
    <w:unhideWhenUsed/>
    <w:qFormat/>
    <w:pPr>
      <w:ind w:firstLine="420"/>
      <w:jc w:val="left"/>
    </w:pPr>
    <w:rPr>
      <w:rFonts w:ascii="Times New Roman" w:hAnsi="Times New Roman"/>
      <w:sz w:val="24"/>
      <w:szCs w:val="21"/>
    </w:rPr>
  </w:style>
  <w:style w:type="paragraph" w:styleId="699">
    <w:name w:val="Caption"/>
    <w:basedOn w:val="678"/>
    <w:next w:val="67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0">
    <w:name w:val="toc 5"/>
    <w:basedOn w:val="678"/>
    <w:next w:val="678"/>
    <w:uiPriority w:val="39"/>
    <w:unhideWhenUsed/>
    <w:qFormat/>
    <w:pPr>
      <w:ind w:left="1134"/>
      <w:spacing w:after="57"/>
    </w:pPr>
  </w:style>
  <w:style w:type="paragraph" w:styleId="701">
    <w:name w:val="toc 3"/>
    <w:basedOn w:val="678"/>
    <w:next w:val="678"/>
    <w:uiPriority w:val="39"/>
    <w:unhideWhenUsed/>
    <w:qFormat/>
    <w:pPr>
      <w:ind w:left="567"/>
      <w:spacing w:after="57"/>
    </w:pPr>
  </w:style>
  <w:style w:type="paragraph" w:styleId="702">
    <w:name w:val="toc 8"/>
    <w:basedOn w:val="678"/>
    <w:next w:val="678"/>
    <w:uiPriority w:val="39"/>
    <w:unhideWhenUsed/>
    <w:qFormat/>
    <w:pPr>
      <w:ind w:left="1984"/>
      <w:spacing w:after="57"/>
    </w:pPr>
  </w:style>
  <w:style w:type="paragraph" w:styleId="703">
    <w:name w:val="Date"/>
    <w:basedOn w:val="678"/>
    <w:next w:val="678"/>
    <w:uiPriority w:val="99"/>
    <w:semiHidden/>
    <w:unhideWhenUsed/>
    <w:qFormat/>
    <w:pPr>
      <w:spacing w:line="312" w:lineRule="atLeast"/>
    </w:pPr>
    <w:rPr>
      <w:rFonts w:hint="eastAsia" w:ascii="宋体" w:hAnsi="Times New Roman"/>
      <w:sz w:val="28"/>
      <w:szCs w:val="20"/>
    </w:rPr>
  </w:style>
  <w:style w:type="paragraph" w:styleId="704">
    <w:name w:val="endnote text"/>
    <w:basedOn w:val="678"/>
    <w:link w:val="871"/>
    <w:uiPriority w:val="99"/>
    <w:semiHidden/>
    <w:unhideWhenUsed/>
    <w:qFormat/>
    <w:rPr>
      <w:sz w:val="20"/>
    </w:rPr>
  </w:style>
  <w:style w:type="paragraph" w:styleId="705">
    <w:name w:val="Balloon Text"/>
    <w:basedOn w:val="678"/>
    <w:link w:val="1042"/>
    <w:uiPriority w:val="99"/>
    <w:semiHidden/>
    <w:unhideWhenUsed/>
    <w:qFormat/>
    <w:rPr>
      <w:sz w:val="18"/>
      <w:szCs w:val="18"/>
    </w:rPr>
  </w:style>
  <w:style w:type="paragraph" w:styleId="706">
    <w:name w:val="Footer"/>
    <w:basedOn w:val="678"/>
    <w:link w:val="744"/>
    <w:uiPriority w:val="99"/>
    <w:unhideWhenUsed/>
    <w:qFormat/>
    <w:pPr>
      <w:tabs>
        <w:tab w:val="center" w:pos="7143" w:leader="none"/>
        <w:tab w:val="right" w:pos="14287" w:leader="none"/>
      </w:tabs>
    </w:pPr>
  </w:style>
  <w:style w:type="paragraph" w:styleId="707">
    <w:name w:val="Header"/>
    <w:basedOn w:val="678"/>
    <w:link w:val="742"/>
    <w:uiPriority w:val="99"/>
    <w:unhideWhenUsed/>
    <w:qFormat/>
    <w:pPr>
      <w:tabs>
        <w:tab w:val="center" w:pos="7143" w:leader="none"/>
        <w:tab w:val="right" w:pos="14287" w:leader="none"/>
      </w:tabs>
    </w:pPr>
  </w:style>
  <w:style w:type="paragraph" w:styleId="708">
    <w:name w:val="toc 1"/>
    <w:basedOn w:val="678"/>
    <w:next w:val="678"/>
    <w:uiPriority w:val="39"/>
    <w:unhideWhenUsed/>
    <w:qFormat/>
    <w:pPr>
      <w:spacing w:after="57"/>
    </w:pPr>
  </w:style>
  <w:style w:type="paragraph" w:styleId="709">
    <w:name w:val="toc 4"/>
    <w:basedOn w:val="678"/>
    <w:next w:val="678"/>
    <w:uiPriority w:val="39"/>
    <w:unhideWhenUsed/>
    <w:qFormat/>
    <w:pPr>
      <w:ind w:left="850"/>
      <w:spacing w:after="57"/>
    </w:pPr>
  </w:style>
  <w:style w:type="paragraph" w:styleId="710">
    <w:name w:val="Subtitle"/>
    <w:basedOn w:val="678"/>
    <w:next w:val="678"/>
    <w:link w:val="737"/>
    <w:uiPriority w:val="11"/>
    <w:qFormat/>
    <w:pPr>
      <w:spacing w:before="200" w:after="200"/>
    </w:pPr>
    <w:rPr>
      <w:sz w:val="24"/>
      <w:szCs w:val="24"/>
    </w:rPr>
  </w:style>
  <w:style w:type="paragraph" w:styleId="711">
    <w:name w:val="footnote text"/>
    <w:basedOn w:val="678"/>
    <w:link w:val="870"/>
    <w:uiPriority w:val="99"/>
    <w:semiHidden/>
    <w:unhideWhenUsed/>
    <w:qFormat/>
    <w:pPr>
      <w:spacing w:after="40"/>
    </w:pPr>
    <w:rPr>
      <w:sz w:val="18"/>
    </w:rPr>
  </w:style>
  <w:style w:type="paragraph" w:styleId="712">
    <w:name w:val="toc 6"/>
    <w:basedOn w:val="678"/>
    <w:next w:val="678"/>
    <w:uiPriority w:val="39"/>
    <w:unhideWhenUsed/>
    <w:qFormat/>
    <w:pPr>
      <w:ind w:left="1417"/>
      <w:spacing w:after="57"/>
    </w:pPr>
  </w:style>
  <w:style w:type="paragraph" w:styleId="713">
    <w:name w:val="table of figures"/>
    <w:basedOn w:val="678"/>
    <w:next w:val="678"/>
    <w:uiPriority w:val="99"/>
    <w:unhideWhenUsed/>
    <w:qFormat/>
  </w:style>
  <w:style w:type="paragraph" w:styleId="714">
    <w:name w:val="toc 2"/>
    <w:basedOn w:val="678"/>
    <w:next w:val="678"/>
    <w:uiPriority w:val="39"/>
    <w:unhideWhenUsed/>
    <w:qFormat/>
    <w:pPr>
      <w:ind w:left="283"/>
      <w:spacing w:after="57"/>
    </w:pPr>
  </w:style>
  <w:style w:type="paragraph" w:styleId="715">
    <w:name w:val="toc 9"/>
    <w:basedOn w:val="678"/>
    <w:next w:val="678"/>
    <w:uiPriority w:val="39"/>
    <w:unhideWhenUsed/>
    <w:qFormat/>
    <w:pPr>
      <w:ind w:left="2268"/>
      <w:spacing w:after="57"/>
    </w:pPr>
  </w:style>
  <w:style w:type="paragraph" w:styleId="716">
    <w:name w:val="Body Text 2"/>
    <w:basedOn w:val="678"/>
    <w:next w:val="694"/>
    <w:uiPriority w:val="0"/>
    <w:qFormat/>
    <w:pPr>
      <w:jc w:val="left"/>
      <w:spacing w:line="360" w:lineRule="auto"/>
      <w:widowControl/>
    </w:pPr>
    <w:rPr>
      <w:rFonts w:ascii="宋体" w:hAnsi="宋体"/>
      <w:color w:val="ff0000"/>
    </w:rPr>
  </w:style>
  <w:style w:type="paragraph" w:styleId="717">
    <w:name w:val="Normal (Web)"/>
    <w:basedOn w:val="678"/>
    <w:uiPriority w:val="99"/>
    <w:semiHidden/>
    <w:unhideWhenUsed/>
    <w:qFormat/>
    <w:pPr>
      <w:jc w:val="left"/>
      <w:spacing w:before="100" w:beforeAutospacing="1" w:after="100" w:afterAutospacing="1"/>
      <w:widowControl/>
    </w:pPr>
    <w:rPr>
      <w:rFonts w:ascii="宋体" w:hAnsi="宋体" w:cs="宋体"/>
      <w:sz w:val="24"/>
      <w:szCs w:val="24"/>
    </w:rPr>
  </w:style>
  <w:style w:type="paragraph" w:styleId="718">
    <w:name w:val="Title"/>
    <w:basedOn w:val="678"/>
    <w:next w:val="678"/>
    <w:link w:val="736"/>
    <w:uiPriority w:val="10"/>
    <w:qFormat/>
    <w:pPr>
      <w:contextualSpacing/>
      <w:spacing w:before="300" w:after="200"/>
    </w:pPr>
    <w:rPr>
      <w:sz w:val="48"/>
      <w:szCs w:val="48"/>
    </w:rPr>
  </w:style>
  <w:style w:type="character" w:styleId="719">
    <w:name w:val="Strong"/>
    <w:basedOn w:val="688"/>
    <w:uiPriority w:val="22"/>
    <w:qFormat/>
    <w:rPr>
      <w:b/>
    </w:rPr>
  </w:style>
  <w:style w:type="character" w:styleId="720">
    <w:name w:val="endnote reference"/>
    <w:uiPriority w:val="99"/>
    <w:semiHidden/>
    <w:unhideWhenUsed/>
    <w:qFormat/>
    <w:rPr>
      <w:vertAlign w:val="superscript"/>
    </w:rPr>
  </w:style>
  <w:style w:type="character" w:styleId="721">
    <w:name w:val="Hyperlink"/>
    <w:uiPriority w:val="99"/>
    <w:unhideWhenUsed/>
    <w:qFormat/>
    <w:rPr>
      <w:color w:val="0000ff" w:themeColor="hyperlink"/>
      <w:u w:val="single"/>
      <w14:textFill>
        <w14:solidFill>
          <w14:schemeClr w14:val="hlink"/>
        </w14:solidFill>
      </w14:textFill>
    </w:rPr>
  </w:style>
  <w:style w:type="character" w:styleId="722">
    <w:name w:val="annotation reference"/>
    <w:basedOn w:val="688"/>
    <w:uiPriority w:val="99"/>
    <w:semiHidden/>
    <w:unhideWhenUsed/>
    <w:qFormat/>
    <w:rPr>
      <w:sz w:val="21"/>
      <w:szCs w:val="21"/>
    </w:rPr>
  </w:style>
  <w:style w:type="character" w:styleId="723">
    <w:name w:val="footnote reference"/>
    <w:uiPriority w:val="99"/>
    <w:unhideWhenUsed/>
    <w:qFormat/>
    <w:rPr>
      <w:vertAlign w:val="superscript"/>
    </w:rPr>
  </w:style>
  <w:style w:type="table" w:styleId="72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725" w:customStyle="1">
    <w:name w:val="标题 1 字符1"/>
    <w:link w:val="679"/>
    <w:uiPriority w:val="9"/>
    <w:qFormat/>
    <w:rPr>
      <w:rFonts w:ascii="Arial" w:hAnsi="Arial" w:eastAsia="Arial" w:cs="Arial"/>
      <w:sz w:val="40"/>
      <w:szCs w:val="40"/>
    </w:rPr>
  </w:style>
  <w:style w:type="character" w:styleId="726" w:customStyle="1">
    <w:name w:val="标题 2 字符3"/>
    <w:link w:val="680"/>
    <w:uiPriority w:val="9"/>
    <w:qFormat/>
    <w:rPr>
      <w:rFonts w:ascii="Arial" w:hAnsi="Arial" w:eastAsia="Arial" w:cs="Arial"/>
      <w:sz w:val="34"/>
    </w:rPr>
  </w:style>
  <w:style w:type="character" w:styleId="727" w:customStyle="1">
    <w:name w:val="标题 3 字符"/>
    <w:link w:val="681"/>
    <w:uiPriority w:val="9"/>
    <w:qFormat/>
    <w:rPr>
      <w:rFonts w:ascii="Arial" w:hAnsi="Arial" w:eastAsia="Arial" w:cs="Arial"/>
      <w:sz w:val="30"/>
      <w:szCs w:val="30"/>
    </w:rPr>
  </w:style>
  <w:style w:type="character" w:styleId="728" w:customStyle="1">
    <w:name w:val="标题 4 字符"/>
    <w:link w:val="682"/>
    <w:uiPriority w:val="9"/>
    <w:qFormat/>
    <w:rPr>
      <w:rFonts w:ascii="Arial" w:hAnsi="Arial" w:eastAsia="Arial" w:cs="Arial"/>
      <w:b/>
      <w:bCs/>
      <w:sz w:val="26"/>
      <w:szCs w:val="26"/>
    </w:rPr>
  </w:style>
  <w:style w:type="character" w:styleId="729" w:customStyle="1">
    <w:name w:val="标题 5 字符"/>
    <w:link w:val="683"/>
    <w:uiPriority w:val="9"/>
    <w:qFormat/>
    <w:rPr>
      <w:rFonts w:ascii="Arial" w:hAnsi="Arial" w:eastAsia="Arial" w:cs="Arial"/>
      <w:b/>
      <w:bCs/>
      <w:sz w:val="24"/>
      <w:szCs w:val="24"/>
    </w:rPr>
  </w:style>
  <w:style w:type="character" w:styleId="730" w:customStyle="1">
    <w:name w:val="标题 6 Char1"/>
    <w:uiPriority w:val="9"/>
    <w:qFormat/>
    <w:rPr>
      <w:rFonts w:ascii="Arial" w:hAnsi="Arial" w:eastAsia="Arial" w:cs="Arial"/>
      <w:b/>
      <w:bCs/>
      <w:sz w:val="22"/>
      <w:szCs w:val="22"/>
    </w:rPr>
  </w:style>
  <w:style w:type="character" w:styleId="731" w:customStyle="1">
    <w:name w:val="标题 7 字符"/>
    <w:link w:val="685"/>
    <w:uiPriority w:val="9"/>
    <w:qFormat/>
    <w:rPr>
      <w:rFonts w:ascii="Arial" w:hAnsi="Arial" w:eastAsia="Arial" w:cs="Arial"/>
      <w:b/>
      <w:bCs/>
      <w:i/>
      <w:iCs/>
      <w:sz w:val="22"/>
      <w:szCs w:val="22"/>
    </w:rPr>
  </w:style>
  <w:style w:type="character" w:styleId="732" w:customStyle="1">
    <w:name w:val="标题 8 字符"/>
    <w:link w:val="686"/>
    <w:uiPriority w:val="9"/>
    <w:qFormat/>
    <w:rPr>
      <w:rFonts w:ascii="Arial" w:hAnsi="Arial" w:eastAsia="Arial" w:cs="Arial"/>
      <w:i/>
      <w:iCs/>
      <w:sz w:val="22"/>
      <w:szCs w:val="22"/>
    </w:rPr>
  </w:style>
  <w:style w:type="character" w:styleId="733" w:customStyle="1">
    <w:name w:val="标题 9 字符"/>
    <w:link w:val="687"/>
    <w:uiPriority w:val="9"/>
    <w:qFormat/>
    <w:rPr>
      <w:rFonts w:ascii="Arial" w:hAnsi="Arial" w:eastAsia="Arial" w:cs="Arial"/>
      <w:i/>
      <w:iCs/>
      <w:sz w:val="21"/>
      <w:szCs w:val="21"/>
    </w:rPr>
  </w:style>
  <w:style w:type="paragraph" w:styleId="734">
    <w:name w:val="List Paragraph"/>
    <w:basedOn w:val="678"/>
    <w:uiPriority w:val="34"/>
    <w:qFormat/>
    <w:pPr>
      <w:contextualSpacing/>
      <w:ind w:left="720"/>
    </w:pPr>
  </w:style>
  <w:style w:type="paragraph" w:styleId="735">
    <w:name w:val="No Spacing"/>
    <w:uiPriority w:val="1"/>
    <w:qFormat/>
    <w:rPr>
      <w:rFonts w:ascii="Calibri" w:hAnsi="Calibri" w:eastAsia="宋体" w:cs="Times New Roman"/>
      <w:lang w:val="en-US" w:eastAsia="zh-CN" w:bidi="ar-SA"/>
    </w:rPr>
  </w:style>
  <w:style w:type="character" w:styleId="736" w:customStyle="1">
    <w:name w:val="标题 字符"/>
    <w:link w:val="718"/>
    <w:uiPriority w:val="10"/>
    <w:qFormat/>
    <w:rPr>
      <w:sz w:val="48"/>
      <w:szCs w:val="48"/>
    </w:rPr>
  </w:style>
  <w:style w:type="character" w:styleId="737" w:customStyle="1">
    <w:name w:val="副标题 字符"/>
    <w:link w:val="710"/>
    <w:uiPriority w:val="11"/>
    <w:qFormat/>
    <w:rPr>
      <w:sz w:val="24"/>
      <w:szCs w:val="24"/>
    </w:rPr>
  </w:style>
  <w:style w:type="paragraph" w:styleId="738">
    <w:name w:val="Quote"/>
    <w:basedOn w:val="678"/>
    <w:next w:val="678"/>
    <w:link w:val="739"/>
    <w:uiPriority w:val="29"/>
    <w:qFormat/>
    <w:pPr>
      <w:ind w:left="720" w:right="720"/>
    </w:pPr>
    <w:rPr>
      <w:i/>
    </w:rPr>
  </w:style>
  <w:style w:type="character" w:styleId="739" w:customStyle="1">
    <w:name w:val="引用 字符"/>
    <w:link w:val="738"/>
    <w:uiPriority w:val="29"/>
    <w:qFormat/>
    <w:rPr>
      <w:i/>
    </w:rPr>
  </w:style>
  <w:style w:type="paragraph" w:styleId="740">
    <w:name w:val="Intense Quote"/>
    <w:basedOn w:val="678"/>
    <w:next w:val="678"/>
    <w:link w:val="7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customStyle="1">
    <w:name w:val="明显引用 字符"/>
    <w:link w:val="740"/>
    <w:uiPriority w:val="30"/>
    <w:qFormat/>
    <w:rPr>
      <w:i/>
    </w:rPr>
  </w:style>
  <w:style w:type="character" w:styleId="742" w:customStyle="1">
    <w:name w:val="页眉 字符"/>
    <w:link w:val="707"/>
    <w:uiPriority w:val="99"/>
    <w:qFormat/>
  </w:style>
  <w:style w:type="character" w:styleId="743" w:customStyle="1">
    <w:name w:val="Footer Char"/>
    <w:uiPriority w:val="99"/>
    <w:qFormat/>
  </w:style>
  <w:style w:type="character" w:styleId="744" w:customStyle="1">
    <w:name w:val="页脚 字符"/>
    <w:link w:val="706"/>
    <w:uiPriority w:val="99"/>
    <w:qFormat/>
  </w:style>
  <w:style w:type="table" w:styleId="74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4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9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0" w:customStyle="1">
    <w:name w:val="清单表 1 浅色1"/>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2"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3"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4"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5"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6"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清单表 6 彩色1"/>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6"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7"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8"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9"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0"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1"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2" w:customStyle="1">
    <w:name w:val="清单表 7 彩色1"/>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4"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6"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8"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9"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0"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1"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2"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3"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4"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5"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0" w:customStyle="1">
    <w:name w:val="脚注文本 字符1"/>
    <w:link w:val="711"/>
    <w:uiPriority w:val="99"/>
    <w:qFormat/>
    <w:rPr>
      <w:sz w:val="18"/>
    </w:rPr>
  </w:style>
  <w:style w:type="character" w:styleId="871" w:customStyle="1">
    <w:name w:val="尾注文本 字符"/>
    <w:link w:val="704"/>
    <w:uiPriority w:val="99"/>
    <w:qFormat/>
    <w:rPr>
      <w:sz w:val="20"/>
    </w:rPr>
  </w:style>
  <w:style w:type="paragraph" w:styleId="872" w:customStyle="1">
    <w:name w:val="TOC 标题1"/>
    <w:uiPriority w:val="39"/>
    <w:unhideWhenUsed/>
    <w:qFormat/>
    <w:rPr>
      <w:rFonts w:ascii="Calibri" w:hAnsi="Calibri" w:eastAsia="宋体" w:cs="Times New Roman"/>
      <w:lang w:val="en-US" w:eastAsia="zh-CN" w:bidi="ar-SA"/>
    </w:rPr>
  </w:style>
  <w:style w:type="paragraph" w:styleId="873" w:customStyle="1">
    <w:name w:val="标题 11"/>
    <w:basedOn w:val="678"/>
    <w:next w:val="678"/>
    <w:link w:val="885"/>
    <w:uiPriority w:val="9"/>
    <w:qFormat/>
    <w:pPr>
      <w:jc w:val="center"/>
      <w:keepNext/>
      <w:outlineLvl w:val="0"/>
    </w:pPr>
    <w:rPr>
      <w:rFonts w:ascii="楷体_GB2312" w:hAnsi="Times New Roman" w:eastAsia="楷体_GB2312"/>
      <w:sz w:val="28"/>
      <w:szCs w:val="28"/>
    </w:rPr>
  </w:style>
  <w:style w:type="paragraph" w:styleId="874" w:customStyle="1">
    <w:name w:val="标题 21"/>
    <w:basedOn w:val="678"/>
    <w:next w:val="875"/>
    <w:link w:val="88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5" w:customStyle="1">
    <w:name w:val="正文缩进1"/>
    <w:basedOn w:val="678"/>
    <w:link w:val="896"/>
    <w:uiPriority w:val="0"/>
    <w:qFormat/>
    <w:pPr>
      <w:ind w:firstLine="420"/>
    </w:pPr>
    <w:rPr>
      <w:szCs w:val="21"/>
    </w:rPr>
  </w:style>
  <w:style w:type="paragraph" w:styleId="876" w:customStyle="1">
    <w:name w:val="标题 31"/>
    <w:basedOn w:val="678"/>
    <w:next w:val="875"/>
    <w:link w:val="887"/>
    <w:uiPriority w:val="0"/>
    <w:qFormat/>
    <w:pPr>
      <w:keepLines/>
      <w:keepNext/>
      <w:spacing w:before="260" w:after="260" w:line="416" w:lineRule="auto"/>
      <w:outlineLvl w:val="2"/>
    </w:pPr>
    <w:rPr>
      <w:rFonts w:ascii="Times New Roman" w:hAnsi="Times New Roman"/>
      <w:b/>
      <w:bCs/>
      <w:sz w:val="32"/>
      <w:szCs w:val="32"/>
    </w:rPr>
  </w:style>
  <w:style w:type="paragraph" w:styleId="877" w:customStyle="1">
    <w:name w:val="标题 41"/>
    <w:basedOn w:val="678"/>
    <w:next w:val="875"/>
    <w:link w:val="888"/>
    <w:uiPriority w:val="0"/>
    <w:qFormat/>
    <w:pPr>
      <w:keepLines/>
      <w:keepNext/>
      <w:spacing w:before="280" w:after="290" w:line="376" w:lineRule="auto"/>
      <w:outlineLvl w:val="3"/>
    </w:pPr>
    <w:rPr>
      <w:rFonts w:ascii="Arial" w:hAnsi="Arial" w:eastAsia="黑体" w:cs="Arial"/>
      <w:b/>
      <w:bCs/>
      <w:sz w:val="28"/>
      <w:szCs w:val="28"/>
    </w:rPr>
  </w:style>
  <w:style w:type="paragraph" w:styleId="878" w:customStyle="1">
    <w:name w:val="标题 51"/>
    <w:basedOn w:val="678"/>
    <w:next w:val="875"/>
    <w:link w:val="889"/>
    <w:uiPriority w:val="0"/>
    <w:qFormat/>
    <w:pPr>
      <w:keepNext/>
      <w:outlineLvl w:val="4"/>
    </w:pPr>
    <w:rPr>
      <w:rFonts w:ascii="宋体" w:hAnsi="Times New Roman"/>
      <w:color w:val="000000"/>
      <w:sz w:val="28"/>
      <w:szCs w:val="28"/>
    </w:rPr>
  </w:style>
  <w:style w:type="paragraph" w:styleId="879" w:customStyle="1">
    <w:name w:val="标题 61"/>
    <w:basedOn w:val="678"/>
    <w:next w:val="678"/>
    <w:link w:val="89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80" w:customStyle="1">
    <w:name w:val="标题 71"/>
    <w:basedOn w:val="678"/>
    <w:next w:val="678"/>
    <w:link w:val="891"/>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881" w:customStyle="1">
    <w:name w:val="标题 81"/>
    <w:basedOn w:val="678"/>
    <w:next w:val="678"/>
    <w:link w:val="89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82" w:customStyle="1">
    <w:name w:val="标题 91"/>
    <w:basedOn w:val="678"/>
    <w:next w:val="678"/>
    <w:link w:val="893"/>
    <w:uiPriority w:val="0"/>
    <w:qFormat/>
    <w:pPr>
      <w:numPr>
        <w:ilvl w:val="8"/>
        <w:numId w:val="1"/>
      </w:numPr>
      <w:keepLines/>
      <w:keepNext/>
      <w:spacing w:before="240" w:after="64" w:line="320" w:lineRule="auto"/>
      <w:outlineLvl w:val="8"/>
    </w:pPr>
    <w:rPr>
      <w:rFonts w:ascii="Arial" w:hAnsi="Arial" w:eastAsia="黑体"/>
      <w:szCs w:val="21"/>
    </w:rPr>
  </w:style>
  <w:style w:type="character" w:styleId="883" w:customStyle="1">
    <w:name w:val="默认段落字体1"/>
    <w:uiPriority w:val="1"/>
    <w:semiHidden/>
    <w:unhideWhenUsed/>
    <w:qFormat/>
  </w:style>
  <w:style w:type="table" w:styleId="884" w:customStyle="1">
    <w:name w:val="普通表格1"/>
    <w:uiPriority w:val="99"/>
    <w:semiHidden/>
    <w:unhideWhenUsed/>
    <w:qFormat/>
    <w:tblPr>
      <w:tblLayout w:type="fixed"/>
      <w:tblCellMar>
        <w:left w:w="0" w:type="dxa"/>
        <w:top w:w="0" w:type="dxa"/>
        <w:right w:w="0" w:type="dxa"/>
        <w:bottom w:w="0" w:type="dxa"/>
      </w:tblCellMar>
    </w:tblPr>
  </w:style>
  <w:style w:type="character" w:styleId="885" w:customStyle="1">
    <w:name w:val="标题 1 Char"/>
    <w:link w:val="873"/>
    <w:uiPriority w:val="0"/>
    <w:qFormat/>
    <w:rPr>
      <w:rFonts w:ascii="楷体_GB2312" w:hAnsi="Times New Roman" w:eastAsia="楷体_GB2312" w:cs="Times New Roman"/>
      <w:sz w:val="28"/>
      <w:szCs w:val="28"/>
    </w:rPr>
  </w:style>
  <w:style w:type="character" w:styleId="886" w:customStyle="1">
    <w:name w:val="标题 2 Char"/>
    <w:link w:val="874"/>
    <w:uiPriority w:val="0"/>
    <w:qFormat/>
    <w:rPr>
      <w:rFonts w:ascii="Arial" w:hAnsi="Arial" w:eastAsia="幼圆" w:cs="Arial"/>
      <w:b/>
      <w:bCs/>
      <w:sz w:val="44"/>
      <w:szCs w:val="44"/>
    </w:rPr>
  </w:style>
  <w:style w:type="character" w:styleId="887" w:customStyle="1">
    <w:name w:val="标题 3 Char"/>
    <w:link w:val="876"/>
    <w:uiPriority w:val="0"/>
    <w:qFormat/>
    <w:rPr>
      <w:rFonts w:ascii="Times New Roman" w:hAnsi="Times New Roman" w:eastAsia="宋体" w:cs="Times New Roman"/>
      <w:b/>
      <w:bCs/>
      <w:sz w:val="32"/>
      <w:szCs w:val="32"/>
    </w:rPr>
  </w:style>
  <w:style w:type="character" w:styleId="888" w:customStyle="1">
    <w:name w:val="标题 4 Char"/>
    <w:link w:val="877"/>
    <w:uiPriority w:val="0"/>
    <w:qFormat/>
    <w:rPr>
      <w:rFonts w:ascii="Arial" w:hAnsi="Arial" w:eastAsia="黑体" w:cs="Arial"/>
      <w:b/>
      <w:bCs/>
      <w:sz w:val="28"/>
      <w:szCs w:val="28"/>
    </w:rPr>
  </w:style>
  <w:style w:type="character" w:styleId="889" w:customStyle="1">
    <w:name w:val="标题 5 Char"/>
    <w:link w:val="878"/>
    <w:uiPriority w:val="0"/>
    <w:qFormat/>
    <w:rPr>
      <w:rFonts w:ascii="宋体" w:hAnsi="Times New Roman" w:eastAsia="宋体" w:cs="Times New Roman"/>
      <w:color w:val="000000"/>
      <w:sz w:val="28"/>
      <w:szCs w:val="28"/>
    </w:rPr>
  </w:style>
  <w:style w:type="character" w:styleId="890" w:customStyle="1">
    <w:name w:val="标题 6 Char"/>
    <w:link w:val="879"/>
    <w:uiPriority w:val="0"/>
    <w:qFormat/>
    <w:rPr>
      <w:rFonts w:ascii="Arial" w:hAnsi="Arial" w:eastAsia="黑体" w:cs="Times New Roman"/>
      <w:b/>
      <w:bCs/>
      <w:sz w:val="24"/>
      <w:szCs w:val="24"/>
    </w:rPr>
  </w:style>
  <w:style w:type="character" w:styleId="891" w:customStyle="1">
    <w:name w:val="标题 7 Char"/>
    <w:link w:val="880"/>
    <w:uiPriority w:val="0"/>
    <w:qFormat/>
    <w:rPr>
      <w:rFonts w:ascii="Times New Roman" w:hAnsi="Times New Roman" w:eastAsia="宋体" w:cs="Times New Roman"/>
      <w:b/>
      <w:bCs/>
      <w:sz w:val="24"/>
      <w:szCs w:val="24"/>
    </w:rPr>
  </w:style>
  <w:style w:type="character" w:styleId="892" w:customStyle="1">
    <w:name w:val="标题 8 Char"/>
    <w:link w:val="881"/>
    <w:uiPriority w:val="0"/>
    <w:qFormat/>
    <w:rPr>
      <w:rFonts w:ascii="Arial" w:hAnsi="Arial" w:eastAsia="黑体" w:cs="Times New Roman"/>
      <w:sz w:val="24"/>
      <w:szCs w:val="24"/>
    </w:rPr>
  </w:style>
  <w:style w:type="character" w:styleId="893" w:customStyle="1">
    <w:name w:val="标题 9 Char"/>
    <w:link w:val="882"/>
    <w:uiPriority w:val="0"/>
    <w:qFormat/>
    <w:rPr>
      <w:rFonts w:ascii="Arial" w:hAnsi="Arial" w:eastAsia="黑体" w:cs="Times New Roman"/>
      <w:szCs w:val="21"/>
    </w:rPr>
  </w:style>
  <w:style w:type="character" w:styleId="894" w:customStyle="1">
    <w:name w:val="访问过的超链接1"/>
    <w:uiPriority w:val="0"/>
    <w:qFormat/>
    <w:rPr>
      <w:color w:val="800080"/>
      <w:u w:val="single"/>
    </w:rPr>
  </w:style>
  <w:style w:type="character" w:styleId="895" w:customStyle="1">
    <w:name w:val="font5 Char"/>
    <w:uiPriority w:val="0"/>
    <w:qFormat/>
    <w:rPr>
      <w:rFonts w:ascii="宋体" w:hAnsi="宋体" w:eastAsia="宋体"/>
      <w:sz w:val="28"/>
      <w:szCs w:val="28"/>
      <w:lang w:val="en-US" w:eastAsia="zh-CN" w:bidi="ar-SA"/>
    </w:rPr>
  </w:style>
  <w:style w:type="character" w:styleId="896" w:customStyle="1">
    <w:name w:val="正文缩进 Char"/>
    <w:link w:val="875"/>
    <w:uiPriority w:val="0"/>
    <w:qFormat/>
    <w:rPr>
      <w:szCs w:val="21"/>
    </w:rPr>
  </w:style>
  <w:style w:type="character" w:styleId="897" w:customStyle="1">
    <w:name w:val="批注引用1"/>
    <w:uiPriority w:val="0"/>
    <w:qFormat/>
    <w:rPr>
      <w:sz w:val="21"/>
      <w:szCs w:val="21"/>
    </w:rPr>
  </w:style>
  <w:style w:type="character" w:styleId="898" w:customStyle="1">
    <w:name w:val="要点1"/>
    <w:uiPriority w:val="22"/>
    <w:qFormat/>
    <w:rPr>
      <w:b/>
      <w:bCs/>
    </w:rPr>
  </w:style>
  <w:style w:type="character" w:styleId="899" w:customStyle="1">
    <w:name w:val="超链接1"/>
    <w:uiPriority w:val="99"/>
    <w:qFormat/>
    <w:rPr>
      <w:color w:val="0000ff"/>
      <w:u w:val="single"/>
    </w:rPr>
  </w:style>
  <w:style w:type="character" w:styleId="900" w:customStyle="1">
    <w:name w:val="页码1"/>
    <w:uiPriority w:val="0"/>
    <w:qFormat/>
  </w:style>
  <w:style w:type="character" w:styleId="901" w:customStyle="1">
    <w:name w:val="二级目录 Char"/>
    <w:link w:val="902"/>
    <w:uiPriority w:val="0"/>
    <w:qFormat/>
    <w:rPr>
      <w:b/>
      <w:sz w:val="30"/>
      <w:szCs w:val="28"/>
    </w:rPr>
  </w:style>
  <w:style w:type="paragraph" w:styleId="902" w:customStyle="1">
    <w:name w:val="二级目录"/>
    <w:next w:val="678"/>
    <w:link w:val="901"/>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903" w:customStyle="1">
    <w:name w:val="列出段落 Char"/>
    <w:link w:val="904"/>
    <w:uiPriority w:val="0"/>
    <w:qFormat/>
    <w:rPr>
      <w:rFonts w:ascii="Calibri" w:hAnsi="Calibri"/>
      <w:sz w:val="24"/>
      <w:szCs w:val="24"/>
      <w:lang w:eastAsia="en-US" w:bidi="en-US"/>
    </w:rPr>
  </w:style>
  <w:style w:type="paragraph" w:styleId="904" w:customStyle="1">
    <w:name w:val="列出段落1"/>
    <w:basedOn w:val="678"/>
    <w:link w:val="903"/>
    <w:uiPriority w:val="0"/>
    <w:qFormat/>
    <w:pPr>
      <w:contextualSpacing/>
      <w:ind w:left="720"/>
      <w:jc w:val="left"/>
      <w:widowControl/>
    </w:pPr>
    <w:rPr>
      <w:sz w:val="24"/>
      <w:szCs w:val="24"/>
      <w:lang w:eastAsia="en-US" w:bidi="en-US"/>
    </w:rPr>
  </w:style>
  <w:style w:type="paragraph" w:styleId="905" w:customStyle="1">
    <w:name w:val="Body Text(ch)"/>
    <w:basedOn w:val="678"/>
    <w:next w:val="906"/>
    <w:uiPriority w:val="0"/>
    <w:qFormat/>
    <w:pPr>
      <w:spacing w:after="120"/>
    </w:pPr>
    <w:rPr>
      <w:rFonts w:ascii="宋体" w:hAnsi="Arial"/>
      <w:bCs/>
      <w:iCs/>
      <w:szCs w:val="24"/>
    </w:rPr>
  </w:style>
  <w:style w:type="paragraph" w:styleId="906" w:customStyle="1">
    <w:name w:val="正文文本1"/>
    <w:basedOn w:val="678"/>
    <w:link w:val="911"/>
    <w:uiPriority w:val="0"/>
    <w:qFormat/>
    <w:rPr>
      <w:rFonts w:ascii="楷体_GB2312" w:hAnsi="Arial" w:eastAsia="楷体_GB2312"/>
      <w:sz w:val="28"/>
      <w:szCs w:val="28"/>
    </w:rPr>
  </w:style>
  <w:style w:type="paragraph" w:styleId="907" w:customStyle="1">
    <w:name w:val="目录 91"/>
    <w:basedOn w:val="678"/>
    <w:next w:val="678"/>
    <w:uiPriority w:val="0"/>
    <w:semiHidden/>
    <w:qFormat/>
    <w:pPr>
      <w:ind w:left="1680"/>
      <w:jc w:val="left"/>
    </w:pPr>
    <w:rPr>
      <w:rFonts w:ascii="Times New Roman" w:hAnsi="Times New Roman"/>
      <w:szCs w:val="21"/>
    </w:rPr>
  </w:style>
  <w:style w:type="paragraph" w:styleId="908" w:customStyle="1">
    <w:name w:val="xl27"/>
    <w:basedOn w:val="67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09" w:customStyle="1">
    <w:name w:val="正文文本缩进 21"/>
    <w:basedOn w:val="678"/>
    <w:link w:val="910"/>
    <w:uiPriority w:val="0"/>
    <w:qFormat/>
    <w:pPr>
      <w:ind w:left="630" w:firstLine="645"/>
    </w:pPr>
    <w:rPr>
      <w:rFonts w:ascii="Arial" w:hAnsi="Arial" w:eastAsia="仿宋_GB2312" w:cs="Arial"/>
      <w:sz w:val="32"/>
      <w:szCs w:val="32"/>
    </w:rPr>
  </w:style>
  <w:style w:type="character" w:styleId="910" w:customStyle="1">
    <w:name w:val="正文文本缩进 2 Char"/>
    <w:link w:val="909"/>
    <w:uiPriority w:val="0"/>
    <w:qFormat/>
    <w:rPr>
      <w:rFonts w:ascii="Arial" w:hAnsi="Arial" w:eastAsia="仿宋_GB2312" w:cs="Arial"/>
      <w:sz w:val="32"/>
      <w:szCs w:val="32"/>
    </w:rPr>
  </w:style>
  <w:style w:type="character" w:styleId="911" w:customStyle="1">
    <w:name w:val="正文文本 Char"/>
    <w:link w:val="906"/>
    <w:uiPriority w:val="0"/>
    <w:qFormat/>
    <w:rPr>
      <w:rFonts w:ascii="楷体_GB2312" w:hAnsi="Arial" w:eastAsia="楷体_GB2312" w:cs="Times New Roman"/>
      <w:sz w:val="28"/>
      <w:szCs w:val="28"/>
    </w:rPr>
  </w:style>
  <w:style w:type="paragraph" w:styleId="912" w:customStyle="1">
    <w:name w:val="图表目录1"/>
    <w:basedOn w:val="678"/>
    <w:next w:val="678"/>
    <w:uiPriority w:val="0"/>
    <w:semiHidden/>
    <w:qFormat/>
    <w:pPr>
      <w:ind w:left="840" w:hanging="420"/>
    </w:pPr>
    <w:rPr>
      <w:rFonts w:ascii="Times New Roman" w:hAnsi="Times New Roman"/>
      <w:szCs w:val="21"/>
    </w:rPr>
  </w:style>
  <w:style w:type="paragraph" w:styleId="913" w:customStyle="1">
    <w:name w:val="xl26"/>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14" w:customStyle="1">
    <w:name w:val="Char"/>
    <w:basedOn w:val="678"/>
    <w:uiPriority w:val="0"/>
    <w:qFormat/>
    <w:pPr>
      <w:ind w:firstLine="200"/>
      <w:tabs>
        <w:tab w:val="left" w:pos="360" w:leader="none"/>
      </w:tabs>
    </w:pPr>
    <w:rPr>
      <w:rFonts w:ascii="Times New Roman" w:hAnsi="Times New Roman"/>
      <w:sz w:val="28"/>
      <w:szCs w:val="30"/>
    </w:rPr>
  </w:style>
  <w:style w:type="paragraph" w:styleId="915" w:customStyle="1">
    <w:name w:val="Char1"/>
    <w:basedOn w:val="916"/>
    <w:uiPriority w:val="0"/>
    <w:qFormat/>
    <w:rPr>
      <w:rFonts w:ascii="Tahoma" w:hAnsi="Tahoma"/>
      <w:sz w:val="24"/>
      <w:szCs w:val="24"/>
    </w:rPr>
  </w:style>
  <w:style w:type="paragraph" w:styleId="916" w:customStyle="1">
    <w:name w:val="文档结构图1"/>
    <w:basedOn w:val="678"/>
    <w:link w:val="940"/>
    <w:uiPriority w:val="0"/>
    <w:semiHidden/>
    <w:qFormat/>
    <w:pPr>
      <w:shd w:val="clear" w:color="auto" w:fill="000080"/>
    </w:pPr>
    <w:rPr>
      <w:rFonts w:ascii="Times New Roman" w:hAnsi="Times New Roman"/>
      <w:szCs w:val="21"/>
    </w:rPr>
  </w:style>
  <w:style w:type="paragraph" w:styleId="917" w:customStyle="1">
    <w:name w:val="批注文字1"/>
    <w:basedOn w:val="678"/>
    <w:link w:val="918"/>
    <w:uiPriority w:val="0"/>
    <w:unhideWhenUsed/>
    <w:qFormat/>
    <w:pPr>
      <w:jc w:val="left"/>
    </w:pPr>
  </w:style>
  <w:style w:type="character" w:styleId="918" w:customStyle="1">
    <w:name w:val="批注文字 Char"/>
    <w:basedOn w:val="883"/>
    <w:link w:val="917"/>
    <w:uiPriority w:val="0"/>
    <w:qFormat/>
  </w:style>
  <w:style w:type="paragraph" w:styleId="919" w:customStyle="1">
    <w:name w:val="批注主题1"/>
    <w:basedOn w:val="917"/>
    <w:next w:val="917"/>
    <w:link w:val="920"/>
    <w:uiPriority w:val="0"/>
    <w:qFormat/>
    <w:rPr>
      <w:rFonts w:ascii="Times New Roman" w:hAnsi="Times New Roman"/>
      <w:b/>
      <w:bCs/>
      <w:szCs w:val="21"/>
    </w:rPr>
  </w:style>
  <w:style w:type="character" w:styleId="920" w:customStyle="1">
    <w:name w:val="批注主题 Char"/>
    <w:link w:val="919"/>
    <w:uiPriority w:val="0"/>
    <w:semiHidden/>
    <w:qFormat/>
    <w:rPr>
      <w:rFonts w:ascii="Times New Roman" w:hAnsi="Times New Roman" w:eastAsia="宋体" w:cs="Times New Roman"/>
      <w:b/>
      <w:bCs/>
      <w:szCs w:val="21"/>
    </w:rPr>
  </w:style>
  <w:style w:type="paragraph" w:styleId="921" w:customStyle="1">
    <w:name w:val="索引 11"/>
    <w:basedOn w:val="678"/>
    <w:next w:val="678"/>
    <w:uiPriority w:val="0"/>
    <w:semiHidden/>
    <w:qFormat/>
    <w:pPr>
      <w:spacing w:line="240" w:lineRule="atLeast"/>
    </w:pPr>
    <w:rPr>
      <w:rFonts w:ascii="Times New Roman" w:hAnsi="Times New Roman"/>
      <w:b/>
      <w:bCs/>
      <w:szCs w:val="21"/>
    </w:rPr>
  </w:style>
  <w:style w:type="paragraph" w:styleId="922" w:customStyle="1">
    <w:name w:val="普通正文"/>
    <w:basedOn w:val="678"/>
    <w:link w:val="1039"/>
    <w:uiPriority w:val="0"/>
    <w:qFormat/>
    <w:pPr>
      <w:ind w:firstLine="480"/>
      <w:jc w:val="left"/>
      <w:spacing w:before="120" w:after="120" w:line="360" w:lineRule="auto"/>
    </w:pPr>
    <w:rPr>
      <w:rFonts w:ascii="Arial" w:hAnsi="Arial"/>
      <w:sz w:val="24"/>
      <w:szCs w:val="24"/>
    </w:rPr>
  </w:style>
  <w:style w:type="paragraph" w:styleId="923" w:customStyle="1">
    <w:name w:val="table_lines"/>
    <w:basedOn w:val="678"/>
    <w:uiPriority w:val="0"/>
    <w:qFormat/>
    <w:pPr>
      <w:jc w:val="left"/>
      <w:widowControl/>
    </w:pPr>
    <w:rPr>
      <w:rFonts w:ascii="Times New Roman" w:hAnsi="Times New Roman"/>
      <w:sz w:val="20"/>
      <w:szCs w:val="20"/>
      <w:lang w:val="de-DE" w:eastAsia="de-DE"/>
    </w:rPr>
  </w:style>
  <w:style w:type="paragraph" w:styleId="924"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25" w:customStyle="1">
    <w:name w:val="目录 31"/>
    <w:basedOn w:val="678"/>
    <w:next w:val="678"/>
    <w:uiPriority w:val="39"/>
    <w:qFormat/>
    <w:pPr>
      <w:ind w:left="420"/>
      <w:jc w:val="left"/>
    </w:pPr>
    <w:rPr>
      <w:rFonts w:ascii="Times New Roman" w:hAnsi="Times New Roman"/>
      <w:i/>
      <w:iCs/>
      <w:szCs w:val="24"/>
    </w:rPr>
  </w:style>
  <w:style w:type="paragraph" w:styleId="926" w:customStyle="1">
    <w:name w:val="正文文本缩进1"/>
    <w:basedOn w:val="678"/>
    <w:link w:val="927"/>
    <w:uiPriority w:val="0"/>
    <w:unhideWhenUsed/>
    <w:qFormat/>
    <w:pPr>
      <w:ind w:left="420"/>
      <w:spacing w:after="120"/>
    </w:pPr>
  </w:style>
  <w:style w:type="character" w:styleId="927" w:customStyle="1">
    <w:name w:val="正文文本缩进 Char"/>
    <w:basedOn w:val="883"/>
    <w:link w:val="926"/>
    <w:uiPriority w:val="99"/>
    <w:semiHidden/>
    <w:qFormat/>
  </w:style>
  <w:style w:type="paragraph" w:styleId="928" w:customStyle="1">
    <w:name w:val="正文首行缩进 21"/>
    <w:basedOn w:val="926"/>
    <w:link w:val="929"/>
    <w:uiPriority w:val="0"/>
    <w:qFormat/>
    <w:pPr>
      <w:ind w:left="0" w:firstLine="420"/>
      <w:spacing w:after="0" w:line="360" w:lineRule="auto"/>
    </w:pPr>
    <w:rPr>
      <w:rFonts w:ascii="宋体" w:hAnsi="宋体"/>
      <w:szCs w:val="20"/>
    </w:rPr>
  </w:style>
  <w:style w:type="character" w:styleId="929" w:customStyle="1">
    <w:name w:val="正文首行缩进 2 Char"/>
    <w:link w:val="928"/>
    <w:uiPriority w:val="0"/>
    <w:qFormat/>
    <w:rPr>
      <w:rFonts w:ascii="宋体" w:hAnsi="宋体" w:eastAsia="宋体" w:cs="Times New Roman"/>
      <w:szCs w:val="20"/>
    </w:rPr>
  </w:style>
  <w:style w:type="paragraph" w:styleId="930" w:customStyle="1">
    <w:name w:val="正文文本缩进 31"/>
    <w:basedOn w:val="678"/>
    <w:link w:val="931"/>
    <w:uiPriority w:val="0"/>
    <w:qFormat/>
    <w:pPr>
      <w:ind w:left="645" w:firstLine="645"/>
    </w:pPr>
    <w:rPr>
      <w:rFonts w:ascii="Arial" w:hAnsi="Arial" w:eastAsia="仿宋_GB2312" w:cs="Arial"/>
      <w:color w:val="ffff00"/>
      <w:sz w:val="32"/>
      <w:szCs w:val="32"/>
    </w:rPr>
  </w:style>
  <w:style w:type="character" w:styleId="931" w:customStyle="1">
    <w:name w:val="正文文本缩进 3 Char"/>
    <w:link w:val="930"/>
    <w:uiPriority w:val="0"/>
    <w:qFormat/>
    <w:rPr>
      <w:rFonts w:ascii="Arial" w:hAnsi="Arial" w:eastAsia="仿宋_GB2312" w:cs="Arial"/>
      <w:color w:val="ffff00"/>
      <w:sz w:val="32"/>
      <w:szCs w:val="32"/>
    </w:rPr>
  </w:style>
  <w:style w:type="paragraph" w:styleId="932" w:customStyle="1">
    <w:name w:val="目录 61"/>
    <w:basedOn w:val="678"/>
    <w:next w:val="678"/>
    <w:uiPriority w:val="0"/>
    <w:semiHidden/>
    <w:qFormat/>
    <w:pPr>
      <w:ind w:left="1050"/>
      <w:jc w:val="left"/>
    </w:pPr>
    <w:rPr>
      <w:rFonts w:ascii="Times New Roman" w:hAnsi="Times New Roman"/>
      <w:szCs w:val="21"/>
    </w:rPr>
  </w:style>
  <w:style w:type="paragraph" w:styleId="933" w:customStyle="1">
    <w:name w:val="font7"/>
    <w:basedOn w:val="678"/>
    <w:uiPriority w:val="0"/>
    <w:qFormat/>
    <w:pPr>
      <w:jc w:val="left"/>
      <w:spacing w:before="100" w:beforeAutospacing="1" w:after="100" w:afterAutospacing="1"/>
      <w:widowControl/>
    </w:pPr>
    <w:rPr>
      <w:rFonts w:hint="eastAsia" w:ascii="宋体" w:hAnsi="宋体"/>
      <w:sz w:val="18"/>
      <w:szCs w:val="18"/>
    </w:rPr>
  </w:style>
  <w:style w:type="paragraph" w:styleId="934" w:customStyle="1">
    <w:name w:val="Char Char Char Char"/>
    <w:basedOn w:val="916"/>
    <w:uiPriority w:val="0"/>
    <w:qFormat/>
    <w:pPr>
      <w:spacing w:line="360" w:lineRule="auto"/>
    </w:pPr>
    <w:rPr>
      <w:rFonts w:ascii="Tahoma" w:hAnsi="Tahoma"/>
      <w:sz w:val="24"/>
      <w:szCs w:val="24"/>
    </w:rPr>
  </w:style>
  <w:style w:type="paragraph" w:styleId="935" w:customStyle="1">
    <w:name w:val="正文文本 31"/>
    <w:basedOn w:val="678"/>
    <w:link w:val="936"/>
    <w:uiPriority w:val="0"/>
    <w:qFormat/>
    <w:rPr>
      <w:rFonts w:ascii="仿宋_GB2312" w:hAnsi="Arial" w:eastAsia="仿宋_GB2312"/>
      <w:sz w:val="32"/>
      <w:szCs w:val="32"/>
    </w:rPr>
  </w:style>
  <w:style w:type="character" w:styleId="936" w:customStyle="1">
    <w:name w:val="正文文本 3 Char"/>
    <w:link w:val="935"/>
    <w:uiPriority w:val="0"/>
    <w:qFormat/>
    <w:rPr>
      <w:rFonts w:ascii="仿宋_GB2312" w:hAnsi="Arial" w:eastAsia="仿宋_GB2312" w:cs="Times New Roman"/>
      <w:sz w:val="32"/>
      <w:szCs w:val="32"/>
    </w:rPr>
  </w:style>
  <w:style w:type="paragraph" w:styleId="937" w:customStyle="1">
    <w:name w:val="普通(网站)1"/>
    <w:basedOn w:val="678"/>
    <w:uiPriority w:val="99"/>
    <w:qFormat/>
    <w:pPr>
      <w:jc w:val="left"/>
      <w:spacing w:before="100" w:beforeAutospacing="1" w:after="100" w:afterAutospacing="1"/>
      <w:widowControl/>
    </w:pPr>
    <w:rPr>
      <w:rFonts w:ascii="宋体" w:hAnsi="宋体" w:cs="宋体"/>
      <w:sz w:val="24"/>
      <w:szCs w:val="24"/>
    </w:rPr>
  </w:style>
  <w:style w:type="paragraph" w:styleId="938" w:customStyle="1">
    <w:name w:val="目录 41"/>
    <w:basedOn w:val="678"/>
    <w:next w:val="678"/>
    <w:uiPriority w:val="0"/>
    <w:semiHidden/>
    <w:qFormat/>
    <w:pPr>
      <w:ind w:left="630"/>
      <w:jc w:val="left"/>
    </w:pPr>
    <w:rPr>
      <w:rFonts w:ascii="Times New Roman" w:hAnsi="Times New Roman"/>
      <w:szCs w:val="21"/>
    </w:rPr>
  </w:style>
  <w:style w:type="paragraph" w:styleId="939" w:customStyle="1">
    <w:name w:val="列出段落2"/>
    <w:basedOn w:val="678"/>
    <w:link w:val="1015"/>
    <w:uiPriority w:val="34"/>
    <w:qFormat/>
    <w:pPr>
      <w:contextualSpacing/>
      <w:ind w:left="720"/>
      <w:jc w:val="left"/>
      <w:widowControl/>
    </w:pPr>
    <w:rPr>
      <w:sz w:val="24"/>
      <w:szCs w:val="24"/>
      <w:lang w:eastAsia="en-US" w:bidi="en-US"/>
    </w:rPr>
  </w:style>
  <w:style w:type="character" w:styleId="940" w:customStyle="1">
    <w:name w:val="文档结构图 Char"/>
    <w:link w:val="916"/>
    <w:uiPriority w:val="0"/>
    <w:semiHidden/>
    <w:qFormat/>
    <w:rPr>
      <w:rFonts w:ascii="Times New Roman" w:hAnsi="Times New Roman" w:eastAsia="宋体" w:cs="Times New Roman"/>
      <w:szCs w:val="21"/>
      <w:shd w:val="clear" w:color="auto" w:fill="000080"/>
    </w:rPr>
  </w:style>
  <w:style w:type="paragraph" w:styleId="941" w:customStyle="1">
    <w:name w:val="4"/>
    <w:basedOn w:val="678"/>
    <w:next w:val="930"/>
    <w:uiPriority w:val="0"/>
    <w:qFormat/>
    <w:pPr>
      <w:ind w:firstLine="420"/>
      <w:spacing w:line="360" w:lineRule="auto"/>
    </w:pPr>
    <w:rPr>
      <w:rFonts w:ascii="Times New Roman" w:hAnsi="Times New Roman"/>
      <w:color w:val="ff0000"/>
      <w:sz w:val="24"/>
      <w:szCs w:val="24"/>
    </w:rPr>
  </w:style>
  <w:style w:type="paragraph" w:styleId="942" w:customStyle="1">
    <w:name w:val="普通 (Web)"/>
    <w:basedOn w:val="678"/>
    <w:uiPriority w:val="0"/>
    <w:qFormat/>
    <w:pPr>
      <w:jc w:val="left"/>
      <w:spacing w:before="100" w:beforeAutospacing="1" w:after="100" w:afterAutospacing="1"/>
      <w:widowControl/>
    </w:pPr>
    <w:rPr>
      <w:rFonts w:ascii="宋体" w:hAnsi="宋体"/>
      <w:sz w:val="24"/>
      <w:szCs w:val="24"/>
    </w:rPr>
  </w:style>
  <w:style w:type="paragraph" w:styleId="943" w:customStyle="1">
    <w:name w:val="Char Char Char Char Char Char Char Char Char Char"/>
    <w:basedOn w:val="678"/>
    <w:uiPriority w:val="0"/>
    <w:qFormat/>
    <w:pPr>
      <w:spacing w:line="360" w:lineRule="auto"/>
    </w:pPr>
    <w:rPr>
      <w:rFonts w:ascii="Times New Roman" w:hAnsi="Times New Roman"/>
      <w:sz w:val="24"/>
      <w:szCs w:val="20"/>
    </w:rPr>
  </w:style>
  <w:style w:type="paragraph" w:styleId="944" w:customStyle="1">
    <w:name w:val="列表 21"/>
    <w:basedOn w:val="678"/>
    <w:uiPriority w:val="0"/>
    <w:qFormat/>
    <w:pPr>
      <w:ind w:left="100" w:hanging="200"/>
    </w:pPr>
    <w:rPr>
      <w:rFonts w:ascii="Times New Roman" w:hAnsi="Times New Roman"/>
      <w:szCs w:val="21"/>
    </w:rPr>
  </w:style>
  <w:style w:type="paragraph" w:styleId="945" w:customStyle="1">
    <w:name w:val="正文首行缩进1"/>
    <w:basedOn w:val="678"/>
    <w:link w:val="946"/>
    <w:uiPriority w:val="0"/>
    <w:qFormat/>
    <w:pPr>
      <w:ind w:firstLine="200"/>
      <w:spacing w:line="360" w:lineRule="auto"/>
    </w:pPr>
    <w:rPr>
      <w:rFonts w:ascii="仿宋_GB2312" w:hAnsi="Times New Roman" w:eastAsia="仿宋_GB2312"/>
      <w:sz w:val="30"/>
      <w:szCs w:val="30"/>
    </w:rPr>
  </w:style>
  <w:style w:type="character" w:styleId="946" w:customStyle="1">
    <w:name w:val="正文首行缩进 Char"/>
    <w:link w:val="945"/>
    <w:uiPriority w:val="0"/>
    <w:qFormat/>
    <w:rPr>
      <w:rFonts w:ascii="仿宋_GB2312" w:hAnsi="Times New Roman" w:eastAsia="仿宋_GB2312" w:cs="Times New Roman"/>
      <w:sz w:val="30"/>
      <w:szCs w:val="30"/>
    </w:rPr>
  </w:style>
  <w:style w:type="paragraph" w:styleId="947" w:customStyle="1">
    <w:name w:val="样式1"/>
    <w:basedOn w:val="678"/>
    <w:uiPriority w:val="0"/>
    <w:qFormat/>
    <w:pPr>
      <w:numPr>
        <w:ilvl w:val="0"/>
        <w:numId w:val="3"/>
      </w:numPr>
    </w:pPr>
    <w:rPr>
      <w:rFonts w:ascii="宋体" w:hAnsi="宋体"/>
      <w:szCs w:val="21"/>
    </w:rPr>
  </w:style>
  <w:style w:type="paragraph" w:styleId="948" w:customStyle="1">
    <w:name w:val="font6"/>
    <w:basedOn w:val="678"/>
    <w:uiPriority w:val="0"/>
    <w:qFormat/>
    <w:pPr>
      <w:jc w:val="left"/>
      <w:spacing w:before="100" w:beforeAutospacing="1" w:after="100" w:afterAutospacing="1"/>
      <w:widowControl/>
    </w:pPr>
    <w:rPr>
      <w:rFonts w:hint="eastAsia" w:ascii="宋体" w:hAnsi="宋体"/>
      <w:sz w:val="28"/>
      <w:szCs w:val="28"/>
      <w:u w:val="single"/>
    </w:rPr>
  </w:style>
  <w:style w:type="paragraph" w:styleId="949" w:customStyle="1">
    <w:name w:val="目录 51"/>
    <w:basedOn w:val="678"/>
    <w:next w:val="678"/>
    <w:uiPriority w:val="0"/>
    <w:semiHidden/>
    <w:qFormat/>
    <w:pPr>
      <w:ind w:left="840"/>
      <w:jc w:val="left"/>
    </w:pPr>
    <w:rPr>
      <w:rFonts w:ascii="Times New Roman" w:hAnsi="Times New Roman"/>
      <w:szCs w:val="21"/>
    </w:rPr>
  </w:style>
  <w:style w:type="paragraph" w:styleId="950" w:customStyle="1">
    <w:name w:val="目录 11"/>
    <w:basedOn w:val="678"/>
    <w:next w:val="678"/>
    <w:uiPriority w:val="39"/>
    <w:qFormat/>
    <w:pPr>
      <w:jc w:val="left"/>
      <w:spacing w:before="120" w:after="120" w:line="400" w:lineRule="exact"/>
      <w:tabs>
        <w:tab w:val="right" w:pos="8720" w:leader="dot"/>
      </w:tabs>
    </w:pPr>
    <w:rPr>
      <w:rFonts w:ascii="宋体" w:hAnsi="宋体"/>
      <w:caps/>
      <w:sz w:val="24"/>
      <w:szCs w:val="24"/>
    </w:rPr>
  </w:style>
  <w:style w:type="paragraph" w:styleId="951" w:customStyle="1">
    <w:name w:val="纯文本1"/>
    <w:basedOn w:val="678"/>
    <w:link w:val="952"/>
    <w:uiPriority w:val="0"/>
    <w:qFormat/>
    <w:rPr>
      <w:rFonts w:ascii="宋体" w:hAnsi="Courier New" w:cs="Courier New"/>
      <w:szCs w:val="21"/>
    </w:rPr>
  </w:style>
  <w:style w:type="character" w:styleId="952" w:customStyle="1">
    <w:name w:val="纯文本 Char"/>
    <w:link w:val="951"/>
    <w:uiPriority w:val="0"/>
    <w:qFormat/>
    <w:rPr>
      <w:rFonts w:ascii="宋体" w:hAnsi="Courier New" w:eastAsia="宋体" w:cs="Courier New"/>
      <w:szCs w:val="21"/>
    </w:rPr>
  </w:style>
  <w:style w:type="paragraph" w:styleId="953" w:customStyle="1">
    <w:name w:val="批注框文本1"/>
    <w:basedOn w:val="678"/>
    <w:link w:val="954"/>
    <w:uiPriority w:val="0"/>
    <w:qFormat/>
    <w:rPr>
      <w:rFonts w:ascii="Times New Roman" w:hAnsi="Times New Roman"/>
      <w:sz w:val="18"/>
      <w:szCs w:val="18"/>
    </w:rPr>
  </w:style>
  <w:style w:type="character" w:styleId="954" w:customStyle="1">
    <w:name w:val="批注框文本 Char"/>
    <w:link w:val="953"/>
    <w:uiPriority w:val="0"/>
    <w:semiHidden/>
    <w:qFormat/>
    <w:rPr>
      <w:rFonts w:ascii="Times New Roman" w:hAnsi="Times New Roman" w:eastAsia="宋体" w:cs="Times New Roman"/>
      <w:sz w:val="18"/>
      <w:szCs w:val="18"/>
    </w:rPr>
  </w:style>
  <w:style w:type="paragraph" w:styleId="955" w:customStyle="1">
    <w:name w:val="xl25"/>
    <w:basedOn w:val="67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6" w:customStyle="1">
    <w:name w:val="列表1"/>
    <w:basedOn w:val="678"/>
    <w:uiPriority w:val="0"/>
    <w:qFormat/>
    <w:pPr>
      <w:ind w:left="200" w:hanging="200"/>
    </w:pPr>
    <w:rPr>
      <w:rFonts w:ascii="Times New Roman" w:hAnsi="Times New Roman"/>
      <w:szCs w:val="21"/>
    </w:rPr>
  </w:style>
  <w:style w:type="paragraph" w:styleId="957" w:customStyle="1">
    <w:name w:val="图标"/>
    <w:basedOn w:val="678"/>
    <w:next w:val="67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958" w:customStyle="1">
    <w:name w:val="日期1"/>
    <w:basedOn w:val="678"/>
    <w:next w:val="678"/>
    <w:link w:val="959"/>
    <w:uiPriority w:val="0"/>
    <w:qFormat/>
    <w:rPr>
      <w:rFonts w:ascii="Times New Roman" w:hAnsi="Times New Roman"/>
      <w:sz w:val="24"/>
      <w:szCs w:val="24"/>
    </w:rPr>
  </w:style>
  <w:style w:type="character" w:styleId="959" w:customStyle="1">
    <w:name w:val="日期 Char"/>
    <w:link w:val="958"/>
    <w:uiPriority w:val="0"/>
    <w:qFormat/>
    <w:rPr>
      <w:rFonts w:ascii="Times New Roman" w:hAnsi="Times New Roman" w:eastAsia="宋体" w:cs="Times New Roman"/>
      <w:sz w:val="24"/>
      <w:szCs w:val="24"/>
    </w:rPr>
  </w:style>
  <w:style w:type="paragraph" w:styleId="960" w:customStyle="1">
    <w:name w:val="标题3"/>
    <w:basedOn w:val="678"/>
    <w:next w:val="678"/>
    <w:uiPriority w:val="0"/>
    <w:qFormat/>
    <w:pPr>
      <w:ind w:firstLine="624"/>
      <w:spacing w:line="590" w:lineRule="atLeast"/>
    </w:pPr>
    <w:rPr>
      <w:rFonts w:ascii="方正黑体_GBK" w:hAnsi="Times New Roman" w:eastAsia="方正黑体_GBK"/>
      <w:sz w:val="32"/>
      <w:szCs w:val="32"/>
    </w:rPr>
  </w:style>
  <w:style w:type="paragraph" w:styleId="961" w:customStyle="1">
    <w:name w:val="xl24"/>
    <w:basedOn w:val="67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2" w:customStyle="1">
    <w:name w:val="xl29"/>
    <w:basedOn w:val="67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63" w:customStyle="1">
    <w:name w:val="Char Char Char Char Char Char Char Char"/>
    <w:basedOn w:val="678"/>
    <w:uiPriority w:val="0"/>
    <w:qFormat/>
    <w:pPr>
      <w:jc w:val="left"/>
      <w:spacing w:after="160" w:line="240" w:lineRule="exact"/>
      <w:widowControl/>
    </w:pPr>
    <w:rPr>
      <w:rFonts w:ascii="Verdana" w:hAnsi="Verdana"/>
      <w:sz w:val="20"/>
      <w:szCs w:val="20"/>
      <w:lang w:eastAsia="en-US"/>
    </w:rPr>
  </w:style>
  <w:style w:type="paragraph" w:styleId="964" w:customStyle="1">
    <w:name w:val="正文文本 21"/>
    <w:basedOn w:val="678"/>
    <w:link w:val="965"/>
    <w:uiPriority w:val="0"/>
    <w:qFormat/>
    <w:pPr>
      <w:jc w:val="center"/>
      <w:widowControl/>
    </w:pPr>
    <w:rPr>
      <w:rFonts w:ascii="楷体_GB2312" w:hAnsi="Times New Roman" w:eastAsia="楷体_GB2312"/>
      <w:sz w:val="28"/>
      <w:szCs w:val="28"/>
    </w:rPr>
  </w:style>
  <w:style w:type="character" w:styleId="965" w:customStyle="1">
    <w:name w:val="正文文本 2 Char"/>
    <w:link w:val="964"/>
    <w:uiPriority w:val="0"/>
    <w:qFormat/>
    <w:rPr>
      <w:rFonts w:ascii="楷体_GB2312" w:hAnsi="Times New Roman" w:eastAsia="楷体_GB2312" w:cs="Times New Roman"/>
      <w:sz w:val="28"/>
      <w:szCs w:val="28"/>
    </w:rPr>
  </w:style>
  <w:style w:type="paragraph" w:styleId="966" w:customStyle="1">
    <w:name w:val="列表 31"/>
    <w:basedOn w:val="678"/>
    <w:uiPriority w:val="0"/>
    <w:qFormat/>
    <w:pPr>
      <w:ind w:left="100" w:hanging="200"/>
    </w:pPr>
    <w:rPr>
      <w:rFonts w:ascii="Times New Roman" w:hAnsi="Times New Roman"/>
      <w:szCs w:val="21"/>
    </w:rPr>
  </w:style>
  <w:style w:type="paragraph" w:styleId="967" w:customStyle="1">
    <w:name w:val="目录 71"/>
    <w:basedOn w:val="678"/>
    <w:next w:val="678"/>
    <w:uiPriority w:val="0"/>
    <w:semiHidden/>
    <w:qFormat/>
    <w:pPr>
      <w:ind w:left="1260"/>
      <w:jc w:val="left"/>
    </w:pPr>
    <w:rPr>
      <w:rFonts w:ascii="Times New Roman" w:hAnsi="Times New Roman"/>
      <w:szCs w:val="21"/>
    </w:rPr>
  </w:style>
  <w:style w:type="paragraph" w:styleId="968" w:customStyle="1">
    <w:name w:val="目录 21"/>
    <w:basedOn w:val="678"/>
    <w:next w:val="678"/>
    <w:uiPriority w:val="39"/>
    <w:qFormat/>
    <w:pPr>
      <w:ind w:left="210"/>
      <w:jc w:val="left"/>
      <w:tabs>
        <w:tab w:val="right" w:pos="8719" w:leader="none"/>
      </w:tabs>
    </w:pPr>
    <w:rPr>
      <w:rFonts w:ascii="Times New Roman" w:hAnsi="Times New Roman"/>
      <w:smallCaps/>
      <w:szCs w:val="24"/>
    </w:rPr>
  </w:style>
  <w:style w:type="paragraph" w:styleId="969" w:customStyle="1">
    <w:name w:val="xl28"/>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0" w:customStyle="1">
    <w:name w:val="页眉1"/>
    <w:basedOn w:val="678"/>
    <w:link w:val="971"/>
    <w:uiPriority w:val="0"/>
    <w:qFormat/>
    <w:pPr>
      <w:ind w:firstLine="361"/>
      <w:jc w:val="right"/>
      <w:tabs>
        <w:tab w:val="center" w:pos="4153" w:leader="none"/>
        <w:tab w:val="right" w:pos="8306" w:leader="none"/>
      </w:tabs>
      <w:pBdr>
        <w:bottom w:val="none" w:color="000000" w:sz="0" w:space="0"/>
      </w:pBdr>
    </w:pPr>
    <w:rPr>
      <w:rFonts w:ascii="Times New Roman" w:hAnsi="Times New Roman"/>
      <w:sz w:val="18"/>
      <w:szCs w:val="18"/>
    </w:rPr>
  </w:style>
  <w:style w:type="character" w:styleId="971" w:customStyle="1">
    <w:name w:val="页眉 Char"/>
    <w:link w:val="970"/>
    <w:uiPriority w:val="0"/>
    <w:qFormat/>
    <w:rPr>
      <w:rFonts w:ascii="Times New Roman" w:hAnsi="Times New Roman"/>
      <w:sz w:val="18"/>
      <w:szCs w:val="18"/>
    </w:rPr>
  </w:style>
  <w:style w:type="paragraph" w:styleId="972" w:customStyle="1">
    <w:name w:val="页脚1"/>
    <w:basedOn w:val="678"/>
    <w:link w:val="973"/>
    <w:uiPriority w:val="0"/>
    <w:qFormat/>
    <w:pPr>
      <w:jc w:val="left"/>
      <w:tabs>
        <w:tab w:val="center" w:pos="4153" w:leader="none"/>
        <w:tab w:val="right" w:pos="8306" w:leader="none"/>
      </w:tabs>
    </w:pPr>
    <w:rPr>
      <w:rFonts w:ascii="Times New Roman" w:hAnsi="Times New Roman"/>
      <w:sz w:val="18"/>
      <w:szCs w:val="18"/>
    </w:rPr>
  </w:style>
  <w:style w:type="character" w:styleId="973" w:customStyle="1">
    <w:name w:val="页脚 Char"/>
    <w:link w:val="972"/>
    <w:uiPriority w:val="0"/>
    <w:qFormat/>
    <w:rPr>
      <w:rFonts w:ascii="Times New Roman" w:hAnsi="Times New Roman" w:eastAsia="宋体" w:cs="Times New Roman"/>
      <w:sz w:val="18"/>
      <w:szCs w:val="18"/>
    </w:rPr>
  </w:style>
  <w:style w:type="paragraph" w:styleId="974" w:customStyle="1">
    <w:name w:val="Char Char Char Char Char Char Char Char1"/>
    <w:basedOn w:val="678"/>
    <w:uiPriority w:val="0"/>
    <w:qFormat/>
    <w:pPr>
      <w:jc w:val="left"/>
      <w:spacing w:after="160" w:line="240" w:lineRule="exact"/>
      <w:widowControl/>
    </w:pPr>
    <w:rPr>
      <w:rFonts w:ascii="Verdana" w:hAnsi="Verdana"/>
      <w:sz w:val="20"/>
      <w:szCs w:val="20"/>
      <w:lang w:eastAsia="en-US"/>
    </w:rPr>
  </w:style>
  <w:style w:type="paragraph" w:styleId="975" w:customStyle="1">
    <w:name w:val="目录 81"/>
    <w:basedOn w:val="678"/>
    <w:next w:val="678"/>
    <w:uiPriority w:val="0"/>
    <w:semiHidden/>
    <w:qFormat/>
    <w:pPr>
      <w:ind w:left="1470"/>
      <w:jc w:val="left"/>
    </w:pPr>
    <w:rPr>
      <w:rFonts w:ascii="Times New Roman" w:hAnsi="Times New Roman"/>
      <w:szCs w:val="21"/>
    </w:rPr>
  </w:style>
  <w:style w:type="paragraph" w:styleId="976" w:customStyle="1">
    <w:name w:val="xl30"/>
    <w:basedOn w:val="678"/>
    <w:uiPriority w:val="0"/>
    <w:qFormat/>
    <w:pPr>
      <w:jc w:val="center"/>
      <w:spacing w:before="100" w:beforeAutospacing="1" w:after="100" w:afterAutospacing="1"/>
      <w:widowControl/>
    </w:pPr>
    <w:rPr>
      <w:rFonts w:ascii="宋体" w:hAnsi="宋体"/>
      <w:b/>
      <w:bCs/>
      <w:sz w:val="36"/>
      <w:szCs w:val="36"/>
    </w:rPr>
  </w:style>
  <w:style w:type="paragraph" w:styleId="977" w:customStyle="1">
    <w:name w:val="Char Char Char Char1"/>
    <w:basedOn w:val="916"/>
    <w:uiPriority w:val="0"/>
    <w:qFormat/>
    <w:pPr>
      <w:spacing w:line="360" w:lineRule="auto"/>
    </w:pPr>
    <w:rPr>
      <w:rFonts w:ascii="Tahoma" w:hAnsi="Tahoma"/>
      <w:sz w:val="24"/>
      <w:szCs w:val="24"/>
    </w:rPr>
  </w:style>
  <w:style w:type="paragraph" w:styleId="978" w:customStyle="1">
    <w:name w:val="table_1stline"/>
    <w:basedOn w:val="678"/>
    <w:uiPriority w:val="0"/>
    <w:qFormat/>
    <w:pPr>
      <w:jc w:val="left"/>
      <w:spacing w:before="120"/>
      <w:widowControl/>
    </w:pPr>
    <w:rPr>
      <w:rFonts w:ascii="Times New Roman" w:hAnsi="Times New Roman"/>
      <w:bCs/>
      <w:sz w:val="20"/>
      <w:szCs w:val="20"/>
      <w:lang w:val="de-DE" w:eastAsia="de-DE"/>
    </w:rPr>
  </w:style>
  <w:style w:type="paragraph" w:styleId="979" w:customStyle="1">
    <w:name w:val="font5"/>
    <w:basedOn w:val="678"/>
    <w:uiPriority w:val="0"/>
    <w:qFormat/>
    <w:pPr>
      <w:jc w:val="left"/>
      <w:spacing w:before="100" w:beforeAutospacing="1" w:after="100" w:afterAutospacing="1"/>
      <w:widowControl/>
    </w:pPr>
    <w:rPr>
      <w:rFonts w:hint="eastAsia" w:ascii="宋体" w:hAnsi="宋体"/>
      <w:sz w:val="28"/>
      <w:szCs w:val="28"/>
    </w:rPr>
  </w:style>
  <w:style w:type="paragraph" w:styleId="980" w:customStyle="1">
    <w:name w:val="标题1"/>
    <w:basedOn w:val="678"/>
    <w:next w:val="678"/>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981" w:customStyle="1">
    <w:name w:val="修订1"/>
    <w:uiPriority w:val="99"/>
    <w:semiHidden/>
    <w:qFormat/>
    <w:rPr>
      <w:rFonts w:ascii="Times New Roman" w:hAnsi="Times New Roman" w:eastAsia="宋体" w:cs="Times New Roman"/>
      <w:sz w:val="21"/>
      <w:szCs w:val="21"/>
      <w:lang w:val="en-US" w:eastAsia="zh-CN" w:bidi="ar-SA"/>
    </w:rPr>
  </w:style>
  <w:style w:type="table" w:styleId="982" w:customStyle="1">
    <w:name w:val="网格型1"/>
    <w:basedOn w:val="884"/>
    <w:uiPriority w:val="0"/>
    <w:qFormat/>
    <w:pPr>
      <w:jc w:val="both"/>
      <w:widowControl w:val="off"/>
    </w:pPr>
    <w:tblPr/>
  </w:style>
  <w:style w:type="paragraph" w:styleId="983"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984" w:customStyle="1">
    <w:name w:val="索引 81"/>
    <w:basedOn w:val="678"/>
    <w:next w:val="678"/>
    <w:uiPriority w:val="0"/>
    <w:semiHidden/>
    <w:qFormat/>
    <w:pPr>
      <w:ind w:left="1400"/>
    </w:pPr>
    <w:rPr>
      <w:rFonts w:ascii="Times New Roman" w:hAnsi="Times New Roman"/>
      <w:szCs w:val="20"/>
    </w:rPr>
  </w:style>
  <w:style w:type="paragraph" w:styleId="985" w:customStyle="1">
    <w:name w:val="索引 51"/>
    <w:basedOn w:val="678"/>
    <w:next w:val="678"/>
    <w:uiPriority w:val="0"/>
    <w:semiHidden/>
    <w:qFormat/>
    <w:pPr>
      <w:ind w:left="800"/>
    </w:pPr>
    <w:rPr>
      <w:rFonts w:ascii="Times New Roman" w:hAnsi="Times New Roman"/>
      <w:szCs w:val="20"/>
    </w:rPr>
  </w:style>
  <w:style w:type="paragraph" w:styleId="986" w:customStyle="1">
    <w:name w:val="索引 61"/>
    <w:basedOn w:val="678"/>
    <w:next w:val="678"/>
    <w:uiPriority w:val="0"/>
    <w:semiHidden/>
    <w:qFormat/>
    <w:pPr>
      <w:ind w:left="1000"/>
    </w:pPr>
    <w:rPr>
      <w:rFonts w:ascii="Times New Roman" w:hAnsi="Times New Roman"/>
      <w:szCs w:val="20"/>
    </w:rPr>
  </w:style>
  <w:style w:type="paragraph" w:styleId="987" w:customStyle="1">
    <w:name w:val="寄信人地址1"/>
    <w:basedOn w:val="678"/>
    <w:uiPriority w:val="0"/>
    <w:qFormat/>
    <w:rPr>
      <w:rFonts w:ascii="Arial" w:hAnsi="Arial"/>
      <w:szCs w:val="20"/>
    </w:rPr>
  </w:style>
  <w:style w:type="paragraph" w:styleId="988" w:customStyle="1">
    <w:name w:val="文本块1"/>
    <w:basedOn w:val="678"/>
    <w:uiPriority w:val="0"/>
    <w:qFormat/>
    <w:pPr>
      <w:ind w:left="1890" w:right="11" w:hanging="1409"/>
      <w:spacing w:before="89"/>
      <w:tabs>
        <w:tab w:val="left" w:pos="822" w:leader="none"/>
        <w:tab w:val="left" w:pos="2205" w:leader="none"/>
        <w:tab w:val="left" w:pos="9000" w:leader="none"/>
      </w:tabs>
    </w:pPr>
    <w:rPr>
      <w:rFonts w:ascii="Times New Roman" w:hAnsi="Times New Roman"/>
      <w:sz w:val="24"/>
      <w:szCs w:val="20"/>
    </w:rPr>
  </w:style>
  <w:style w:type="paragraph" w:styleId="989" w:customStyle="1">
    <w:name w:val="索引 41"/>
    <w:basedOn w:val="678"/>
    <w:next w:val="678"/>
    <w:uiPriority w:val="0"/>
    <w:semiHidden/>
    <w:qFormat/>
    <w:pPr>
      <w:ind w:left="600"/>
    </w:pPr>
    <w:rPr>
      <w:rFonts w:ascii="Times New Roman" w:hAnsi="Times New Roman"/>
      <w:szCs w:val="20"/>
    </w:rPr>
  </w:style>
  <w:style w:type="paragraph" w:styleId="990" w:customStyle="1">
    <w:name w:val="索引 31"/>
    <w:basedOn w:val="678"/>
    <w:next w:val="678"/>
    <w:uiPriority w:val="0"/>
    <w:semiHidden/>
    <w:qFormat/>
    <w:pPr>
      <w:ind w:left="400"/>
    </w:pPr>
    <w:rPr>
      <w:rFonts w:ascii="Times New Roman" w:hAnsi="Times New Roman"/>
      <w:szCs w:val="20"/>
    </w:rPr>
  </w:style>
  <w:style w:type="paragraph" w:styleId="991" w:customStyle="1">
    <w:name w:val="签名1"/>
    <w:basedOn w:val="678"/>
    <w:link w:val="1012"/>
    <w:uiPriority w:val="0"/>
    <w:qFormat/>
    <w:pPr>
      <w:jc w:val="center"/>
      <w:spacing w:after="600" w:line="312" w:lineRule="atLeast"/>
    </w:pPr>
    <w:rPr>
      <w:rFonts w:ascii="Times New Roman" w:hAnsi="Times New Roman" w:eastAsia="仿宋_GB2312"/>
      <w:sz w:val="24"/>
      <w:szCs w:val="20"/>
    </w:rPr>
  </w:style>
  <w:style w:type="character" w:styleId="992" w:customStyle="1">
    <w:name w:val="签名 字符"/>
    <w:uiPriority w:val="0"/>
    <w:qFormat/>
    <w:rPr>
      <w:sz w:val="21"/>
      <w:szCs w:val="22"/>
    </w:rPr>
  </w:style>
  <w:style w:type="paragraph" w:styleId="993" w:customStyle="1">
    <w:name w:val="索引标题1"/>
    <w:basedOn w:val="678"/>
    <w:next w:val="921"/>
    <w:uiPriority w:val="0"/>
    <w:semiHidden/>
    <w:qFormat/>
    <w:rPr>
      <w:rFonts w:ascii="Times New Roman" w:hAnsi="Times New Roman"/>
      <w:szCs w:val="20"/>
    </w:rPr>
  </w:style>
  <w:style w:type="paragraph" w:styleId="994" w:customStyle="1">
    <w:name w:val="脚注文本1"/>
    <w:basedOn w:val="678"/>
    <w:link w:val="995"/>
    <w:uiPriority w:val="0"/>
    <w:qFormat/>
    <w:pPr>
      <w:jc w:val="left"/>
    </w:pPr>
    <w:rPr>
      <w:rFonts w:ascii="Times New Roman" w:hAnsi="Times New Roman"/>
      <w:sz w:val="18"/>
      <w:szCs w:val="18"/>
    </w:rPr>
  </w:style>
  <w:style w:type="character" w:styleId="995" w:customStyle="1">
    <w:name w:val="脚注文本 字符"/>
    <w:link w:val="994"/>
    <w:uiPriority w:val="0"/>
    <w:qFormat/>
    <w:rPr>
      <w:rFonts w:ascii="Times New Roman" w:hAnsi="Times New Roman"/>
      <w:sz w:val="18"/>
      <w:szCs w:val="18"/>
    </w:rPr>
  </w:style>
  <w:style w:type="paragraph" w:styleId="996" w:customStyle="1">
    <w:name w:val="索引 71"/>
    <w:basedOn w:val="678"/>
    <w:next w:val="678"/>
    <w:uiPriority w:val="0"/>
    <w:semiHidden/>
    <w:qFormat/>
    <w:pPr>
      <w:ind w:left="1200"/>
    </w:pPr>
    <w:rPr>
      <w:rFonts w:ascii="Times New Roman" w:hAnsi="Times New Roman"/>
      <w:szCs w:val="20"/>
    </w:rPr>
  </w:style>
  <w:style w:type="paragraph" w:styleId="997" w:customStyle="1">
    <w:name w:val="索引 91"/>
    <w:basedOn w:val="678"/>
    <w:next w:val="678"/>
    <w:uiPriority w:val="0"/>
    <w:semiHidden/>
    <w:qFormat/>
    <w:pPr>
      <w:ind w:left="1600"/>
    </w:pPr>
    <w:rPr>
      <w:rFonts w:ascii="Times New Roman" w:hAnsi="Times New Roman"/>
      <w:szCs w:val="20"/>
    </w:rPr>
  </w:style>
  <w:style w:type="paragraph" w:styleId="998" w:customStyle="1">
    <w:name w:val="HTML 预设格式1"/>
    <w:basedOn w:val="678"/>
    <w:link w:val="99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character" w:styleId="999" w:customStyle="1">
    <w:name w:val="HTML 预设格式 字符"/>
    <w:link w:val="998"/>
    <w:uiPriority w:val="0"/>
    <w:qFormat/>
    <w:rPr>
      <w:rFonts w:ascii="Arial" w:hAnsi="Arial"/>
      <w:sz w:val="24"/>
      <w:szCs w:val="24"/>
    </w:rPr>
  </w:style>
  <w:style w:type="paragraph" w:styleId="1000" w:customStyle="1">
    <w:name w:val="索引 21"/>
    <w:basedOn w:val="678"/>
    <w:next w:val="678"/>
    <w:uiPriority w:val="0"/>
    <w:semiHidden/>
    <w:qFormat/>
    <w:pPr>
      <w:ind w:left="200"/>
    </w:pPr>
    <w:rPr>
      <w:rFonts w:ascii="Times New Roman" w:hAnsi="Times New Roman"/>
      <w:szCs w:val="20"/>
    </w:rPr>
  </w:style>
  <w:style w:type="character" w:styleId="1001" w:customStyle="1">
    <w:name w:val="强调1"/>
    <w:uiPriority w:val="20"/>
    <w:qFormat/>
    <w:rPr>
      <w:i/>
      <w:iCs/>
    </w:rPr>
  </w:style>
  <w:style w:type="character" w:styleId="1002" w:customStyle="1">
    <w:name w:val="脚注引用1"/>
    <w:uiPriority w:val="0"/>
    <w:unhideWhenUsed/>
    <w:qFormat/>
    <w:rPr>
      <w:vertAlign w:val="superscript"/>
    </w:rPr>
  </w:style>
  <w:style w:type="character" w:styleId="1003" w:customStyle="1">
    <w:name w:val="标题 1 字符"/>
    <w:uiPriority w:val="9"/>
    <w:qFormat/>
    <w:rPr>
      <w:rFonts w:ascii="宋体" w:hAnsi="宋体"/>
      <w:b/>
      <w:sz w:val="36"/>
    </w:rPr>
  </w:style>
  <w:style w:type="character" w:styleId="1004" w:customStyle="1">
    <w:name w:val="标题 2 字符2"/>
    <w:uiPriority w:val="0"/>
    <w:qFormat/>
    <w:rPr>
      <w:rFonts w:eastAsia="楷体_GB2312"/>
      <w:b/>
      <w:bCs/>
      <w:sz w:val="28"/>
      <w:szCs w:val="28"/>
    </w:rPr>
  </w:style>
  <w:style w:type="character" w:styleId="1005" w:customStyle="1">
    <w:name w:val="正文缩进 字符"/>
    <w:uiPriority w:val="0"/>
    <w:qFormat/>
    <w:rPr>
      <w:sz w:val="21"/>
    </w:rPr>
  </w:style>
  <w:style w:type="character" w:styleId="1006" w:customStyle="1">
    <w:name w:val="批注文字 字符1"/>
    <w:uiPriority w:val="0"/>
    <w:qFormat/>
    <w:rPr>
      <w:sz w:val="21"/>
    </w:rPr>
  </w:style>
  <w:style w:type="character" w:styleId="1007" w:customStyle="1">
    <w:name w:val="正文文本 字符2"/>
    <w:uiPriority w:val="0"/>
    <w:qFormat/>
    <w:rPr>
      <w:rFonts w:ascii="楷体_GB2312" w:hAnsi="Arial" w:eastAsia="楷体_GB2312"/>
      <w:sz w:val="28"/>
    </w:rPr>
  </w:style>
  <w:style w:type="character" w:styleId="1008" w:customStyle="1">
    <w:name w:val="正文文本缩进 字符"/>
    <w:uiPriority w:val="0"/>
    <w:qFormat/>
    <w:rPr>
      <w:rFonts w:ascii="宋体"/>
      <w:sz w:val="28"/>
    </w:rPr>
  </w:style>
  <w:style w:type="character" w:styleId="1009" w:customStyle="1">
    <w:name w:val="纯文本 字符"/>
    <w:uiPriority w:val="0"/>
    <w:qFormat/>
    <w:rPr>
      <w:rFonts w:ascii="宋体" w:hAnsi="Courier New"/>
      <w:sz w:val="21"/>
    </w:rPr>
  </w:style>
  <w:style w:type="character" w:styleId="1010" w:customStyle="1">
    <w:name w:val="日期 字符1"/>
    <w:uiPriority w:val="0"/>
    <w:qFormat/>
    <w:rPr>
      <w:rFonts w:ascii="宋体"/>
      <w:sz w:val="28"/>
    </w:rPr>
  </w:style>
  <w:style w:type="character" w:styleId="1011" w:customStyle="1">
    <w:name w:val="批注框文本 字符"/>
    <w:uiPriority w:val="0"/>
    <w:qFormat/>
    <w:rPr>
      <w:sz w:val="18"/>
      <w:szCs w:val="18"/>
    </w:rPr>
  </w:style>
  <w:style w:type="character" w:styleId="1012" w:customStyle="1">
    <w:name w:val="签名 字符1"/>
    <w:link w:val="991"/>
    <w:uiPriority w:val="0"/>
    <w:qFormat/>
    <w:rPr>
      <w:rFonts w:ascii="Times New Roman" w:hAnsi="Times New Roman" w:eastAsia="仿宋_GB2312"/>
      <w:sz w:val="24"/>
    </w:rPr>
  </w:style>
  <w:style w:type="character" w:styleId="1013" w:customStyle="1">
    <w:name w:val="批注主题 字符"/>
    <w:uiPriority w:val="0"/>
    <w:qFormat/>
    <w:rPr>
      <w:b/>
      <w:bCs/>
      <w:sz w:val="21"/>
    </w:rPr>
  </w:style>
  <w:style w:type="character" w:styleId="1014" w:customStyle="1">
    <w:name w:val="正文文本 字符"/>
    <w:uiPriority w:val="0"/>
    <w:qFormat/>
    <w:rPr>
      <w:rFonts w:ascii="楷体_GB2312" w:hAnsi="Arial" w:eastAsia="楷体_GB2312"/>
      <w:sz w:val="28"/>
    </w:rPr>
  </w:style>
  <w:style w:type="character" w:styleId="1015" w:customStyle="1">
    <w:name w:val="列表段落 字符"/>
    <w:link w:val="939"/>
    <w:uiPriority w:val="34"/>
    <w:qFormat/>
    <w:rPr>
      <w:sz w:val="24"/>
      <w:szCs w:val="24"/>
      <w:lang w:eastAsia="en-US" w:bidi="en-US"/>
    </w:rPr>
  </w:style>
  <w:style w:type="paragraph" w:styleId="1016" w:customStyle="1">
    <w:name w:val="Char Char Char"/>
    <w:basedOn w:val="678"/>
    <w:uiPriority w:val="0"/>
    <w:qFormat/>
    <w:pPr>
      <w:numPr>
        <w:ilvl w:val="0"/>
        <w:numId w:val="4"/>
      </w:numPr>
      <w:tabs>
        <w:tab w:val="left" w:pos="1545" w:leader="none"/>
      </w:tabs>
    </w:pPr>
    <w:rPr>
      <w:rFonts w:ascii="Times New Roman" w:hAnsi="Times New Roman"/>
      <w:szCs w:val="20"/>
    </w:rPr>
  </w:style>
  <w:style w:type="paragraph" w:styleId="1017" w:customStyle="1">
    <w:name w:val="Plain Text1"/>
    <w:basedOn w:val="678"/>
    <w:uiPriority w:val="0"/>
    <w:qFormat/>
    <w:rPr>
      <w:rFonts w:ascii="宋体" w:hAnsi="Courier New" w:eastAsia="楷体_GB2312"/>
      <w:sz w:val="28"/>
      <w:szCs w:val="20"/>
    </w:rPr>
  </w:style>
  <w:style w:type="paragraph" w:styleId="1018"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19" w:customStyle="1">
    <w:name w:val="Char1 Char Char Char"/>
    <w:basedOn w:val="678"/>
    <w:uiPriority w:val="0"/>
    <w:qFormat/>
    <w:rPr>
      <w:rFonts w:ascii="Tahoma" w:hAnsi="Tahoma"/>
      <w:sz w:val="24"/>
      <w:szCs w:val="20"/>
    </w:rPr>
  </w:style>
  <w:style w:type="paragraph" w:styleId="1020" w:customStyle="1">
    <w:name w:val="Char Char1 Char Char Char Char Char Char Char"/>
    <w:basedOn w:val="678"/>
    <w:uiPriority w:val="0"/>
    <w:qFormat/>
    <w:rPr>
      <w:rFonts w:ascii="Calibri Light" w:hAnsi="Calibri Light" w:cs="Berlin Sans FB Demi"/>
      <w:sz w:val="24"/>
      <w:szCs w:val="20"/>
    </w:rPr>
  </w:style>
  <w:style w:type="paragraph" w:styleId="1021" w:customStyle="1">
    <w:name w:val="Char Char"/>
    <w:basedOn w:val="678"/>
    <w:uiPriority w:val="0"/>
    <w:qFormat/>
    <w:rPr>
      <w:rFonts w:ascii="Times New Roman" w:hAnsi="Times New Roman"/>
      <w:szCs w:val="21"/>
    </w:rPr>
  </w:style>
  <w:style w:type="paragraph" w:styleId="1022" w:customStyle="1">
    <w:name w:val="_Style 12"/>
    <w:basedOn w:val="916"/>
    <w:uiPriority w:val="0"/>
    <w:qFormat/>
    <w:pPr>
      <w:jc w:val="left"/>
      <w:spacing w:line="360" w:lineRule="auto"/>
      <w:widowControl/>
    </w:pPr>
    <w:rPr>
      <w:sz w:val="24"/>
      <w:szCs w:val="24"/>
    </w:rPr>
  </w:style>
  <w:style w:type="character" w:styleId="1023" w:customStyle="1">
    <w:name w:val="正文缩进 Char1"/>
    <w:uiPriority w:val="0"/>
    <w:qFormat/>
    <w:rPr>
      <w:rFonts w:eastAsia="楷体_GB2312"/>
      <w:sz w:val="24"/>
    </w:rPr>
  </w:style>
  <w:style w:type="character" w:styleId="1024" w:customStyle="1">
    <w:name w:val="纯文本 字符1"/>
    <w:uiPriority w:val="0"/>
    <w:qFormat/>
    <w:rPr>
      <w:rFonts w:ascii="宋体" w:hAnsi="Courier New"/>
    </w:rPr>
  </w:style>
  <w:style w:type="character" w:styleId="1025" w:customStyle="1">
    <w:name w:val="未处理的提及1"/>
    <w:uiPriority w:val="99"/>
    <w:unhideWhenUsed/>
    <w:qFormat/>
    <w:rPr>
      <w:color w:val="605e5c"/>
      <w:shd w:val="clear" w:color="auto" w:fill="e1dfdd"/>
    </w:rPr>
  </w:style>
  <w:style w:type="character" w:styleId="1026" w:customStyle="1">
    <w:name w:val="批注文字 字符"/>
    <w:uiPriority w:val="0"/>
    <w:qFormat/>
    <w:rPr>
      <w:sz w:val="21"/>
    </w:rPr>
  </w:style>
  <w:style w:type="character" w:styleId="1027" w:customStyle="1">
    <w:name w:val="标题 2 字符"/>
    <w:uiPriority w:val="0"/>
    <w:qFormat/>
    <w:rPr>
      <w:rFonts w:eastAsia="楷体_GB2312"/>
      <w:b/>
      <w:bCs/>
      <w:sz w:val="28"/>
      <w:szCs w:val="28"/>
    </w:rPr>
  </w:style>
  <w:style w:type="character" w:styleId="1028" w:customStyle="1">
    <w:name w:val="日期 字符"/>
    <w:uiPriority w:val="0"/>
    <w:qFormat/>
    <w:rPr>
      <w:rFonts w:ascii="宋体"/>
      <w:sz w:val="28"/>
    </w:rPr>
  </w:style>
  <w:style w:type="character" w:styleId="1029" w:customStyle="1">
    <w:name w:val="正文文本 字符1"/>
    <w:uiPriority w:val="0"/>
    <w:qFormat/>
    <w:rPr>
      <w:rFonts w:ascii="楷体_GB2312" w:hAnsi="Arial" w:eastAsia="楷体_GB2312"/>
      <w:sz w:val="28"/>
    </w:rPr>
  </w:style>
  <w:style w:type="paragraph" w:styleId="1030" w:customStyle="1">
    <w:name w:val="正文1"/>
    <w:next w:val="678"/>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031" w:customStyle="1">
    <w:name w:val="_正文段落"/>
    <w:basedOn w:val="678"/>
    <w:link w:val="1032"/>
    <w:uiPriority w:val="0"/>
    <w:qFormat/>
    <w:pPr>
      <w:ind w:firstLine="480"/>
      <w:spacing w:line="360" w:lineRule="auto"/>
    </w:pPr>
    <w:rPr>
      <w:rFonts w:ascii="宋体" w:hAnsi="宋体"/>
      <w:sz w:val="24"/>
      <w:szCs w:val="24"/>
    </w:rPr>
  </w:style>
  <w:style w:type="character" w:styleId="1032" w:customStyle="1">
    <w:name w:val="_正文段落 Char"/>
    <w:link w:val="1031"/>
    <w:uiPriority w:val="0"/>
    <w:qFormat/>
    <w:rPr>
      <w:rFonts w:ascii="宋体" w:hAnsi="宋体"/>
      <w:sz w:val="24"/>
      <w:szCs w:val="24"/>
    </w:rPr>
  </w:style>
  <w:style w:type="character" w:styleId="1033" w:customStyle="1">
    <w:name w:val="cf01"/>
    <w:uiPriority w:val="0"/>
    <w:qFormat/>
    <w:rPr>
      <w:rFonts w:hint="eastAsia" w:ascii="Microsoft YaHei UI" w:hAnsi="Microsoft YaHei UI" w:eastAsia="Microsoft YaHei UI"/>
      <w:b/>
      <w:bCs/>
      <w:sz w:val="18"/>
      <w:szCs w:val="18"/>
    </w:rPr>
  </w:style>
  <w:style w:type="character" w:styleId="1034" w:customStyle="1">
    <w:name w:val="标题 2 字符1"/>
    <w:uiPriority w:val="0"/>
    <w:qFormat/>
    <w:rPr>
      <w:rFonts w:eastAsia="楷体_GB2312"/>
      <w:b/>
      <w:bCs/>
      <w:sz w:val="28"/>
      <w:szCs w:val="28"/>
    </w:rPr>
  </w:style>
  <w:style w:type="paragraph" w:styleId="1035" w:customStyle="1">
    <w:name w:val="pf0"/>
    <w:basedOn w:val="678"/>
    <w:uiPriority w:val="0"/>
    <w:qFormat/>
    <w:pPr>
      <w:jc w:val="left"/>
      <w:spacing w:before="100" w:beforeAutospacing="1" w:after="100" w:afterAutospacing="1"/>
      <w:widowControl/>
    </w:pPr>
    <w:rPr>
      <w:rFonts w:ascii="宋体" w:hAnsi="宋体" w:cs="宋体"/>
      <w:sz w:val="24"/>
      <w:szCs w:val="24"/>
    </w:rPr>
  </w:style>
  <w:style w:type="character" w:styleId="1036" w:customStyle="1">
    <w:name w:val="cf11"/>
    <w:uiPriority w:val="0"/>
    <w:qFormat/>
    <w:rPr>
      <w:rFonts w:hint="eastAsia" w:ascii="Microsoft YaHei UI" w:hAnsi="Microsoft YaHei UI" w:eastAsia="Microsoft YaHei UI"/>
      <w:sz w:val="18"/>
      <w:szCs w:val="18"/>
    </w:rPr>
  </w:style>
  <w:style w:type="character" w:styleId="1037" w:customStyle="1">
    <w:name w:val="cf21"/>
    <w:uiPriority w:val="0"/>
    <w:qFormat/>
    <w:rPr>
      <w:rFonts w:hint="eastAsia" w:ascii="Microsoft YaHei UI" w:hAnsi="Microsoft YaHei UI" w:eastAsia="Microsoft YaHei UI"/>
      <w:b/>
      <w:bCs/>
      <w:sz w:val="18"/>
      <w:szCs w:val="18"/>
    </w:rPr>
  </w:style>
  <w:style w:type="paragraph" w:styleId="1038" w:customStyle="1">
    <w:name w:val="TOC 标题11"/>
    <w:basedOn w:val="873"/>
    <w:next w:val="678"/>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character" w:styleId="1039" w:customStyle="1">
    <w:name w:val="普通正文 Char"/>
    <w:link w:val="922"/>
    <w:uiPriority w:val="0"/>
    <w:qFormat/>
    <w:rPr>
      <w:rFonts w:ascii="Arial" w:hAnsi="Arial"/>
      <w:sz w:val="24"/>
      <w:szCs w:val="24"/>
    </w:rPr>
  </w:style>
  <w:style w:type="character" w:styleId="1040" w:customStyle="1">
    <w:name w:val="批注文字 字符2"/>
    <w:basedOn w:val="688"/>
    <w:uiPriority w:val="99"/>
    <w:semiHidden/>
    <w:qFormat/>
    <w:rPr>
      <w:sz w:val="21"/>
      <w:szCs w:val="22"/>
    </w:rPr>
  </w:style>
  <w:style w:type="character" w:styleId="1041" w:customStyle="1">
    <w:name w:val="批注主题 字符1"/>
    <w:basedOn w:val="1040"/>
    <w:link w:val="690"/>
    <w:uiPriority w:val="99"/>
    <w:semiHidden/>
    <w:qFormat/>
    <w:rPr>
      <w:b/>
      <w:bCs/>
      <w:sz w:val="21"/>
      <w:szCs w:val="22"/>
    </w:rPr>
  </w:style>
  <w:style w:type="character" w:styleId="1042" w:customStyle="1">
    <w:name w:val="批注框文本 字符1"/>
    <w:basedOn w:val="688"/>
    <w:link w:val="705"/>
    <w:uiPriority w:val="99"/>
    <w:semiHidden/>
    <w:qFormat/>
    <w:rPr>
      <w:sz w:val="18"/>
      <w:szCs w:val="18"/>
    </w:rPr>
  </w:style>
  <w:style w:type="character" w:styleId="1043" w:customStyle="1">
    <w:name w:val="1、 字符"/>
    <w:link w:val="1044"/>
    <w:uiPriority w:val="0"/>
    <w:qFormat/>
    <w:rPr>
      <w:sz w:val="24"/>
      <w:szCs w:val="24"/>
    </w:rPr>
  </w:style>
  <w:style w:type="paragraph" w:styleId="1044" w:customStyle="1">
    <w:name w:val="1、"/>
    <w:basedOn w:val="678"/>
    <w:link w:val="1043"/>
    <w:uiPriority w:val="0"/>
    <w:qFormat/>
    <w:pPr>
      <w:ind w:firstLine="200"/>
      <w:spacing w:line="440" w:lineRule="exact"/>
    </w:pPr>
    <w:rPr>
      <w:sz w:val="24"/>
      <w:szCs w:val="24"/>
    </w:rPr>
  </w:style>
  <w:style w:type="paragraph" w:styleId="1045" w:customStyle="1">
    <w:name w:val="段"/>
    <w:next w:val="678"/>
    <w:uiPriority w:val="0"/>
    <w:qFormat/>
    <w:pPr>
      <w:ind w:firstLine="200"/>
      <w:jc w:val="both"/>
      <w:spacing w:line="360" w:lineRule="auto"/>
    </w:pPr>
    <w:rPr>
      <w:rFonts w:ascii="宋体" w:hAnsi="Calibri" w:eastAsia="宋体" w:cs="Times New Roman"/>
      <w:sz w:val="24"/>
      <w:szCs w:val="22"/>
      <w:lang w:val="en-US" w:eastAsia="zh-CN" w:bidi="ar-SA"/>
    </w:rPr>
  </w:style>
  <w:style w:type="character" w:styleId="1046" w:customStyle="1">
    <w:name w:val="15"/>
    <w:basedOn w:val="688"/>
    <w:uiPriority w:val="0"/>
    <w:qFormat/>
    <w:rPr>
      <w:rFonts w:hint="default" w:ascii="Calibri" w:hAnsi="Calibri" w:cs="Calibri"/>
    </w:rPr>
  </w:style>
  <w:style w:type="character" w:styleId="1047" w:customStyle="1">
    <w:name w:val="Plain Text Char Char"/>
    <w:basedOn w:val="688"/>
    <w:link w:val="1048"/>
    <w:uiPriority w:val="0"/>
    <w:qFormat/>
    <w:rPr>
      <w:rFonts w:hint="eastAsia" w:ascii="宋体" w:hAnsi="Courier New" w:eastAsia="楷体_GB2312" w:cs="宋体"/>
      <w:sz w:val="28"/>
    </w:rPr>
  </w:style>
  <w:style w:type="paragraph" w:styleId="1048" w:customStyle="1">
    <w:name w:val="纯文本2"/>
    <w:basedOn w:val="678"/>
    <w:link w:val="1047"/>
    <w:uiPriority w:val="0"/>
    <w:qFormat/>
    <w:rPr>
      <w:rFonts w:hint="eastAsia" w:ascii="宋体" w:hAnsi="Courier New" w:eastAsia="楷体_GB2312"/>
      <w:sz w:val="28"/>
      <w:szCs w:val="20"/>
    </w:rPr>
  </w:style>
  <w:style w:type="character" w:styleId="1049" w:customStyle="1">
    <w:name w:val="批注文字 字符3"/>
    <w:basedOn w:val="688"/>
    <w:link w:val="691"/>
    <w:uiPriority w:val="0"/>
    <w:qFormat/>
    <w:rPr>
      <w:sz w:val="21"/>
    </w:rPr>
  </w:style>
  <w:style w:type="character" w:styleId="1050" w:customStyle="1">
    <w:name w:val="font101"/>
    <w:basedOn w:val="688"/>
    <w:uiPriority w:val="0"/>
    <w:qFormat/>
    <w:rPr>
      <w:rFonts w:hint="eastAsia" w:ascii="宋体" w:hAnsi="宋体" w:eastAsia="宋体" w:cs="宋体"/>
      <w:color w:val="ff0000"/>
      <w:sz w:val="20"/>
      <w:szCs w:val="20"/>
      <w:u w:val="none"/>
    </w:rPr>
  </w:style>
  <w:style w:type="paragraph" w:styleId="1051" w:customStyle="1">
    <w:name w:val="第二级"/>
    <w:basedOn w:val="684"/>
    <w:next w:val="678"/>
    <w:uiPriority w:val="0"/>
    <w:qFormat/>
    <w:pPr>
      <w:ind w:firstLine="720"/>
      <w:spacing w:before="0" w:beforeAutospacing="1" w:after="0" w:afterAutospacing="1" w:line="460" w:lineRule="exact"/>
    </w:pPr>
    <w:rPr>
      <w:rFonts w:ascii="Calibri Light" w:hAnsi="Calibri Light" w:eastAsia="宋体" w:cs="Times New Roman"/>
      <w:sz w:val="24"/>
      <w:szCs w:val="24"/>
    </w:rPr>
  </w:style>
  <w:style w:type="character" w:styleId="1052" w:customStyle="1">
    <w:name w:val="标题 6 字符"/>
    <w:basedOn w:val="688"/>
    <w:link w:val="684"/>
    <w:uiPriority w:val="0"/>
    <w:qFormat/>
    <w:rPr>
      <w:rFonts w:ascii="等线 Light" w:hAnsi="等线 Light" w:eastAsia="等线 Light" w:cs="Times New Roman"/>
      <w:b/>
      <w:sz w:val="24"/>
      <w:szCs w:val="24"/>
    </w:rPr>
  </w:style>
  <w:style w:type="character" w:styleId="1053" w:customStyle="1">
    <w:name w:val="custom-tag-placeholder-class"/>
    <w:basedOn w:val="883"/>
    <w:uiPriority w:val="0"/>
    <w:qFormat/>
    <w:rPr>
      <w:rFonts w:ascii="Calibri" w:hAnsi="Calibri" w:eastAsia="宋体" w:cs="Times New Roman"/>
      <w:sz w:val="21"/>
      <w:szCs w:val="22"/>
      <w:lang w:val="en-US" w:eastAsia="zh-CN" w:bidi="ar-SA"/>
    </w:rPr>
  </w:style>
  <w:style w:type="character" w:styleId="1054" w:customStyle="1">
    <w:name w:val="NormalCharacter"/>
    <w:basedOn w:val="688"/>
    <w:uiPriority w:val="0"/>
    <w:qFormat/>
    <w:rPr>
      <w:sz w:val="21"/>
      <w:szCs w:val="22"/>
      <w:lang w:val="en-US" w:eastAsia="zh-CN" w:bidi="ar"/>
    </w:rPr>
  </w:style>
  <w:style w:type="paragraph" w:styleId="1055" w:customStyle="1">
    <w:name w:val="NN正文"/>
    <w:basedOn w:val="678"/>
    <w:uiPriority w:val="0"/>
    <w:qFormat/>
    <w:pPr>
      <w:jc w:val="left"/>
      <w:widowControl/>
    </w:pPr>
    <w:rPr>
      <w:rFonts w:hint="eastAsia" w:ascii="微软雅黑" w:hAnsi="微软雅黑" w:eastAsia="微软雅黑"/>
      <w:szCs w:val="21"/>
    </w:rPr>
  </w:style>
  <w:style w:type="paragraph" w:styleId="1056" w:customStyle="1">
    <w:name w:val="标题二、"/>
    <w:basedOn w:val="678"/>
    <w:uiPriority w:val="0"/>
    <w:qFormat/>
    <w:pPr>
      <w:ind w:firstLine="200"/>
      <w:spacing w:line="360" w:lineRule="auto"/>
      <w:outlineLvl w:val="2"/>
    </w:pPr>
    <w:rPr>
      <w:rFonts w:hint="eastAsia" w:ascii="宋体" w:hAnsi="宋体"/>
      <w:b/>
      <w:szCs w:val="21"/>
    </w:rPr>
  </w:style>
  <w:style w:type="numbering" w:styleId="155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D5C61283-DEDC-44CB-8CAC-F39398CC416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韩忆程</cp:lastModifiedBy>
  <cp:revision>6</cp:revision>
  <dcterms:created xsi:type="dcterms:W3CDTF">2025-12-22T00:31:00Z</dcterms:created>
  <dcterms:modified xsi:type="dcterms:W3CDTF">2026-04-29T08:01:48Z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2052-10.8.2.6613</vt:lpwstr>
  </property>
  <property fmtid="{D5CDD505-2E9C-101B-9397-08002B2CF9AE}" pid="3" name="ICV">
    <vt:lpwstr>4BF18A88E6964189866CD34FCAC9E834_13</vt:lpwstr>
  </property>
  <property fmtid="{D5CDD505-2E9C-101B-9397-08002B2CF9AE}" pid="4" name="KSOTemplateDocerSaveRecord">
    <vt:lpwstr>eyJoZGlkIjoiYjI1OTNkZjQxYTMyM2E3ZDFiZDlmZThjZjFjMzJjMTEiLCJ1c2VySWQiOiI0NzA0Njk1MDUifQ==</vt:lpwstr>
  </property>
</Properties>
</file>