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pageBreakBefore w:val="0"/>
        <w:spacing w:line="360" w:lineRule="auto"/>
        <w:rPr>
          <w:rFonts w:hint="eastAsia" w:eastAsia="黑体"/>
          <w:b/>
          <w:bCs/>
          <w:color w:val="auto"/>
          <w:sz w:val="84"/>
          <w:highlight w:val="none"/>
          <w:lang w:eastAsia="zh-CN"/>
        </w:rPr>
      </w:pPr>
      <w:r>
        <w:rPr>
          <w:rFonts w:hint="eastAsia" w:eastAsia="黑体"/>
          <w:b/>
          <w:bCs/>
          <w:color w:val="auto"/>
          <w:sz w:val="84"/>
          <w:highlight w:val="none"/>
          <w:lang w:eastAsia="zh-CN"/>
        </w:rPr>
      </w:r>
      <w:r/>
    </w:p>
    <w:p>
      <w:pPr>
        <w:pStyle w:val="975"/>
        <w:ind w:firstLine="0"/>
        <w:jc w:val="center"/>
        <w:keepLines w:val="0"/>
        <w:keepNext w:val="0"/>
        <w:pageBreakBefore w:val="0"/>
        <w:spacing w:line="360" w:lineRule="auto"/>
        <w:widowControl/>
        <w:rPr>
          <w:rFonts w:eastAsia="黑体"/>
          <w:b/>
          <w:bCs w:val="0"/>
          <w:color w:val="auto"/>
          <w:sz w:val="84"/>
          <w:highlight w:val="none"/>
        </w:rPr>
      </w:pPr>
      <w:r>
        <w:rPr>
          <w:rFonts w:eastAsia="黑体"/>
          <w:b/>
          <w:bCs w:val="0"/>
          <w:color w:val="auto"/>
          <w:sz w:val="84"/>
          <w:highlight w:val="none"/>
        </w:rPr>
        <w:t xml:space="preserve">封闭式框架协议采购　</w:t>
      </w:r>
      <w:r/>
    </w:p>
    <w:p>
      <w:pPr>
        <w:pStyle w:val="975"/>
        <w:ind w:firstLine="0"/>
        <w:jc w:val="center"/>
        <w:keepLines w:val="0"/>
        <w:keepNext w:val="0"/>
        <w:pageBreakBefore w:val="0"/>
        <w:spacing w:line="360" w:lineRule="auto"/>
        <w:widowControl/>
        <w:rPr>
          <w:rFonts w:eastAsia="黑体"/>
          <w:b/>
          <w:bCs w:val="0"/>
          <w:color w:val="auto"/>
          <w:sz w:val="84"/>
          <w:highlight w:val="none"/>
        </w:rPr>
      </w:pPr>
      <w:r>
        <w:rPr>
          <w:rFonts w:eastAsia="黑体"/>
          <w:b/>
          <w:bCs w:val="0"/>
          <w:color w:val="auto"/>
          <w:sz w:val="84"/>
          <w:highlight w:val="none"/>
        </w:rPr>
        <w:t xml:space="preserve">征集文件</w:t>
      </w:r>
      <w:r/>
    </w:p>
    <w:p>
      <w:pPr>
        <w:pStyle w:val="975"/>
        <w:ind w:firstLine="2239"/>
        <w:pageBreakBefore w:val="0"/>
        <w:spacing w:line="360" w:lineRule="auto"/>
        <w:rPr>
          <w:b/>
          <w:bCs/>
          <w:color w:val="auto"/>
          <w:sz w:val="32"/>
          <w:highlight w:val="none"/>
        </w:rPr>
      </w:pPr>
      <w:r>
        <w:rPr>
          <w:b/>
          <w:bCs/>
          <w:color w:val="auto"/>
          <w:sz w:val="32"/>
          <w:highlight w:val="none"/>
        </w:rPr>
      </w:r>
      <w:r/>
    </w:p>
    <w:p>
      <w:pPr>
        <w:pStyle w:val="975"/>
        <w:ind w:firstLine="1092"/>
        <w:jc w:val="center"/>
        <w:pageBreakBefore w:val="0"/>
        <w:spacing w:line="36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975"/>
        <w:jc w:val="left"/>
        <w:pageBreakBefore w:val="0"/>
        <w:spacing w:line="360" w:lineRule="auto"/>
        <w:rPr>
          <w:rFonts w:hint="eastAsia" w:ascii="Times New Roman" w:hAnsi="Times New Roman" w:cs="Times New Roman"/>
          <w:b/>
          <w:bCs/>
          <w:color w:val="auto"/>
          <w:sz w:val="32"/>
          <w:highlight w:val="none"/>
          <w:lang w:val="en-US" w:eastAsia="zh-CN"/>
        </w:rPr>
      </w:pPr>
      <w:r>
        <w:rPr>
          <w:rFonts w:hint="eastAsia" w:ascii="宋体" w:hAnsi="宋体" w:eastAsia="宋体" w:cs="宋体"/>
          <w:b/>
          <w:bCs/>
          <w:color w:val="auto"/>
          <w:sz w:val="32"/>
          <w:highlight w:val="none"/>
        </w:rPr>
        <w:t xml:space="preserve">项目名称：</w:t>
      </w:r>
      <w:r>
        <w:rPr>
          <w:rFonts w:hint="eastAsia" w:ascii="Times New Roman" w:hAnsi="Times New Roman" w:cs="Times New Roman"/>
          <w:b/>
          <w:bCs/>
          <w:color w:val="auto"/>
          <w:sz w:val="32"/>
          <w:highlight w:val="none"/>
          <w:lang w:val="en-US" w:eastAsia="zh-CN"/>
        </w:rPr>
        <w:t xml:space="preserve">2026-2027年度泰州市区储备、上市地块地质灾害危险性评估框架协议征集服务</w:t>
      </w:r>
      <w:r/>
    </w:p>
    <w:p>
      <w:pPr>
        <w:pStyle w:val="975"/>
        <w:jc w:val="left"/>
        <w:pageBreakBefore w:val="0"/>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JSZC-321200-THZX-K2026-0011</w:t>
      </w:r>
      <w:r/>
    </w:p>
    <w:p>
      <w:pPr>
        <w:pStyle w:val="975"/>
        <w:ind w:firstLine="0"/>
        <w:pageBreakBefore w:val="0"/>
        <w:spacing w:before="0" w:after="0" w:line="360" w:lineRule="auto"/>
        <w:rPr>
          <w:rFonts w:ascii="宋体" w:hAnsi="宋体"/>
          <w:color w:val="auto"/>
          <w:highlight w:val="none"/>
        </w:rPr>
      </w:pPr>
      <w:r>
        <w:rPr>
          <w:rFonts w:ascii="宋体" w:hAnsi="宋体"/>
          <w:color w:val="auto"/>
          <w:highlight w:val="none"/>
        </w:rPr>
      </w:r>
      <w:r/>
    </w:p>
    <w:p>
      <w:pPr>
        <w:pStyle w:val="975"/>
        <w:ind w:firstLine="0"/>
        <w:jc w:val="center"/>
        <w:pageBreakBefore w:val="0"/>
        <w:spacing w:before="0" w:after="0" w:line="360" w:lineRule="auto"/>
        <w:rPr>
          <w:rFonts w:ascii="宋体" w:hAnsi="宋体"/>
          <w:color w:val="auto"/>
          <w:highlight w:val="none"/>
        </w:rPr>
      </w:pPr>
      <w:r>
        <w:rPr>
          <w:rFonts w:ascii="宋体" w:hAnsi="宋体"/>
          <w:color w:val="auto"/>
          <w:highlight w:val="none"/>
        </w:rPr>
      </w:r>
      <w:r/>
    </w:p>
    <w:p>
      <w:pPr>
        <w:pStyle w:val="975"/>
        <w:ind w:firstLine="0"/>
        <w:pageBreakBefore w:val="0"/>
        <w:spacing w:before="0" w:after="0" w:line="360" w:lineRule="auto"/>
        <w:rPr>
          <w:rFonts w:ascii="宋体" w:hAnsi="宋体"/>
          <w:color w:val="auto"/>
          <w:highlight w:val="none"/>
        </w:rPr>
      </w:pPr>
      <w:r>
        <w:rPr>
          <w:rFonts w:ascii="宋体" w:hAnsi="宋体"/>
          <w:color w:val="auto"/>
          <w:highlight w:val="none"/>
        </w:rPr>
      </w:r>
      <w:r/>
    </w:p>
    <w:p>
      <w:pPr>
        <w:pStyle w:val="975"/>
        <w:ind w:firstLine="0"/>
        <w:jc w:val="center"/>
        <w:pageBreakBefore w:val="0"/>
        <w:spacing w:line="360" w:lineRule="auto"/>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r>
      <w:r/>
    </w:p>
    <w:p>
      <w:pPr>
        <w:pStyle w:val="975"/>
        <w:ind w:firstLine="0"/>
        <w:jc w:val="center"/>
        <w:pageBreakBefore w:val="0"/>
        <w:spacing w:line="360" w:lineRule="auto"/>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r>
      <w:r/>
    </w:p>
    <w:p>
      <w:pPr>
        <w:pStyle w:val="975"/>
        <w:ind w:firstLine="0"/>
        <w:jc w:val="center"/>
        <w:pageBreakBefore w:val="0"/>
        <w:spacing w:line="360" w:lineRule="auto"/>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lang w:val="en-US" w:eastAsia="zh-CN"/>
        </w:rPr>
        <w:t xml:space="preserve">泰州市自然资源和规划局</w:t>
      </w:r>
      <w:r/>
    </w:p>
    <w:p>
      <w:pPr>
        <w:pStyle w:val="975"/>
        <w:ind w:firstLine="0"/>
        <w:jc w:val="center"/>
        <w:pageBreakBefore w:val="0"/>
        <w:spacing w:line="360" w:lineRule="auto"/>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江苏泰禾房地产土地造价咨询评估有限公司</w:t>
      </w:r>
      <w:r/>
    </w:p>
    <w:p>
      <w:pPr>
        <w:pStyle w:val="975"/>
        <w:ind w:firstLine="0"/>
        <w:jc w:val="center"/>
        <w:pageBreakBefore w:val="0"/>
        <w:spacing w:line="360" w:lineRule="auto"/>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lang w:eastAsia="zh-CN"/>
        </w:rPr>
        <w:t xml:space="preserve">202</w:t>
      </w:r>
      <w:r>
        <w:rPr>
          <w:rFonts w:hint="eastAsia" w:ascii="黑体" w:hAnsi="黑体" w:eastAsia="黑体" w:cs="黑体"/>
          <w:b w:val="0"/>
          <w:bCs w:val="0"/>
          <w:color w:val="auto"/>
          <w:sz w:val="32"/>
          <w:highlight w:val="none"/>
          <w:lang w:val="en-US" w:eastAsia="zh-CN"/>
        </w:rPr>
        <w:t xml:space="preserve">6</w:t>
      </w:r>
      <w:r>
        <w:rPr>
          <w:rFonts w:hint="eastAsia" w:ascii="黑体" w:hAnsi="黑体" w:eastAsia="黑体" w:cs="黑体"/>
          <w:b w:val="0"/>
          <w:bCs w:val="0"/>
          <w:color w:val="auto"/>
          <w:sz w:val="32"/>
          <w:highlight w:val="none"/>
          <w:lang w:eastAsia="zh-CN"/>
        </w:rPr>
        <w:t xml:space="preserve">年</w:t>
      </w:r>
      <w:r>
        <w:rPr>
          <w:rFonts w:hint="eastAsia" w:ascii="黑体" w:hAnsi="黑体" w:eastAsia="黑体" w:cs="黑体"/>
          <w:b w:val="0"/>
          <w:bCs w:val="0"/>
          <w:color w:val="auto"/>
          <w:sz w:val="32"/>
          <w:highlight w:val="none"/>
          <w:lang w:val="en-US" w:eastAsia="zh-CN"/>
        </w:rPr>
        <w:t xml:space="preserve">3</w:t>
      </w:r>
      <w:r>
        <w:rPr>
          <w:rFonts w:hint="eastAsia" w:ascii="黑体" w:hAnsi="黑体" w:eastAsia="黑体" w:cs="黑体"/>
          <w:b w:val="0"/>
          <w:bCs w:val="0"/>
          <w:color w:val="auto"/>
          <w:sz w:val="32"/>
          <w:highlight w:val="none"/>
        </w:rPr>
        <w:t xml:space="preserve">月</w:t>
      </w:r>
      <w:r/>
    </w:p>
    <w:p>
      <w:pPr>
        <w:jc w:val="center"/>
        <w:pageBreakBefore w:val="0"/>
        <w:spacing w:line="360" w:lineRule="auto"/>
        <w:rPr>
          <w:color w:val="auto"/>
          <w:highlight w:val="none"/>
        </w:rPr>
        <w:sectPr>
          <w:footerReference w:type="default" r:id="rId10"/>
          <w:footerReference w:type="even" r:id="rId11"/>
          <w:footnotePr/>
          <w:endnotePr/>
          <w:type w:val="nextPage"/>
          <w:pgSz w:w="11906" w:h="16838" w:orient="portrait"/>
          <w:pgMar w:top="1191" w:right="1191" w:bottom="1020" w:left="1196" w:header="851" w:footer="907" w:gutter="0"/>
          <w:pgNumType w:start="1"/>
          <w:cols w:num="1" w:sep="0" w:space="720" w:equalWidth="1"/>
          <w:docGrid w:linePitch="360"/>
          <w:titlePg/>
        </w:sectPr>
        <w:outlineLvl w:val="0"/>
      </w:pPr>
      <w:r/>
      <w:bookmarkStart w:id="0" w:name="_Toc128039577"/>
      <w:r/>
      <w:bookmarkStart w:id="1" w:name="_Toc120614210"/>
      <w:r/>
      <w:bookmarkStart w:id="2" w:name="_Toc523127445"/>
      <w:r/>
      <w:bookmarkStart w:id="3" w:name="_Toc20823272"/>
      <w:r/>
      <w:bookmarkStart w:id="4" w:name="_Toc513029200"/>
      <w:r/>
      <w:bookmarkStart w:id="5" w:name="_Toc16938516"/>
      <w:r/>
      <w:bookmarkStart w:id="6" w:name="_Toc479757206"/>
      <w:r/>
      <w:r/>
    </w:p>
    <w:p>
      <w:pPr>
        <w:pStyle w:val="972"/>
        <w:pageBreakBefore w:val="0"/>
        <w:spacing w:line="360" w:lineRule="auto"/>
        <w:rPr>
          <w:color w:val="auto"/>
          <w:highlight w:val="none"/>
        </w:rPr>
      </w:pPr>
      <w:r>
        <w:rPr>
          <w:color w:val="auto"/>
          <w:highlight w:val="none"/>
        </w:rPr>
      </w:r>
      <w:r/>
    </w:p>
    <w:p>
      <w:pPr>
        <w:jc w:val="center"/>
        <w:pageBreakBefore w:val="0"/>
        <w:spacing w:line="360" w:lineRule="auto"/>
        <w:rPr>
          <w:rFonts w:hint="default" w:ascii="Times New Roman" w:hAnsi="宋体" w:eastAsia="宋体" w:cs="Times New Roman"/>
          <w:b/>
          <w:bCs/>
          <w:color w:val="auto"/>
          <w:sz w:val="36"/>
          <w:szCs w:val="36"/>
          <w:highlight w:val="none"/>
          <w:lang w:val="en-US" w:eastAsia="zh-CN" w:bidi="ar-SA"/>
        </w:rPr>
        <w:outlineLvl w:val="9"/>
      </w:pPr>
      <w:r>
        <w:rPr>
          <w:rFonts w:ascii="黑体" w:hAnsi="Arial" w:eastAsia="黑体"/>
          <w:b w:val="0"/>
          <w:bCs/>
          <w:color w:val="auto"/>
          <w:sz w:val="44"/>
          <w:highlight w:val="none"/>
        </w:rPr>
        <w:t xml:space="preserve">总  目  录</w:t>
      </w:r>
      <w:bookmarkEnd w:id="0"/>
      <w:r>
        <w:rPr>
          <w:b/>
          <w:bCs/>
          <w:color w:val="auto"/>
          <w:sz w:val="36"/>
          <w:szCs w:val="36"/>
          <w:highlight w:val="none"/>
        </w:rPr>
        <w:fldChar w:fldCharType="begin"/>
      </w:r>
      <w:r>
        <w:rPr>
          <w:b/>
          <w:bCs/>
          <w:color w:val="auto"/>
          <w:sz w:val="36"/>
          <w:szCs w:val="36"/>
          <w:highlight w:val="none"/>
        </w:rPr>
        <w:instrText xml:space="preserve">TOC \o "1-1" \u</w:instrText>
      </w:r>
      <w:r>
        <w:rPr>
          <w:b/>
          <w:bCs/>
          <w:color w:val="auto"/>
          <w:sz w:val="36"/>
          <w:szCs w:val="36"/>
          <w:highlight w:val="none"/>
        </w:rPr>
        <w:fldChar w:fldCharType="separate"/>
      </w:r>
      <w:r/>
    </w:p>
    <w:p>
      <w:pPr>
        <w:pStyle w:val="970"/>
        <w:tabs>
          <w:tab w:val="right" w:pos="9519" w:leader="dot"/>
        </w:tabs>
      </w:pPr>
      <w:r>
        <w:rPr>
          <w:rFonts w:ascii="黑体" w:eastAsia="黑体"/>
          <w:color w:val="auto"/>
          <w:szCs w:val="44"/>
          <w:highlight w:val="none"/>
        </w:rPr>
        <w:t xml:space="preserve">第一章 参加征集活动的邀请</w:t>
      </w:r>
      <w:r>
        <w:tab/>
      </w:r>
      <w:r>
        <w:fldChar w:fldCharType="begin"/>
      </w:r>
      <w:r>
        <w:instrText xml:space="preserve"> PAGEREF _Toc23307 \h </w:instrText>
      </w:r>
      <w:r>
        <w:fldChar w:fldCharType="separate"/>
      </w:r>
      <w:r>
        <w:t xml:space="preserve">1</w:t>
      </w:r>
      <w:r>
        <w:fldChar w:fldCharType="end"/>
      </w:r>
      <w:r/>
    </w:p>
    <w:p>
      <w:pPr>
        <w:pStyle w:val="970"/>
        <w:tabs>
          <w:tab w:val="right" w:pos="9519" w:leader="dot"/>
        </w:tabs>
      </w:pPr>
      <w:r>
        <w:rPr>
          <w:rFonts w:ascii="黑体" w:eastAsia="黑体"/>
          <w:color w:val="auto"/>
          <w:szCs w:val="44"/>
          <w:highlight w:val="none"/>
        </w:rPr>
        <w:t xml:space="preserve">第二章 供应商须知</w:t>
      </w:r>
      <w:r>
        <w:tab/>
      </w:r>
      <w:r>
        <w:fldChar w:fldCharType="begin"/>
      </w:r>
      <w:r>
        <w:instrText xml:space="preserve"> PAGEREF _Toc28944 \h </w:instrText>
      </w:r>
      <w:r>
        <w:fldChar w:fldCharType="separate"/>
      </w:r>
      <w:r>
        <w:t xml:space="preserve">7</w:t>
      </w:r>
      <w:r>
        <w:fldChar w:fldCharType="end"/>
      </w:r>
      <w:r/>
    </w:p>
    <w:p>
      <w:pPr>
        <w:pStyle w:val="970"/>
        <w:tabs>
          <w:tab w:val="right" w:pos="9519" w:leader="dot"/>
        </w:tabs>
      </w:pPr>
      <w:r>
        <w:rPr>
          <w:rFonts w:ascii="黑体" w:eastAsia="黑体"/>
          <w:bCs/>
          <w:color w:val="auto"/>
          <w:highlight w:val="none"/>
        </w:rPr>
        <w:t xml:space="preserve">第三章 框架协议文本</w:t>
      </w:r>
      <w:r>
        <w:tab/>
      </w:r>
      <w:r>
        <w:fldChar w:fldCharType="begin"/>
      </w:r>
      <w:r>
        <w:instrText xml:space="preserve"> PAGEREF _Toc20662 \h </w:instrText>
      </w:r>
      <w:r>
        <w:fldChar w:fldCharType="separate"/>
      </w:r>
      <w:r>
        <w:t xml:space="preserve">16</w:t>
      </w:r>
      <w:r>
        <w:fldChar w:fldCharType="end"/>
      </w:r>
      <w:r/>
    </w:p>
    <w:p>
      <w:pPr>
        <w:pStyle w:val="970"/>
        <w:tabs>
          <w:tab w:val="right" w:pos="9519" w:leader="dot"/>
        </w:tabs>
      </w:pPr>
      <w:r>
        <w:rPr>
          <w:rFonts w:ascii="黑体" w:eastAsia="黑体"/>
          <w:bCs/>
          <w:color w:val="auto"/>
          <w:highlight w:val="none"/>
        </w:rPr>
        <w:t xml:space="preserve">第四章 采购需求</w:t>
      </w:r>
      <w:r>
        <w:tab/>
      </w:r>
      <w:r>
        <w:fldChar w:fldCharType="begin"/>
      </w:r>
      <w:r>
        <w:instrText xml:space="preserve"> PAGEREF _Toc18711 \h </w:instrText>
      </w:r>
      <w:r>
        <w:fldChar w:fldCharType="separate"/>
      </w:r>
      <w:r>
        <w:t xml:space="preserve">22</w:t>
      </w:r>
      <w:r>
        <w:fldChar w:fldCharType="end"/>
      </w:r>
      <w:r/>
    </w:p>
    <w:p>
      <w:pPr>
        <w:pStyle w:val="970"/>
        <w:tabs>
          <w:tab w:val="right" w:pos="9519" w:leader="dot"/>
        </w:tabs>
      </w:pPr>
      <w:r>
        <w:rPr>
          <w:rFonts w:ascii="黑体" w:eastAsia="黑体"/>
          <w:bCs/>
          <w:color w:val="auto"/>
          <w:highlight w:val="none"/>
        </w:rPr>
        <w:t xml:space="preserve">第五章 确定入围及成交供应商</w:t>
      </w:r>
      <w:r>
        <w:tab/>
      </w:r>
      <w:r>
        <w:fldChar w:fldCharType="begin"/>
      </w:r>
      <w:r>
        <w:instrText xml:space="preserve"> PAGEREF _Toc25771 \h </w:instrText>
      </w:r>
      <w:r>
        <w:fldChar w:fldCharType="separate"/>
      </w:r>
      <w:r>
        <w:t xml:space="preserve">27</w:t>
      </w:r>
      <w:r>
        <w:fldChar w:fldCharType="end"/>
      </w:r>
      <w:r/>
    </w:p>
    <w:p>
      <w:pPr>
        <w:pStyle w:val="970"/>
        <w:tabs>
          <w:tab w:val="right" w:pos="9519" w:leader="dot"/>
        </w:tabs>
      </w:pPr>
      <w:r>
        <w:rPr>
          <w:rFonts w:ascii="黑体" w:eastAsia="黑体"/>
          <w:bCs/>
          <w:color w:val="auto"/>
          <w:highlight w:val="none"/>
        </w:rPr>
        <w:t xml:space="preserve">第六章 响应文件格式</w:t>
      </w:r>
      <w:r>
        <w:tab/>
      </w:r>
      <w:r>
        <w:fldChar w:fldCharType="begin"/>
      </w:r>
      <w:r>
        <w:instrText xml:space="preserve"> PAGEREF _Toc25528 \h </w:instrText>
      </w:r>
      <w:r>
        <w:fldChar w:fldCharType="separate"/>
      </w:r>
      <w:r>
        <w:t xml:space="preserve">32</w:t>
      </w:r>
      <w:r>
        <w:fldChar w:fldCharType="end"/>
      </w:r>
      <w:r/>
    </w:p>
    <w:p>
      <w:pPr>
        <w:jc w:val="center"/>
        <w:pageBreakBefore w:val="0"/>
        <w:spacing w:line="360" w:lineRule="auto"/>
        <w:rPr>
          <w:color w:val="auto"/>
          <w:highlight w:val="none"/>
        </w:rPr>
        <w:outlineLvl w:val="9"/>
      </w:pPr>
      <w:r>
        <w:rPr>
          <w:rFonts w:hAnsi="宋体"/>
          <w:b/>
          <w:bCs/>
          <w:color w:val="auto"/>
          <w:sz w:val="36"/>
          <w:szCs w:val="36"/>
          <w:highlight w:val="none"/>
        </w:rPr>
        <w:fldChar w:fldCharType="end"/>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jc w:val="center"/>
        <w:pageBreakBefore w:val="0"/>
        <w:spacing w:line="360" w:lineRule="auto"/>
        <w:rPr>
          <w:rFonts w:ascii="黑体" w:eastAsia="黑体"/>
          <w:color w:val="auto"/>
          <w:sz w:val="44"/>
          <w:szCs w:val="44"/>
          <w:highlight w:val="none"/>
        </w:rPr>
        <w:sectPr>
          <w:footerReference w:type="default" r:id="rId12"/>
          <w:footerReference w:type="first" r:id="rId13"/>
          <w:footnotePr/>
          <w:endnotePr/>
          <w:type w:val="nextPage"/>
          <w:pgSz w:w="11906" w:h="16838" w:orient="portrait"/>
          <w:pgMar w:top="1191" w:right="1191" w:bottom="1020" w:left="1196" w:header="851" w:footer="907" w:gutter="0"/>
          <w:pgNumType w:start="1"/>
          <w:cols w:num="1" w:sep="0" w:space="720" w:equalWidth="1"/>
          <w:docGrid w:linePitch="360"/>
        </w:sectPr>
      </w:pPr>
      <w:r/>
      <w:bookmarkStart w:id="7" w:name="_Toc128039578"/>
      <w:r/>
      <w:r/>
    </w:p>
    <w:p>
      <w:pPr>
        <w:jc w:val="center"/>
        <w:pageBreakBefore w:val="0"/>
        <w:spacing w:line="360" w:lineRule="auto"/>
        <w:rPr>
          <w:rFonts w:hint="eastAsia" w:ascii="宋体" w:hAnsi="宋体"/>
          <w:color w:val="auto"/>
          <w:sz w:val="24"/>
          <w:szCs w:val="24"/>
          <w:highlight w:val="none"/>
          <w:lang w:val="en-US" w:eastAsia="zh-CN"/>
        </w:rPr>
        <w:outlineLvl w:val="0"/>
      </w:pPr>
      <w:r/>
      <w:bookmarkStart w:id="8" w:name="_Toc23307"/>
      <w:r>
        <w:rPr>
          <w:rFonts w:ascii="黑体" w:eastAsia="黑体"/>
          <w:color w:val="auto"/>
          <w:sz w:val="44"/>
          <w:szCs w:val="44"/>
          <w:highlight w:val="none"/>
        </w:rPr>
        <w:t xml:space="preserve">第一章 </w:t>
      </w:r>
      <w:bookmarkEnd w:id="1"/>
      <w:r>
        <w:rPr>
          <w:rFonts w:ascii="黑体" w:eastAsia="黑体"/>
          <w:color w:val="auto"/>
          <w:sz w:val="44"/>
          <w:szCs w:val="44"/>
          <w:highlight w:val="none"/>
        </w:rPr>
        <w:t xml:space="preserve">参加征集活动的邀请</w:t>
      </w:r>
      <w:bookmarkEnd w:id="7"/>
      <w:r/>
      <w:bookmarkEnd w:id="8"/>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泰州市自然资源和规划局现就2026-2027年度泰州市区储备、上市地块地质灾害危险性评估框架协议征集服务征集供应商，欢迎符合条件的供应商参加本次框架协议采购活动。</w:t>
      </w:r>
      <w:r/>
    </w:p>
    <w:p>
      <w:pPr>
        <w:ind w:firstLine="480"/>
        <w:pageBreakBefore w:val="0"/>
        <w:spacing w:line="360" w:lineRule="auto"/>
        <w:rPr>
          <w:rFonts w:hint="eastAsia" w:ascii="宋体" w:hAnsi="宋体" w:cs="宋体"/>
          <w:b/>
          <w:bCs/>
          <w:color w:val="auto"/>
          <w:sz w:val="24"/>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cs="宋体"/>
          <w:b/>
          <w:bCs/>
          <w:color w:val="auto"/>
          <w:sz w:val="24"/>
          <w:highlight w:val="none"/>
          <w:lang w:val="en-US" w:eastAsia="zh-CN"/>
        </w:rPr>
        <w:t xml:space="preserve">项目概况</w:t>
      </w:r>
      <w:r/>
    </w:p>
    <w:p>
      <w:pPr>
        <w:ind w:firstLine="480"/>
        <w:jc w:val="left"/>
        <w:pageBreakBefore w:val="0"/>
        <w:spacing w:line="360" w:lineRule="auto"/>
        <w:rPr>
          <w:rFonts w:hint="eastAsia" w:ascii="宋体" w:hAnsi="宋体" w:cs="宋体"/>
          <w:color w:val="auto"/>
          <w:sz w:val="24"/>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highlight w:val="none"/>
          <w:u w:val="single"/>
          <w:lang w:val="en-US" w:eastAsia="zh-CN"/>
        </w:rPr>
        <w:t xml:space="preserve">2026-2027年度泰州市区储备、上市地块地质灾害危险性评估框架协议征集服务</w:t>
      </w:r>
      <w:r>
        <w:rPr>
          <w:rFonts w:hint="eastAsia" w:ascii="宋体" w:hAnsi="宋体" w:eastAsia="宋体" w:cs="宋体"/>
          <w:color w:val="auto"/>
          <w:sz w:val="24"/>
          <w:highlight w:val="none"/>
        </w:rPr>
        <w:t xml:space="preserve">框架协议采购</w:t>
      </w:r>
      <w:r>
        <w:rPr>
          <w:rFonts w:hint="eastAsia" w:ascii="宋体" w:hAnsi="宋体" w:cs="宋体"/>
          <w:color w:val="auto"/>
          <w:sz w:val="24"/>
          <w:highlight w:val="none"/>
          <w:u w:val="none"/>
          <w:lang w:val="en-US" w:eastAsia="zh-CN"/>
        </w:rPr>
        <w:t xml:space="preserve">项目</w:t>
      </w:r>
      <w:r>
        <w:rPr>
          <w:rFonts w:hint="eastAsia" w:ascii="宋体" w:hAnsi="宋体" w:cs="宋体"/>
          <w:color w:val="auto"/>
          <w:sz w:val="24"/>
          <w:highlight w:val="none"/>
          <w:lang w:val="en-US" w:eastAsia="zh-CN"/>
        </w:rPr>
        <w:t xml:space="preserve">的潜在供应商可在</w:t>
      </w:r>
      <w:r>
        <w:rPr>
          <w:rFonts w:hint="eastAsia" w:ascii="宋体" w:hAnsi="宋体" w:cs="宋体"/>
          <w:color w:val="auto"/>
          <w:sz w:val="24"/>
          <w:highlight w:val="none"/>
          <w:u w:val="single"/>
          <w:lang w:val="en-US" w:eastAsia="zh-CN"/>
        </w:rPr>
        <w:t xml:space="preserve">江苏省政府采购“苏采云”系统（http://jszfcg.jscz.gov.cn/jszc/login）</w:t>
      </w:r>
      <w:r>
        <w:rPr>
          <w:rFonts w:hint="eastAsia" w:ascii="宋体" w:hAnsi="宋体" w:cs="宋体"/>
          <w:color w:val="auto"/>
          <w:sz w:val="24"/>
          <w:highlight w:val="none"/>
          <w:lang w:val="en-US" w:eastAsia="zh-CN"/>
        </w:rPr>
        <w:t xml:space="preserve">自行免费下载征集文件，并于2026年4月14日9点00分（北京时间）前提交响应文件。</w:t>
      </w:r>
      <w:r/>
    </w:p>
    <w:p>
      <w:pPr>
        <w:ind w:firstLine="480"/>
        <w:pageBreakBefore w:val="0"/>
        <w:spacing w:line="360" w:lineRule="auto"/>
        <w:rPr>
          <w:rFonts w:hint="eastAsia" w:ascii="宋体" w:hAnsi="宋体" w:cs="宋体"/>
          <w:b/>
          <w:bCs/>
          <w:color w:val="auto"/>
          <w:sz w:val="24"/>
          <w:highlight w:val="none"/>
          <w:lang w:val="en-US" w:eastAsia="zh-CN"/>
        </w:rPr>
      </w:pPr>
      <w:r/>
      <w:bookmarkStart w:id="9" w:name="_Toc35393790"/>
      <w:r/>
      <w:bookmarkStart w:id="10" w:name="_Hlk24379207"/>
      <w:r/>
      <w:bookmarkStart w:id="11" w:name="_Toc38985263"/>
      <w:r/>
      <w:bookmarkStart w:id="12" w:name="_Toc28359079"/>
      <w:r/>
      <w:bookmarkStart w:id="13" w:name="_Toc28359002"/>
      <w:r/>
      <w:bookmarkStart w:id="14" w:name="_Toc35393621"/>
      <w:r>
        <w:rPr>
          <w:rFonts w:hint="eastAsia" w:ascii="宋体" w:hAnsi="宋体" w:cs="宋体"/>
          <w:b/>
          <w:bCs/>
          <w:color w:val="auto"/>
          <w:sz w:val="24"/>
          <w:highlight w:val="none"/>
          <w:lang w:val="en-US" w:eastAsia="zh-CN"/>
        </w:rPr>
        <w:t xml:space="preserve">一、项目基本情况</w:t>
      </w:r>
      <w:bookmarkEnd w:id="9"/>
      <w:r/>
      <w:bookmarkEnd w:id="10"/>
      <w:r/>
      <w:bookmarkEnd w:id="11"/>
      <w:r/>
      <w:bookmarkEnd w:id="12"/>
      <w:r/>
      <w:bookmarkEnd w:id="13"/>
      <w:r/>
      <w:bookmarkEnd w:id="14"/>
      <w:r/>
      <w:r/>
    </w:p>
    <w:p>
      <w:pPr>
        <w:ind w:firstLine="480"/>
        <w:pageBreakBefore w:val="0"/>
        <w:spacing w:line="360" w:lineRule="auto"/>
        <w:rPr>
          <w:rFonts w:hint="eastAsia" w:ascii="宋体" w:hAnsi="宋体" w:eastAsia="宋体" w:cs="宋体"/>
          <w:b w:val="0"/>
          <w:bCs w:val="0"/>
          <w:color w:val="auto"/>
          <w:sz w:val="24"/>
          <w:szCs w:val="24"/>
          <w:highlight w:val="none"/>
          <w:lang w:eastAsia="zh-CN"/>
        </w:rPr>
      </w:pPr>
      <w:r/>
      <w:bookmarkStart w:id="15" w:name="_Toc35393791"/>
      <w:r/>
      <w:bookmarkStart w:id="16" w:name="_Toc35393622"/>
      <w:r/>
      <w:bookmarkStart w:id="17" w:name="_Toc28359080"/>
      <w:r/>
      <w:bookmarkStart w:id="18" w:name="_Toc38985264"/>
      <w:r/>
      <w:bookmarkStart w:id="19" w:name="_Toc28359003"/>
      <w:r>
        <w:rPr>
          <w:rFonts w:hint="eastAsia" w:ascii="宋体" w:hAnsi="宋体" w:cs="宋体"/>
          <w:color w:val="auto"/>
          <w:sz w:val="24"/>
          <w:highlight w:val="none"/>
          <w:lang w:val="en-US" w:eastAsia="zh-CN"/>
        </w:rPr>
        <w:t xml:space="preserve">1.项目编号：JSZC-321200-THZX-K2026-0011</w:t>
      </w:r>
      <w:r/>
    </w:p>
    <w:p>
      <w:pPr>
        <w:ind w:firstLine="480"/>
        <w:jc w:val="left"/>
        <w:keepLines w:val="0"/>
        <w:keepNext w:val="0"/>
        <w:pageBreakBefore w:val="0"/>
        <w:spacing w:line="48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2.项目名称：2026-2027年度泰州市区储备、上市地块地质灾害危险性评估框架协议征集服务</w:t>
      </w:r>
      <w:r>
        <w:rPr>
          <w:rFonts w:hint="eastAsia" w:ascii="宋体" w:hAnsi="宋体" w:eastAsia="宋体" w:cs="宋体"/>
          <w:color w:val="auto"/>
          <w:sz w:val="24"/>
          <w:highlight w:val="none"/>
          <w:lang w:eastAsia="zh-CN"/>
        </w:rPr>
        <w:t xml:space="preserve">。</w:t>
      </w:r>
      <w:r/>
    </w:p>
    <w:p>
      <w:pPr>
        <w:ind w:firstLine="480"/>
        <w:pageBreakBefore w:val="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3.预算金额：280万元（2年，140万元/年）。</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4.最高限价：280万元（2年，140万元/年）。</w:t>
      </w:r>
      <w:r/>
    </w:p>
    <w:p>
      <w:pPr>
        <w:pStyle w:val="967"/>
        <w:ind w:firstLine="480"/>
        <w:pageBreakBefore w:val="0"/>
        <w:spacing w:line="360" w:lineRule="auto"/>
        <w:rPr>
          <w:rFonts w:hint="eastAsia" w:ascii="宋体" w:hAnsi="宋体" w:eastAsia="宋体" w:cs="宋体"/>
          <w:color w:val="auto"/>
          <w:sz w:val="24"/>
          <w:szCs w:val="24"/>
          <w:highlight w:val="none"/>
          <w:lang w:eastAsia="zh-CN"/>
        </w:rPr>
      </w:pPr>
      <w:r>
        <w:rPr>
          <w:rFonts w:hint="eastAsia" w:hAnsi="宋体" w:cs="宋体"/>
          <w:color w:val="auto"/>
          <w:sz w:val="24"/>
          <w:highlight w:val="none"/>
          <w:lang w:val="en-US" w:eastAsia="zh-CN"/>
        </w:rPr>
        <w:t xml:space="preserve">5</w:t>
      </w:r>
      <w:r>
        <w:rPr>
          <w:rFonts w:hint="eastAsia" w:ascii="宋体" w:hAnsi="宋体" w:cs="宋体"/>
          <w:color w:val="auto"/>
          <w:sz w:val="24"/>
          <w:highlight w:val="none"/>
          <w:lang w:val="en-US" w:eastAsia="zh-CN"/>
        </w:rPr>
        <w:t xml:space="preserve">.框架协议的期限：自合同签订之日起至2027年</w:t>
      </w:r>
      <w:r>
        <w:rPr>
          <w:rFonts w:hint="eastAsia" w:hAnsi="宋体" w:cs="宋体"/>
          <w:color w:val="auto"/>
          <w:sz w:val="24"/>
          <w:highlight w:val="none"/>
          <w:lang w:val="en-US" w:eastAsia="zh-CN"/>
        </w:rPr>
        <w:t xml:space="preserve">12</w:t>
      </w:r>
      <w:r>
        <w:rPr>
          <w:rFonts w:hint="eastAsia" w:ascii="宋体" w:hAnsi="宋体" w:cs="宋体"/>
          <w:color w:val="auto"/>
          <w:sz w:val="24"/>
          <w:highlight w:val="none"/>
          <w:lang w:val="en-US" w:eastAsia="zh-CN"/>
        </w:rPr>
        <w:t xml:space="preserve">月</w:t>
      </w:r>
      <w:r>
        <w:rPr>
          <w:rFonts w:hint="eastAsia" w:hAnsi="宋体" w:cs="宋体"/>
          <w:color w:val="auto"/>
          <w:sz w:val="24"/>
          <w:highlight w:val="none"/>
          <w:lang w:val="en-US" w:eastAsia="zh-CN"/>
        </w:rPr>
        <w:t xml:space="preserve">31</w:t>
      </w:r>
      <w:r>
        <w:rPr>
          <w:rFonts w:hint="eastAsia" w:ascii="宋体" w:hAnsi="宋体" w:cs="宋体"/>
          <w:color w:val="auto"/>
          <w:sz w:val="24"/>
          <w:highlight w:val="none"/>
          <w:lang w:val="en-US" w:eastAsia="zh-CN"/>
        </w:rPr>
        <w:t xml:space="preserve">日止</w:t>
      </w:r>
      <w:r>
        <w:rPr>
          <w:rFonts w:hint="eastAsia" w:hAnsi="宋体" w:cs="宋体"/>
          <w:color w:val="auto"/>
          <w:sz w:val="24"/>
          <w:szCs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cs="宋体"/>
          <w:color w:val="auto"/>
          <w:sz w:val="24"/>
          <w:highlight w:val="none"/>
          <w:lang w:val="en-US" w:eastAsia="zh-CN"/>
        </w:rPr>
        <w:t xml:space="preserve">6.采购需求：</w:t>
      </w:r>
      <w:r>
        <w:rPr>
          <w:rFonts w:hint="eastAsia" w:ascii="宋体" w:hAnsi="宋体" w:cs="宋体"/>
          <w:color w:val="auto"/>
          <w:sz w:val="24"/>
          <w:highlight w:val="none"/>
          <w:lang w:eastAsia="zh-CN"/>
        </w:rPr>
        <w:t xml:space="preserve">2026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2027年泰州市区储备、上市地块</w:t>
      </w:r>
      <w:r>
        <w:rPr>
          <w:rFonts w:hint="eastAsia" w:ascii="宋体" w:hAnsi="宋体" w:cs="宋体"/>
          <w:color w:val="auto"/>
          <w:sz w:val="24"/>
          <w:highlight w:val="none"/>
          <w:u w:val="single"/>
          <w:lang w:val="en-US" w:eastAsia="zh-CN"/>
        </w:rPr>
        <w:t xml:space="preserve">地质灾害危险性评估项目</w:t>
      </w:r>
      <w:r>
        <w:rPr>
          <w:rFonts w:hint="eastAsia" w:ascii="宋体" w:hAnsi="宋体" w:eastAsia="宋体" w:cs="宋体"/>
          <w:color w:val="auto"/>
          <w:sz w:val="24"/>
          <w:highlight w:val="none"/>
        </w:rPr>
        <w:t xml:space="preserve">框架协议采购，按照淘汰率20%</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rPr>
        <w:t xml:space="preserve">比例入围供应商，向上取整数计算淘汰家数，且至少淘汰一家供应商</w:t>
      </w:r>
      <w:r>
        <w:rPr>
          <w:rFonts w:hint="eastAsia" w:ascii="宋体" w:hAnsi="宋体" w:eastAsia="宋体" w:cs="宋体"/>
          <w:b/>
          <w:bCs/>
          <w:color w:val="auto"/>
          <w:sz w:val="24"/>
          <w:highlight w:val="none"/>
          <w:u w:val="single"/>
        </w:rPr>
        <w:t xml:space="preserve">（入围供应商上限数量为6家</w:t>
      </w:r>
      <w:r>
        <w:rPr>
          <w:rFonts w:hint="eastAsia" w:ascii="宋体" w:hAnsi="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提交响应文件和符合资格条件、实质性要求的供应商少于</w:t>
      </w:r>
      <w:r>
        <w:rPr>
          <w:rFonts w:hint="eastAsia" w:ascii="宋体" w:hAnsi="宋体" w:cs="宋体"/>
          <w:b/>
          <w:bCs/>
          <w:color w:val="auto"/>
          <w:sz w:val="24"/>
          <w:highlight w:val="none"/>
          <w:u w:val="single"/>
          <w:lang w:val="en-US" w:eastAsia="zh-CN"/>
        </w:rPr>
        <w:t xml:space="preserve">8</w:t>
      </w:r>
      <w:r>
        <w:rPr>
          <w:rFonts w:hint="eastAsia" w:ascii="宋体" w:hAnsi="宋体" w:eastAsia="宋体" w:cs="宋体"/>
          <w:b/>
          <w:bCs/>
          <w:color w:val="auto"/>
          <w:sz w:val="24"/>
          <w:highlight w:val="none"/>
          <w:u w:val="single"/>
        </w:rPr>
        <w:t xml:space="preserve">家时，入围供应商数量</w:t>
      </w:r>
      <w:r>
        <w:rPr>
          <w:rFonts w:hint="eastAsia" w:ascii="宋体" w:hAnsi="宋体" w:cs="宋体"/>
          <w:b/>
          <w:bCs/>
          <w:color w:val="auto"/>
          <w:sz w:val="24"/>
          <w:highlight w:val="none"/>
          <w:u w:val="single"/>
          <w:lang w:val="en-US" w:eastAsia="zh-CN"/>
        </w:rPr>
        <w:t xml:space="preserve">相应调减）</w:t>
      </w:r>
      <w:r>
        <w:rPr>
          <w:rFonts w:hint="eastAsia" w:ascii="宋体" w:hAnsi="宋体" w:eastAsia="宋体" w:cs="宋体"/>
          <w:b/>
          <w:bCs/>
          <w:color w:val="auto"/>
          <w:sz w:val="24"/>
          <w:highlight w:val="none"/>
          <w:u w:val="single"/>
        </w:rPr>
        <w:t xml:space="preserve">。</w:t>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lang w:val="en-US" w:eastAsia="zh-CN"/>
        </w:rPr>
        <w:t xml:space="preserve">7.</w:t>
      </w:r>
      <w:r>
        <w:rPr>
          <w:rFonts w:hint="eastAsia" w:ascii="宋体" w:hAnsi="宋体" w:cs="仿宋_GB2312"/>
          <w:color w:val="auto"/>
          <w:szCs w:val="21"/>
          <w:highlight w:val="none"/>
        </w:rPr>
        <w:t xml:space="preserve">报价方式：本项目采用</w:t>
      </w:r>
      <w:r>
        <w:rPr>
          <w:rFonts w:hint="eastAsia" w:ascii="宋体" w:hAnsi="宋体" w:cs="仿宋_GB2312"/>
          <w:color w:val="auto"/>
          <w:szCs w:val="21"/>
          <w:highlight w:val="none"/>
          <w:lang w:val="en-US" w:eastAsia="zh-CN"/>
        </w:rPr>
        <w:t xml:space="preserve">优惠率</w:t>
      </w:r>
      <w:r>
        <w:rPr>
          <w:rFonts w:hint="eastAsia" w:ascii="宋体" w:hAnsi="宋体" w:cs="仿宋_GB2312"/>
          <w:color w:val="auto"/>
          <w:szCs w:val="21"/>
          <w:highlight w:val="none"/>
        </w:rPr>
        <w:t xml:space="preserve">报价方式并根据</w:t>
      </w:r>
      <w:r>
        <w:rPr>
          <w:rFonts w:hint="eastAsia" w:ascii="宋体" w:hAnsi="宋体" w:cs="仿宋_GB2312"/>
          <w:color w:val="auto"/>
          <w:szCs w:val="21"/>
          <w:highlight w:val="none"/>
          <w:lang w:val="en-US" w:eastAsia="zh-CN"/>
        </w:rPr>
        <w:t xml:space="preserve">优惠率</w:t>
      </w:r>
      <w:r>
        <w:rPr>
          <w:rFonts w:hint="eastAsia" w:ascii="宋体" w:hAnsi="宋体" w:cs="仿宋_GB2312"/>
          <w:color w:val="auto"/>
          <w:szCs w:val="21"/>
          <w:highlight w:val="none"/>
        </w:rPr>
        <w:t xml:space="preserve">计算价格分。投标</w:t>
      </w:r>
      <w:r>
        <w:rPr>
          <w:rFonts w:hint="eastAsia" w:ascii="宋体" w:hAnsi="宋体" w:cs="仿宋_GB2312"/>
          <w:color w:val="auto"/>
          <w:szCs w:val="21"/>
          <w:highlight w:val="none"/>
          <w:lang w:val="en-US" w:eastAsia="zh-CN"/>
        </w:rPr>
        <w:t xml:space="preserve">优惠率</w:t>
      </w:r>
      <w:r>
        <w:rPr>
          <w:rFonts w:hint="eastAsia" w:ascii="宋体" w:hAnsi="宋体" w:cs="仿宋_GB2312"/>
          <w:color w:val="auto"/>
          <w:szCs w:val="21"/>
          <w:highlight w:val="none"/>
        </w:rPr>
        <w:t xml:space="preserve">（%）举例说明</w:t>
      </w:r>
      <w:r>
        <w:rPr>
          <w:rFonts w:hint="eastAsia" w:ascii="宋体" w:hAnsi="宋体" w:cs="仿宋_GB2312"/>
          <w:color w:val="auto"/>
          <w:szCs w:val="21"/>
          <w:highlight w:val="none"/>
          <w:lang w:eastAsia="zh-CN"/>
        </w:rPr>
        <w:t xml:space="preserve">：如在上述基准价的基础上下浮10%，即投标报价</w:t>
      </w:r>
      <w:r>
        <w:rPr>
          <w:rFonts w:hint="eastAsia" w:ascii="宋体" w:hAnsi="宋体" w:cs="仿宋_GB2312"/>
          <w:color w:val="auto"/>
          <w:szCs w:val="21"/>
          <w:highlight w:val="none"/>
          <w:lang w:val="en-US" w:eastAsia="zh-CN"/>
        </w:rPr>
        <w:t xml:space="preserve">优惠率</w:t>
      </w:r>
      <w:r>
        <w:rPr>
          <w:rFonts w:hint="eastAsia" w:ascii="宋体" w:hAnsi="宋体" w:cs="仿宋_GB2312"/>
          <w:color w:val="auto"/>
          <w:szCs w:val="21"/>
          <w:highlight w:val="none"/>
          <w:lang w:eastAsia="zh-CN"/>
        </w:rPr>
        <w:t xml:space="preserve">为</w:t>
      </w:r>
      <w:r>
        <w:rPr>
          <w:rFonts w:hint="eastAsia" w:ascii="宋体" w:hAnsi="宋体" w:cs="仿宋_GB2312"/>
          <w:color w:val="auto"/>
          <w:szCs w:val="21"/>
          <w:highlight w:val="none"/>
          <w:lang w:val="en-US" w:eastAsia="zh-CN"/>
        </w:rPr>
        <w:t xml:space="preserve">1</w:t>
      </w:r>
      <w:r>
        <w:rPr>
          <w:rFonts w:hint="eastAsia" w:ascii="宋体" w:hAnsi="宋体" w:cs="仿宋_GB2312"/>
          <w:color w:val="auto"/>
          <w:szCs w:val="21"/>
          <w:highlight w:val="none"/>
          <w:lang w:eastAsia="zh-CN"/>
        </w:rPr>
        <w:t xml:space="preserve">0%，结算价格为基准价*（</w:t>
      </w:r>
      <w:r>
        <w:rPr>
          <w:rFonts w:hint="eastAsia" w:ascii="宋体" w:hAnsi="宋体" w:cs="仿宋_GB2312"/>
          <w:color w:val="auto"/>
          <w:szCs w:val="21"/>
          <w:highlight w:val="none"/>
          <w:lang w:val="en-US" w:eastAsia="zh-CN"/>
        </w:rPr>
        <w:t xml:space="preserve">1-优惠率</w:t>
      </w:r>
      <w:r>
        <w:rPr>
          <w:rFonts w:hint="eastAsia" w:ascii="宋体" w:hAnsi="宋体" w:cs="仿宋_GB2312"/>
          <w:color w:val="auto"/>
          <w:szCs w:val="21"/>
          <w:highlight w:val="none"/>
          <w:lang w:eastAsia="zh-CN"/>
        </w:rPr>
        <w:t xml:space="preserve">）</w:t>
      </w:r>
      <w:r>
        <w:rPr>
          <w:rFonts w:hint="eastAsia" w:ascii="宋体" w:hAnsi="宋体" w:cs="仿宋_GB2312"/>
          <w:color w:val="auto"/>
          <w:szCs w:val="21"/>
          <w:highlight w:val="none"/>
        </w:rPr>
        <w:t xml:space="preserve">。</w:t>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基准价（参照江苏标准价，根据泰州近10年来市场价确定）：</w:t>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tbl>
      <w:tblPr>
        <w:tblStyle w:val="963"/>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96"/>
        <w:gridCol w:w="1154"/>
        <w:gridCol w:w="1154"/>
        <w:gridCol w:w="1154"/>
        <w:gridCol w:w="1228"/>
        <w:gridCol w:w="1080"/>
        <w:gridCol w:w="1330"/>
      </w:tblGrid>
      <w:tr>
        <w:trPr>
          <w:jc w:val="center"/>
          <w:trHeight w:val="454" w:hRule="exact"/>
        </w:trPr>
        <w:tc>
          <w:tcPr>
            <w:tcW w:w="1996" w:type="dxa"/>
            <w:vAlign w:val="center"/>
            <w:vMerge w:val="restart"/>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地质灾害危险性评估级别</w:t>
            </w:r>
            <w:r/>
          </w:p>
        </w:tc>
        <w:tc>
          <w:tcPr>
            <w:gridSpan w:val="6"/>
            <w:tcW w:w="7100" w:type="dxa"/>
            <w:vAlign w:val="center"/>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地质环境条件</w:t>
            </w:r>
            <w:r/>
          </w:p>
        </w:tc>
      </w:tr>
      <w:tr>
        <w:trPr>
          <w:jc w:val="center"/>
          <w:trHeight w:val="454" w:hRule="exact"/>
        </w:trPr>
        <w:tc>
          <w:tcPr>
            <w:tcW w:w="1996"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c>
          <w:tcPr>
            <w:gridSpan w:val="2"/>
            <w:tcW w:w="230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简单地区</w:t>
            </w:r>
            <w:r/>
          </w:p>
        </w:tc>
        <w:tc>
          <w:tcPr>
            <w:gridSpan w:val="2"/>
            <w:tcW w:w="2382"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中等地区</w:t>
            </w:r>
            <w:r/>
          </w:p>
        </w:tc>
        <w:tc>
          <w:tcPr>
            <w:gridSpan w:val="2"/>
            <w:tcW w:w="241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复杂地区</w:t>
            </w:r>
            <w:r/>
          </w:p>
        </w:tc>
      </w:tr>
      <w:tr>
        <w:trPr>
          <w:jc w:val="center"/>
          <w:trHeight w:val="425" w:hRule="exact"/>
        </w:trPr>
        <w:tc>
          <w:tcPr>
            <w:tcW w:w="1996" w:type="dxa"/>
            <w:vAlign w:val="center"/>
            <w:vMerge w:val="restart"/>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一级</w:t>
            </w:r>
            <w:r/>
          </w:p>
        </w:tc>
        <w:tc>
          <w:tcPr>
            <w:gridSpan w:val="2"/>
            <w:tcW w:w="2308" w:type="dxa"/>
            <w:vAlign w:val="top"/>
            <w:vMerge w:val="restart"/>
            <w:textDirection w:val="lrTb"/>
            <w:noWrap w:val="false"/>
          </w:tcPr>
          <w:p>
            <w:pPr>
              <w:pStyle w:val="967"/>
              <w:spacing w:line="360" w:lineRule="exact"/>
              <w:rPr>
                <w:rFonts w:hAnsi="宋体" w:cs="仿宋_GB2312"/>
                <w:color w:val="auto"/>
                <w:szCs w:val="21"/>
                <w:highlight w:val="none"/>
              </w:rPr>
            </w:pPr>
            <w:r>
              <w:rPr>
                <w:rFonts w:hAnsi="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6985</wp:posOffset>
                      </wp:positionV>
                      <wp:extent cx="1468120" cy="539750"/>
                      <wp:effectExtent l="1905" t="5715" r="15875" b="6985"/>
                      <wp:wrapNone/>
                      <wp:docPr id="4" name="直接连接符 7"/>
                      <wp:cNvGraphicFramePr/>
                      <a:graphic xmlns:a="http://schemas.openxmlformats.org/drawingml/2006/main">
                        <a:graphicData uri="http://schemas.microsoft.com/office/word/2010/wordprocessingShape">
                          <wps:wsp>
                            <wps:cNvPr id="0" name=""/>
                            <wps:cNvSpPr/>
                            <wps:spPr bwMode="auto">
                              <a:xfrm>
                                <a:off x="0" y="0"/>
                                <a:ext cx="1468120" cy="539750"/>
                              </a:xfrm>
                              <a:prstGeom prst="line">
                                <a:avLst/>
                              </a:prstGeom>
                              <a:noFill/>
                              <a:ln w="12700" cap="flat" cmpd="sng" algn="ctr">
                                <a:solidFill>
                                  <a:srgbClr val="000000"/>
                                </a:solidFill>
                                <a:prstDash val="solid"/>
                                <a:miter lim="800000"/>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4.8pt,0.5pt" to="110.8pt,43.0pt" filled="f" strokecolor="#000000" strokeweight="1.00pt">
                      <v:stroke dashstyle="solid"/>
                    </v:line>
                  </w:pict>
                </mc:Fallback>
              </mc:AlternateConten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08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33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r>
      <w:tr>
        <w:trPr>
          <w:jc w:val="center"/>
          <w:trHeight w:val="851" w:hRule="exact"/>
        </w:trPr>
        <w:tc>
          <w:tcPr>
            <w:tcW w:w="1996" w:type="dxa"/>
            <w:vAlign w:val="center"/>
            <w:vMerge w:val="continue"/>
            <w:textDirection w:val="lrTb"/>
            <w:noWrap w:val="false"/>
          </w:tcPr>
          <w:p>
            <w:pPr>
              <w:pStyle w:val="967"/>
              <w:jc w:val="center"/>
              <w:spacing w:line="360" w:lineRule="exact"/>
              <w:rPr>
                <w:rFonts w:hAnsi="宋体" w:cs="仿宋_GB2312"/>
                <w:color w:val="auto"/>
                <w:szCs w:val="21"/>
                <w:highlight w:val="none"/>
              </w:rPr>
            </w:pPr>
            <w:r>
              <w:rPr>
                <w:rFonts w:hAnsi="宋体" w:cs="仿宋_GB2312"/>
                <w:color w:val="auto"/>
                <w:szCs w:val="21"/>
                <w:highlight w:val="none"/>
              </w:rPr>
            </w:r>
            <w:r/>
          </w:p>
        </w:tc>
        <w:tc>
          <w:tcPr>
            <w:gridSpan w:val="2"/>
            <w:tcW w:w="2308"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51500</w:t>
            </w:r>
            <w:r>
              <w:rPr>
                <w:rFonts w:hint="eastAsia" w:ascii="宋体" w:hAnsi="宋体" w:cs="仿宋_GB2312"/>
                <w:color w:val="auto"/>
                <w:szCs w:val="21"/>
                <w:highlight w:val="none"/>
              </w:rPr>
              <w:t xml:space="preserve">元</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120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c>
          <w:tcPr>
            <w:tcW w:w="108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62000</w:t>
            </w:r>
            <w:r>
              <w:rPr>
                <w:rFonts w:hint="eastAsia" w:ascii="宋体" w:hAnsi="宋体" w:cs="仿宋_GB2312"/>
                <w:color w:val="auto"/>
                <w:szCs w:val="21"/>
                <w:highlight w:val="none"/>
              </w:rPr>
              <w:t xml:space="preserve">元</w:t>
            </w:r>
            <w:r/>
          </w:p>
        </w:tc>
        <w:tc>
          <w:tcPr>
            <w:tcW w:w="133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160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r>
      <w:tr>
        <w:trPr>
          <w:jc w:val="center"/>
          <w:trHeight w:val="425" w:hRule="exact"/>
        </w:trPr>
        <w:tc>
          <w:tcPr>
            <w:tcW w:w="1996" w:type="dxa"/>
            <w:vAlign w:val="center"/>
            <w:vMerge w:val="restart"/>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二级</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gridSpan w:val="2"/>
            <w:tcW w:w="2410" w:type="dxa"/>
            <w:vAlign w:val="center"/>
            <w:vMerge w:val="restart"/>
            <w:textDirection w:val="lrTb"/>
            <w:noWrap w:val="false"/>
          </w:tcPr>
          <w:p>
            <w:pPr>
              <w:spacing w:line="280" w:lineRule="exact"/>
              <w:rPr>
                <w:rFonts w:hAnsi="宋体" w:cs="仿宋_GB2312"/>
                <w:color w:val="auto"/>
                <w:szCs w:val="21"/>
                <w:highlight w:val="none"/>
              </w:rPr>
            </w:pPr>
            <w:r>
              <w:rPr>
                <w:rFonts w:hAnsi="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-66040</wp:posOffset>
                      </wp:positionH>
                      <wp:positionV relativeFrom="paragraph">
                        <wp:posOffset>7620</wp:posOffset>
                      </wp:positionV>
                      <wp:extent cx="1537335" cy="869950"/>
                      <wp:effectExtent l="3175" t="5715" r="21590" b="19685"/>
                      <wp:wrapNone/>
                      <wp:docPr id="5" name="直接连接符 8"/>
                      <wp:cNvGraphicFramePr/>
                      <a:graphic xmlns:a="http://schemas.openxmlformats.org/drawingml/2006/main">
                        <a:graphicData uri="http://schemas.microsoft.com/office/word/2010/wordprocessingShape">
                          <wps:wsp>
                            <wps:cNvPr id="0" name=""/>
                            <wps:cNvSpPr/>
                            <wps:spPr bwMode="auto">
                              <a:xfrm>
                                <a:off x="0" y="0"/>
                                <a:ext cx="1537335" cy="869950"/>
                              </a:xfrm>
                              <a:prstGeom prst="line">
                                <a:avLst/>
                              </a:prstGeom>
                              <a:noFill/>
                              <a:ln w="12700" cap="flat" cmpd="sng" algn="ctr">
                                <a:solidFill>
                                  <a:srgbClr val="000000"/>
                                </a:solidFill>
                                <a:prstDash val="solid"/>
                                <a:miter lim="800000"/>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5.2pt,0.6pt" to="115.8pt,69.1pt" filled="f" strokecolor="#000000" strokeweight="1.00pt">
                      <v:stroke dashstyle="solid"/>
                    </v:line>
                  </w:pict>
                </mc:Fallback>
              </mc:AlternateContent>
            </w:r>
            <w:r/>
          </w:p>
        </w:tc>
      </w:tr>
      <w:tr>
        <w:trPr>
          <w:jc w:val="center"/>
          <w:trHeight w:val="978" w:hRule="exact"/>
        </w:trPr>
        <w:tc>
          <w:tcPr>
            <w:tcW w:w="1996"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27500</w:t>
            </w:r>
            <w:r>
              <w:rPr>
                <w:rFonts w:hint="eastAsia" w:ascii="宋体" w:hAnsi="宋体" w:cs="仿宋_GB2312"/>
                <w:color w:val="auto"/>
                <w:szCs w:val="21"/>
                <w:highlight w:val="none"/>
              </w:rPr>
              <w:t xml:space="preserve">元</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40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32000</w:t>
            </w:r>
            <w:r>
              <w:rPr>
                <w:rFonts w:hint="eastAsia" w:ascii="宋体" w:hAnsi="宋体" w:cs="仿宋_GB2312"/>
                <w:color w:val="auto"/>
                <w:szCs w:val="21"/>
                <w:highlight w:val="none"/>
              </w:rPr>
              <w:t xml:space="preserve">元</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60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c>
          <w:tcPr>
            <w:gridSpan w:val="2"/>
            <w:tcW w:w="2410"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r>
      <w:tr>
        <w:trPr>
          <w:jc w:val="center"/>
          <w:trHeight w:val="972" w:hRule="exact"/>
        </w:trPr>
        <w:tc>
          <w:tcPr>
            <w:gridSpan w:val="7"/>
            <w:tcW w:w="9096" w:type="dxa"/>
            <w:vAlign w:val="top"/>
            <w:textDirection w:val="lrTb"/>
            <w:noWrap w:val="false"/>
          </w:tcPr>
          <w:p>
            <w:pPr>
              <w:pStyle w:val="967"/>
              <w:spacing w:line="360" w:lineRule="exact"/>
              <w:rPr>
                <w:rFonts w:hint="eastAsia" w:hAnsi="宋体" w:eastAsia="宋体" w:cs="仿宋_GB2312"/>
                <w:color w:val="auto"/>
                <w:szCs w:val="21"/>
                <w:highlight w:val="none"/>
                <w:lang w:val="en-US" w:eastAsia="zh-CN"/>
              </w:rPr>
            </w:pPr>
            <w:r>
              <w:rPr>
                <w:rFonts w:hint="eastAsia" w:ascii="宋体" w:hAnsi="宋体" w:cs="仿宋_GB2312"/>
                <w:color w:val="auto"/>
                <w:szCs w:val="21"/>
                <w:highlight w:val="none"/>
              </w:rPr>
              <w:t xml:space="preserve">备注：</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rPr>
              <w:t xml:space="preserve">50亩对应单价为按标准增收的地质灾害调查、测绘费。</w:t>
            </w:r>
            <w:r>
              <w:rPr>
                <w:rFonts w:hint="eastAsia" w:hAnsi="宋体" w:cs="仿宋_GB2312"/>
                <w:color w:val="auto"/>
                <w:szCs w:val="21"/>
                <w:highlight w:val="none"/>
                <w:lang w:eastAsia="zh-CN"/>
              </w:rPr>
              <w:t xml:space="preserve">（</w:t>
            </w:r>
            <w:r>
              <w:rPr>
                <w:rFonts w:hint="eastAsia" w:hAnsi="宋体" w:cs="仿宋_GB2312"/>
                <w:color w:val="auto"/>
                <w:szCs w:val="21"/>
                <w:highlight w:val="none"/>
                <w:lang w:val="en-US" w:eastAsia="zh-CN"/>
              </w:rPr>
              <w:t xml:space="preserve">例：如某</w:t>
            </w:r>
            <w:r>
              <w:rPr>
                <w:rFonts w:hint="eastAsia" w:hAnsi="宋体" w:cs="仿宋_GB2312"/>
                <w:color w:val="auto"/>
                <w:szCs w:val="21"/>
                <w:highlight w:val="none"/>
              </w:rPr>
              <w:t xml:space="preserve">地质灾害危险性评估级别</w:t>
            </w:r>
            <w:r>
              <w:rPr>
                <w:rFonts w:hint="eastAsia" w:hAnsi="宋体" w:cs="仿宋_GB2312"/>
                <w:color w:val="auto"/>
                <w:szCs w:val="21"/>
                <w:highlight w:val="none"/>
                <w:lang w:val="en-US" w:eastAsia="zh-CN"/>
              </w:rPr>
              <w:t xml:space="preserve">为二级的简单地区60亩的收费计算为：27500+（60-50）*40=27900元</w:t>
            </w:r>
            <w:r>
              <w:rPr>
                <w:rFonts w:hint="eastAsia" w:hAnsi="宋体" w:cs="仿宋_GB2312"/>
                <w:color w:val="auto"/>
                <w:szCs w:val="21"/>
                <w:highlight w:val="none"/>
                <w:lang w:eastAsia="zh-CN"/>
              </w:rPr>
              <w:t xml:space="preserve">）</w:t>
            </w:r>
            <w:r/>
          </w:p>
        </w:tc>
      </w:tr>
    </w:tbl>
    <w:p>
      <w:pPr>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8.征集人：泰州市自然资源和规划局</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9.本项目是否专门面向中小企业：否</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10.本项目标的所属行业：其他未列明行业</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11.适用本次框架协议的采购人：泰州市自然资源和规划局</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12.本项目</w:t>
      </w:r>
      <w:r>
        <w:rPr>
          <w:rFonts w:hint="eastAsia" w:ascii="宋体" w:hAnsi="宋体" w:cs="宋体"/>
          <w:color w:val="auto"/>
          <w:sz w:val="24"/>
          <w:highlight w:val="none"/>
          <w:u w:val="single"/>
          <w:lang w:val="en-US" w:eastAsia="zh-CN"/>
        </w:rPr>
        <w:t xml:space="preserve">不接受</w:t>
      </w:r>
      <w:r>
        <w:rPr>
          <w:rFonts w:hint="eastAsia" w:ascii="宋体" w:hAnsi="宋体" w:cs="宋体"/>
          <w:color w:val="auto"/>
          <w:sz w:val="24"/>
          <w:highlight w:val="none"/>
          <w:lang w:val="en-US" w:eastAsia="zh-CN"/>
        </w:rPr>
        <w:t xml:space="preserve">联合体参加采购活动。</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二、供应商的资格要求</w:t>
      </w:r>
      <w:bookmarkEnd w:id="15"/>
      <w:r/>
      <w:bookmarkEnd w:id="16"/>
      <w:r/>
      <w:bookmarkEnd w:id="17"/>
      <w:r/>
      <w:bookmarkEnd w:id="18"/>
      <w:r/>
      <w:bookmarkEnd w:id="19"/>
      <w:r/>
      <w:r/>
    </w:p>
    <w:p>
      <w:pPr>
        <w:ind w:firstLine="480"/>
        <w:pageBreakBefore w:val="0"/>
        <w:spacing w:line="360" w:lineRule="auto"/>
        <w:rPr>
          <w:rFonts w:hint="eastAsia" w:ascii="宋体" w:hAnsi="宋体" w:cs="宋体"/>
          <w:color w:val="auto"/>
          <w:sz w:val="24"/>
          <w:highlight w:val="none"/>
          <w:lang w:val="en-US" w:eastAsia="zh-CN"/>
        </w:rPr>
      </w:pPr>
      <w:r/>
      <w:bookmarkStart w:id="20" w:name="_Toc35393792"/>
      <w:r/>
      <w:bookmarkStart w:id="21" w:name="_Toc35393623"/>
      <w:r/>
      <w:bookmarkStart w:id="22" w:name="_Toc38985265"/>
      <w:r/>
      <w:bookmarkStart w:id="23" w:name="_Toc28359004"/>
      <w:r/>
      <w:bookmarkStart w:id="24" w:name="_Toc28359081"/>
      <w:r>
        <w:rPr>
          <w:rFonts w:hint="eastAsia" w:ascii="宋体" w:hAnsi="宋体" w:cs="宋体"/>
          <w:color w:val="auto"/>
          <w:sz w:val="24"/>
          <w:highlight w:val="none"/>
          <w:lang w:val="en-US" w:eastAsia="zh-CN"/>
        </w:rPr>
        <w:t xml:space="preserve">1.满足《中华人民共和国政府采购法》第二十二条规定；</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1.1具有独立承担民事责任的能力；</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1.2具有良好的商业信誉和健全的财务会计制度；</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1.3具有依法缴纳税收和社会保障资金的良好记录；</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1.4具备履行合同所必需的设备和专业技术能力；</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1.5参加政府采购活动前三年内，在经营活动中没有重大违法记录；</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1.6法律、行政法规规定的其他条件。</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2.落实政府采购政策需满足的资格要求：</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本项目不专门面向中小微企业、监狱企业、残疾人福利性单位，对符合条件的小型和微型企业、残疾人福利单位、监狱企业给予10%的扣除价格，用扣除后的价格参与评审。本项目属于其他未列明行业，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作相应扣除。提交中小企业声明函并中标的，随中标公告一同公示。</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3.本项目的特定资格要求：</w:t>
      </w:r>
      <w:r>
        <w:rPr>
          <w:rFonts w:hint="eastAsia" w:ascii="宋体" w:hAnsi="宋体" w:cs="宋体"/>
          <w:color w:val="auto"/>
          <w:sz w:val="24"/>
          <w:highlight w:val="none"/>
          <w:u w:val="single"/>
          <w:lang w:val="en-US" w:eastAsia="zh-CN"/>
        </w:rPr>
        <w:t xml:space="preserve">投标人须具有有效期内的地质灾害防治单位资质证书，资质等级为甲级，资质类别为地质灾害评估和治理工程勘查设计（或危险性评估）。</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根据《地质灾害防治单位资质管理办法》（中华人民共和国自然资源部令 第8号）相关规定：</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第四条 地质灾害防治单位资质分为甲、乙两个等级。</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第五条 地质灾害防治单位资质分为以下专业类别：</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（一）地质灾害评估和治理工程勘查设计资质；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（二）地质灾害治理工程施工资质；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（三）地质灾害治理工程监理资质。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第十一条 具有甲级资质的地质灾害防治单位，可以承揽相应一级、二级地质灾害危险性评估项目及地质灾害治理工程项目。</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具有乙级资质的地质灾害防治单位，仅可以承揽相应二级地质灾害危险性评估项目及地质灾害治理工程项目。</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以上规定，考虑到泰州市区储备、上市地块地质灾害危险性评估项目级别涵盖一级和二级，特要求参与“2026-2027年度泰州市区储备、上市地块地质灾害危险性评估框架协议征集服务”的投标人须具有有效期内的地质灾害防治单位资质证书，资质等级为甲级，资质类别为地质灾害评估和治理工程勘查设计（或危险性评估），以切实保证中标人按规定规范开展地质灾害危险性评估工作。</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4.拒绝以下供应商参与本次采购活动：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在“信用中国”网站查询，无被列入失信被执行人、重大税收违法案件当事人名单、政府采购严重失信行为记录名单及其他不符合《中华人民共和国政府采购法》第二十二条规定条件的信用记录（响应文件中提供“信用中国”网站截图）。  </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（2）单位负责人为同一人或者存在直接控股、管理关系的不同供应商，不得参加同一合同项下的政府采购活动。</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w:t>
      </w:r>
      <w:bookmarkEnd w:id="20"/>
      <w:r/>
      <w:bookmarkEnd w:id="21"/>
      <w:r/>
      <w:bookmarkEnd w:id="22"/>
      <w:r/>
      <w:bookmarkEnd w:id="23"/>
      <w:r/>
      <w:bookmarkEnd w:id="24"/>
      <w:r>
        <w:rPr>
          <w:rFonts w:hint="eastAsia" w:ascii="宋体" w:hAnsi="宋体" w:cs="宋体"/>
          <w:b/>
          <w:bCs/>
          <w:color w:val="auto"/>
          <w:sz w:val="24"/>
          <w:highlight w:val="none"/>
          <w:lang w:val="en-US" w:eastAsia="zh-CN"/>
        </w:rPr>
        <w:t xml:space="preserve">获取征集文件</w:t>
      </w:r>
      <w:bookmarkStart w:id="25" w:name="_Toc28359005"/>
      <w:r/>
      <w:bookmarkStart w:id="26" w:name="_Toc35393624"/>
      <w:r/>
      <w:bookmarkStart w:id="27" w:name="_Toc28359082"/>
      <w:r/>
      <w:bookmarkStart w:id="28" w:name="_Toc35393793"/>
      <w:r/>
      <w:bookmarkStart w:id="29" w:name="_Toc38985266"/>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1.时间：自征集公告发布之日起5个工作日。2026年3月23日09:00至2026年3月30日18:00（北京时间，法定节假日除外）。</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2.地点：网上注册登记成功后可在系统内免费下载。</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3.获取方式：本项目采用网上注册登记方式。</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3.1潜在供应商访问电子招标响应交易平台的网络地址和方法：</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3.2潜在供应商访问“苏采云”系统的网络地址和方法：“苏采云”系统的网址：http://jszfcg.jsczt.cn/。</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3.3“CA数字证书”的获取：</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供应商需办理“CA 数字证书”。“苏采云”系统目前仅支持政务CA、方正签章，省内各地区办理的用于“苏采云”平台的政务CA、方正签章全省通用。“CA数字证书”的办理方法详见江苏</w:t>
      </w:r>
      <w:r>
        <w:rPr>
          <w:rFonts w:hint="eastAsia" w:ascii="宋体" w:hAnsi="宋体" w:cs="宋体"/>
          <w:color w:val="auto"/>
          <w:sz w:val="24"/>
          <w:highlight w:val="none"/>
          <w:lang w:val="en-US" w:eastAsia="zh-CN"/>
        </w:rPr>
        <w:t xml:space="preserve">省</w:t>
      </w:r>
      <w:r>
        <w:rPr>
          <w:rFonts w:hint="eastAsia" w:ascii="宋体" w:hAnsi="宋体" w:cs="宋体"/>
          <w:color w:val="auto"/>
          <w:sz w:val="24"/>
          <w:highlight w:val="none"/>
          <w:lang w:val="en-US" w:eastAsia="zh-CN"/>
        </w:rPr>
        <w:t xml:space="preserve">政府采购网—资料下载中《江苏省政府采购数字证书（供应商）CA及电子签章办理指南》。</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3.4采购文件（后缀名为“.kedt”）、供应商操作手册及政府采购客户端工具可通过“苏采云”系统－－已报名项目－－报名详情页面内相应链接进行下载。</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3.5采购人或采购代理机构将数据电文形式的采购文件加载至“苏采云”系统，供潜在供应商下载或者查阅。</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3.6请潜在供应商提前安装相应的控件（详见《江苏省政府采购管理交易系统（苏采云）供应商操作手册》）并使用谷歌浏览器登录“苏采云”系统参与不见面开评标。</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3.7开评</w:t>
      </w:r>
      <w:r>
        <w:rPr>
          <w:rFonts w:hint="eastAsia" w:ascii="宋体" w:hAnsi="宋体" w:cs="宋体"/>
          <w:color w:val="auto"/>
          <w:sz w:val="24"/>
          <w:highlight w:val="none"/>
          <w:lang w:val="en-US" w:eastAsia="zh-CN"/>
        </w:rPr>
        <w:t xml:space="preserve">标全过程中，投标供应商一端参与交互的人员将均被视为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注：如潜在供应商未按上述要求操作，将自行承担所产生的风险。</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w:t>
      </w:r>
      <w:bookmarkEnd w:id="25"/>
      <w:r/>
      <w:bookmarkEnd w:id="26"/>
      <w:r/>
      <w:bookmarkEnd w:id="27"/>
      <w:r/>
      <w:bookmarkEnd w:id="28"/>
      <w:r/>
      <w:bookmarkEnd w:id="29"/>
      <w:r>
        <w:rPr>
          <w:rFonts w:hint="eastAsia" w:ascii="宋体" w:hAnsi="宋体" w:cs="宋体"/>
          <w:b/>
          <w:bCs/>
          <w:color w:val="auto"/>
          <w:sz w:val="24"/>
          <w:highlight w:val="none"/>
          <w:lang w:val="en-US" w:eastAsia="zh-CN"/>
        </w:rPr>
        <w:t xml:space="preserve">响应文件的提交方式、截止时间和地点，开启方式、时间和地点</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1.响应文件的提交截止时间及开启时间：2026年4月14日9点00分（北京时间）。逾时，“苏采云”系统将拒绝接受上传响应文件电子文档。</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2.地点：“苏采云”系统（网址：http://jszfcg.jsczt.cn/）</w:t>
      </w:r>
      <w:r/>
    </w:p>
    <w:p>
      <w:pPr>
        <w:ind w:firstLine="480"/>
        <w:pageBreakBefore w:val="0"/>
        <w:spacing w:line="360" w:lineRule="auto"/>
        <w:rPr>
          <w:rFonts w:hint="eastAsia" w:ascii="宋体" w:hAnsi="宋体" w:cs="宋体"/>
          <w:b/>
          <w:bCs/>
          <w:color w:val="auto"/>
          <w:sz w:val="24"/>
          <w:highlight w:val="none"/>
          <w:lang w:val="en-US" w:eastAsia="zh-CN"/>
        </w:rPr>
      </w:pPr>
      <w:r/>
      <w:bookmarkStart w:id="30" w:name="_Toc28359007"/>
      <w:r/>
      <w:bookmarkStart w:id="31" w:name="_Toc28359084"/>
      <w:r/>
      <w:bookmarkStart w:id="32" w:name="_Toc38985267"/>
      <w:r/>
      <w:bookmarkStart w:id="33" w:name="_Toc35393625"/>
      <w:r/>
      <w:bookmarkStart w:id="34" w:name="_Toc35393794"/>
      <w:r>
        <w:rPr>
          <w:rFonts w:hint="eastAsia" w:ascii="宋体" w:hAnsi="宋体" w:cs="宋体"/>
          <w:b/>
          <w:bCs/>
          <w:color w:val="auto"/>
          <w:sz w:val="24"/>
          <w:highlight w:val="none"/>
          <w:lang w:val="en-US" w:eastAsia="zh-CN"/>
        </w:rPr>
        <w:t xml:space="preserve">五、公告期限</w:t>
      </w:r>
      <w:bookmarkEnd w:id="30"/>
      <w:r/>
      <w:bookmarkEnd w:id="31"/>
      <w:r/>
      <w:bookmarkEnd w:id="32"/>
      <w:r/>
      <w:bookmarkEnd w:id="33"/>
      <w:r/>
      <w:bookmarkEnd w:id="34"/>
      <w:r/>
      <w:r/>
    </w:p>
    <w:p>
      <w:pPr>
        <w:ind w:firstLine="480"/>
        <w:pageBreakBefore w:val="0"/>
        <w:spacing w:line="360" w:lineRule="auto"/>
        <w:rPr>
          <w:rFonts w:hint="eastAsia" w:ascii="宋体" w:hAnsi="宋体" w:cs="宋体"/>
          <w:color w:val="auto"/>
          <w:sz w:val="24"/>
          <w:highlight w:val="none"/>
          <w:lang w:val="en-US" w:eastAsia="zh-CN"/>
        </w:rPr>
      </w:pPr>
      <w:r/>
      <w:bookmarkStart w:id="35" w:name="_Toc38985268"/>
      <w:r/>
      <w:bookmarkStart w:id="36" w:name="_Toc35393795"/>
      <w:r/>
      <w:bookmarkStart w:id="37" w:name="_Toc35393626"/>
      <w:r>
        <w:rPr>
          <w:rFonts w:hint="eastAsia" w:ascii="宋体" w:hAnsi="宋体" w:cs="宋体"/>
          <w:color w:val="auto"/>
          <w:sz w:val="24"/>
          <w:highlight w:val="none"/>
          <w:lang w:val="en-US" w:eastAsia="zh-CN"/>
        </w:rPr>
        <w:t xml:space="preserve">征集公告及征集文件公告期限为自本公告发布之日起5个工作日。</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六、其他补充事宜</w:t>
      </w:r>
      <w:bookmarkEnd w:id="35"/>
      <w:r/>
      <w:bookmarkEnd w:id="36"/>
      <w:r/>
      <w:bookmarkEnd w:id="37"/>
      <w:r/>
      <w:r/>
    </w:p>
    <w:p>
      <w:pPr>
        <w:ind w:firstLine="480"/>
        <w:pageBreakBefore w:val="0"/>
        <w:spacing w:line="360" w:lineRule="auto"/>
        <w:rPr>
          <w:rFonts w:hint="eastAsia" w:ascii="宋体" w:hAnsi="宋体" w:cs="宋体"/>
          <w:color w:val="auto"/>
          <w:sz w:val="24"/>
          <w:highlight w:val="none"/>
          <w:lang w:val="en-US" w:eastAsia="zh-CN"/>
        </w:rPr>
      </w:pPr>
      <w:r/>
      <w:bookmarkStart w:id="38" w:name="_Toc28359085"/>
      <w:r/>
      <w:bookmarkStart w:id="39" w:name="_Toc35393796"/>
      <w:r/>
      <w:bookmarkStart w:id="40" w:name="_Toc38985269"/>
      <w:r/>
      <w:bookmarkStart w:id="41" w:name="_Toc35393627"/>
      <w:r/>
      <w:bookmarkStart w:id="42" w:name="_Toc28359008"/>
      <w:r>
        <w:rPr>
          <w:rFonts w:hint="eastAsia" w:ascii="宋体" w:hAnsi="宋体" w:cs="宋体"/>
          <w:color w:val="auto"/>
          <w:sz w:val="24"/>
          <w:highlight w:val="none"/>
          <w:lang w:val="en-US" w:eastAsia="zh-CN"/>
        </w:rPr>
        <w:t xml:space="preserve">1.本次征集涉及的相关人员对框架协议征集活动中获悉的国家秘密、商业秘密和个人隐私等均负有保密责任。</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2.框架协议</w:t>
      </w:r>
      <w:r>
        <w:rPr>
          <w:rFonts w:hint="eastAsia" w:ascii="宋体" w:hAnsi="宋体" w:cs="宋体"/>
          <w:color w:val="auto"/>
          <w:sz w:val="24"/>
          <w:highlight w:val="none"/>
          <w:lang w:val="en-US" w:eastAsia="zh-CN"/>
        </w:rPr>
        <w:t xml:space="preserve">签署</w:t>
      </w:r>
      <w:r>
        <w:rPr>
          <w:rFonts w:hint="eastAsia" w:ascii="宋体" w:hAnsi="宋体" w:cs="宋体"/>
          <w:color w:val="auto"/>
          <w:sz w:val="24"/>
          <w:highlight w:val="none"/>
          <w:lang w:val="en-US" w:eastAsia="zh-CN"/>
        </w:rPr>
        <w:t xml:space="preserve">期间，法律法规政策另有调整的，从其规定。</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3.本项目不收取投标保证金。</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七、</w:t>
      </w:r>
      <w:bookmarkEnd w:id="38"/>
      <w:r/>
      <w:bookmarkEnd w:id="39"/>
      <w:r/>
      <w:bookmarkEnd w:id="40"/>
      <w:r/>
      <w:bookmarkEnd w:id="41"/>
      <w:r/>
      <w:bookmarkEnd w:id="42"/>
      <w:r>
        <w:rPr>
          <w:rFonts w:hint="eastAsia" w:ascii="宋体" w:hAnsi="宋体" w:cs="宋体"/>
          <w:b/>
          <w:bCs/>
          <w:color w:val="auto"/>
          <w:sz w:val="24"/>
          <w:highlight w:val="none"/>
          <w:lang w:val="en-US" w:eastAsia="zh-CN"/>
        </w:rPr>
        <w:t xml:space="preserve">对本次采购提出询问，请按以下方式联系</w:t>
      </w:r>
      <w:r/>
    </w:p>
    <w:p>
      <w:pPr>
        <w:ind w:firstLine="480"/>
        <w:pageBreakBefore w:val="0"/>
        <w:spacing w:line="360" w:lineRule="auto"/>
        <w:rPr>
          <w:rFonts w:hint="eastAsia" w:ascii="宋体" w:hAnsi="宋体" w:cs="宋体"/>
          <w:color w:val="auto"/>
          <w:sz w:val="24"/>
          <w:highlight w:val="none"/>
          <w:lang w:val="en-US" w:eastAsia="zh-CN"/>
        </w:rPr>
      </w:pPr>
      <w:r/>
      <w:bookmarkStart w:id="43" w:name="_Toc28359010"/>
      <w:r/>
      <w:bookmarkStart w:id="44" w:name="_Toc28359087"/>
      <w:r>
        <w:rPr>
          <w:rFonts w:hint="eastAsia" w:ascii="宋体" w:hAnsi="宋体" w:cs="宋体"/>
          <w:color w:val="auto"/>
          <w:sz w:val="24"/>
          <w:highlight w:val="none"/>
          <w:lang w:val="en-US" w:eastAsia="zh-CN"/>
        </w:rPr>
        <w:t xml:space="preserve">征集人：</w:t>
      </w:r>
      <w:bookmarkEnd w:id="43"/>
      <w:r/>
      <w:bookmarkEnd w:id="44"/>
      <w:r>
        <w:rPr>
          <w:rFonts w:hint="eastAsia" w:ascii="宋体" w:hAnsi="宋体" w:cs="宋体"/>
          <w:color w:val="auto"/>
          <w:sz w:val="24"/>
          <w:highlight w:val="none"/>
          <w:lang w:val="en-US" w:eastAsia="zh-CN"/>
        </w:rPr>
        <w:t xml:space="preserve">泰州市自然资源和规划局</w:t>
      </w:r>
      <w:r/>
    </w:p>
    <w:p>
      <w:pPr>
        <w:ind w:firstLine="480"/>
        <w:pageBreakBefore w:val="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　址：江苏省泰州市凤凰东路51号</w:t>
      </w:r>
      <w:r/>
    </w:p>
    <w:p>
      <w:pPr>
        <w:ind w:firstLine="480"/>
        <w:pageBreakBefore w:val="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联系人：桂先生，联系方式：0523-81559158</w:t>
      </w:r>
      <w:r/>
    </w:p>
    <w:p>
      <w:pPr>
        <w:ind w:firstLine="480"/>
        <w:pageBreakBefore w:val="0"/>
        <w:spacing w:line="360" w:lineRule="auto"/>
        <w:rPr>
          <w:color w:val="auto"/>
          <w:highlight w:val="none"/>
        </w:rPr>
      </w:pPr>
      <w:r>
        <w:rPr>
          <w:color w:val="auto"/>
          <w:highlight w:val="none"/>
        </w:rPr>
      </w:r>
      <w:r/>
    </w:p>
    <w:p>
      <w:pPr>
        <w:ind w:firstLine="480"/>
        <w:pageBreakBefore w:val="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采购代理机构信息</w:t>
      </w:r>
      <w:r/>
    </w:p>
    <w:p>
      <w:pPr>
        <w:ind w:firstLine="480"/>
        <w:pageBreakBefore w:val="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名 称：</w:t>
      </w:r>
      <w:r>
        <w:rPr>
          <w:rFonts w:hint="eastAsia" w:ascii="宋体" w:hAnsi="宋体" w:cs="宋体"/>
          <w:color w:val="auto"/>
          <w:sz w:val="24"/>
          <w:highlight w:val="none"/>
          <w:lang w:val="en-US" w:eastAsia="zh-CN"/>
        </w:rPr>
        <w:t xml:space="preserve">江苏泰禾房地产土地造价咨询评估有限公司</w:t>
      </w:r>
      <w:r/>
    </w:p>
    <w:p>
      <w:pPr>
        <w:ind w:firstLine="480"/>
        <w:pageBreakBefore w:val="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地 址：</w:t>
      </w:r>
      <w:r>
        <w:rPr>
          <w:rFonts w:hint="eastAsia" w:ascii="宋体" w:hAnsi="宋体" w:cs="宋体"/>
          <w:color w:val="auto"/>
          <w:sz w:val="24"/>
          <w:highlight w:val="none"/>
          <w:lang w:val="en-US" w:eastAsia="zh-CN"/>
        </w:rPr>
        <w:t xml:space="preserve">泰州市恒景国际花园C23栋1401室</w:t>
      </w:r>
      <w:r/>
    </w:p>
    <w:p>
      <w:pPr>
        <w:ind w:firstLine="480"/>
        <w:pageBreakBefore w:val="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联系人</w:t>
      </w:r>
      <w:r>
        <w:rPr>
          <w:rFonts w:hint="eastAsia" w:ascii="宋体" w:hAnsi="宋体" w:cs="宋体"/>
          <w:color w:val="auto"/>
          <w:sz w:val="24"/>
          <w:highlight w:val="none"/>
          <w:lang w:val="en-US" w:eastAsia="zh-CN"/>
        </w:rPr>
        <w:t xml:space="preserve">：杨女士</w:t>
      </w:r>
      <w:r/>
    </w:p>
    <w:p>
      <w:pPr>
        <w:ind w:firstLine="480"/>
        <w:pageBreakBefore w:val="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联系方式：18014531315</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八、其他</w:t>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bookmarkStart w:id="45" w:name="_Toc120614211"/>
      <w:r/>
      <w:bookmarkStart w:id="46" w:name="_Toc12803957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.代理机构将数据电文形式的采购文件加载至电子招标投标交易平台，供潜在投标人下载或者查阅。有关本次封闭式框架协议采购的事项若存在变动或修改，敬请及时关注</w:t>
      </w:r>
      <w:r>
        <w:rPr>
          <w:rFonts w:hint="eastAsia" w:ascii="宋体" w:hAnsi="宋体"/>
          <w:bCs/>
          <w:color w:val="auto"/>
          <w:sz w:val="24"/>
          <w:szCs w:val="24"/>
          <w:highlight w:val="none"/>
          <w:lang w:val="en-US" w:eastAsia="zh-CN"/>
        </w:rPr>
        <w:t xml:space="preserve">“中国政府采购网”“江苏</w:t>
      </w:r>
      <w:r>
        <w:rPr>
          <w:rFonts w:hint="eastAsia" w:ascii="宋体" w:hAnsi="宋体"/>
          <w:bCs/>
          <w:color w:val="auto"/>
          <w:sz w:val="24"/>
          <w:szCs w:val="24"/>
          <w:highlight w:val="none"/>
          <w:lang w:val="en-US" w:eastAsia="zh-CN"/>
        </w:rPr>
        <w:t xml:space="preserve">省</w:t>
      </w:r>
      <w:r>
        <w:rPr>
          <w:rFonts w:hint="eastAsia" w:ascii="宋体" w:hAnsi="宋体"/>
          <w:bCs/>
          <w:color w:val="auto"/>
          <w:sz w:val="24"/>
          <w:szCs w:val="24"/>
          <w:highlight w:val="none"/>
          <w:lang w:val="en-US" w:eastAsia="zh-CN"/>
        </w:rPr>
        <w:t xml:space="preserve">政府采购网”</w:t>
      </w:r>
      <w:r>
        <w:rPr>
          <w:rFonts w:hint="eastAsia" w:ascii="宋体" w:hAnsi="宋体"/>
          <w:bCs/>
          <w:color w:val="auto"/>
          <w:sz w:val="24"/>
          <w:szCs w:val="24"/>
          <w:highlight w:val="none"/>
          <w:lang w:eastAsia="zh-CN"/>
        </w:rPr>
        <w:t xml:space="preserve">发布的信息更正公告。</w:t>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.本项目支持节能环保产品 （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根据《关于在全省政府采购领域推行电子履约保函（保险）的通知》（苏财购〔2023〕150号），供应商中标后，可以以履约保函（保险）形式代替履约保证金，可通过政府采购电子履约保函（保险）平台（www.jsdzbh.com）在线申请履约保函（保险），详见通知内容。（本项目不收取履约保证金）</w:t>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.根据《关于推动解决政府采购异常低价问题的通知》（财库〔2026〕2号）精神，政府采购评审中出现下列情形之一的，评审委员会应当启动异常低价投标（响应）审查程序：</w:t>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.3投标（响应）报价低于采购项目最高限价45%的，即投标（响应）报价&lt;采购项目最高限价×45%；</w:t>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.4评审委员会基于专业判断，认为供应商报价过低，有可能影响产品质量或者不能诚信履约的其他情形。</w:t>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r>
      <w:r/>
    </w:p>
    <w:p>
      <w:pPr>
        <w:ind w:firstLine="480"/>
        <w:pageBreakBefore w:val="0"/>
        <w:spacing w:line="360" w:lineRule="auto"/>
        <w:tabs>
          <w:tab w:val="left" w:pos="900" w:leader="none"/>
        </w:tabs>
        <w:rPr>
          <w:rFonts w:hint="eastAsia" w:ascii="宋体" w:hAnsi="宋体"/>
          <w:bCs/>
          <w:color w:val="auto"/>
          <w:sz w:val="24"/>
          <w:szCs w:val="24"/>
          <w:highlight w:val="none"/>
          <w:lang w:eastAsia="zh-CN"/>
        </w:rPr>
        <w:sectPr>
          <w:footerReference w:type="default" r:id="rId14"/>
          <w:footnotePr/>
          <w:endnotePr/>
          <w:type w:val="nextPage"/>
          <w:pgSz w:w="11906" w:h="16838" w:orient="portrait"/>
          <w:pgMar w:top="1191" w:right="1191" w:bottom="1020" w:left="1196" w:header="851" w:footer="907" w:gutter="0"/>
          <w:pgNumType w:start="1"/>
          <w:cols w:num="1" w:sep="0" w:space="720" w:equalWidth="1"/>
          <w:docGrid w:linePitch="360"/>
        </w:sectPr>
      </w:pPr>
      <w:r>
        <w:rPr>
          <w:rFonts w:hint="eastAsia" w:ascii="宋体" w:hAnsi="宋体"/>
          <w:bCs/>
          <w:color w:val="auto"/>
          <w:sz w:val="24"/>
          <w:szCs w:val="24"/>
          <w:highlight w:val="none"/>
          <w:lang w:eastAsia="zh-CN"/>
        </w:rPr>
      </w:r>
      <w:r/>
    </w:p>
    <w:p>
      <w:pPr>
        <w:jc w:val="center"/>
        <w:pageBreakBefore w:val="0"/>
        <w:spacing w:line="360" w:lineRule="auto"/>
        <w:rPr>
          <w:rFonts w:ascii="黑体" w:eastAsia="黑体"/>
          <w:color w:val="auto"/>
          <w:sz w:val="44"/>
          <w:szCs w:val="44"/>
          <w:highlight w:val="none"/>
        </w:rPr>
        <w:outlineLvl w:val="0"/>
      </w:pPr>
      <w:r/>
      <w:bookmarkStart w:id="47" w:name="_Toc28944"/>
      <w:r>
        <w:rPr>
          <w:rFonts w:ascii="黑体" w:eastAsia="黑体"/>
          <w:color w:val="auto"/>
          <w:sz w:val="44"/>
          <w:szCs w:val="44"/>
          <w:highlight w:val="none"/>
        </w:rPr>
        <w:t xml:space="preserve">第二章 </w:t>
      </w:r>
      <w:bookmarkEnd w:id="2"/>
      <w:r/>
      <w:bookmarkEnd w:id="3"/>
      <w:r/>
      <w:bookmarkEnd w:id="4"/>
      <w:r/>
      <w:bookmarkEnd w:id="5"/>
      <w:r/>
      <w:bookmarkEnd w:id="6"/>
      <w:r/>
      <w:bookmarkEnd w:id="45"/>
      <w:r/>
      <w:bookmarkStart w:id="48" w:name="_Toc20823274"/>
      <w:r/>
      <w:bookmarkStart w:id="49" w:name="_Toc16938518"/>
      <w:r/>
      <w:bookmarkStart w:id="50" w:name="_Toc120614213"/>
      <w:r/>
      <w:bookmarkStart w:id="51" w:name="_Toc513029202"/>
      <w:r>
        <w:rPr>
          <w:rFonts w:ascii="黑体" w:eastAsia="黑体"/>
          <w:color w:val="auto"/>
          <w:sz w:val="44"/>
          <w:szCs w:val="44"/>
          <w:highlight w:val="none"/>
        </w:rPr>
        <w:t xml:space="preserve">供应商须知</w:t>
      </w:r>
      <w:bookmarkEnd w:id="46"/>
      <w:r/>
      <w:bookmarkEnd w:id="47"/>
      <w:r/>
      <w:bookmarkEnd w:id="48"/>
      <w:r/>
      <w:bookmarkEnd w:id="49"/>
      <w:r/>
      <w:bookmarkEnd w:id="50"/>
      <w:r/>
      <w:bookmarkEnd w:id="51"/>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52" w:name="_Toc513029203"/>
      <w:r/>
      <w:bookmarkStart w:id="53" w:name="_Toc16938519"/>
      <w:r/>
      <w:bookmarkStart w:id="54" w:name="_Toc120614214"/>
      <w:r/>
      <w:bookmarkStart w:id="55" w:name="_Toc20823275"/>
      <w:r>
        <w:rPr>
          <w:rFonts w:hint="eastAsia" w:ascii="黑体" w:hAnsi="黑体" w:eastAsia="黑体" w:cs="黑体"/>
          <w:b w:val="0"/>
          <w:bCs w:val="0"/>
          <w:color w:val="auto"/>
          <w:sz w:val="28"/>
          <w:szCs w:val="21"/>
          <w:highlight w:val="none"/>
          <w:lang w:val="en-US" w:eastAsia="zh-CN"/>
        </w:rPr>
        <w:t xml:space="preserve">一、总则</w:t>
      </w:r>
      <w:bookmarkEnd w:id="52"/>
      <w:r/>
      <w:bookmarkEnd w:id="53"/>
      <w:r/>
      <w:bookmarkEnd w:id="54"/>
      <w:r/>
      <w:bookmarkEnd w:id="55"/>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黑体" w:hAnsi="黑体" w:eastAsia="黑体" w:cs="黑体"/>
          <w:b w:val="0"/>
          <w:bCs w:val="0"/>
          <w:color w:val="auto"/>
          <w:sz w:val="28"/>
          <w:szCs w:val="21"/>
          <w:highlight w:val="none"/>
          <w:lang w:val="en-US" w:eastAsia="zh-CN"/>
        </w:rPr>
        <w:t xml:space="preserve">1.</w:t>
      </w:r>
      <w:bookmarkEnd w:id="57"/>
      <w:r>
        <w:rPr>
          <w:rFonts w:hint="eastAsia" w:ascii="黑体" w:hAnsi="黑体" w:eastAsia="黑体" w:cs="黑体"/>
          <w:b w:val="0"/>
          <w:bCs w:val="0"/>
          <w:color w:val="auto"/>
          <w:sz w:val="28"/>
          <w:szCs w:val="21"/>
          <w:highlight w:val="none"/>
          <w:lang w:val="en-US" w:eastAsia="zh-CN"/>
        </w:rPr>
        <w:t xml:space="preserve">采购方式</w:t>
      </w:r>
      <w:bookmarkEnd w:id="58"/>
      <w:r/>
      <w:bookmarkEnd w:id="59"/>
      <w:r/>
      <w:bookmarkEnd w:id="60"/>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 本次项目采用封闭式框架协议采购方式，本征集文件仅适用于征集公告中所述项目。</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61" w:name="_Toc16938521"/>
      <w:r/>
      <w:bookmarkStart w:id="62" w:name="_Toc20823277"/>
      <w:r/>
      <w:bookmarkStart w:id="63" w:name="_Toc513029205"/>
      <w:r>
        <w:rPr>
          <w:rFonts w:hint="eastAsia" w:ascii="黑体" w:hAnsi="黑体" w:eastAsia="黑体" w:cs="黑体"/>
          <w:b w:val="0"/>
          <w:bCs w:val="0"/>
          <w:color w:val="auto"/>
          <w:sz w:val="28"/>
          <w:szCs w:val="21"/>
          <w:highlight w:val="none"/>
          <w:lang w:val="en-US" w:eastAsia="zh-CN"/>
        </w:rPr>
        <w:t xml:space="preserve">2.合格的</w:t>
      </w:r>
      <w:bookmarkEnd w:id="61"/>
      <w:r/>
      <w:bookmarkEnd w:id="62"/>
      <w:r/>
      <w:bookmarkEnd w:id="63"/>
      <w:r>
        <w:rPr>
          <w:rFonts w:hint="eastAsia" w:ascii="黑体" w:hAnsi="黑体" w:eastAsia="黑体" w:cs="黑体"/>
          <w:b w:val="0"/>
          <w:bCs w:val="0"/>
          <w:color w:val="auto"/>
          <w:sz w:val="28"/>
          <w:szCs w:val="21"/>
          <w:highlight w:val="none"/>
          <w:lang w:val="en-US" w:eastAsia="zh-CN"/>
        </w:rPr>
        <w:t xml:space="preserve">供应商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2.1满足征集公告中供应商资格要求的规定。</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 满足本征集文件实质性要求的规定。</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64" w:name="_Toc20823278"/>
      <w:r/>
      <w:bookmarkStart w:id="65" w:name="_Toc513029206"/>
      <w:r/>
      <w:bookmarkStart w:id="66" w:name="_Toc16938522"/>
      <w:r>
        <w:rPr>
          <w:rFonts w:hint="eastAsia" w:ascii="黑体" w:hAnsi="黑体" w:eastAsia="黑体" w:cs="黑体"/>
          <w:b w:val="0"/>
          <w:bCs w:val="0"/>
          <w:color w:val="auto"/>
          <w:sz w:val="28"/>
          <w:szCs w:val="21"/>
          <w:highlight w:val="none"/>
          <w:lang w:val="en-US" w:eastAsia="zh-CN"/>
        </w:rPr>
        <w:t xml:space="preserve">3.适用法律</w:t>
      </w:r>
      <w:bookmarkEnd w:id="64"/>
      <w:r/>
      <w:bookmarkEnd w:id="65"/>
      <w:r/>
      <w:bookmarkEnd w:id="66"/>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3.1本次封闭式框架协议采购活动（以下简称采购活动）及由此产生的框架协议文本和采购合同文本受中华人民共和国有关的法律法规的制约和保护。</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67" w:name="_Toc462564067"/>
      <w:r/>
      <w:bookmarkStart w:id="68" w:name="_Toc513029207"/>
      <w:r/>
      <w:bookmarkStart w:id="69" w:name="_Toc16938523"/>
      <w:r/>
      <w:bookmarkStart w:id="70" w:name="_Toc20823279"/>
      <w:r>
        <w:rPr>
          <w:rFonts w:hint="eastAsia" w:ascii="黑体" w:hAnsi="黑体" w:eastAsia="黑体" w:cs="黑体"/>
          <w:b w:val="0"/>
          <w:bCs w:val="0"/>
          <w:color w:val="auto"/>
          <w:sz w:val="28"/>
          <w:szCs w:val="21"/>
          <w:highlight w:val="none"/>
          <w:lang w:val="en-US" w:eastAsia="zh-CN"/>
        </w:rPr>
        <w:t xml:space="preserve">4.参加采购活动的费用</w:t>
      </w:r>
      <w:bookmarkEnd w:id="67"/>
      <w:r/>
      <w:bookmarkEnd w:id="68"/>
      <w:r/>
      <w:bookmarkEnd w:id="69"/>
      <w:r/>
      <w:bookmarkEnd w:id="70"/>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4.1供应商应自行承担所有与参加采购活动有关的费用，无论采购活动过程中的做法和结果如何，泰州市自然资源和规划局（以下简称征集人）在任何情况下均无义务和责任承担这些费用。</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4.2</w:t>
      </w:r>
      <w:r>
        <w:rPr>
          <w:rFonts w:hint="eastAsia" w:ascii="宋体" w:hAnsi="宋体" w:cs="宋体"/>
          <w:b/>
          <w:bCs/>
          <w:color w:val="auto"/>
          <w:sz w:val="24"/>
          <w:highlight w:val="none"/>
          <w:lang w:val="en-US" w:eastAsia="zh-CN"/>
        </w:rPr>
        <w:t xml:space="preserve">本次采购活动征集人不收取标书工本费，招标代理服务费按980元计取，由入围供应商均摊。</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rPr>
          <w:rFonts w:hint="eastAsia" w:ascii="黑体" w:hAnsi="黑体" w:eastAsia="黑体" w:cs="黑体"/>
          <w:b w:val="0"/>
          <w:bCs w:val="0"/>
          <w:color w:val="auto"/>
          <w:sz w:val="28"/>
          <w:szCs w:val="21"/>
          <w:highlight w:val="none"/>
          <w:lang w:val="en-US" w:eastAsia="zh-CN"/>
        </w:rPr>
        <w:t xml:space="preserve">5.征集文件的约束力</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5.1供应商一旦参加本项目采购活动，即被认为接受了本项目征集文件的规定和约束。</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71" w:name="_Toc513029209"/>
      <w:r/>
      <w:bookmarkStart w:id="72" w:name="_Toc20823281"/>
      <w:r/>
      <w:bookmarkStart w:id="73" w:name="_Toc120614215"/>
      <w:r/>
      <w:bookmarkStart w:id="74" w:name="_Toc16938525"/>
      <w:r>
        <w:rPr>
          <w:rFonts w:hint="eastAsia" w:ascii="黑体" w:hAnsi="黑体" w:eastAsia="黑体" w:cs="黑体"/>
          <w:b w:val="0"/>
          <w:bCs w:val="0"/>
          <w:color w:val="auto"/>
          <w:sz w:val="28"/>
          <w:szCs w:val="21"/>
          <w:highlight w:val="none"/>
          <w:lang w:val="en-US" w:eastAsia="zh-CN"/>
        </w:rPr>
        <w:t xml:space="preserve">二、征集文件</w:t>
      </w:r>
      <w:bookmarkEnd w:id="71"/>
      <w:r/>
      <w:bookmarkEnd w:id="72"/>
      <w:r/>
      <w:bookmarkEnd w:id="73"/>
      <w:r/>
      <w:bookmarkEnd w:id="74"/>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75" w:name="_Toc16938526"/>
      <w:r/>
      <w:bookmarkStart w:id="76" w:name="_Toc513029210"/>
      <w:r/>
      <w:bookmarkStart w:id="77" w:name="_Toc20823282"/>
      <w:r>
        <w:rPr>
          <w:rFonts w:hint="eastAsia" w:ascii="黑体" w:hAnsi="黑体" w:eastAsia="黑体" w:cs="黑体"/>
          <w:b w:val="0"/>
          <w:bCs w:val="0"/>
          <w:color w:val="auto"/>
          <w:sz w:val="28"/>
          <w:szCs w:val="21"/>
          <w:highlight w:val="none"/>
          <w:lang w:val="en-US" w:eastAsia="zh-CN"/>
        </w:rPr>
        <w:t xml:space="preserve">6.征集文件构成</w:t>
      </w:r>
      <w:bookmarkEnd w:id="75"/>
      <w:r/>
      <w:bookmarkEnd w:id="76"/>
      <w:r/>
      <w:bookmarkEnd w:id="77"/>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 征集文件由以下部分组成：</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6.1.1参加征集活动的邀请</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6.1.2供应商须知</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6.1.3框架协议文本</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6.1.4采购需求</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6.1.5确定入围及成交供应商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6.1.6响应文件格式</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请仔细检查征集文件是否齐全，如有缺漏请立即与征集人联系解决。</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 供应商应认真阅读征集文件中所有的事项、格式、条款和规范等要求。按照征集文件的要求和规定编制响应文件，并保证所提供的全部资料的真实性，以使其响应文件对征集文件作出实质性响应，否则其风险由供应商自行承担。</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78" w:name="_Toc16938527"/>
      <w:r/>
      <w:bookmarkStart w:id="79" w:name="_Toc462564070"/>
      <w:r/>
      <w:bookmarkStart w:id="80" w:name="_Toc20823283"/>
      <w:r/>
      <w:bookmarkStart w:id="81" w:name="_Toc513029211"/>
      <w:r>
        <w:rPr>
          <w:rFonts w:hint="eastAsia" w:ascii="黑体" w:hAnsi="黑体" w:eastAsia="黑体" w:cs="黑体"/>
          <w:b w:val="0"/>
          <w:bCs w:val="0"/>
          <w:color w:val="auto"/>
          <w:sz w:val="28"/>
          <w:szCs w:val="21"/>
          <w:highlight w:val="none"/>
          <w:lang w:val="en-US" w:eastAsia="zh-CN"/>
        </w:rPr>
        <w:t xml:space="preserve">7.征集文件的澄清</w:t>
      </w:r>
      <w:bookmarkEnd w:id="78"/>
      <w:r/>
      <w:bookmarkEnd w:id="79"/>
      <w:r/>
      <w:bookmarkEnd w:id="80"/>
      <w:r/>
      <w:bookmarkEnd w:id="81"/>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7.1 任何要求对征集文件进行澄清的供应商，应在响应文件提交截止期</w:t>
      </w:r>
      <w:r>
        <w:rPr>
          <w:rFonts w:hint="eastAsia" w:ascii="宋体" w:hAnsi="宋体" w:cs="宋体"/>
          <w:b/>
          <w:bCs/>
          <w:color w:val="auto"/>
          <w:sz w:val="24"/>
          <w:highlight w:val="none"/>
          <w:lang w:val="en-US" w:eastAsia="zh-CN"/>
        </w:rPr>
        <w:t xml:space="preserve">十日</w:t>
      </w:r>
      <w:r>
        <w:rPr>
          <w:rFonts w:hint="eastAsia" w:ascii="宋体" w:hAnsi="宋体" w:cs="宋体"/>
          <w:color w:val="auto"/>
          <w:sz w:val="24"/>
          <w:highlight w:val="none"/>
          <w:lang w:val="en-US" w:eastAsia="zh-CN"/>
        </w:rPr>
        <w:t xml:space="preserve">前按征集公告中的通讯地址，以书面形式通知征集人。</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82" w:name="_Toc20823284"/>
      <w:r/>
      <w:bookmarkStart w:id="83" w:name="_Toc16938528"/>
      <w:r/>
      <w:bookmarkStart w:id="84" w:name="_Toc462564071"/>
      <w:r/>
      <w:bookmarkStart w:id="85" w:name="_Toc513029212"/>
      <w:r>
        <w:rPr>
          <w:rFonts w:hint="eastAsia" w:ascii="黑体" w:hAnsi="黑体" w:eastAsia="黑体" w:cs="黑体"/>
          <w:b w:val="0"/>
          <w:bCs w:val="0"/>
          <w:color w:val="auto"/>
          <w:sz w:val="28"/>
          <w:szCs w:val="21"/>
          <w:highlight w:val="none"/>
          <w:lang w:val="en-US" w:eastAsia="zh-CN"/>
        </w:rPr>
        <w:t xml:space="preserve">8.征集文件的修改</w:t>
      </w:r>
      <w:bookmarkEnd w:id="82"/>
      <w:r/>
      <w:bookmarkEnd w:id="83"/>
      <w:r/>
      <w:bookmarkEnd w:id="84"/>
      <w:r/>
      <w:bookmarkEnd w:id="85"/>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8.1 在响应文件提交截止时间前</w:t>
      </w:r>
      <w:r>
        <w:rPr>
          <w:rFonts w:hint="eastAsia" w:ascii="宋体" w:hAnsi="宋体" w:eastAsia="宋体" w:cs="宋体"/>
          <w:color w:val="auto"/>
          <w:sz w:val="24"/>
          <w:highlight w:val="none"/>
          <w:lang w:val="en-US" w:eastAsia="zh-CN"/>
        </w:rPr>
        <w:t xml:space="preserve">，征集人</w:t>
      </w:r>
      <w:r>
        <w:rPr>
          <w:rFonts w:hint="eastAsia" w:ascii="宋体" w:hAnsi="宋体" w:cs="宋体"/>
          <w:color w:val="auto"/>
          <w:sz w:val="24"/>
          <w:highlight w:val="none"/>
          <w:lang w:val="en-US" w:eastAsia="zh-CN"/>
        </w:rPr>
        <w:t xml:space="preserve">可以对征集文件进行修改。</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8.2 征集人有权按照法定的要求推迟响应文件提交截止日期和开启日期。</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8.3 征集文件的修改将在“中国政府采购网”“江苏省政府采购网”公布，补充文件将作为征集文件的组成部分，并对供应商具有约束力。</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86" w:name="_Toc20823285"/>
      <w:r/>
      <w:bookmarkStart w:id="87" w:name="_Toc16938529"/>
      <w:r/>
      <w:bookmarkStart w:id="88" w:name="_Toc120614216"/>
      <w:r/>
      <w:bookmarkStart w:id="89" w:name="_Toc513029213"/>
      <w:r/>
      <w:bookmarkStart w:id="90" w:name="_Toc462564072"/>
      <w:r>
        <w:rPr>
          <w:rFonts w:hint="eastAsia" w:ascii="黑体" w:hAnsi="黑体" w:eastAsia="黑体" w:cs="黑体"/>
          <w:b w:val="0"/>
          <w:bCs w:val="0"/>
          <w:color w:val="auto"/>
          <w:sz w:val="28"/>
          <w:szCs w:val="21"/>
          <w:highlight w:val="none"/>
          <w:lang w:val="en-US" w:eastAsia="zh-CN"/>
        </w:rPr>
        <w:t xml:space="preserve">三、响应文件的编制</w:t>
      </w:r>
      <w:bookmarkEnd w:id="86"/>
      <w:r/>
      <w:bookmarkEnd w:id="87"/>
      <w:r/>
      <w:bookmarkEnd w:id="88"/>
      <w:r/>
      <w:bookmarkEnd w:id="89"/>
      <w:r/>
      <w:bookmarkEnd w:id="90"/>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91" w:name="_Toc513029214"/>
      <w:r/>
      <w:bookmarkStart w:id="92" w:name="_Toc16938530"/>
      <w:r/>
      <w:bookmarkStart w:id="93" w:name="_Toc20823286"/>
      <w:r/>
      <w:bookmarkStart w:id="94" w:name="_Toc462564073"/>
      <w:r>
        <w:rPr>
          <w:rFonts w:hint="eastAsia" w:ascii="黑体" w:hAnsi="黑体" w:eastAsia="黑体" w:cs="黑体"/>
          <w:b w:val="0"/>
          <w:bCs w:val="0"/>
          <w:color w:val="auto"/>
          <w:sz w:val="28"/>
          <w:szCs w:val="21"/>
          <w:highlight w:val="none"/>
          <w:lang w:val="en-US" w:eastAsia="zh-CN"/>
        </w:rPr>
        <w:t xml:space="preserve">9.响应文件的语言及度量衡单位</w:t>
      </w:r>
      <w:bookmarkEnd w:id="91"/>
      <w:r/>
      <w:bookmarkEnd w:id="92"/>
      <w:r/>
      <w:bookmarkEnd w:id="93"/>
      <w:r/>
      <w:bookmarkEnd w:id="94"/>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9.1 供应商提交的响应文件以及供应商与征集人就采购活动的所有来往通知、函件和文件均应使用简体中文。</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9.2 除技术性能另有规定外，响应文件所使用的度量衡单位，均须采用国家法定计量单位。</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95" w:name="_Toc513029215"/>
      <w:r/>
      <w:bookmarkStart w:id="96" w:name="_Toc16938531"/>
      <w:r/>
      <w:bookmarkStart w:id="97" w:name="_Toc462564074"/>
      <w:r/>
      <w:bookmarkStart w:id="98" w:name="_Toc20823287"/>
      <w:r>
        <w:rPr>
          <w:rFonts w:hint="eastAsia" w:ascii="黑体" w:hAnsi="黑体" w:eastAsia="黑体" w:cs="黑体"/>
          <w:b w:val="0"/>
          <w:bCs w:val="0"/>
          <w:color w:val="auto"/>
          <w:sz w:val="28"/>
          <w:szCs w:val="21"/>
          <w:highlight w:val="none"/>
          <w:lang w:val="en-US" w:eastAsia="zh-CN"/>
        </w:rPr>
        <w:t xml:space="preserve">10.响应文件构成</w:t>
      </w:r>
      <w:bookmarkEnd w:id="95"/>
      <w:r/>
      <w:bookmarkEnd w:id="96"/>
      <w:r/>
      <w:bookmarkEnd w:id="97"/>
      <w:r/>
      <w:bookmarkEnd w:id="98"/>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10.1供应商编写的响应文件应包括资格证明文件、响应函、报价一览表、需求偏离表、供应商情况表、</w:t>
      </w:r>
      <w:r>
        <w:rPr>
          <w:rFonts w:hint="eastAsia" w:ascii="宋体" w:hAnsi="宋体" w:cs="宋体"/>
          <w:color w:val="auto"/>
          <w:sz w:val="24"/>
          <w:highlight w:val="none"/>
          <w:lang w:val="en-US" w:eastAsia="zh-CN"/>
        </w:rPr>
        <w:t xml:space="preserve">泰州市</w:t>
      </w:r>
      <w:r>
        <w:rPr>
          <w:rFonts w:hint="eastAsia" w:ascii="宋体" w:hAnsi="宋体" w:eastAsia="宋体" w:cs="宋体"/>
          <w:color w:val="auto"/>
          <w:sz w:val="24"/>
          <w:highlight w:val="none"/>
          <w:lang w:val="en-US" w:eastAsia="zh-CN"/>
        </w:rPr>
        <w:t xml:space="preserve">政府采购事前信用承诺书等部分。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10.2 如标书制作工具中格式和内容与“中国政府采购网”“江苏省政府采购网”发布的征集文件不一致，请以“中国政府采购网”“江苏省政府采购网”发布的征集文件为准。</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99" w:name="_Hlt26954731"/>
      <w:r/>
      <w:bookmarkEnd w:id="99"/>
      <w:r/>
      <w:bookmarkStart w:id="100" w:name="_Hlt26670360"/>
      <w:r/>
      <w:bookmarkEnd w:id="100"/>
      <w:r/>
      <w:bookmarkStart w:id="101" w:name="_Hlt26954846"/>
      <w:r/>
      <w:bookmarkEnd w:id="101"/>
      <w:r/>
      <w:bookmarkStart w:id="102" w:name="_Hlt26668975"/>
      <w:r/>
      <w:bookmarkEnd w:id="102"/>
      <w:r/>
      <w:bookmarkStart w:id="103" w:name="_Hlt26670482"/>
      <w:r/>
      <w:bookmarkEnd w:id="103"/>
      <w:r/>
      <w:bookmarkStart w:id="104" w:name="_Hlt26954848"/>
      <w:r/>
      <w:bookmarkEnd w:id="104"/>
      <w:r/>
      <w:bookmarkStart w:id="105" w:name="_Hlt26954838"/>
      <w:r/>
      <w:bookmarkEnd w:id="105"/>
      <w:r/>
      <w:bookmarkStart w:id="106" w:name="_Hlt26670486"/>
      <w:r/>
      <w:bookmarkEnd w:id="106"/>
      <w:r>
        <w:rPr>
          <w:rFonts w:hint="eastAsia" w:ascii="黑体" w:hAnsi="黑体" w:eastAsia="黑体" w:cs="黑体"/>
          <w:b w:val="0"/>
          <w:bCs w:val="0"/>
          <w:color w:val="auto"/>
          <w:sz w:val="28"/>
          <w:szCs w:val="21"/>
          <w:highlight w:val="none"/>
          <w:lang w:val="en-US" w:eastAsia="zh-CN"/>
        </w:rPr>
        <w:t xml:space="preserve">11.商务要求响应及偏离表</w:t>
      </w:r>
      <w:r/>
    </w:p>
    <w:p>
      <w:pPr>
        <w:ind w:firstLine="480"/>
        <w:pageBreakBefore w:val="0"/>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zh-CN" w:eastAsia="zh-CN"/>
        </w:rPr>
        <w:t xml:space="preserve">11.1 供应商需对征集文件中的商务要求逐项作出响应或偏离，并说明原因。</w:t>
      </w:r>
      <w:r>
        <w:rPr>
          <w:rFonts w:hint="eastAsia" w:ascii="宋体" w:hAnsi="宋体" w:eastAsia="宋体" w:cs="宋体"/>
          <w:i/>
          <w:iCs/>
          <w:color w:val="auto"/>
          <w:sz w:val="24"/>
          <w:highlight w:val="none"/>
          <w:u w:val="single"/>
          <w:lang w:val="zh-CN" w:eastAsia="zh-CN"/>
        </w:rPr>
        <w:t xml:space="preserve">供应商响应的</w:t>
      </w:r>
      <w:r>
        <w:rPr>
          <w:rFonts w:hint="eastAsia" w:ascii="宋体" w:hAnsi="宋体" w:eastAsia="宋体" w:cs="宋体"/>
          <w:i/>
          <w:iCs/>
          <w:color w:val="auto"/>
          <w:sz w:val="24"/>
          <w:highlight w:val="none"/>
          <w:u w:val="single"/>
          <w:lang w:val="en-US" w:eastAsia="zh-CN"/>
        </w:rPr>
        <w:t xml:space="preserve">服务</w:t>
      </w:r>
      <w:r>
        <w:rPr>
          <w:rFonts w:hint="eastAsia" w:ascii="宋体" w:hAnsi="宋体" w:eastAsia="宋体" w:cs="宋体"/>
          <w:i/>
          <w:iCs/>
          <w:color w:val="auto"/>
          <w:sz w:val="24"/>
          <w:highlight w:val="none"/>
          <w:u w:val="single"/>
          <w:lang w:val="zh-CN" w:eastAsia="zh-CN"/>
        </w:rPr>
        <w:t xml:space="preserve">、商务等条件不得低于采购需求</w:t>
      </w:r>
      <w:r>
        <w:rPr>
          <w:rFonts w:hint="eastAsia" w:ascii="宋体" w:hAnsi="宋体" w:cs="宋体"/>
          <w:color w:val="auto"/>
          <w:sz w:val="24"/>
          <w:highlight w:val="none"/>
          <w:lang w:val="zh-CN" w:eastAsia="zh-CN"/>
        </w:rPr>
        <w:t xml:space="preserve">。</w:t>
      </w:r>
      <w:r/>
    </w:p>
    <w:p>
      <w:pPr>
        <w:ind w:firstLine="480"/>
        <w:jc w:val="both"/>
        <w:pageBreakBefore w:val="0"/>
        <w:spacing w:line="360" w:lineRule="auto"/>
        <w:rPr>
          <w:rFonts w:hint="eastAsia" w:ascii="黑体" w:hAnsi="黑体" w:eastAsia="黑体" w:cs="黑体"/>
          <w:b w:val="0"/>
          <w:bCs w:val="0"/>
          <w:color w:val="auto"/>
          <w:sz w:val="28"/>
          <w:szCs w:val="21"/>
          <w:highlight w:val="none"/>
          <w:lang w:val="en-US" w:eastAsia="zh-CN"/>
        </w:rPr>
      </w:pPr>
      <w:r>
        <w:rPr>
          <w:rFonts w:hint="eastAsia" w:ascii="黑体" w:hAnsi="黑体" w:eastAsia="黑体" w:cs="黑体"/>
          <w:b w:val="0"/>
          <w:bCs w:val="0"/>
          <w:color w:val="auto"/>
          <w:sz w:val="28"/>
          <w:szCs w:val="21"/>
          <w:highlight w:val="none"/>
          <w:lang w:val="en-US" w:eastAsia="zh-CN"/>
        </w:rPr>
        <w:t xml:space="preserve">12.服务承诺</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12.1 供应商需根据</w:t>
      </w:r>
      <w:r>
        <w:rPr>
          <w:rFonts w:hint="eastAsia" w:ascii="宋体" w:hAnsi="宋体" w:cs="宋体"/>
          <w:color w:val="auto"/>
          <w:sz w:val="24"/>
          <w:highlight w:val="none"/>
          <w:lang w:val="zh-CN" w:eastAsia="zh-CN"/>
        </w:rPr>
        <w:t xml:space="preserve">征集文件</w:t>
      </w:r>
      <w:r>
        <w:rPr>
          <w:rFonts w:hint="eastAsia" w:ascii="宋体" w:hAnsi="宋体" w:cs="宋体"/>
          <w:color w:val="auto"/>
          <w:sz w:val="24"/>
          <w:highlight w:val="none"/>
          <w:lang w:val="en-US" w:eastAsia="zh-CN"/>
        </w:rPr>
        <w:t xml:space="preserve">要求提供有关售后服务的管理制度，售后服务机构的分布情况，售后服务人员的数量、素质、技术水平及售后服务的反应能力等。</w:t>
      </w:r>
      <w:r/>
    </w:p>
    <w:p>
      <w:pPr>
        <w:ind w:firstLine="480"/>
        <w:jc w:val="both"/>
        <w:pageBreakBefore w:val="0"/>
        <w:spacing w:line="360" w:lineRule="auto"/>
        <w:rPr>
          <w:rFonts w:hint="eastAsia" w:ascii="黑体" w:hAnsi="黑体" w:eastAsia="黑体" w:cs="黑体"/>
          <w:b w:val="0"/>
          <w:bCs w:val="0"/>
          <w:color w:val="auto"/>
          <w:sz w:val="28"/>
          <w:szCs w:val="21"/>
          <w:highlight w:val="none"/>
          <w:lang w:val="en-US" w:eastAsia="zh-CN"/>
        </w:rPr>
      </w:pPr>
      <w:r/>
      <w:bookmarkStart w:id="107" w:name="_Toc49090510"/>
      <w:r/>
      <w:bookmarkStart w:id="108" w:name="_Toc14577359"/>
      <w:r>
        <w:rPr>
          <w:rFonts w:hint="eastAsia" w:ascii="黑体" w:hAnsi="黑体" w:eastAsia="黑体" w:cs="黑体"/>
          <w:b w:val="0"/>
          <w:bCs w:val="0"/>
          <w:color w:val="auto"/>
          <w:sz w:val="28"/>
          <w:szCs w:val="21"/>
          <w:highlight w:val="none"/>
          <w:lang w:val="en-US" w:eastAsia="zh-CN"/>
        </w:rPr>
        <w:t xml:space="preserve">13.响应函和报价一览表</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13.1 供应商应按照征集文件中提供的格式完整、正确填写响应函、报价一览表。</w:t>
      </w:r>
      <w:bookmarkEnd w:id="107"/>
      <w:r/>
      <w:bookmarkEnd w:id="108"/>
      <w:r/>
      <w:r/>
    </w:p>
    <w:p>
      <w:pPr>
        <w:ind w:firstLine="480"/>
        <w:jc w:val="both"/>
        <w:pageBreakBefore w:val="0"/>
        <w:spacing w:line="360" w:lineRule="auto"/>
        <w:rPr>
          <w:rFonts w:hint="eastAsia" w:ascii="黑体" w:hAnsi="黑体" w:eastAsia="黑体" w:cs="黑体"/>
          <w:b w:val="0"/>
          <w:bCs w:val="0"/>
          <w:color w:val="auto"/>
          <w:sz w:val="28"/>
          <w:szCs w:val="21"/>
          <w:highlight w:val="none"/>
          <w:lang w:val="en-US" w:eastAsia="zh-CN"/>
        </w:rPr>
      </w:pPr>
      <w:r/>
      <w:bookmarkStart w:id="109" w:name="_Toc49090511"/>
      <w:r/>
      <w:bookmarkStart w:id="110" w:name="_Toc14577360"/>
      <w:r>
        <w:rPr>
          <w:rFonts w:hint="eastAsia" w:ascii="黑体" w:hAnsi="黑体" w:eastAsia="黑体" w:cs="黑体"/>
          <w:b w:val="0"/>
          <w:bCs w:val="0"/>
          <w:color w:val="auto"/>
          <w:sz w:val="28"/>
          <w:szCs w:val="21"/>
          <w:highlight w:val="none"/>
          <w:lang w:val="en-US" w:eastAsia="zh-CN"/>
        </w:rPr>
        <w:t xml:space="preserve">14.响应文件有效期</w:t>
      </w:r>
      <w:bookmarkEnd w:id="109"/>
      <w:r/>
      <w:bookmarkEnd w:id="110"/>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14.1响应文件有效期为征集人规定的响应文件提交截止时间之日后</w:t>
      </w:r>
      <w:r>
        <w:rPr>
          <w:rFonts w:hint="eastAsia" w:ascii="宋体" w:hAnsi="宋体" w:cs="宋体"/>
          <w:b/>
          <w:bCs/>
          <w:color w:val="auto"/>
          <w:sz w:val="24"/>
          <w:highlight w:val="none"/>
          <w:u w:val="single"/>
          <w:lang w:val="en-US" w:eastAsia="zh-CN"/>
        </w:rPr>
        <w:t xml:space="preserve">九十（90）天</w:t>
      </w:r>
      <w:r>
        <w:rPr>
          <w:rFonts w:hint="eastAsia" w:ascii="宋体" w:hAnsi="宋体" w:cs="宋体"/>
          <w:color w:val="auto"/>
          <w:sz w:val="24"/>
          <w:highlight w:val="none"/>
          <w:lang w:val="en-US" w:eastAsia="zh-CN"/>
        </w:rPr>
        <w:t xml:space="preserve">。响应文件有效期比规定短的将被视为未实质性响应征集文件而予以拒绝。</w:t>
      </w:r>
      <w:r/>
    </w:p>
    <w:p>
      <w:pPr>
        <w:ind w:firstLine="480"/>
        <w:jc w:val="both"/>
        <w:pageBreakBefore w:val="0"/>
        <w:spacing w:line="360" w:lineRule="auto"/>
        <w:rPr>
          <w:rFonts w:hint="eastAsia" w:ascii="黑体" w:hAnsi="黑体" w:eastAsia="黑体" w:cs="黑体"/>
          <w:b w:val="0"/>
          <w:bCs w:val="0"/>
          <w:color w:val="auto"/>
          <w:sz w:val="28"/>
          <w:szCs w:val="21"/>
          <w:highlight w:val="none"/>
          <w:lang w:val="en-US" w:eastAsia="zh-CN"/>
        </w:rPr>
      </w:pPr>
      <w:r>
        <w:rPr>
          <w:rFonts w:hint="eastAsia" w:ascii="黑体" w:hAnsi="黑体" w:eastAsia="黑体" w:cs="黑体"/>
          <w:b w:val="0"/>
          <w:bCs w:val="0"/>
          <w:color w:val="auto"/>
          <w:sz w:val="28"/>
          <w:szCs w:val="21"/>
          <w:highlight w:val="none"/>
          <w:lang w:val="en-US" w:eastAsia="zh-CN"/>
        </w:rPr>
        <w:t xml:space="preserve">15.响应文件有效期的延长</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ind w:firstLine="480"/>
        <w:jc w:val="both"/>
        <w:pageBreakBefore w:val="0"/>
        <w:spacing w:line="360" w:lineRule="auto"/>
        <w:rPr>
          <w:rFonts w:hint="eastAsia" w:ascii="黑体" w:hAnsi="黑体" w:eastAsia="黑体" w:cs="黑体"/>
          <w:b w:val="0"/>
          <w:bCs w:val="0"/>
          <w:color w:val="auto"/>
          <w:sz w:val="28"/>
          <w:szCs w:val="21"/>
          <w:highlight w:val="none"/>
          <w:lang w:val="en-US" w:eastAsia="zh-CN"/>
        </w:rPr>
      </w:pPr>
      <w:r/>
      <w:bookmarkStart w:id="111" w:name="_Hlt26954739"/>
      <w:r/>
      <w:bookmarkEnd w:id="111"/>
      <w:r/>
      <w:bookmarkStart w:id="112" w:name="_Hlt26954852"/>
      <w:r/>
      <w:bookmarkEnd w:id="112"/>
      <w:r/>
      <w:bookmarkStart w:id="113" w:name="_Toc20823296"/>
      <w:r/>
      <w:bookmarkStart w:id="114" w:name="_Toc120614217"/>
      <w:r/>
      <w:bookmarkStart w:id="115" w:name="_Toc513029224"/>
      <w:r/>
      <w:bookmarkStart w:id="116" w:name="_Toc16938540"/>
      <w:r>
        <w:rPr>
          <w:rFonts w:hint="eastAsia" w:ascii="黑体" w:hAnsi="黑体" w:eastAsia="黑体" w:cs="黑体"/>
          <w:b w:val="0"/>
          <w:bCs w:val="0"/>
          <w:color w:val="auto"/>
          <w:sz w:val="28"/>
          <w:szCs w:val="21"/>
          <w:highlight w:val="none"/>
          <w:lang w:val="en-US" w:eastAsia="zh-CN"/>
        </w:rPr>
        <w:t xml:space="preserve">四、响应文件的递交</w:t>
      </w:r>
      <w:bookmarkEnd w:id="113"/>
      <w:r/>
      <w:bookmarkEnd w:id="114"/>
      <w:r/>
      <w:bookmarkEnd w:id="115"/>
      <w:r/>
      <w:bookmarkEnd w:id="116"/>
      <w:r/>
      <w:r/>
    </w:p>
    <w:p>
      <w:pPr>
        <w:ind w:firstLine="480"/>
        <w:jc w:val="both"/>
        <w:pageBreakBefore w:val="0"/>
        <w:spacing w:line="360" w:lineRule="auto"/>
        <w:rPr>
          <w:rFonts w:hint="eastAsia" w:ascii="黑体" w:hAnsi="黑体" w:eastAsia="黑体" w:cs="黑体"/>
          <w:b w:val="0"/>
          <w:bCs w:val="0"/>
          <w:color w:val="auto"/>
          <w:sz w:val="28"/>
          <w:szCs w:val="21"/>
          <w:highlight w:val="none"/>
          <w:lang w:val="en-US" w:eastAsia="zh-CN"/>
        </w:rPr>
      </w:pPr>
      <w:r/>
      <w:bookmarkStart w:id="117" w:name="_Toc16938541"/>
      <w:r/>
      <w:bookmarkStart w:id="118" w:name="_Toc462564084"/>
      <w:r/>
      <w:bookmarkStart w:id="119" w:name="_Toc20823297"/>
      <w:r/>
      <w:bookmarkStart w:id="120" w:name="_Toc513029225"/>
      <w:r>
        <w:rPr>
          <w:rFonts w:hint="eastAsia" w:ascii="黑体" w:hAnsi="黑体" w:eastAsia="黑体" w:cs="黑体"/>
          <w:b w:val="0"/>
          <w:bCs w:val="0"/>
          <w:color w:val="auto"/>
          <w:sz w:val="28"/>
          <w:szCs w:val="21"/>
          <w:highlight w:val="none"/>
          <w:lang w:val="en-US" w:eastAsia="zh-CN"/>
        </w:rPr>
        <w:t xml:space="preserve">16.电子响应文件</w:t>
      </w:r>
      <w:bookmarkEnd w:id="117"/>
      <w:r/>
      <w:bookmarkEnd w:id="118"/>
      <w:r/>
      <w:bookmarkEnd w:id="119"/>
      <w:r/>
      <w:bookmarkEnd w:id="120"/>
      <w:r>
        <w:rPr>
          <w:rFonts w:hint="eastAsia" w:ascii="黑体" w:hAnsi="黑体" w:eastAsia="黑体" w:cs="黑体"/>
          <w:b w:val="0"/>
          <w:bCs w:val="0"/>
          <w:color w:val="auto"/>
          <w:sz w:val="28"/>
          <w:szCs w:val="21"/>
          <w:highlight w:val="none"/>
          <w:lang w:val="en-US" w:eastAsia="zh-CN"/>
        </w:rPr>
        <w:t xml:space="preserve">的递交</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16.1 供应商应当按照《操作手册》规定，在响应文件提交截止时间前制作并上传电子响应文件。</w:t>
      </w:r>
      <w:bookmarkStart w:id="121" w:name="_Toc513029226"/>
      <w:r/>
      <w:bookmarkStart w:id="122" w:name="_Toc20823298"/>
      <w:r/>
      <w:bookmarkStart w:id="123" w:name="_Toc16938542"/>
      <w:r/>
      <w:r/>
    </w:p>
    <w:p>
      <w:pPr>
        <w:ind w:firstLine="480"/>
        <w:jc w:val="both"/>
        <w:pageBreakBefore w:val="0"/>
        <w:spacing w:line="360" w:lineRule="auto"/>
        <w:rPr>
          <w:rFonts w:hint="eastAsia" w:ascii="黑体" w:hAnsi="黑体" w:eastAsia="黑体" w:cs="黑体"/>
          <w:b w:val="0"/>
          <w:bCs w:val="0"/>
          <w:color w:val="auto"/>
          <w:sz w:val="28"/>
          <w:szCs w:val="21"/>
          <w:highlight w:val="none"/>
          <w:lang w:val="en-US" w:eastAsia="zh-CN"/>
        </w:rPr>
      </w:pPr>
      <w:r>
        <w:rPr>
          <w:rFonts w:hint="eastAsia" w:ascii="黑体" w:hAnsi="黑体" w:eastAsia="黑体" w:cs="黑体"/>
          <w:b w:val="0"/>
          <w:bCs w:val="0"/>
          <w:color w:val="auto"/>
          <w:sz w:val="28"/>
          <w:szCs w:val="21"/>
          <w:highlight w:val="none"/>
          <w:lang w:val="en-US" w:eastAsia="zh-CN"/>
        </w:rPr>
        <w:t xml:space="preserve">17.</w:t>
      </w:r>
      <w:bookmarkEnd w:id="121"/>
      <w:r/>
      <w:bookmarkEnd w:id="122"/>
      <w:r/>
      <w:bookmarkEnd w:id="123"/>
      <w:r>
        <w:rPr>
          <w:rFonts w:hint="eastAsia" w:ascii="黑体" w:hAnsi="黑体" w:eastAsia="黑体" w:cs="黑体"/>
          <w:b w:val="0"/>
          <w:bCs w:val="0"/>
          <w:color w:val="auto"/>
          <w:sz w:val="28"/>
          <w:szCs w:val="21"/>
          <w:highlight w:val="none"/>
          <w:lang w:val="en-US" w:eastAsia="zh-CN"/>
        </w:rPr>
        <w:t xml:space="preserve">响应文件提交截止时间</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i/>
          <w:iCs/>
          <w:color w:val="auto"/>
          <w:sz w:val="24"/>
          <w:highlight w:val="none"/>
          <w:u w:val="single"/>
          <w:lang w:val="en-US" w:eastAsia="zh-CN"/>
        </w:rPr>
        <w:t xml:space="preserve">17.1 供应商上传电子响应文件的时间不得迟于征集公告中规定的截止时间</w:t>
      </w:r>
      <w:r>
        <w:rPr>
          <w:rFonts w:hint="eastAsia" w:ascii="宋体" w:hAnsi="宋体" w:cs="宋体"/>
          <w:color w:val="auto"/>
          <w:sz w:val="24"/>
          <w:highlight w:val="none"/>
          <w:lang w:val="en-US" w:eastAsia="zh-CN"/>
        </w:rPr>
        <w:t xml:space="preserve">。</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供应商应充分考虑网络环境、网络带宽等风险因素，如因供应商自身原因造成的电子响应文件上传不成功，应按照本征集文件第二章第25.1.2条的规定做无效响应处理。</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17.2 征集人可以按照规定，通过修改征集文件酌情延长截止日期，在此情况下，供应商的所有权利和义务以及供应商受制的截止日期均应以延长后新的截止日期为准。</w:t>
      </w:r>
      <w:r/>
    </w:p>
    <w:p>
      <w:pPr>
        <w:ind w:firstLine="480"/>
        <w:jc w:val="both"/>
        <w:pageBreakBefore w:val="0"/>
        <w:spacing w:line="360" w:lineRule="auto"/>
        <w:rPr>
          <w:rFonts w:hint="eastAsia" w:ascii="黑体" w:hAnsi="黑体" w:eastAsia="黑体" w:cs="黑体"/>
          <w:b w:val="0"/>
          <w:bCs w:val="0"/>
          <w:color w:val="auto"/>
          <w:sz w:val="28"/>
          <w:szCs w:val="21"/>
          <w:highlight w:val="none"/>
          <w:lang w:val="en-US" w:eastAsia="zh-CN"/>
        </w:rPr>
      </w:pPr>
      <w:r/>
      <w:bookmarkStart w:id="124" w:name="_Toc513029227"/>
      <w:r/>
      <w:bookmarkStart w:id="125" w:name="_Toc20823299"/>
      <w:r/>
      <w:bookmarkStart w:id="126" w:name="_Toc16938543"/>
      <w:r>
        <w:rPr>
          <w:rFonts w:hint="eastAsia" w:ascii="黑体" w:hAnsi="黑体" w:eastAsia="黑体" w:cs="黑体"/>
          <w:b w:val="0"/>
          <w:bCs w:val="0"/>
          <w:color w:val="auto"/>
          <w:sz w:val="28"/>
          <w:szCs w:val="21"/>
          <w:highlight w:val="none"/>
          <w:lang w:val="en-US" w:eastAsia="zh-CN"/>
        </w:rPr>
        <w:t xml:space="preserve">18.</w:t>
      </w:r>
      <w:bookmarkEnd w:id="124"/>
      <w:r/>
      <w:bookmarkEnd w:id="125"/>
      <w:r/>
      <w:bookmarkEnd w:id="126"/>
      <w:r>
        <w:rPr>
          <w:rFonts w:hint="eastAsia" w:ascii="黑体" w:hAnsi="黑体" w:eastAsia="黑体" w:cs="黑体"/>
          <w:b w:val="0"/>
          <w:bCs w:val="0"/>
          <w:color w:val="auto"/>
          <w:sz w:val="28"/>
          <w:szCs w:val="21"/>
          <w:highlight w:val="none"/>
          <w:lang w:val="en-US" w:eastAsia="zh-CN"/>
        </w:rPr>
        <w:t xml:space="preserve">响应文件的拒收</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18.1 征集人拒绝接收在其规定的响应文件提交截止时间后上传的任何响应文件。</w:t>
      </w:r>
      <w:r/>
    </w:p>
    <w:p>
      <w:pPr>
        <w:ind w:firstLine="480"/>
        <w:jc w:val="both"/>
        <w:pageBreakBefore w:val="0"/>
        <w:spacing w:line="360" w:lineRule="auto"/>
        <w:rPr>
          <w:rFonts w:hint="eastAsia" w:ascii="黑体" w:hAnsi="黑体" w:eastAsia="黑体" w:cs="黑体"/>
          <w:b w:val="0"/>
          <w:bCs w:val="0"/>
          <w:color w:val="auto"/>
          <w:sz w:val="28"/>
          <w:szCs w:val="21"/>
          <w:highlight w:val="none"/>
          <w:lang w:val="en-US" w:eastAsia="zh-CN"/>
        </w:rPr>
      </w:pPr>
      <w:r/>
      <w:bookmarkStart w:id="127" w:name="_Toc20823300"/>
      <w:r/>
      <w:bookmarkStart w:id="128" w:name="_Toc16938544"/>
      <w:r/>
      <w:bookmarkStart w:id="129" w:name="_Toc513029228"/>
      <w:r>
        <w:rPr>
          <w:rFonts w:hint="eastAsia" w:ascii="黑体" w:hAnsi="黑体" w:eastAsia="黑体" w:cs="黑体"/>
          <w:b w:val="0"/>
          <w:bCs w:val="0"/>
          <w:color w:val="auto"/>
          <w:sz w:val="28"/>
          <w:szCs w:val="21"/>
          <w:highlight w:val="none"/>
          <w:lang w:val="en-US" w:eastAsia="zh-CN"/>
        </w:rPr>
        <w:t xml:space="preserve">19.响应文件的撤回和修改</w:t>
      </w:r>
      <w:bookmarkEnd w:id="127"/>
      <w:r/>
      <w:bookmarkEnd w:id="128"/>
      <w:r/>
      <w:bookmarkEnd w:id="129"/>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19.1 响应文件的撤回</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19.1.1 电子响应文件的撤回</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供应商可在响应文件提交截止时间前，撤回其电子响应文件，具体操作方法见《操作手册》。</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19.1.2 供应商撤回电子响应文件，则认为其不再参与本项采购活动。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19.2 响应文件的修改</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供应商可在响应文件提交截止时间前，对其电子响应文件进行修改，具体操作方法见《操作手册》。</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19.3 在响应文件提交截止时间之后，供应商不得对其电子响应文件作任何修改。</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19.4 在响应文件提交截止时间至征集文件中规定的响应文件有效期满之间的这段时间内，供应商不得撤回其电子响应文件。</w:t>
      </w:r>
      <w:r/>
    </w:p>
    <w:p>
      <w:pPr>
        <w:ind w:firstLine="480"/>
        <w:pageBreakBefore w:val="0"/>
        <w:spacing w:line="360" w:lineRule="auto"/>
        <w:rPr>
          <w:rFonts w:hint="eastAsia" w:ascii="黑体" w:hAnsi="黑体" w:eastAsia="黑体" w:cs="黑体"/>
          <w:b w:val="0"/>
          <w:bCs w:val="0"/>
          <w:color w:val="auto"/>
          <w:sz w:val="28"/>
          <w:szCs w:val="28"/>
          <w:highlight w:val="none"/>
          <w:lang w:val="en-US" w:eastAsia="zh-CN"/>
        </w:rPr>
      </w:pPr>
      <w:r/>
      <w:bookmarkStart w:id="130" w:name="_Toc20823301"/>
      <w:r/>
      <w:bookmarkStart w:id="131" w:name="_Toc16938545"/>
      <w:r/>
      <w:bookmarkStart w:id="132" w:name="_Toc120614218"/>
      <w:r/>
      <w:bookmarkStart w:id="133" w:name="_Toc513029229"/>
      <w:r>
        <w:rPr>
          <w:rFonts w:hint="eastAsia" w:ascii="黑体" w:hAnsi="黑体" w:eastAsia="黑体" w:cs="黑体"/>
          <w:b w:val="0"/>
          <w:bCs w:val="0"/>
          <w:color w:val="auto"/>
          <w:sz w:val="28"/>
          <w:szCs w:val="28"/>
          <w:highlight w:val="none"/>
          <w:lang w:val="en-US" w:eastAsia="zh-CN"/>
        </w:rPr>
        <w:t xml:space="preserve">五、响应文件的开启与</w:t>
      </w:r>
      <w:bookmarkEnd w:id="130"/>
      <w:r/>
      <w:bookmarkEnd w:id="131"/>
      <w:r/>
      <w:bookmarkEnd w:id="132"/>
      <w:r/>
      <w:bookmarkEnd w:id="133"/>
      <w:r>
        <w:rPr>
          <w:rFonts w:hint="eastAsia" w:ascii="黑体" w:hAnsi="黑体" w:eastAsia="黑体" w:cs="黑体"/>
          <w:b w:val="0"/>
          <w:bCs w:val="0"/>
          <w:color w:val="auto"/>
          <w:sz w:val="28"/>
          <w:szCs w:val="28"/>
          <w:highlight w:val="none"/>
          <w:lang w:val="en-US" w:eastAsia="zh-CN"/>
        </w:rPr>
        <w:t xml:space="preserve">评审</w:t>
      </w:r>
      <w:r/>
    </w:p>
    <w:p>
      <w:pPr>
        <w:ind w:firstLine="480"/>
        <w:pageBreakBefore w:val="0"/>
        <w:spacing w:line="360" w:lineRule="auto"/>
        <w:rPr>
          <w:rFonts w:hint="eastAsia" w:ascii="黑体" w:hAnsi="黑体" w:eastAsia="黑体" w:cs="黑体"/>
          <w:b w:val="0"/>
          <w:bCs w:val="0"/>
          <w:color w:val="auto"/>
          <w:sz w:val="28"/>
          <w:szCs w:val="28"/>
          <w:highlight w:val="none"/>
          <w:lang w:val="en-US" w:eastAsia="zh-CN"/>
        </w:rPr>
      </w:pPr>
      <w:r/>
      <w:bookmarkStart w:id="134" w:name="_Toc16938546"/>
      <w:r/>
      <w:bookmarkStart w:id="135" w:name="_Toc513029230"/>
      <w:r/>
      <w:bookmarkStart w:id="136" w:name="_Toc20823302"/>
      <w:r>
        <w:rPr>
          <w:rFonts w:hint="eastAsia" w:ascii="黑体" w:hAnsi="黑体" w:eastAsia="黑体" w:cs="黑体"/>
          <w:b w:val="0"/>
          <w:bCs w:val="0"/>
          <w:color w:val="auto"/>
          <w:sz w:val="28"/>
          <w:szCs w:val="28"/>
          <w:highlight w:val="none"/>
          <w:lang w:val="en-US" w:eastAsia="zh-CN"/>
        </w:rPr>
        <w:t xml:space="preserve">20.</w:t>
      </w:r>
      <w:bookmarkEnd w:id="134"/>
      <w:r/>
      <w:bookmarkEnd w:id="135"/>
      <w:r/>
      <w:bookmarkEnd w:id="136"/>
      <w:r>
        <w:rPr>
          <w:rFonts w:hint="eastAsia" w:ascii="黑体" w:hAnsi="黑体" w:eastAsia="黑体" w:cs="黑体"/>
          <w:b w:val="0"/>
          <w:bCs w:val="0"/>
          <w:color w:val="auto"/>
          <w:sz w:val="28"/>
          <w:szCs w:val="28"/>
          <w:highlight w:val="none"/>
          <w:lang w:val="en-US" w:eastAsia="zh-CN"/>
        </w:rPr>
        <w:t xml:space="preserve">响应文件的开启</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20.1 征集人将在征集公告中规定的时间和地点组织开启响应文件。供应商应当按照《操作手册》规定，参加响应文件开启和</w:t>
      </w:r>
      <w:r>
        <w:rPr>
          <w:rFonts w:hint="eastAsia" w:ascii="宋体" w:hAnsi="宋体" w:cs="宋体"/>
          <w:b w:val="0"/>
          <w:bCs w:val="0"/>
          <w:color w:val="auto"/>
          <w:sz w:val="24"/>
          <w:highlight w:val="none"/>
          <w:lang w:val="en-US" w:eastAsia="zh-CN"/>
        </w:rPr>
        <w:t xml:space="preserve">在“苏采云”系统规定的时间内对电子响应文件进行解密。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20.2响应文件开启仪式由征集人组织，苏采云系统将自动公布各供应商的报价。</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20.3供应商在响应文件开启过程中涉及的响应文件解密、结果确认等工作，应按照《操作手册》规定执行。</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20.4供应商如果对响应文件开启过程和开启记录有疑义，应当根据《操作手册》规定提出，如 “苏采云”系统中《报价记录表》宣布后5分钟内未提出的，视同认可开启结果。</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137" w:name="_Toc16938547"/>
      <w:r/>
      <w:bookmarkStart w:id="138" w:name="_Toc20823303"/>
      <w:r/>
      <w:bookmarkStart w:id="139" w:name="_Toc513029231"/>
      <w:r>
        <w:rPr>
          <w:rFonts w:hint="eastAsia" w:ascii="黑体" w:hAnsi="黑体" w:eastAsia="黑体" w:cs="黑体"/>
          <w:b w:val="0"/>
          <w:bCs w:val="0"/>
          <w:color w:val="auto"/>
          <w:sz w:val="28"/>
          <w:szCs w:val="21"/>
          <w:highlight w:val="none"/>
          <w:lang w:val="en-US" w:eastAsia="zh-CN"/>
        </w:rPr>
        <w:t xml:space="preserve">21.评审小组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21.1 响应文件开启后，征集人将立即组织评审小组进行项目评审。</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 评审小组由技术、经济等方面的专家组成，且人员构成符合政府采购有关规定。</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21.3评审小组独立工作，负责评审所有响应文件并确定入围供应商。</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rPr>
          <w:rFonts w:hint="eastAsia" w:ascii="黑体" w:hAnsi="黑体" w:eastAsia="黑体" w:cs="黑体"/>
          <w:b w:val="0"/>
          <w:bCs w:val="0"/>
          <w:color w:val="auto"/>
          <w:sz w:val="28"/>
          <w:szCs w:val="21"/>
          <w:highlight w:val="none"/>
          <w:lang w:val="en-US" w:eastAsia="zh-CN"/>
        </w:rPr>
        <w:t xml:space="preserve">22.评审过程的保密与公正</w:t>
      </w:r>
      <w:bookmarkEnd w:id="137"/>
      <w:r/>
      <w:bookmarkEnd w:id="138"/>
      <w:r/>
      <w:bookmarkEnd w:id="139"/>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22.1凡是与审查、澄清、评价和比较有关的资料以及授标建议等，评审小组成员、征集人均不得向供应商或与评审工作无关的其他人员透露。</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22.2在评审过程中，供应商不得以任何行为影响评审过程，否则其响应文件将被作为无效响应文件。</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22.3在评审期间，征集人将设专门人员与供应商联系。</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140" w:name="_Toc20823304"/>
      <w:r/>
      <w:bookmarkStart w:id="141" w:name="_Toc513029232"/>
      <w:r/>
      <w:bookmarkStart w:id="142" w:name="_Toc16938548"/>
      <w:r>
        <w:rPr>
          <w:rFonts w:hint="eastAsia" w:ascii="黑体" w:hAnsi="黑体" w:eastAsia="黑体" w:cs="黑体"/>
          <w:b w:val="0"/>
          <w:bCs w:val="0"/>
          <w:color w:val="auto"/>
          <w:sz w:val="28"/>
          <w:szCs w:val="21"/>
          <w:highlight w:val="none"/>
          <w:lang w:val="en-US" w:eastAsia="zh-CN"/>
        </w:rPr>
        <w:t xml:space="preserve">23.响应文件的澄清</w:t>
      </w:r>
      <w:bookmarkEnd w:id="140"/>
      <w:r/>
      <w:bookmarkEnd w:id="141"/>
      <w:r/>
      <w:bookmarkEnd w:id="142"/>
      <w:r/>
      <w:r/>
    </w:p>
    <w:p>
      <w:pPr>
        <w:ind w:firstLine="480"/>
        <w:pageBreakBefore w:val="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23.1评审期间，对于响应文件中含义不明确、同类问题表述不一致或者有明显文字和计算错误的内容，评审小组将在苏采云系统中要求供应商作出必要的澄清、说明和补正。</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23.2收到评审小组澄清、说明和补正要求的供应商应派人按评审小组规定的时间和格式在苏采云系统中作出澄清、说明和补正，并加盖CA电子公章。澄清、说明或者补正不得超出征集文件的范围或者改变响应文件的实质性内容。具体操作方式见《操作手册》。</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23.3供应商如未按规定作出澄清、说明和补正，其风险由供应商自行承担。</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143" w:name="_Toc16938549"/>
      <w:r/>
      <w:bookmarkStart w:id="144" w:name="_Toc20823305"/>
      <w:r/>
      <w:bookmarkStart w:id="145" w:name="_Toc513029233"/>
      <w:r>
        <w:rPr>
          <w:rFonts w:hint="eastAsia" w:ascii="黑体" w:hAnsi="黑体" w:eastAsia="黑体" w:cs="黑体"/>
          <w:b w:val="0"/>
          <w:bCs w:val="0"/>
          <w:color w:val="auto"/>
          <w:sz w:val="28"/>
          <w:szCs w:val="21"/>
          <w:highlight w:val="none"/>
          <w:lang w:val="en-US" w:eastAsia="zh-CN"/>
        </w:rPr>
        <w:t xml:space="preserve">24.对响应文件的初审</w:t>
      </w:r>
      <w:bookmarkEnd w:id="143"/>
      <w:r/>
      <w:bookmarkEnd w:id="144"/>
      <w:r/>
      <w:bookmarkEnd w:id="145"/>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24.1响应文件初审分为资格审查和符合性审查。</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24.1.1资格审查：依据法律法规和征集文件规定的资格要求对供应商的资格证明文件进行审查。</w:t>
      </w:r>
      <w:r/>
    </w:p>
    <w:p>
      <w:pPr>
        <w:ind w:firstLine="480"/>
        <w:jc w:val="both"/>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在进行资格审查的同时，征集人将在“信用中国”网站（www.creditchina.gov.cn）查询供应商的信用记录，以确定供应商是否具备参加本次采购活动的资格。查询结果将以网页打印的形式留存并归档。</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24.1.2符合性审查：依据征集活动的规定，由评审小组从响应文件的有效性、完整性和对征集文件的响应程度进行审查，以确定是否对征集文件的实质性要求作出响应。</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24.1.3 未通过资格审查或符合性审查的供应商，征集人将在“苏采云”系统中告知未通过资格审查或符合性审查的原因，评审结束后，征集人将不再告知未通过资格审查或符合性审查的原因。</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24.2在详细评审之前，评审小组将首先审查每份响应文件是否实质性响应了征集文件的要求。实质性响应是与征集文件要求的全部条款、条件和规格相符，没有重大偏离或保留的响应。</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24.3如果响应文件实质上没有响应征集文件的要求，评审小组将予以拒绝，供应商不得通过修改或撤销不符合要求的偏离或保留而使其响应文件成为实质性响应文件。</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24.4评审小组将允许修正响应文件中不构成重大偏离的、微小的、非正规的、不一致的或不规则的地方，但这些修改不能影响任何供应商相应的名次排列。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hint="eastAsia" w:ascii="宋体" w:hAnsi="宋体" w:cs="宋体"/>
          <w:color w:val="auto"/>
          <w:sz w:val="24"/>
          <w:highlight w:val="none"/>
          <w:lang w:val="en-US" w:eastAsia="zh-CN"/>
        </w:rPr>
      </w:pPr>
      <w:r/>
      <w:bookmarkStart w:id="146" w:name="_Toc16938550"/>
      <w:r/>
      <w:bookmarkStart w:id="147" w:name="_Toc513029234"/>
      <w:r/>
      <w:bookmarkStart w:id="148" w:name="_Toc20823306"/>
      <w:r>
        <w:rPr>
          <w:rFonts w:hint="eastAsia" w:ascii="宋体" w:hAnsi="宋体" w:cs="宋体"/>
          <w:color w:val="auto"/>
          <w:sz w:val="24"/>
          <w:highlight w:val="none"/>
          <w:lang w:val="en-US" w:eastAsia="zh-CN"/>
        </w:rPr>
        <w:t xml:space="preserve">24.5 供应商在响应文件开启及项目评审全过程中应保持通信畅通，及时登录“苏采云”系统查阅、答复相关信息，并安排专人与征集人及评审小组联系。</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rPr>
          <w:rFonts w:hint="eastAsia" w:ascii="黑体" w:hAnsi="黑体" w:eastAsia="黑体" w:cs="黑体"/>
          <w:b w:val="0"/>
          <w:bCs w:val="0"/>
          <w:color w:val="auto"/>
          <w:sz w:val="28"/>
          <w:szCs w:val="21"/>
          <w:highlight w:val="none"/>
          <w:lang w:val="en-US" w:eastAsia="zh-CN"/>
        </w:rPr>
        <w:t xml:space="preserve">25.</w:t>
      </w:r>
      <w:bookmarkEnd w:id="146"/>
      <w:r/>
      <w:bookmarkEnd w:id="147"/>
      <w:r/>
      <w:bookmarkEnd w:id="148"/>
      <w:r>
        <w:rPr>
          <w:rFonts w:hint="eastAsia" w:ascii="黑体" w:hAnsi="黑体" w:eastAsia="黑体" w:cs="黑体"/>
          <w:b w:val="0"/>
          <w:bCs w:val="0"/>
          <w:color w:val="auto"/>
          <w:sz w:val="28"/>
          <w:szCs w:val="21"/>
          <w:highlight w:val="none"/>
          <w:lang w:val="en-US" w:eastAsia="zh-CN"/>
        </w:rPr>
        <w:t xml:space="preserve">无效响应条款和采购活动终止条款</w:t>
      </w:r>
      <w:r/>
    </w:p>
    <w:p>
      <w:pPr>
        <w:ind w:firstLine="480"/>
        <w:pageBreakBefore w:val="0"/>
        <w:spacing w:line="360" w:lineRule="auto"/>
        <w:rPr>
          <w:rFonts w:hint="eastAsia" w:ascii="宋体" w:hAnsi="宋体" w:cs="宋体"/>
          <w:color w:val="auto"/>
          <w:sz w:val="24"/>
          <w:highlight w:val="none"/>
          <w:lang w:val="en-US" w:eastAsia="zh-CN"/>
        </w:rPr>
      </w:pPr>
      <w:r/>
      <w:bookmarkStart w:id="149" w:name="_Toc20823307"/>
      <w:r/>
      <w:bookmarkStart w:id="150" w:name="_Toc513029235"/>
      <w:r/>
      <w:bookmarkStart w:id="151" w:name="_Toc16938551"/>
      <w:r>
        <w:rPr>
          <w:rFonts w:hint="eastAsia" w:ascii="宋体" w:hAnsi="宋体" w:cs="宋体"/>
          <w:color w:val="auto"/>
          <w:sz w:val="24"/>
          <w:highlight w:val="none"/>
          <w:lang w:val="en-US" w:eastAsia="zh-CN"/>
        </w:rPr>
        <w:t xml:space="preserve">25.1无效响应条款</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25.1.1供应商在“苏采云”系统规定的时间内未成功解密电子响应文件的。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25.1.2供应商未按照征集文件要求上传电子响应文件的。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25.1.3供应商同一分包提交两个（含两个）以上不同的报价的。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25.1.4供应商不具备征集文件中规定的资格要求的。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25.1.5供应商报价超过本征集文件规定的最高限价单价的。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25.1.6供应商未通过符合性审查的。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25.1.7不符合征集文件中规定的实质性要求和条件的（</w:t>
      </w:r>
      <w:r>
        <w:rPr>
          <w:rFonts w:hint="eastAsia" w:ascii="宋体" w:hAnsi="宋体" w:cs="宋体"/>
          <w:i/>
          <w:iCs/>
          <w:color w:val="auto"/>
          <w:sz w:val="24"/>
          <w:highlight w:val="none"/>
          <w:u w:val="single"/>
          <w:lang w:val="en-US" w:eastAsia="zh-CN"/>
        </w:rPr>
        <w:t xml:space="preserve">本征集文件中斜体且有下划线部分为实质性要求和条件</w:t>
      </w:r>
      <w:r>
        <w:rPr>
          <w:rFonts w:hint="eastAsia" w:ascii="宋体" w:hAnsi="宋体" w:cs="宋体"/>
          <w:color w:val="auto"/>
          <w:sz w:val="24"/>
          <w:highlight w:val="none"/>
          <w:lang w:val="en-US" w:eastAsia="zh-CN"/>
        </w:rPr>
        <w:t xml:space="preserve">）。</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25.1.9响应文件含有征集人不能接受的附加条件的。</w:t>
      </w:r>
      <w:r/>
    </w:p>
    <w:p>
      <w:pPr>
        <w:ind w:firstLine="48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25.1.10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25.1.11响应文件未按照征集文件要求加盖电子签章。</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25.1.12其他法律法规及本征集文件规定的属于无效响应的情形。</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25.2采购活动终止条款</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25.2.1出现影响采购公正的违法、违规行为。</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25.2.2因重大变故，采购任务取消的。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25.2.3评审小组认定因征集文件存在歧义、重大缺陷导致评审工作无法进行。</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25.2.4 因苏采云系统故障原因造成响应文件开启不成功的。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25.2.5 提交响应文件和通过资格审查、符合性审查的供应商数量少于2家。</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152" w:name="_Toc120614219"/>
      <w:r>
        <w:rPr>
          <w:rFonts w:hint="eastAsia" w:ascii="黑体" w:hAnsi="黑体" w:eastAsia="黑体" w:cs="黑体"/>
          <w:b w:val="0"/>
          <w:bCs w:val="0"/>
          <w:color w:val="auto"/>
          <w:sz w:val="28"/>
          <w:szCs w:val="21"/>
          <w:highlight w:val="none"/>
          <w:lang w:val="en-US" w:eastAsia="zh-CN"/>
        </w:rPr>
        <w:t xml:space="preserve">六、</w:t>
      </w:r>
      <w:bookmarkEnd w:id="149"/>
      <w:r/>
      <w:bookmarkEnd w:id="150"/>
      <w:r/>
      <w:bookmarkEnd w:id="151"/>
      <w:r/>
      <w:bookmarkEnd w:id="152"/>
      <w:r>
        <w:rPr>
          <w:rFonts w:hint="eastAsia" w:ascii="黑体" w:hAnsi="黑体" w:eastAsia="黑体" w:cs="黑体"/>
          <w:b w:val="0"/>
          <w:bCs w:val="0"/>
          <w:color w:val="auto"/>
          <w:sz w:val="28"/>
          <w:szCs w:val="21"/>
          <w:highlight w:val="none"/>
          <w:lang w:val="en-US" w:eastAsia="zh-CN"/>
        </w:rPr>
        <w:t xml:space="preserve">入围</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153" w:name="_Toc513029238"/>
      <w:r/>
      <w:bookmarkStart w:id="154" w:name="_Toc16938554"/>
      <w:r/>
      <w:bookmarkStart w:id="155" w:name="_Toc20823310"/>
      <w:r>
        <w:rPr>
          <w:rFonts w:hint="eastAsia" w:ascii="黑体" w:hAnsi="黑体" w:eastAsia="黑体" w:cs="黑体"/>
          <w:b w:val="0"/>
          <w:bCs w:val="0"/>
          <w:color w:val="auto"/>
          <w:sz w:val="28"/>
          <w:szCs w:val="21"/>
          <w:highlight w:val="none"/>
          <w:lang w:val="en-US" w:eastAsia="zh-CN"/>
        </w:rPr>
        <w:t xml:space="preserve">26.</w:t>
      </w:r>
      <w:bookmarkEnd w:id="153"/>
      <w:r>
        <w:rPr>
          <w:rFonts w:hint="eastAsia" w:ascii="黑体" w:hAnsi="黑体" w:eastAsia="黑体" w:cs="黑体"/>
          <w:b w:val="0"/>
          <w:bCs w:val="0"/>
          <w:color w:val="auto"/>
          <w:sz w:val="28"/>
          <w:szCs w:val="21"/>
          <w:highlight w:val="none"/>
          <w:lang w:val="en-US" w:eastAsia="zh-CN"/>
        </w:rPr>
        <w:t xml:space="preserve">确定</w:t>
      </w:r>
      <w:bookmarkEnd w:id="154"/>
      <w:r/>
      <w:bookmarkEnd w:id="155"/>
      <w:r>
        <w:rPr>
          <w:rFonts w:hint="eastAsia" w:ascii="黑体" w:hAnsi="黑体" w:eastAsia="黑体" w:cs="黑体"/>
          <w:b w:val="0"/>
          <w:bCs w:val="0"/>
          <w:color w:val="auto"/>
          <w:sz w:val="28"/>
          <w:szCs w:val="21"/>
          <w:highlight w:val="none"/>
          <w:lang w:val="en-US" w:eastAsia="zh-CN"/>
        </w:rPr>
        <w:t xml:space="preserve">入围供应商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26.1入围供应商的选取原则和数量见征集文件第五章规定。 </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26.2征集人将在“中国政府采购网”“江苏省政府采购网”发布“入围结果公告”，公告期限为1个工作日。</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26.3 入围供应商有下列情形之一，尚未签订框架协议的，取消其入围资格；已经签订框架协议的，解除与其签订的框架协议：</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26.3.1恶意串通谋取入围或者合同成交的。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26.3.2提供虚假材料谋取入围或者合同成交的。 </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26.3.3无正当理由拒不接受合同授予的。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26.3.4不履行合同义务或者履行合同义务不符合约定，经采购人请求履行后仍不履行或者仍未按约定履行的。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26.3.5框架协议有效期内，因违法行为被禁止或限制参加政府采购活动的。</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26.3.6框架协议约定的其他情形。</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被取消入围资格或者被解除框架协议的供应商不得参加同一封闭式框架协议补充征集活动。</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bookmarkStart w:id="156" w:name="_Toc200451960"/>
      <w:r>
        <w:rPr>
          <w:rFonts w:hint="eastAsia" w:ascii="黑体" w:hAnsi="黑体" w:eastAsia="黑体" w:cs="黑体"/>
          <w:b w:val="0"/>
          <w:bCs w:val="0"/>
          <w:color w:val="auto"/>
          <w:sz w:val="28"/>
          <w:szCs w:val="21"/>
          <w:highlight w:val="none"/>
          <w:lang w:val="en-US" w:eastAsia="zh-CN"/>
        </w:rPr>
        <w:t xml:space="preserve">27.质疑处理</w:t>
      </w:r>
      <w:bookmarkEnd w:id="156"/>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27.1提出质疑的供应商应当是参与所质疑封闭式框架协议采购项目采购活动的供应商。潜在供应商依法获取其可质疑的征集文件的，可以对征集文件提出质疑。</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27.2供应商认为征集文件、采购过程、入围结果使自己的权益受到损害的，可以在知道或应知其权益受到损害之日起七个工作日内，以书面形式向征集人提出质疑</w:t>
      </w:r>
      <w:r>
        <w:rPr>
          <w:rFonts w:hint="eastAsia" w:ascii="宋体" w:hAnsi="宋体" w:eastAsia="宋体"/>
          <w:color w:val="auto"/>
          <w:sz w:val="24"/>
          <w:szCs w:val="24"/>
          <w:highlight w:val="none"/>
        </w:rPr>
        <w:t xml:space="preserve">。</w:t>
      </w:r>
      <w:r>
        <w:rPr>
          <w:rFonts w:hint="eastAsia" w:ascii="宋体" w:hAnsi="宋体" w:cs="宋体"/>
          <w:color w:val="auto"/>
          <w:sz w:val="24"/>
          <w:highlight w:val="none"/>
          <w:lang w:val="en-US" w:eastAsia="zh-CN"/>
        </w:rPr>
        <w:t xml:space="preserve">上述应知其权益受到损害之日，是指：</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27.2.1对可以质疑的征集文件提出质疑的，为收到征集文件之日或者征集公告期限届满之日；</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27.2.2对采购过程提出质疑的，自各采购程序环节结束之日；</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27.2.3对入围结果提出质疑的，为入围结果公告期限届满之日。</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供应商应当在法定质疑期内一次性提出针对同一采购程序环节的质疑。供应商如在法定期限内对同一采购程序环节提出多次质疑的，征集人只对供应商最后一次质疑作出答复。</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27.3质疑必须按《中华人民共和国政府采购法》《中华人民共和国政府采购法实施条例》及《江苏省政府采购供应商监督管理暂行办法》的相关规定提交，未按上述要求提交的质疑函（含传真、电子邮件等）征集人有权不予受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27.4征集人只接收以纸质原件形式送达的质疑。</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征集人质疑接收部门为泰州市自然资源和规划局，联系地址：泰州市凤凰东路51号，联系电话：0523-81559158。</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27.5未参加投标活动的供应商或在投标活动中自身权益未受到损害的供应商所提出的质疑不予受理。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27.6质疑函应当包括下列内容：</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27.6.1质疑投标人的名称、地址、邮编、联系人、联系电话等；</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27.6.2具体的质疑事项及明确的请求；</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27.6.3认为自己合法权益受到损害或可能受到损害的相关证据材料；</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27.6.4提起质疑的日期；</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征集人将不予受理。质疑人委托代理质疑的，应当向征集人提交授权委托书，并载明委托代理的具体权限和事项。</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27.6.6征集人收到质疑函后，将对质疑的形式和内容进行审查，如质疑函内容、格式不符合规定，征集人将告知质疑人进行补正。</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27.6.7质疑人应当在法定质疑期限内进行补正并重新提交质疑函，拒不补正或者在法定期限内未重新提交质疑函的，为无效质疑，征集人将不予受理。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27.6.8对于内容、格式符合规定的质疑函，征集人应当在收到投标供应商的书面质疑后七个工作日内作出答复，并以书面形式通知质疑供应商和其他有关供应商，但答复的内容不得涉及商业秘密。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27.6.9投标人提出书面质疑必须有理、有据，不得恶意质疑或提交虚假质疑。否则，一经查实，征集人有权依据政府采购的有关规定，报请政府采购监管部门对该投标人进行相应的行政处罚，并扣减其诚信记录分。</w:t>
      </w:r>
      <w:r/>
    </w:p>
    <w:p>
      <w:pPr>
        <w:ind w:firstLine="480"/>
        <w:pageBreakBefore w:val="0"/>
        <w:spacing w:line="360" w:lineRule="auto"/>
        <w:rPr>
          <w:rFonts w:hint="eastAsia" w:ascii="黑体" w:hAnsi="黑体" w:eastAsia="黑体" w:cs="黑体"/>
          <w:b w:val="0"/>
          <w:bCs w:val="0"/>
          <w:color w:val="auto"/>
          <w:sz w:val="28"/>
          <w:szCs w:val="21"/>
          <w:highlight w:val="none"/>
          <w:lang w:val="en-US" w:eastAsia="zh-CN"/>
        </w:rPr>
      </w:pPr>
      <w:r>
        <w:rPr>
          <w:rFonts w:hint="eastAsia" w:ascii="黑体" w:hAnsi="黑体" w:eastAsia="黑体" w:cs="黑体"/>
          <w:b w:val="0"/>
          <w:bCs w:val="0"/>
          <w:color w:val="auto"/>
          <w:sz w:val="28"/>
          <w:szCs w:val="21"/>
          <w:highlight w:val="none"/>
          <w:lang w:val="en-US" w:eastAsia="zh-CN"/>
        </w:rPr>
        <w:t xml:space="preserve">28.入围通知书</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28.1入围结果确定后，</w:t>
      </w:r>
      <w:r>
        <w:rPr>
          <w:rFonts w:hint="eastAsia" w:ascii="宋体" w:hAnsi="宋体" w:cs="宋体"/>
          <w:color w:val="auto"/>
          <w:sz w:val="24"/>
          <w:highlight w:val="none"/>
          <w:lang w:val="en-US" w:eastAsia="zh-CN"/>
        </w:rPr>
        <w:t xml:space="preserve">征集人</w:t>
      </w:r>
      <w:r>
        <w:rPr>
          <w:rFonts w:hint="eastAsia" w:ascii="宋体" w:hAnsi="宋体" w:eastAsia="宋体" w:cs="宋体"/>
          <w:color w:val="auto"/>
          <w:sz w:val="24"/>
          <w:highlight w:val="none"/>
          <w:lang w:val="en-US" w:eastAsia="zh-CN"/>
        </w:rPr>
        <w:t xml:space="preserve">将向入围供应商发出入围通知书，请入围供应商使用CA数字证书登录</w:t>
      </w:r>
      <w:r>
        <w:rPr>
          <w:rFonts w:hint="eastAsia" w:ascii="宋体" w:hAnsi="宋体" w:cs="宋体"/>
          <w:color w:val="auto"/>
          <w:sz w:val="24"/>
          <w:highlight w:val="none"/>
          <w:lang w:val="en-US" w:eastAsia="zh-CN"/>
        </w:rPr>
        <w:t xml:space="preserve">“苏采云</w:t>
      </w:r>
      <w:r>
        <w:rPr>
          <w:rFonts w:hint="eastAsia" w:ascii="宋体" w:hAnsi="宋体" w:eastAsia="宋体" w:cs="宋体"/>
          <w:color w:val="auto"/>
          <w:sz w:val="24"/>
          <w:highlight w:val="none"/>
          <w:lang w:val="en-US" w:eastAsia="zh-CN"/>
        </w:rPr>
        <w:t xml:space="preserve">”系统及时下载入围通知书。因系统存储空间有限，自入围结果公告发布之日起30日后，</w:t>
      </w:r>
      <w:r>
        <w:rPr>
          <w:rFonts w:hint="eastAsia" w:ascii="宋体" w:hAnsi="宋体" w:cs="宋体"/>
          <w:color w:val="auto"/>
          <w:sz w:val="24"/>
          <w:highlight w:val="none"/>
          <w:lang w:val="en-US" w:eastAsia="zh-CN"/>
        </w:rPr>
        <w:t xml:space="preserve">“苏采云</w:t>
      </w:r>
      <w:r>
        <w:rPr>
          <w:rFonts w:hint="eastAsia" w:ascii="宋体" w:hAnsi="宋体" w:eastAsia="宋体" w:cs="宋体"/>
          <w:color w:val="auto"/>
          <w:sz w:val="24"/>
          <w:highlight w:val="none"/>
          <w:lang w:val="en-US" w:eastAsia="zh-CN"/>
        </w:rPr>
        <w:t xml:space="preserve">”系统不再保证提供下载入围通知书服务。入围供应商因未及时下载而造成的一切后果由其自负。</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28.2入围通知书将是框架协议的一个组成部分。对</w:t>
      </w:r>
      <w:r>
        <w:rPr>
          <w:rFonts w:hint="eastAsia" w:ascii="宋体" w:hAnsi="宋体" w:cs="宋体"/>
          <w:color w:val="auto"/>
          <w:sz w:val="24"/>
          <w:highlight w:val="none"/>
          <w:lang w:val="en-US" w:eastAsia="zh-CN"/>
        </w:rPr>
        <w:t xml:space="preserve">征集人</w:t>
      </w:r>
      <w:r>
        <w:rPr>
          <w:rFonts w:hint="eastAsia" w:ascii="宋体" w:hAnsi="宋体" w:eastAsia="宋体" w:cs="宋体"/>
          <w:color w:val="auto"/>
          <w:sz w:val="24"/>
          <w:highlight w:val="none"/>
          <w:lang w:val="en-US" w:eastAsia="zh-CN"/>
        </w:rPr>
        <w:t xml:space="preserve">和入围供应商均具有法律效力。入围通知书发出后，入围供应商无正当理由，不得主动放弃入围资格或者退出框架协议，否则应当依法承担法律责任。</w:t>
      </w:r>
      <w:r/>
    </w:p>
    <w:p>
      <w:pPr>
        <w:ind w:firstLine="480"/>
        <w:pageBreakBefore w:val="0"/>
        <w:spacing w:line="360" w:lineRule="auto"/>
        <w:rPr>
          <w:rFonts w:hint="eastAsia" w:ascii="黑体" w:hAnsi="黑体" w:eastAsia="黑体" w:cs="黑体"/>
          <w:b w:val="0"/>
          <w:bCs w:val="0"/>
          <w:color w:val="auto"/>
          <w:sz w:val="28"/>
          <w:szCs w:val="28"/>
          <w:highlight w:val="none"/>
          <w:lang w:val="en-US" w:eastAsia="zh-CN"/>
        </w:rPr>
      </w:pPr>
      <w:r/>
      <w:bookmarkStart w:id="157" w:name="_Toc16938558"/>
      <w:r/>
      <w:bookmarkStart w:id="158" w:name="_Toc513029242"/>
      <w:r/>
      <w:bookmarkStart w:id="159" w:name="_Toc20823314"/>
      <w:r/>
      <w:bookmarkStart w:id="160" w:name="_Toc479757207"/>
      <w:r/>
      <w:bookmarkStart w:id="161" w:name="_Toc120614221"/>
      <w:r/>
      <w:bookmarkStart w:id="162" w:name="_Toc128039580"/>
      <w:r>
        <w:rPr>
          <w:rFonts w:hint="eastAsia" w:ascii="黑体" w:hAnsi="黑体" w:eastAsia="黑体" w:cs="黑体"/>
          <w:b w:val="0"/>
          <w:bCs w:val="0"/>
          <w:color w:val="auto"/>
          <w:sz w:val="28"/>
          <w:szCs w:val="28"/>
          <w:highlight w:val="none"/>
          <w:lang w:val="en-US" w:eastAsia="zh-CN"/>
        </w:rPr>
        <w:t xml:space="preserve">七、签订框架协议</w:t>
      </w:r>
      <w:r/>
    </w:p>
    <w:p>
      <w:pPr>
        <w:ind w:firstLine="480"/>
        <w:pageBreakBefore w:val="0"/>
        <w:spacing w:line="360" w:lineRule="auto"/>
        <w:rPr>
          <w:rFonts w:hint="eastAsia" w:ascii="黑体" w:hAnsi="黑体" w:eastAsia="黑体" w:cs="黑体"/>
          <w:b w:val="0"/>
          <w:bCs w:val="0"/>
          <w:color w:val="auto"/>
          <w:sz w:val="28"/>
          <w:szCs w:val="28"/>
          <w:highlight w:val="none"/>
          <w:lang w:val="en-US" w:eastAsia="zh-CN"/>
        </w:rPr>
      </w:pPr>
      <w:r/>
      <w:bookmarkStart w:id="163" w:name="_Toc513029237"/>
      <w:r/>
      <w:bookmarkStart w:id="164" w:name="_Toc16938553"/>
      <w:r/>
      <w:bookmarkStart w:id="165" w:name="_Toc20823309"/>
      <w:r>
        <w:rPr>
          <w:rFonts w:hint="eastAsia" w:ascii="黑体" w:hAnsi="黑体" w:eastAsia="黑体" w:cs="黑体"/>
          <w:b w:val="0"/>
          <w:bCs w:val="0"/>
          <w:color w:val="auto"/>
          <w:sz w:val="28"/>
          <w:szCs w:val="28"/>
          <w:highlight w:val="none"/>
          <w:lang w:val="en-US" w:eastAsia="zh-CN"/>
        </w:rPr>
        <w:t xml:space="preserve">29.签订框架协议</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29.l 征集</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en-US" w:eastAsia="zh-CN"/>
        </w:rPr>
        <w:t xml:space="preserve">在入围通知书发出之日起30日内和入围供应商签订电子框架协议，入围供应商在接到</w:t>
      </w:r>
      <w:r>
        <w:rPr>
          <w:rFonts w:hint="eastAsia" w:ascii="宋体" w:hAnsi="宋体" w:cs="宋体"/>
          <w:color w:val="auto"/>
          <w:sz w:val="24"/>
          <w:highlight w:val="none"/>
          <w:lang w:val="en-US" w:eastAsia="zh-CN"/>
        </w:rPr>
        <w:t xml:space="preserve">征集人</w:t>
      </w:r>
      <w:r>
        <w:rPr>
          <w:rFonts w:hint="eastAsia" w:ascii="宋体" w:hAnsi="宋体" w:eastAsia="宋体" w:cs="宋体"/>
          <w:color w:val="auto"/>
          <w:sz w:val="24"/>
          <w:highlight w:val="none"/>
          <w:lang w:val="en-US" w:eastAsia="zh-CN"/>
        </w:rPr>
        <w:t xml:space="preserve">通知后需及时使用CA数字证书登录</w:t>
      </w:r>
      <w:r>
        <w:rPr>
          <w:rFonts w:hint="eastAsia" w:ascii="宋体" w:hAnsi="宋体" w:cs="宋体"/>
          <w:color w:val="auto"/>
          <w:sz w:val="24"/>
          <w:highlight w:val="none"/>
          <w:lang w:val="en-US" w:eastAsia="zh-CN"/>
        </w:rPr>
        <w:t xml:space="preserve">“苏采云</w:t>
      </w:r>
      <w:r>
        <w:rPr>
          <w:rFonts w:hint="eastAsia" w:ascii="宋体" w:hAnsi="宋体" w:eastAsia="宋体" w:cs="宋体"/>
          <w:color w:val="auto"/>
          <w:sz w:val="24"/>
          <w:highlight w:val="none"/>
          <w:lang w:val="en-US" w:eastAsia="zh-CN"/>
        </w:rPr>
        <w:t xml:space="preserve">”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29.2 征集文件、入围供应商的响应文件及评审过程中有关澄清、承诺文件均应作为框架协议的附件。</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29.3 签订框架协议后，</w:t>
      </w:r>
      <w:r>
        <w:rPr>
          <w:rFonts w:hint="eastAsia" w:ascii="宋体" w:hAnsi="宋体" w:cs="宋体"/>
          <w:i/>
          <w:iCs/>
          <w:color w:val="auto"/>
          <w:sz w:val="24"/>
          <w:highlight w:val="none"/>
          <w:u w:val="single"/>
          <w:lang w:val="en-US" w:eastAsia="zh-CN"/>
        </w:rPr>
        <w:t xml:space="preserve">入围供应商不得将相关服务进行转包</w:t>
      </w:r>
      <w:r>
        <w:rPr>
          <w:rFonts w:hint="eastAsia" w:ascii="宋体" w:hAnsi="宋体" w:cs="宋体"/>
          <w:color w:val="auto"/>
          <w:sz w:val="24"/>
          <w:highlight w:val="none"/>
          <w:lang w:val="en-US" w:eastAsia="zh-CN"/>
        </w:rPr>
        <w:t xml:space="preserve">。未经采购人同意，入围供应商也不得采用分包的形式履行合同，否则征集人有权终止框架协议，采购人有权终止采购合同。转包或分包造成征集人或采购人损失的，入围供应商及其授权</w:t>
      </w:r>
      <w:r>
        <w:rPr>
          <w:rFonts w:hint="eastAsia" w:ascii="宋体" w:hAnsi="宋体" w:eastAsia="宋体" w:cs="宋体"/>
          <w:color w:val="auto"/>
          <w:sz w:val="24"/>
          <w:highlight w:val="none"/>
          <w:lang w:val="en-US" w:eastAsia="zh-CN"/>
        </w:rPr>
        <w:t xml:space="preserve">分支机构应承担相应赔偿责任。</w:t>
      </w:r>
      <w:bookmarkEnd w:id="163"/>
      <w:r/>
      <w:bookmarkEnd w:id="164"/>
      <w:r/>
      <w:bookmarkEnd w:id="165"/>
      <w:r/>
      <w:r/>
    </w:p>
    <w:p>
      <w:pPr>
        <w:ind w:firstLine="480"/>
        <w:pageBreakBefore w:val="0"/>
        <w:spacing w:line="360" w:lineRule="auto"/>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八、其他</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30.</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征集人将建立用户反馈和评价机制，接受采购人对入围供应商履行框架协议和采购合同情况的反馈与评价，并将用户反馈和评价情况在</w:t>
      </w:r>
      <w:r>
        <w:rPr>
          <w:rFonts w:hint="eastAsia" w:ascii="宋体" w:hAnsi="宋体" w:cs="宋体"/>
          <w:color w:val="auto"/>
          <w:sz w:val="24"/>
          <w:highlight w:val="none"/>
          <w:lang w:val="en-US" w:eastAsia="zh-CN"/>
        </w:rPr>
        <w:t xml:space="preserve">“苏采云</w:t>
      </w:r>
      <w:r>
        <w:rPr>
          <w:rFonts w:hint="eastAsia" w:ascii="宋体" w:hAnsi="宋体" w:eastAsia="宋体" w:cs="宋体"/>
          <w:color w:val="auto"/>
          <w:sz w:val="24"/>
          <w:highlight w:val="none"/>
          <w:lang w:val="en-US" w:eastAsia="zh-CN"/>
        </w:rPr>
        <w:t xml:space="preserve">”系统中向采购人公开，作为第二阶段直接选定成交供应商的参考。</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30.2入围供应商可以委托一家或者授权分支机构，按照框架协议约定接受采购人合同授予，并履行采购合同。</w:t>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黑体" w:eastAsia="黑体"/>
          <w:bCs/>
          <w:color w:val="auto"/>
          <w:sz w:val="44"/>
          <w:highlight w:val="none"/>
        </w:rPr>
        <w:outlineLvl w:val="0"/>
      </w:pPr>
      <w:r/>
      <w:bookmarkStart w:id="166" w:name="_Toc20662"/>
      <w:r>
        <w:rPr>
          <w:rFonts w:ascii="黑体" w:eastAsia="黑体"/>
          <w:bCs/>
          <w:color w:val="auto"/>
          <w:sz w:val="44"/>
          <w:highlight w:val="none"/>
        </w:rPr>
        <w:t xml:space="preserve">第三章 </w:t>
      </w:r>
      <w:bookmarkEnd w:id="157"/>
      <w:r/>
      <w:bookmarkEnd w:id="158"/>
      <w:r/>
      <w:bookmarkEnd w:id="159"/>
      <w:r/>
      <w:bookmarkEnd w:id="160"/>
      <w:r/>
      <w:bookmarkEnd w:id="161"/>
      <w:r>
        <w:rPr>
          <w:rFonts w:ascii="黑体" w:eastAsia="黑体"/>
          <w:bCs/>
          <w:color w:val="auto"/>
          <w:sz w:val="44"/>
          <w:highlight w:val="none"/>
        </w:rPr>
        <w:t xml:space="preserve">框架协议文本</w:t>
      </w:r>
      <w:bookmarkEnd w:id="162"/>
      <w:r/>
      <w:bookmarkEnd w:id="166"/>
      <w:r/>
      <w:r/>
    </w:p>
    <w:p>
      <w:pPr>
        <w:pStyle w:val="976"/>
        <w:jc w:val="center"/>
        <w:pageBreakBefore w:val="0"/>
        <w:spacing w:line="360" w:lineRule="auto"/>
        <w:rPr>
          <w:rFonts w:hint="eastAsia" w:ascii="宋体" w:hAnsi="宋体" w:cs="宋体"/>
          <w:b/>
          <w:color w:val="auto"/>
          <w:sz w:val="24"/>
          <w:szCs w:val="24"/>
          <w:highlight w:val="none"/>
        </w:rPr>
      </w:pPr>
      <w:r/>
      <w:bookmarkStart w:id="167" w:name="_Toc119920256"/>
      <w:r/>
      <w:bookmarkStart w:id="168" w:name="_Toc16938559"/>
      <w:r/>
      <w:bookmarkStart w:id="169" w:name="_Toc20823315"/>
      <w:r/>
      <w:bookmarkStart w:id="170" w:name="_Toc513029243"/>
      <w:r>
        <w:rPr>
          <w:rFonts w:hint="eastAsia" w:ascii="宋体" w:hAnsi="宋体" w:cs="宋体"/>
          <w:b/>
          <w:color w:val="auto"/>
          <w:sz w:val="24"/>
          <w:szCs w:val="24"/>
          <w:highlight w:val="none"/>
        </w:rPr>
        <w:t xml:space="preserve">政府采购框架协议文本（服务）</w:t>
      </w:r>
      <w:r/>
    </w:p>
    <w:p>
      <w:pPr>
        <w:pStyle w:val="976"/>
        <w:jc w:val="center"/>
        <w:pageBreakBefore w:val="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（框架协议编号）</w:t>
      </w:r>
      <w:bookmarkEnd w:id="167"/>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项目名称：                                项目编号：</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甲方：（征集人）_________</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乙方：（入围供应商）_________</w:t>
      </w:r>
      <w:r/>
    </w:p>
    <w:p>
      <w:pPr>
        <w:pStyle w:val="967"/>
        <w:ind w:firstLine="480"/>
        <w:pageBreakBefore w:val="0"/>
        <w:spacing w:line="360" w:lineRule="auto"/>
        <w:rPr>
          <w:rFonts w:hAnsi="宋体" w:cs="宋体"/>
          <w:b/>
          <w:color w:val="auto"/>
          <w:sz w:val="24"/>
          <w:szCs w:val="24"/>
          <w:highlight w:val="none"/>
        </w:rPr>
      </w:pPr>
      <w:r>
        <w:rPr>
          <w:rFonts w:hint="eastAsia" w:hAnsi="宋体" w:cs="宋体"/>
          <w:color w:val="auto"/>
          <w:sz w:val="24"/>
          <w:szCs w:val="24"/>
          <w:highlight w:val="none"/>
        </w:rPr>
        <w:t xml:space="preserve">甲、乙双方根据</w:t>
      </w:r>
      <w:r>
        <w:rPr>
          <w:rFonts w:hint="eastAsia" w:hAnsi="宋体" w:cs="宋体"/>
          <w:color w:val="auto"/>
          <w:sz w:val="24"/>
          <w:highlight w:val="none"/>
          <w:lang w:val="en-US" w:eastAsia="zh-CN"/>
        </w:rPr>
        <w:t xml:space="preserve">2026-2027年度泰州市区储备、上市地块地质灾害危险性评估框架协议征集服务</w:t>
      </w:r>
      <w:r>
        <w:rPr>
          <w:rFonts w:hint="eastAsia" w:hAnsi="宋体" w:cs="宋体"/>
          <w:color w:val="auto"/>
          <w:sz w:val="24"/>
          <w:szCs w:val="24"/>
          <w:highlight w:val="none"/>
        </w:rPr>
        <w:t xml:space="preserve">采购的结果，签署本文本。</w:t>
      </w:r>
      <w:r/>
    </w:p>
    <w:p>
      <w:pPr>
        <w:pStyle w:val="967"/>
        <w:ind w:firstLine="482"/>
        <w:pageBreakBefore w:val="0"/>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一、项目基本情况</w:t>
      </w:r>
      <w:r/>
    </w:p>
    <w:p>
      <w:pPr>
        <w:pStyle w:val="967"/>
        <w:ind w:firstLine="480"/>
        <w:pageBreakBefore w:val="0"/>
        <w:spacing w:line="360" w:lineRule="auto"/>
        <w:rPr>
          <w:rFonts w:hAnsi="宋体" w:cs="宋体"/>
          <w:color w:val="auto"/>
          <w:sz w:val="24"/>
          <w:szCs w:val="24"/>
          <w:highlight w:val="none"/>
          <w:u w:val="single"/>
        </w:rPr>
      </w:pPr>
      <w:r>
        <w:rPr>
          <w:rFonts w:hint="eastAsia" w:hAnsi="宋体" w:cs="宋体"/>
          <w:color w:val="auto"/>
          <w:sz w:val="24"/>
          <w:szCs w:val="24"/>
          <w:highlight w:val="none"/>
        </w:rPr>
        <w:t xml:space="preserve">1.1 采购需求：</w:t>
      </w:r>
      <w:r>
        <w:rPr>
          <w:rFonts w:hint="eastAsia" w:hAnsi="宋体" w:cs="宋体"/>
          <w:color w:val="auto"/>
          <w:sz w:val="24"/>
          <w:szCs w:val="24"/>
          <w:highlight w:val="none"/>
          <w:u w:val="single"/>
        </w:rPr>
        <w:t xml:space="preserve">见征集文件需求</w:t>
      </w:r>
      <w:r/>
    </w:p>
    <w:p>
      <w:pPr>
        <w:pStyle w:val="967"/>
        <w:ind w:firstLine="480"/>
        <w:pageBreakBefore w:val="0"/>
        <w:spacing w:line="360" w:lineRule="auto"/>
        <w:rPr>
          <w:rFonts w:hAnsi="宋体" w:cs="宋体"/>
          <w:color w:val="auto"/>
          <w:sz w:val="24"/>
          <w:szCs w:val="24"/>
          <w:highlight w:val="none"/>
          <w:u w:val="single"/>
        </w:rPr>
      </w:pPr>
      <w:r>
        <w:rPr>
          <w:rFonts w:hint="eastAsia" w:hAnsi="宋体" w:cs="宋体"/>
          <w:color w:val="auto"/>
          <w:sz w:val="24"/>
          <w:szCs w:val="24"/>
          <w:highlight w:val="none"/>
        </w:rPr>
        <w:t xml:space="preserve">1.2 产品</w:t>
      </w:r>
      <w:r>
        <w:rPr>
          <w:rFonts w:hint="eastAsia" w:hAnsi="宋体" w:cs="宋体"/>
          <w:color w:val="auto"/>
          <w:sz w:val="24"/>
          <w:szCs w:val="24"/>
          <w:highlight w:val="none"/>
          <w:lang w:eastAsia="zh-CN"/>
        </w:rPr>
        <w:t xml:space="preserve">最高限价单价</w:t>
      </w:r>
      <w:r>
        <w:rPr>
          <w:rFonts w:hint="eastAsia" w:hAnsi="宋体" w:cs="宋体"/>
          <w:color w:val="auto"/>
          <w:sz w:val="24"/>
          <w:szCs w:val="24"/>
          <w:highlight w:val="none"/>
        </w:rPr>
        <w:t xml:space="preserve">：</w:t>
      </w:r>
      <w:r>
        <w:rPr>
          <w:rFonts w:hint="eastAsia" w:hAnsi="宋体" w:cs="宋体"/>
          <w:color w:val="auto"/>
          <w:sz w:val="24"/>
          <w:szCs w:val="24"/>
          <w:highlight w:val="none"/>
          <w:u w:val="single"/>
        </w:rPr>
        <w:t xml:space="preserve">见征集文件</w:t>
      </w:r>
      <w:r/>
    </w:p>
    <w:p>
      <w:pPr>
        <w:pStyle w:val="967"/>
        <w:ind w:firstLine="480"/>
        <w:pageBreakBefore w:val="0"/>
        <w:spacing w:line="360" w:lineRule="auto"/>
        <w:rPr>
          <w:rFonts w:hint="eastAsia" w:hAnsi="宋体" w:eastAsia="宋体" w:cs="宋体"/>
          <w:color w:val="auto"/>
          <w:sz w:val="24"/>
          <w:szCs w:val="24"/>
          <w:highlight w:val="none"/>
          <w:u w:val="single"/>
          <w:lang w:eastAsia="zh-CN"/>
        </w:rPr>
      </w:pPr>
      <w:r>
        <w:rPr>
          <w:rFonts w:hint="eastAsia" w:hAnsi="宋体" w:cs="宋体"/>
          <w:color w:val="auto"/>
          <w:sz w:val="24"/>
          <w:szCs w:val="24"/>
          <w:highlight w:val="none"/>
        </w:rPr>
        <w:t xml:space="preserve">1.3适用本次框架协议的采购人：</w:t>
      </w:r>
      <w:r>
        <w:rPr>
          <w:rFonts w:hint="eastAsia" w:hAnsi="宋体" w:cs="宋体"/>
          <w:color w:val="auto"/>
          <w:sz w:val="24"/>
          <w:szCs w:val="24"/>
          <w:highlight w:val="none"/>
          <w:lang w:eastAsia="zh-CN"/>
        </w:rPr>
        <w:t xml:space="preserve">泰州市自然资源和规划局</w:t>
      </w:r>
      <w:r>
        <w:rPr>
          <w:rFonts w:hint="eastAsia" w:hAnsi="宋体" w:cs="宋体"/>
          <w:color w:val="auto"/>
          <w:sz w:val="24"/>
          <w:szCs w:val="24"/>
          <w:highlight w:val="none"/>
          <w:u w:val="none"/>
          <w:lang w:eastAsia="zh-CN"/>
        </w:rPr>
        <w:t xml:space="preserve">。</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1.4 履行合同的地域范围：</w:t>
      </w:r>
      <w:r>
        <w:rPr>
          <w:rFonts w:hint="eastAsia" w:hAnsi="宋体" w:cs="宋体"/>
          <w:color w:val="auto"/>
          <w:sz w:val="24"/>
          <w:szCs w:val="24"/>
          <w:highlight w:val="none"/>
          <w:u w:val="single"/>
        </w:rPr>
        <w:t xml:space="preserve">由使用单位指定</w:t>
      </w:r>
      <w:r/>
    </w:p>
    <w:p>
      <w:pPr>
        <w:pStyle w:val="967"/>
        <w:ind w:firstLine="482"/>
        <w:pageBreakBefore w:val="0"/>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二、第一阶段入围产品的相关信息</w:t>
      </w:r>
      <w:r/>
    </w:p>
    <w:p>
      <w:pPr>
        <w:pStyle w:val="967"/>
        <w:ind w:firstLine="480"/>
        <w:pageBreakBefore w:val="0"/>
        <w:spacing w:line="360" w:lineRule="auto"/>
        <w:rPr>
          <w:rFonts w:hAnsi="宋体" w:cs="宋体"/>
          <w:color w:val="auto"/>
          <w:sz w:val="24"/>
          <w:szCs w:val="24"/>
          <w:highlight w:val="none"/>
          <w:u w:val="single"/>
        </w:rPr>
      </w:pPr>
      <w:r>
        <w:rPr>
          <w:rFonts w:hint="eastAsia" w:hAnsi="宋体" w:cs="宋体"/>
          <w:color w:val="auto"/>
          <w:sz w:val="24"/>
          <w:szCs w:val="24"/>
          <w:highlight w:val="none"/>
        </w:rPr>
        <w:t xml:space="preserve">2.1 入围产品详细技术规格：</w:t>
      </w:r>
      <w:r>
        <w:rPr>
          <w:rFonts w:hint="eastAsia" w:hAnsi="宋体" w:cs="宋体"/>
          <w:color w:val="auto"/>
          <w:sz w:val="24"/>
          <w:szCs w:val="24"/>
          <w:highlight w:val="none"/>
          <w:u w:val="single"/>
        </w:rPr>
        <w:t xml:space="preserve">见响应文件</w:t>
      </w:r>
      <w:r/>
    </w:p>
    <w:p>
      <w:pPr>
        <w:pStyle w:val="967"/>
        <w:ind w:firstLine="480"/>
        <w:pageBreakBefore w:val="0"/>
        <w:spacing w:line="360" w:lineRule="auto"/>
        <w:rPr>
          <w:rFonts w:hAnsi="宋体" w:cs="宋体"/>
          <w:color w:val="auto"/>
          <w:sz w:val="24"/>
          <w:szCs w:val="24"/>
          <w:highlight w:val="none"/>
          <w:u w:val="single"/>
        </w:rPr>
      </w:pPr>
      <w:r>
        <w:rPr>
          <w:rFonts w:hint="eastAsia" w:hAnsi="宋体" w:cs="宋体"/>
          <w:color w:val="auto"/>
          <w:sz w:val="24"/>
          <w:szCs w:val="24"/>
          <w:highlight w:val="none"/>
        </w:rPr>
        <w:t xml:space="preserve">2.2 服务标准：</w:t>
      </w:r>
      <w:r>
        <w:rPr>
          <w:rFonts w:hint="eastAsia" w:hAnsi="宋体" w:cs="宋体"/>
          <w:color w:val="auto"/>
          <w:sz w:val="24"/>
          <w:szCs w:val="24"/>
          <w:highlight w:val="none"/>
          <w:u w:val="single"/>
        </w:rPr>
        <w:t xml:space="preserve">见响应文件</w:t>
      </w:r>
      <w:r/>
    </w:p>
    <w:p>
      <w:pPr>
        <w:pStyle w:val="967"/>
        <w:ind w:firstLine="480"/>
        <w:pageBreakBefore w:val="0"/>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rPr>
        <w:t xml:space="preserve">2.3 服务协议价格：</w:t>
      </w:r>
      <w:r>
        <w:rPr>
          <w:rFonts w:hint="eastAsia" w:hAnsi="宋体" w:cs="宋体"/>
          <w:color w:val="auto"/>
          <w:sz w:val="24"/>
          <w:szCs w:val="24"/>
          <w:highlight w:val="none"/>
          <w:u w:val="single"/>
        </w:rPr>
        <w:t xml:space="preserve">固定</w:t>
      </w:r>
      <w:r>
        <w:rPr>
          <w:rFonts w:hint="eastAsia" w:hAnsi="宋体" w:cs="宋体"/>
          <w:color w:val="auto"/>
          <w:sz w:val="24"/>
          <w:szCs w:val="24"/>
          <w:highlight w:val="none"/>
          <w:u w:val="single"/>
          <w:lang w:val="en-US" w:eastAsia="zh-CN"/>
        </w:rPr>
        <w:t xml:space="preserve">优惠率</w:t>
      </w:r>
      <w:r/>
    </w:p>
    <w:p>
      <w:pPr>
        <w:pStyle w:val="967"/>
        <w:ind w:firstLine="482"/>
        <w:pageBreakBefore w:val="0"/>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三、确定第二阶段成交供应商的方式</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lang w:eastAsia="zh-CN"/>
        </w:rPr>
        <w:t xml:space="preserve">征集人</w:t>
      </w:r>
      <w:r>
        <w:rPr>
          <w:rFonts w:hint="eastAsia" w:hAnsi="宋体" w:cs="宋体"/>
          <w:color w:val="auto"/>
          <w:sz w:val="24"/>
          <w:szCs w:val="24"/>
          <w:highlight w:val="none"/>
        </w:rPr>
        <w:t xml:space="preserve">从第一阶段入围供应商中采取</w:t>
      </w:r>
      <w:r>
        <w:rPr>
          <w:rFonts w:hint="eastAsia" w:hAnsi="宋体" w:cs="宋体"/>
          <w:color w:val="auto"/>
          <w:sz w:val="24"/>
          <w:szCs w:val="24"/>
          <w:highlight w:val="none"/>
          <w:lang w:val="en-US" w:eastAsia="zh-CN"/>
        </w:rPr>
        <w:t xml:space="preserve">直接选定</w:t>
      </w:r>
      <w:r>
        <w:rPr>
          <w:rFonts w:hint="eastAsia" w:hAnsi="宋体" w:cs="宋体"/>
          <w:color w:val="auto"/>
          <w:sz w:val="24"/>
          <w:szCs w:val="24"/>
          <w:highlight w:val="none"/>
        </w:rPr>
        <w:t xml:space="preserve">的方式确定服务单位。</w:t>
      </w:r>
      <w:r/>
    </w:p>
    <w:p>
      <w:pPr>
        <w:pStyle w:val="967"/>
        <w:ind w:firstLine="482"/>
        <w:pageBreakBefore w:val="0"/>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四、资金支付方式、时间和条件</w:t>
      </w:r>
      <w:r/>
    </w:p>
    <w:p>
      <w:pPr>
        <w:ind w:firstLine="42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付费标准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22"/>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2.</w:t>
      </w:r>
      <w:r>
        <w:rPr>
          <w:rFonts w:hint="eastAsia" w:ascii="宋体" w:hAnsi="宋体" w:cs="宋体"/>
          <w:b/>
          <w:color w:val="auto"/>
          <w:sz w:val="24"/>
          <w:szCs w:val="24"/>
          <w:highlight w:val="none"/>
        </w:rPr>
        <w:t xml:space="preserve">付费方式：</w:t>
      </w:r>
      <w:r>
        <w:rPr>
          <w:rFonts w:hint="eastAsia" w:ascii="宋体" w:hAnsi="宋体" w:cs="宋体"/>
          <w:b w:val="0"/>
          <w:bCs/>
          <w:color w:val="auto"/>
          <w:sz w:val="24"/>
          <w:szCs w:val="24"/>
          <w:highlight w:val="none"/>
          <w:lang w:eastAsia="zh-CN"/>
        </w:rPr>
        <w:t xml:space="preserve">按储备、上市地块分宗结算，中标人接受委托评估并签订《XX地块地质灾害危险性评估委托书》后，并在5个工作日内将经专家评审通过的《XX地块地质灾害危险性评估报告》提交至泰州市土地储备和不动产登记中心后，对应地块完成上市流程，之后按实际调查面积和约定</w:t>
      </w:r>
      <w:r>
        <w:rPr>
          <w:rFonts w:hint="eastAsia" w:ascii="宋体" w:hAnsi="宋体" w:cs="宋体"/>
          <w:b w:val="0"/>
          <w:bCs/>
          <w:color w:val="auto"/>
          <w:sz w:val="24"/>
          <w:szCs w:val="24"/>
          <w:highlight w:val="none"/>
          <w:lang w:val="en-US" w:eastAsia="zh-CN"/>
        </w:rPr>
        <w:t xml:space="preserve">优惠率</w:t>
      </w:r>
      <w:r>
        <w:rPr>
          <w:rFonts w:hint="eastAsia" w:ascii="宋体" w:hAnsi="宋体" w:cs="宋体"/>
          <w:b w:val="0"/>
          <w:bCs/>
          <w:color w:val="auto"/>
          <w:sz w:val="24"/>
          <w:szCs w:val="24"/>
          <w:highlight w:val="none"/>
          <w:lang w:eastAsia="zh-CN"/>
        </w:rPr>
        <w:t xml:space="preserve">进行费用结算</w:t>
      </w:r>
      <w:r/>
    </w:p>
    <w:p>
      <w:pPr>
        <w:pStyle w:val="967"/>
        <w:ind w:firstLine="482"/>
        <w:pageBreakBefore w:val="0"/>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五、框架协议期限</w:t>
      </w:r>
      <w:r/>
    </w:p>
    <w:p>
      <w:pPr>
        <w:pStyle w:val="967"/>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自合同签订之日起至2027年</w:t>
      </w:r>
      <w:r>
        <w:rPr>
          <w:rFonts w:hint="eastAsia" w:hAnsi="宋体" w:cs="宋体"/>
          <w:color w:val="auto"/>
          <w:sz w:val="24"/>
          <w:highlight w:val="none"/>
          <w:lang w:val="en-US" w:eastAsia="zh-CN"/>
        </w:rPr>
        <w:t xml:space="preserve">12</w:t>
      </w:r>
      <w:r>
        <w:rPr>
          <w:rFonts w:hint="eastAsia" w:ascii="宋体" w:hAnsi="宋体" w:cs="宋体"/>
          <w:color w:val="auto"/>
          <w:sz w:val="24"/>
          <w:highlight w:val="none"/>
          <w:lang w:val="en-US" w:eastAsia="zh-CN"/>
        </w:rPr>
        <w:t xml:space="preserve">月</w:t>
      </w:r>
      <w:r>
        <w:rPr>
          <w:rFonts w:hint="eastAsia" w:hAnsi="宋体" w:cs="宋体"/>
          <w:color w:val="auto"/>
          <w:sz w:val="24"/>
          <w:highlight w:val="none"/>
          <w:lang w:val="en-US" w:eastAsia="zh-CN"/>
        </w:rPr>
        <w:t xml:space="preserve">31</w:t>
      </w:r>
      <w:r>
        <w:rPr>
          <w:rFonts w:hint="eastAsia" w:ascii="宋体" w:hAnsi="宋体" w:cs="宋体"/>
          <w:color w:val="auto"/>
          <w:sz w:val="24"/>
          <w:highlight w:val="none"/>
          <w:lang w:val="en-US" w:eastAsia="zh-CN"/>
        </w:rPr>
        <w:t xml:space="preserve">日止</w:t>
      </w:r>
      <w:r>
        <w:rPr>
          <w:rFonts w:hint="eastAsia" w:hAnsi="宋体" w:cs="宋体"/>
          <w:color w:val="auto"/>
          <w:sz w:val="24"/>
          <w:szCs w:val="24"/>
          <w:highlight w:val="none"/>
          <w:lang w:eastAsia="zh-CN"/>
        </w:rPr>
        <w:t xml:space="preserve">。</w:t>
      </w:r>
      <w:r/>
    </w:p>
    <w:p>
      <w:pPr>
        <w:pStyle w:val="967"/>
        <w:ind w:firstLine="482"/>
        <w:pageBreakBefore w:val="0"/>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六、入围供应商的清退和补充规则</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6.</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清退规则 入围供应商存在《政府采购框架协议采购方式管理暂行办法》第十九条规定情形的，尚未签订框架协议的，取消其入围资格；已经签订框架协议的，解除与其签订的框架协议。</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6.2补充规则 如出现剩余入围供应商不足入围供应商总数70%且影响框架协议执行的情形时，征集人报监管部门同意后，将进行补充征集供应商。补充征集的条件、程序、评审方法和淘汰比例与初次征集相同。补充征集遵守原框架协议的有效期。补充征集期间，原框架协议继续履行。</w:t>
      </w:r>
      <w:r/>
    </w:p>
    <w:p>
      <w:pPr>
        <w:pStyle w:val="967"/>
        <w:ind w:firstLine="482"/>
        <w:pageBreakBefore w:val="0"/>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七、采购合同文本</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见“框架协议文本附件1”（乙方在</w:t>
      </w:r>
      <w:r>
        <w:rPr>
          <w:rFonts w:hint="eastAsia" w:hAnsi="宋体" w:cs="宋体"/>
          <w:color w:val="auto"/>
          <w:sz w:val="24"/>
          <w:szCs w:val="24"/>
          <w:highlight w:val="none"/>
          <w:lang w:eastAsia="zh-CN"/>
        </w:rPr>
        <w:t xml:space="preserve">“苏采云</w:t>
      </w:r>
      <w:r>
        <w:rPr>
          <w:rFonts w:hint="eastAsia" w:hAnsi="宋体" w:cs="宋体"/>
          <w:color w:val="auto"/>
          <w:sz w:val="24"/>
          <w:szCs w:val="24"/>
          <w:highlight w:val="none"/>
        </w:rPr>
        <w:t xml:space="preserve">”系统中与采购人签订电子采购合同）</w:t>
      </w:r>
      <w:r/>
    </w:p>
    <w:p>
      <w:pPr>
        <w:pStyle w:val="967"/>
        <w:ind w:firstLine="482"/>
        <w:pageBreakBefore w:val="0"/>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八、甲乙双方的权利和义务</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8.1甲方的权利</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（1）确定框架协议采购需求。</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（2）确定</w:t>
      </w:r>
      <w:r>
        <w:rPr>
          <w:rFonts w:hint="eastAsia" w:hAnsi="宋体" w:cs="宋体"/>
          <w:color w:val="auto"/>
          <w:sz w:val="24"/>
          <w:szCs w:val="24"/>
          <w:highlight w:val="none"/>
          <w:lang w:eastAsia="zh-CN"/>
        </w:rPr>
        <w:t xml:space="preserve">最高限价单价</w:t>
      </w:r>
      <w:r>
        <w:rPr>
          <w:rFonts w:hint="eastAsia" w:hAnsi="宋体" w:cs="宋体"/>
          <w:color w:val="auto"/>
          <w:sz w:val="24"/>
          <w:szCs w:val="24"/>
          <w:highlight w:val="none"/>
        </w:rPr>
        <w:t xml:space="preserve">。</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（3）确定框架协议有效期。</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（4）制定统一的采购合同文本供采购人、供应商使用，并明确要求采购人、供应商不得擅自改变框架协议约定的合同实质性条款。</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（5）乙方存在《政府采购框架协议采购方式管理暂行办法》第十九条第一款规定的情形时，取消入围供应商的入围资格，或解除与其签订的框架协议。</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（6）在框架协议期内，随时对乙方及其委托的授权分支机构履约情况进行检查。 </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8.2甲方的义务</w:t>
      </w:r>
      <w:r/>
    </w:p>
    <w:p>
      <w:pPr>
        <w:pStyle w:val="977"/>
        <w:ind w:firstLine="480"/>
        <w:pageBreakBefore w:val="0"/>
        <w:spacing w:before="0" w:beforeAutospacing="0" w:after="0" w:afterAutospacing="0" w:line="360" w:lineRule="auto"/>
        <w:shd w:val="clear" w:color="auto" w:fill="ffffff"/>
        <w:rPr>
          <w:rFonts w:cs="宋体"/>
          <w:color w:val="auto"/>
          <w:highlight w:val="none"/>
        </w:rPr>
      </w:pPr>
      <w:r>
        <w:rPr>
          <w:rFonts w:hint="eastAsia" w:cs="宋体"/>
          <w:color w:val="auto"/>
          <w:highlight w:val="none"/>
        </w:rPr>
        <w:t xml:space="preserve">（1）为第二阶段合同授予提供工作便利。 </w:t>
      </w:r>
      <w:r/>
    </w:p>
    <w:p>
      <w:pPr>
        <w:pStyle w:val="977"/>
        <w:ind w:firstLine="480"/>
        <w:pageBreakBefore w:val="0"/>
        <w:spacing w:before="0" w:beforeAutospacing="0" w:after="0" w:afterAutospacing="0" w:line="360" w:lineRule="auto"/>
        <w:shd w:val="clear" w:color="auto" w:fill="ffffff"/>
        <w:rPr>
          <w:rFonts w:cs="宋体"/>
          <w:color w:val="auto"/>
          <w:highlight w:val="none"/>
        </w:rPr>
      </w:pPr>
      <w:r>
        <w:rPr>
          <w:rFonts w:hint="eastAsia" w:cs="宋体"/>
          <w:color w:val="auto"/>
          <w:highlight w:val="none"/>
        </w:rPr>
        <w:t xml:space="preserve">（2）对第二阶段最高限价和需求标准执行情况进行管理。</w:t>
      </w:r>
      <w:r/>
    </w:p>
    <w:p>
      <w:pPr>
        <w:pStyle w:val="977"/>
        <w:ind w:firstLine="480"/>
        <w:pageBreakBefore w:val="0"/>
        <w:spacing w:before="0" w:beforeAutospacing="0" w:after="0" w:afterAutospacing="0" w:line="360" w:lineRule="auto"/>
        <w:shd w:val="clear" w:color="auto" w:fill="ffffff"/>
        <w:rPr>
          <w:rFonts w:cs="宋体"/>
          <w:color w:val="auto"/>
          <w:highlight w:val="none"/>
        </w:rPr>
      </w:pPr>
      <w:r>
        <w:rPr>
          <w:rFonts w:hint="eastAsia" w:cs="宋体"/>
          <w:color w:val="auto"/>
          <w:highlight w:val="none"/>
        </w:rPr>
        <w:t xml:space="preserve">（3）对第二阶段确定成交供应商情况进行管理。 </w:t>
      </w:r>
      <w:r/>
    </w:p>
    <w:p>
      <w:pPr>
        <w:pStyle w:val="977"/>
        <w:ind w:firstLine="480"/>
        <w:pageBreakBefore w:val="0"/>
        <w:spacing w:before="0" w:beforeAutospacing="0" w:after="0" w:afterAutospacing="0" w:line="360" w:lineRule="auto"/>
        <w:shd w:val="clear" w:color="auto" w:fill="ffffff"/>
        <w:rPr>
          <w:rFonts w:cs="宋体"/>
          <w:color w:val="auto"/>
          <w:highlight w:val="none"/>
        </w:rPr>
      </w:pPr>
      <w:r>
        <w:rPr>
          <w:rFonts w:hint="eastAsia" w:cs="宋体"/>
          <w:color w:val="auto"/>
          <w:highlight w:val="none"/>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pStyle w:val="977"/>
        <w:ind w:firstLine="480"/>
        <w:pageBreakBefore w:val="0"/>
        <w:spacing w:before="0" w:beforeAutospacing="0" w:after="0" w:afterAutospacing="0" w:line="360" w:lineRule="auto"/>
        <w:shd w:val="clear" w:color="auto" w:fill="ffffff"/>
        <w:rPr>
          <w:rFonts w:cs="宋体"/>
          <w:color w:val="auto"/>
          <w:highlight w:val="none"/>
        </w:rPr>
      </w:pPr>
      <w:r>
        <w:rPr>
          <w:rFonts w:hint="eastAsia" w:cs="宋体"/>
          <w:color w:val="auto"/>
          <w:highlight w:val="none"/>
        </w:rPr>
        <w:t xml:space="preserve">（5）公开封闭式框架协议的第二阶段成交结果。 </w:t>
      </w:r>
      <w:r/>
    </w:p>
    <w:p>
      <w:pPr>
        <w:pStyle w:val="977"/>
        <w:ind w:firstLine="480"/>
        <w:pageBreakBefore w:val="0"/>
        <w:spacing w:before="0" w:beforeAutospacing="0" w:after="0" w:afterAutospacing="0" w:line="360" w:lineRule="auto"/>
        <w:shd w:val="clear" w:color="auto" w:fill="ffffff"/>
        <w:rPr>
          <w:rFonts w:cs="宋体"/>
          <w:color w:val="auto"/>
          <w:highlight w:val="none"/>
        </w:rPr>
      </w:pPr>
      <w:r>
        <w:rPr>
          <w:rFonts w:hint="eastAsia" w:cs="宋体"/>
          <w:color w:val="auto"/>
          <w:highlight w:val="none"/>
        </w:rPr>
        <w:t xml:space="preserve">（6）办理入围供应商清退和补充相关事宜。</w:t>
      </w:r>
      <w:r/>
    </w:p>
    <w:p>
      <w:pPr>
        <w:pStyle w:val="977"/>
        <w:ind w:firstLine="480"/>
        <w:pageBreakBefore w:val="0"/>
        <w:spacing w:before="0" w:beforeAutospacing="0" w:after="0" w:afterAutospacing="0" w:line="360" w:lineRule="auto"/>
        <w:shd w:val="clear" w:color="auto" w:fill="ffffff"/>
        <w:rPr>
          <w:rFonts w:cs="宋体"/>
          <w:color w:val="auto"/>
          <w:highlight w:val="none"/>
        </w:rPr>
      </w:pPr>
      <w:r>
        <w:rPr>
          <w:rFonts w:hint="eastAsia" w:cs="宋体"/>
          <w:color w:val="auto"/>
          <w:highlight w:val="none"/>
        </w:rPr>
        <w:t xml:space="preserve">（7）建立真实完整的框架协议采购档案，妥善保存每项采购活动的采购文件资料。</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8.3乙方的权利</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（1）乙方（及其委托的授权分支机构，以下统称乙方）具有为采购人提供相关服务的资格。</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（2）乙方有权拒绝采购人提出的以本次框架协议采购名义购买非入围货物、服务、配件或满足采购人超出响应承诺以外的其他要求。 </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（3）对采购人在购买入围服务过程中的不正当要求和违规行为进行投诉，并要求有关部门做出处理。 </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（4）有权拒绝任何个人以采购人名义按照协议价格购买入围服务和进行现金交易。</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8.4乙方的义务</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（1）严格执行国家法律法规，严格按照响应文件承诺的价格和服务履约，遵守本合同条款。 </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（2）乙方如授权分支机构代其接受采购人合同授予并履行采购合同，在签订框架协议时需提供授权分支机构名单，作为框架协议的附件。</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（3）随时接受并配合甲方的监督检查，并配合财政部门对采购人和其他入围供应商对框架协议执行情况进行监督，发现违规违约情形的，及时向财政部门报告。 </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（4）在框架协议有效期内，按照不高于协议价格的价格，向采购人提供相关服务。 </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（5）乙方及其委托的聘用专家对本项目承担连带责任，乙方委托的聘用专家必须履行乙方在响应文件中承诺的责任和义务。</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（6）乙方要积极配合甲方及采购人的管理并符合管理要求。</w:t>
      </w:r>
      <w:r/>
    </w:p>
    <w:p>
      <w:pPr>
        <w:pStyle w:val="976"/>
        <w:ind w:firstLine="482"/>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九、税费</w:t>
      </w:r>
      <w:r/>
    </w:p>
    <w:p>
      <w:pPr>
        <w:pStyle w:val="976"/>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本框架协议执行中相关的一切税费均由乙方负担。</w:t>
      </w:r>
      <w:r/>
    </w:p>
    <w:p>
      <w:pPr>
        <w:pStyle w:val="967"/>
        <w:ind w:firstLine="482"/>
        <w:pageBreakBefore w:val="0"/>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十、框架协议文本的生效及</w:t>
      </w:r>
      <w:r>
        <w:rPr>
          <w:rFonts w:hint="eastAsia" w:hAnsi="宋体" w:cs="宋体"/>
          <w:b/>
          <w:color w:val="auto"/>
          <w:sz w:val="24"/>
          <w:szCs w:val="24"/>
          <w:highlight w:val="none"/>
          <w:lang w:val="en-US" w:eastAsia="zh-CN"/>
        </w:rPr>
        <w:t xml:space="preserve">其他</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10.1本框架协议文本经甲乙双方法定代表人或授权委托代表人签字并加盖单位公章后生效。</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10.</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本框架协议文本未尽事宜，遵照《</w:t>
      </w:r>
      <w:r>
        <w:rPr>
          <w:rFonts w:hint="eastAsia" w:hAnsi="宋体" w:cs="宋体"/>
          <w:color w:val="auto"/>
          <w:sz w:val="24"/>
          <w:szCs w:val="24"/>
          <w:highlight w:val="none"/>
          <w:lang w:eastAsia="zh-CN"/>
        </w:rPr>
        <w:t xml:space="preserve">中华人民共和国民法典》《</w:t>
      </w:r>
      <w:r>
        <w:rPr>
          <w:rFonts w:hint="eastAsia" w:hAnsi="宋体"/>
          <w:color w:val="auto"/>
          <w:sz w:val="24"/>
          <w:szCs w:val="24"/>
          <w:highlight w:val="none"/>
          <w:lang w:eastAsia="zh-CN"/>
        </w:rPr>
        <w:t xml:space="preserve">中华人民共和国政府采购法》等</w:t>
      </w:r>
      <w:r>
        <w:rPr>
          <w:rFonts w:hint="eastAsia" w:hAnsi="宋体" w:cs="宋体"/>
          <w:color w:val="auto"/>
          <w:sz w:val="24"/>
          <w:szCs w:val="24"/>
          <w:highlight w:val="none"/>
        </w:rPr>
        <w:t xml:space="preserve">有关条文执行。</w:t>
      </w:r>
      <w:r/>
    </w:p>
    <w:p>
      <w:pPr>
        <w:pStyle w:val="967"/>
        <w:ind w:firstLine="48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10.3本框架协议文本正本一式两份，具有同等法律效力，甲方、乙方各执一份。</w:t>
      </w:r>
      <w:r/>
    </w:p>
    <w:p>
      <w:pPr>
        <w:pStyle w:val="967"/>
        <w:ind w:left="450" w:hanging="24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甲方：                                        乙方： </w:t>
      </w:r>
      <w:r/>
    </w:p>
    <w:p>
      <w:pPr>
        <w:pStyle w:val="967"/>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  地址：                                        地址： </w:t>
      </w:r>
      <w:r/>
    </w:p>
    <w:p>
      <w:pPr>
        <w:pStyle w:val="967"/>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  法定代表人或授权代表：                        法定代表人或授权代表：</w:t>
      </w:r>
      <w:r/>
    </w:p>
    <w:p>
      <w:pPr>
        <w:pStyle w:val="967"/>
        <w:ind w:firstLine="240"/>
        <w:pageBreakBefore w:val="0"/>
        <w:spacing w:line="360" w:lineRule="auto"/>
        <w:rPr>
          <w:rFonts w:hAnsi="宋体" w:cs="宋体"/>
          <w:color w:val="auto"/>
          <w:sz w:val="24"/>
          <w:szCs w:val="24"/>
          <w:highlight w:val="none"/>
        </w:rPr>
      </w:pPr>
      <w:r>
        <w:rPr>
          <w:rFonts w:hint="eastAsia" w:hAnsi="宋体" w:cs="宋体"/>
          <w:color w:val="auto"/>
          <w:sz w:val="24"/>
          <w:szCs w:val="24"/>
          <w:highlight w:val="none"/>
        </w:rPr>
        <w:t xml:space="preserve">联系电话：                                    联系电话：          </w:t>
      </w:r>
      <w:r/>
    </w:p>
    <w:p>
      <w:pPr>
        <w:pStyle w:val="967"/>
        <w:ind w:firstLine="5760"/>
        <w:jc w:val="both"/>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967"/>
        <w:ind w:firstLine="5760"/>
        <w:jc w:val="both"/>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签订日期：   年    月   日</w:t>
      </w:r>
      <w:bookmarkEnd w:id="168"/>
      <w:r/>
      <w:bookmarkEnd w:id="169"/>
      <w:r/>
      <w:bookmarkEnd w:id="170"/>
      <w:r/>
      <w:bookmarkStart w:id="171" w:name="_Hlt16619369"/>
      <w:r/>
      <w:bookmarkEnd w:id="171"/>
      <w:r/>
      <w:r/>
    </w:p>
    <w:p>
      <w:pPr>
        <w:pageBreakBefore w:val="0"/>
        <w:spacing w:line="360" w:lineRule="auto"/>
        <w:rPr>
          <w:rFonts w:cs="宋体" w:asciiTheme="minorEastAsia" w:hAnsiTheme="minorEastAsia" w:eastAsiaTheme="minorEastAsia"/>
          <w:b/>
          <w:color w:val="auto"/>
          <w:sz w:val="30"/>
          <w:highlight w:val="none"/>
        </w:rPr>
      </w:pPr>
      <w:r>
        <w:rPr>
          <w:rFonts w:cs="宋体" w:asciiTheme="minorEastAsia" w:hAnsiTheme="minorEastAsia" w:eastAsiaTheme="minorEastAsia"/>
          <w:b/>
          <w:color w:val="auto"/>
          <w:sz w:val="30"/>
          <w:highlight w:val="none"/>
        </w:rPr>
      </w:r>
      <w:r/>
    </w:p>
    <w:p>
      <w:pPr>
        <w:pageBreakBefore w:val="0"/>
        <w:spacing w:line="360" w:lineRule="auto"/>
        <w:rPr>
          <w:rFonts w:cs="宋体" w:asciiTheme="minorEastAsia" w:hAnsiTheme="minorEastAsia" w:eastAsiaTheme="minorEastAsia"/>
          <w:b/>
          <w:color w:val="auto"/>
          <w:sz w:val="30"/>
          <w:highlight w:val="none"/>
        </w:rPr>
      </w:pPr>
      <w:r>
        <w:rPr>
          <w:rFonts w:cs="宋体" w:asciiTheme="minorEastAsia" w:hAnsiTheme="minorEastAsia" w:eastAsiaTheme="minorEastAsia"/>
          <w:b/>
          <w:color w:val="auto"/>
          <w:sz w:val="30"/>
          <w:highlight w:val="none"/>
        </w:rPr>
      </w:r>
      <w:r/>
    </w:p>
    <w:p>
      <w:pPr>
        <w:pageBreakBefore w:val="0"/>
        <w:spacing w:line="360" w:lineRule="auto"/>
        <w:rPr>
          <w:rFonts w:cs="宋体" w:asciiTheme="minorEastAsia" w:hAnsiTheme="minorEastAsia" w:eastAsiaTheme="minorEastAsia"/>
          <w:b/>
          <w:color w:val="auto"/>
          <w:sz w:val="30"/>
          <w:highlight w:val="none"/>
        </w:rPr>
      </w:pPr>
      <w:r>
        <w:rPr>
          <w:rFonts w:cs="宋体" w:asciiTheme="minorEastAsia" w:hAnsiTheme="minorEastAsia" w:eastAsiaTheme="minorEastAsia"/>
          <w:b/>
          <w:color w:val="auto"/>
          <w:sz w:val="30"/>
          <w:highlight w:val="none"/>
        </w:rPr>
        <w:t xml:space="preserve">附件1：采购合同文本</w:t>
      </w:r>
      <w:r>
        <w:rPr>
          <w:rFonts w:hint="eastAsia" w:cs="宋体" w:asciiTheme="minorEastAsia" w:hAnsiTheme="minorEastAsia" w:eastAsiaTheme="minorEastAsia"/>
          <w:b/>
          <w:color w:val="auto"/>
          <w:sz w:val="30"/>
          <w:highlight w:val="none"/>
        </w:rPr>
        <w:t xml:space="preserve">（拟签订合同格式，以最终签订版为准）</w:t>
      </w:r>
      <w:r/>
    </w:p>
    <w:p>
      <w:pPr>
        <w:ind w:firstLine="400"/>
        <w:spacing w:line="360" w:lineRule="auto"/>
        <w:rPr>
          <w:rFonts w:hint="eastAsia" w:ascii="宋体" w:hAnsi="宋体" w:cs="宋体"/>
          <w:color w:val="auto"/>
          <w:szCs w:val="21"/>
          <w:highlight w:val="none"/>
        </w:rPr>
      </w:pPr>
      <w:r/>
      <w:bookmarkStart w:id="172" w:name="_Hlt16619350"/>
      <w:r/>
      <w:bookmarkStart w:id="173" w:name="_Toc20823346"/>
      <w:r/>
      <w:bookmarkStart w:id="174" w:name="_Toc120614244"/>
      <w:r/>
      <w:bookmarkStart w:id="175" w:name="_Toc16938590"/>
      <w:r/>
      <w:bookmarkStart w:id="176" w:name="_Toc462564139"/>
      <w:r/>
      <w:bookmarkStart w:id="177" w:name="_Toc479757211"/>
      <w:r>
        <w:rPr>
          <w:rFonts w:hint="eastAsia" w:ascii="宋体" w:hAnsi="宋体" w:cs="宋体"/>
          <w:color w:val="auto"/>
          <w:szCs w:val="21"/>
          <w:highlight w:val="none"/>
        </w:rPr>
        <w:t xml:space="preserve">项目名称：                                  </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00"/>
        <w:spacing w:line="360" w:lineRule="auto"/>
        <w:widowControl/>
        <w:rPr>
          <w:rFonts w:hint="eastAsia" w:ascii="宋体" w:hAnsi="宋体" w:cs="宋体"/>
          <w:b/>
          <w:color w:val="auto"/>
          <w:szCs w:val="21"/>
          <w:highlight w:val="none"/>
        </w:rPr>
      </w:pPr>
      <w:r>
        <w:rPr>
          <w:rFonts w:hint="eastAsia" w:ascii="宋体" w:hAnsi="宋体" w:cs="宋体"/>
          <w:color w:val="auto"/>
          <w:szCs w:val="21"/>
          <w:highlight w:val="none"/>
        </w:rPr>
        <w:t xml:space="preserve">甲方</w:t>
      </w:r>
      <w:r>
        <w:rPr>
          <w:rFonts w:hint="eastAsia" w:ascii="宋体" w:hAnsi="宋体" w:cs="宋体"/>
          <w:color w:val="auto"/>
          <w:szCs w:val="21"/>
          <w:highlight w:val="none"/>
          <w:lang w:eastAsia="zh-CN"/>
        </w:rPr>
        <w:t xml:space="preserve">：</w:t>
      </w:r>
      <w:bookmarkStart w:id="178" w:name="purchase_name"/>
      <w:r/>
      <w:bookmarkEnd w:id="178"/>
      <w:r/>
      <w:bookmarkStart w:id="179" w:name="purchase_end"/>
      <w:r/>
      <w:bookmarkEnd w:id="179"/>
      <w:r/>
      <w:r/>
    </w:p>
    <w:p>
      <w:pPr>
        <w:ind w:firstLine="40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乙方</w:t>
      </w:r>
      <w:r>
        <w:rPr>
          <w:rFonts w:hint="eastAsia" w:ascii="宋体" w:hAnsi="宋体" w:cs="宋体"/>
          <w:color w:val="auto"/>
          <w:szCs w:val="21"/>
          <w:highlight w:val="none"/>
          <w:lang w:eastAsia="zh-CN"/>
        </w:rPr>
        <w:t xml:space="preserve">：</w:t>
      </w:r>
      <w:bookmarkStart w:id="180" w:name="suppliers_name"/>
      <w:r/>
      <w:bookmarkEnd w:id="180"/>
      <w:r/>
      <w:r/>
    </w:p>
    <w:p>
      <w:pPr>
        <w:ind w:firstLine="40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甲乙双方根据</w:t>
      </w:r>
      <w:r>
        <w:rPr>
          <w:rFonts w:hint="eastAsia" w:ascii="宋体" w:hAnsi="宋体" w:cs="宋体"/>
          <w:color w:val="auto"/>
          <w:szCs w:val="21"/>
          <w:highlight w:val="none"/>
          <w:lang w:eastAsia="zh-CN"/>
        </w:rPr>
        <w:t xml:space="preserve">2026-2027年度泰州市区储备、上市地块地质灾害危险性评估框架协议征集服务</w:t>
      </w:r>
      <w:r>
        <w:rPr>
          <w:rFonts w:hint="eastAsia" w:ascii="宋体" w:hAnsi="宋体" w:cs="宋体"/>
          <w:color w:val="auto"/>
          <w:szCs w:val="21"/>
          <w:highlight w:val="none"/>
        </w:rPr>
        <w:t xml:space="preserve">采购结果及采购文件的要求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经协商一致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达成如下采购服务合同</w:t>
      </w:r>
      <w:r>
        <w:rPr>
          <w:rFonts w:hint="eastAsia" w:ascii="宋体" w:hAnsi="宋体" w:cs="宋体"/>
          <w:color w:val="auto"/>
          <w:szCs w:val="21"/>
          <w:highlight w:val="none"/>
          <w:lang w:eastAsia="zh-CN"/>
        </w:rPr>
        <w:t xml:space="preserve">：</w:t>
      </w:r>
      <w:r/>
    </w:p>
    <w:p>
      <w:pPr>
        <w:ind w:firstLine="40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一、采购标的</w:t>
      </w:r>
      <w:r/>
    </w:p>
    <w:p>
      <w:pPr>
        <w:ind w:firstLine="400"/>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服务名称：</w:t>
      </w:r>
      <w:r>
        <w:rPr>
          <w:rFonts w:hint="eastAsia" w:ascii="宋体" w:hAnsi="宋体" w:cs="宋体"/>
          <w:color w:val="auto"/>
          <w:szCs w:val="21"/>
          <w:highlight w:val="none"/>
          <w:lang w:eastAsia="zh-CN"/>
        </w:rPr>
        <w:t xml:space="preserve">2026-2027年度泰州市区储备、上市地块地质灾害危险性评估框架协议征集服务</w:t>
      </w:r>
      <w:r/>
    </w:p>
    <w:p>
      <w:pPr>
        <w:ind w:firstLine="40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服务内容：参照采购文件的具体要求</w:t>
      </w:r>
      <w:r/>
    </w:p>
    <w:p>
      <w:pPr>
        <w:ind w:firstLine="400"/>
        <w:spacing w:line="360" w:lineRule="auto"/>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服务期限：</w:t>
      </w:r>
      <w:r>
        <w:rPr>
          <w:rFonts w:hint="eastAsia" w:ascii="宋体" w:hAnsi="宋体" w:cs="宋体"/>
          <w:color w:val="auto"/>
          <w:szCs w:val="21"/>
          <w:highlight w:val="none"/>
          <w:lang w:val="en-US" w:eastAsia="zh-CN"/>
        </w:rPr>
        <w:t xml:space="preserve">自合同签订之日起至2027年12月31日止</w:t>
      </w:r>
      <w:r>
        <w:rPr>
          <w:rFonts w:hint="eastAsia" w:ascii="宋体" w:hAnsi="宋体" w:cs="宋体"/>
          <w:color w:val="auto"/>
          <w:szCs w:val="21"/>
          <w:highlight w:val="none"/>
        </w:rPr>
        <w:t xml:space="preserve">。</w:t>
      </w:r>
      <w:r/>
    </w:p>
    <w:p>
      <w:pPr>
        <w:ind w:firstLine="400"/>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4、补充条款：                     。</w:t>
      </w:r>
      <w:r/>
    </w:p>
    <w:p>
      <w:pPr>
        <w:ind w:firstLine="40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二、合同价款</w:t>
      </w:r>
      <w:r>
        <w:rPr>
          <w:rFonts w:hint="eastAsia" w:ascii="宋体" w:hAnsi="宋体" w:cs="宋体"/>
          <w:color w:val="auto"/>
          <w:szCs w:val="21"/>
          <w:highlight w:val="none"/>
        </w:rPr>
        <w:t xml:space="preserve">：</w:t>
      </w:r>
      <w:r/>
    </w:p>
    <w:tbl>
      <w:tblPr>
        <w:tblStyle w:val="963"/>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96"/>
        <w:gridCol w:w="1154"/>
        <w:gridCol w:w="1154"/>
        <w:gridCol w:w="1154"/>
        <w:gridCol w:w="1228"/>
        <w:gridCol w:w="1080"/>
        <w:gridCol w:w="1330"/>
      </w:tblGrid>
      <w:tr>
        <w:trPr>
          <w:jc w:val="center"/>
          <w:trHeight w:val="454" w:hRule="exact"/>
        </w:trPr>
        <w:tc>
          <w:tcPr>
            <w:tcW w:w="1996" w:type="dxa"/>
            <w:vAlign w:val="center"/>
            <w:vMerge w:val="restart"/>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地质灾害危险性评估级别</w:t>
            </w:r>
            <w:r/>
          </w:p>
        </w:tc>
        <w:tc>
          <w:tcPr>
            <w:gridSpan w:val="6"/>
            <w:tcW w:w="7100" w:type="dxa"/>
            <w:vAlign w:val="center"/>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地质环境条件</w:t>
            </w:r>
            <w:r/>
          </w:p>
        </w:tc>
      </w:tr>
      <w:tr>
        <w:trPr>
          <w:jc w:val="center"/>
          <w:trHeight w:val="454" w:hRule="exact"/>
        </w:trPr>
        <w:tc>
          <w:tcPr>
            <w:tcW w:w="1996"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c>
          <w:tcPr>
            <w:gridSpan w:val="2"/>
            <w:tcW w:w="230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简单地区</w:t>
            </w:r>
            <w:r/>
          </w:p>
        </w:tc>
        <w:tc>
          <w:tcPr>
            <w:gridSpan w:val="2"/>
            <w:tcW w:w="2382"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中等地区</w:t>
            </w:r>
            <w:r/>
          </w:p>
        </w:tc>
        <w:tc>
          <w:tcPr>
            <w:gridSpan w:val="2"/>
            <w:tcW w:w="241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复杂地区</w:t>
            </w:r>
            <w:r/>
          </w:p>
        </w:tc>
      </w:tr>
      <w:tr>
        <w:trPr>
          <w:jc w:val="center"/>
          <w:trHeight w:val="425" w:hRule="exact"/>
        </w:trPr>
        <w:tc>
          <w:tcPr>
            <w:tcW w:w="1996" w:type="dxa"/>
            <w:vAlign w:val="center"/>
            <w:vMerge w:val="restart"/>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一级</w:t>
            </w:r>
            <w:r/>
          </w:p>
        </w:tc>
        <w:tc>
          <w:tcPr>
            <w:gridSpan w:val="2"/>
            <w:tcW w:w="2308" w:type="dxa"/>
            <w:vAlign w:val="top"/>
            <w:vMerge w:val="restart"/>
            <w:textDirection w:val="lrTb"/>
            <w:noWrap w:val="false"/>
          </w:tcPr>
          <w:p>
            <w:pPr>
              <w:pStyle w:val="967"/>
              <w:spacing w:line="360" w:lineRule="exact"/>
              <w:rPr>
                <w:rFonts w:hAnsi="宋体" w:cs="仿宋_GB2312"/>
                <w:color w:val="auto"/>
                <w:szCs w:val="21"/>
                <w:highlight w:val="none"/>
              </w:rPr>
            </w:pPr>
            <w:r>
              <w:rPr>
                <w:rFonts w:hAnsi="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-60960</wp:posOffset>
                      </wp:positionH>
                      <wp:positionV relativeFrom="paragraph">
                        <wp:posOffset>6985</wp:posOffset>
                      </wp:positionV>
                      <wp:extent cx="1468120" cy="539750"/>
                      <wp:effectExtent l="1905" t="5715" r="15875" b="6985"/>
                      <wp:wrapNone/>
                      <wp:docPr id="6" name="直接连接符 9"/>
                      <wp:cNvGraphicFramePr/>
                      <a:graphic xmlns:a="http://schemas.openxmlformats.org/drawingml/2006/main">
                        <a:graphicData uri="http://schemas.microsoft.com/office/word/2010/wordprocessingShape">
                          <wps:wsp>
                            <wps:cNvPr id="0" name=""/>
                            <wps:cNvSpPr/>
                            <wps:spPr bwMode="auto">
                              <a:xfrm>
                                <a:off x="0" y="0"/>
                                <a:ext cx="1468120" cy="539750"/>
                              </a:xfrm>
                              <a:prstGeom prst="line">
                                <a:avLst/>
                              </a:prstGeom>
                              <a:noFill/>
                              <a:ln w="12700" cap="flat" cmpd="sng" algn="ctr">
                                <a:solidFill>
                                  <a:srgbClr val="000000"/>
                                </a:solidFill>
                                <a:prstDash val="solid"/>
                                <a:miter lim="800000"/>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4.8pt,0.5pt" to="110.8pt,43.0pt" filled="f" strokecolor="#000000" strokeweight="1.00pt">
                      <v:stroke dashstyle="solid"/>
                    </v:line>
                  </w:pict>
                </mc:Fallback>
              </mc:AlternateConten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08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33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r>
      <w:tr>
        <w:trPr>
          <w:jc w:val="center"/>
          <w:trHeight w:val="851" w:hRule="exact"/>
        </w:trPr>
        <w:tc>
          <w:tcPr>
            <w:tcW w:w="1996" w:type="dxa"/>
            <w:vAlign w:val="center"/>
            <w:vMerge w:val="continue"/>
            <w:textDirection w:val="lrTb"/>
            <w:noWrap w:val="false"/>
          </w:tcPr>
          <w:p>
            <w:pPr>
              <w:pStyle w:val="967"/>
              <w:jc w:val="center"/>
              <w:spacing w:line="360" w:lineRule="exact"/>
              <w:rPr>
                <w:rFonts w:hAnsi="宋体" w:cs="仿宋_GB2312"/>
                <w:color w:val="auto"/>
                <w:szCs w:val="21"/>
                <w:highlight w:val="none"/>
              </w:rPr>
            </w:pPr>
            <w:r>
              <w:rPr>
                <w:rFonts w:hAnsi="宋体" w:cs="仿宋_GB2312"/>
                <w:color w:val="auto"/>
                <w:szCs w:val="21"/>
                <w:highlight w:val="none"/>
              </w:rPr>
            </w:r>
            <w:r/>
          </w:p>
        </w:tc>
        <w:tc>
          <w:tcPr>
            <w:gridSpan w:val="2"/>
            <w:tcW w:w="2308"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51500</w:t>
            </w:r>
            <w:r>
              <w:rPr>
                <w:rFonts w:hint="eastAsia" w:ascii="宋体" w:hAnsi="宋体" w:cs="仿宋_GB2312"/>
                <w:color w:val="auto"/>
                <w:szCs w:val="21"/>
                <w:highlight w:val="none"/>
              </w:rPr>
              <w:t xml:space="preserve">元</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120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c>
          <w:tcPr>
            <w:tcW w:w="108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62000</w:t>
            </w:r>
            <w:r>
              <w:rPr>
                <w:rFonts w:hint="eastAsia" w:ascii="宋体" w:hAnsi="宋体" w:cs="仿宋_GB2312"/>
                <w:color w:val="auto"/>
                <w:szCs w:val="21"/>
                <w:highlight w:val="none"/>
              </w:rPr>
              <w:t xml:space="preserve">元</w:t>
            </w:r>
            <w:r/>
          </w:p>
        </w:tc>
        <w:tc>
          <w:tcPr>
            <w:tcW w:w="133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160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r>
      <w:tr>
        <w:trPr>
          <w:jc w:val="center"/>
          <w:trHeight w:val="425" w:hRule="exact"/>
        </w:trPr>
        <w:tc>
          <w:tcPr>
            <w:tcW w:w="1996" w:type="dxa"/>
            <w:vAlign w:val="center"/>
            <w:vMerge w:val="restart"/>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二级</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gridSpan w:val="2"/>
            <w:tcW w:w="2410" w:type="dxa"/>
            <w:vAlign w:val="center"/>
            <w:vMerge w:val="restart"/>
            <w:textDirection w:val="lrTb"/>
            <w:noWrap w:val="false"/>
          </w:tcPr>
          <w:p>
            <w:pPr>
              <w:spacing w:line="280" w:lineRule="exact"/>
              <w:rPr>
                <w:rFonts w:hAnsi="宋体" w:cs="仿宋_GB2312"/>
                <w:color w:val="auto"/>
                <w:szCs w:val="21"/>
                <w:highlight w:val="none"/>
              </w:rPr>
            </w:pPr>
            <w:r>
              <w:rPr>
                <w:rFonts w:hAnsi="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-66040</wp:posOffset>
                      </wp:positionH>
                      <wp:positionV relativeFrom="paragraph">
                        <wp:posOffset>7620</wp:posOffset>
                      </wp:positionV>
                      <wp:extent cx="1537335" cy="869950"/>
                      <wp:effectExtent l="3175" t="5715" r="21590" b="19685"/>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1537335" cy="869950"/>
                              </a:xfrm>
                              <a:prstGeom prst="line">
                                <a:avLst/>
                              </a:prstGeom>
                              <a:noFill/>
                              <a:ln w="12700" cap="flat" cmpd="sng" algn="ctr">
                                <a:solidFill>
                                  <a:srgbClr val="000000"/>
                                </a:solidFill>
                                <a:prstDash val="solid"/>
                                <a:miter lim="800000"/>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5.2pt,0.6pt" to="115.8pt,69.1pt" filled="f" strokecolor="#000000" strokeweight="1.00pt">
                      <v:stroke dashstyle="solid"/>
                    </v:line>
                  </w:pict>
                </mc:Fallback>
              </mc:AlternateContent>
            </w:r>
            <w:r/>
          </w:p>
        </w:tc>
      </w:tr>
      <w:tr>
        <w:trPr>
          <w:jc w:val="center"/>
          <w:trHeight w:val="978" w:hRule="exact"/>
        </w:trPr>
        <w:tc>
          <w:tcPr>
            <w:tcW w:w="1996"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27500</w:t>
            </w:r>
            <w:r>
              <w:rPr>
                <w:rFonts w:hint="eastAsia" w:ascii="宋体" w:hAnsi="宋体" w:cs="仿宋_GB2312"/>
                <w:color w:val="auto"/>
                <w:szCs w:val="21"/>
                <w:highlight w:val="none"/>
              </w:rPr>
              <w:t xml:space="preserve">元</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40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32000</w:t>
            </w:r>
            <w:r>
              <w:rPr>
                <w:rFonts w:hint="eastAsia" w:ascii="宋体" w:hAnsi="宋体" w:cs="仿宋_GB2312"/>
                <w:color w:val="auto"/>
                <w:szCs w:val="21"/>
                <w:highlight w:val="none"/>
              </w:rPr>
              <w:t xml:space="preserve">元</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60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c>
          <w:tcPr>
            <w:gridSpan w:val="2"/>
            <w:tcW w:w="2410"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r>
      <w:tr>
        <w:trPr>
          <w:jc w:val="center"/>
          <w:trHeight w:val="972" w:hRule="exact"/>
        </w:trPr>
        <w:tc>
          <w:tcPr>
            <w:gridSpan w:val="7"/>
            <w:tcW w:w="9096" w:type="dxa"/>
            <w:vAlign w:val="top"/>
            <w:textDirection w:val="lrTb"/>
            <w:noWrap w:val="false"/>
          </w:tcPr>
          <w:p>
            <w:pPr>
              <w:pStyle w:val="967"/>
              <w:spacing w:line="360" w:lineRule="exact"/>
              <w:rPr>
                <w:rFonts w:hint="eastAsia" w:hAnsi="宋体" w:eastAsia="宋体" w:cs="仿宋_GB2312"/>
                <w:color w:val="auto"/>
                <w:szCs w:val="21"/>
                <w:highlight w:val="none"/>
                <w:lang w:val="en-US" w:eastAsia="zh-CN"/>
              </w:rPr>
            </w:pPr>
            <w:r>
              <w:rPr>
                <w:rFonts w:hint="eastAsia" w:ascii="宋体" w:hAnsi="宋体" w:cs="仿宋_GB2312"/>
                <w:color w:val="auto"/>
                <w:szCs w:val="21"/>
                <w:highlight w:val="none"/>
              </w:rPr>
              <w:t xml:space="preserve">备注：</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rPr>
              <w:t xml:space="preserve">50亩对应单价为按标准增收的地质灾害调查、测绘费。</w:t>
            </w:r>
            <w:r>
              <w:rPr>
                <w:rFonts w:hint="eastAsia" w:hAnsi="宋体" w:cs="仿宋_GB2312"/>
                <w:color w:val="auto"/>
                <w:szCs w:val="21"/>
                <w:highlight w:val="none"/>
                <w:lang w:eastAsia="zh-CN"/>
              </w:rPr>
              <w:t xml:space="preserve">（</w:t>
            </w:r>
            <w:r>
              <w:rPr>
                <w:rFonts w:hint="eastAsia" w:hAnsi="宋体" w:cs="仿宋_GB2312"/>
                <w:color w:val="auto"/>
                <w:szCs w:val="21"/>
                <w:highlight w:val="none"/>
                <w:lang w:val="en-US" w:eastAsia="zh-CN"/>
              </w:rPr>
              <w:t xml:space="preserve">例：如某</w:t>
            </w:r>
            <w:r>
              <w:rPr>
                <w:rFonts w:hint="eastAsia" w:hAnsi="宋体" w:cs="仿宋_GB2312"/>
                <w:color w:val="auto"/>
                <w:szCs w:val="21"/>
                <w:highlight w:val="none"/>
              </w:rPr>
              <w:t xml:space="preserve">地质灾害危险性评估级别</w:t>
            </w:r>
            <w:r>
              <w:rPr>
                <w:rFonts w:hint="eastAsia" w:hAnsi="宋体" w:cs="仿宋_GB2312"/>
                <w:color w:val="auto"/>
                <w:szCs w:val="21"/>
                <w:highlight w:val="none"/>
                <w:lang w:val="en-US" w:eastAsia="zh-CN"/>
              </w:rPr>
              <w:t xml:space="preserve">为二级的简单地区60亩的收费计算为：27500+（60-50）*40=27900元</w:t>
            </w:r>
            <w:r>
              <w:rPr>
                <w:rFonts w:hint="eastAsia" w:hAnsi="宋体" w:cs="仿宋_GB2312"/>
                <w:color w:val="auto"/>
                <w:szCs w:val="21"/>
                <w:highlight w:val="none"/>
                <w:lang w:eastAsia="zh-CN"/>
              </w:rPr>
              <w:t xml:space="preserve">）</w:t>
            </w:r>
            <w:r/>
          </w:p>
        </w:tc>
      </w:tr>
    </w:tbl>
    <w:p>
      <w:pPr>
        <w:ind w:firstLine="400"/>
        <w:spacing w:before="143"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优惠率</w:t>
      </w:r>
      <w:r>
        <w:rPr>
          <w:rFonts w:hint="eastAsia" w:ascii="宋体" w:hAnsi="宋体" w:cs="宋体"/>
          <w:color w:val="auto"/>
          <w:szCs w:val="21"/>
          <w:highlight w:val="none"/>
        </w:rPr>
        <w:t xml:space="preserve">：         %</w:t>
      </w:r>
      <w:r/>
    </w:p>
    <w:p>
      <w:pPr>
        <w:ind w:firstLine="40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三、合同履行</w:t>
      </w:r>
      <w:r>
        <w:rPr>
          <w:rFonts w:hint="eastAsia" w:ascii="宋体" w:hAnsi="宋体" w:cs="宋体"/>
          <w:color w:val="auto"/>
          <w:szCs w:val="21"/>
          <w:highlight w:val="none"/>
        </w:rPr>
        <w:t xml:space="preserve">：本合同项下服务的提供参照采购文件的具体要求履行，甲乙双方通过补充条款进行特殊约定的从其约定。</w:t>
      </w:r>
      <w:r/>
    </w:p>
    <w:p>
      <w:pPr>
        <w:ind w:firstLine="402"/>
        <w:spacing w:line="360" w:lineRule="auto"/>
        <w:widowControl/>
        <w:tabs>
          <w:tab w:val="left" w:pos="1980" w:leader="none"/>
        </w:tabs>
        <w:rPr>
          <w:rFonts w:ascii="宋体" w:hAnsi="宋体" w:cs="宋体"/>
          <w:color w:val="auto"/>
          <w:szCs w:val="21"/>
          <w:highlight w:val="none"/>
        </w:rPr>
      </w:pPr>
      <w:r>
        <w:rPr>
          <w:rFonts w:hint="eastAsia" w:ascii="宋体" w:hAnsi="宋体" w:cs="宋体"/>
          <w:b/>
          <w:bCs/>
          <w:color w:val="auto"/>
          <w:szCs w:val="21"/>
          <w:highlight w:val="none"/>
        </w:rPr>
        <w:t xml:space="preserve">四、验收</w:t>
      </w:r>
      <w:r>
        <w:rPr>
          <w:rFonts w:hint="eastAsia" w:ascii="宋体" w:hAnsi="宋体" w:cs="宋体"/>
          <w:color w:val="auto"/>
          <w:szCs w:val="21"/>
          <w:highlight w:val="none"/>
        </w:rPr>
        <w:t xml:space="preserve">：甲方在合同履行期间，有权依照采购文件相关要求对乙方提供的相关服务或交付的工作成果进行阶段性验收或总体验收。相关验收工作须在甲方工作日时间内进行。</w:t>
      </w:r>
      <w:r/>
    </w:p>
    <w:p>
      <w:pPr>
        <w:ind w:firstLine="400"/>
        <w:spacing w:line="360" w:lineRule="auto"/>
        <w:widowControl/>
        <w:tabs>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    元，大写：     整。</w:t>
      </w:r>
      <w:r/>
    </w:p>
    <w:p>
      <w:pPr>
        <w:ind w:firstLine="402"/>
        <w:spacing w:line="360" w:lineRule="auto"/>
        <w:widowControl/>
        <w:tabs>
          <w:tab w:val="left" w:pos="1980"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五、合同责任</w:t>
      </w:r>
      <w:r>
        <w:rPr>
          <w:rFonts w:hint="eastAsia" w:ascii="宋体" w:hAnsi="宋体" w:cs="宋体"/>
          <w:color w:val="auto"/>
          <w:szCs w:val="21"/>
          <w:highlight w:val="none"/>
        </w:rPr>
        <w:t xml:space="preserve">：</w:t>
      </w:r>
      <w:r/>
    </w:p>
    <w:p>
      <w:pPr>
        <w:ind w:firstLine="400"/>
        <w:spacing w:line="360" w:lineRule="auto"/>
        <w:widowControl/>
        <w:tabs>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甲方应当为乙方履行合同提供必要的支持。</w:t>
      </w:r>
      <w:r/>
    </w:p>
    <w:p>
      <w:pPr>
        <w:ind w:firstLine="400"/>
        <w:spacing w:line="360" w:lineRule="auto"/>
        <w:widowControl/>
        <w:tabs>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乙方保证其</w:t>
      </w:r>
      <w:r>
        <w:rPr>
          <w:rFonts w:hint="eastAsia" w:ascii="宋体" w:hAnsi="宋体" w:cs="宋体"/>
          <w:color w:val="auto"/>
          <w:szCs w:val="21"/>
          <w:highlight w:val="none"/>
          <w:lang w:eastAsia="zh-CN"/>
        </w:rPr>
        <w:t xml:space="preserve">对</w:t>
      </w:r>
      <w:r>
        <w:rPr>
          <w:rFonts w:hint="eastAsia" w:ascii="宋体" w:hAnsi="宋体" w:cs="宋体"/>
          <w:color w:val="auto"/>
          <w:szCs w:val="21"/>
          <w:highlight w:val="none"/>
        </w:rPr>
        <w:t xml:space="preserve">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若第三方仅向甲方主张权利，并经甲方确认乙方确实存在侵权行为的，甲方向第三方赔偿后，甲方有权直接向乙方追偿上述赔偿款。</w:t>
      </w:r>
      <w:r/>
    </w:p>
    <w:p>
      <w:pPr>
        <w:ind w:firstLine="400"/>
        <w:spacing w:line="360" w:lineRule="auto"/>
        <w:widowControl/>
        <w:tabs>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乙方在履行合同中产生的一切非因甲方过错导致的损失，均由乙方自行承担责任。</w:t>
      </w:r>
      <w:r/>
    </w:p>
    <w:p>
      <w:pPr>
        <w:ind w:firstLine="400"/>
        <w:spacing w:line="360" w:lineRule="auto"/>
        <w:widowControl/>
        <w:tabs>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甲乙双方均应指定专人作为本合同履行期间双方之间的联络人，所有一方向相对方正式知会事项的通知到达相对方指定联络人即视为到达对方。</w:t>
      </w:r>
      <w:r/>
    </w:p>
    <w:p>
      <w:pPr>
        <w:ind w:firstLine="400"/>
        <w:spacing w:line="360" w:lineRule="auto"/>
        <w:widowControl/>
        <w:tabs>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甲方指定联络人：           乙方指定联络人：</w:t>
      </w:r>
      <w:r/>
    </w:p>
    <w:p>
      <w:pPr>
        <w:ind w:firstLine="400"/>
        <w:spacing w:line="360" w:lineRule="auto"/>
        <w:widowControl/>
        <w:tabs>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姓名：                     姓名： </w:t>
      </w:r>
      <w:r/>
    </w:p>
    <w:p>
      <w:pPr>
        <w:ind w:firstLine="400"/>
        <w:spacing w:line="360" w:lineRule="auto"/>
        <w:widowControl/>
        <w:tabs>
          <w:tab w:val="left" w:pos="1980" w:leader="none"/>
        </w:tabs>
        <w:rPr>
          <w:rFonts w:ascii="宋体" w:hAnsi="宋体" w:cs="宋体"/>
          <w:color w:val="auto"/>
          <w:szCs w:val="21"/>
          <w:highlight w:val="none"/>
        </w:rPr>
      </w:pPr>
      <w:r>
        <w:rPr>
          <w:rFonts w:hint="eastAsia" w:ascii="宋体" w:hAnsi="宋体" w:cs="宋体"/>
          <w:color w:val="auto"/>
          <w:szCs w:val="21"/>
          <w:highlight w:val="none"/>
        </w:rPr>
        <w:t xml:space="preserve">联系方式：                 联系方式：</w:t>
      </w:r>
      <w:r/>
    </w:p>
    <w:p>
      <w:pPr>
        <w:ind w:firstLine="402"/>
        <w:spacing w:line="360" w:lineRule="auto"/>
        <w:widowControl/>
        <w:tabs>
          <w:tab w:val="left" w:pos="1980" w:leader="none"/>
        </w:tabs>
        <w:rPr>
          <w:rFonts w:hint="eastAsia" w:ascii="宋体" w:hAnsi="宋体" w:cs="仿宋_GB2312"/>
          <w:b/>
          <w:bCs/>
          <w:color w:val="auto"/>
          <w:szCs w:val="21"/>
          <w:highlight w:val="none"/>
        </w:rPr>
      </w:pPr>
      <w:r>
        <w:rPr>
          <w:rFonts w:hint="eastAsia" w:ascii="宋体" w:hAnsi="宋体" w:cs="宋体"/>
          <w:b/>
          <w:bCs/>
          <w:color w:val="auto"/>
          <w:szCs w:val="21"/>
          <w:highlight w:val="none"/>
        </w:rPr>
        <w:t xml:space="preserve">六、付款</w:t>
      </w:r>
      <w:r>
        <w:rPr>
          <w:rFonts w:hint="eastAsia" w:ascii="宋体" w:hAnsi="宋体" w:cs="宋体"/>
          <w:b/>
          <w:bCs/>
          <w:color w:val="auto"/>
          <w:szCs w:val="21"/>
          <w:highlight w:val="none"/>
          <w:lang w:val="en-US" w:eastAsia="zh-CN"/>
        </w:rPr>
        <w:t xml:space="preserve">方式</w:t>
      </w:r>
      <w:r>
        <w:rPr>
          <w:rFonts w:hint="eastAsia" w:ascii="宋体" w:hAnsi="宋体" w:cs="宋体"/>
          <w:color w:val="auto"/>
          <w:szCs w:val="21"/>
          <w:highlight w:val="none"/>
        </w:rPr>
        <w:t xml:space="preserve">：</w:t>
      </w:r>
      <w:r>
        <w:rPr>
          <w:rFonts w:hint="eastAsia"/>
          <w:color w:val="auto"/>
          <w:szCs w:val="21"/>
          <w:highlight w:val="none"/>
          <w:lang w:val="en-US" w:eastAsia="zh-CN"/>
        </w:rPr>
        <w:t xml:space="preserve">据实际调查完成的储备、上市地块面积，经自然资源部门评审后，在地块上市后结算。即结算需满足两个条件：中标人接受委托评估并签订《XX地块地质灾害危险性评估委托书》后，并在5个工作日内将经专家评审通过的《XX地块地质灾害危险性评估报告》提交至泰州市土地储备和不动产登记中心及地块上市结算后方可结算该宗评估费用全款</w:t>
      </w:r>
      <w:r>
        <w:rPr>
          <w:rFonts w:hint="eastAsia" w:ascii="宋体" w:hAnsi="宋体" w:cs="宋体"/>
          <w:color w:val="auto"/>
          <w:szCs w:val="21"/>
          <w:highlight w:val="none"/>
        </w:rPr>
        <w:t xml:space="preserve">。</w:t>
      </w:r>
      <w:r/>
    </w:p>
    <w:p>
      <w:pPr>
        <w:ind w:firstLine="402"/>
        <w:spacing w:line="360" w:lineRule="auto"/>
        <w:widowControl/>
        <w:tabs>
          <w:tab w:val="left" w:pos="1980"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七、保密条款</w:t>
      </w:r>
      <w:r>
        <w:rPr>
          <w:rFonts w:hint="eastAsia" w:ascii="宋体" w:hAnsi="宋体" w:cs="宋体"/>
          <w:color w:val="auto"/>
          <w:szCs w:val="21"/>
          <w:highlight w:val="none"/>
        </w:rPr>
        <w:t xml:space="preserve">：乙方不得将在履行本合同中知悉的甲方任何信息随意泄露、擅自使用。</w:t>
      </w:r>
      <w:r/>
    </w:p>
    <w:p>
      <w:pPr>
        <w:ind w:firstLine="400"/>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如违反本条款规定，乙方应当承担如下责任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乙方需承担因此给甲方造成的所有直接和间接损失</w:t>
      </w:r>
      <w:r>
        <w:rPr>
          <w:rFonts w:hint="eastAsia" w:ascii="宋体" w:hAnsi="宋体" w:cs="宋体"/>
          <w:color w:val="auto"/>
          <w:szCs w:val="21"/>
          <w:highlight w:val="none"/>
        </w:rPr>
        <w:t xml:space="preserve">。</w:t>
      </w:r>
      <w:r/>
    </w:p>
    <w:p>
      <w:pPr>
        <w:ind w:firstLine="402"/>
        <w:spacing w:line="360" w:lineRule="auto"/>
        <w:widowControl/>
        <w:rPr>
          <w:rFonts w:hint="eastAsia" w:ascii="宋体" w:hAnsi="宋体" w:cs="宋体"/>
          <w:color w:val="auto"/>
          <w:szCs w:val="21"/>
          <w:highlight w:val="none"/>
          <w:u w:val="single"/>
        </w:rPr>
      </w:pPr>
      <w:r>
        <w:rPr>
          <w:rFonts w:hint="eastAsia" w:ascii="宋体" w:hAnsi="宋体" w:cs="宋体"/>
          <w:b/>
          <w:color w:val="auto"/>
          <w:szCs w:val="21"/>
          <w:highlight w:val="none"/>
        </w:rPr>
        <w:t xml:space="preserve">八、合同纠纷处理：</w:t>
      </w:r>
      <w:r>
        <w:rPr>
          <w:rFonts w:hint="eastAsia" w:ascii="宋体" w:hAnsi="宋体" w:cs="宋体"/>
          <w:color w:val="auto"/>
          <w:szCs w:val="21"/>
          <w:highlight w:val="none"/>
        </w:rPr>
        <w:t xml:space="preserve">本合同执行过程中发生纠纷，由甲乙双方协商处理，若协商不成，双方一致同意按如下第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种方式处理：</w:t>
      </w:r>
      <w:r/>
    </w:p>
    <w:p>
      <w:pPr>
        <w:ind w:firstLine="400"/>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申请仲裁。选定仲裁机构为泰州仲裁委员会。</w:t>
      </w:r>
      <w:r/>
    </w:p>
    <w:p>
      <w:pPr>
        <w:ind w:firstLine="400"/>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提起诉讼。约定由采购人所在地人民法院管辖。</w:t>
      </w:r>
      <w:r/>
    </w:p>
    <w:p>
      <w:pPr>
        <w:ind w:firstLine="40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九、合同生效：</w:t>
      </w:r>
      <w:r>
        <w:rPr>
          <w:rFonts w:hint="eastAsia" w:ascii="宋体" w:hAnsi="宋体" w:cs="宋体"/>
          <w:color w:val="auto"/>
          <w:szCs w:val="21"/>
          <w:highlight w:val="none"/>
        </w:rPr>
        <w:t xml:space="preserve">本合同由甲乙双方签字盖章后生效。</w:t>
      </w:r>
      <w:r/>
    </w:p>
    <w:p>
      <w:pPr>
        <w:ind w:firstLine="40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十、组成本合同的文件包括：</w:t>
      </w:r>
      <w:r/>
    </w:p>
    <w:p>
      <w:pPr>
        <w:ind w:firstLine="400"/>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（一）合同通用条款和专用条款；</w:t>
      </w:r>
      <w:r/>
    </w:p>
    <w:p>
      <w:pPr>
        <w:ind w:firstLine="400"/>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（二）采购文件和乙方</w:t>
      </w:r>
      <w:r>
        <w:rPr>
          <w:rFonts w:hint="eastAsia" w:ascii="宋体" w:hAnsi="宋体" w:cs="宋体"/>
          <w:color w:val="auto"/>
          <w:szCs w:val="21"/>
          <w:highlight w:val="none"/>
        </w:rPr>
        <w:t xml:space="preserve">的响应文</w:t>
      </w:r>
      <w:r>
        <w:rPr>
          <w:rFonts w:hint="eastAsia" w:ascii="宋体" w:hAnsi="宋体" w:cs="宋体"/>
          <w:bCs/>
          <w:color w:val="auto"/>
          <w:szCs w:val="21"/>
          <w:highlight w:val="none"/>
        </w:rPr>
        <w:t xml:space="preserve">件；</w:t>
      </w:r>
      <w:r/>
    </w:p>
    <w:p>
      <w:pPr>
        <w:ind w:firstLine="400"/>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（三）</w:t>
      </w:r>
      <w:r>
        <w:rPr>
          <w:rFonts w:hint="eastAsia" w:ascii="宋体" w:hAnsi="宋体" w:cs="宋体"/>
          <w:color w:val="auto"/>
          <w:szCs w:val="21"/>
          <w:highlight w:val="none"/>
        </w:rPr>
        <w:t xml:space="preserve">成交通</w:t>
      </w:r>
      <w:r>
        <w:rPr>
          <w:rFonts w:hint="eastAsia" w:ascii="宋体" w:hAnsi="宋体" w:cs="宋体"/>
          <w:bCs/>
          <w:color w:val="auto"/>
          <w:szCs w:val="21"/>
          <w:highlight w:val="none"/>
        </w:rPr>
        <w:t xml:space="preserve">知书；</w:t>
      </w:r>
      <w:r/>
    </w:p>
    <w:p>
      <w:pPr>
        <w:ind w:firstLine="400"/>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（四）甲乙双方商定的其他必要文件。</w:t>
      </w:r>
      <w:r/>
    </w:p>
    <w:p>
      <w:pPr>
        <w:ind w:firstLine="400"/>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上述合同文件内容互为补充，如有不明确，由甲方负责解释。</w:t>
      </w:r>
      <w:r/>
    </w:p>
    <w:p>
      <w:pPr>
        <w:ind w:firstLine="402"/>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十一、合同备案</w:t>
      </w:r>
      <w:r/>
    </w:p>
    <w:p>
      <w:pPr>
        <w:ind w:firstLine="400"/>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本合同一式</w:t>
      </w:r>
      <w:r>
        <w:rPr>
          <w:rFonts w:hint="eastAsia" w:ascii="宋体" w:hAnsi="宋体" w:cs="宋体"/>
          <w:bCs/>
          <w:color w:val="auto"/>
          <w:szCs w:val="21"/>
          <w:highlight w:val="none"/>
          <w:lang w:val="en-US" w:eastAsia="zh-CN"/>
        </w:rPr>
        <w:t xml:space="preserve">两</w:t>
      </w:r>
      <w:r>
        <w:rPr>
          <w:rFonts w:hint="eastAsia" w:ascii="宋体" w:hAnsi="宋体" w:cs="宋体"/>
          <w:bCs/>
          <w:color w:val="auto"/>
          <w:szCs w:val="21"/>
          <w:highlight w:val="none"/>
        </w:rPr>
        <w:t xml:space="preserve">份，中文书写。甲方、乙方各一份。</w:t>
      </w:r>
      <w:r/>
    </w:p>
    <w:p>
      <w:pPr>
        <w:ind w:firstLine="402"/>
        <w:spacing w:line="360" w:lineRule="auto"/>
        <w:widowControl/>
        <w:rPr>
          <w:rFonts w:hint="eastAsia" w:ascii="宋体" w:hAnsi="宋体" w:cs="宋体"/>
          <w:color w:val="auto"/>
          <w:szCs w:val="21"/>
          <w:highlight w:val="none"/>
          <w:u w:val="single"/>
        </w:rPr>
      </w:pPr>
      <w:r>
        <w:rPr>
          <w:rFonts w:hint="eastAsia" w:ascii="宋体" w:hAnsi="宋体" w:cs="宋体"/>
          <w:b/>
          <w:bCs/>
          <w:color w:val="auto"/>
          <w:szCs w:val="21"/>
          <w:highlight w:val="none"/>
        </w:rPr>
        <w:t xml:space="preserve">十二、补充条款：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02"/>
        <w:spacing w:line="360" w:lineRule="auto"/>
        <w:widowControl/>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甲方：               （</w:t>
      </w:r>
      <w:r>
        <w:rPr>
          <w:rFonts w:hint="eastAsia" w:ascii="宋体" w:hAnsi="宋体" w:cs="宋体"/>
          <w:b/>
          <w:color w:val="auto"/>
          <w:szCs w:val="21"/>
          <w:highlight w:val="none"/>
          <w:u w:val="single"/>
        </w:rPr>
        <w:t xml:space="preserve">盖章）</w:t>
      </w:r>
      <w:r/>
    </w:p>
    <w:p>
      <w:pPr>
        <w:ind w:firstLine="400"/>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00"/>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法定（授权）代表人：</w:t>
      </w:r>
      <w:r>
        <w:rPr>
          <w:rFonts w:hint="eastAsia" w:ascii="宋体" w:hAnsi="宋体" w:cs="宋体"/>
          <w:color w:val="auto"/>
          <w:szCs w:val="21"/>
          <w:highlight w:val="none"/>
          <w:u w:val="single"/>
        </w:rPr>
        <w:t xml:space="preserve">       </w:t>
      </w:r>
      <w:r/>
    </w:p>
    <w:p>
      <w:pPr>
        <w:ind w:firstLine="40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二〇二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日</w:t>
      </w:r>
      <w:r/>
    </w:p>
    <w:p>
      <w:pPr>
        <w:ind w:firstLine="40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乙方：    （</w:t>
      </w:r>
      <w:bookmarkStart w:id="181" w:name="suppliers_name_one"/>
      <w:r/>
      <w:bookmarkEnd w:id="181"/>
      <w:r>
        <w:rPr>
          <w:rFonts w:hint="eastAsia" w:ascii="宋体" w:hAnsi="宋体" w:cs="宋体"/>
          <w:b/>
          <w:color w:val="auto"/>
          <w:szCs w:val="21"/>
          <w:highlight w:val="none"/>
          <w:u w:val="single"/>
        </w:rPr>
        <w:t xml:space="preserve">盖章）</w:t>
      </w:r>
      <w:r/>
    </w:p>
    <w:p>
      <w:pPr>
        <w:ind w:firstLine="400"/>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0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w:t>
      </w:r>
      <w:r>
        <w:rPr>
          <w:rFonts w:hint="eastAsia" w:ascii="宋体" w:hAnsi="宋体" w:cs="宋体"/>
          <w:color w:val="auto"/>
          <w:szCs w:val="21"/>
          <w:highlight w:val="none"/>
          <w:u w:val="single"/>
        </w:rPr>
        <w:t xml:space="preserve">        </w:t>
      </w:r>
      <w:r/>
    </w:p>
    <w:p>
      <w:pPr>
        <w:ind w:firstLine="40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二〇二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0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户名：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0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ind w:firstLine="400"/>
        <w:spacing w:line="360" w:lineRule="auto"/>
        <w:widowControl/>
        <w:rPr>
          <w:rFonts w:ascii="黑体" w:eastAsia="黑体"/>
          <w:bCs/>
          <w:color w:val="auto"/>
          <w:sz w:val="44"/>
          <w:highlight w:val="none"/>
        </w:rPr>
      </w:pPr>
      <w:r>
        <w:rPr>
          <w:rFonts w:hint="eastAsia" w:ascii="宋体" w:hAnsi="宋体" w:cs="宋体"/>
          <w:color w:val="auto"/>
          <w:szCs w:val="21"/>
          <w:highlight w:val="none"/>
        </w:rPr>
        <w:t xml:space="preserve">账号：</w:t>
      </w:r>
      <w:r>
        <w:rPr>
          <w:rFonts w:hint="eastAsia" w:ascii="宋体" w:hAnsi="宋体" w:cs="宋体"/>
          <w:color w:val="auto"/>
          <w:szCs w:val="21"/>
          <w:highlight w:val="none"/>
          <w:u w:val="single"/>
        </w:rPr>
        <w:t xml:space="preserve">                         </w:t>
      </w:r>
      <w:r>
        <w:rPr>
          <w:color w:val="auto"/>
          <w:highlight w:val="none"/>
        </w:rPr>
        <w:br w:type="page" w:clear="all"/>
      </w:r>
      <w:bookmarkStart w:id="182" w:name="_Toc128039582"/>
      <w:r/>
      <w:r/>
    </w:p>
    <w:p>
      <w:pPr>
        <w:pStyle w:val="961"/>
        <w:pageBreakBefore w:val="0"/>
        <w:spacing w:line="360" w:lineRule="auto"/>
        <w:rPr>
          <w:rFonts w:hint="eastAsia" w:ascii="宋体" w:hAnsi="宋体" w:cs="宋体"/>
          <w:color w:val="auto"/>
          <w:sz w:val="24"/>
          <w:highlight w:val="none"/>
          <w:lang w:val="en-US" w:eastAsia="zh-CN"/>
        </w:rPr>
      </w:pPr>
      <w:r/>
      <w:bookmarkStart w:id="183" w:name="_Toc18711"/>
      <w:r>
        <w:rPr>
          <w:rFonts w:ascii="黑体" w:eastAsia="黑体"/>
          <w:bCs/>
          <w:color w:val="auto"/>
          <w:sz w:val="44"/>
          <w:highlight w:val="none"/>
        </w:rPr>
        <w:t xml:space="preserve">第</w:t>
      </w:r>
      <w:bookmarkEnd w:id="172"/>
      <w:r>
        <w:rPr>
          <w:rFonts w:ascii="黑体" w:eastAsia="黑体"/>
          <w:bCs/>
          <w:color w:val="auto"/>
          <w:sz w:val="44"/>
          <w:highlight w:val="none"/>
        </w:rPr>
        <w:t xml:space="preserve">四章 采购需求</w:t>
      </w:r>
      <w:bookmarkEnd w:id="173"/>
      <w:r/>
      <w:bookmarkEnd w:id="174"/>
      <w:r/>
      <w:bookmarkEnd w:id="175"/>
      <w:r/>
      <w:bookmarkEnd w:id="182"/>
      <w:r/>
      <w:bookmarkEnd w:id="183"/>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一、项目概况</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项目名称</w:t>
      </w:r>
      <w:r>
        <w:rPr>
          <w:rFonts w:hint="eastAsia" w:ascii="宋体" w:hAnsi="宋体" w:cs="宋体"/>
          <w:color w:val="auto"/>
          <w:sz w:val="24"/>
          <w:highlight w:val="none"/>
          <w:lang w:val="en-US" w:eastAsia="zh-CN"/>
        </w:rPr>
        <w:t xml:space="preserve">：2026-2027年度泰州市区储备、上市地块地质灾害危险性评估框架协议征集服务</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2.框架协议的期限：自合同签订之日起至2027年12月31日止。</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3.采购方式：封闭式框架协议采购</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4.征集人：泰州市自然资源和规划局</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val="en-US" w:eastAsia="zh-CN"/>
        </w:rPr>
        <w:t xml:space="preserve">适用本次框架协议的采购人：泰州市自然资源和规划局。</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二、商务要求</w:t>
      </w:r>
      <w:r/>
    </w:p>
    <w:p>
      <w:pPr>
        <w:ind w:firstLine="48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lang w:val="en-US" w:eastAsia="zh-CN"/>
        </w:rPr>
        <w:t xml:space="preserve">报价</w:t>
      </w:r>
      <w:r>
        <w:rPr>
          <w:rFonts w:hint="eastAsia" w:ascii="宋体" w:hAnsi="宋体" w:cs="宋体"/>
          <w:b/>
          <w:bCs/>
          <w:color w:val="auto"/>
          <w:sz w:val="24"/>
          <w:highlight w:val="none"/>
          <w:lang w:val="en-US" w:eastAsia="zh-CN"/>
        </w:rPr>
        <w:t xml:space="preserve">基数</w:t>
      </w:r>
      <w:r/>
    </w:p>
    <w:tbl>
      <w:tblPr>
        <w:tblStyle w:val="963"/>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96"/>
        <w:gridCol w:w="1154"/>
        <w:gridCol w:w="1154"/>
        <w:gridCol w:w="1154"/>
        <w:gridCol w:w="1228"/>
        <w:gridCol w:w="1080"/>
        <w:gridCol w:w="1330"/>
      </w:tblGrid>
      <w:tr>
        <w:trPr>
          <w:jc w:val="center"/>
          <w:trHeight w:val="454" w:hRule="exact"/>
        </w:trPr>
        <w:tc>
          <w:tcPr>
            <w:tcW w:w="1996" w:type="dxa"/>
            <w:vAlign w:val="center"/>
            <w:vMerge w:val="restart"/>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地质灾害危险性评估级别</w:t>
            </w:r>
            <w:r/>
          </w:p>
        </w:tc>
        <w:tc>
          <w:tcPr>
            <w:gridSpan w:val="6"/>
            <w:tcW w:w="7100" w:type="dxa"/>
            <w:vAlign w:val="center"/>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地质环境条件</w:t>
            </w:r>
            <w:r/>
          </w:p>
        </w:tc>
      </w:tr>
      <w:tr>
        <w:trPr>
          <w:jc w:val="center"/>
          <w:trHeight w:val="454" w:hRule="exact"/>
        </w:trPr>
        <w:tc>
          <w:tcPr>
            <w:tcW w:w="1996"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c>
          <w:tcPr>
            <w:gridSpan w:val="2"/>
            <w:tcW w:w="230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简单地区</w:t>
            </w:r>
            <w:r/>
          </w:p>
        </w:tc>
        <w:tc>
          <w:tcPr>
            <w:gridSpan w:val="2"/>
            <w:tcW w:w="2382"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中等地区</w:t>
            </w:r>
            <w:r/>
          </w:p>
        </w:tc>
        <w:tc>
          <w:tcPr>
            <w:gridSpan w:val="2"/>
            <w:tcW w:w="241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复杂地区</w:t>
            </w:r>
            <w:r/>
          </w:p>
        </w:tc>
      </w:tr>
      <w:tr>
        <w:trPr>
          <w:jc w:val="center"/>
          <w:trHeight w:val="425" w:hRule="exact"/>
        </w:trPr>
        <w:tc>
          <w:tcPr>
            <w:tcW w:w="1996" w:type="dxa"/>
            <w:vAlign w:val="center"/>
            <w:vMerge w:val="restart"/>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一级</w:t>
            </w:r>
            <w:r/>
          </w:p>
        </w:tc>
        <w:tc>
          <w:tcPr>
            <w:gridSpan w:val="2"/>
            <w:tcW w:w="2308" w:type="dxa"/>
            <w:vAlign w:val="top"/>
            <w:vMerge w:val="restart"/>
            <w:textDirection w:val="lrTb"/>
            <w:noWrap w:val="false"/>
          </w:tcPr>
          <w:p>
            <w:pPr>
              <w:pStyle w:val="967"/>
              <w:spacing w:line="360" w:lineRule="exact"/>
              <w:rPr>
                <w:rFonts w:hAnsi="宋体" w:cs="仿宋_GB2312"/>
                <w:color w:val="auto"/>
                <w:szCs w:val="21"/>
                <w:highlight w:val="none"/>
              </w:rPr>
            </w:pPr>
            <w:r>
              <w:rPr>
                <w:rFonts w:hAnsi="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-60960</wp:posOffset>
                      </wp:positionH>
                      <wp:positionV relativeFrom="paragraph">
                        <wp:posOffset>6985</wp:posOffset>
                      </wp:positionV>
                      <wp:extent cx="1468120" cy="539750"/>
                      <wp:effectExtent l="1905" t="5715" r="6350" b="6985"/>
                      <wp:wrapNone/>
                      <wp:docPr id="8" name="直接连接符 6"/>
                      <wp:cNvGraphicFramePr/>
                      <a:graphic xmlns:a="http://schemas.openxmlformats.org/drawingml/2006/main">
                        <a:graphicData uri="http://schemas.microsoft.com/office/word/2010/wordprocessingShape">
                          <wps:wsp>
                            <wps:cNvPr id="0" name=""/>
                            <wps:cNvSpPr/>
                            <wps:spPr bwMode="auto">
                              <a:xfrm>
                                <a:off x="0" y="0"/>
                                <a:ext cx="1468120" cy="539750"/>
                              </a:xfrm>
                              <a:prstGeom prst="line">
                                <a:avLst/>
                              </a:prstGeom>
                              <a:noFill/>
                              <a:ln w="12700" cap="flat" cmpd="sng" algn="ctr">
                                <a:solidFill>
                                  <a:srgbClr val="000000"/>
                                </a:solidFill>
                                <a:prstDash val="solid"/>
                                <a:miter lim="800000"/>
                              </a:ln>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4.8pt,0.5pt" to="110.8pt,43.0pt" filled="f" strokecolor="#000000" strokeweight="1.00pt">
                      <v:stroke dashstyle="solid"/>
                    </v:line>
                  </w:pict>
                </mc:Fallback>
              </mc:AlternateConten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08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33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r>
      <w:tr>
        <w:trPr>
          <w:jc w:val="center"/>
          <w:trHeight w:val="851" w:hRule="exact"/>
        </w:trPr>
        <w:tc>
          <w:tcPr>
            <w:tcW w:w="1996" w:type="dxa"/>
            <w:vAlign w:val="center"/>
            <w:vMerge w:val="continue"/>
            <w:textDirection w:val="lrTb"/>
            <w:noWrap w:val="false"/>
          </w:tcPr>
          <w:p>
            <w:pPr>
              <w:pStyle w:val="967"/>
              <w:jc w:val="center"/>
              <w:spacing w:line="360" w:lineRule="exact"/>
              <w:rPr>
                <w:rFonts w:hAnsi="宋体" w:cs="仿宋_GB2312"/>
                <w:color w:val="auto"/>
                <w:szCs w:val="21"/>
                <w:highlight w:val="none"/>
              </w:rPr>
            </w:pPr>
            <w:r>
              <w:rPr>
                <w:rFonts w:hAnsi="宋体" w:cs="仿宋_GB2312"/>
                <w:color w:val="auto"/>
                <w:szCs w:val="21"/>
                <w:highlight w:val="none"/>
              </w:rPr>
            </w:r>
            <w:r/>
          </w:p>
        </w:tc>
        <w:tc>
          <w:tcPr>
            <w:gridSpan w:val="2"/>
            <w:tcW w:w="2308"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51500</w:t>
            </w:r>
            <w:r>
              <w:rPr>
                <w:rFonts w:hint="eastAsia" w:ascii="宋体" w:hAnsi="宋体" w:cs="仿宋_GB2312"/>
                <w:color w:val="auto"/>
                <w:szCs w:val="21"/>
                <w:highlight w:val="none"/>
              </w:rPr>
              <w:t xml:space="preserve">元</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120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c>
          <w:tcPr>
            <w:tcW w:w="108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62000</w:t>
            </w:r>
            <w:r>
              <w:rPr>
                <w:rFonts w:hint="eastAsia" w:ascii="宋体" w:hAnsi="宋体" w:cs="仿宋_GB2312"/>
                <w:color w:val="auto"/>
                <w:szCs w:val="21"/>
                <w:highlight w:val="none"/>
              </w:rPr>
              <w:t xml:space="preserve">元</w:t>
            </w:r>
            <w:r/>
          </w:p>
        </w:tc>
        <w:tc>
          <w:tcPr>
            <w:tcW w:w="1330"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160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r>
      <w:tr>
        <w:trPr>
          <w:jc w:val="center"/>
          <w:trHeight w:val="425" w:hRule="exact"/>
        </w:trPr>
        <w:tc>
          <w:tcPr>
            <w:tcW w:w="1996" w:type="dxa"/>
            <w:vAlign w:val="center"/>
            <w:vMerge w:val="restart"/>
            <w:textDirection w:val="lrTb"/>
            <w:noWrap w:val="false"/>
          </w:tcPr>
          <w:p>
            <w:pPr>
              <w:pStyle w:val="967"/>
              <w:jc w:val="center"/>
              <w:spacing w:line="360" w:lineRule="exact"/>
              <w:rPr>
                <w:rFonts w:hAnsi="宋体" w:cs="仿宋_GB2312"/>
                <w:color w:val="auto"/>
                <w:szCs w:val="21"/>
                <w:highlight w:val="none"/>
              </w:rPr>
            </w:pPr>
            <w:r>
              <w:rPr>
                <w:rFonts w:hint="eastAsia" w:hAnsi="宋体" w:cs="仿宋_GB2312"/>
                <w:color w:val="auto"/>
                <w:szCs w:val="21"/>
                <w:highlight w:val="none"/>
              </w:rPr>
              <w:t xml:space="preserve">二级</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＞50亩</w:t>
            </w:r>
            <w:r/>
          </w:p>
        </w:tc>
        <w:tc>
          <w:tcPr>
            <w:gridSpan w:val="2"/>
            <w:tcW w:w="2410" w:type="dxa"/>
            <w:vAlign w:val="center"/>
            <w:vMerge w:val="restart"/>
            <w:textDirection w:val="lrTb"/>
            <w:noWrap w:val="false"/>
          </w:tcPr>
          <w:p>
            <w:pPr>
              <w:spacing w:line="280" w:lineRule="exact"/>
              <w:rPr>
                <w:rFonts w:hAnsi="宋体" w:cs="仿宋_GB2312"/>
                <w:color w:val="auto"/>
                <w:szCs w:val="21"/>
                <w:highlight w:val="none"/>
              </w:rPr>
            </w:pPr>
            <w:r>
              <w:rPr>
                <w:rFonts w:hAnsi="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-66040</wp:posOffset>
                      </wp:positionH>
                      <wp:positionV relativeFrom="paragraph">
                        <wp:posOffset>7620</wp:posOffset>
                      </wp:positionV>
                      <wp:extent cx="1537335" cy="869950"/>
                      <wp:effectExtent l="3175" t="5715" r="12065" b="1016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1537335" cy="869950"/>
                              </a:xfrm>
                              <a:prstGeom prst="line">
                                <a:avLst/>
                              </a:prstGeom>
                              <a:noFill/>
                              <a:ln w="12700" cap="flat" cmpd="sng" algn="ctr">
                                <a:solidFill>
                                  <a:srgbClr val="000000"/>
                                </a:solidFill>
                                <a:prstDash val="solid"/>
                                <a:miter lim="800000"/>
                              </a:ln>
                            </wps:spPr>
                            <wps:bodyPr rot="0">
                              <a:prstTxWarp prst="textNoShape">
                                <a:avLst/>
                              </a:prstTxWarp>
                              <a:noAutofit/>
                            </wps:bodyPr>
                          </wps:wsp>
                        </a:graphicData>
                      </a:graphic>
                    </wp:anchor>
                  </w:drawing>
                </mc:Choice>
                <mc:Fallback>
                  <w:pict>
                    <v:line id="shape 8" o:spid="_x0000_s8" style="position:absolute;left:0;text-align:left;z-index:251666432;mso-wrap-distance-left:9.0pt;mso-wrap-distance-top:0.0pt;mso-wrap-distance-right:9.0pt;mso-wrap-distance-bottom:0.0pt;visibility:visible;" from="-5.2pt,0.6pt" to="115.8pt,69.1pt" filled="f" strokecolor="#000000" strokeweight="1.00pt">
                      <v:stroke dashstyle="solid"/>
                    </v:line>
                  </w:pict>
                </mc:Fallback>
              </mc:AlternateContent>
            </w:r>
            <w:r/>
          </w:p>
        </w:tc>
      </w:tr>
      <w:tr>
        <w:trPr>
          <w:jc w:val="center"/>
          <w:trHeight w:val="978" w:hRule="exact"/>
        </w:trPr>
        <w:tc>
          <w:tcPr>
            <w:tcW w:w="1996"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27500</w:t>
            </w:r>
            <w:r>
              <w:rPr>
                <w:rFonts w:hint="eastAsia" w:ascii="宋体" w:hAnsi="宋体" w:cs="仿宋_GB2312"/>
                <w:color w:val="auto"/>
                <w:szCs w:val="21"/>
                <w:highlight w:val="none"/>
              </w:rPr>
              <w:t xml:space="preserve">元</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40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c>
          <w:tcPr>
            <w:tcW w:w="1154"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32000</w:t>
            </w:r>
            <w:r>
              <w:rPr>
                <w:rFonts w:hint="eastAsia" w:ascii="宋体" w:hAnsi="宋体" w:cs="仿宋_GB2312"/>
                <w:color w:val="auto"/>
                <w:szCs w:val="21"/>
                <w:highlight w:val="none"/>
              </w:rPr>
              <w:t xml:space="preserve">元</w:t>
            </w:r>
            <w:r/>
          </w:p>
        </w:tc>
        <w:tc>
          <w:tcPr>
            <w:tcW w:w="1228" w:type="dxa"/>
            <w:vAlign w:val="center"/>
            <w:textDirection w:val="lrTb"/>
            <w:noWrap w:val="false"/>
          </w:tcPr>
          <w:p>
            <w:pPr>
              <w:jc w:val="center"/>
              <w:spacing w:line="360" w:lineRule="exact"/>
              <w:widowControl/>
              <w:rPr>
                <w:rFonts w:ascii="宋体" w:hAnsi="宋体" w:cs="仿宋_GB2312"/>
                <w:color w:val="auto"/>
                <w:szCs w:val="21"/>
                <w:highlight w:val="none"/>
              </w:rPr>
            </w:pPr>
            <w:r>
              <w:rPr>
                <w:rFonts w:hint="eastAsia" w:ascii="宋体" w:hAnsi="宋体" w:cs="仿宋_GB2312"/>
                <w:color w:val="auto"/>
                <w:szCs w:val="21"/>
                <w:highlight w:val="none"/>
              </w:rPr>
              <w:t xml:space="preserve">60</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rPr>
              <w:t xml:space="preserve">/亩</w:t>
            </w:r>
            <w:r/>
          </w:p>
        </w:tc>
        <w:tc>
          <w:tcPr>
            <w:gridSpan w:val="2"/>
            <w:tcW w:w="2410" w:type="dxa"/>
            <w:vAlign w:val="top"/>
            <w:vMerge w:val="continue"/>
            <w:textDirection w:val="lrTb"/>
            <w:noWrap w:val="false"/>
          </w:tcPr>
          <w:p>
            <w:pPr>
              <w:pStyle w:val="967"/>
              <w:spacing w:line="360" w:lineRule="exact"/>
              <w:rPr>
                <w:rFonts w:hAnsi="宋体" w:cs="仿宋_GB2312"/>
                <w:color w:val="auto"/>
                <w:szCs w:val="21"/>
                <w:highlight w:val="none"/>
              </w:rPr>
            </w:pPr>
            <w:r>
              <w:rPr>
                <w:rFonts w:hAnsi="宋体" w:cs="仿宋_GB2312"/>
                <w:color w:val="auto"/>
                <w:szCs w:val="21"/>
                <w:highlight w:val="none"/>
              </w:rPr>
            </w:r>
            <w:r/>
          </w:p>
        </w:tc>
      </w:tr>
      <w:tr>
        <w:trPr>
          <w:jc w:val="center"/>
          <w:trHeight w:val="972" w:hRule="exact"/>
        </w:trPr>
        <w:tc>
          <w:tcPr>
            <w:gridSpan w:val="7"/>
            <w:tcW w:w="9096" w:type="dxa"/>
            <w:vAlign w:val="top"/>
            <w:textDirection w:val="lrTb"/>
            <w:noWrap w:val="false"/>
          </w:tcPr>
          <w:p>
            <w:pPr>
              <w:pStyle w:val="967"/>
              <w:spacing w:line="360" w:lineRule="exact"/>
              <w:rPr>
                <w:rFonts w:hint="eastAsia" w:hAnsi="宋体" w:eastAsia="宋体" w:cs="仿宋_GB2312"/>
                <w:color w:val="auto"/>
                <w:szCs w:val="21"/>
                <w:highlight w:val="none"/>
                <w:lang w:val="en-US" w:eastAsia="zh-CN"/>
              </w:rPr>
            </w:pPr>
            <w:r>
              <w:rPr>
                <w:rFonts w:hint="eastAsia" w:ascii="宋体" w:hAnsi="宋体" w:cs="仿宋_GB2312"/>
                <w:color w:val="auto"/>
                <w:szCs w:val="21"/>
                <w:highlight w:val="none"/>
              </w:rPr>
              <w:t xml:space="preserve">备注：</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rPr>
              <w:t xml:space="preserve">50亩对应单价为按标准增收的地质灾害调查、测绘费。</w:t>
            </w:r>
            <w:r>
              <w:rPr>
                <w:rFonts w:hint="eastAsia" w:hAnsi="宋体" w:cs="仿宋_GB2312"/>
                <w:color w:val="auto"/>
                <w:szCs w:val="21"/>
                <w:highlight w:val="none"/>
                <w:lang w:eastAsia="zh-CN"/>
              </w:rPr>
              <w:t xml:space="preserve">（</w:t>
            </w:r>
            <w:r>
              <w:rPr>
                <w:rFonts w:hint="eastAsia" w:hAnsi="宋体" w:cs="仿宋_GB2312"/>
                <w:color w:val="auto"/>
                <w:szCs w:val="21"/>
                <w:highlight w:val="none"/>
                <w:lang w:val="en-US" w:eastAsia="zh-CN"/>
              </w:rPr>
              <w:t xml:space="preserve">例：如某</w:t>
            </w:r>
            <w:r>
              <w:rPr>
                <w:rFonts w:hint="eastAsia" w:hAnsi="宋体" w:cs="仿宋_GB2312"/>
                <w:color w:val="auto"/>
                <w:szCs w:val="21"/>
                <w:highlight w:val="none"/>
              </w:rPr>
              <w:t xml:space="preserve">地质灾害危险性评估级别</w:t>
            </w:r>
            <w:r>
              <w:rPr>
                <w:rFonts w:hint="eastAsia" w:hAnsi="宋体" w:cs="仿宋_GB2312"/>
                <w:color w:val="auto"/>
                <w:szCs w:val="21"/>
                <w:highlight w:val="none"/>
                <w:lang w:val="en-US" w:eastAsia="zh-CN"/>
              </w:rPr>
              <w:t xml:space="preserve">为二级的简单地区60亩的收费计算为：27500+（60-50）*40=27900元</w:t>
            </w:r>
            <w:r>
              <w:rPr>
                <w:rFonts w:hint="eastAsia" w:hAnsi="宋体" w:cs="仿宋_GB2312"/>
                <w:color w:val="auto"/>
                <w:szCs w:val="21"/>
                <w:highlight w:val="none"/>
                <w:lang w:eastAsia="zh-CN"/>
              </w:rPr>
              <w:t xml:space="preserve">）</w:t>
            </w:r>
            <w:r/>
          </w:p>
        </w:tc>
      </w:tr>
    </w:tbl>
    <w:p>
      <w:pPr>
        <w:ind w:firstLine="48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第二阶段费用结算方式</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（1）供应商填报的响应优惠率，无论在协议签订前或签订后，均不得以任何理由进行调整。</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（2）征集人从第一阶段入围供应商中采取</w:t>
      </w:r>
      <w:r>
        <w:rPr>
          <w:rFonts w:hint="eastAsia" w:ascii="宋体" w:hAnsi="宋体" w:cs="宋体"/>
          <w:color w:val="auto"/>
          <w:sz w:val="24"/>
          <w:highlight w:val="none"/>
          <w:lang w:val="en-US" w:eastAsia="zh-CN"/>
        </w:rPr>
        <w:t xml:space="preserve">直接选定</w:t>
      </w:r>
      <w:r>
        <w:rPr>
          <w:rFonts w:hint="eastAsia" w:ascii="宋体" w:hAnsi="宋体" w:cs="宋体"/>
          <w:color w:val="auto"/>
          <w:sz w:val="24"/>
          <w:highlight w:val="none"/>
          <w:lang w:val="en-US" w:eastAsia="zh-CN"/>
        </w:rPr>
        <w:t xml:space="preserve">的方式确定服务单位。结算价格为基准价*（1-优惠率）。</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（3）以上费用包含完成征集人安排事项的所有费用（包含但不限于人工费、加班费、交通费、材料费、管理费、利润、税金等一切费用）。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（4）供应商履行合同后，依据采购合同的约定，与征集人进行费用结算。</w:t>
      </w:r>
      <w:r/>
    </w:p>
    <w:p>
      <w:pPr>
        <w:ind w:firstLine="48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三、采购需求</w:t>
      </w:r>
      <w:r/>
    </w:p>
    <w:p>
      <w:pPr>
        <w:ind w:firstLine="40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目标任务</w:t>
      </w:r>
      <w:r/>
    </w:p>
    <w:p>
      <w:pPr>
        <w:ind w:firstLine="40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根据《地质灾害防治条例》（国务院令第394</w:t>
      </w:r>
      <w:r>
        <w:rPr>
          <w:rFonts w:hint="eastAsia" w:ascii="宋体" w:hAnsi="宋体" w:cs="仿宋_GB2312"/>
          <w:color w:val="auto"/>
          <w:szCs w:val="21"/>
          <w:highlight w:val="none"/>
        </w:rPr>
        <w:t xml:space="preserve">号）、《江苏省地质环境保护条例》（江苏省第十一届人民代表大会常务委员会公告第4号）、《省政府办公厅关于推进企业投资建设项目并联审批规范中介服务的意见》（苏政办发〔2015〕15号）、《市政府办公室关于进一步加强土地出让管理工作的通知》（泰政办发〔2017〕152号）、《泰州市自然资源和规划局关于进一步加强地质灾害危险性评估管理工作的通知》（泰自然资规〔2023〕1号）等要求，开展泰州市区储备、上市地块地质灾害危险性评估，从源头上避免工程建设引发地质灾害，切实保障人民生命财产安全，助力地方经济社会高质量发展。</w:t>
      </w:r>
      <w:r/>
    </w:p>
    <w:p>
      <w:pPr>
        <w:ind w:firstLine="402"/>
        <w:spacing w:line="360" w:lineRule="auto"/>
        <w:rPr>
          <w:rFonts w:hint="eastAsia" w:ascii="宋体" w:hAnsi="宋体" w:cs="仿宋_GB2312"/>
          <w:b/>
          <w:bCs/>
          <w:color w:val="auto"/>
          <w:szCs w:val="21"/>
          <w:highlight w:val="none"/>
        </w:rPr>
      </w:pPr>
      <w:r>
        <w:rPr>
          <w:rFonts w:hint="eastAsia" w:ascii="宋体" w:hAnsi="宋体" w:cs="仿宋_GB2312"/>
          <w:b/>
          <w:bCs/>
          <w:color w:val="auto"/>
          <w:szCs w:val="21"/>
          <w:highlight w:val="none"/>
          <w:lang w:eastAsia="zh-CN"/>
        </w:rPr>
        <w:t xml:space="preserve">（</w:t>
      </w:r>
      <w:r>
        <w:rPr>
          <w:rFonts w:hint="eastAsia" w:ascii="宋体" w:hAnsi="宋体" w:cs="仿宋_GB2312"/>
          <w:b/>
          <w:bCs/>
          <w:color w:val="auto"/>
          <w:szCs w:val="21"/>
          <w:highlight w:val="none"/>
          <w:lang w:val="en-US" w:eastAsia="zh-CN"/>
        </w:rPr>
        <w:t xml:space="preserve">2</w:t>
      </w:r>
      <w:r>
        <w:rPr>
          <w:rFonts w:hint="eastAsia" w:ascii="宋体" w:hAnsi="宋体" w:cs="仿宋_GB2312"/>
          <w:b/>
          <w:bCs/>
          <w:color w:val="auto"/>
          <w:szCs w:val="21"/>
          <w:highlight w:val="none"/>
          <w:lang w:eastAsia="zh-CN"/>
        </w:rPr>
        <w:t xml:space="preserve">）</w:t>
      </w:r>
      <w:r>
        <w:rPr>
          <w:rFonts w:hint="eastAsia" w:ascii="宋体" w:hAnsi="宋体" w:cs="仿宋_GB2312"/>
          <w:b/>
          <w:bCs/>
          <w:color w:val="auto"/>
          <w:szCs w:val="21"/>
          <w:highlight w:val="none"/>
        </w:rPr>
        <w:t xml:space="preserve">工作内容</w:t>
      </w:r>
      <w:r/>
    </w:p>
    <w:p>
      <w:pPr>
        <w:ind w:firstLine="40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按照《地质灾害危险性评估技术要求（试行）》《江苏省地质灾害危险性评估技术要求》</w:t>
      </w:r>
      <w:r>
        <w:rPr>
          <w:rFonts w:hint="eastAsia" w:ascii="宋体" w:hAnsi="宋体" w:cs="仿宋_GB2312"/>
          <w:color w:val="auto"/>
          <w:szCs w:val="21"/>
          <w:highlight w:val="none"/>
          <w:lang w:eastAsia="zh-CN"/>
        </w:rPr>
        <w:t xml:space="preserve">（</w:t>
      </w:r>
      <w:r>
        <w:rPr>
          <w:rFonts w:hint="eastAsia" w:ascii="宋体" w:hAnsi="宋体" w:cs="仿宋_GB2312"/>
          <w:color w:val="auto"/>
          <w:szCs w:val="21"/>
          <w:highlight w:val="none"/>
        </w:rPr>
        <w:t xml:space="preserve">苏国土资发〔2010〕353号</w:t>
      </w:r>
      <w:r>
        <w:rPr>
          <w:rFonts w:hint="eastAsia" w:ascii="宋体" w:hAnsi="宋体" w:cs="仿宋_GB2312"/>
          <w:color w:val="auto"/>
          <w:szCs w:val="21"/>
          <w:highlight w:val="none"/>
          <w:lang w:eastAsia="zh-CN"/>
        </w:rPr>
        <w:t xml:space="preserve">）</w:t>
      </w:r>
      <w:r>
        <w:rPr>
          <w:rFonts w:hint="eastAsia" w:ascii="宋体" w:hAnsi="宋体" w:cs="仿宋_GB2312"/>
          <w:color w:val="auto"/>
          <w:szCs w:val="21"/>
          <w:highlight w:val="none"/>
        </w:rPr>
        <w:t xml:space="preserve">等国家、省现行规范规程，全面分析评价泰州市区储备、上市地块地质环境背景条件及复杂程度、拟建项目重要性等级、地质灾害类型及危险性程度，合理确定评估级别和建设用地适宜性，科学预测工程建设诱发、加剧地质灾害的可能性，准确研判工程建设本身可能遭受地质灾害的危险性，提出切实可行的地质灾害防治措施。</w:t>
      </w:r>
      <w:r/>
    </w:p>
    <w:p>
      <w:pPr>
        <w:ind w:firstLine="402"/>
        <w:spacing w:line="360" w:lineRule="auto"/>
        <w:rPr>
          <w:rFonts w:ascii="宋体" w:hAnsi="宋体" w:cs="仿宋_GB2312"/>
          <w:b/>
          <w:bCs/>
          <w:color w:val="auto"/>
          <w:szCs w:val="21"/>
          <w:highlight w:val="none"/>
        </w:rPr>
      </w:pPr>
      <w:r>
        <w:rPr>
          <w:rFonts w:hint="eastAsia" w:ascii="宋体" w:hAnsi="宋体" w:cs="仿宋_GB2312"/>
          <w:b/>
          <w:bCs/>
          <w:color w:val="auto"/>
          <w:szCs w:val="21"/>
          <w:highlight w:val="none"/>
          <w:lang w:eastAsia="zh-CN"/>
        </w:rPr>
        <w:t xml:space="preserve">（</w:t>
      </w:r>
      <w:r>
        <w:rPr>
          <w:rFonts w:hint="eastAsia" w:ascii="宋体" w:hAnsi="宋体" w:cs="仿宋_GB2312"/>
          <w:b/>
          <w:bCs/>
          <w:color w:val="auto"/>
          <w:szCs w:val="21"/>
          <w:highlight w:val="none"/>
          <w:lang w:val="en-US" w:eastAsia="zh-CN"/>
        </w:rPr>
        <w:t xml:space="preserve">3</w:t>
      </w:r>
      <w:r>
        <w:rPr>
          <w:rFonts w:hint="eastAsia" w:ascii="宋体" w:hAnsi="宋体" w:cs="仿宋_GB2312"/>
          <w:b/>
          <w:bCs/>
          <w:color w:val="auto"/>
          <w:szCs w:val="21"/>
          <w:highlight w:val="none"/>
          <w:lang w:eastAsia="zh-CN"/>
        </w:rPr>
        <w:t xml:space="preserve">）</w:t>
      </w:r>
      <w:r>
        <w:rPr>
          <w:rFonts w:hint="eastAsia" w:ascii="宋体" w:hAnsi="宋体" w:cs="仿宋_GB2312"/>
          <w:b/>
          <w:bCs/>
          <w:color w:val="auto"/>
          <w:szCs w:val="21"/>
          <w:highlight w:val="none"/>
        </w:rPr>
        <w:t xml:space="preserve">工作依据及标准：</w:t>
      </w:r>
      <w:r/>
    </w:p>
    <w:p>
      <w:pPr>
        <w:pStyle w:val="983"/>
        <w:ind w:firstLine="40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 《地质灾害防治条例》（国务院令第394号）；</w:t>
      </w:r>
      <w:r/>
    </w:p>
    <w:p>
      <w:pPr>
        <w:pStyle w:val="983"/>
        <w:ind w:firstLine="40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 《国土资源部关于加强地质灾害危险性评估工作的通知》（国土资发〔2004〕69号）；</w:t>
      </w:r>
      <w:r/>
    </w:p>
    <w:p>
      <w:pPr>
        <w:pStyle w:val="983"/>
        <w:ind w:firstLine="400"/>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 《江苏省地质灾害防治“十四五”规划》；</w:t>
      </w:r>
      <w:r/>
    </w:p>
    <w:p>
      <w:pPr>
        <w:pStyle w:val="983"/>
        <w:ind w:firstLine="400"/>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《江苏省地质环境保护条例》（江苏省第十一届人民代表大会常务委员会公告第4号）；</w:t>
      </w:r>
      <w:r/>
    </w:p>
    <w:p>
      <w:pPr>
        <w:pStyle w:val="983"/>
        <w:ind w:firstLine="400"/>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《省政府办公厅关于推进企业投资建设项目并联审批规范中介服务的意见》（苏政办发〔2015〕15号）；</w:t>
      </w:r>
      <w:r/>
    </w:p>
    <w:p>
      <w:pPr>
        <w:pStyle w:val="983"/>
        <w:ind w:firstLine="400"/>
        <w:rPr>
          <w:rFonts w:hint="eastAsia" w:ascii="宋体" w:hAnsi="宋体" w:cs="宋体"/>
          <w:color w:val="auto"/>
          <w:szCs w:val="21"/>
          <w:highlight w:val="none"/>
          <w:lang w:val="zh-CN"/>
        </w:rPr>
      </w:pPr>
      <w:r>
        <w:rPr>
          <w:rFonts w:hint="eastAsia" w:ascii="宋体" w:hAnsi="宋体" w:cs="宋体"/>
          <w:color w:val="auto"/>
          <w:szCs w:val="21"/>
          <w:highlight w:val="none"/>
        </w:rPr>
        <w:t xml:space="preserve">6. </w:t>
      </w:r>
      <w:r>
        <w:rPr>
          <w:rFonts w:hint="eastAsia" w:ascii="宋体" w:hAnsi="宋体" w:cs="宋体"/>
          <w:color w:val="auto"/>
          <w:szCs w:val="21"/>
          <w:highlight w:val="none"/>
          <w:lang w:val="zh-CN"/>
        </w:rPr>
        <w:t xml:space="preserve">《关于印发“江苏省地质灾害危险性评估技术要求”的通知》（苏国土资发〔2010〕353号）；</w:t>
      </w:r>
      <w:r/>
    </w:p>
    <w:p>
      <w:pPr>
        <w:pStyle w:val="983"/>
        <w:ind w:firstLine="400"/>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 《关于加强地质灾害危险性评估工作管理的意见》（苏国土资发〔2011〕216号）；</w:t>
      </w:r>
      <w:r/>
    </w:p>
    <w:p>
      <w:pPr>
        <w:pStyle w:val="983"/>
        <w:ind w:firstLine="400"/>
        <w:rPr>
          <w:rFonts w:hint="eastAsia" w:ascii="宋体" w:hAnsi="宋体" w:cs="宋体"/>
          <w:color w:val="auto"/>
          <w:szCs w:val="21"/>
          <w:highlight w:val="none"/>
          <w:lang w:val="zh-CN"/>
        </w:rPr>
      </w:pPr>
      <w:r>
        <w:rPr>
          <w:rFonts w:hint="eastAsia" w:ascii="宋体" w:hAnsi="宋体" w:cs="宋体"/>
          <w:color w:val="auto"/>
          <w:szCs w:val="21"/>
          <w:highlight w:val="none"/>
        </w:rPr>
        <w:t xml:space="preserve">8. 《泰州市自然资源和规划局关于进一步加强地质灾害危险性评估管理工作的通知》（泰自然资规〔2023〕1号）；</w:t>
      </w:r>
      <w:r/>
    </w:p>
    <w:p>
      <w:pPr>
        <w:ind w:firstLine="40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.其他相关法律法规和行业规范。</w:t>
      </w:r>
      <w:r/>
    </w:p>
    <w:p>
      <w:pPr>
        <w:ind w:firstLine="402"/>
        <w:spacing w:line="360" w:lineRule="auto"/>
        <w:rPr>
          <w:rFonts w:ascii="宋体" w:hAnsi="宋体" w:cs="仿宋_GB2312"/>
          <w:b/>
          <w:bCs/>
          <w:color w:val="auto"/>
          <w:szCs w:val="21"/>
          <w:highlight w:val="none"/>
        </w:rPr>
      </w:pPr>
      <w:r>
        <w:rPr>
          <w:rFonts w:hint="eastAsia" w:ascii="宋体" w:hAnsi="宋体" w:cs="仿宋_GB2312"/>
          <w:b/>
          <w:bCs/>
          <w:color w:val="auto"/>
          <w:szCs w:val="21"/>
          <w:highlight w:val="none"/>
          <w:lang w:eastAsia="zh-CN"/>
        </w:rPr>
        <w:t xml:space="preserve">（</w:t>
      </w:r>
      <w:r>
        <w:rPr>
          <w:rFonts w:hint="eastAsia" w:ascii="宋体" w:hAnsi="宋体" w:cs="仿宋_GB2312"/>
          <w:b/>
          <w:bCs/>
          <w:color w:val="auto"/>
          <w:szCs w:val="21"/>
          <w:highlight w:val="none"/>
          <w:lang w:val="en-US" w:eastAsia="zh-CN"/>
        </w:rPr>
        <w:t xml:space="preserve">4</w:t>
      </w:r>
      <w:r>
        <w:rPr>
          <w:rFonts w:hint="eastAsia" w:ascii="宋体" w:hAnsi="宋体" w:cs="仿宋_GB2312"/>
          <w:b/>
          <w:bCs/>
          <w:color w:val="auto"/>
          <w:szCs w:val="21"/>
          <w:highlight w:val="none"/>
          <w:lang w:eastAsia="zh-CN"/>
        </w:rPr>
        <w:t xml:space="preserve">）</w:t>
      </w:r>
      <w:r>
        <w:rPr>
          <w:rFonts w:hint="eastAsia" w:ascii="宋体" w:hAnsi="宋体" w:cs="仿宋_GB2312"/>
          <w:b/>
          <w:bCs/>
          <w:color w:val="auto"/>
          <w:szCs w:val="21"/>
          <w:highlight w:val="none"/>
          <w:lang w:val="en-US" w:eastAsia="zh-CN"/>
        </w:rPr>
        <w:t xml:space="preserve">工</w:t>
      </w:r>
      <w:r>
        <w:rPr>
          <w:rFonts w:ascii="宋体" w:hAnsi="宋体" w:cs="仿宋_GB2312"/>
          <w:b/>
          <w:bCs/>
          <w:color w:val="auto"/>
          <w:szCs w:val="21"/>
          <w:highlight w:val="none"/>
        </w:rPr>
        <w:t xml:space="preserve">作要求</w:t>
      </w:r>
      <w:r>
        <w:rPr>
          <w:rFonts w:hint="eastAsia" w:ascii="宋体" w:hAnsi="宋体" w:cs="仿宋_GB2312"/>
          <w:b/>
          <w:bCs/>
          <w:color w:val="auto"/>
          <w:szCs w:val="21"/>
          <w:highlight w:val="none"/>
        </w:rPr>
        <w:t xml:space="preserve">：</w:t>
      </w:r>
      <w:r/>
    </w:p>
    <w:p>
      <w:pPr>
        <w:ind w:firstLine="400"/>
        <w:spacing w:line="360" w:lineRule="auto"/>
        <w:rPr>
          <w:rFonts w:hint="eastAsia" w:ascii="宋体" w:hAnsi="宋体" w:cs="宋体"/>
          <w:color w:val="auto"/>
          <w:szCs w:val="21"/>
          <w:highlight w:val="none"/>
          <w:lang w:val="zh-CN" w:eastAsia="zh-CN"/>
        </w:rPr>
      </w:pPr>
      <w:r>
        <w:rPr>
          <w:rFonts w:hint="eastAsia" w:ascii="宋体" w:hAnsi="宋体" w:cs="仿宋_GB2312"/>
          <w:b w:val="0"/>
          <w:bCs w:val="0"/>
          <w:color w:val="auto"/>
          <w:szCs w:val="21"/>
          <w:highlight w:val="none"/>
          <w:lang w:eastAsia="zh-CN"/>
        </w:rPr>
        <w:t xml:space="preserve">1.服务人员：</w:t>
      </w:r>
      <w:r>
        <w:rPr>
          <w:rFonts w:hint="eastAsia" w:ascii="宋体" w:hAnsi="宋体" w:cs="宋体"/>
          <w:b w:val="0"/>
          <w:bCs w:val="0"/>
          <w:color w:val="auto"/>
          <w:szCs w:val="21"/>
          <w:highlight w:val="none"/>
          <w:lang w:val="zh-CN" w:eastAsia="zh-CN"/>
        </w:rPr>
        <w:t xml:space="preserve">供</w:t>
      </w:r>
      <w:r>
        <w:rPr>
          <w:rFonts w:hint="eastAsia" w:ascii="宋体" w:hAnsi="宋体" w:cs="宋体"/>
          <w:color w:val="auto"/>
          <w:szCs w:val="21"/>
          <w:highlight w:val="none"/>
          <w:lang w:val="zh-CN" w:eastAsia="zh-CN"/>
        </w:rPr>
        <w:t xml:space="preserve">应商应成立不少于6人的专业服务团队，其中配备项目负责人1人，项目组成员5人。</w:t>
      </w:r>
      <w:r/>
    </w:p>
    <w:p>
      <w:pPr>
        <w:ind w:firstLine="40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2.中标人在编制地质灾害危险性评估报告时，要全面了解泰州市区地质环境状况，充分收集泰州市区地质、水文等相关资料，注重征询地方自然资源主管部门和地质灾害危险性评估相关专家意见。</w:t>
      </w:r>
      <w:r/>
    </w:p>
    <w:p>
      <w:pPr>
        <w:ind w:firstLine="40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3.中标人接受委托并签订《XX地块地质灾害危险性评估委托书》后，必须按照规定的时间要求（5个工作日内），编制完成《XX地块地质灾害危险性评估报告》并通过专家评审，逾期将根据中标合同有关约定被追究违约责任。</w:t>
      </w:r>
      <w:r/>
    </w:p>
    <w:p>
      <w:pPr>
        <w:ind w:firstLine="40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4.中标人应协助泰州市土地储备和不动产登记中心完成地质灾害危险性评估报告资料汇交工作。</w:t>
      </w:r>
      <w:r/>
    </w:p>
    <w:p>
      <w:pPr>
        <w:ind w:firstLine="402"/>
        <w:spacing w:line="360" w:lineRule="auto"/>
        <w:rPr>
          <w:rFonts w:hint="eastAsia" w:ascii="宋体" w:hAnsi="宋体" w:cs="仿宋_GB2312"/>
          <w:b/>
          <w:bCs/>
          <w:color w:val="auto"/>
          <w:szCs w:val="21"/>
          <w:highlight w:val="none"/>
        </w:rPr>
      </w:pPr>
      <w:r>
        <w:rPr>
          <w:rFonts w:hint="eastAsia" w:ascii="宋体" w:hAnsi="宋体" w:cs="仿宋_GB2312"/>
          <w:b/>
          <w:bCs/>
          <w:color w:val="auto"/>
          <w:szCs w:val="21"/>
          <w:highlight w:val="none"/>
          <w:lang w:eastAsia="zh-CN"/>
        </w:rPr>
        <w:t xml:space="preserve">（</w:t>
      </w:r>
      <w:r>
        <w:rPr>
          <w:rFonts w:hint="eastAsia" w:ascii="宋体" w:hAnsi="宋体" w:cs="仿宋_GB2312"/>
          <w:b/>
          <w:bCs/>
          <w:color w:val="auto"/>
          <w:szCs w:val="21"/>
          <w:highlight w:val="none"/>
          <w:lang w:val="en-US" w:eastAsia="zh-CN"/>
        </w:rPr>
        <w:t xml:space="preserve">5</w:t>
      </w:r>
      <w:r>
        <w:rPr>
          <w:rFonts w:hint="eastAsia" w:ascii="宋体" w:hAnsi="宋体" w:cs="仿宋_GB2312"/>
          <w:b/>
          <w:bCs/>
          <w:color w:val="auto"/>
          <w:szCs w:val="21"/>
          <w:highlight w:val="none"/>
          <w:lang w:eastAsia="zh-CN"/>
        </w:rPr>
        <w:t xml:space="preserve">）</w:t>
      </w:r>
      <w:r>
        <w:rPr>
          <w:rFonts w:hint="eastAsia" w:ascii="宋体" w:hAnsi="宋体" w:cs="仿宋_GB2312"/>
          <w:b/>
          <w:bCs/>
          <w:color w:val="auto"/>
          <w:szCs w:val="21"/>
          <w:highlight w:val="none"/>
        </w:rPr>
        <w:t xml:space="preserve">付款方式</w:t>
      </w:r>
      <w:r/>
    </w:p>
    <w:p>
      <w:pPr>
        <w:ind w:firstLine="480"/>
        <w:pageBreakBefore w:val="0"/>
        <w:spacing w:line="360" w:lineRule="auto"/>
        <w:rPr>
          <w:rFonts w:hint="eastAsia" w:ascii="宋体" w:hAnsi="宋体" w:cs="仿宋_GB2312"/>
          <w:color w:val="auto"/>
          <w:szCs w:val="21"/>
          <w:highlight w:val="none"/>
        </w:rPr>
      </w:pPr>
      <w:r>
        <w:rPr>
          <w:rFonts w:hint="eastAsia"/>
          <w:color w:val="auto"/>
          <w:szCs w:val="21"/>
          <w:highlight w:val="none"/>
          <w:lang w:val="en-US" w:eastAsia="zh-CN"/>
        </w:rPr>
        <w:t xml:space="preserve">据实际调查完成的储备、上市地块面积，经自然资源部门评审后，在地块上市后结算。即结算需满足两个条件：中标人接受委托评估并签订《XX地块地质灾害危险性评估委托书》后，并在5个工作日内将经专家评审通过的《XX地块地质灾害危险性评估报告》提交至泰州市土地储备和不动产登记中心及地块上市结算后方可结算该宗评估费用全款。</w:t>
      </w:r>
      <w:r/>
    </w:p>
    <w:p>
      <w:pPr>
        <w:ind w:firstLine="480"/>
        <w:pageBreakBefore w:val="0"/>
        <w:spacing w:line="360" w:lineRule="auto"/>
        <w:rPr>
          <w:rFonts w:hint="eastAsia" w:ascii="宋体" w:hAnsi="宋体" w:cs="宋体"/>
          <w:b/>
          <w:bCs/>
          <w:i w:val="0"/>
          <w:iCs w:val="0"/>
          <w:color w:val="auto"/>
          <w:sz w:val="24"/>
          <w:highlight w:val="none"/>
          <w:lang w:val="en-US" w:eastAsia="zh-CN"/>
        </w:rPr>
      </w:pPr>
      <w:r>
        <w:rPr>
          <w:rFonts w:hint="eastAsia" w:ascii="宋体" w:hAnsi="宋体" w:cs="宋体"/>
          <w:b/>
          <w:bCs/>
          <w:i w:val="0"/>
          <w:iCs w:val="0"/>
          <w:color w:val="auto"/>
          <w:sz w:val="24"/>
          <w:highlight w:val="none"/>
          <w:lang w:val="en-US" w:eastAsia="zh-CN"/>
        </w:rPr>
        <w:t xml:space="preserve">四、二阶段合同授予</w:t>
      </w:r>
      <w:r/>
    </w:p>
    <w:p>
      <w:pPr>
        <w:ind w:firstLine="480"/>
        <w:pageBreakBefore w:val="0"/>
        <w:spacing w:line="360" w:lineRule="auto"/>
        <w:rPr>
          <w:rFonts w:hint="eastAsia" w:ascii="宋体" w:hAnsi="宋体" w:cs="宋体"/>
          <w:strike/>
          <w:color w:val="auto"/>
          <w:sz w:val="24"/>
          <w:highlight w:val="none"/>
          <w:lang w:val="en-US" w:eastAsia="zh-CN"/>
        </w:rPr>
      </w:pPr>
      <w:r>
        <w:rPr>
          <w:rFonts w:hint="eastAsia" w:ascii="宋体" w:hAnsi="宋体" w:cs="宋体"/>
          <w:strike w:val="0"/>
          <w:color w:val="auto"/>
          <w:sz w:val="24"/>
          <w:highlight w:val="none"/>
          <w:lang w:val="en-US" w:eastAsia="zh-CN"/>
        </w:rPr>
        <w:t xml:space="preserve">确定第二阶段成交供应商</w:t>
      </w:r>
      <w:r>
        <w:rPr>
          <w:rFonts w:hint="default" w:ascii="宋体" w:hAnsi="宋体" w:eastAsia="宋体" w:cs="宋体"/>
          <w:color w:val="auto"/>
          <w:sz w:val="24"/>
          <w:highlight w:val="none"/>
          <w:lang w:val="en-US" w:eastAsia="zh-CN"/>
        </w:rPr>
        <w:t xml:space="preserve">由征集人从第一阶段入围供应商中</w:t>
      </w:r>
      <w:r>
        <w:rPr>
          <w:rFonts w:hint="eastAsia" w:ascii="宋体" w:hAnsi="宋体" w:cs="宋体"/>
          <w:color w:val="auto"/>
          <w:sz w:val="24"/>
          <w:highlight w:val="none"/>
          <w:lang w:val="en-US" w:eastAsia="zh-CN"/>
        </w:rPr>
        <w:t xml:space="preserve">直接选定</w:t>
      </w:r>
      <w:r>
        <w:rPr>
          <w:rFonts w:hint="default" w:ascii="宋体" w:hAnsi="宋体" w:eastAsia="宋体" w:cs="宋体"/>
          <w:color w:val="auto"/>
          <w:sz w:val="24"/>
          <w:highlight w:val="none"/>
          <w:lang w:val="en-US" w:eastAsia="zh-CN"/>
        </w:rPr>
        <w:t xml:space="preserve">。</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五、履约管理要求</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1.管理形式</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泰州市自然资源和规划局将定期或不定期地对入围供应商的服务质量、履约情况进行监督检查。</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2.管理标准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在监管检查中，如发现以下情形，视为不合格行为。相关部门在核实情况后将对相关责任供应商予以处理：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（1）入围供应商提供的服务不符合国家有关规定、响应承诺和框架协议规定。</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（2）无正当理由拒单或不按照承诺提供服务。</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（3）具体项目成交价高于其入围价格或服务承诺。</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（4）使用不正当竞争手段，影响采购单位正常采购活动。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（5）满意度调查中征集人反馈不满意，经核实确系供应商责任。</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（6）其他违法违规行为。</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3.管理措施</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对履约监管中发现的不合格行为，按以下措施处理：</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（1）整改</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入围供应商在框架协议服务期间存在不合格行为的，由征集人出具《责令整改通知书》，在限定时间内完成整改。被开具《责令整改通知书》的供应商，视作差评，记录在案。</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（2）暂停交易资格</w:t>
      </w:r>
      <w:r/>
    </w:p>
    <w:p>
      <w:pPr>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对拒不接受相关部门约谈，或者规定时间内未按《责令整改通知书》完成整改的供应商，暂停其框架协议交易资格三个月。</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（3）终止交易资格</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（4）解决争议的方法</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双方在执行合同中所发生的一切争议，应通过协商解决。如协商不成，可向征集人所在地人民法院起诉。</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六、有关说明</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1.供应商框架协议期内的综合报价包括满足本项目服务要求的从项目入围起到项目正式交付所发生的一切费用。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2.供应商必须在满足征集文件要求的基础上进行报价，如有偏离请于征集文件需求偏离表中说明。</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质量及验收：采购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入围供应商为小微企业或残疾人福利性单位的，其《中小企业声明函》或《残疾人福利性单位声明函》将随入围公告同时发布，接受社会监督。供应商提供的《中小企业声明函》或《残疾人福利性单位声明函》与事实不符的，依照《中华人民共和国政府采购法》第七十七条第一款的规定追究法律责任。</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征集活动开始后，供应商须自行准备设备（包括但不限于笔记本电脑、无线网络）登录“苏采云”，按征集文件规定时间解密后，在评审过程中保持在线，等待评审小组的询标和评审结果，中途不得离开。如供应商未按要求应答，由此所产生的损失及风险由供应商自行承担。</w:t>
      </w:r>
      <w:r/>
    </w:p>
    <w:p>
      <w:pPr>
        <w:ind w:firstLine="48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注：本项目所属</w:t>
      </w:r>
      <w:r>
        <w:rPr>
          <w:rFonts w:hint="eastAsia" w:ascii="宋体" w:hAnsi="宋体" w:cs="宋体"/>
          <w:b/>
          <w:bCs/>
          <w:color w:val="auto"/>
          <w:sz w:val="24"/>
          <w:highlight w:val="none"/>
          <w:u w:val="single"/>
          <w:lang w:val="en-US" w:eastAsia="zh-CN"/>
        </w:rPr>
        <w:t xml:space="preserve">其他未列明行业</w:t>
      </w:r>
      <w:r>
        <w:rPr>
          <w:rFonts w:hint="eastAsia" w:ascii="宋体" w:hAnsi="宋体" w:cs="宋体"/>
          <w:b/>
          <w:bCs/>
          <w:color w:val="auto"/>
          <w:sz w:val="24"/>
          <w:highlight w:val="none"/>
          <w:lang w:val="en-US" w:eastAsia="zh-CN"/>
        </w:rPr>
        <w:t xml:space="preserve">，根据《工业和信息化部、国家统计局、国家发展和改革委员会、财政部关于印发中小企业划型标准规定的通知》（工信部联企业〔2011〕300号）规定的划分标准填写。</w:t>
      </w:r>
      <w:r/>
    </w:p>
    <w:p>
      <w:pPr>
        <w:ind w:firstLine="480"/>
        <w:pageBreakBefore w:val="0"/>
        <w:spacing w:line="360" w:lineRule="auto"/>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7.根据《关于推动解决政府采购异常低价问题的通知》（财库〔2026〕2号）精神，政府采购评审中出现下列情形之一的，评审委员会应当启动异常低价投标（响应）审查程序：</w:t>
      </w:r>
      <w:r/>
    </w:p>
    <w:p>
      <w:pPr>
        <w:ind w:firstLine="480"/>
        <w:pageBreakBefore w:val="0"/>
        <w:spacing w:line="360" w:lineRule="auto"/>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7.1投标（响应）报价低于全部通过符合性审查供应商投标（响应）报价平均值50%的，即投标（响应）报价&lt;全部通过符合性审查供应商投标（响应）报价平均值×50%；</w:t>
      </w:r>
      <w:r/>
    </w:p>
    <w:p>
      <w:pPr>
        <w:ind w:firstLine="480"/>
        <w:pageBreakBefore w:val="0"/>
        <w:spacing w:line="360" w:lineRule="auto"/>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7.2投标（响应）报价低于通过符合性审查的次低报价供应商投标（响应）报价50%的，即投标（响应）报价&lt;通过符合性审查的次低报价供应商投标（响应）报价×50%；</w:t>
      </w:r>
      <w:r/>
    </w:p>
    <w:p>
      <w:pPr>
        <w:ind w:firstLine="480"/>
        <w:pageBreakBefore w:val="0"/>
        <w:spacing w:line="360" w:lineRule="auto"/>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7.3投标（响应）报价低于采购项目最高限价45%的，即投标（响应）报价&lt;采购项目最高限价×45%；</w:t>
      </w:r>
      <w:r/>
    </w:p>
    <w:p>
      <w:pPr>
        <w:ind w:firstLine="480"/>
        <w:pageBreakBefore w:val="0"/>
        <w:spacing w:line="360" w:lineRule="auto"/>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7.4评审委员会基于专业判断，认为供应商报价过低，有可能影响产品质量或者不能诚信履约的其他情形。</w:t>
      </w:r>
      <w:r/>
    </w:p>
    <w:p>
      <w:pPr>
        <w:ind w:firstLine="480"/>
        <w:pageBreakBefore w:val="0"/>
        <w:spacing w:line="360" w:lineRule="auto"/>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8.如标书制作工具中格式和内容与“中国政府采购网”“江苏省政府采购网”发布的征集文件不一致，请以“中国政府采购网”“江苏省政府采购网”发布的征集文件为准。</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pageBreakBefore w:val="0"/>
        <w:spacing w:line="360" w:lineRule="auto"/>
        <w:rPr>
          <w:rFonts w:ascii="Arial" w:hAnsi="Arial"/>
          <w:b/>
          <w:color w:val="auto"/>
          <w:sz w:val="32"/>
          <w:highlight w:val="none"/>
        </w:rPr>
      </w:pPr>
      <w:r>
        <w:rPr>
          <w:color w:val="auto"/>
          <w:highlight w:val="none"/>
        </w:rPr>
        <w:br w:type="page" w:clear="all"/>
      </w:r>
      <w:bookmarkStart w:id="184" w:name="_Toc26554093"/>
      <w:r/>
      <w:bookmarkStart w:id="185" w:name="_Toc49090575"/>
      <w:r/>
      <w:r/>
    </w:p>
    <w:p>
      <w:pPr>
        <w:pStyle w:val="961"/>
        <w:pageBreakBefore w:val="0"/>
        <w:spacing w:line="360" w:lineRule="auto"/>
        <w:rPr>
          <w:rFonts w:ascii="黑体" w:eastAsia="黑体"/>
          <w:b w:val="0"/>
          <w:bCs/>
          <w:color w:val="auto"/>
          <w:sz w:val="44"/>
          <w:highlight w:val="none"/>
        </w:rPr>
      </w:pPr>
      <w:r/>
      <w:bookmarkStart w:id="186" w:name="_Toc128039583"/>
      <w:r/>
      <w:bookmarkStart w:id="187" w:name="_Toc25771"/>
      <w:r/>
      <w:bookmarkStart w:id="188" w:name="_Toc120614281"/>
      <w:r>
        <w:rPr>
          <w:rFonts w:ascii="黑体" w:eastAsia="黑体"/>
          <w:b w:val="0"/>
          <w:bCs/>
          <w:color w:val="auto"/>
          <w:sz w:val="44"/>
          <w:highlight w:val="none"/>
        </w:rPr>
        <w:t xml:space="preserve">第五章 确定入围及成交供应商</w:t>
      </w:r>
      <w:bookmarkEnd w:id="186"/>
      <w:r/>
      <w:bookmarkEnd w:id="187"/>
      <w:r/>
      <w:r/>
    </w:p>
    <w:p>
      <w:pPr>
        <w:pageBreakBefore w:val="0"/>
        <w:spacing w:line="360" w:lineRule="auto"/>
        <w:rPr>
          <w:color w:val="auto"/>
          <w:highlight w:val="none"/>
        </w:rPr>
      </w:pPr>
      <w:r>
        <w:rPr>
          <w:color w:val="auto"/>
          <w:highlight w:val="none"/>
        </w:rPr>
      </w:r>
      <w:r/>
    </w:p>
    <w:p>
      <w:pPr>
        <w:ind w:firstLine="48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lang w:val="en-US" w:eastAsia="zh-CN"/>
        </w:rPr>
        <w:t xml:space="preserve">确定入围及成交供应商的方法</w:t>
      </w:r>
      <w:r/>
    </w:p>
    <w:p>
      <w:pPr>
        <w:numPr>
          <w:ilvl w:val="0"/>
          <w:numId w:val="0"/>
        </w:numPr>
        <w:ind w:firstLine="480"/>
        <w:pageBreakBefore w:val="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val="en-US" w:eastAsia="zh-CN"/>
        </w:rPr>
        <w:t xml:space="preserve">①确定第一阶段入围供应商的评审方法为</w:t>
      </w:r>
      <w:r>
        <w:rPr>
          <w:rFonts w:hint="eastAsia" w:ascii="宋体" w:hAnsi="宋体" w:eastAsia="宋体" w:cs="宋体"/>
          <w:b/>
          <w:bCs/>
          <w:color w:val="auto"/>
          <w:sz w:val="24"/>
          <w:highlight w:val="none"/>
          <w:lang w:val="en-US" w:eastAsia="zh-CN"/>
        </w:rPr>
        <w:t xml:space="preserve">质量优先法</w:t>
      </w:r>
      <w:r>
        <w:rPr>
          <w:rFonts w:hint="eastAsia" w:ascii="宋体" w:hAnsi="宋体" w:eastAsia="宋体" w:cs="宋体"/>
          <w:color w:val="auto"/>
          <w:sz w:val="24"/>
          <w:highlight w:val="none"/>
          <w:lang w:val="en-US" w:eastAsia="zh-CN"/>
        </w:rPr>
        <w:t xml:space="preserve">。质量优先法是指对满足采购需求且响应报价不超过最高限制单价的服务进行质量综合评分，按照质量评分从高到低排序，根据征集文件规定的淘汰率或者入围供应商数量上限，确定入围供应商的评审方法。服务项目质量因素包括服务内容、服务水平、供应商的履约能力、服务经验等。质量因素中的可量化指标应当划分等次，作为评分项；质量因素中的其他指标可以作为实质性要求，不得作为评分项。</w:t>
      </w:r>
      <w:r>
        <w:rPr>
          <w:rFonts w:hint="eastAsia" w:ascii="宋体" w:hAnsi="宋体" w:eastAsia="宋体" w:cs="宋体"/>
          <w:color w:val="auto"/>
          <w:sz w:val="24"/>
          <w:szCs w:val="20"/>
          <w:highlight w:val="none"/>
          <w:lang w:val="en-US" w:eastAsia="zh-CN"/>
        </w:rPr>
        <w:t xml:space="preserve"> </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w:t>
      </w:r>
      <w:r>
        <w:rPr>
          <w:rFonts w:hint="eastAsia" w:ascii="宋体" w:hAnsi="宋体" w:cs="宋体"/>
          <w:color w:val="auto"/>
          <w:sz w:val="24"/>
          <w:highlight w:val="none"/>
          <w:lang w:val="en-US" w:eastAsia="zh-CN"/>
        </w:rPr>
        <w:t xml:space="preserve">第一阶段</w:t>
      </w:r>
      <w:r>
        <w:rPr>
          <w:rFonts w:hint="eastAsia" w:ascii="宋体" w:hAnsi="宋体" w:eastAsia="宋体" w:cs="宋体"/>
          <w:color w:val="auto"/>
          <w:sz w:val="24"/>
          <w:highlight w:val="none"/>
          <w:lang w:val="en-US" w:eastAsia="zh-CN"/>
        </w:rPr>
        <w:t xml:space="preserve">入围供应商</w:t>
      </w:r>
      <w:r>
        <w:rPr>
          <w:rFonts w:hint="eastAsia" w:ascii="宋体" w:hAnsi="宋体" w:cs="宋体"/>
          <w:color w:val="auto"/>
          <w:sz w:val="24"/>
          <w:highlight w:val="none"/>
          <w:lang w:val="en-US" w:eastAsia="zh-CN"/>
        </w:rPr>
        <w:t xml:space="preserve">上限为6家；若符合招标要求的供应商＜6家时，</w:t>
      </w:r>
      <w:r>
        <w:rPr>
          <w:rFonts w:hint="eastAsia" w:ascii="宋体" w:hAnsi="宋体" w:eastAsia="宋体" w:cs="宋体"/>
          <w:color w:val="auto"/>
          <w:sz w:val="24"/>
          <w:highlight w:val="none"/>
          <w:lang w:val="en-US" w:eastAsia="zh-CN"/>
        </w:rPr>
        <w:t xml:space="preserve">淘汰比例</w:t>
      </w:r>
      <w:r>
        <w:rPr>
          <w:rFonts w:hint="eastAsia" w:ascii="宋体" w:hAnsi="宋体" w:cs="宋体"/>
          <w:color w:val="auto"/>
          <w:sz w:val="24"/>
          <w:highlight w:val="none"/>
          <w:lang w:val="en-US" w:eastAsia="zh-CN"/>
        </w:rPr>
        <w:t xml:space="preserve">为</w:t>
      </w:r>
      <w:r>
        <w:rPr>
          <w:rFonts w:hint="eastAsia" w:ascii="宋体" w:hAnsi="宋体" w:eastAsia="宋体" w:cs="宋体"/>
          <w:color w:val="auto"/>
          <w:sz w:val="24"/>
          <w:highlight w:val="none"/>
          <w:lang w:val="en-US" w:eastAsia="zh-CN"/>
        </w:rPr>
        <w:t xml:space="preserve">20%，淘汰家数按照逢点进位，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p>
    <w:p>
      <w:pPr>
        <w:numPr>
          <w:ilvl w:val="0"/>
          <w:numId w:val="0"/>
        </w:numPr>
        <w:ind w:firstLine="480"/>
        <w:pageBreakBefore w:val="0"/>
        <w:spacing w:line="360" w:lineRule="auto"/>
        <w:rPr>
          <w:rFonts w:hint="eastAsia" w:ascii="宋体" w:hAnsi="宋体" w:cs="宋体"/>
          <w:b/>
          <w:bCs/>
          <w:color w:val="auto"/>
          <w:sz w:val="24"/>
          <w:szCs w:val="20"/>
          <w:highlight w:val="none"/>
        </w:rPr>
      </w:pPr>
      <w:r>
        <w:rPr>
          <w:rFonts w:hint="eastAsia" w:ascii="宋体" w:hAnsi="宋体" w:eastAsia="宋体" w:cs="宋体"/>
          <w:b/>
          <w:bCs/>
          <w:color w:val="auto"/>
          <w:sz w:val="24"/>
          <w:szCs w:val="20"/>
          <w:highlight w:val="none"/>
        </w:rPr>
        <w:t xml:space="preserve">③本项目采取</w:t>
      </w:r>
      <w:r>
        <w:rPr>
          <w:rFonts w:hint="eastAsia" w:ascii="宋体" w:hAnsi="宋体" w:eastAsia="宋体" w:cs="宋体"/>
          <w:b/>
          <w:bCs/>
          <w:color w:val="auto"/>
          <w:sz w:val="24"/>
          <w:szCs w:val="20"/>
          <w:highlight w:val="none"/>
          <w:lang w:val="en-US" w:eastAsia="zh-CN"/>
        </w:rPr>
        <w:t xml:space="preserve">优惠率</w:t>
      </w:r>
      <w:r>
        <w:rPr>
          <w:rFonts w:hint="eastAsia" w:ascii="宋体" w:hAnsi="宋体" w:eastAsia="宋体" w:cs="宋体"/>
          <w:b/>
          <w:bCs/>
          <w:color w:val="auto"/>
          <w:sz w:val="24"/>
          <w:szCs w:val="20"/>
          <w:highlight w:val="none"/>
        </w:rPr>
        <w:t xml:space="preserve">报价，以</w:t>
      </w:r>
      <w:r>
        <w:rPr>
          <w:rFonts w:hint="eastAsia" w:ascii="宋体" w:hAnsi="宋体" w:eastAsia="宋体" w:cs="宋体"/>
          <w:b/>
          <w:bCs/>
          <w:color w:val="auto"/>
          <w:sz w:val="24"/>
          <w:szCs w:val="20"/>
          <w:highlight w:val="none"/>
          <w:lang w:val="en-US" w:eastAsia="zh-CN"/>
        </w:rPr>
        <w:t xml:space="preserve">优惠率</w:t>
      </w:r>
      <w:r>
        <w:rPr>
          <w:rFonts w:hint="eastAsia" w:ascii="宋体" w:hAnsi="宋体" w:eastAsia="宋体" w:cs="宋体"/>
          <w:b/>
          <w:bCs/>
          <w:color w:val="auto"/>
          <w:sz w:val="24"/>
          <w:szCs w:val="20"/>
          <w:highlight w:val="none"/>
        </w:rPr>
        <w:t xml:space="preserve">作为供应商的报价参与价格评审。</w:t>
      </w:r>
      <w:r/>
    </w:p>
    <w:p>
      <w:pPr>
        <w:numPr>
          <w:ilvl w:val="0"/>
          <w:numId w:val="0"/>
        </w:numPr>
        <w:ind w:firstLine="482"/>
        <w:pageBreakBefore w:val="0"/>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评审得分相同的，按照最后报价由低到高的顺序推荐。评审得分且最后报价相同的，按照技术指标优劣顺序推荐。</w:t>
      </w:r>
      <w:r/>
    </w:p>
    <w:p>
      <w:pPr>
        <w:numPr>
          <w:ilvl w:val="0"/>
          <w:numId w:val="0"/>
        </w:numPr>
        <w:ind w:firstLine="482"/>
        <w:jc w:val="center"/>
        <w:pageBreakBefore w:val="0"/>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评分标准</w:t>
      </w:r>
      <w:r/>
    </w:p>
    <w:tbl>
      <w:tblPr>
        <w:tblStyle w:val="963"/>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140"/>
        <w:gridCol w:w="5960"/>
        <w:gridCol w:w="777"/>
      </w:tblGrid>
      <w:tr>
        <w:trPr>
          <w:jc w:val="center"/>
          <w:trHeight w:val="567" w:hRule="exact"/>
        </w:trPr>
        <w:tc>
          <w:tcPr>
            <w:tcW w:w="663" w:type="dxa"/>
            <w:vAlign w:val="top"/>
            <w:textDirection w:val="lrTb"/>
            <w:noWrap/>
          </w:tcPr>
          <w:p>
            <w:pPr>
              <w:rPr>
                <w:rFonts w:ascii="宋体" w:hAnsi="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b/>
                <w:color w:val="auto"/>
                <w:sz w:val="24"/>
                <w:szCs w:val="24"/>
                <w:highlight w:val="none"/>
              </w:rPr>
              <w:t xml:space="preserve">序号</w:t>
            </w:r>
            <w:r/>
          </w:p>
        </w:tc>
        <w:tc>
          <w:tcPr>
            <w:tcW w:w="1140" w:type="dxa"/>
            <w:vAlign w:val="top"/>
            <w:textDirection w:val="lrTb"/>
            <w:noWrap/>
          </w:tcPr>
          <w:p>
            <w:pP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评分内容</w:t>
            </w:r>
            <w:r/>
          </w:p>
        </w:tc>
        <w:tc>
          <w:tcPr>
            <w:tcW w:w="5960" w:type="dxa"/>
            <w:vAlign w:val="top"/>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评分标准</w:t>
            </w:r>
            <w:r/>
          </w:p>
        </w:tc>
        <w:tc>
          <w:tcPr>
            <w:tcW w:w="777" w:type="dxa"/>
            <w:vAlign w:val="top"/>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551" w:hRule="exact"/>
        </w:trPr>
        <w:tc>
          <w:tcPr>
            <w:tcW w:w="663" w:type="dxa"/>
            <w:vAlign w:val="top"/>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w:t>
            </w:r>
            <w:r/>
          </w:p>
        </w:tc>
        <w:tc>
          <w:tcPr>
            <w:gridSpan w:val="2"/>
            <w:tcW w:w="7100" w:type="dxa"/>
            <w:vAlign w:val="top"/>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价格部分</w:t>
            </w:r>
            <w:r/>
          </w:p>
        </w:tc>
        <w:tc>
          <w:tcPr>
            <w:tcW w:w="777" w:type="dxa"/>
            <w:vAlign w:val="top"/>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分</w:t>
            </w:r>
            <w:r/>
          </w:p>
        </w:tc>
      </w:tr>
      <w:tr>
        <w:trPr>
          <w:jc w:val="center"/>
          <w:trHeight w:val="635"/>
        </w:trPr>
        <w:tc>
          <w:tcPr>
            <w:tcW w:w="663" w:type="dxa"/>
            <w:vAlign w:val="center"/>
            <w:textDirection w:val="lrTb"/>
            <w:noWrap/>
          </w:tcPr>
          <w:p>
            <w:pPr>
              <w:jc w:val="center"/>
              <w:spacing w:line="520" w:lineRule="exact"/>
              <w:rPr>
                <w:rFonts w:ascii="宋体" w:hAnsi="宋体" w:cs="宋体"/>
                <w:bCs/>
                <w:color w:val="auto"/>
                <w:sz w:val="24"/>
                <w:szCs w:val="24"/>
                <w:highlight w:val="none"/>
              </w:rPr>
            </w:pPr>
            <w:r>
              <w:rPr>
                <w:rFonts w:hint="eastAsia" w:ascii="宋体" w:hAnsi="宋体" w:cs="宋体"/>
                <w:b/>
                <w:color w:val="auto"/>
                <w:sz w:val="24"/>
                <w:szCs w:val="24"/>
                <w:highlight w:val="none"/>
              </w:rPr>
              <w:t xml:space="preserve">1</w:t>
            </w:r>
            <w:r/>
          </w:p>
        </w:tc>
        <w:tc>
          <w:tcPr>
            <w:tcW w:w="1140" w:type="dxa"/>
            <w:vAlign w:val="center"/>
            <w:textDirection w:val="lrTb"/>
            <w:noWrap/>
          </w:tcPr>
          <w:p>
            <w:pPr>
              <w:jc w:val="center"/>
              <w:spacing w:line="520" w:lineRule="exact"/>
              <w:rPr>
                <w:rFonts w:ascii="宋体" w:hAnsi="宋体" w:cs="宋体"/>
                <w:bCs/>
                <w:color w:val="auto"/>
                <w:sz w:val="24"/>
                <w:szCs w:val="24"/>
                <w:highlight w:val="none"/>
              </w:rPr>
            </w:pPr>
            <w:r>
              <w:rPr>
                <w:rFonts w:hint="eastAsia" w:ascii="宋体" w:hAnsi="宋体" w:cs="宋体"/>
                <w:b/>
                <w:color w:val="auto"/>
                <w:sz w:val="24"/>
                <w:szCs w:val="24"/>
                <w:highlight w:val="none"/>
              </w:rPr>
              <w:t xml:space="preserve">投标报价</w:t>
            </w:r>
            <w:r/>
          </w:p>
        </w:tc>
        <w:tc>
          <w:tcPr>
            <w:tcW w:w="5960" w:type="dxa"/>
            <w:vAlign w:val="center"/>
            <w:textDirection w:val="lrTb"/>
            <w:noWrap/>
          </w:tcPr>
          <w:p>
            <w:pPr>
              <w:ind w:firstLine="480"/>
              <w:rPr>
                <w:rFonts w:hint="eastAsia"/>
                <w:color w:val="auto"/>
                <w:sz w:val="24"/>
                <w:szCs w:val="24"/>
                <w:highlight w:val="none"/>
                <w:lang w:val="zh-CN"/>
              </w:rPr>
            </w:pPr>
            <w:r>
              <w:rPr>
                <w:rFonts w:hint="eastAsia"/>
                <w:color w:val="auto"/>
                <w:sz w:val="24"/>
                <w:szCs w:val="24"/>
                <w:highlight w:val="none"/>
                <w:lang w:val="zh-CN"/>
              </w:rPr>
              <w:t xml:space="preserve">满足</w:t>
            </w:r>
            <w:r>
              <w:rPr>
                <w:rFonts w:hint="eastAsia"/>
                <w:color w:val="auto"/>
                <w:sz w:val="24"/>
                <w:szCs w:val="24"/>
                <w:highlight w:val="none"/>
                <w:lang w:val="en-US" w:eastAsia="zh-CN"/>
              </w:rPr>
              <w:t xml:space="preserve">采购</w:t>
            </w:r>
            <w:r>
              <w:rPr>
                <w:rFonts w:hint="eastAsia"/>
                <w:color w:val="auto"/>
                <w:sz w:val="24"/>
                <w:szCs w:val="24"/>
                <w:highlight w:val="none"/>
                <w:lang w:val="zh-CN"/>
              </w:rPr>
              <w:t xml:space="preserve">文件要求且投标</w:t>
            </w:r>
            <w:r>
              <w:rPr>
                <w:rFonts w:hint="eastAsia"/>
                <w:color w:val="auto"/>
                <w:sz w:val="24"/>
                <w:szCs w:val="24"/>
                <w:highlight w:val="none"/>
                <w:lang w:val="en-US" w:eastAsia="zh-CN"/>
              </w:rPr>
              <w:t xml:space="preserve">优惠率</w:t>
            </w:r>
            <w:r>
              <w:rPr>
                <w:rFonts w:hint="eastAsia"/>
                <w:color w:val="auto"/>
                <w:sz w:val="24"/>
                <w:szCs w:val="24"/>
                <w:highlight w:val="none"/>
                <w:lang w:val="zh-CN"/>
              </w:rPr>
              <w:t xml:space="preserve">最</w:t>
            </w:r>
            <w:r>
              <w:rPr>
                <w:rFonts w:hint="eastAsia"/>
                <w:color w:val="auto"/>
                <w:sz w:val="24"/>
                <w:szCs w:val="24"/>
                <w:highlight w:val="none"/>
                <w:lang w:val="en-US" w:eastAsia="zh-CN"/>
              </w:rPr>
              <w:t xml:space="preserve">高</w:t>
            </w:r>
            <w:r>
              <w:rPr>
                <w:rFonts w:hint="eastAsia"/>
                <w:color w:val="auto"/>
                <w:sz w:val="24"/>
                <w:szCs w:val="24"/>
                <w:highlight w:val="none"/>
                <w:lang w:val="zh-CN"/>
              </w:rPr>
              <w:t xml:space="preserve">的为评标基准</w:t>
            </w:r>
            <w:r>
              <w:rPr>
                <w:rFonts w:hint="eastAsia"/>
                <w:color w:val="auto"/>
                <w:sz w:val="24"/>
                <w:szCs w:val="24"/>
                <w:highlight w:val="none"/>
                <w:lang w:val="en-US" w:eastAsia="zh-CN"/>
              </w:rPr>
              <w:t xml:space="preserve">优惠率</w:t>
            </w:r>
            <w:r>
              <w:rPr>
                <w:rFonts w:hint="eastAsia"/>
                <w:color w:val="auto"/>
                <w:sz w:val="24"/>
                <w:szCs w:val="24"/>
                <w:highlight w:val="none"/>
                <w:lang w:val="zh-CN"/>
              </w:rPr>
              <w:t xml:space="preserve">，其价格为满分。其他投标人的价格分按照下列公式计算：投标报价得分＝（</w:t>
            </w:r>
            <w:r>
              <w:rPr>
                <w:rFonts w:hint="eastAsia"/>
                <w:color w:val="auto"/>
                <w:sz w:val="24"/>
                <w:szCs w:val="24"/>
                <w:highlight w:val="none"/>
                <w:lang w:val="en-US" w:eastAsia="zh-CN"/>
              </w:rPr>
              <w:t xml:space="preserve">投标优惠率/基准价</w:t>
            </w:r>
            <w:r>
              <w:rPr>
                <w:rFonts w:hint="eastAsia"/>
                <w:color w:val="auto"/>
                <w:sz w:val="24"/>
                <w:szCs w:val="24"/>
                <w:highlight w:val="none"/>
                <w:lang w:val="zh-CN"/>
              </w:rPr>
              <w:t xml:space="preserve">）×1</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 分（</w:t>
            </w:r>
            <w:r>
              <w:rPr>
                <w:rFonts w:hint="eastAsia"/>
                <w:color w:val="auto"/>
                <w:sz w:val="24"/>
                <w:szCs w:val="24"/>
                <w:highlight w:val="none"/>
                <w:lang w:val="en-US" w:eastAsia="zh-CN"/>
              </w:rPr>
              <w:t xml:space="preserve">保留两位小数</w:t>
            </w:r>
            <w:r>
              <w:rPr>
                <w:rFonts w:hint="eastAsia"/>
                <w:color w:val="auto"/>
                <w:sz w:val="24"/>
                <w:szCs w:val="24"/>
                <w:highlight w:val="none"/>
                <w:lang w:val="zh-CN"/>
              </w:rPr>
              <w:t xml:space="preserve">）</w:t>
            </w:r>
            <w:r/>
          </w:p>
          <w:p>
            <w:pPr>
              <w:ind w:firstLine="480"/>
              <w:rPr>
                <w:color w:val="auto"/>
                <w:sz w:val="24"/>
                <w:szCs w:val="24"/>
                <w:highlight w:val="none"/>
              </w:rPr>
            </w:pPr>
            <w:r>
              <w:rPr>
                <w:color w:val="auto"/>
                <w:sz w:val="24"/>
                <w:szCs w:val="24"/>
                <w:highlight w:val="none"/>
              </w:rPr>
              <w:t xml:space="preserve">注：</w:t>
            </w:r>
            <w:r>
              <w:rPr>
                <w:b/>
                <w:bCs/>
                <w:color w:val="auto"/>
                <w:sz w:val="24"/>
                <w:szCs w:val="24"/>
                <w:highlight w:val="none"/>
              </w:rPr>
              <w:t xml:space="preserve">1. </w:t>
            </w:r>
            <w:r>
              <w:rPr>
                <w:rFonts w:hint="eastAsia"/>
                <w:b/>
                <w:bCs/>
                <w:color w:val="auto"/>
                <w:sz w:val="24"/>
                <w:szCs w:val="24"/>
                <w:highlight w:val="none"/>
              </w:rPr>
              <w:t xml:space="preserve">本项目投标时报优惠率（%），根据优惠率计算价格分</w:t>
            </w:r>
            <w:r>
              <w:rPr>
                <w:rFonts w:hint="eastAsia"/>
                <w:b/>
                <w:bCs/>
                <w:color w:val="auto"/>
                <w:sz w:val="24"/>
                <w:szCs w:val="24"/>
                <w:highlight w:val="none"/>
                <w:lang w:eastAsia="zh-CN"/>
              </w:rPr>
              <w:t xml:space="preserve">，</w:t>
            </w:r>
            <w:r>
              <w:rPr>
                <w:rFonts w:hint="eastAsia"/>
                <w:b/>
                <w:bCs/>
                <w:color w:val="auto"/>
                <w:sz w:val="24"/>
                <w:szCs w:val="24"/>
                <w:highlight w:val="none"/>
              </w:rPr>
              <w:t xml:space="preserve">投标人未按优惠率报价，作为无效投标处理。优惠率举例说明：如在上述基准价的基础上下浮10%，即投标报价</w:t>
            </w:r>
            <w:r>
              <w:rPr>
                <w:rFonts w:hint="eastAsia"/>
                <w:b/>
                <w:bCs/>
                <w:color w:val="auto"/>
                <w:sz w:val="24"/>
                <w:szCs w:val="24"/>
                <w:highlight w:val="none"/>
                <w:lang w:val="en-US" w:eastAsia="zh-CN"/>
              </w:rPr>
              <w:t xml:space="preserve">优惠率</w:t>
            </w:r>
            <w:r>
              <w:rPr>
                <w:rFonts w:hint="eastAsia"/>
                <w:b/>
                <w:bCs/>
                <w:color w:val="auto"/>
                <w:sz w:val="24"/>
                <w:szCs w:val="24"/>
                <w:highlight w:val="none"/>
              </w:rPr>
              <w:t xml:space="preserve">为</w:t>
            </w:r>
            <w:r>
              <w:rPr>
                <w:rFonts w:hint="eastAsia"/>
                <w:b/>
                <w:bCs/>
                <w:color w:val="auto"/>
                <w:sz w:val="24"/>
                <w:szCs w:val="24"/>
                <w:highlight w:val="none"/>
                <w:lang w:val="en-US" w:eastAsia="zh-CN"/>
              </w:rPr>
              <w:t xml:space="preserve">1</w:t>
            </w:r>
            <w:r>
              <w:rPr>
                <w:rFonts w:hint="eastAsia"/>
                <w:b/>
                <w:bCs/>
                <w:color w:val="auto"/>
                <w:sz w:val="24"/>
                <w:szCs w:val="24"/>
                <w:highlight w:val="none"/>
              </w:rPr>
              <w:t xml:space="preserve">0%，结算价格为基准价*</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1-优惠率</w:t>
            </w:r>
            <w:r>
              <w:rPr>
                <w:rFonts w:hint="eastAsia"/>
                <w:b/>
                <w:bCs/>
                <w:color w:val="auto"/>
                <w:sz w:val="24"/>
                <w:szCs w:val="24"/>
                <w:highlight w:val="none"/>
                <w:lang w:eastAsia="zh-CN"/>
              </w:rPr>
              <w:t xml:space="preserve">）</w:t>
            </w:r>
            <w:r>
              <w:rPr>
                <w:b/>
                <w:bCs/>
                <w:color w:val="auto"/>
                <w:sz w:val="24"/>
                <w:szCs w:val="24"/>
                <w:highlight w:val="none"/>
              </w:rPr>
              <w:t xml:space="preserve">。</w:t>
            </w:r>
            <w:r/>
          </w:p>
          <w:p>
            <w:pPr>
              <w:ind w:firstLine="480"/>
              <w:rPr>
                <w:color w:val="auto"/>
                <w:sz w:val="24"/>
                <w:szCs w:val="24"/>
                <w:highlight w:val="none"/>
              </w:rPr>
            </w:pPr>
            <w:r>
              <w:rPr>
                <w:color w:val="auto"/>
                <w:sz w:val="24"/>
                <w:szCs w:val="24"/>
                <w:highlight w:val="none"/>
              </w:rPr>
              <w:t xml:space="preserve">2. 小微型企业价格扣除</w:t>
            </w:r>
            <w:r/>
          </w:p>
          <w:p>
            <w:pPr>
              <w:ind w:firstLine="480"/>
              <w:rPr>
                <w:color w:val="auto"/>
                <w:sz w:val="24"/>
                <w:szCs w:val="24"/>
                <w:highlight w:val="none"/>
              </w:rPr>
            </w:pPr>
            <w:r>
              <w:rPr>
                <w:color w:val="auto"/>
                <w:sz w:val="24"/>
                <w:szCs w:val="24"/>
                <w:highlight w:val="none"/>
              </w:rPr>
              <w:t xml:space="preserve">（1）本项目对小型和微型企业给予10%的扣除价格，用扣除后的价格参与评审。</w:t>
            </w:r>
            <w:r/>
          </w:p>
          <w:p>
            <w:pPr>
              <w:ind w:firstLine="420"/>
              <w:rPr>
                <w:color w:val="auto"/>
                <w:sz w:val="24"/>
                <w:szCs w:val="24"/>
                <w:highlight w:val="none"/>
              </w:rPr>
            </w:pPr>
            <w:r>
              <w:rPr>
                <w:color w:val="auto"/>
                <w:sz w:val="24"/>
                <w:szCs w:val="24"/>
                <w:highlight w:val="none"/>
              </w:rPr>
              <w:t xml:space="preserve">（2）供应商需按照采购文件的要求提供相应的</w:t>
            </w:r>
            <w:r>
              <w:rPr>
                <w:rFonts w:hint="eastAsia"/>
                <w:color w:val="auto"/>
                <w:sz w:val="24"/>
                <w:szCs w:val="24"/>
                <w:highlight w:val="none"/>
              </w:rPr>
              <w:t xml:space="preserve">中小企业声明函</w:t>
            </w:r>
            <w:r>
              <w:rPr>
                <w:color w:val="auto"/>
                <w:sz w:val="24"/>
                <w:szCs w:val="24"/>
                <w:highlight w:val="none"/>
              </w:rPr>
              <w:t xml:space="preserve">。</w:t>
            </w:r>
            <w:r/>
          </w:p>
          <w:p>
            <w:pPr>
              <w:ind w:firstLine="420"/>
              <w:rPr>
                <w:color w:val="auto"/>
                <w:sz w:val="24"/>
                <w:szCs w:val="24"/>
                <w:highlight w:val="none"/>
              </w:rPr>
            </w:pPr>
            <w:r>
              <w:rPr>
                <w:color w:val="auto"/>
                <w:sz w:val="24"/>
                <w:szCs w:val="24"/>
                <w:highlight w:val="none"/>
              </w:rPr>
              <w:t xml:space="preserve">（3）企业标准请参照《关于印发中小企业划型标准规定的通知》（工信部联企业〔20</w:t>
            </w:r>
            <w:r>
              <w:rPr>
                <w:rFonts w:hint="eastAsia"/>
                <w:color w:val="auto"/>
                <w:sz w:val="24"/>
                <w:szCs w:val="24"/>
                <w:highlight w:val="none"/>
                <w:lang w:val="en-US" w:eastAsia="zh-CN"/>
              </w:rPr>
              <w:t xml:space="preserve">11</w:t>
            </w:r>
            <w:r>
              <w:rPr>
                <w:color w:val="auto"/>
                <w:sz w:val="24"/>
                <w:szCs w:val="24"/>
                <w:highlight w:val="none"/>
              </w:rPr>
              <w:t xml:space="preserve">〕300号）文件规定自行填写。</w:t>
            </w:r>
            <w:r/>
          </w:p>
          <w:p>
            <w:pPr>
              <w:ind w:firstLine="420"/>
              <w:rPr>
                <w:color w:val="auto"/>
                <w:sz w:val="24"/>
                <w:szCs w:val="24"/>
                <w:highlight w:val="none"/>
              </w:rPr>
            </w:pPr>
            <w:r>
              <w:rPr>
                <w:color w:val="auto"/>
                <w:sz w:val="24"/>
                <w:szCs w:val="24"/>
                <w:highlight w:val="none"/>
              </w:rPr>
              <w:t xml:space="preserve">3. 残疾人福利单位价格扣除</w:t>
            </w:r>
            <w:r/>
          </w:p>
          <w:p>
            <w:pPr>
              <w:ind w:firstLine="420"/>
              <w:rPr>
                <w:color w:val="auto"/>
                <w:sz w:val="24"/>
                <w:szCs w:val="24"/>
                <w:highlight w:val="none"/>
              </w:rPr>
            </w:pPr>
            <w:r>
              <w:rPr>
                <w:color w:val="auto"/>
                <w:sz w:val="24"/>
                <w:szCs w:val="24"/>
                <w:highlight w:val="none"/>
              </w:rPr>
              <w:t xml:space="preserve">（1）本项目对残疾人福利性单位视同小型、微型企业，给予10%的价格扣除，用扣除后的价格参与评审。</w:t>
            </w:r>
            <w:r/>
          </w:p>
          <w:p>
            <w:pPr>
              <w:ind w:firstLine="420"/>
              <w:rPr>
                <w:color w:val="auto"/>
                <w:sz w:val="24"/>
                <w:szCs w:val="24"/>
                <w:highlight w:val="none"/>
              </w:rPr>
            </w:pPr>
            <w:r>
              <w:rPr>
                <w:color w:val="auto"/>
                <w:sz w:val="24"/>
                <w:szCs w:val="24"/>
                <w:highlight w:val="none"/>
              </w:rPr>
              <w:t xml:space="preserve">（2）残疾人福利单位需按照采购文件的要求提供《残疾人福利性单位声明函》。</w:t>
            </w:r>
            <w:r/>
          </w:p>
          <w:p>
            <w:pPr>
              <w:ind w:firstLine="420"/>
              <w:rPr>
                <w:color w:val="auto"/>
                <w:sz w:val="24"/>
                <w:szCs w:val="24"/>
                <w:highlight w:val="none"/>
              </w:rPr>
            </w:pPr>
            <w:r>
              <w:rPr>
                <w:color w:val="auto"/>
                <w:sz w:val="24"/>
                <w:szCs w:val="24"/>
                <w:highlight w:val="none"/>
              </w:rPr>
              <w:t xml:space="preserve">（3）残疾人福利单位标准请参照《关于促进残疾人就业政府采购政策的通知》（财库〔2017〕141号）。</w:t>
            </w:r>
            <w:r/>
          </w:p>
          <w:p>
            <w:pPr>
              <w:ind w:firstLine="420"/>
              <w:rPr>
                <w:color w:val="auto"/>
                <w:sz w:val="24"/>
                <w:szCs w:val="24"/>
                <w:highlight w:val="none"/>
              </w:rPr>
            </w:pPr>
            <w:r>
              <w:rPr>
                <w:color w:val="auto"/>
                <w:sz w:val="24"/>
                <w:szCs w:val="24"/>
                <w:highlight w:val="none"/>
              </w:rPr>
              <w:t xml:space="preserve">4. 监狱和戒毒企业价格扣除</w:t>
            </w:r>
            <w:r/>
          </w:p>
          <w:p>
            <w:pPr>
              <w:ind w:firstLine="420"/>
              <w:rPr>
                <w:color w:val="auto"/>
                <w:sz w:val="24"/>
                <w:szCs w:val="24"/>
                <w:highlight w:val="none"/>
              </w:rPr>
            </w:pPr>
            <w:r>
              <w:rPr>
                <w:color w:val="auto"/>
                <w:sz w:val="24"/>
                <w:szCs w:val="24"/>
                <w:highlight w:val="none"/>
              </w:rPr>
              <w:t xml:space="preserve">（1）本项目对监狱和戒毒企业（简称监狱企业）视同小型、微型企业，给予10%的价格扣除，用扣除后的价格参与评审。</w:t>
            </w:r>
            <w:r/>
          </w:p>
          <w:p>
            <w:pPr>
              <w:ind w:firstLine="420"/>
              <w:rPr>
                <w:color w:val="auto"/>
                <w:sz w:val="24"/>
                <w:szCs w:val="24"/>
                <w:highlight w:val="none"/>
              </w:rPr>
            </w:pPr>
            <w:r>
              <w:rPr>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rPr>
                <w:color w:val="auto"/>
                <w:sz w:val="24"/>
                <w:szCs w:val="24"/>
                <w:highlight w:val="none"/>
              </w:rPr>
            </w:pPr>
            <w:r>
              <w:rPr>
                <w:color w:val="auto"/>
                <w:sz w:val="24"/>
                <w:szCs w:val="24"/>
                <w:highlight w:val="none"/>
              </w:rPr>
              <w:t xml:space="preserve">（3）监狱企业标准请参照《关于政府采购支持监狱企业发展有关问题的通知》（财库〔2014〕68号）。</w:t>
            </w:r>
            <w:r/>
          </w:p>
          <w:p>
            <w:pPr>
              <w:ind w:firstLine="420"/>
              <w:rPr>
                <w:rFonts w:hint="default" w:eastAsia="宋体"/>
                <w:color w:val="auto"/>
                <w:sz w:val="24"/>
                <w:szCs w:val="24"/>
                <w:highlight w:val="none"/>
                <w:lang w:val="en-US" w:eastAsia="zh-CN"/>
              </w:rPr>
            </w:pPr>
            <w:r>
              <w:rPr>
                <w:color w:val="auto"/>
                <w:sz w:val="24"/>
                <w:szCs w:val="24"/>
                <w:highlight w:val="none"/>
              </w:rPr>
              <w:t xml:space="preserve">5. 残疾人福利单位、监狱企业属于小型、微型企业的，不重复享受政策。</w:t>
            </w:r>
            <w:r/>
          </w:p>
        </w:tc>
        <w:tc>
          <w:tcPr>
            <w:tcW w:w="777"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15</w:t>
            </w:r>
            <w:r>
              <w:rPr>
                <w:rFonts w:hint="eastAsia" w:ascii="宋体" w:hAnsi="宋体" w:cs="宋体"/>
                <w:b/>
                <w:color w:val="auto"/>
                <w:sz w:val="24"/>
                <w:szCs w:val="24"/>
                <w:highlight w:val="none"/>
              </w:rPr>
              <w:t xml:space="preserve">分</w:t>
            </w:r>
            <w:r/>
          </w:p>
        </w:tc>
      </w:tr>
      <w:tr>
        <w:trPr>
          <w:jc w:val="center"/>
          <w:trHeight w:val="402"/>
        </w:trPr>
        <w:tc>
          <w:tcPr>
            <w:tcW w:w="663"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w:t>
            </w:r>
            <w:r/>
          </w:p>
        </w:tc>
        <w:tc>
          <w:tcPr>
            <w:gridSpan w:val="2"/>
            <w:tcW w:w="7100" w:type="dxa"/>
            <w:vAlign w:val="center"/>
            <w:textDirection w:val="lrTb"/>
            <w:noWrap/>
          </w:tcPr>
          <w:p>
            <w:pPr>
              <w:jc w:val="center"/>
              <w:spacing w:line="520" w:lineRule="exact"/>
              <w:rPr>
                <w:b/>
                <w:color w:val="auto"/>
                <w:sz w:val="24"/>
                <w:szCs w:val="24"/>
                <w:highlight w:val="none"/>
              </w:rPr>
            </w:pPr>
            <w:r>
              <w:rPr>
                <w:b/>
                <w:color w:val="auto"/>
                <w:sz w:val="24"/>
                <w:szCs w:val="24"/>
                <w:highlight w:val="none"/>
              </w:rPr>
              <w:t xml:space="preserve">资信部分</w:t>
            </w:r>
            <w:r/>
          </w:p>
        </w:tc>
        <w:tc>
          <w:tcPr>
            <w:tcW w:w="777"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35</w:t>
            </w:r>
            <w:r>
              <w:rPr>
                <w:rFonts w:hint="eastAsia" w:ascii="宋体" w:hAnsi="宋体" w:cs="宋体"/>
                <w:b/>
                <w:color w:val="auto"/>
                <w:sz w:val="24"/>
                <w:szCs w:val="24"/>
                <w:highlight w:val="none"/>
              </w:rPr>
              <w:t xml:space="preserve">分</w:t>
            </w:r>
            <w:r/>
          </w:p>
        </w:tc>
      </w:tr>
      <w:tr>
        <w:trPr>
          <w:jc w:val="center"/>
          <w:trHeight w:val="679"/>
        </w:trPr>
        <w:tc>
          <w:tcPr>
            <w:tcW w:w="663" w:type="dxa"/>
            <w:vAlign w:val="center"/>
            <w:textDirection w:val="lrTb"/>
            <w:noWrap/>
          </w:tcPr>
          <w:p>
            <w:pPr>
              <w:jc w:val="center"/>
              <w:spacing w:line="520" w:lineRule="exact"/>
              <w:rPr>
                <w:rFonts w:ascii="宋体" w:hAnsi="宋体" w:cs="宋体"/>
                <w:bCs/>
                <w:color w:val="auto"/>
                <w:sz w:val="24"/>
                <w:szCs w:val="24"/>
                <w:highlight w:val="none"/>
              </w:rPr>
            </w:pPr>
            <w:r>
              <w:rPr>
                <w:rFonts w:hint="eastAsia" w:ascii="宋体" w:hAnsi="宋体" w:cs="宋体"/>
                <w:b/>
                <w:color w:val="auto"/>
                <w:sz w:val="24"/>
                <w:szCs w:val="24"/>
                <w:highlight w:val="none"/>
              </w:rPr>
              <w:t xml:space="preserve">1</w:t>
            </w:r>
            <w:r/>
          </w:p>
        </w:tc>
        <w:tc>
          <w:tcPr>
            <w:tcW w:w="1140" w:type="dxa"/>
            <w:vAlign w:val="center"/>
            <w:textDirection w:val="lrTb"/>
            <w:noWrap/>
          </w:tcPr>
          <w:p>
            <w:pPr>
              <w:jc w:val="center"/>
              <w:spacing w:line="440" w:lineRule="exact"/>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资信情况</w:t>
            </w:r>
            <w:r/>
          </w:p>
        </w:tc>
        <w:tc>
          <w:tcPr>
            <w:tcW w:w="5960" w:type="dxa"/>
            <w:vAlign w:val="center"/>
            <w:textDirection w:val="lrTb"/>
            <w:noWrap/>
          </w:tcPr>
          <w:p>
            <w:pPr>
              <w:ind w:firstLine="480"/>
              <w:jc w:val="left"/>
              <w:rPr>
                <w:color w:val="auto"/>
                <w:sz w:val="24"/>
                <w:szCs w:val="24"/>
                <w:highlight w:val="none"/>
              </w:rPr>
            </w:pPr>
            <w:r>
              <w:rPr>
                <w:color w:val="auto"/>
                <w:sz w:val="24"/>
                <w:szCs w:val="24"/>
                <w:highlight w:val="none"/>
              </w:rPr>
              <w:t xml:space="preserve">投标人具有ISO9001系列质量管理体系认证，得</w:t>
            </w:r>
            <w:r>
              <w:rPr>
                <w:rFonts w:hint="eastAsia"/>
                <w:color w:val="auto"/>
                <w:sz w:val="24"/>
                <w:szCs w:val="24"/>
                <w:highlight w:val="none"/>
                <w:lang w:val="en-US" w:eastAsia="zh-CN"/>
              </w:rPr>
              <w:t xml:space="preserve">2</w:t>
            </w:r>
            <w:r>
              <w:rPr>
                <w:color w:val="auto"/>
                <w:sz w:val="24"/>
                <w:szCs w:val="24"/>
                <w:highlight w:val="none"/>
              </w:rPr>
              <w:t xml:space="preserve">分；具有ISO14001环境管理体系认证，得</w:t>
            </w:r>
            <w:r>
              <w:rPr>
                <w:rFonts w:hint="eastAsia"/>
                <w:color w:val="auto"/>
                <w:sz w:val="24"/>
                <w:szCs w:val="24"/>
                <w:highlight w:val="none"/>
                <w:lang w:val="en-US" w:eastAsia="zh-CN"/>
              </w:rPr>
              <w:t xml:space="preserve">2</w:t>
            </w:r>
            <w:r>
              <w:rPr>
                <w:color w:val="auto"/>
                <w:sz w:val="24"/>
                <w:szCs w:val="24"/>
                <w:highlight w:val="none"/>
              </w:rPr>
              <w:t xml:space="preserve">分；具有ISO45001职业健康安全管理体系认证，得</w:t>
            </w:r>
            <w:r>
              <w:rPr>
                <w:rFonts w:hint="eastAsia"/>
                <w:color w:val="auto"/>
                <w:sz w:val="24"/>
                <w:szCs w:val="24"/>
                <w:highlight w:val="none"/>
                <w:lang w:val="en-US" w:eastAsia="zh-CN"/>
              </w:rPr>
              <w:t xml:space="preserve">2</w:t>
            </w:r>
            <w:r>
              <w:rPr>
                <w:color w:val="auto"/>
                <w:sz w:val="24"/>
                <w:szCs w:val="24"/>
                <w:highlight w:val="none"/>
              </w:rPr>
              <w:t xml:space="preserve">分。</w:t>
            </w:r>
            <w:r/>
          </w:p>
          <w:p>
            <w:pPr>
              <w:ind w:firstLine="480"/>
              <w:jc w:val="left"/>
              <w:rPr>
                <w:color w:val="auto"/>
                <w:sz w:val="24"/>
                <w:szCs w:val="24"/>
                <w:highlight w:val="none"/>
              </w:rPr>
            </w:pPr>
            <w:r>
              <w:rPr>
                <w:color w:val="auto"/>
                <w:sz w:val="24"/>
                <w:szCs w:val="24"/>
                <w:highlight w:val="none"/>
              </w:rPr>
              <w:t xml:space="preserve">具有乙级</w:t>
            </w:r>
            <w:r>
              <w:rPr>
                <w:rFonts w:hint="eastAsia"/>
                <w:color w:val="auto"/>
                <w:sz w:val="24"/>
                <w:szCs w:val="24"/>
                <w:highlight w:val="none"/>
                <w:lang w:val="en-US" w:eastAsia="zh-CN"/>
              </w:rPr>
              <w:t xml:space="preserve">及以上</w:t>
            </w:r>
            <w:r>
              <w:rPr>
                <w:color w:val="auto"/>
                <w:sz w:val="24"/>
                <w:szCs w:val="24"/>
                <w:highlight w:val="none"/>
              </w:rPr>
              <w:t xml:space="preserve">测绘资质</w:t>
            </w:r>
            <w:r>
              <w:rPr>
                <w:rFonts w:hint="eastAsia"/>
                <w:color w:val="auto"/>
                <w:sz w:val="24"/>
                <w:szCs w:val="24"/>
                <w:highlight w:val="none"/>
                <w:lang w:val="en-US" w:eastAsia="zh-CN"/>
              </w:rPr>
              <w:t xml:space="preserve">并在有效期内的</w:t>
            </w:r>
            <w:r>
              <w:rPr>
                <w:color w:val="auto"/>
                <w:sz w:val="24"/>
                <w:szCs w:val="24"/>
                <w:highlight w:val="none"/>
              </w:rPr>
              <w:t xml:space="preserve">得</w:t>
            </w:r>
            <w:r>
              <w:rPr>
                <w:rFonts w:hint="eastAsia"/>
                <w:color w:val="auto"/>
                <w:sz w:val="24"/>
                <w:szCs w:val="24"/>
                <w:highlight w:val="none"/>
                <w:lang w:val="en-US" w:eastAsia="zh-CN"/>
              </w:rPr>
              <w:t xml:space="preserve">2</w:t>
            </w:r>
            <w:r>
              <w:rPr>
                <w:color w:val="auto"/>
                <w:sz w:val="24"/>
                <w:szCs w:val="24"/>
                <w:highlight w:val="none"/>
              </w:rPr>
              <w:t xml:space="preserve">分。</w:t>
            </w:r>
            <w:r/>
          </w:p>
          <w:p>
            <w:pPr>
              <w:ind w:firstLine="480"/>
              <w:jc w:val="left"/>
              <w:rPr>
                <w:color w:val="auto"/>
                <w:sz w:val="24"/>
                <w:szCs w:val="24"/>
                <w:highlight w:val="none"/>
              </w:rPr>
            </w:pPr>
            <w:r>
              <w:rPr>
                <w:color w:val="auto"/>
                <w:sz w:val="24"/>
                <w:szCs w:val="24"/>
                <w:highlight w:val="none"/>
              </w:rPr>
              <w:t xml:space="preserve">注：上述证书须在有效期内，提供证书等证明材料复印件加盖公章作为得分依据。</w:t>
            </w:r>
            <w:r/>
          </w:p>
        </w:tc>
        <w:tc>
          <w:tcPr>
            <w:tcW w:w="777" w:type="dxa"/>
            <w:vAlign w:val="center"/>
            <w:textDirection w:val="lrTb"/>
            <w:noWrap/>
          </w:tcPr>
          <w:p>
            <w:pPr>
              <w:jc w:val="center"/>
              <w:spacing w:line="520" w:lineRule="exact"/>
              <w:rPr>
                <w:rFonts w:ascii="宋体" w:hAnsi="宋体" w:cs="宋体"/>
                <w:bCs/>
                <w:color w:val="auto"/>
                <w:sz w:val="24"/>
                <w:szCs w:val="24"/>
                <w:highlight w:val="none"/>
              </w:rPr>
            </w:pP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分</w:t>
            </w:r>
            <w:r/>
          </w:p>
        </w:tc>
      </w:tr>
      <w:tr>
        <w:trPr>
          <w:jc w:val="center"/>
          <w:trHeight w:val="1952"/>
        </w:trPr>
        <w:tc>
          <w:tcPr>
            <w:tcW w:w="663" w:type="dxa"/>
            <w:vAlign w:val="center"/>
            <w:textDirection w:val="lrTb"/>
            <w:noWrap/>
          </w:tcPr>
          <w:p>
            <w:pPr>
              <w:jc w:val="center"/>
              <w:spacing w:line="520" w:lineRule="exact"/>
              <w:rPr>
                <w:rFonts w:ascii="宋体" w:hAnsi="宋体" w:cs="宋体"/>
                <w:bCs/>
                <w:color w:val="auto"/>
                <w:sz w:val="24"/>
                <w:szCs w:val="24"/>
                <w:highlight w:val="none"/>
              </w:rPr>
            </w:pPr>
            <w:r>
              <w:rPr>
                <w:rFonts w:hint="eastAsia" w:ascii="宋体" w:hAnsi="宋体" w:cs="宋体"/>
                <w:b/>
                <w:color w:val="auto"/>
                <w:sz w:val="24"/>
                <w:szCs w:val="24"/>
                <w:highlight w:val="none"/>
              </w:rPr>
              <w:t xml:space="preserve">2</w:t>
            </w:r>
            <w:r/>
          </w:p>
        </w:tc>
        <w:tc>
          <w:tcPr>
            <w:tcW w:w="1140" w:type="dxa"/>
            <w:vAlign w:val="center"/>
            <w:textDirection w:val="lrTb"/>
            <w:noWrap/>
          </w:tcPr>
          <w:p>
            <w:pPr>
              <w:jc w:val="center"/>
              <w:spacing w:line="520" w:lineRule="exact"/>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工作业绩</w:t>
            </w:r>
            <w:r/>
          </w:p>
        </w:tc>
        <w:tc>
          <w:tcPr>
            <w:tcW w:w="5960" w:type="dxa"/>
            <w:vAlign w:val="center"/>
            <w:textDirection w:val="lrTb"/>
            <w:noWrap/>
          </w:tcPr>
          <w:p>
            <w:pPr>
              <w:ind w:firstLine="480"/>
              <w:jc w:val="left"/>
              <w:rPr>
                <w:color w:val="auto"/>
                <w:sz w:val="24"/>
                <w:szCs w:val="24"/>
                <w:highlight w:val="none"/>
              </w:rPr>
            </w:pPr>
            <w:r>
              <w:rPr>
                <w:color w:val="auto"/>
                <w:sz w:val="24"/>
                <w:szCs w:val="24"/>
                <w:highlight w:val="none"/>
              </w:rPr>
              <w:t xml:space="preserve">2020年1月1日以来，承担</w:t>
            </w:r>
            <w:r>
              <w:rPr>
                <w:rFonts w:hint="eastAsia"/>
                <w:color w:val="auto"/>
                <w:sz w:val="24"/>
                <w:szCs w:val="24"/>
                <w:highlight w:val="none"/>
              </w:rPr>
              <w:t xml:space="preserve">过</w:t>
            </w:r>
            <w:r>
              <w:rPr>
                <w:color w:val="auto"/>
                <w:sz w:val="24"/>
                <w:szCs w:val="24"/>
                <w:highlight w:val="none"/>
              </w:rPr>
              <w:t xml:space="preserve">地质灾害危险性评估二级</w:t>
            </w:r>
            <w:r>
              <w:rPr>
                <w:rFonts w:hint="eastAsia"/>
                <w:color w:val="auto"/>
                <w:sz w:val="24"/>
                <w:szCs w:val="24"/>
                <w:highlight w:val="none"/>
                <w:lang w:val="en-US" w:eastAsia="zh-CN"/>
              </w:rPr>
              <w:t xml:space="preserve">及以上</w:t>
            </w:r>
            <w:r>
              <w:rPr>
                <w:color w:val="auto"/>
                <w:sz w:val="24"/>
                <w:szCs w:val="24"/>
                <w:highlight w:val="none"/>
              </w:rPr>
              <w:t xml:space="preserve">项目</w:t>
            </w:r>
            <w:r>
              <w:rPr>
                <w:rFonts w:hint="eastAsia"/>
                <w:color w:val="auto"/>
                <w:sz w:val="24"/>
                <w:szCs w:val="24"/>
                <w:highlight w:val="none"/>
              </w:rPr>
              <w:t xml:space="preserve">的</w:t>
            </w:r>
            <w:r>
              <w:rPr>
                <w:color w:val="auto"/>
                <w:sz w:val="24"/>
                <w:szCs w:val="24"/>
                <w:highlight w:val="none"/>
              </w:rPr>
              <w:t xml:space="preserve">，每有</w:t>
            </w:r>
            <w:r>
              <w:rPr>
                <w:rFonts w:hint="eastAsia"/>
                <w:color w:val="auto"/>
                <w:sz w:val="24"/>
                <w:szCs w:val="24"/>
                <w:highlight w:val="none"/>
                <w:lang w:val="en-US" w:eastAsia="zh-CN"/>
              </w:rPr>
              <w:t xml:space="preserve">1</w:t>
            </w:r>
            <w:r>
              <w:rPr>
                <w:color w:val="auto"/>
                <w:sz w:val="24"/>
                <w:szCs w:val="24"/>
                <w:highlight w:val="none"/>
              </w:rPr>
              <w:t xml:space="preserve">宗得</w:t>
            </w:r>
            <w:r>
              <w:rPr>
                <w:rFonts w:hint="eastAsia"/>
                <w:color w:val="auto"/>
                <w:sz w:val="24"/>
                <w:szCs w:val="24"/>
                <w:highlight w:val="none"/>
                <w:lang w:val="en-US" w:eastAsia="zh-CN"/>
              </w:rPr>
              <w:t xml:space="preserve">3</w:t>
            </w:r>
            <w:r>
              <w:rPr>
                <w:color w:val="auto"/>
                <w:sz w:val="24"/>
                <w:szCs w:val="24"/>
                <w:highlight w:val="none"/>
              </w:rPr>
              <w:t xml:space="preserve">分，最高得</w:t>
            </w:r>
            <w:r>
              <w:rPr>
                <w:rFonts w:hint="eastAsia"/>
                <w:color w:val="auto"/>
                <w:sz w:val="24"/>
                <w:szCs w:val="24"/>
                <w:highlight w:val="none"/>
                <w:lang w:val="en-US" w:eastAsia="zh-CN"/>
              </w:rPr>
              <w:t xml:space="preserve">18</w:t>
            </w:r>
            <w:r>
              <w:rPr>
                <w:color w:val="auto"/>
                <w:sz w:val="24"/>
                <w:szCs w:val="24"/>
                <w:highlight w:val="none"/>
              </w:rPr>
              <w:t xml:space="preserve">分。</w:t>
            </w:r>
            <w:r/>
          </w:p>
          <w:p>
            <w:pPr>
              <w:ind w:firstLine="480"/>
              <w:jc w:val="left"/>
              <w:rPr>
                <w:rFonts w:hint="default" w:eastAsiaTheme="minorEastAsia"/>
                <w:color w:val="auto"/>
                <w:sz w:val="24"/>
                <w:highlight w:val="none"/>
                <w:lang w:val="en-US" w:eastAsia="zh-CN"/>
              </w:rPr>
            </w:pPr>
            <w:r>
              <w:rPr>
                <w:color w:val="auto"/>
                <w:sz w:val="24"/>
                <w:szCs w:val="24"/>
                <w:highlight w:val="none"/>
              </w:rPr>
              <w:t xml:space="preserve">注：</w:t>
            </w:r>
            <w:r>
              <w:rPr>
                <w:rFonts w:hint="eastAsia"/>
                <w:color w:val="auto"/>
                <w:sz w:val="24"/>
                <w:szCs w:val="24"/>
                <w:highlight w:val="none"/>
              </w:rPr>
              <w:t xml:space="preserve">以合同签订日期为准，须</w:t>
            </w:r>
            <w:r>
              <w:rPr>
                <w:color w:val="auto"/>
                <w:sz w:val="24"/>
                <w:szCs w:val="24"/>
                <w:highlight w:val="none"/>
              </w:rPr>
              <w:t xml:space="preserve">提供项目合同以及项目验收证明复印件加盖公章作为得分依据</w:t>
            </w:r>
            <w:r>
              <w:rPr>
                <w:rFonts w:hint="eastAsia"/>
                <w:color w:val="auto"/>
                <w:sz w:val="24"/>
                <w:szCs w:val="24"/>
                <w:highlight w:val="none"/>
                <w:lang w:val="en-US" w:eastAsia="zh-CN"/>
              </w:rPr>
              <w:t xml:space="preserve">。</w:t>
            </w:r>
            <w:r/>
          </w:p>
        </w:tc>
        <w:tc>
          <w:tcPr>
            <w:tcW w:w="777" w:type="dxa"/>
            <w:vAlign w:val="center"/>
            <w:textDirection w:val="lrTb"/>
            <w:noWrap/>
          </w:tcPr>
          <w:p>
            <w:pPr>
              <w:jc w:val="center"/>
              <w:spacing w:line="520" w:lineRule="exact"/>
              <w:rPr>
                <w:rFonts w:ascii="宋体" w:hAnsi="宋体" w:cs="宋体"/>
                <w:bCs/>
                <w:color w:val="auto"/>
                <w:sz w:val="24"/>
                <w:szCs w:val="24"/>
                <w:highlight w:val="none"/>
              </w:rPr>
            </w:pPr>
            <w:r>
              <w:rPr>
                <w:rFonts w:hint="eastAsia" w:ascii="宋体" w:hAnsi="宋体" w:cs="宋体"/>
                <w:b/>
                <w:color w:val="auto"/>
                <w:sz w:val="24"/>
                <w:szCs w:val="24"/>
                <w:highlight w:val="none"/>
                <w:lang w:val="en-US" w:eastAsia="zh-CN"/>
              </w:rPr>
              <w:t xml:space="preserve">18</w:t>
            </w:r>
            <w:r>
              <w:rPr>
                <w:rFonts w:hint="eastAsia" w:ascii="宋体" w:hAnsi="宋体" w:cs="宋体"/>
                <w:b/>
                <w:color w:val="auto"/>
                <w:sz w:val="24"/>
                <w:szCs w:val="24"/>
                <w:highlight w:val="none"/>
              </w:rPr>
              <w:t xml:space="preserve">分</w:t>
            </w:r>
            <w:r/>
          </w:p>
        </w:tc>
      </w:tr>
      <w:tr>
        <w:trPr>
          <w:jc w:val="center"/>
          <w:trHeight w:val="734"/>
        </w:trPr>
        <w:tc>
          <w:tcPr>
            <w:tcW w:w="663" w:type="dxa"/>
            <w:vAlign w:val="center"/>
            <w:textDirection w:val="lrTb"/>
            <w:noWrap/>
          </w:tcPr>
          <w:p>
            <w:pPr>
              <w:jc w:val="center"/>
              <w:spacing w:line="52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p>
        </w:tc>
        <w:tc>
          <w:tcPr>
            <w:tcW w:w="1140"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人员配备</w:t>
            </w:r>
            <w:r/>
          </w:p>
        </w:tc>
        <w:tc>
          <w:tcPr>
            <w:tcW w:w="5960" w:type="dxa"/>
            <w:vAlign w:val="center"/>
            <w:textDirection w:val="lrTb"/>
            <w:noWrap/>
          </w:tcPr>
          <w:p>
            <w:pPr>
              <w:ind w:firstLine="480"/>
              <w:rPr>
                <w:color w:val="auto"/>
                <w:sz w:val="24"/>
                <w:highlight w:val="none"/>
              </w:rPr>
            </w:pPr>
            <w:r>
              <w:rPr>
                <w:rFonts w:hint="eastAsia"/>
                <w:color w:val="auto"/>
                <w:sz w:val="24"/>
                <w:highlight w:val="none"/>
                <w:lang w:val="en-US" w:eastAsia="zh-CN"/>
              </w:rPr>
              <w:t xml:space="preserve">1.</w:t>
            </w:r>
            <w:r>
              <w:rPr>
                <w:color w:val="auto"/>
                <w:sz w:val="24"/>
                <w:highlight w:val="none"/>
              </w:rPr>
              <w:t xml:space="preserve">项目负责人</w:t>
            </w:r>
            <w:r>
              <w:rPr>
                <w:rFonts w:hint="eastAsia"/>
                <w:color w:val="auto"/>
                <w:sz w:val="24"/>
                <w:highlight w:val="none"/>
                <w:lang w:eastAsia="zh-CN"/>
              </w:rPr>
              <w:t xml:space="preserve">（</w:t>
            </w:r>
            <w:r>
              <w:rPr>
                <w:rFonts w:hint="eastAsia"/>
                <w:color w:val="auto"/>
                <w:sz w:val="24"/>
                <w:highlight w:val="none"/>
                <w:lang w:val="en-US" w:eastAsia="zh-CN"/>
              </w:rPr>
              <w:t xml:space="preserve">限1人</w:t>
            </w:r>
            <w:r>
              <w:rPr>
                <w:rFonts w:hint="eastAsia"/>
                <w:color w:val="auto"/>
                <w:sz w:val="24"/>
                <w:highlight w:val="none"/>
                <w:lang w:eastAsia="zh-CN"/>
              </w:rPr>
              <w:t xml:space="preserve">）</w:t>
            </w:r>
            <w:r>
              <w:rPr>
                <w:color w:val="auto"/>
                <w:sz w:val="24"/>
                <w:highlight w:val="none"/>
              </w:rPr>
              <w:t xml:space="preserve">具有高级及以上职称（专业方向为地质矿产类或水工环地质类）和</w:t>
            </w:r>
            <w:r>
              <w:rPr>
                <w:rFonts w:hint="eastAsia"/>
                <w:color w:val="auto"/>
                <w:sz w:val="24"/>
                <w:highlight w:val="none"/>
              </w:rPr>
              <w:t xml:space="preserve">有效的</w:t>
            </w:r>
            <w:r>
              <w:rPr>
                <w:color w:val="auto"/>
                <w:sz w:val="24"/>
                <w:highlight w:val="none"/>
              </w:rPr>
              <w:t xml:space="preserve">地质灾害危险性评估培训证书，并担任过地质灾害</w:t>
            </w:r>
            <w:r>
              <w:rPr>
                <w:color w:val="auto"/>
                <w:sz w:val="24"/>
                <w:szCs w:val="24"/>
                <w:highlight w:val="none"/>
              </w:rPr>
              <w:t xml:space="preserve">危险性区域评估项目负责人的，得</w:t>
            </w:r>
            <w:r>
              <w:rPr>
                <w:rFonts w:hint="eastAsia"/>
                <w:color w:val="auto"/>
                <w:sz w:val="24"/>
                <w:szCs w:val="24"/>
                <w:highlight w:val="none"/>
                <w:lang w:val="en-US" w:eastAsia="zh-CN"/>
              </w:rPr>
              <w:t xml:space="preserve">3</w:t>
            </w:r>
            <w:r>
              <w:rPr>
                <w:color w:val="auto"/>
                <w:sz w:val="24"/>
                <w:szCs w:val="24"/>
                <w:highlight w:val="none"/>
              </w:rPr>
              <w:t xml:space="preserve">分</w:t>
            </w:r>
            <w:r>
              <w:rPr>
                <w:rFonts w:hint="eastAsia"/>
                <w:color w:val="auto"/>
                <w:sz w:val="24"/>
                <w:szCs w:val="24"/>
                <w:highlight w:val="none"/>
              </w:rPr>
              <w:t xml:space="preserve">，其中有一项不符合要求的，则不得分</w:t>
            </w:r>
            <w:r>
              <w:rPr>
                <w:color w:val="auto"/>
                <w:sz w:val="24"/>
                <w:szCs w:val="24"/>
                <w:highlight w:val="none"/>
              </w:rPr>
              <w:t xml:space="preserve">。</w:t>
            </w:r>
            <w:r/>
          </w:p>
          <w:p>
            <w:pPr>
              <w:ind w:firstLine="480"/>
              <w:rPr>
                <w:color w:val="auto"/>
                <w:sz w:val="24"/>
                <w:highlight w:val="none"/>
              </w:rPr>
            </w:pPr>
            <w:r>
              <w:rPr>
                <w:rFonts w:hint="eastAsia"/>
                <w:color w:val="auto"/>
                <w:sz w:val="24"/>
                <w:highlight w:val="none"/>
                <w:lang w:val="en-US" w:eastAsia="zh-CN"/>
              </w:rPr>
              <w:t xml:space="preserve">2.</w:t>
            </w:r>
            <w:r>
              <w:rPr>
                <w:color w:val="auto"/>
                <w:sz w:val="24"/>
                <w:highlight w:val="none"/>
              </w:rPr>
              <w:t xml:space="preserve">项目团队人员除项目负责人外需满足5人（必须为中级及以上职称</w:t>
            </w:r>
            <w:r>
              <w:rPr>
                <w:rFonts w:hint="eastAsia"/>
                <w:color w:val="auto"/>
                <w:sz w:val="24"/>
                <w:highlight w:val="none"/>
              </w:rPr>
              <w:t xml:space="preserve">、</w:t>
            </w:r>
            <w:r>
              <w:rPr>
                <w:color w:val="auto"/>
                <w:sz w:val="24"/>
                <w:highlight w:val="none"/>
              </w:rPr>
              <w:t xml:space="preserve">专业方向为地质矿产或水工环地质类</w:t>
            </w:r>
            <w:r>
              <w:rPr>
                <w:rFonts w:hint="eastAsia"/>
                <w:color w:val="auto"/>
                <w:sz w:val="24"/>
                <w:highlight w:val="none"/>
              </w:rPr>
              <w:t xml:space="preserve">、</w:t>
            </w:r>
            <w:r>
              <w:rPr>
                <w:color w:val="auto"/>
                <w:sz w:val="24"/>
                <w:highlight w:val="none"/>
              </w:rPr>
              <w:t xml:space="preserve">具有有效的地质灾害危险性评估培训证书）及以上，得</w:t>
            </w:r>
            <w:r>
              <w:rPr>
                <w:rFonts w:hint="eastAsia"/>
                <w:color w:val="auto"/>
                <w:sz w:val="24"/>
                <w:highlight w:val="none"/>
                <w:lang w:val="en-US" w:eastAsia="zh-CN"/>
              </w:rPr>
              <w:t xml:space="preserve">4</w:t>
            </w:r>
            <w:r>
              <w:rPr>
                <w:rFonts w:hint="eastAsia"/>
                <w:color w:val="auto"/>
                <w:sz w:val="24"/>
                <w:highlight w:val="none"/>
              </w:rPr>
              <w:t xml:space="preserve">分，</w:t>
            </w:r>
            <w:r>
              <w:rPr>
                <w:color w:val="auto"/>
                <w:sz w:val="24"/>
                <w:highlight w:val="none"/>
              </w:rPr>
              <w:t xml:space="preserve">未满足上述要求不得分</w:t>
            </w:r>
            <w:r>
              <w:rPr>
                <w:rFonts w:hint="eastAsia"/>
                <w:color w:val="auto"/>
                <w:sz w:val="24"/>
                <w:highlight w:val="none"/>
              </w:rPr>
              <w:t xml:space="preserve">；</w:t>
            </w:r>
            <w:r>
              <w:rPr>
                <w:color w:val="auto"/>
                <w:sz w:val="24"/>
                <w:highlight w:val="none"/>
              </w:rPr>
              <w:t xml:space="preserve">其中，在满足前述</w:t>
            </w:r>
            <w:r>
              <w:rPr>
                <w:rFonts w:hint="eastAsia"/>
                <w:color w:val="auto"/>
                <w:sz w:val="24"/>
                <w:highlight w:val="none"/>
              </w:rPr>
              <w:t xml:space="preserve">5人资格条件的基础上，</w:t>
            </w:r>
            <w:r>
              <w:rPr>
                <w:color w:val="auto"/>
                <w:sz w:val="24"/>
                <w:highlight w:val="none"/>
              </w:rPr>
              <w:t xml:space="preserve">每具有1名高级</w:t>
            </w:r>
            <w:r>
              <w:rPr>
                <w:rFonts w:hint="eastAsia"/>
                <w:color w:val="auto"/>
                <w:sz w:val="24"/>
                <w:highlight w:val="none"/>
                <w:lang w:val="en-US" w:eastAsia="zh-CN"/>
              </w:rPr>
              <w:t xml:space="preserve">及以上</w:t>
            </w:r>
            <w:r>
              <w:rPr>
                <w:color w:val="auto"/>
                <w:sz w:val="24"/>
                <w:highlight w:val="none"/>
              </w:rPr>
              <w:t xml:space="preserve">职称</w:t>
            </w:r>
            <w:r>
              <w:rPr>
                <w:rFonts w:hint="eastAsia"/>
                <w:color w:val="auto"/>
                <w:sz w:val="24"/>
                <w:highlight w:val="none"/>
              </w:rPr>
              <w:t xml:space="preserve">（</w:t>
            </w:r>
            <w:r>
              <w:rPr>
                <w:color w:val="auto"/>
                <w:sz w:val="24"/>
                <w:highlight w:val="none"/>
              </w:rPr>
              <w:t xml:space="preserve">专业方向为地质矿产或水工环地质类</w:t>
            </w:r>
            <w:r>
              <w:rPr>
                <w:rFonts w:hint="eastAsia"/>
                <w:color w:val="auto"/>
                <w:sz w:val="24"/>
                <w:highlight w:val="none"/>
              </w:rPr>
              <w:t xml:space="preserve">、</w:t>
            </w:r>
            <w:r>
              <w:rPr>
                <w:color w:val="auto"/>
                <w:sz w:val="24"/>
                <w:highlight w:val="none"/>
              </w:rPr>
              <w:t xml:space="preserve">具有有效的地质灾害危险性评估培训证书</w:t>
            </w:r>
            <w:r>
              <w:rPr>
                <w:rFonts w:hint="eastAsia"/>
                <w:color w:val="auto"/>
                <w:sz w:val="24"/>
                <w:highlight w:val="none"/>
              </w:rPr>
              <w:t xml:space="preserve">）</w:t>
            </w:r>
            <w:r>
              <w:rPr>
                <w:color w:val="auto"/>
                <w:sz w:val="24"/>
                <w:highlight w:val="none"/>
              </w:rPr>
              <w:t xml:space="preserve">得</w:t>
            </w:r>
            <w:r>
              <w:rPr>
                <w:rFonts w:hint="eastAsia"/>
                <w:color w:val="auto"/>
                <w:sz w:val="24"/>
                <w:highlight w:val="none"/>
              </w:rPr>
              <w:t xml:space="preserve">1</w:t>
            </w:r>
            <w:r>
              <w:rPr>
                <w:color w:val="auto"/>
                <w:sz w:val="24"/>
                <w:highlight w:val="none"/>
              </w:rPr>
              <w:t xml:space="preserve">分，最高得</w:t>
            </w:r>
            <w:r>
              <w:rPr>
                <w:rFonts w:hint="eastAsia"/>
                <w:color w:val="auto"/>
                <w:sz w:val="24"/>
                <w:highlight w:val="none"/>
              </w:rPr>
              <w:t xml:space="preserve">2</w:t>
            </w:r>
            <w:r>
              <w:rPr>
                <w:color w:val="auto"/>
                <w:sz w:val="24"/>
                <w:highlight w:val="none"/>
              </w:rPr>
              <w:t xml:space="preserve">分。该项最高分</w:t>
            </w:r>
            <w:r>
              <w:rPr>
                <w:rFonts w:hint="eastAsia"/>
                <w:color w:val="auto"/>
                <w:sz w:val="24"/>
                <w:highlight w:val="none"/>
                <w:lang w:val="en-US" w:eastAsia="zh-CN"/>
              </w:rPr>
              <w:t xml:space="preserve">6</w:t>
            </w:r>
            <w:r>
              <w:rPr>
                <w:rFonts w:hint="eastAsia"/>
                <w:color w:val="auto"/>
                <w:sz w:val="24"/>
                <w:highlight w:val="none"/>
              </w:rPr>
              <w:t xml:space="preserve">分。</w:t>
            </w:r>
            <w:r/>
          </w:p>
          <w:p>
            <w:pPr>
              <w:ind w:firstLine="480"/>
              <w:rPr>
                <w:rFonts w:hint="eastAsia"/>
                <w:color w:val="auto"/>
                <w:sz w:val="24"/>
                <w:highlight w:val="none"/>
              </w:rPr>
            </w:pPr>
            <w:r>
              <w:rPr>
                <w:color w:val="auto"/>
                <w:sz w:val="24"/>
                <w:highlight w:val="none"/>
              </w:rPr>
              <w:t xml:space="preserve">注：提供相关证书、</w:t>
            </w:r>
            <w:r>
              <w:rPr>
                <w:rFonts w:hint="eastAsia"/>
                <w:color w:val="auto"/>
                <w:sz w:val="24"/>
                <w:highlight w:val="none"/>
              </w:rPr>
              <w:t xml:space="preserve">合同、成果</w:t>
            </w:r>
            <w:r>
              <w:rPr>
                <w:rFonts w:hint="eastAsia"/>
                <w:color w:val="auto"/>
                <w:sz w:val="24"/>
                <w:szCs w:val="24"/>
                <w:highlight w:val="none"/>
              </w:rPr>
              <w:t xml:space="preserve">等证明材料</w:t>
            </w:r>
            <w:r>
              <w:rPr>
                <w:color w:val="auto"/>
                <w:sz w:val="24"/>
                <w:highlight w:val="none"/>
              </w:rPr>
              <w:t xml:space="preserve">复印件</w:t>
            </w:r>
            <w:r>
              <w:rPr>
                <w:color w:val="auto"/>
                <w:sz w:val="24"/>
                <w:szCs w:val="24"/>
                <w:highlight w:val="none"/>
              </w:rPr>
              <w:t xml:space="preserve">加盖公章作为得分依据</w:t>
            </w:r>
            <w:r>
              <w:rPr>
                <w:rFonts w:hint="eastAsia"/>
                <w:color w:val="auto"/>
                <w:sz w:val="24"/>
                <w:szCs w:val="24"/>
                <w:highlight w:val="none"/>
              </w:rPr>
              <w:t xml:space="preserve">。</w:t>
            </w:r>
            <w:r/>
          </w:p>
          <w:p>
            <w:pPr>
              <w:ind w:firstLine="480"/>
              <w:jc w:val="left"/>
              <w:rPr>
                <w:b/>
                <w:color w:val="auto"/>
                <w:sz w:val="24"/>
                <w:szCs w:val="24"/>
                <w:highlight w:val="none"/>
              </w:rPr>
            </w:pPr>
            <w:r>
              <w:rPr>
                <w:color w:val="auto"/>
                <w:sz w:val="24"/>
                <w:szCs w:val="24"/>
                <w:highlight w:val="none"/>
              </w:rPr>
              <w:t xml:space="preserve">以上所有人员的专业职称不重复计分，相关人员必须为本单位人员，且在投标时提供本单位近6个月内</w:t>
            </w:r>
            <w:r>
              <w:rPr>
                <w:rFonts w:hint="eastAsia"/>
                <w:color w:val="auto"/>
                <w:sz w:val="24"/>
                <w:szCs w:val="24"/>
                <w:highlight w:val="none"/>
                <w:lang w:val="en-US" w:eastAsia="zh-CN"/>
              </w:rPr>
              <w:t xml:space="preserve">任意1</w:t>
            </w:r>
            <w:r>
              <w:rPr>
                <w:color w:val="auto"/>
                <w:sz w:val="24"/>
                <w:szCs w:val="24"/>
                <w:highlight w:val="none"/>
              </w:rPr>
              <w:t xml:space="preserve">个月为其办理的养老保险证明</w:t>
            </w:r>
            <w:r>
              <w:rPr>
                <w:rFonts w:hint="eastAsia"/>
                <w:color w:val="auto"/>
                <w:sz w:val="24"/>
                <w:szCs w:val="24"/>
                <w:highlight w:val="none"/>
                <w:lang w:eastAsia="zh-CN"/>
              </w:rPr>
              <w:t xml:space="preserve">（因社保缴纳不足一个月无法提供缴纳社保证明的可提供原件一致的劳动合同复印件）</w:t>
            </w:r>
            <w:r>
              <w:rPr>
                <w:color w:val="auto"/>
                <w:sz w:val="24"/>
                <w:szCs w:val="24"/>
                <w:highlight w:val="none"/>
              </w:rPr>
              <w:t xml:space="preserve">，不缴纳养老保险或养老保险改革过渡期的事业单位需提供其上级主管部门出具的证明文件。若涉及退休人员，需提供退休证明及劳动合同等证明材料。</w:t>
            </w:r>
            <w:r/>
          </w:p>
        </w:tc>
        <w:tc>
          <w:tcPr>
            <w:tcW w:w="777"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分</w:t>
            </w:r>
            <w:r/>
          </w:p>
        </w:tc>
      </w:tr>
      <w:tr>
        <w:trPr>
          <w:jc w:val="center"/>
          <w:trHeight w:val="472"/>
        </w:trPr>
        <w:tc>
          <w:tcPr>
            <w:tcW w:w="663" w:type="dxa"/>
            <w:vAlign w:val="top"/>
            <w:textDirection w:val="lrTb"/>
            <w:noWrap/>
          </w:tcPr>
          <w:p>
            <w:pPr>
              <w:jc w:val="center"/>
              <w:spacing w:line="520" w:lineRule="exact"/>
              <w:tabs>
                <w:tab w:val="left" w:pos="2850" w:leader="none"/>
                <w:tab w:val="center" w:pos="41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三</w:t>
            </w:r>
            <w:r/>
          </w:p>
        </w:tc>
        <w:tc>
          <w:tcPr>
            <w:gridSpan w:val="2"/>
            <w:tcW w:w="7100" w:type="dxa"/>
            <w:vAlign w:val="top"/>
            <w:textDirection w:val="lrTb"/>
            <w:noWrap/>
          </w:tcPr>
          <w:p>
            <w:pPr>
              <w:jc w:val="center"/>
              <w:spacing w:line="520" w:lineRule="exact"/>
              <w:rPr>
                <w:b/>
                <w:color w:val="auto"/>
                <w:sz w:val="24"/>
                <w:szCs w:val="24"/>
                <w:highlight w:val="none"/>
              </w:rPr>
            </w:pPr>
            <w:r>
              <w:rPr>
                <w:b/>
                <w:color w:val="auto"/>
                <w:sz w:val="24"/>
                <w:szCs w:val="24"/>
                <w:highlight w:val="none"/>
              </w:rPr>
              <w:t xml:space="preserve">技术部分</w:t>
            </w:r>
            <w:r/>
          </w:p>
        </w:tc>
        <w:tc>
          <w:tcPr>
            <w:tcW w:w="777" w:type="dxa"/>
            <w:vAlign w:val="top"/>
            <w:textDirection w:val="lrTb"/>
            <w:noWrap/>
          </w:tcPr>
          <w:p>
            <w:pPr>
              <w:jc w:val="center"/>
              <w:spacing w:line="520" w:lineRule="exact"/>
              <w:tabs>
                <w:tab w:val="left" w:pos="2850" w:leader="none"/>
                <w:tab w:val="center" w:pos="41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50分</w:t>
            </w:r>
            <w:r/>
          </w:p>
        </w:tc>
      </w:tr>
      <w:tr>
        <w:trPr>
          <w:jc w:val="center"/>
          <w:trHeight w:val="635"/>
        </w:trPr>
        <w:tc>
          <w:tcPr>
            <w:tcW w:w="663" w:type="dxa"/>
            <w:vAlign w:val="center"/>
            <w:textDirection w:val="lrTb"/>
            <w:noWrap/>
          </w:tcPr>
          <w:p>
            <w:pPr>
              <w:jc w:val="center"/>
              <w:spacing w:line="520" w:lineRule="exact"/>
              <w:tabs>
                <w:tab w:val="left" w:pos="2850" w:leader="none"/>
                <w:tab w:val="center" w:pos="4153" w:leader="none"/>
              </w:tabs>
              <w:rPr>
                <w:rFonts w:ascii="宋体" w:hAnsi="宋体" w:cs="宋体"/>
                <w:bCs/>
                <w:color w:val="auto"/>
                <w:sz w:val="24"/>
                <w:szCs w:val="24"/>
                <w:highlight w:val="none"/>
              </w:rPr>
            </w:pPr>
            <w:r>
              <w:rPr>
                <w:rFonts w:hint="eastAsia" w:ascii="宋体" w:hAnsi="宋体" w:cs="宋体"/>
                <w:b/>
                <w:color w:val="auto"/>
                <w:sz w:val="24"/>
                <w:szCs w:val="24"/>
                <w:highlight w:val="none"/>
              </w:rPr>
              <w:t xml:space="preserve">1</w:t>
            </w:r>
            <w:r/>
          </w:p>
        </w:tc>
        <w:tc>
          <w:tcPr>
            <w:tcW w:w="1140"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TW"/>
              </w:rPr>
              <w:t xml:space="preserve">评估</w:t>
            </w:r>
            <w:r>
              <w:rPr>
                <w:rFonts w:ascii="宋体" w:hAnsi="宋体" w:cs="宋体"/>
                <w:b/>
                <w:color w:val="auto"/>
                <w:sz w:val="24"/>
                <w:szCs w:val="24"/>
                <w:highlight w:val="none"/>
                <w:lang w:val="zh-TW"/>
              </w:rPr>
              <w:t xml:space="preserve">工作</w:t>
            </w:r>
            <w:r>
              <w:rPr>
                <w:rFonts w:hint="eastAsia" w:ascii="宋体" w:hAnsi="宋体" w:cs="宋体"/>
                <w:b/>
                <w:color w:val="auto"/>
                <w:sz w:val="24"/>
                <w:szCs w:val="24"/>
                <w:highlight w:val="none"/>
                <w:lang w:val="zh-TW" w:eastAsia="zh-TW"/>
              </w:rPr>
              <w:t xml:space="preserve">总体</w:t>
            </w:r>
            <w:r>
              <w:rPr>
                <w:rFonts w:hint="eastAsia" w:ascii="宋体" w:hAnsi="宋体" w:cs="宋体"/>
                <w:b/>
                <w:color w:val="auto"/>
                <w:sz w:val="24"/>
                <w:szCs w:val="24"/>
                <w:highlight w:val="none"/>
                <w:lang w:val="zh-TW"/>
              </w:rPr>
              <w:t xml:space="preserve">理解</w:t>
            </w:r>
            <w:r/>
          </w:p>
        </w:tc>
        <w:tc>
          <w:tcPr>
            <w:tcW w:w="5960" w:type="dxa"/>
            <w:vAlign w:val="center"/>
            <w:textDirection w:val="lrTb"/>
            <w:noWrap/>
          </w:tcPr>
          <w:p>
            <w:pPr>
              <w:ind w:firstLine="480"/>
              <w:jc w:val="left"/>
              <w:tabs>
                <w:tab w:val="left" w:pos="2700" w:leader="none"/>
              </w:tabs>
              <w:rPr>
                <w:color w:val="auto"/>
                <w:sz w:val="24"/>
                <w:szCs w:val="24"/>
                <w:highlight w:val="none"/>
                <w:lang w:val="zh-TW"/>
              </w:rPr>
            </w:pPr>
            <w:r>
              <w:rPr>
                <w:color w:val="auto"/>
                <w:sz w:val="24"/>
                <w:szCs w:val="24"/>
                <w:highlight w:val="none"/>
                <w:lang w:val="zh-TW" w:eastAsia="zh-TW"/>
              </w:rPr>
              <w:t xml:space="preserve">从</w:t>
            </w:r>
            <w:r>
              <w:rPr>
                <w:color w:val="auto"/>
                <w:sz w:val="24"/>
                <w:szCs w:val="24"/>
                <w:highlight w:val="none"/>
                <w:lang w:val="zh-TW"/>
              </w:rPr>
              <w:t xml:space="preserve">投标人</w:t>
            </w:r>
            <w:r>
              <w:rPr>
                <w:color w:val="auto"/>
                <w:sz w:val="24"/>
                <w:szCs w:val="24"/>
                <w:highlight w:val="none"/>
                <w:lang w:val="zh-TW" w:eastAsia="zh-TW"/>
              </w:rPr>
              <w:t xml:space="preserve">对项目目标任务</w:t>
            </w:r>
            <w:r>
              <w:rPr>
                <w:color w:val="auto"/>
                <w:sz w:val="24"/>
                <w:szCs w:val="24"/>
                <w:highlight w:val="none"/>
                <w:lang w:val="zh-TW"/>
              </w:rPr>
              <w:t xml:space="preserve">理解是否清晰明确</w:t>
            </w:r>
            <w:r>
              <w:rPr>
                <w:color w:val="auto"/>
                <w:sz w:val="24"/>
                <w:szCs w:val="24"/>
                <w:highlight w:val="none"/>
                <w:lang w:val="zh-TW" w:eastAsia="zh-TW"/>
              </w:rPr>
              <w:t xml:space="preserve">，</w:t>
            </w:r>
            <w:r>
              <w:rPr>
                <w:color w:val="auto"/>
                <w:sz w:val="24"/>
                <w:szCs w:val="24"/>
                <w:highlight w:val="none"/>
              </w:rPr>
              <w:t xml:space="preserve">对泰州市区地质灾害危险性评估相关规定制度、</w:t>
            </w:r>
            <w:r>
              <w:rPr>
                <w:rFonts w:hint="eastAsia"/>
                <w:color w:val="auto"/>
                <w:sz w:val="24"/>
                <w:szCs w:val="24"/>
                <w:highlight w:val="none"/>
              </w:rPr>
              <w:t xml:space="preserve">管理流程、汇交</w:t>
            </w:r>
            <w:r>
              <w:rPr>
                <w:color w:val="auto"/>
                <w:sz w:val="24"/>
                <w:szCs w:val="24"/>
                <w:highlight w:val="none"/>
              </w:rPr>
              <w:t xml:space="preserve">要求</w:t>
            </w:r>
            <w:r>
              <w:rPr>
                <w:rFonts w:hint="eastAsia"/>
                <w:color w:val="auto"/>
                <w:sz w:val="24"/>
                <w:szCs w:val="24"/>
                <w:highlight w:val="none"/>
              </w:rPr>
              <w:t xml:space="preserve">等</w:t>
            </w:r>
            <w:r>
              <w:rPr>
                <w:color w:val="auto"/>
                <w:sz w:val="24"/>
                <w:szCs w:val="24"/>
                <w:highlight w:val="none"/>
              </w:rPr>
              <w:t xml:space="preserve">了解是否全面准确</w:t>
            </w:r>
            <w:r>
              <w:rPr>
                <w:color w:val="auto"/>
                <w:sz w:val="24"/>
                <w:szCs w:val="24"/>
                <w:highlight w:val="none"/>
                <w:lang w:val="zh-TW" w:eastAsia="zh-TW"/>
              </w:rPr>
              <w:t xml:space="preserve">进行综合评定</w:t>
            </w:r>
            <w:r>
              <w:rPr>
                <w:color w:val="auto"/>
                <w:sz w:val="24"/>
                <w:szCs w:val="24"/>
                <w:highlight w:val="none"/>
                <w:lang w:val="zh-TW"/>
              </w:rPr>
              <w:t xml:space="preserve">。</w:t>
            </w:r>
            <w:r/>
          </w:p>
          <w:p>
            <w:pPr>
              <w:ind w:firstLine="480"/>
              <w:widowControl/>
              <w:rPr>
                <w:color w:val="auto"/>
                <w:sz w:val="24"/>
                <w:highlight w:val="none"/>
              </w:rPr>
            </w:pPr>
            <w:r>
              <w:rPr>
                <w:color w:val="auto"/>
                <w:sz w:val="24"/>
                <w:highlight w:val="none"/>
                <w:lang w:val="zh-TW" w:eastAsia="zh-TW"/>
              </w:rPr>
              <w:t xml:space="preserve">主要</w:t>
            </w:r>
            <w:r>
              <w:rPr>
                <w:color w:val="auto"/>
                <w:sz w:val="24"/>
                <w:highlight w:val="none"/>
                <w:lang w:val="zh-TW"/>
              </w:rPr>
              <w:t xml:space="preserve">目标</w:t>
            </w:r>
            <w:r>
              <w:rPr>
                <w:color w:val="auto"/>
                <w:sz w:val="24"/>
                <w:highlight w:val="none"/>
                <w:lang w:val="zh-TW" w:eastAsia="zh-TW"/>
              </w:rPr>
              <w:t xml:space="preserve">任务</w:t>
            </w:r>
            <w:r>
              <w:rPr>
                <w:color w:val="auto"/>
                <w:sz w:val="24"/>
                <w:highlight w:val="none"/>
                <w:lang w:val="zh-TW"/>
              </w:rPr>
              <w:t xml:space="preserve">清晰</w:t>
            </w:r>
            <w:r>
              <w:rPr>
                <w:color w:val="auto"/>
                <w:sz w:val="24"/>
                <w:highlight w:val="none"/>
                <w:lang w:val="zh-TW" w:eastAsia="zh-TW"/>
              </w:rPr>
              <w:t xml:space="preserve">明确</w:t>
            </w:r>
            <w:r>
              <w:rPr>
                <w:color w:val="auto"/>
                <w:sz w:val="24"/>
                <w:highlight w:val="none"/>
                <w:lang w:val="zh-TW"/>
              </w:rPr>
              <w:t xml:space="preserve">，泰州市区地灾评估管理</w:t>
            </w:r>
            <w:r>
              <w:rPr>
                <w:color w:val="auto"/>
                <w:sz w:val="24"/>
                <w:highlight w:val="none"/>
                <w:lang w:val="zh-TW" w:eastAsia="zh-TW"/>
              </w:rPr>
              <w:t xml:space="preserve">概况阐述全面</w:t>
            </w:r>
            <w:r>
              <w:rPr>
                <w:color w:val="auto"/>
                <w:sz w:val="24"/>
                <w:highlight w:val="none"/>
                <w:lang w:val="zh-TW"/>
              </w:rPr>
              <w:t xml:space="preserve">完整，得</w:t>
            </w:r>
            <w:r>
              <w:rPr>
                <w:color w:val="auto"/>
                <w:sz w:val="24"/>
                <w:highlight w:val="none"/>
              </w:rPr>
              <w:t xml:space="preserve">10分；</w:t>
            </w:r>
            <w:r>
              <w:rPr>
                <w:color w:val="auto"/>
                <w:sz w:val="24"/>
                <w:highlight w:val="none"/>
                <w:lang w:val="zh-TW" w:eastAsia="zh-TW"/>
              </w:rPr>
              <w:t xml:space="preserve">主要</w:t>
            </w:r>
            <w:r>
              <w:rPr>
                <w:color w:val="auto"/>
                <w:sz w:val="24"/>
                <w:highlight w:val="none"/>
                <w:lang w:val="zh-TW"/>
              </w:rPr>
              <w:t xml:space="preserve">目标</w:t>
            </w:r>
            <w:r>
              <w:rPr>
                <w:color w:val="auto"/>
                <w:sz w:val="24"/>
                <w:highlight w:val="none"/>
                <w:lang w:val="zh-TW" w:eastAsia="zh-TW"/>
              </w:rPr>
              <w:t xml:space="preserve">任务</w:t>
            </w:r>
            <w:r>
              <w:rPr>
                <w:color w:val="auto"/>
                <w:sz w:val="24"/>
                <w:highlight w:val="none"/>
                <w:lang w:val="zh-TW"/>
              </w:rPr>
              <w:t xml:space="preserve">较为明确，泰州市区地灾评估管理</w:t>
            </w:r>
            <w:r>
              <w:rPr>
                <w:color w:val="auto"/>
                <w:sz w:val="24"/>
                <w:highlight w:val="none"/>
                <w:lang w:val="zh-TW" w:eastAsia="zh-TW"/>
              </w:rPr>
              <w:t xml:space="preserve">概况阐述</w:t>
            </w:r>
            <w:r>
              <w:rPr>
                <w:color w:val="auto"/>
                <w:sz w:val="24"/>
                <w:highlight w:val="none"/>
                <w:lang w:val="zh-TW"/>
              </w:rPr>
              <w:t xml:space="preserve">较为全面，得</w:t>
            </w:r>
            <w:r>
              <w:rPr>
                <w:color w:val="auto"/>
                <w:sz w:val="24"/>
                <w:highlight w:val="none"/>
              </w:rPr>
              <w:t xml:space="preserve">8分</w:t>
            </w:r>
            <w:r>
              <w:rPr>
                <w:color w:val="auto"/>
                <w:sz w:val="24"/>
                <w:highlight w:val="none"/>
                <w:lang w:val="zh-TW"/>
              </w:rPr>
              <w:t xml:space="preserve">；</w:t>
            </w:r>
            <w:r>
              <w:rPr>
                <w:color w:val="auto"/>
                <w:sz w:val="24"/>
                <w:highlight w:val="none"/>
                <w:lang w:val="zh-TW" w:eastAsia="zh-TW"/>
              </w:rPr>
              <w:t xml:space="preserve">主要</w:t>
            </w:r>
            <w:r>
              <w:rPr>
                <w:color w:val="auto"/>
                <w:sz w:val="24"/>
                <w:highlight w:val="none"/>
                <w:lang w:val="zh-TW"/>
              </w:rPr>
              <w:t xml:space="preserve">目标</w:t>
            </w:r>
            <w:r>
              <w:rPr>
                <w:color w:val="auto"/>
                <w:sz w:val="24"/>
                <w:highlight w:val="none"/>
                <w:lang w:val="zh-TW" w:eastAsia="zh-TW"/>
              </w:rPr>
              <w:t xml:space="preserve">任务</w:t>
            </w:r>
            <w:r>
              <w:rPr>
                <w:color w:val="auto"/>
                <w:sz w:val="24"/>
                <w:highlight w:val="none"/>
                <w:lang w:val="zh-TW"/>
              </w:rPr>
              <w:t xml:space="preserve">基本明确，泰州市区地灾评估管理</w:t>
            </w:r>
            <w:r>
              <w:rPr>
                <w:color w:val="auto"/>
                <w:sz w:val="24"/>
                <w:highlight w:val="none"/>
                <w:lang w:val="zh-TW" w:eastAsia="zh-TW"/>
              </w:rPr>
              <w:t xml:space="preserve">概况阐述</w:t>
            </w:r>
            <w:r>
              <w:rPr>
                <w:color w:val="auto"/>
                <w:sz w:val="24"/>
                <w:highlight w:val="none"/>
                <w:lang w:val="zh-TW"/>
              </w:rPr>
              <w:t xml:space="preserve">基本全面，得</w:t>
            </w:r>
            <w:r>
              <w:rPr>
                <w:color w:val="auto"/>
                <w:sz w:val="24"/>
                <w:highlight w:val="none"/>
              </w:rPr>
              <w:t xml:space="preserve">6分</w:t>
            </w:r>
            <w:r>
              <w:rPr>
                <w:color w:val="auto"/>
                <w:sz w:val="24"/>
                <w:highlight w:val="none"/>
                <w:lang w:val="zh-TW"/>
              </w:rPr>
              <w:t xml:space="preserve">；</w:t>
            </w:r>
            <w:r>
              <w:rPr>
                <w:color w:val="auto"/>
                <w:sz w:val="24"/>
                <w:highlight w:val="none"/>
                <w:lang w:val="zh-TW" w:eastAsia="zh-TW"/>
              </w:rPr>
              <w:t xml:space="preserve">主要</w:t>
            </w:r>
            <w:r>
              <w:rPr>
                <w:color w:val="auto"/>
                <w:sz w:val="24"/>
                <w:highlight w:val="none"/>
                <w:lang w:val="zh-TW"/>
              </w:rPr>
              <w:t xml:space="preserve">目标</w:t>
            </w:r>
            <w:r>
              <w:rPr>
                <w:color w:val="auto"/>
                <w:sz w:val="24"/>
                <w:highlight w:val="none"/>
                <w:lang w:val="zh-TW" w:eastAsia="zh-TW"/>
              </w:rPr>
              <w:t xml:space="preserve">任务</w:t>
            </w:r>
            <w:r>
              <w:rPr>
                <w:color w:val="auto"/>
                <w:sz w:val="24"/>
                <w:highlight w:val="none"/>
                <w:lang w:val="zh-TW"/>
              </w:rPr>
              <w:t xml:space="preserve">含糊不清，泰州市区地灾评估管理</w:t>
            </w:r>
            <w:r>
              <w:rPr>
                <w:color w:val="auto"/>
                <w:sz w:val="24"/>
                <w:highlight w:val="none"/>
                <w:lang w:val="zh-TW" w:eastAsia="zh-TW"/>
              </w:rPr>
              <w:t xml:space="preserve">概况阐述</w:t>
            </w:r>
            <w:r>
              <w:rPr>
                <w:color w:val="auto"/>
                <w:sz w:val="24"/>
                <w:highlight w:val="none"/>
                <w:lang w:val="zh-TW"/>
              </w:rPr>
              <w:t xml:space="preserve">片面，或</w:t>
            </w:r>
            <w:r>
              <w:rPr>
                <w:color w:val="auto"/>
                <w:sz w:val="24"/>
                <w:highlight w:val="none"/>
              </w:rPr>
              <w:t xml:space="preserve">无此项内容不得分</w:t>
            </w:r>
            <w:r>
              <w:rPr>
                <w:color w:val="auto"/>
                <w:sz w:val="24"/>
                <w:highlight w:val="none"/>
                <w:lang w:val="zh-TW" w:eastAsia="zh-TW"/>
              </w:rPr>
              <w:t xml:space="preserve">。</w:t>
            </w:r>
            <w:r/>
          </w:p>
        </w:tc>
        <w:tc>
          <w:tcPr>
            <w:tcW w:w="777" w:type="dxa"/>
            <w:vAlign w:val="center"/>
            <w:textDirection w:val="lrTb"/>
            <w:noWrap/>
          </w:tcPr>
          <w:p>
            <w:pPr>
              <w:jc w:val="center"/>
              <w:spacing w:line="520" w:lineRule="exact"/>
              <w:tabs>
                <w:tab w:val="left" w:pos="2850" w:leader="none"/>
                <w:tab w:val="center" w:pos="4153" w:leader="none"/>
              </w:tabs>
              <w:rPr>
                <w:rFonts w:ascii="宋体" w:hAnsi="宋体" w:cs="宋体"/>
                <w:bCs/>
                <w:color w:val="auto"/>
                <w:sz w:val="24"/>
                <w:szCs w:val="24"/>
                <w:highlight w:val="none"/>
              </w:rPr>
            </w:pPr>
            <w:r>
              <w:rPr>
                <w:rFonts w:hint="eastAsia" w:ascii="宋体" w:hAnsi="宋体" w:cs="宋体"/>
                <w:b/>
                <w:color w:val="auto"/>
                <w:sz w:val="24"/>
                <w:szCs w:val="24"/>
                <w:highlight w:val="none"/>
              </w:rPr>
              <w:t xml:space="preserve">10分</w:t>
            </w:r>
            <w:r/>
          </w:p>
        </w:tc>
      </w:tr>
      <w:tr>
        <w:trPr>
          <w:jc w:val="center"/>
          <w:trHeight w:val="613"/>
        </w:trPr>
        <w:tc>
          <w:tcPr>
            <w:tcW w:w="663" w:type="dxa"/>
            <w:vAlign w:val="center"/>
            <w:textDirection w:val="lrTb"/>
            <w:noWrap/>
          </w:tcPr>
          <w:p>
            <w:pPr>
              <w:jc w:val="center"/>
              <w:spacing w:line="520" w:lineRule="exact"/>
              <w:tabs>
                <w:tab w:val="left" w:pos="2850" w:leader="none"/>
                <w:tab w:val="center" w:pos="41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p>
        </w:tc>
        <w:tc>
          <w:tcPr>
            <w:tcW w:w="1140"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地质资料收集和地质灾害状况</w:t>
            </w:r>
            <w:r>
              <w:rPr>
                <w:rFonts w:hint="eastAsia" w:ascii="宋体" w:hAnsi="宋体" w:cs="宋体"/>
                <w:b/>
                <w:color w:val="auto"/>
                <w:sz w:val="24"/>
                <w:szCs w:val="24"/>
                <w:highlight w:val="none"/>
                <w:lang w:val="zh-TW"/>
              </w:rPr>
              <w:t xml:space="preserve">掌握</w:t>
            </w:r>
            <w:r>
              <w:rPr>
                <w:rFonts w:hint="eastAsia" w:ascii="宋体" w:hAnsi="宋体" w:cs="宋体"/>
                <w:b/>
                <w:color w:val="auto"/>
                <w:sz w:val="24"/>
                <w:szCs w:val="24"/>
                <w:highlight w:val="none"/>
                <w:lang w:val="zh-TW" w:eastAsia="zh-TW"/>
              </w:rPr>
              <w:t xml:space="preserve">程度</w:t>
            </w:r>
            <w:r/>
          </w:p>
        </w:tc>
        <w:tc>
          <w:tcPr>
            <w:tcW w:w="5960" w:type="dxa"/>
            <w:vAlign w:val="center"/>
            <w:textDirection w:val="lrTb"/>
            <w:noWrap/>
          </w:tcPr>
          <w:p>
            <w:pPr>
              <w:ind w:firstLine="480"/>
              <w:jc w:val="left"/>
              <w:tabs>
                <w:tab w:val="left" w:pos="2700" w:leader="none"/>
              </w:tabs>
              <w:rPr>
                <w:color w:val="auto"/>
                <w:sz w:val="24"/>
                <w:szCs w:val="24"/>
                <w:highlight w:val="none"/>
                <w:lang w:val="zh-TW"/>
              </w:rPr>
            </w:pPr>
            <w:r>
              <w:rPr>
                <w:color w:val="auto"/>
                <w:sz w:val="24"/>
                <w:szCs w:val="24"/>
                <w:highlight w:val="none"/>
                <w:lang w:val="zh-TW" w:eastAsia="zh-TW"/>
              </w:rPr>
              <w:t xml:space="preserve">根据</w:t>
            </w:r>
            <w:r>
              <w:rPr>
                <w:color w:val="auto"/>
                <w:sz w:val="24"/>
                <w:szCs w:val="24"/>
                <w:highlight w:val="none"/>
                <w:lang w:val="zh-TW"/>
              </w:rPr>
              <w:t xml:space="preserve">投标人在</w:t>
            </w:r>
            <w:r>
              <w:rPr>
                <w:rFonts w:hint="eastAsia"/>
                <w:color w:val="auto"/>
                <w:sz w:val="24"/>
                <w:szCs w:val="24"/>
                <w:highlight w:val="none"/>
              </w:rPr>
              <w:t xml:space="preserve">泰州市区</w:t>
            </w:r>
            <w:r>
              <w:rPr>
                <w:rFonts w:hint="eastAsia"/>
                <w:color w:val="auto"/>
                <w:sz w:val="24"/>
                <w:szCs w:val="24"/>
                <w:highlight w:val="none"/>
                <w:lang w:val="zh-TW"/>
              </w:rPr>
              <w:t xml:space="preserve">的</w:t>
            </w:r>
            <w:r>
              <w:rPr>
                <w:color w:val="auto"/>
                <w:sz w:val="24"/>
                <w:szCs w:val="24"/>
                <w:highlight w:val="none"/>
              </w:rPr>
              <w:t xml:space="preserve">相关地质勘查（察）、地质灾害防治（评估、勘查、设计、监理）工作经验，对</w:t>
            </w:r>
            <w:r>
              <w:rPr>
                <w:rFonts w:hint="eastAsia"/>
                <w:color w:val="auto"/>
                <w:sz w:val="24"/>
                <w:szCs w:val="24"/>
                <w:highlight w:val="none"/>
              </w:rPr>
              <w:t xml:space="preserve">泰州市区地质</w:t>
            </w:r>
            <w:r>
              <w:rPr>
                <w:color w:val="auto"/>
                <w:sz w:val="24"/>
                <w:szCs w:val="24"/>
                <w:highlight w:val="none"/>
              </w:rPr>
              <w:t xml:space="preserve">背景资料（</w:t>
            </w:r>
            <w:r>
              <w:rPr>
                <w:color w:val="auto"/>
                <w:sz w:val="24"/>
                <w:szCs w:val="24"/>
                <w:highlight w:val="none"/>
                <w:lang w:val="zh-TW" w:eastAsia="zh-TW"/>
              </w:rPr>
              <w:t xml:space="preserve">如区域地质条件、工程地质条件</w:t>
            </w:r>
            <w:r>
              <w:rPr>
                <w:rFonts w:hint="eastAsia"/>
                <w:color w:val="auto"/>
                <w:sz w:val="24"/>
                <w:szCs w:val="24"/>
                <w:highlight w:val="none"/>
                <w:lang w:val="zh-TW"/>
              </w:rPr>
              <w:t xml:space="preserve">、水文地质条件</w:t>
            </w:r>
            <w:r>
              <w:rPr>
                <w:color w:val="auto"/>
                <w:sz w:val="24"/>
                <w:szCs w:val="24"/>
                <w:highlight w:val="none"/>
                <w:lang w:val="zh-TW"/>
              </w:rPr>
              <w:t xml:space="preserve">等</w:t>
            </w:r>
            <w:r>
              <w:rPr>
                <w:color w:val="auto"/>
                <w:sz w:val="24"/>
                <w:szCs w:val="24"/>
                <w:highlight w:val="none"/>
              </w:rPr>
              <w:t xml:space="preserve">）</w:t>
            </w:r>
            <w:r>
              <w:rPr>
                <w:rFonts w:hint="eastAsia"/>
                <w:color w:val="auto"/>
                <w:sz w:val="24"/>
                <w:szCs w:val="24"/>
                <w:highlight w:val="none"/>
                <w:lang w:val="zh-TW"/>
              </w:rPr>
              <w:t xml:space="preserve">以及</w:t>
            </w:r>
            <w:r>
              <w:rPr>
                <w:color w:val="auto"/>
                <w:sz w:val="24"/>
                <w:szCs w:val="24"/>
                <w:highlight w:val="none"/>
                <w:lang w:val="zh-TW" w:eastAsia="zh-TW"/>
              </w:rPr>
              <w:t xml:space="preserve">地质灾害发育基本特征</w:t>
            </w:r>
            <w:r>
              <w:rPr>
                <w:rFonts w:hint="eastAsia"/>
                <w:color w:val="auto"/>
                <w:sz w:val="24"/>
                <w:szCs w:val="24"/>
                <w:highlight w:val="none"/>
                <w:lang w:val="zh-TW"/>
              </w:rPr>
              <w:t xml:space="preserve">和</w:t>
            </w:r>
            <w:r>
              <w:rPr>
                <w:color w:val="auto"/>
                <w:sz w:val="24"/>
                <w:szCs w:val="24"/>
                <w:highlight w:val="none"/>
                <w:lang w:val="zh-TW"/>
              </w:rPr>
              <w:t xml:space="preserve">现状（地质灾害类型、分布、规模、特征、诱发因素等）的</w:t>
            </w:r>
            <w:r>
              <w:rPr>
                <w:color w:val="auto"/>
                <w:sz w:val="24"/>
                <w:szCs w:val="24"/>
                <w:highlight w:val="none"/>
                <w:lang w:val="zh-TW" w:eastAsia="zh-TW"/>
              </w:rPr>
              <w:t xml:space="preserve">掌握程度进行综合评定</w:t>
            </w:r>
            <w:r>
              <w:rPr>
                <w:color w:val="auto"/>
                <w:sz w:val="24"/>
                <w:szCs w:val="24"/>
                <w:highlight w:val="none"/>
                <w:lang w:val="zh-TW"/>
              </w:rPr>
              <w:t xml:space="preserve">。</w:t>
            </w:r>
            <w:r/>
          </w:p>
          <w:p>
            <w:pPr>
              <w:ind w:firstLine="480"/>
              <w:rPr>
                <w:color w:val="auto"/>
                <w:sz w:val="24"/>
                <w:szCs w:val="24"/>
                <w:highlight w:val="none"/>
                <w:lang w:val="zh-TW" w:eastAsia="zh-TW"/>
              </w:rPr>
            </w:pPr>
            <w:r>
              <w:rPr>
                <w:color w:val="auto"/>
                <w:sz w:val="24"/>
                <w:szCs w:val="24"/>
                <w:highlight w:val="none"/>
                <w:lang w:val="zh-TW"/>
              </w:rPr>
              <w:t xml:space="preserve">区内</w:t>
            </w:r>
            <w:r>
              <w:rPr>
                <w:rFonts w:hint="eastAsia"/>
                <w:color w:val="auto"/>
                <w:sz w:val="24"/>
                <w:szCs w:val="24"/>
                <w:highlight w:val="none"/>
                <w:lang w:val="zh-TW"/>
              </w:rPr>
              <w:t xml:space="preserve">地质</w:t>
            </w:r>
            <w:r>
              <w:rPr>
                <w:color w:val="auto"/>
                <w:sz w:val="24"/>
                <w:szCs w:val="24"/>
                <w:highlight w:val="none"/>
                <w:lang w:val="zh-TW"/>
              </w:rPr>
              <w:t xml:space="preserve">背景资料掌握全面充实，</w:t>
            </w:r>
            <w:r>
              <w:rPr>
                <w:color w:val="auto"/>
                <w:sz w:val="24"/>
                <w:szCs w:val="24"/>
                <w:highlight w:val="none"/>
                <w:lang w:val="zh-TW" w:eastAsia="zh-TW"/>
              </w:rPr>
              <w:t xml:space="preserve">地质灾害发育基本特征及</w:t>
            </w:r>
            <w:r>
              <w:rPr>
                <w:color w:val="auto"/>
                <w:sz w:val="24"/>
                <w:szCs w:val="24"/>
                <w:highlight w:val="none"/>
                <w:lang w:val="zh-TW"/>
              </w:rPr>
              <w:t xml:space="preserve">现状描述全面准确，得</w:t>
            </w:r>
            <w:r>
              <w:rPr>
                <w:color w:val="auto"/>
                <w:sz w:val="24"/>
                <w:szCs w:val="24"/>
                <w:highlight w:val="none"/>
              </w:rPr>
              <w:t xml:space="preserve">15分；</w:t>
            </w:r>
            <w:r>
              <w:rPr>
                <w:color w:val="auto"/>
                <w:sz w:val="24"/>
                <w:szCs w:val="24"/>
                <w:highlight w:val="none"/>
                <w:lang w:val="zh-TW"/>
              </w:rPr>
              <w:t xml:space="preserve">区内</w:t>
            </w:r>
            <w:r>
              <w:rPr>
                <w:rFonts w:hint="eastAsia"/>
                <w:color w:val="auto"/>
                <w:sz w:val="24"/>
                <w:szCs w:val="24"/>
                <w:highlight w:val="none"/>
                <w:lang w:val="zh-TW"/>
              </w:rPr>
              <w:t xml:space="preserve">地质</w:t>
            </w:r>
            <w:r>
              <w:rPr>
                <w:color w:val="auto"/>
                <w:sz w:val="24"/>
                <w:szCs w:val="24"/>
                <w:highlight w:val="none"/>
                <w:lang w:val="zh-TW"/>
              </w:rPr>
              <w:t xml:space="preserve">背景资料掌握较为充实，</w:t>
            </w:r>
            <w:r>
              <w:rPr>
                <w:color w:val="auto"/>
                <w:sz w:val="24"/>
                <w:szCs w:val="24"/>
                <w:highlight w:val="none"/>
                <w:lang w:val="zh-TW" w:eastAsia="zh-TW"/>
              </w:rPr>
              <w:t xml:space="preserve">地质灾害发育基本特征及</w:t>
            </w:r>
            <w:r>
              <w:rPr>
                <w:color w:val="auto"/>
                <w:sz w:val="24"/>
                <w:szCs w:val="24"/>
                <w:highlight w:val="none"/>
                <w:lang w:val="zh-TW"/>
              </w:rPr>
              <w:t xml:space="preserve">现状描述较为准确</w:t>
            </w:r>
            <w:r>
              <w:rPr>
                <w:color w:val="auto"/>
                <w:sz w:val="24"/>
                <w:szCs w:val="24"/>
                <w:highlight w:val="none"/>
              </w:rPr>
              <w:t xml:space="preserve">，</w:t>
            </w:r>
            <w:r>
              <w:rPr>
                <w:color w:val="auto"/>
                <w:sz w:val="24"/>
                <w:szCs w:val="24"/>
                <w:highlight w:val="none"/>
                <w:lang w:val="zh-TW"/>
              </w:rPr>
              <w:t xml:space="preserve">得</w:t>
            </w:r>
            <w:r>
              <w:rPr>
                <w:color w:val="auto"/>
                <w:sz w:val="24"/>
                <w:szCs w:val="24"/>
                <w:highlight w:val="none"/>
              </w:rPr>
              <w:t xml:space="preserve">12</w:t>
            </w:r>
            <w:r>
              <w:rPr>
                <w:color w:val="auto"/>
                <w:sz w:val="24"/>
                <w:szCs w:val="24"/>
                <w:highlight w:val="none"/>
                <w:lang w:val="zh-TW"/>
              </w:rPr>
              <w:t xml:space="preserve">分；区内</w:t>
            </w:r>
            <w:r>
              <w:rPr>
                <w:color w:val="auto"/>
                <w:sz w:val="24"/>
                <w:szCs w:val="24"/>
                <w:highlight w:val="none"/>
                <w:lang w:val="zh-TW" w:eastAsia="zh-TW"/>
              </w:rPr>
              <w:t xml:space="preserve">地质</w:t>
            </w:r>
            <w:r>
              <w:rPr>
                <w:color w:val="auto"/>
                <w:sz w:val="24"/>
                <w:szCs w:val="24"/>
                <w:highlight w:val="none"/>
                <w:lang w:val="zh-TW"/>
              </w:rPr>
              <w:t xml:space="preserve">背景资料掌握基本充实，</w:t>
            </w:r>
            <w:r>
              <w:rPr>
                <w:color w:val="auto"/>
                <w:sz w:val="24"/>
                <w:szCs w:val="24"/>
                <w:highlight w:val="none"/>
                <w:lang w:val="zh-TW" w:eastAsia="zh-TW"/>
              </w:rPr>
              <w:t xml:space="preserve">地质灾害发育基本特征及</w:t>
            </w:r>
            <w:r>
              <w:rPr>
                <w:color w:val="auto"/>
                <w:sz w:val="24"/>
                <w:szCs w:val="24"/>
                <w:highlight w:val="none"/>
                <w:lang w:val="zh-TW"/>
              </w:rPr>
              <w:t xml:space="preserve">现状描述基本准确，得</w:t>
            </w:r>
            <w:r>
              <w:rPr>
                <w:color w:val="auto"/>
                <w:sz w:val="24"/>
                <w:szCs w:val="24"/>
                <w:highlight w:val="none"/>
              </w:rPr>
              <w:t xml:space="preserve">9</w:t>
            </w:r>
            <w:r>
              <w:rPr>
                <w:color w:val="auto"/>
                <w:sz w:val="24"/>
                <w:szCs w:val="24"/>
                <w:highlight w:val="none"/>
                <w:lang w:val="zh-TW"/>
              </w:rPr>
              <w:t xml:space="preserve">分；区内</w:t>
            </w:r>
            <w:r>
              <w:rPr>
                <w:color w:val="auto"/>
                <w:sz w:val="24"/>
                <w:szCs w:val="24"/>
                <w:highlight w:val="none"/>
                <w:lang w:val="zh-TW" w:eastAsia="zh-TW"/>
              </w:rPr>
              <w:t xml:space="preserve">地质</w:t>
            </w:r>
            <w:r>
              <w:rPr>
                <w:color w:val="auto"/>
                <w:sz w:val="24"/>
                <w:szCs w:val="24"/>
                <w:highlight w:val="none"/>
                <w:lang w:val="zh-TW"/>
              </w:rPr>
              <w:t xml:space="preserve">背景资料掌握不充实，</w:t>
            </w:r>
            <w:r>
              <w:rPr>
                <w:color w:val="auto"/>
                <w:sz w:val="24"/>
                <w:szCs w:val="24"/>
                <w:highlight w:val="none"/>
                <w:lang w:val="zh-TW" w:eastAsia="zh-TW"/>
              </w:rPr>
              <w:t xml:space="preserve">地质灾害发育基本特征及</w:t>
            </w:r>
            <w:r>
              <w:rPr>
                <w:color w:val="auto"/>
                <w:sz w:val="24"/>
                <w:szCs w:val="24"/>
                <w:highlight w:val="none"/>
                <w:lang w:val="zh-TW"/>
              </w:rPr>
              <w:t xml:space="preserve">现状描述不准确，</w:t>
            </w:r>
            <w:r>
              <w:rPr>
                <w:color w:val="auto"/>
                <w:sz w:val="24"/>
                <w:szCs w:val="24"/>
                <w:highlight w:val="none"/>
              </w:rPr>
              <w:t xml:space="preserve">或无此项内容不得分。</w:t>
            </w:r>
            <w:r/>
          </w:p>
        </w:tc>
        <w:tc>
          <w:tcPr>
            <w:tcW w:w="777" w:type="dxa"/>
            <w:vAlign w:val="center"/>
            <w:textDirection w:val="lrTb"/>
            <w:noWrap/>
          </w:tcPr>
          <w:p>
            <w:pPr>
              <w:jc w:val="center"/>
              <w:spacing w:line="520" w:lineRule="exact"/>
              <w:tabs>
                <w:tab w:val="left" w:pos="2850" w:leader="none"/>
                <w:tab w:val="center" w:pos="41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15分</w:t>
            </w:r>
            <w:r/>
          </w:p>
        </w:tc>
      </w:tr>
      <w:tr>
        <w:trPr>
          <w:jc w:val="center"/>
          <w:trHeight w:val="1212"/>
        </w:trPr>
        <w:tc>
          <w:tcPr>
            <w:tcW w:w="663" w:type="dxa"/>
            <w:vAlign w:val="center"/>
            <w:textDirection w:val="lrTb"/>
            <w:noWrap/>
          </w:tcPr>
          <w:p>
            <w:pPr>
              <w:jc w:val="center"/>
              <w:spacing w:line="520" w:lineRule="exact"/>
              <w:tabs>
                <w:tab w:val="left" w:pos="2850" w:leader="none"/>
                <w:tab w:val="center" w:pos="4153" w:leader="none"/>
              </w:tabs>
              <w:rPr>
                <w:rFonts w:ascii="宋体" w:hAnsi="宋体" w:cs="宋体"/>
                <w:bCs/>
                <w:color w:val="auto"/>
                <w:sz w:val="24"/>
                <w:szCs w:val="24"/>
                <w:highlight w:val="none"/>
              </w:rPr>
            </w:pPr>
            <w:r>
              <w:rPr>
                <w:rFonts w:hint="eastAsia" w:ascii="宋体" w:hAnsi="宋体" w:cs="宋体"/>
                <w:b/>
                <w:color w:val="auto"/>
                <w:sz w:val="24"/>
                <w:szCs w:val="24"/>
                <w:highlight w:val="none"/>
              </w:rPr>
              <w:t xml:space="preserve">3</w:t>
            </w:r>
            <w:r/>
          </w:p>
        </w:tc>
        <w:tc>
          <w:tcPr>
            <w:tcW w:w="1140" w:type="dxa"/>
            <w:vAlign w:val="center"/>
            <w:textDirection w:val="lrTb"/>
            <w:noWrap/>
          </w:tcPr>
          <w:p>
            <w:pPr>
              <w:jc w:val="center"/>
              <w:spacing w:line="520" w:lineRule="exac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技术路线</w:t>
            </w:r>
            <w:r/>
          </w:p>
        </w:tc>
        <w:tc>
          <w:tcPr>
            <w:tcW w:w="5960" w:type="dxa"/>
            <w:vAlign w:val="center"/>
            <w:textDirection w:val="lrTb"/>
            <w:noWrap/>
          </w:tcPr>
          <w:p>
            <w:pPr>
              <w:pStyle w:val="984"/>
              <w:ind w:firstLine="480"/>
              <w:jc w:val="left"/>
              <w:tabs>
                <w:tab w:val="left" w:pos="2700" w:leader="none"/>
              </w:tabs>
              <w:rPr>
                <w:rFonts w:hAnsi="Times New Roman" w:eastAsia="宋体" w:cs="Times New Roman"/>
                <w:color w:val="auto"/>
                <w:sz w:val="24"/>
                <w:szCs w:val="24"/>
                <w:highlight w:val="none"/>
                <w:lang w:val="zh-TW" w:eastAsia="zh-TW"/>
              </w:rPr>
              <w:framePr w:wrap="auto" w:vAnchor="margin" w:hAnchor="text" w:yAlign="inline"/>
            </w:pPr>
            <w:r>
              <w:rPr>
                <w:rFonts w:hAnsi="Times New Roman" w:eastAsia="宋体" w:cs="Times New Roman"/>
                <w:color w:val="auto"/>
                <w:sz w:val="24"/>
                <w:szCs w:val="24"/>
                <w:highlight w:val="none"/>
                <w:lang w:val="zh-TW" w:eastAsia="zh-TW"/>
              </w:rPr>
              <w:t xml:space="preserve">根据</w:t>
            </w:r>
            <w:r>
              <w:rPr>
                <w:rFonts w:hAnsi="Times New Roman" w:eastAsia="宋体" w:cs="Times New Roman"/>
                <w:color w:val="auto"/>
                <w:sz w:val="24"/>
                <w:szCs w:val="24"/>
                <w:highlight w:val="none"/>
                <w:lang w:val="zh-TW"/>
              </w:rPr>
              <w:t xml:space="preserve">投标人</w:t>
            </w:r>
            <w:r>
              <w:rPr>
                <w:rFonts w:hAnsi="Times New Roman" w:eastAsia="宋体" w:cs="Times New Roman"/>
                <w:color w:val="auto"/>
                <w:sz w:val="24"/>
                <w:szCs w:val="24"/>
                <w:highlight w:val="none"/>
                <w:lang w:val="zh-TW" w:eastAsia="zh-TW"/>
              </w:rPr>
              <w:t xml:space="preserve">所提供的</w:t>
            </w:r>
            <w:r>
              <w:rPr>
                <w:rFonts w:hAnsi="Times New Roman" w:eastAsia="宋体" w:cs="Times New Roman"/>
                <w:color w:val="auto"/>
                <w:sz w:val="24"/>
                <w:szCs w:val="24"/>
                <w:highlight w:val="none"/>
                <w:lang w:val="zh-TW"/>
              </w:rPr>
              <w:t xml:space="preserve">技术路线，</w:t>
            </w:r>
            <w:r>
              <w:rPr>
                <w:rFonts w:hAnsi="Times New Roman" w:eastAsia="宋体" w:cs="Times New Roman"/>
                <w:color w:val="auto"/>
                <w:sz w:val="24"/>
                <w:szCs w:val="24"/>
                <w:highlight w:val="none"/>
                <w:lang w:val="zh-TW" w:eastAsia="zh-TW"/>
              </w:rPr>
              <w:t xml:space="preserve">在野外调查、综合分析研究、报告编制、技术审查等</w:t>
            </w:r>
            <w:r>
              <w:rPr>
                <w:rFonts w:hint="eastAsia" w:hAnsi="Times New Roman" w:eastAsia="宋体" w:cs="Times New Roman"/>
                <w:color w:val="auto"/>
                <w:sz w:val="24"/>
                <w:szCs w:val="24"/>
                <w:highlight w:val="none"/>
                <w:lang w:val="zh-TW"/>
              </w:rPr>
              <w:t xml:space="preserve">工作</w:t>
            </w:r>
            <w:r>
              <w:rPr>
                <w:rFonts w:hAnsi="Times New Roman" w:eastAsia="宋体" w:cs="Times New Roman"/>
                <w:color w:val="auto"/>
                <w:sz w:val="24"/>
                <w:szCs w:val="24"/>
                <w:highlight w:val="none"/>
                <w:lang w:val="zh-TW" w:eastAsia="zh-TW"/>
              </w:rPr>
              <w:t xml:space="preserve">部署环节</w:t>
            </w:r>
            <w:r>
              <w:rPr>
                <w:rFonts w:hint="eastAsia" w:hAnsi="Times New Roman" w:eastAsia="宋体" w:cs="Times New Roman"/>
                <w:color w:val="auto"/>
                <w:sz w:val="24"/>
                <w:szCs w:val="24"/>
                <w:highlight w:val="none"/>
                <w:lang w:val="zh-TW"/>
              </w:rPr>
              <w:t xml:space="preserve">和采用的</w:t>
            </w:r>
            <w:r>
              <w:rPr>
                <w:rFonts w:hAnsi="Times New Roman" w:eastAsia="宋体" w:cs="Times New Roman"/>
                <w:color w:val="auto"/>
                <w:sz w:val="24"/>
                <w:szCs w:val="24"/>
                <w:highlight w:val="none"/>
                <w:lang w:val="zh-TW" w:eastAsia="zh-TW"/>
              </w:rPr>
              <w:t xml:space="preserve">技术</w:t>
            </w:r>
            <w:r>
              <w:rPr>
                <w:rFonts w:hint="eastAsia" w:hAnsi="Times New Roman" w:eastAsia="宋体" w:cs="Times New Roman"/>
                <w:color w:val="auto"/>
                <w:sz w:val="24"/>
                <w:szCs w:val="24"/>
                <w:highlight w:val="none"/>
                <w:lang w:val="zh-TW"/>
              </w:rPr>
              <w:t xml:space="preserve">方法</w:t>
            </w:r>
            <w:r>
              <w:rPr>
                <w:rFonts w:hAnsi="Times New Roman" w:eastAsia="宋体" w:cs="Times New Roman"/>
                <w:color w:val="auto"/>
                <w:sz w:val="24"/>
                <w:szCs w:val="24"/>
                <w:highlight w:val="none"/>
                <w:lang w:val="zh-TW" w:eastAsia="zh-TW"/>
              </w:rPr>
              <w:t xml:space="preserve">阐述情况进行综合评定。</w:t>
            </w:r>
            <w:r/>
          </w:p>
          <w:p>
            <w:pPr>
              <w:ind w:firstLine="480"/>
              <w:rPr>
                <w:color w:val="auto"/>
                <w:sz w:val="24"/>
                <w:szCs w:val="24"/>
                <w:highlight w:val="none"/>
                <w:lang w:val="zh-TW"/>
              </w:rPr>
            </w:pPr>
            <w:r>
              <w:rPr>
                <w:color w:val="auto"/>
                <w:sz w:val="24"/>
                <w:highlight w:val="none"/>
                <w:lang w:val="zh-TW"/>
              </w:rPr>
              <w:t xml:space="preserve">技术</w:t>
            </w:r>
            <w:r>
              <w:rPr>
                <w:rFonts w:hint="eastAsia"/>
                <w:color w:val="auto"/>
                <w:sz w:val="24"/>
                <w:highlight w:val="none"/>
                <w:lang w:val="zh-TW"/>
              </w:rPr>
              <w:t xml:space="preserve">路线</w:t>
            </w:r>
            <w:r>
              <w:rPr>
                <w:color w:val="auto"/>
                <w:sz w:val="24"/>
                <w:highlight w:val="none"/>
                <w:lang w:val="zh-TW"/>
              </w:rPr>
              <w:t xml:space="preserve">全面完善、合理可行，得</w:t>
            </w:r>
            <w:r>
              <w:rPr>
                <w:color w:val="auto"/>
                <w:sz w:val="24"/>
                <w:highlight w:val="none"/>
              </w:rPr>
              <w:t xml:space="preserve">15</w:t>
            </w:r>
            <w:r>
              <w:rPr>
                <w:color w:val="auto"/>
                <w:sz w:val="24"/>
                <w:highlight w:val="none"/>
                <w:lang w:val="zh-TW"/>
              </w:rPr>
              <w:t xml:space="preserve">分；技术</w:t>
            </w:r>
            <w:r>
              <w:rPr>
                <w:rFonts w:hint="eastAsia"/>
                <w:color w:val="auto"/>
                <w:sz w:val="24"/>
                <w:highlight w:val="none"/>
                <w:lang w:val="zh-TW"/>
              </w:rPr>
              <w:t xml:space="preserve">路线</w:t>
            </w:r>
            <w:r>
              <w:rPr>
                <w:color w:val="auto"/>
                <w:sz w:val="24"/>
                <w:highlight w:val="none"/>
                <w:lang w:val="zh-TW"/>
              </w:rPr>
              <w:t xml:space="preserve">较为完善可行，得</w:t>
            </w:r>
            <w:r>
              <w:rPr>
                <w:color w:val="auto"/>
                <w:sz w:val="24"/>
                <w:highlight w:val="none"/>
              </w:rPr>
              <w:t xml:space="preserve">12</w:t>
            </w:r>
            <w:r>
              <w:rPr>
                <w:color w:val="auto"/>
                <w:sz w:val="24"/>
                <w:highlight w:val="none"/>
                <w:lang w:val="zh-TW"/>
              </w:rPr>
              <w:t xml:space="preserve">分；技术</w:t>
            </w:r>
            <w:r>
              <w:rPr>
                <w:rFonts w:hint="eastAsia"/>
                <w:color w:val="auto"/>
                <w:sz w:val="24"/>
                <w:highlight w:val="none"/>
                <w:lang w:val="zh-TW"/>
              </w:rPr>
              <w:t xml:space="preserve">路线</w:t>
            </w:r>
            <w:r>
              <w:rPr>
                <w:color w:val="auto"/>
                <w:sz w:val="24"/>
                <w:highlight w:val="none"/>
                <w:lang w:val="zh-TW"/>
              </w:rPr>
              <w:t xml:space="preserve">基本完善可行，得</w:t>
            </w:r>
            <w:r>
              <w:rPr>
                <w:color w:val="auto"/>
                <w:sz w:val="24"/>
                <w:highlight w:val="none"/>
              </w:rPr>
              <w:t xml:space="preserve">9分；</w:t>
            </w:r>
            <w:r>
              <w:rPr>
                <w:color w:val="auto"/>
                <w:sz w:val="24"/>
                <w:highlight w:val="none"/>
                <w:lang w:val="zh-TW"/>
              </w:rPr>
              <w:t xml:space="preserve">技术</w:t>
            </w:r>
            <w:r>
              <w:rPr>
                <w:rFonts w:hint="eastAsia"/>
                <w:color w:val="auto"/>
                <w:sz w:val="24"/>
                <w:highlight w:val="none"/>
                <w:lang w:val="zh-TW"/>
              </w:rPr>
              <w:t xml:space="preserve">路线</w:t>
            </w:r>
            <w:r>
              <w:rPr>
                <w:color w:val="auto"/>
                <w:sz w:val="24"/>
                <w:highlight w:val="none"/>
                <w:lang w:val="zh-TW"/>
              </w:rPr>
              <w:t xml:space="preserve">不完善、不可行，或无此项内容不得分。</w:t>
            </w:r>
            <w:r/>
          </w:p>
        </w:tc>
        <w:tc>
          <w:tcPr>
            <w:tcW w:w="777" w:type="dxa"/>
            <w:vAlign w:val="center"/>
            <w:textDirection w:val="lrTb"/>
            <w:noWrap/>
          </w:tcPr>
          <w:p>
            <w:pPr>
              <w:jc w:val="center"/>
              <w:spacing w:line="520" w:lineRule="exact"/>
              <w:tabs>
                <w:tab w:val="left" w:pos="2850" w:leader="none"/>
                <w:tab w:val="center" w:pos="4153" w:leader="none"/>
              </w:tabs>
              <w:rPr>
                <w:rFonts w:ascii="宋体" w:hAnsi="宋体" w:cs="宋体"/>
                <w:bCs/>
                <w:color w:val="auto"/>
                <w:sz w:val="24"/>
                <w:szCs w:val="24"/>
                <w:highlight w:val="none"/>
              </w:rPr>
            </w:pPr>
            <w:r>
              <w:rPr>
                <w:rFonts w:hint="eastAsia" w:ascii="宋体" w:hAnsi="宋体" w:cs="宋体"/>
                <w:b/>
                <w:color w:val="auto"/>
                <w:sz w:val="24"/>
                <w:szCs w:val="24"/>
                <w:highlight w:val="none"/>
              </w:rPr>
              <w:t xml:space="preserve">15分</w:t>
            </w:r>
            <w:r/>
          </w:p>
        </w:tc>
      </w:tr>
      <w:tr>
        <w:trPr>
          <w:jc w:val="center"/>
          <w:trHeight w:val="1844"/>
        </w:trPr>
        <w:tc>
          <w:tcPr>
            <w:tcW w:w="663" w:type="dxa"/>
            <w:vAlign w:val="center"/>
            <w:textDirection w:val="lrTb"/>
            <w:noWrap/>
          </w:tcPr>
          <w:p>
            <w:pPr>
              <w:jc w:val="center"/>
              <w:spacing w:line="520" w:lineRule="exact"/>
              <w:tabs>
                <w:tab w:val="left" w:pos="2850" w:leader="none"/>
                <w:tab w:val="center" w:pos="41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4</w:t>
            </w:r>
            <w:r/>
          </w:p>
        </w:tc>
        <w:tc>
          <w:tcPr>
            <w:tcW w:w="1140" w:type="dxa"/>
            <w:vAlign w:val="center"/>
            <w:textDirection w:val="lrTb"/>
            <w:noWrap/>
          </w:tcPr>
          <w:p>
            <w:pPr>
              <w:jc w:val="center"/>
              <w:spacing w:line="520" w:lineRule="exac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进度安排与保障措施</w:t>
            </w:r>
            <w:r/>
          </w:p>
        </w:tc>
        <w:tc>
          <w:tcPr>
            <w:tcW w:w="5960" w:type="dxa"/>
            <w:vAlign w:val="center"/>
            <w:textDirection w:val="lrTb"/>
            <w:noWrap/>
          </w:tcPr>
          <w:p>
            <w:pPr>
              <w:ind w:firstLine="480"/>
              <w:jc w:val="left"/>
              <w:tabs>
                <w:tab w:val="left" w:pos="2700" w:leader="none"/>
              </w:tabs>
              <w:rPr>
                <w:color w:val="auto"/>
                <w:sz w:val="24"/>
                <w:szCs w:val="24"/>
                <w:highlight w:val="none"/>
                <w:lang w:val="zh-TW" w:eastAsia="zh-TW"/>
              </w:rPr>
            </w:pPr>
            <w:r>
              <w:rPr>
                <w:color w:val="auto"/>
                <w:sz w:val="24"/>
                <w:szCs w:val="24"/>
                <w:highlight w:val="none"/>
                <w:lang w:val="zh-TW" w:eastAsia="zh-TW"/>
              </w:rPr>
              <w:t xml:space="preserve">根据投标人的</w:t>
            </w:r>
            <w:r>
              <w:rPr>
                <w:rFonts w:hint="eastAsia"/>
                <w:color w:val="auto"/>
                <w:sz w:val="24"/>
                <w:szCs w:val="24"/>
                <w:highlight w:val="none"/>
                <w:lang w:val="zh-TW"/>
              </w:rPr>
              <w:t xml:space="preserve">评估工作</w:t>
            </w:r>
            <w:r>
              <w:rPr>
                <w:color w:val="auto"/>
                <w:sz w:val="24"/>
                <w:szCs w:val="24"/>
                <w:highlight w:val="none"/>
                <w:lang w:val="zh-TW"/>
              </w:rPr>
              <w:t xml:space="preserve">进度安排</w:t>
            </w:r>
            <w:r>
              <w:rPr>
                <w:rFonts w:hint="eastAsia"/>
                <w:color w:val="auto"/>
                <w:sz w:val="24"/>
                <w:szCs w:val="24"/>
                <w:highlight w:val="none"/>
                <w:lang w:val="zh-TW"/>
              </w:rPr>
              <w:t xml:space="preserve">、</w:t>
            </w:r>
            <w:r>
              <w:rPr>
                <w:color w:val="auto"/>
                <w:sz w:val="24"/>
                <w:szCs w:val="24"/>
                <w:highlight w:val="none"/>
                <w:lang w:val="zh-TW" w:eastAsia="zh-TW"/>
              </w:rPr>
              <w:t xml:space="preserve">项目质量管理、技术保证、安全及劳动保护、涉密管理措施进行</w:t>
            </w:r>
            <w:r>
              <w:rPr>
                <w:color w:val="auto"/>
                <w:sz w:val="24"/>
                <w:szCs w:val="24"/>
                <w:highlight w:val="none"/>
                <w:lang w:val="zh-TW"/>
              </w:rPr>
              <w:t xml:space="preserve">综合评定</w:t>
            </w:r>
            <w:r>
              <w:rPr>
                <w:color w:val="auto"/>
                <w:sz w:val="24"/>
                <w:szCs w:val="24"/>
                <w:highlight w:val="none"/>
                <w:lang w:val="zh-TW" w:eastAsia="zh-TW"/>
              </w:rPr>
              <w:t xml:space="preserve">。</w:t>
            </w:r>
            <w:r/>
          </w:p>
          <w:p>
            <w:pPr>
              <w:ind w:firstLine="480"/>
              <w:jc w:val="left"/>
              <w:tabs>
                <w:tab w:val="left" w:pos="2700" w:leader="none"/>
              </w:tabs>
              <w:rPr>
                <w:color w:val="auto"/>
                <w:sz w:val="24"/>
                <w:szCs w:val="24"/>
                <w:highlight w:val="none"/>
                <w:lang w:val="zh-TW"/>
              </w:rPr>
            </w:pPr>
            <w:r>
              <w:rPr>
                <w:rFonts w:hint="eastAsia"/>
                <w:color w:val="auto"/>
                <w:sz w:val="24"/>
                <w:szCs w:val="24"/>
                <w:highlight w:val="none"/>
                <w:lang w:val="zh-TW"/>
              </w:rPr>
              <w:t xml:space="preserve">评估工作</w:t>
            </w:r>
            <w:r>
              <w:rPr>
                <w:color w:val="auto"/>
                <w:sz w:val="24"/>
                <w:szCs w:val="24"/>
                <w:highlight w:val="none"/>
                <w:lang w:val="zh-TW"/>
              </w:rPr>
              <w:t xml:space="preserve">进度安排</w:t>
            </w:r>
            <w:r>
              <w:rPr>
                <w:rFonts w:hint="eastAsia"/>
                <w:color w:val="auto"/>
                <w:sz w:val="24"/>
                <w:szCs w:val="24"/>
                <w:highlight w:val="none"/>
                <w:lang w:val="zh-TW"/>
              </w:rPr>
              <w:t xml:space="preserve">不符合时限要求，该项不得分。</w:t>
            </w:r>
            <w:r/>
          </w:p>
          <w:p>
            <w:pPr>
              <w:ind w:firstLine="480"/>
              <w:jc w:val="left"/>
              <w:tabs>
                <w:tab w:val="left" w:pos="2700" w:leader="none"/>
              </w:tabs>
              <w:rPr>
                <w:color w:val="auto"/>
                <w:sz w:val="24"/>
                <w:szCs w:val="24"/>
                <w:highlight w:val="none"/>
                <w:lang w:val="zh-TW"/>
              </w:rPr>
            </w:pPr>
            <w:r>
              <w:rPr>
                <w:rFonts w:hint="eastAsia"/>
                <w:color w:val="auto"/>
                <w:sz w:val="24"/>
                <w:szCs w:val="24"/>
                <w:highlight w:val="none"/>
                <w:lang w:val="zh-TW"/>
              </w:rPr>
              <w:t xml:space="preserve">在评估工作</w:t>
            </w:r>
            <w:r>
              <w:rPr>
                <w:color w:val="auto"/>
                <w:sz w:val="24"/>
                <w:szCs w:val="24"/>
                <w:highlight w:val="none"/>
                <w:lang w:val="zh-TW"/>
              </w:rPr>
              <w:t xml:space="preserve">进度安排</w:t>
            </w:r>
            <w:r>
              <w:rPr>
                <w:rFonts w:hint="eastAsia"/>
                <w:color w:val="auto"/>
                <w:sz w:val="24"/>
                <w:szCs w:val="24"/>
                <w:highlight w:val="none"/>
                <w:lang w:val="zh-TW"/>
              </w:rPr>
              <w:t xml:space="preserve">符合时限要求的基础上，</w:t>
            </w:r>
            <w:r>
              <w:rPr>
                <w:color w:val="auto"/>
                <w:sz w:val="24"/>
                <w:szCs w:val="24"/>
                <w:highlight w:val="none"/>
                <w:lang w:val="zh-TW" w:eastAsia="zh-TW"/>
              </w:rPr>
              <w:t xml:space="preserve">质量管理、技术保证、安全及劳动保护、涉密管理措施完善</w:t>
            </w:r>
            <w:r>
              <w:rPr>
                <w:color w:val="auto"/>
                <w:sz w:val="24"/>
                <w:szCs w:val="24"/>
                <w:highlight w:val="none"/>
                <w:lang w:val="zh-TW"/>
              </w:rPr>
              <w:t xml:space="preserve">到位，</w:t>
            </w:r>
            <w:r>
              <w:rPr>
                <w:color w:val="auto"/>
                <w:sz w:val="24"/>
                <w:szCs w:val="24"/>
                <w:highlight w:val="none"/>
                <w:lang w:val="zh-TW" w:eastAsia="zh-TW"/>
              </w:rPr>
              <w:t xml:space="preserve">得</w:t>
            </w:r>
            <w:r>
              <w:rPr>
                <w:rFonts w:hint="eastAsia"/>
                <w:color w:val="auto"/>
                <w:sz w:val="24"/>
                <w:szCs w:val="24"/>
                <w:highlight w:val="none"/>
              </w:rPr>
              <w:t xml:space="preserve">10</w:t>
            </w:r>
            <w:r>
              <w:rPr>
                <w:color w:val="auto"/>
                <w:sz w:val="24"/>
                <w:szCs w:val="24"/>
                <w:highlight w:val="none"/>
                <w:lang w:val="zh-TW" w:eastAsia="zh-TW"/>
              </w:rPr>
              <w:t xml:space="preserve">分</w:t>
            </w:r>
            <w:r>
              <w:rPr>
                <w:color w:val="auto"/>
                <w:sz w:val="24"/>
                <w:szCs w:val="24"/>
                <w:highlight w:val="none"/>
                <w:lang w:val="zh-TW"/>
              </w:rPr>
              <w:t xml:space="preserve">；</w:t>
            </w:r>
            <w:r>
              <w:rPr>
                <w:color w:val="auto"/>
                <w:sz w:val="24"/>
                <w:szCs w:val="24"/>
                <w:highlight w:val="none"/>
                <w:lang w:val="zh-TW" w:eastAsia="zh-TW"/>
              </w:rPr>
              <w:t xml:space="preserve">质量管理、技术保证、安全及劳动保护、涉密管理措施</w:t>
            </w:r>
            <w:r>
              <w:rPr>
                <w:color w:val="auto"/>
                <w:sz w:val="24"/>
                <w:szCs w:val="24"/>
                <w:highlight w:val="none"/>
                <w:lang w:val="zh-TW"/>
              </w:rPr>
              <w:t xml:space="preserve">较为到位，</w:t>
            </w:r>
            <w:r>
              <w:rPr>
                <w:color w:val="auto"/>
                <w:sz w:val="24"/>
                <w:szCs w:val="24"/>
                <w:highlight w:val="none"/>
                <w:lang w:val="zh-TW" w:eastAsia="zh-TW"/>
              </w:rPr>
              <w:t xml:space="preserve">得</w:t>
            </w:r>
            <w:r>
              <w:rPr>
                <w:rFonts w:hint="eastAsia"/>
                <w:color w:val="auto"/>
                <w:sz w:val="24"/>
                <w:szCs w:val="24"/>
                <w:highlight w:val="none"/>
              </w:rPr>
              <w:t xml:space="preserve">8</w:t>
            </w:r>
            <w:r>
              <w:rPr>
                <w:color w:val="auto"/>
                <w:sz w:val="24"/>
                <w:szCs w:val="24"/>
                <w:highlight w:val="none"/>
                <w:lang w:val="zh-TW" w:eastAsia="zh-TW"/>
              </w:rPr>
              <w:t xml:space="preserve">分</w:t>
            </w:r>
            <w:r>
              <w:rPr>
                <w:color w:val="auto"/>
                <w:sz w:val="24"/>
                <w:szCs w:val="24"/>
                <w:highlight w:val="none"/>
                <w:lang w:val="zh-TW"/>
              </w:rPr>
              <w:t xml:space="preserve">；</w:t>
            </w:r>
            <w:r>
              <w:rPr>
                <w:color w:val="auto"/>
                <w:sz w:val="24"/>
                <w:szCs w:val="24"/>
                <w:highlight w:val="none"/>
                <w:lang w:val="zh-TW" w:eastAsia="zh-TW"/>
              </w:rPr>
              <w:t xml:space="preserve">质量管理、技术保证、安全及劳动保护、涉密管理措施</w:t>
            </w:r>
            <w:r>
              <w:rPr>
                <w:color w:val="auto"/>
                <w:sz w:val="24"/>
                <w:szCs w:val="24"/>
                <w:highlight w:val="none"/>
                <w:lang w:val="zh-TW"/>
              </w:rPr>
              <w:t xml:space="preserve">基本到位，</w:t>
            </w:r>
            <w:r>
              <w:rPr>
                <w:color w:val="auto"/>
                <w:sz w:val="24"/>
                <w:szCs w:val="24"/>
                <w:highlight w:val="none"/>
                <w:lang w:val="zh-TW" w:eastAsia="zh-TW"/>
              </w:rPr>
              <w:t xml:space="preserve">得</w:t>
            </w:r>
            <w:r>
              <w:rPr>
                <w:rFonts w:hint="eastAsia"/>
                <w:color w:val="auto"/>
                <w:sz w:val="24"/>
                <w:szCs w:val="24"/>
                <w:highlight w:val="none"/>
              </w:rPr>
              <w:t xml:space="preserve">6</w:t>
            </w:r>
            <w:r>
              <w:rPr>
                <w:color w:val="auto"/>
                <w:sz w:val="24"/>
                <w:szCs w:val="24"/>
                <w:highlight w:val="none"/>
                <w:lang w:val="zh-TW" w:eastAsia="zh-TW"/>
              </w:rPr>
              <w:t xml:space="preserve">分</w:t>
            </w:r>
            <w:r>
              <w:rPr>
                <w:color w:val="auto"/>
                <w:sz w:val="24"/>
                <w:szCs w:val="24"/>
                <w:highlight w:val="none"/>
                <w:lang w:val="zh-TW"/>
              </w:rPr>
              <w:t xml:space="preserve">；</w:t>
            </w:r>
            <w:r>
              <w:rPr>
                <w:color w:val="auto"/>
                <w:sz w:val="24"/>
                <w:szCs w:val="24"/>
                <w:highlight w:val="none"/>
                <w:lang w:val="zh-TW" w:eastAsia="zh-TW"/>
              </w:rPr>
              <w:t xml:space="preserve">质量管理、技术保证、安全及劳动保护、涉密管理措施</w:t>
            </w:r>
            <w:r>
              <w:rPr>
                <w:color w:val="auto"/>
                <w:sz w:val="24"/>
                <w:szCs w:val="24"/>
                <w:highlight w:val="none"/>
                <w:lang w:val="zh-TW"/>
              </w:rPr>
              <w:t xml:space="preserve">不到位，或无此项内容不得分。</w:t>
            </w:r>
            <w:r/>
          </w:p>
        </w:tc>
        <w:tc>
          <w:tcPr>
            <w:tcW w:w="777" w:type="dxa"/>
            <w:vAlign w:val="center"/>
            <w:textDirection w:val="lrTb"/>
            <w:noWrap/>
          </w:tcPr>
          <w:p>
            <w:pPr>
              <w:jc w:val="center"/>
              <w:spacing w:line="520" w:lineRule="exact"/>
              <w:tabs>
                <w:tab w:val="left" w:pos="2850" w:leader="none"/>
                <w:tab w:val="center" w:pos="41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10分</w:t>
            </w:r>
            <w:r/>
          </w:p>
        </w:tc>
      </w:tr>
    </w:tbl>
    <w:p>
      <w:pPr>
        <w:numPr>
          <w:ilvl w:val="0"/>
          <w:numId w:val="0"/>
        </w:numPr>
        <w:ind w:firstLine="482"/>
        <w:pageBreakBefore w:val="0"/>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r>
      <w:r/>
    </w:p>
    <w:p>
      <w:pPr>
        <w:numPr>
          <w:ilvl w:val="0"/>
          <w:numId w:val="0"/>
        </w:numPr>
        <w:ind w:firstLine="482"/>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二、确定第二阶段成交供应商的方式</w:t>
      </w:r>
      <w:r/>
    </w:p>
    <w:p>
      <w:pPr>
        <w:numPr>
          <w:ilvl w:val="0"/>
          <w:numId w:val="0"/>
        </w:numPr>
        <w:ind w:firstLine="480"/>
        <w:pageBreakBefore w:val="0"/>
        <w:spacing w:line="360" w:lineRule="auto"/>
        <w:rPr>
          <w:rFonts w:hint="eastAsia" w:ascii="宋体" w:hAnsi="宋体" w:eastAsia="宋体" w:cs="宋体"/>
          <w:strike/>
          <w:color w:val="auto"/>
          <w:sz w:val="24"/>
          <w:highlight w:val="none"/>
          <w:lang w:val="en-US" w:eastAsia="zh-CN"/>
        </w:rPr>
      </w:pPr>
      <w:r>
        <w:rPr>
          <w:rFonts w:hint="default" w:ascii="宋体" w:hAnsi="宋体" w:eastAsia="宋体" w:cs="宋体"/>
          <w:color w:val="auto"/>
          <w:sz w:val="24"/>
          <w:highlight w:val="none"/>
          <w:lang w:val="en-US" w:eastAsia="zh-CN"/>
        </w:rPr>
        <w:t xml:space="preserve">①确定第二阶段成交供应商的方式</w:t>
      </w:r>
      <w:r>
        <w:rPr>
          <w:rFonts w:hint="eastAsia" w:ascii="宋体" w:hAnsi="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由征集人从第一阶段入围供应商中</w:t>
      </w:r>
      <w:r>
        <w:rPr>
          <w:rFonts w:hint="eastAsia" w:ascii="宋体" w:hAnsi="宋体" w:cs="宋体"/>
          <w:color w:val="auto"/>
          <w:sz w:val="24"/>
          <w:highlight w:val="none"/>
          <w:lang w:val="en-US" w:eastAsia="zh-CN"/>
        </w:rPr>
        <w:t xml:space="preserve">直接选定</w:t>
      </w:r>
      <w:r>
        <w:rPr>
          <w:rFonts w:hint="default" w:ascii="宋体" w:hAnsi="宋体" w:eastAsia="宋体" w:cs="宋体"/>
          <w:color w:val="auto"/>
          <w:sz w:val="24"/>
          <w:highlight w:val="none"/>
          <w:lang w:val="en-US" w:eastAsia="zh-CN"/>
        </w:rPr>
        <w:t xml:space="preserve">。</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②征集人在确定成交供应商后，不得擅自改变框架协议约定的实质性条款。供应商履行合同后，依据采购合同的约定，与征集人进行费用结算。</w:t>
      </w:r>
      <w:r/>
    </w:p>
    <w:p>
      <w:pPr>
        <w:numPr>
          <w:ilvl w:val="0"/>
          <w:numId w:val="0"/>
        </w:numPr>
        <w:ind w:firstLine="482"/>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政府采购政策功能落实</w:t>
      </w:r>
      <w:r/>
    </w:p>
    <w:p>
      <w:pPr>
        <w:numPr>
          <w:ilvl w:val="0"/>
          <w:numId w:val="0"/>
        </w:numPr>
        <w:ind w:firstLine="482"/>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lang w:val="en-US" w:eastAsia="zh-CN"/>
        </w:rPr>
        <w:t xml:space="preserve">小微型企业价格扣除</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（1）本项目对小型和微型企业给予10%的扣除价格，用扣除后的价格参与评审。</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（2）供应商需按照采购文件的要求提供相应的中小企业声明函。</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（3）企业标准请参照《关于印发中小企业划型标准规定的通知》（工信部联企业</w:t>
      </w:r>
      <w:r>
        <w:rPr>
          <w:rFonts w:hint="eastAsia" w:ascii="宋体" w:hAnsi="宋体" w:cs="宋体"/>
          <w:color w:val="auto"/>
          <w:sz w:val="24"/>
          <w:highlight w:val="none"/>
          <w:lang w:val="en-US" w:eastAsia="zh-CN"/>
        </w:rPr>
        <w:t xml:space="preserve">〔2011〕300号</w:t>
      </w:r>
      <w:r>
        <w:rPr>
          <w:rFonts w:hint="eastAsia" w:ascii="宋体" w:hAnsi="宋体" w:eastAsia="宋体" w:cs="宋体"/>
          <w:color w:val="auto"/>
          <w:sz w:val="24"/>
          <w:highlight w:val="none"/>
          <w:lang w:val="en-US" w:eastAsia="zh-CN"/>
        </w:rPr>
        <w:t xml:space="preserve">）文件规定自行填写。</w:t>
      </w:r>
      <w:r/>
    </w:p>
    <w:p>
      <w:pPr>
        <w:numPr>
          <w:ilvl w:val="0"/>
          <w:numId w:val="0"/>
        </w:numPr>
        <w:ind w:firstLine="482"/>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残疾人福利单位价格扣除</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（1）本项目对残疾人福利性单位视同小型、微型企业。</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（2）残疾人福利单位需按照采购文件的要求提供《残疾人福利性单位声明函》。</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（3）残疾人福利单位标准请参照《关于促进残疾人就业政府采购政策的通知》（财库〔2017〕141号）。</w:t>
      </w:r>
      <w:r/>
    </w:p>
    <w:p>
      <w:pPr>
        <w:numPr>
          <w:ilvl w:val="0"/>
          <w:numId w:val="0"/>
        </w:numPr>
        <w:ind w:firstLine="48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监狱和戒毒企业价格扣除</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（1）本项目对监狱和戒毒企业（简称监狱企业）视同小型、微型企业。</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（2）监狱企业参加政府采购活动时，需提供由省级以上监狱管理局、戒毒管理局</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含新疆生产建设兵团</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出具的属于监狱企业的证明文件。供应商如不提供上述证明文件，价格将不做相应扣除。</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（3）监狱企业标准请参照《关于政府采购支持监狱企业发展有关问题的通知》（财库</w:t>
      </w:r>
      <w:r>
        <w:rPr>
          <w:rFonts w:hint="eastAsia" w:ascii="宋体" w:hAnsi="宋体" w:cs="宋体"/>
          <w:color w:val="auto"/>
          <w:sz w:val="24"/>
          <w:highlight w:val="none"/>
          <w:lang w:val="en-US" w:eastAsia="zh-CN"/>
        </w:rPr>
        <w:t xml:space="preserve">〔2014〕68号</w:t>
      </w:r>
      <w:r>
        <w:rPr>
          <w:rFonts w:hint="eastAsia" w:ascii="宋体" w:hAnsi="宋体" w:eastAsia="宋体" w:cs="宋体"/>
          <w:color w:val="auto"/>
          <w:sz w:val="24"/>
          <w:highlight w:val="none"/>
          <w:lang w:val="en-US" w:eastAsia="zh-CN"/>
        </w:rPr>
        <w:t xml:space="preserve">）。</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残疾人福利单位、监狱企业属于小型、微型企业的，不重复享受政策。</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由国家确定的认证机构出具的、处于有效期之内的节能产品、环境标志产品认证证书</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供应商对于投标产品的商品包装、快递包装应按照“财办库〔2020〕123号《关于印发《商品包装政府采购需求标准（试行）</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快递包装政府采购需求标准（试行）》的通知》”执行。</w:t>
      </w:r>
      <w:r/>
    </w:p>
    <w:p>
      <w:pPr>
        <w:numPr>
          <w:ilvl w:val="0"/>
          <w:numId w:val="0"/>
        </w:num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本文件中若涉及到数据中心采购，应按照《</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绿色数据中心政府采购需求标准（试行）</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的通知》（财库〔2023〕7号）执行。</w:t>
      </w:r>
      <w:r/>
    </w:p>
    <w:p>
      <w:pPr>
        <w:pStyle w:val="972"/>
        <w:pageBreakBefore w:val="0"/>
        <w:spacing w:line="360" w:lineRule="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972"/>
        <w:pageBreakBefore w:val="0"/>
        <w:spacing w:line="360" w:lineRule="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firstLine="480"/>
        <w:pageBreakBefore w:val="0"/>
        <w:spacing w:line="360" w:lineRule="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961"/>
        <w:pageBreakBefore w:val="0"/>
        <w:spacing w:line="360" w:lineRule="auto"/>
        <w:rPr>
          <w:rFonts w:ascii="黑体" w:eastAsia="黑体"/>
          <w:b w:val="0"/>
          <w:bCs/>
          <w:color w:val="auto"/>
          <w:sz w:val="44"/>
          <w:highlight w:val="none"/>
        </w:rPr>
        <w:sectPr>
          <w:headerReference w:type="default" r:id="rId9"/>
          <w:footerReference w:type="default" r:id="rId15"/>
          <w:footnotePr/>
          <w:endnotePr/>
          <w:type w:val="nextPage"/>
          <w:pgSz w:w="11906" w:h="16838" w:orient="portrait"/>
          <w:pgMar w:top="1191" w:right="1191" w:bottom="1020" w:left="1196" w:header="851" w:footer="907" w:gutter="0"/>
          <w:cols w:num="1" w:sep="0" w:space="720" w:equalWidth="1"/>
          <w:docGrid w:linePitch="360"/>
        </w:sectPr>
      </w:pPr>
      <w:r/>
      <w:bookmarkStart w:id="189" w:name="_Toc128039584"/>
      <w:r/>
      <w:r/>
    </w:p>
    <w:p>
      <w:pPr>
        <w:pStyle w:val="961"/>
        <w:pageBreakBefore w:val="0"/>
        <w:spacing w:line="360" w:lineRule="auto"/>
        <w:rPr>
          <w:rFonts w:ascii="黑体" w:eastAsia="黑体"/>
          <w:b w:val="0"/>
          <w:bCs/>
          <w:color w:val="auto"/>
          <w:sz w:val="44"/>
          <w:highlight w:val="none"/>
        </w:rPr>
      </w:pPr>
      <w:r/>
      <w:bookmarkStart w:id="190" w:name="_Toc25528"/>
      <w:r>
        <w:rPr>
          <w:rFonts w:ascii="黑体" w:eastAsia="黑体"/>
          <w:b w:val="0"/>
          <w:bCs/>
          <w:color w:val="auto"/>
          <w:sz w:val="44"/>
          <w:highlight w:val="none"/>
        </w:rPr>
        <w:t xml:space="preserve">第六章 </w:t>
      </w:r>
      <w:bookmarkEnd w:id="184"/>
      <w:r/>
      <w:bookmarkEnd w:id="185"/>
      <w:r/>
      <w:bookmarkEnd w:id="188"/>
      <w:r>
        <w:rPr>
          <w:rFonts w:ascii="黑体" w:eastAsia="黑体"/>
          <w:b w:val="0"/>
          <w:bCs/>
          <w:color w:val="auto"/>
          <w:sz w:val="44"/>
          <w:highlight w:val="none"/>
        </w:rPr>
        <w:t xml:space="preserve">响应文件格式</w:t>
      </w:r>
      <w:bookmarkEnd w:id="189"/>
      <w:r/>
      <w:bookmarkEnd w:id="190"/>
      <w:r>
        <w:rPr>
          <w:rFonts w:ascii="黑体" w:eastAsia="黑体"/>
          <w:b w:val="0"/>
          <w:bCs/>
          <w:color w:val="auto"/>
          <w:sz w:val="44"/>
          <w:highlight w:val="none"/>
        </w:rPr>
        <w:t xml:space="preserve"> </w:t>
      </w:r>
      <w:r/>
    </w:p>
    <w:p>
      <w:pPr>
        <w:jc w:val="left"/>
        <w:pageBreakBefore w:val="0"/>
        <w:spacing w:line="360" w:lineRule="auto"/>
        <w:widowControl/>
        <w:rPr>
          <w:rFonts w:hint="eastAsia" w:ascii="黑体" w:eastAsia="黑体"/>
          <w:bCs/>
          <w:color w:val="auto"/>
          <w:sz w:val="24"/>
          <w:szCs w:val="24"/>
          <w:highlight w:val="none"/>
        </w:rPr>
      </w:pPr>
      <w:r/>
      <w:bookmarkStart w:id="191" w:name="_Hlt26671244"/>
      <w:r/>
      <w:bookmarkEnd w:id="191"/>
      <w:r/>
      <w:bookmarkStart w:id="192" w:name="_Hlt26955039"/>
      <w:r/>
      <w:bookmarkEnd w:id="192"/>
      <w:r/>
      <w:bookmarkStart w:id="193" w:name="_Toc49090576"/>
      <w:r/>
      <w:bookmarkStart w:id="194" w:name="_Toc26554094"/>
      <w:r/>
      <w:bookmarkStart w:id="195" w:name="_Toc120614282"/>
      <w:r/>
      <w:r/>
    </w:p>
    <w:p>
      <w:pPr>
        <w:jc w:val="left"/>
        <w:pageBreakBefore w:val="0"/>
        <w:spacing w:line="360" w:lineRule="auto"/>
        <w:widowControl/>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pageBreakBefore w:val="0"/>
        <w:spacing w:line="360" w:lineRule="auto"/>
        <w:widowControl/>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pageBreakBefore w:val="0"/>
        <w:spacing w:line="360" w:lineRule="auto"/>
        <w:widowControl/>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pageBreakBefore w:val="0"/>
        <w:spacing w:line="360" w:lineRule="auto"/>
        <w:widowControl/>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t xml:space="preserve">响  应  文  件</w:t>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1081"/>
        <w:pageBreakBefore w:val="0"/>
        <w:spacing w:line="360" w:lineRule="auto"/>
        <w:rPr>
          <w:rFonts w:ascii="宋体" w:hAnsi="宋体"/>
          <w:b/>
          <w:color w:val="auto"/>
          <w:sz w:val="36"/>
          <w:highlight w:val="none"/>
        </w:rPr>
      </w:pPr>
      <w:r>
        <w:rPr>
          <w:rFonts w:ascii="宋体" w:hAnsi="宋体"/>
          <w:b/>
          <w:color w:val="auto"/>
          <w:sz w:val="36"/>
          <w:highlight w:val="none"/>
        </w:rPr>
        <w:t xml:space="preserve">项 目 名 称：</w:t>
      </w:r>
      <w:r>
        <w:rPr>
          <w:rFonts w:ascii="宋体" w:hAnsi="宋体"/>
          <w:b/>
          <w:color w:val="auto"/>
          <w:sz w:val="36"/>
          <w:highlight w:val="none"/>
          <w:u w:val="single"/>
        </w:rPr>
        <w:t xml:space="preserve">               </w:t>
      </w:r>
      <w:r/>
    </w:p>
    <w:p>
      <w:pPr>
        <w:ind w:firstLine="1081"/>
        <w:pageBreakBefore w:val="0"/>
        <w:spacing w:line="360" w:lineRule="auto"/>
        <w:rPr>
          <w:rFonts w:ascii="宋体" w:hAnsi="宋体"/>
          <w:b/>
          <w:color w:val="auto"/>
          <w:sz w:val="36"/>
          <w:highlight w:val="none"/>
          <w:u w:val="single"/>
        </w:rPr>
      </w:pPr>
      <w:r>
        <w:rPr>
          <w:rFonts w:ascii="宋体" w:hAnsi="宋体"/>
          <w:b/>
          <w:color w:val="auto"/>
          <w:sz w:val="36"/>
          <w:highlight w:val="none"/>
        </w:rPr>
        <w:t xml:space="preserve">项 目 编 号：</w:t>
      </w:r>
      <w:r>
        <w:rPr>
          <w:rFonts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ascii="宋体" w:hAnsi="宋体"/>
          <w:b/>
          <w:color w:val="auto"/>
          <w:sz w:val="36"/>
          <w:highlight w:val="none"/>
        </w:rPr>
        <w:t xml:space="preserve">      供应商名称 ：</w:t>
      </w:r>
      <w:r>
        <w:rPr>
          <w:rFonts w:ascii="宋体" w:hAnsi="宋体"/>
          <w:b/>
          <w:color w:val="auto"/>
          <w:sz w:val="36"/>
          <w:highlight w:val="none"/>
          <w:u w:val="single"/>
        </w:rPr>
        <w:t xml:space="preserve">（加盖CA电子公章）</w:t>
      </w:r>
      <w:r/>
    </w:p>
    <w:p>
      <w:pPr>
        <w:pageBreakBefore w:val="0"/>
        <w:spacing w:line="360" w:lineRule="auto"/>
        <w:rPr>
          <w:rFonts w:ascii="宋体" w:hAnsi="宋体"/>
          <w:b/>
          <w:color w:val="auto"/>
          <w:sz w:val="36"/>
          <w:highlight w:val="none"/>
          <w:u w:val="single"/>
        </w:rPr>
      </w:pPr>
      <w:r>
        <w:rPr>
          <w:rFonts w:ascii="宋体" w:hAnsi="宋体"/>
          <w:b/>
          <w:color w:val="auto"/>
          <w:sz w:val="36"/>
          <w:highlight w:val="none"/>
        </w:rPr>
        <w:t xml:space="preserve">      日      期 ：</w:t>
      </w:r>
      <w:r>
        <w:rPr>
          <w:rFonts w:ascii="宋体" w:hAnsi="宋体"/>
          <w:b/>
          <w:color w:val="auto"/>
          <w:sz w:val="36"/>
          <w:highlight w:val="none"/>
          <w:u w:val="single"/>
        </w:rPr>
        <w:t xml:space="preserve">               </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rFonts w:ascii="宋体" w:hAnsi="宋体"/>
          <w:color w:val="auto"/>
          <w:highlight w:val="none"/>
        </w:rPr>
      </w:pPr>
      <w:r>
        <w:rPr>
          <w:rFonts w:ascii="宋体" w:hAnsi="宋体"/>
          <w:color w:val="auto"/>
          <w:highlight w:val="none"/>
        </w:rPr>
      </w:r>
      <w:r/>
    </w:p>
    <w:p>
      <w:pPr>
        <w:ind w:firstLine="1081"/>
        <w:pageBreakBefore w:val="0"/>
        <w:spacing w:line="360" w:lineRule="auto"/>
        <w:rPr>
          <w:rFonts w:ascii="宋体" w:hAnsi="宋体"/>
          <w:b/>
          <w:bCs/>
          <w:color w:val="auto"/>
          <w:sz w:val="32"/>
          <w:szCs w:val="32"/>
          <w:highlight w:val="none"/>
        </w:rPr>
      </w:pPr>
      <w:r>
        <w:rPr>
          <w:color w:val="auto"/>
          <w:highlight w:val="none"/>
        </w:rPr>
        <w:br w:type="page" w:clear="all"/>
      </w:r>
      <w:bookmarkEnd w:id="176"/>
      <w:r/>
      <w:bookmarkEnd w:id="177"/>
      <w:r/>
      <w:bookmarkEnd w:id="193"/>
      <w:r/>
      <w:bookmarkEnd w:id="194"/>
      <w:r/>
      <w:bookmarkEnd w:id="195"/>
      <w:r/>
      <w:r/>
    </w:p>
    <w:p>
      <w:pPr>
        <w:ind w:firstLine="3213"/>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响应</w:t>
      </w:r>
      <w:r>
        <w:rPr>
          <w:rFonts w:hint="eastAsia" w:ascii="宋体" w:hAnsi="宋体" w:eastAsia="宋体" w:cs="宋体"/>
          <w:b/>
          <w:bCs/>
          <w:color w:val="auto"/>
          <w:sz w:val="32"/>
          <w:szCs w:val="32"/>
          <w:highlight w:val="none"/>
        </w:rPr>
        <w:t xml:space="preserve">文件目录</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一、资信证明文件要求</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二、响应函</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三、报价一览表</w:t>
      </w:r>
      <w:r/>
    </w:p>
    <w:p>
      <w:pPr>
        <w:ind w:firstLine="480"/>
        <w:pageBreakBefore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lang w:val="en-US" w:eastAsia="zh-CN"/>
        </w:rPr>
        <w:t xml:space="preserve">、需求偏离表</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lang w:val="en-US" w:eastAsia="zh-CN"/>
        </w:rPr>
        <w:t xml:space="preserve">、供应商情况表</w:t>
      </w:r>
      <w:r/>
    </w:p>
    <w:p>
      <w:pPr>
        <w:ind w:firstLine="48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项目人员配置表</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泰州市</w:t>
      </w:r>
      <w:r>
        <w:rPr>
          <w:rFonts w:hint="eastAsia" w:ascii="宋体" w:hAnsi="宋体" w:eastAsia="宋体" w:cs="宋体"/>
          <w:color w:val="auto"/>
          <w:sz w:val="24"/>
          <w:highlight w:val="none"/>
          <w:lang w:val="en-US" w:eastAsia="zh-CN"/>
        </w:rPr>
        <w:t xml:space="preserve">政府采购事前信用承诺书</w:t>
      </w:r>
      <w:r/>
    </w:p>
    <w:p>
      <w:pPr>
        <w:ind w:firstLine="480"/>
        <w:pageBreakBefore w:val="0"/>
        <w:spacing w:line="360" w:lineRule="auto"/>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八、供应商认为应当提供的其他材料</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pageBreakBefore w:val="0"/>
        <w:spacing w:before="50" w:after="50" w:line="360" w:lineRule="auto"/>
        <w:rPr>
          <w:rFonts w:hint="eastAsia" w:ascii="宋体" w:hAnsi="宋体" w:eastAsia="宋体" w:cs="宋体"/>
          <w:i/>
          <w:color w:val="auto"/>
          <w:szCs w:val="24"/>
          <w:highlight w:val="none"/>
          <w:u w:val="single"/>
        </w:rPr>
      </w:pPr>
      <w:r>
        <w:rPr>
          <w:color w:val="auto"/>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一、资信证明文件要求</w:t>
      </w:r>
      <w:r/>
    </w:p>
    <w:p>
      <w:pPr>
        <w:ind w:firstLine="480"/>
        <w:pageBreakBefore w:val="0"/>
        <w:spacing w:line="360" w:lineRule="auto"/>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 xml:space="preserve">文件1  法人或者其他组织的营业执照等证明文件，自然人的身份证明；</w:t>
      </w:r>
      <w:r/>
    </w:p>
    <w:p>
      <w:pPr>
        <w:ind w:firstLine="480"/>
        <w:pageBreakBefore w:val="0"/>
        <w:spacing w:line="360" w:lineRule="auto"/>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 xml:space="preserve">文件2  提供投标文件截止时间前一年内</w:t>
      </w:r>
      <w:r>
        <w:rPr>
          <w:rFonts w:hint="eastAsia" w:ascii="宋体" w:hAnsi="宋体" w:cs="宋体"/>
          <w:i/>
          <w:iCs/>
          <w:color w:val="auto"/>
          <w:sz w:val="24"/>
          <w:highlight w:val="none"/>
          <w:u w:val="single"/>
          <w:lang w:val="en-US" w:eastAsia="zh-CN"/>
        </w:rPr>
        <w:t xml:space="preserve">任意</w:t>
      </w:r>
      <w:r>
        <w:rPr>
          <w:rFonts w:hint="eastAsia" w:ascii="宋体" w:hAnsi="宋体" w:eastAsia="宋体" w:cs="宋体"/>
          <w:i/>
          <w:iCs/>
          <w:color w:val="auto"/>
          <w:sz w:val="24"/>
          <w:highlight w:val="none"/>
          <w:u w:val="single"/>
          <w:lang w:val="en-US" w:eastAsia="zh-CN"/>
        </w:rPr>
        <w:t xml:space="preserve">一个月的财务状况报表（至少提供资产负债表、利润表、现金流量表</w:t>
      </w:r>
      <w:r>
        <w:rPr>
          <w:rFonts w:hint="eastAsia" w:ascii="宋体" w:hAnsi="宋体" w:cs="宋体"/>
          <w:i/>
          <w:iCs/>
          <w:color w:val="auto"/>
          <w:sz w:val="24"/>
          <w:highlight w:val="none"/>
          <w:u w:val="single"/>
          <w:lang w:val="en-US" w:eastAsia="zh-CN"/>
        </w:rPr>
        <w:t xml:space="preserve">；</w:t>
      </w:r>
      <w:r>
        <w:rPr>
          <w:rFonts w:hint="eastAsia" w:ascii="宋体" w:hAnsi="宋体" w:eastAsia="宋体" w:cs="宋体"/>
          <w:i/>
          <w:iCs/>
          <w:color w:val="auto"/>
          <w:sz w:val="24"/>
          <w:highlight w:val="none"/>
          <w:u w:val="single"/>
          <w:lang w:val="en-US" w:eastAsia="zh-CN"/>
        </w:rPr>
        <w:t xml:space="preserve">投标人成立不满一年无需提供）；</w:t>
      </w:r>
      <w:r/>
    </w:p>
    <w:p>
      <w:pPr>
        <w:ind w:firstLine="480"/>
        <w:pageBreakBefore w:val="0"/>
        <w:spacing w:line="360" w:lineRule="auto"/>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 xml:space="preserve">文件3  依法缴纳税收和社会保障资金的相关材料（提供投标文件截止时间前一年内</w:t>
      </w:r>
      <w:r>
        <w:rPr>
          <w:rFonts w:hint="eastAsia" w:ascii="宋体" w:hAnsi="宋体" w:cs="宋体"/>
          <w:i/>
          <w:iCs/>
          <w:color w:val="auto"/>
          <w:sz w:val="24"/>
          <w:highlight w:val="none"/>
          <w:u w:val="single"/>
          <w:lang w:val="en-US" w:eastAsia="zh-CN"/>
        </w:rPr>
        <w:t xml:space="preserve">任意</w:t>
      </w:r>
      <w:r>
        <w:rPr>
          <w:rFonts w:hint="eastAsia" w:ascii="宋体" w:hAnsi="宋体" w:eastAsia="宋体" w:cs="宋体"/>
          <w:i/>
          <w:iCs/>
          <w:color w:val="auto"/>
          <w:sz w:val="24"/>
          <w:highlight w:val="none"/>
          <w:u w:val="single"/>
          <w:lang w:val="en-US" w:eastAsia="zh-CN"/>
        </w:rPr>
        <w:t xml:space="preserve">一个月依法缴纳税收及缴纳社会保障资金的证明材料。投标人依法享受缓缴、免缴税收、社会保障资金的提供证明材料）；</w:t>
      </w:r>
      <w:r/>
    </w:p>
    <w:p>
      <w:pPr>
        <w:ind w:firstLine="480"/>
        <w:pageBreakBefore w:val="0"/>
        <w:spacing w:line="360" w:lineRule="auto"/>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 xml:space="preserve">文件4  具备履行合同所必需的设备和专业技术能力证明材料；</w:t>
      </w:r>
      <w:r/>
    </w:p>
    <w:p>
      <w:pPr>
        <w:ind w:firstLine="480"/>
        <w:pageBreakBefore w:val="0"/>
        <w:spacing w:line="360" w:lineRule="auto"/>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 xml:space="preserve">文件5  参加政府采购活动前 3 年内在经营活动中没有重大违法记录的书面声明；</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文件6  法人授权书；</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文件7</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中小</w:t>
      </w:r>
      <w:r>
        <w:rPr>
          <w:rFonts w:hint="eastAsia" w:ascii="宋体" w:hAnsi="宋体" w:eastAsia="宋体" w:cs="宋体"/>
          <w:color w:val="auto"/>
          <w:sz w:val="24"/>
          <w:highlight w:val="none"/>
          <w:lang w:val="en-US" w:eastAsia="zh-CN"/>
        </w:rPr>
        <w:t xml:space="preserve">企业</w:t>
      </w:r>
      <w:r>
        <w:rPr>
          <w:rFonts w:hint="eastAsia" w:ascii="宋体" w:hAnsi="宋体" w:cs="宋体"/>
          <w:color w:val="auto"/>
          <w:sz w:val="24"/>
          <w:highlight w:val="none"/>
          <w:lang w:val="en-US" w:eastAsia="zh-CN"/>
        </w:rPr>
        <w:t xml:space="preserve">声</w:t>
      </w:r>
      <w:r>
        <w:rPr>
          <w:rFonts w:hint="eastAsia" w:ascii="宋体" w:hAnsi="宋体" w:eastAsia="宋体" w:cs="宋体"/>
          <w:color w:val="auto"/>
          <w:sz w:val="24"/>
          <w:highlight w:val="none"/>
          <w:lang w:val="en-US" w:eastAsia="zh-CN"/>
        </w:rPr>
        <w:t xml:space="preserve">明函》</w:t>
      </w:r>
      <w:r>
        <w:rPr>
          <w:rFonts w:hint="eastAsia" w:ascii="宋体" w:hAnsi="宋体" w:cs="宋体"/>
          <w:color w:val="auto"/>
          <w:sz w:val="24"/>
          <w:highlight w:val="none"/>
          <w:lang w:val="en-US" w:eastAsia="zh-CN"/>
        </w:rPr>
        <w:t xml:space="preserve">；</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文件8</w:t>
      </w:r>
      <w:r>
        <w:rPr>
          <w:rFonts w:hint="eastAsia" w:ascii="宋体" w:hAnsi="宋体" w:eastAsia="宋体" w:cs="宋体"/>
          <w:color w:val="auto"/>
          <w:sz w:val="24"/>
          <w:highlight w:val="none"/>
          <w:lang w:val="en-US" w:eastAsia="zh-CN"/>
        </w:rPr>
        <w:t xml:space="preserve"> 《残疾人福利性单位声明函》</w:t>
      </w:r>
      <w:r>
        <w:rPr>
          <w:rFonts w:hint="eastAsia" w:ascii="宋体" w:hAnsi="宋体" w:cs="宋体"/>
          <w:color w:val="auto"/>
          <w:sz w:val="24"/>
          <w:highlight w:val="none"/>
          <w:lang w:val="en-US" w:eastAsia="zh-CN"/>
        </w:rPr>
        <w:t xml:space="preserve">；</w:t>
      </w:r>
      <w:r/>
    </w:p>
    <w:p>
      <w:pPr>
        <w:ind w:firstLine="48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文件</w:t>
      </w:r>
      <w:r>
        <w:rPr>
          <w:rFonts w:hint="eastAsia" w:ascii="宋体" w:hAnsi="宋体" w:cs="宋体"/>
          <w:color w:val="auto"/>
          <w:sz w:val="24"/>
          <w:highlight w:val="none"/>
          <w:lang w:val="en-US" w:eastAsia="zh-CN"/>
        </w:rPr>
        <w:t xml:space="preserve">9  框架协议文件</w:t>
      </w:r>
      <w:r>
        <w:rPr>
          <w:rFonts w:hint="eastAsia" w:ascii="宋体" w:hAnsi="宋体" w:eastAsia="宋体" w:cs="宋体"/>
          <w:color w:val="auto"/>
          <w:sz w:val="24"/>
          <w:highlight w:val="none"/>
          <w:lang w:val="en-US" w:eastAsia="zh-CN"/>
        </w:rPr>
        <w:t xml:space="preserve">中规定要求提供的证明材料和投标人认为需要提供的其他材料。</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before="313" w:after="313" w:line="360" w:lineRule="auto"/>
        <w:widowControl w:val="off"/>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r>
      <w:r/>
    </w:p>
    <w:p>
      <w:pPr>
        <w:jc w:val="center"/>
        <w:keepLines w:val="0"/>
        <w:keepNext w:val="0"/>
        <w:pageBreakBefore w:val="0"/>
        <w:spacing w:before="313" w:after="313" w:line="360" w:lineRule="auto"/>
        <w:widowControl w:val="off"/>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具备履行合同所必需的设备和专业技术能力的书面声明</w:t>
      </w:r>
      <w:r/>
    </w:p>
    <w:p>
      <w:pPr>
        <w:ind w:firstLine="492"/>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我公司郑重声明：我公司具备履行本项采购合同所必需的设备和专业技术能力，为履行本项采购合同我公司具备如下主要设备和主要专业技术能力：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           。</w:t>
      </w:r>
      <w:r/>
    </w:p>
    <w:p>
      <w:pPr>
        <w:ind w:firstLine="492"/>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             。</w:t>
      </w:r>
      <w:r/>
    </w:p>
    <w:p>
      <w:pPr>
        <w:ind w:firstLine="492"/>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供应商名称（加盖CA电子公章）：</w:t>
      </w:r>
      <w:r/>
    </w:p>
    <w:p>
      <w:pPr>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w:t>
      </w:r>
      <w:r>
        <w:rPr>
          <w:rFonts w:hint="eastAsia" w:ascii="宋体" w:hAnsi="宋体" w:eastAsia="宋体" w:cs="宋体"/>
          <w:bCs/>
          <w:color w:val="auto"/>
          <w:sz w:val="24"/>
          <w:szCs w:val="21"/>
          <w:highlight w:val="none"/>
          <w:u w:val="none"/>
        </w:rPr>
        <w:t xml:space="preserve">______</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center"/>
        <w:keepLines/>
        <w:keepNext/>
        <w:pageBreakBefore w:val="0"/>
        <w:spacing w:before="260" w:after="260" w:line="360" w:lineRule="auto"/>
        <w:rPr>
          <w:rFonts w:hint="eastAsia" w:ascii="方正小标宋简体" w:hAnsi="方正小标宋简体" w:eastAsia="方正小标宋简体" w:cs="方正小标宋简体"/>
          <w:b w:val="0"/>
          <w:bCs w:val="0"/>
          <w:color w:val="auto"/>
          <w:sz w:val="32"/>
          <w:szCs w:val="32"/>
          <w:highlight w:val="none"/>
        </w:rPr>
        <w:outlineLvl w:val="9"/>
      </w:pPr>
      <w:r>
        <w:rPr>
          <w:rFonts w:hint="eastAsia" w:ascii="方正小标宋简体" w:hAnsi="方正小标宋简体" w:eastAsia="方正小标宋简体" w:cs="方正小标宋简体"/>
          <w:b w:val="0"/>
          <w:bCs w:val="0"/>
          <w:color w:val="auto"/>
          <w:sz w:val="32"/>
          <w:szCs w:val="32"/>
          <w:highlight w:val="none"/>
        </w:rPr>
      </w:r>
      <w:r/>
    </w:p>
    <w:p>
      <w:pPr>
        <w:jc w:val="center"/>
        <w:keepLines/>
        <w:keepNext/>
        <w:pageBreakBefore w:val="0"/>
        <w:spacing w:before="260" w:after="260" w:line="360" w:lineRule="auto"/>
        <w:rPr>
          <w:rFonts w:hint="eastAsia" w:ascii="宋体" w:hAnsi="宋体" w:eastAsia="宋体" w:cs="宋体"/>
          <w:b/>
          <w:bCs/>
          <w:color w:val="auto"/>
          <w:sz w:val="24"/>
          <w:szCs w:val="24"/>
          <w:highlight w:val="none"/>
        </w:rPr>
        <w:outlineLvl w:val="9"/>
      </w:pPr>
      <w:r>
        <w:rPr>
          <w:rFonts w:hint="eastAsia" w:ascii="方正小标宋简体" w:hAnsi="方正小标宋简体" w:eastAsia="方正小标宋简体" w:cs="方正小标宋简体"/>
          <w:b w:val="0"/>
          <w:bCs w:val="0"/>
          <w:color w:val="auto"/>
          <w:sz w:val="32"/>
          <w:szCs w:val="32"/>
          <w:highlight w:val="none"/>
        </w:rPr>
        <w:t xml:space="preserve">参加政府采购活动前 3 年内在经营活动中没有重大违法记录的书面声明</w:t>
      </w:r>
      <w:r/>
    </w:p>
    <w:p>
      <w:pPr>
        <w:pageBreakBefore w:val="0"/>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24"/>
          <w:szCs w:val="21"/>
          <w:highlight w:val="none"/>
        </w:rPr>
        <w:t xml:space="preserve">                       </w:t>
      </w:r>
      <w:r>
        <w:rPr>
          <w:rFonts w:hint="eastAsia" w:ascii="宋体" w:hAnsi="宋体" w:eastAsia="宋体" w:cs="宋体"/>
          <w:b/>
          <w:bCs/>
          <w:color w:val="auto"/>
          <w:sz w:val="44"/>
          <w:szCs w:val="44"/>
          <w:highlight w:val="none"/>
        </w:rPr>
        <w:t xml:space="preserve">   </w:t>
      </w:r>
      <w:r>
        <w:rPr>
          <w:rFonts w:hint="eastAsia" w:ascii="宋体" w:hAnsi="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声  明</w:t>
      </w:r>
      <w:r/>
    </w:p>
    <w:p>
      <w:pPr>
        <w:ind w:firstLine="480"/>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我公司郑重声明：参加本次政府采购活动前</w:t>
      </w:r>
      <w:r>
        <w:rPr>
          <w:rFonts w:hint="eastAsia" w:ascii="宋体" w:hAnsi="宋体" w:cs="宋体"/>
          <w:bCs/>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年内，我公司在经营活动中没有因违法经营受到刑事处罚或者责令停产停业、吊销许可证或者执照、较大数额罚款等行政处罚。</w:t>
      </w:r>
      <w:r/>
    </w:p>
    <w:p>
      <w:pPr>
        <w:pStyle w:val="972"/>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供应商名称（加盖CA电子公章）：</w:t>
      </w:r>
      <w:r/>
    </w:p>
    <w:p>
      <w:pPr>
        <w:pageBreakBefore w:val="0"/>
        <w:spacing w:line="360" w:lineRule="auto"/>
        <w:rPr>
          <w:rFonts w:hint="eastAsia" w:ascii="宋体" w:hAnsi="宋体" w:eastAsia="宋体" w:cs="宋体"/>
          <w:bCs/>
          <w:color w:val="auto"/>
          <w:sz w:val="24"/>
          <w:szCs w:val="21"/>
          <w:highlight w:val="none"/>
          <w:u w:val="none"/>
        </w:rPr>
      </w:pP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u w:val="none"/>
        </w:rPr>
        <w:t xml:space="preserve"> 授权代表签字：_______________________</w:t>
      </w:r>
      <w:r/>
    </w:p>
    <w:p>
      <w:pPr>
        <w:pageBreakBefore w:val="0"/>
        <w:spacing w:line="360" w:lineRule="auto"/>
        <w:rPr>
          <w:rFonts w:hint="eastAsia" w:ascii="宋体" w:hAnsi="宋体" w:eastAsia="宋体" w:cs="宋体"/>
          <w:bCs/>
          <w:color w:val="auto"/>
          <w:sz w:val="24"/>
          <w:szCs w:val="21"/>
          <w:highlight w:val="none"/>
          <w:u w:val="none"/>
        </w:rPr>
      </w:pPr>
      <w:r>
        <w:rPr>
          <w:rFonts w:hint="eastAsia" w:ascii="宋体" w:hAnsi="宋体" w:eastAsia="宋体" w:cs="宋体"/>
          <w:bCs/>
          <w:color w:val="auto"/>
          <w:sz w:val="24"/>
          <w:szCs w:val="21"/>
          <w:highlight w:val="none"/>
          <w:u w:val="none"/>
        </w:rPr>
        <w:t xml:space="preserve">                                 日期：     年    月    日</w:t>
      </w:r>
      <w:r/>
    </w:p>
    <w:p>
      <w:pPr>
        <w:pageBreakBefore w:val="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bookmarkStart w:id="196" w:name="_GoBack"/>
      <w:r/>
      <w:bookmarkEnd w:id="196"/>
      <w:r/>
      <w:r/>
    </w:p>
    <w:p>
      <w:pPr>
        <w:jc w:val="center"/>
        <w:keepLines/>
        <w:keepNext/>
        <w:pageBreakBefore w:val="0"/>
        <w:spacing w:before="260" w:after="260" w:line="360" w:lineRule="auto"/>
        <w:rPr>
          <w:rFonts w:hint="eastAsia" w:ascii="方正小标宋简体" w:hAnsi="方正小标宋简体" w:eastAsia="方正小标宋简体" w:cs="方正小标宋简体"/>
          <w:b w:val="0"/>
          <w:bCs w:val="0"/>
          <w:color w:val="auto"/>
          <w:sz w:val="32"/>
          <w:szCs w:val="32"/>
          <w:highlight w:val="none"/>
        </w:rPr>
        <w:outlineLvl w:val="9"/>
      </w:pPr>
      <w:r>
        <w:rPr>
          <w:rFonts w:hint="eastAsia" w:ascii="方正小标宋简体" w:hAnsi="方正小标宋简体" w:eastAsia="方正小标宋简体" w:cs="方正小标宋简体"/>
          <w:b w:val="0"/>
          <w:bCs w:val="0"/>
          <w:color w:val="auto"/>
          <w:sz w:val="32"/>
          <w:szCs w:val="32"/>
          <w:highlight w:val="none"/>
        </w:rPr>
        <w:t xml:space="preserve">法人授权书</w:t>
      </w:r>
      <w:r/>
    </w:p>
    <w:p>
      <w:pPr>
        <w:pStyle w:val="980"/>
        <w:ind w:firstLine="480"/>
        <w:pageBreakBefore w:val="0"/>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本授权书声明：____________（供应商名称）授权________________（被授权人的姓名）为我方就</w:t>
      </w:r>
      <w:r>
        <w:rPr>
          <w:rFonts w:hint="eastAsia" w:ascii="宋体" w:hAnsi="宋体" w:eastAsia="宋体" w:cs="宋体"/>
          <w:bCs/>
          <w:color w:val="auto"/>
          <w:sz w:val="24"/>
          <w:szCs w:val="21"/>
          <w:highlight w:val="none"/>
          <w:u w:val="single"/>
          <w:lang w:val="en-US" w:eastAsia="zh-CN" w:bidi="ar-SA"/>
        </w:rPr>
        <w:t xml:space="preserve">JSZC-321200-THZX-K2026-0011</w:t>
      </w:r>
      <w:r>
        <w:rPr>
          <w:rFonts w:hint="eastAsia" w:ascii="宋体" w:hAnsi="宋体" w:eastAsia="宋体" w:cs="宋体"/>
          <w:bCs/>
          <w:color w:val="auto"/>
          <w:sz w:val="24"/>
          <w:szCs w:val="21"/>
          <w:highlight w:val="none"/>
          <w:lang w:val="en-US" w:eastAsia="zh-CN" w:bidi="ar-SA"/>
        </w:rPr>
        <w:t xml:space="preserve">号</w:t>
      </w:r>
      <w:r>
        <w:rPr>
          <w:rFonts w:hint="eastAsia" w:ascii="宋体" w:hAnsi="宋体" w:cs="宋体"/>
          <w:color w:val="auto"/>
          <w:sz w:val="24"/>
          <w:highlight w:val="none"/>
          <w:u w:val="single"/>
          <w:lang w:val="en-US" w:eastAsia="zh-CN"/>
        </w:rPr>
        <w:t xml:space="preserve">2026-2027年度泰州市区储备、上市地块地质灾害危险性评估框架协议征集服务</w:t>
      </w:r>
      <w:r>
        <w:rPr>
          <w:rFonts w:hint="eastAsia" w:ascii="宋体" w:hAnsi="宋体" w:eastAsia="宋体" w:cs="宋体"/>
          <w:bCs/>
          <w:color w:val="auto"/>
          <w:sz w:val="24"/>
          <w:szCs w:val="21"/>
          <w:highlight w:val="none"/>
          <w:lang w:val="en-US" w:eastAsia="zh-CN" w:bidi="ar-SA"/>
        </w:rPr>
        <w:t xml:space="preserve">框架协议采购活动的合法代理人，以本单位名义全权处理一切与该项目采购有关的事务。</w:t>
      </w:r>
      <w:r/>
    </w:p>
    <w:p>
      <w:pPr>
        <w:pStyle w:val="980"/>
        <w:ind w:firstLine="480"/>
        <w:pageBreakBefore w:val="0"/>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本授权书于______年____月____日起生效，特此声明。</w:t>
      </w:r>
      <w:r/>
    </w:p>
    <w:p>
      <w:pPr>
        <w:pStyle w:val="980"/>
        <w:ind w:firstLine="0"/>
        <w:pageBreakBefore w:val="0"/>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          </w:t>
      </w:r>
      <w:r/>
    </w:p>
    <w:p>
      <w:pPr>
        <w:pStyle w:val="980"/>
        <w:ind w:firstLine="1200"/>
        <w:pageBreakBefore w:val="0"/>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被授权人身份证号码：                              </w:t>
      </w:r>
      <w:r/>
    </w:p>
    <w:p>
      <w:pPr>
        <w:pStyle w:val="980"/>
        <w:ind w:firstLine="0"/>
        <w:pageBreakBefore w:val="0"/>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          被授权人联系电话：（手机）                          </w:t>
      </w:r>
      <w:r/>
    </w:p>
    <w:p>
      <w:pPr>
        <w:pStyle w:val="980"/>
        <w:ind w:firstLine="1200"/>
        <w:pageBreakBefore w:val="0"/>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授权单位名称：（加盖CA电子公章）</w:t>
      </w:r>
      <w:r/>
    </w:p>
    <w:p>
      <w:pPr>
        <w:pStyle w:val="980"/>
        <w:ind w:firstLine="480"/>
        <w:pageBreakBefore w:val="0"/>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      单位地址：                                         </w:t>
      </w:r>
      <w:r/>
    </w:p>
    <w:p>
      <w:pPr>
        <w:pStyle w:val="980"/>
        <w:ind w:firstLine="480"/>
        <w:pageBreakBefore w:val="0"/>
        <w:spacing w:line="360" w:lineRule="auto"/>
        <w:rPr>
          <w:color w:val="auto"/>
          <w:sz w:val="24"/>
          <w:szCs w:val="24"/>
          <w:highlight w:val="none"/>
          <w:u w:val="single"/>
        </w:rPr>
      </w:pPr>
      <w:r>
        <w:rPr>
          <w:rFonts w:hint="eastAsia" w:ascii="宋体" w:hAnsi="宋体" w:eastAsia="宋体" w:cs="宋体"/>
          <w:bCs/>
          <w:color w:val="auto"/>
          <w:sz w:val="24"/>
          <w:szCs w:val="21"/>
          <w:highlight w:val="none"/>
          <w:lang w:val="en-US" w:eastAsia="zh-CN" w:bidi="ar-SA"/>
        </w:rPr>
        <w:t xml:space="preserve">      日    期：        </w:t>
      </w:r>
      <w:r>
        <w:rPr>
          <w:color w:val="auto"/>
          <w:sz w:val="24"/>
          <w:szCs w:val="24"/>
          <w:highlight w:val="none"/>
          <w:u w:val="single"/>
        </w:rPr>
        <w:t xml:space="preserve">                                 </w:t>
      </w:r>
      <w:r/>
    </w:p>
    <w:p>
      <w:pPr>
        <w:pStyle w:val="980"/>
        <w:ind w:firstLine="480"/>
        <w:pageBreakBefore w:val="0"/>
        <w:spacing w:line="360" w:lineRule="auto"/>
        <w:rPr>
          <w:color w:val="auto"/>
          <w:sz w:val="24"/>
          <w:szCs w:val="24"/>
          <w:highlight w:val="none"/>
          <w:u w:val="single"/>
        </w:rPr>
      </w:pPr>
      <w:r>
        <w:rPr>
          <w:color w:val="auto"/>
          <w:sz w:val="24"/>
          <w:szCs w:val="24"/>
          <w:highlight w:val="none"/>
          <w:u w:val="singl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color w:val="auto"/>
          <w:sz w:val="24"/>
          <w:szCs w:val="24"/>
          <w:highlight w:val="none"/>
        </w:rPr>
      </w:pPr>
      <w:r>
        <w:rPr>
          <w:rFonts w:hint="eastAsia" w:ascii="黑体" w:hAnsi="宋体" w:eastAsia="黑体"/>
          <w:bCs/>
          <w:color w:val="auto"/>
          <w:sz w:val="24"/>
          <w:szCs w:val="24"/>
          <w:highlight w:val="none"/>
        </w:rPr>
      </w:r>
      <w:r>
        <w:rPr>
          <w:rFonts w:hint="eastAsia" w:ascii="黑体" w:hAnsi="宋体" w:eastAsia="黑体"/>
          <w:bCs/>
          <w:color w:val="auto"/>
          <w:sz w:val="24"/>
          <w:szCs w:val="24"/>
          <w:highlight w:val="none"/>
        </w:rPr>
      </w:r>
    </w:p>
    <w:p>
      <w:pPr>
        <w:pStyle w:val="972"/>
        <w:pageBreakBefore w:val="0"/>
        <w:spacing w:line="360" w:lineRule="auto"/>
        <w:rPr>
          <w:rFonts w:hint="eastAsia" w:ascii="黑体" w:hAnsi="宋体" w:eastAsia="黑体"/>
          <w:color w:val="auto"/>
          <w:sz w:val="24"/>
          <w:szCs w:val="24"/>
          <w:highlight w:val="none"/>
        </w:rPr>
      </w:pPr>
      <w:r>
        <w:rPr>
          <w:rFonts w:hint="eastAsia" w:ascii="黑体" w:hAnsi="宋体" w:eastAsia="黑体"/>
          <w:color w:val="auto"/>
          <w:sz w:val="24"/>
          <w:szCs w:val="24"/>
          <w:highlight w:val="none"/>
        </w:rPr>
      </w:r>
      <w:r>
        <w:rPr>
          <w:rFonts w:hint="eastAsia" w:ascii="黑体" w:hAnsi="宋体" w:eastAsia="黑体"/>
          <w:color w:val="auto"/>
          <w:sz w:val="24"/>
          <w:szCs w:val="24"/>
          <w:highlight w:val="none"/>
        </w:rPr>
      </w:r>
    </w:p>
    <w:p>
      <w:pPr>
        <w:pStyle w:val="972"/>
        <w:pageBreakBefore w:val="0"/>
        <w:spacing w:line="360" w:lineRule="auto"/>
        <w:rPr>
          <w:rFonts w:hint="eastAsia" w:ascii="黑体" w:hAnsi="宋体" w:eastAsia="黑体"/>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972"/>
        <w:pageBreakBefore w:val="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center"/>
        <w:pageBreakBefore w:val="0"/>
        <w:spacing w:before="50" w:after="50" w:line="360" w:lineRule="auto"/>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二、</w:t>
      </w:r>
      <w:r>
        <w:rPr>
          <w:rFonts w:hint="eastAsia" w:ascii="方正小标宋简体" w:hAnsi="方正小标宋简体" w:eastAsia="方正小标宋简体" w:cs="方正小标宋简体"/>
          <w:b w:val="0"/>
          <w:bCs w:val="0"/>
          <w:color w:val="auto"/>
          <w:sz w:val="32"/>
          <w:szCs w:val="32"/>
          <w:highlight w:val="none"/>
        </w:rPr>
        <w:t xml:space="preserve">响应函</w:t>
      </w:r>
      <w:r/>
    </w:p>
    <w:p>
      <w:pPr>
        <w:pStyle w:val="975"/>
        <w:ind w:firstLine="0"/>
        <w:pageBreakBefore w:val="0"/>
        <w:spacing w:before="0" w:after="0"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致：</w:t>
      </w:r>
      <w:r>
        <w:rPr>
          <w:rFonts w:hint="eastAsia" w:ascii="宋体" w:hAnsi="宋体"/>
          <w:color w:val="auto"/>
          <w:sz w:val="24"/>
          <w:szCs w:val="24"/>
          <w:highlight w:val="none"/>
          <w:lang w:eastAsia="zh-CN"/>
        </w:rPr>
        <w:t xml:space="preserve">泰州市自然资源和规划局</w:t>
      </w:r>
      <w:r/>
    </w:p>
    <w:p>
      <w:pPr>
        <w:pStyle w:val="975"/>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根据贵方的</w:t>
      </w:r>
      <w:r>
        <w:rPr>
          <w:rFonts w:hint="eastAsia" w:ascii="宋体" w:hAnsi="宋体"/>
          <w:color w:val="auto"/>
          <w:sz w:val="24"/>
          <w:szCs w:val="24"/>
          <w:highlight w:val="none"/>
        </w:rPr>
        <w:t xml:space="preserve">JSZC-321200-THZX-K2026-0011</w:t>
      </w:r>
      <w:r>
        <w:rPr>
          <w:rFonts w:ascii="宋体" w:hAnsi="宋体"/>
          <w:color w:val="auto"/>
          <w:sz w:val="24"/>
          <w:szCs w:val="24"/>
          <w:highlight w:val="none"/>
        </w:rPr>
        <w:t xml:space="preserve">号框架协议采购征集文件，正式授权下述签字人_________________</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代表我方______________（供应商的名称），全权处理本次项目的有关事宜。</w:t>
      </w:r>
      <w:r/>
    </w:p>
    <w:p>
      <w:pPr>
        <w:pStyle w:val="975"/>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据此函，__________签字人兹宣布同意如下：</w:t>
      </w:r>
      <w:r/>
    </w:p>
    <w:p>
      <w:pPr>
        <w:pStyle w:val="975"/>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eastAsia="zh-CN"/>
        </w:rPr>
        <w:t xml:space="preserve">按照</w:t>
      </w:r>
      <w:r>
        <w:rPr>
          <w:rFonts w:ascii="宋体" w:hAnsi="宋体"/>
          <w:color w:val="auto"/>
          <w:sz w:val="24"/>
          <w:szCs w:val="24"/>
          <w:highlight w:val="none"/>
        </w:rPr>
        <w:t xml:space="preserve">征集文件规定的各项要求，向采购人提供所需货物与服务。</w:t>
      </w:r>
      <w:r/>
    </w:p>
    <w:p>
      <w:pPr>
        <w:pStyle w:val="975"/>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2.我们完全理解采购人不一定将采购合同授予协议价格最低的供应商。</w:t>
      </w:r>
      <w:r/>
    </w:p>
    <w:p>
      <w:pPr>
        <w:pStyle w:val="975"/>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3.我们已详细审核全部征集文件及其有效补充文件，我们知道必须放弃提出含糊不清或误解问题的权利。</w:t>
      </w:r>
      <w:r/>
    </w:p>
    <w:p>
      <w:pPr>
        <w:pStyle w:val="975"/>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4.我们同意从规定的响应文件开启日期起遵循本响应文件，并在规定的响应文件有效期期满之前均具有约束</w:t>
      </w:r>
      <w:r>
        <w:rPr>
          <w:rFonts w:hint="eastAsia"/>
          <w:color w:val="auto"/>
          <w:highlight w:val="none"/>
          <w:lang w:val="en-US" w:eastAsia="zh-CN"/>
        </w:rPr>
        <w:t xml:space="preserve">力</w:t>
      </w:r>
      <w:r>
        <w:rPr>
          <w:rFonts w:ascii="宋体" w:hAnsi="宋体"/>
          <w:color w:val="auto"/>
          <w:sz w:val="24"/>
          <w:szCs w:val="24"/>
          <w:highlight w:val="none"/>
        </w:rPr>
        <w:t xml:space="preserve">。</w:t>
      </w:r>
      <w:r/>
    </w:p>
    <w:p>
      <w:pPr>
        <w:pStyle w:val="975"/>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5.同意向贵方提供贵方可能另外要求的与本次采购活动有关的任何证据或资料，并保证我方已提供和将要提供的文件是真实的、准确的。</w:t>
      </w:r>
      <w:r/>
    </w:p>
    <w:p>
      <w:pPr>
        <w:pStyle w:val="975"/>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6.一旦我方成为入围供应商</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我方将根据征集文件的规定，严格履行合同的责任和义务</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并保证在征集文件规定的时间</w:t>
      </w:r>
      <w:r>
        <w:rPr>
          <w:rFonts w:hint="eastAsia" w:ascii="宋体" w:hAnsi="宋体"/>
          <w:color w:val="auto"/>
          <w:sz w:val="24"/>
          <w:szCs w:val="24"/>
          <w:highlight w:val="none"/>
          <w:lang w:val="en-US" w:eastAsia="zh-CN"/>
        </w:rPr>
        <w:t xml:space="preserve">内</w:t>
      </w:r>
      <w:r>
        <w:rPr>
          <w:rFonts w:ascii="宋体" w:hAnsi="宋体"/>
          <w:color w:val="auto"/>
          <w:sz w:val="24"/>
          <w:szCs w:val="24"/>
          <w:highlight w:val="none"/>
        </w:rPr>
        <w:t xml:space="preserve">完成项目，交付采购人验收、使用。</w:t>
      </w:r>
      <w:r/>
    </w:p>
    <w:p>
      <w:pPr>
        <w:pStyle w:val="975"/>
        <w:ind w:left="425" w:firstLine="0"/>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7.与本次采购活动有关的正式通讯地址为：</w:t>
      </w:r>
      <w:r/>
    </w:p>
    <w:p>
      <w:pPr>
        <w:pStyle w:val="975"/>
        <w:ind w:left="420"/>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地          址：</w:t>
      </w:r>
      <w:r/>
    </w:p>
    <w:p>
      <w:pPr>
        <w:pStyle w:val="975"/>
        <w:ind w:left="420"/>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邮          编：</w:t>
      </w:r>
      <w:r/>
    </w:p>
    <w:p>
      <w:pPr>
        <w:pStyle w:val="975"/>
        <w:ind w:left="420"/>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电          话：</w:t>
      </w:r>
      <w:r/>
    </w:p>
    <w:p>
      <w:pPr>
        <w:pStyle w:val="975"/>
        <w:ind w:left="420"/>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传          真：</w:t>
      </w:r>
      <w:r/>
    </w:p>
    <w:p>
      <w:pPr>
        <w:pStyle w:val="975"/>
        <w:ind w:left="420"/>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供应商开户行：</w:t>
      </w:r>
      <w:r/>
    </w:p>
    <w:p>
      <w:pPr>
        <w:pStyle w:val="975"/>
        <w:ind w:left="420"/>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账          户：</w:t>
      </w:r>
      <w:r/>
    </w:p>
    <w:p>
      <w:pPr>
        <w:pStyle w:val="975"/>
        <w:ind w:left="420"/>
        <w:pageBreakBefore w:val="0"/>
        <w:spacing w:before="0"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rPr>
          <w:rFonts w:ascii="宋体" w:hAnsi="宋体"/>
          <w:color w:val="auto"/>
          <w:sz w:val="24"/>
          <w:szCs w:val="24"/>
          <w:highlight w:val="none"/>
        </w:rPr>
        <w:t xml:space="preserve"> </w:t>
      </w:r>
      <w:r/>
    </w:p>
    <w:p>
      <w:pPr>
        <w:pStyle w:val="975"/>
        <w:ind w:left="420"/>
        <w:pageBreakBefore w:val="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日           期：________年____月____日</w:t>
      </w:r>
      <w:r/>
    </w:p>
    <w:p>
      <w:pPr>
        <w:ind w:firstLine="240"/>
        <w:jc w:val="center"/>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240"/>
        <w:jc w:val="center"/>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240"/>
        <w:jc w:val="center"/>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240"/>
        <w:jc w:val="center"/>
        <w:pageBreakBefore w:val="0"/>
        <w:spacing w:line="360" w:lineRule="auto"/>
        <w:rPr>
          <w:rFonts w:ascii="宋体" w:hAnsi="宋体"/>
          <w:color w:val="auto"/>
          <w:sz w:val="24"/>
          <w:szCs w:val="24"/>
          <w:highlight w:val="none"/>
        </w:rPr>
      </w:pPr>
      <w:r>
        <w:rPr>
          <w:rFonts w:ascii="宋体" w:hAnsi="宋体"/>
          <w:bCs/>
          <w:color w:val="auto"/>
          <w:sz w:val="24"/>
          <w:szCs w:val="24"/>
          <w:highlight w:val="none"/>
        </w:rPr>
      </w:r>
      <w:r>
        <w:rPr>
          <w:rFonts w:ascii="宋体" w:hAnsi="宋体"/>
          <w:bCs/>
          <w:color w:val="auto"/>
          <w:sz w:val="24"/>
          <w:szCs w:val="24"/>
          <w:highlight w:val="none"/>
        </w:rPr>
      </w:r>
      <w:r/>
    </w:p>
    <w:p>
      <w:pPr>
        <w:ind w:firstLine="240"/>
        <w:jc w:val="center"/>
        <w:pageBreakBefore w:val="0"/>
        <w:spacing w:line="360" w:lineRule="auto"/>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r/>
    </w:p>
    <w:p>
      <w:pPr>
        <w:ind w:firstLine="240"/>
        <w:jc w:val="center"/>
        <w:pageBreakBefore w:val="0"/>
        <w:spacing w:line="360" w:lineRule="auto"/>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r/>
    </w:p>
    <w:p>
      <w:pPr>
        <w:ind w:firstLine="240"/>
        <w:jc w:val="center"/>
        <w:pageBreakBefore w:val="0"/>
        <w:spacing w:line="360" w:lineRule="auto"/>
        <w:rPr>
          <w:rFonts w:ascii="宋体" w:hAnsi="宋体"/>
          <w:color w:val="auto"/>
          <w:sz w:val="24"/>
          <w:szCs w:val="24"/>
          <w:highlight w:val="none"/>
        </w:rPr>
      </w:pPr>
      <w:r>
        <w:rPr>
          <w:rFonts w:ascii="宋体" w:hAnsi="宋体"/>
          <w:bCs/>
          <w:color w:val="auto"/>
          <w:sz w:val="24"/>
          <w:szCs w:val="24"/>
          <w:highlight w:val="none"/>
        </w:rPr>
      </w:r>
      <w:r/>
    </w:p>
    <w:p>
      <w:pPr>
        <w:ind w:firstLine="240"/>
        <w:jc w:val="center"/>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p>
      <w:pPr>
        <w:numPr>
          <w:ilvl w:val="0"/>
          <w:numId w:val="1"/>
        </w:numPr>
        <w:jc w:val="center"/>
        <w:pageBreakBefore w:val="0"/>
        <w:spacing w:before="50" w:after="50"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报价一览表（格式）</w:t>
      </w:r>
      <w:r/>
    </w:p>
    <w:p>
      <w:pPr>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ageBreakBefore w:val="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供应商名称（加盖CA电子签章）</w:t>
      </w:r>
      <w:r>
        <w:rPr>
          <w:rFonts w:ascii="黑体" w:eastAsia="黑体"/>
          <w:bCs/>
          <w:color w:val="auto"/>
          <w:sz w:val="24"/>
          <w:szCs w:val="24"/>
          <w:highlight w:val="none"/>
        </w:rPr>
        <w:t xml:space="preserve">                          </w:t>
      </w:r>
      <w:r/>
    </w:p>
    <w:p>
      <w:pPr>
        <w:pageBreakBefore w:val="0"/>
        <w:spacing w:line="360" w:lineRule="auto"/>
        <w:rPr>
          <w:rFonts w:hint="eastAsia" w:ascii="宋体" w:hAnsi="宋体" w:cs="宋体"/>
          <w:b/>
          <w:bCs/>
          <w:color w:val="auto"/>
          <w:sz w:val="24"/>
          <w:szCs w:val="16"/>
          <w:highlight w:val="none"/>
          <w:lang w:val="en-US" w:eastAsia="zh-CN"/>
        </w:rPr>
      </w:pPr>
      <w:r>
        <w:rPr>
          <w:rFonts w:hint="eastAsia" w:ascii="黑体" w:eastAsia="黑体"/>
          <w:bCs/>
          <w:color w:val="auto"/>
          <w:sz w:val="24"/>
          <w:szCs w:val="24"/>
          <w:highlight w:val="none"/>
        </w:rPr>
        <w:t xml:space="preserve">项目编号：</w:t>
      </w:r>
      <w:r>
        <w:rPr>
          <w:rFonts w:hint="eastAsia" w:ascii="宋体" w:hAnsi="宋体" w:cs="宋体"/>
          <w:b/>
          <w:bCs/>
          <w:color w:val="auto"/>
          <w:sz w:val="24"/>
          <w:szCs w:val="16"/>
          <w:highlight w:val="none"/>
          <w:lang w:val="en-US" w:eastAsia="zh-CN"/>
        </w:rPr>
        <w:t xml:space="preserve"> </w:t>
      </w:r>
      <w:r/>
    </w:p>
    <w:p>
      <w:pPr>
        <w:pageBreakBefore w:val="0"/>
        <w:spacing w:line="360" w:lineRule="auto"/>
        <w:rPr>
          <w:rFonts w:hint="eastAsia" w:ascii="宋体" w:hAnsi="宋体" w:cs="宋体"/>
          <w:b/>
          <w:bCs/>
          <w:color w:val="auto"/>
          <w:sz w:val="24"/>
          <w:szCs w:val="16"/>
          <w:highlight w:val="none"/>
          <w:lang w:val="en-US" w:eastAsia="zh-CN"/>
        </w:rPr>
      </w:pPr>
      <w:r>
        <w:rPr>
          <w:rFonts w:hint="eastAsia" w:ascii="宋体" w:hAnsi="宋体" w:cs="宋体"/>
          <w:b/>
          <w:bCs/>
          <w:color w:val="auto"/>
          <w:sz w:val="24"/>
          <w:szCs w:val="16"/>
          <w:highlight w:val="none"/>
          <w:lang w:val="en-US" w:eastAsia="zh-CN"/>
        </w:rPr>
      </w:r>
      <w:r/>
    </w:p>
    <w:tbl>
      <w:tblPr>
        <w:tblStyle w:val="963"/>
        <w:tblW w:w="9738"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942"/>
        <w:gridCol w:w="4633"/>
        <w:gridCol w:w="2321"/>
        <w:gridCol w:w="1842"/>
      </w:tblGrid>
      <w:tr>
        <w:trPr>
          <w:jc w:val="center"/>
          <w:trHeight w:val="116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jc w:val="center"/>
              <w:pageBreakBefore w:val="0"/>
              <w:spacing w:line="360" w:lineRule="auto"/>
              <w:rPr>
                <w:color w:val="auto"/>
                <w:highlight w:val="none"/>
              </w:rPr>
            </w:pPr>
            <w:r>
              <w:rPr>
                <w:rFonts w:hint="eastAsia" w:ascii="宋体" w:hAnsi="宋体" w:cs="宋体"/>
                <w:b/>
                <w:color w:val="auto"/>
                <w:spacing w:val="6"/>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633" w:type="dxa"/>
            <w:vAlign w:val="center"/>
            <w:textDirection w:val="lrTb"/>
            <w:noWrap w:val="false"/>
          </w:tcPr>
          <w:p>
            <w:pPr>
              <w:jc w:val="center"/>
              <w:pageBreakBefore w:val="0"/>
              <w:spacing w:line="360" w:lineRule="auto"/>
              <w:rPr>
                <w:color w:val="auto"/>
                <w:highlight w:val="none"/>
              </w:rPr>
            </w:pPr>
            <w:r>
              <w:rPr>
                <w:rFonts w:hint="eastAsia" w:ascii="宋体" w:hAnsi="宋体" w:cs="宋体"/>
                <w:b/>
                <w:color w:val="auto"/>
                <w:spacing w:val="6"/>
                <w:sz w:val="24"/>
                <w:highlight w:val="none"/>
                <w:lang w:val="en-US" w:eastAsia="zh-CN"/>
              </w:rPr>
              <w:t xml:space="preserve">项目名称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321" w:type="dxa"/>
            <w:vAlign w:val="center"/>
            <w:textDirection w:val="lrTb"/>
            <w:noWrap w:val="false"/>
          </w:tcPr>
          <w:p>
            <w:pPr>
              <w:jc w:val="center"/>
              <w:pageBreakBefore w:val="0"/>
              <w:spacing w:line="360" w:lineRule="auto"/>
              <w:rPr>
                <w:rFonts w:hint="default" w:eastAsia="宋体"/>
                <w:color w:val="auto"/>
                <w:highlight w:val="none"/>
                <w:lang w:val="en-US" w:eastAsia="zh-CN"/>
              </w:rPr>
            </w:pPr>
            <w:r>
              <w:rPr>
                <w:rFonts w:hint="eastAsia" w:ascii="宋体" w:hAnsi="宋体" w:cs="宋体"/>
                <w:b/>
                <w:color w:val="auto"/>
                <w:spacing w:val="6"/>
                <w:sz w:val="24"/>
                <w:highlight w:val="none"/>
                <w:lang w:val="en-US" w:eastAsia="zh-CN"/>
              </w:rPr>
              <w:t xml:space="preserve">投标优惠率</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842" w:type="dxa"/>
            <w:vAlign w:val="center"/>
            <w:textDirection w:val="lrTb"/>
            <w:noWrap w:val="false"/>
          </w:tcPr>
          <w:p>
            <w:pPr>
              <w:jc w:val="center"/>
              <w:pageBreakBefore w:val="0"/>
              <w:spacing w:line="360" w:lineRule="auto"/>
              <w:rPr>
                <w:rFonts w:hint="eastAsia" w:eastAsia="宋体"/>
                <w:color w:val="auto"/>
                <w:highlight w:val="none"/>
                <w:lang w:eastAsia="zh-CN"/>
              </w:rPr>
            </w:pPr>
            <w:r>
              <w:rPr>
                <w:rFonts w:hint="eastAsia" w:ascii="宋体" w:hAnsi="宋体" w:cs="宋体"/>
                <w:b/>
                <w:color w:val="auto"/>
                <w:spacing w:val="6"/>
                <w:sz w:val="24"/>
                <w:highlight w:val="none"/>
                <w:lang w:val="en-US" w:eastAsia="zh-CN"/>
              </w:rPr>
              <w:t xml:space="preserve">备注</w:t>
            </w:r>
            <w:r/>
          </w:p>
        </w:tc>
      </w:tr>
      <w:tr>
        <w:trPr>
          <w:jc w:val="center"/>
          <w:trHeight w:val="10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jc w:val="center"/>
              <w:pageBreakBefore w:val="0"/>
              <w:spacing w:line="360" w:lineRule="auto"/>
              <w:rPr>
                <w:color w:val="auto"/>
                <w:highlight w:val="none"/>
              </w:rPr>
            </w:pPr>
            <w:r>
              <w:rPr>
                <w:rFonts w:hint="eastAsia" w:ascii="宋体" w:hAnsi="宋体" w:cs="宋体"/>
                <w:color w:val="auto"/>
                <w:spacing w:val="6"/>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633" w:type="dxa"/>
            <w:vAlign w:val="center"/>
            <w:textDirection w:val="lrTb"/>
            <w:noWrap w:val="false"/>
          </w:tcPr>
          <w:p>
            <w:pPr>
              <w:jc w:val="center"/>
              <w:pageBreakBefore w:val="0"/>
              <w:spacing w:line="360" w:lineRule="auto"/>
              <w:rPr>
                <w:rFonts w:hint="default"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321" w:type="dxa"/>
            <w:vAlign w:val="center"/>
            <w:textDirection w:val="lrTb"/>
            <w:noWrap w:val="false"/>
          </w:tcPr>
          <w:p>
            <w:pPr>
              <w:jc w:val="center"/>
              <w:pageBreakBefore w:val="0"/>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42" w:type="dxa"/>
            <w:vAlign w:val="center"/>
            <w:textDirection w:val="lrTb"/>
            <w:noWrap w:val="false"/>
          </w:tcPr>
          <w:p>
            <w:pPr>
              <w:jc w:val="center"/>
              <w:pageBreakBefore w:val="0"/>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tc>
      </w:tr>
    </w:tbl>
    <w:p>
      <w:pPr>
        <w:numPr>
          <w:ilvl w:val="0"/>
          <w:numId w:val="0"/>
        </w:numPr>
        <w:ind w:firstLine="482"/>
        <w:pageBreakBefore w:val="0"/>
        <w:spacing w:line="360" w:lineRule="auto"/>
        <w:rPr>
          <w:rFonts w:hint="default" w:ascii="宋体" w:hAnsi="宋体" w:eastAsia="宋体"/>
          <w:b/>
          <w:bCs/>
          <w:color w:val="auto"/>
          <w:sz w:val="24"/>
          <w:szCs w:val="24"/>
          <w:highlight w:val="none"/>
        </w:rPr>
      </w:pPr>
      <w:r>
        <w:rPr>
          <w:rFonts w:hint="default" w:ascii="宋体" w:hAnsi="宋体" w:eastAsia="宋体"/>
          <w:b/>
          <w:bCs/>
          <w:color w:val="auto"/>
          <w:sz w:val="24"/>
          <w:szCs w:val="24"/>
          <w:highlight w:val="none"/>
        </w:rPr>
        <w:t xml:space="preserve">法定代表人或授权代表签字或盖章：</w:t>
      </w:r>
      <w:r/>
    </w:p>
    <w:p>
      <w:pPr>
        <w:numPr>
          <w:ilvl w:val="0"/>
          <w:numId w:val="0"/>
        </w:numPr>
        <w:ind w:firstLine="480"/>
        <w:pageBreakBefore w:val="0"/>
        <w:spacing w:line="360" w:lineRule="auto"/>
        <w:rPr>
          <w:rFonts w:hint="eastAsia" w:ascii="宋体" w:hAnsi="宋体" w:cs="宋体"/>
          <w:color w:val="auto"/>
          <w:sz w:val="24"/>
          <w:szCs w:val="20"/>
          <w:highlight w:val="none"/>
          <w:lang w:val="en-US" w:eastAsia="zh-CN"/>
        </w:rPr>
      </w:pPr>
      <w:r>
        <w:rPr>
          <w:rFonts w:hint="default" w:ascii="宋体" w:hAnsi="宋体" w:eastAsia="宋体"/>
          <w:color w:val="auto"/>
          <w:sz w:val="24"/>
          <w:szCs w:val="24"/>
          <w:highlight w:val="none"/>
        </w:rPr>
        <w:t xml:space="preserve">备</w:t>
      </w:r>
      <w:r>
        <w:rPr>
          <w:rFonts w:hint="default" w:ascii="宋体" w:hAnsi="宋体" w:eastAsia="宋体"/>
          <w:b w:val="0"/>
          <w:bCs w:val="0"/>
          <w:color w:val="auto"/>
          <w:sz w:val="24"/>
          <w:szCs w:val="24"/>
          <w:highlight w:val="none"/>
        </w:rPr>
        <w:t xml:space="preserve">注</w:t>
      </w:r>
      <w:r>
        <w:rPr>
          <w:rFonts w:hint="default" w:ascii="宋体" w:hAnsi="宋体" w:eastAsia="宋体" w:cs="宋体"/>
          <w:b w:val="0"/>
          <w:bCs w:val="0"/>
          <w:color w:val="auto"/>
          <w:sz w:val="24"/>
          <w:szCs w:val="20"/>
          <w:highlight w:val="none"/>
        </w:rPr>
        <w:t xml:space="preserve">：本项目投标时报优惠率（%），根据优惠率计算价格分</w:t>
      </w:r>
      <w:r>
        <w:rPr>
          <w:rFonts w:hint="default" w:ascii="宋体" w:hAnsi="宋体" w:eastAsia="宋体" w:cs="宋体"/>
          <w:b w:val="0"/>
          <w:bCs w:val="0"/>
          <w:color w:val="auto"/>
          <w:sz w:val="24"/>
          <w:szCs w:val="20"/>
          <w:highlight w:val="none"/>
          <w:lang w:eastAsia="zh-CN"/>
        </w:rPr>
        <w:t xml:space="preserve">，</w:t>
      </w:r>
      <w:r>
        <w:rPr>
          <w:rFonts w:hint="default" w:ascii="宋体" w:hAnsi="宋体" w:eastAsia="宋体" w:cs="宋体"/>
          <w:b w:val="0"/>
          <w:bCs w:val="0"/>
          <w:color w:val="auto"/>
          <w:sz w:val="24"/>
          <w:szCs w:val="20"/>
          <w:highlight w:val="none"/>
        </w:rPr>
        <w:t xml:space="preserve">投标人未按优惠率报价，作为无效投标处理。优惠率举例说明：如在上述基准价的基础上下浮10%，即投标报价</w:t>
      </w:r>
      <w:r>
        <w:rPr>
          <w:rFonts w:hint="default" w:ascii="宋体" w:hAnsi="宋体" w:eastAsia="宋体" w:cs="宋体"/>
          <w:b w:val="0"/>
          <w:bCs w:val="0"/>
          <w:color w:val="auto"/>
          <w:sz w:val="24"/>
          <w:szCs w:val="20"/>
          <w:highlight w:val="none"/>
          <w:lang w:val="en-US" w:eastAsia="zh-CN"/>
        </w:rPr>
        <w:t xml:space="preserve">优惠率</w:t>
      </w:r>
      <w:r>
        <w:rPr>
          <w:rFonts w:hint="default" w:ascii="宋体" w:hAnsi="宋体" w:eastAsia="宋体" w:cs="宋体"/>
          <w:b w:val="0"/>
          <w:bCs w:val="0"/>
          <w:color w:val="auto"/>
          <w:sz w:val="24"/>
          <w:szCs w:val="20"/>
          <w:highlight w:val="none"/>
        </w:rPr>
        <w:t xml:space="preserve">为</w:t>
      </w:r>
      <w:r>
        <w:rPr>
          <w:rFonts w:hint="default" w:ascii="宋体" w:hAnsi="宋体" w:eastAsia="宋体" w:cs="宋体"/>
          <w:b w:val="0"/>
          <w:bCs w:val="0"/>
          <w:color w:val="auto"/>
          <w:sz w:val="24"/>
          <w:szCs w:val="20"/>
          <w:highlight w:val="none"/>
          <w:lang w:val="en-US" w:eastAsia="zh-CN"/>
        </w:rPr>
        <w:t xml:space="preserve">1</w:t>
      </w:r>
      <w:r>
        <w:rPr>
          <w:rFonts w:hint="default" w:ascii="宋体" w:hAnsi="宋体" w:eastAsia="宋体" w:cs="宋体"/>
          <w:b w:val="0"/>
          <w:bCs w:val="0"/>
          <w:color w:val="auto"/>
          <w:sz w:val="24"/>
          <w:szCs w:val="20"/>
          <w:highlight w:val="none"/>
        </w:rPr>
        <w:t xml:space="preserve">0%，结算价格为基准价*</w:t>
      </w:r>
      <w:r>
        <w:rPr>
          <w:rFonts w:hint="default" w:ascii="宋体" w:hAnsi="宋体" w:eastAsia="宋体" w:cs="宋体"/>
          <w:b w:val="0"/>
          <w:bCs w:val="0"/>
          <w:color w:val="auto"/>
          <w:sz w:val="24"/>
          <w:szCs w:val="20"/>
          <w:highlight w:val="none"/>
          <w:lang w:eastAsia="zh-CN"/>
        </w:rPr>
        <w:t xml:space="preserve">（</w:t>
      </w:r>
      <w:r>
        <w:rPr>
          <w:rFonts w:hint="default" w:ascii="宋体" w:hAnsi="宋体" w:eastAsia="宋体" w:cs="宋体"/>
          <w:b w:val="0"/>
          <w:bCs w:val="0"/>
          <w:color w:val="auto"/>
          <w:sz w:val="24"/>
          <w:szCs w:val="20"/>
          <w:highlight w:val="none"/>
          <w:lang w:val="en-US" w:eastAsia="zh-CN"/>
        </w:rPr>
        <w:t xml:space="preserve">1-优惠率</w:t>
      </w:r>
      <w:r>
        <w:rPr>
          <w:rFonts w:hint="default" w:ascii="宋体" w:hAnsi="宋体" w:eastAsia="宋体" w:cs="宋体"/>
          <w:b w:val="0"/>
          <w:bCs w:val="0"/>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w:t>
      </w:r>
      <w:r/>
    </w:p>
    <w:p>
      <w:pPr>
        <w:jc w:val="center"/>
        <w:pageBreakBefore w:val="0"/>
        <w:spacing w:line="360" w:lineRule="auto"/>
        <w:rPr>
          <w:rFonts w:ascii="黑体" w:eastAsia="黑体"/>
          <w:b/>
          <w:bCs/>
          <w:color w:val="auto"/>
          <w:sz w:val="32"/>
          <w:highlight w:val="none"/>
        </w:rPr>
      </w:pPr>
      <w:r>
        <w:rPr>
          <w:rFonts w:ascii="黑体" w:eastAsia="黑体"/>
          <w:b/>
          <w:bCs/>
          <w:color w:val="auto"/>
          <w:sz w:val="32"/>
          <w:highlight w:val="none"/>
        </w:rPr>
      </w:r>
      <w:r/>
    </w:p>
    <w:p>
      <w:pPr>
        <w:jc w:val="center"/>
        <w:pageBreakBefore w:val="0"/>
        <w:spacing w:line="360" w:lineRule="auto"/>
        <w:rPr>
          <w:rFonts w:ascii="黑体" w:eastAsia="黑体"/>
          <w:b/>
          <w:bCs/>
          <w:color w:val="auto"/>
          <w:sz w:val="32"/>
          <w:highlight w:val="none"/>
        </w:rPr>
      </w:pPr>
      <w:r>
        <w:rPr>
          <w:rFonts w:ascii="黑体" w:eastAsia="黑体"/>
          <w:b/>
          <w:bCs/>
          <w:color w:val="auto"/>
          <w:sz w:val="32"/>
          <w:highlight w:val="none"/>
        </w:rPr>
      </w:r>
      <w:r/>
    </w:p>
    <w:p>
      <w:pPr>
        <w:jc w:val="center"/>
        <w:pageBreakBefore w:val="0"/>
        <w:spacing w:line="360" w:lineRule="auto"/>
        <w:rPr>
          <w:rFonts w:ascii="黑体" w:eastAsia="黑体"/>
          <w:b/>
          <w:bCs/>
          <w:color w:val="auto"/>
          <w:sz w:val="32"/>
          <w:highlight w:val="none"/>
        </w:rPr>
      </w:pPr>
      <w:r>
        <w:rPr>
          <w:rFonts w:ascii="黑体" w:eastAsia="黑体"/>
          <w:b/>
          <w:bCs/>
          <w:color w:val="auto"/>
          <w:sz w:val="32"/>
          <w:highlight w:val="none"/>
        </w:rPr>
      </w:r>
      <w:r/>
    </w:p>
    <w:p>
      <w:pPr>
        <w:jc w:val="center"/>
        <w:pageBreakBefore w:val="0"/>
        <w:spacing w:line="360" w:lineRule="auto"/>
        <w:rPr>
          <w:rFonts w:ascii="黑体" w:eastAsia="黑体"/>
          <w:b/>
          <w:bCs/>
          <w:color w:val="auto"/>
          <w:sz w:val="32"/>
          <w:highlight w:val="none"/>
        </w:rPr>
      </w:pPr>
      <w:r>
        <w:rPr>
          <w:rFonts w:ascii="黑体" w:eastAsia="黑体"/>
          <w:b/>
          <w:bCs/>
          <w:color w:val="auto"/>
          <w:sz w:val="32"/>
          <w:highlight w:val="none"/>
        </w:rPr>
      </w:r>
      <w:r/>
    </w:p>
    <w:p>
      <w:pPr>
        <w:jc w:val="center"/>
        <w:pageBreakBefore w:val="0"/>
        <w:spacing w:line="360" w:lineRule="auto"/>
        <w:rPr>
          <w:rFonts w:ascii="黑体" w:eastAsia="黑体"/>
          <w:b/>
          <w:bCs/>
          <w:color w:val="auto"/>
          <w:sz w:val="32"/>
          <w:highlight w:val="none"/>
        </w:rPr>
      </w:pPr>
      <w:r>
        <w:rPr>
          <w:rFonts w:ascii="黑体" w:eastAsia="黑体"/>
          <w:b/>
          <w:bCs/>
          <w:color w:val="auto"/>
          <w:sz w:val="32"/>
          <w:highlight w:val="none"/>
        </w:rPr>
      </w:r>
      <w:r/>
    </w:p>
    <w:p>
      <w:pPr>
        <w:jc w:val="center"/>
        <w:pageBreakBefore w:val="0"/>
        <w:spacing w:line="360" w:lineRule="auto"/>
        <w:rPr>
          <w:rFonts w:ascii="黑体" w:eastAsia="黑体"/>
          <w:b/>
          <w:bCs/>
          <w:color w:val="auto"/>
          <w:sz w:val="32"/>
          <w:highlight w:val="none"/>
        </w:rPr>
      </w:pPr>
      <w:r>
        <w:rPr>
          <w:rFonts w:ascii="黑体" w:eastAsia="黑体"/>
          <w:b/>
          <w:bCs/>
          <w:color w:val="auto"/>
          <w:sz w:val="32"/>
          <w:highlight w:val="none"/>
        </w:rPr>
      </w:r>
      <w:r/>
    </w:p>
    <w:p>
      <w:pPr>
        <w:jc w:val="center"/>
        <w:pageBreakBefore w:val="0"/>
        <w:spacing w:line="360" w:lineRule="auto"/>
        <w:rPr>
          <w:rFonts w:ascii="黑体" w:eastAsia="黑体"/>
          <w:b/>
          <w:bCs/>
          <w:color w:val="auto"/>
          <w:sz w:val="32"/>
          <w:highlight w:val="none"/>
        </w:rPr>
      </w:pPr>
      <w:r>
        <w:rPr>
          <w:rFonts w:ascii="黑体" w:eastAsia="黑体"/>
          <w:b/>
          <w:bCs/>
          <w:color w:val="auto"/>
          <w:sz w:val="32"/>
          <w:highlight w:val="none"/>
        </w:rPr>
      </w:r>
      <w:r/>
    </w:p>
    <w:p>
      <w:pPr>
        <w:jc w:val="center"/>
        <w:pageBreakBefore w:val="0"/>
        <w:spacing w:line="360" w:lineRule="auto"/>
        <w:rPr>
          <w:rFonts w:ascii="黑体" w:eastAsia="黑体"/>
          <w:b/>
          <w:bCs/>
          <w:color w:val="auto"/>
          <w:sz w:val="32"/>
          <w:highlight w:val="none"/>
        </w:rPr>
      </w:pPr>
      <w:r>
        <w:rPr>
          <w:rFonts w:ascii="黑体" w:eastAsia="黑体"/>
          <w:b/>
          <w:bCs/>
          <w:color w:val="auto"/>
          <w:sz w:val="32"/>
          <w:highlight w:val="none"/>
        </w:rPr>
      </w:r>
      <w:r/>
    </w:p>
    <w:p>
      <w:pPr>
        <w:pStyle w:val="972"/>
        <w:numPr>
          <w:ilvl w:val="0"/>
          <w:numId w:val="0"/>
        </w:numPr>
        <w:pageBreakBefore w:val="0"/>
        <w:spacing w:line="360" w:lineRule="auto"/>
        <w:rPr>
          <w:rFonts w:hint="eastAsia"/>
          <w:color w:val="auto"/>
          <w:highlight w:val="none"/>
          <w:lang w:val="en-US" w:eastAsia="zh-CN"/>
        </w:rPr>
      </w:pPr>
      <w:r>
        <w:rPr>
          <w:rFonts w:hint="eastAsia"/>
          <w:color w:val="auto"/>
          <w:highlight w:val="none"/>
          <w:lang w:val="en-US" w:eastAsia="zh-CN"/>
        </w:rPr>
      </w:r>
      <w:r/>
    </w:p>
    <w:p>
      <w:pPr>
        <w:pStyle w:val="972"/>
        <w:numPr>
          <w:ilvl w:val="0"/>
          <w:numId w:val="0"/>
        </w:numPr>
        <w:pageBreakBefore w:val="0"/>
        <w:spacing w:line="360" w:lineRule="auto"/>
        <w:rPr>
          <w:rFonts w:hint="eastAsia"/>
          <w:color w:val="auto"/>
          <w:highlight w:val="none"/>
          <w:lang w:val="en-US" w:eastAsia="zh-CN"/>
        </w:rPr>
      </w:pPr>
      <w:r>
        <w:rPr>
          <w:rFonts w:hint="eastAsia"/>
          <w:color w:val="auto"/>
          <w:highlight w:val="none"/>
          <w:lang w:val="en-US" w:eastAsia="zh-CN"/>
        </w:rPr>
      </w:r>
      <w:r/>
    </w:p>
    <w:p>
      <w:pPr>
        <w:pStyle w:val="972"/>
        <w:numPr>
          <w:ilvl w:val="0"/>
          <w:numId w:val="0"/>
        </w:numPr>
        <w:pageBreakBefore w:val="0"/>
        <w:spacing w:line="360" w:lineRule="auto"/>
        <w:rPr>
          <w:rFonts w:hint="eastAsia"/>
          <w:color w:val="auto"/>
          <w:highlight w:val="none"/>
          <w:lang w:val="en-US" w:eastAsia="zh-CN"/>
        </w:rPr>
      </w:pPr>
      <w:r>
        <w:rPr>
          <w:rFonts w:hint="eastAsia"/>
          <w:color w:val="auto"/>
          <w:highlight w:val="none"/>
          <w:lang w:val="en-US" w:eastAsia="zh-CN"/>
        </w:rPr>
      </w:r>
      <w:r/>
    </w:p>
    <w:p>
      <w:pPr>
        <w:pStyle w:val="972"/>
        <w:numPr>
          <w:ilvl w:val="0"/>
          <w:numId w:val="0"/>
        </w:numPr>
        <w:pageBreakBefore w:val="0"/>
        <w:spacing w:line="360" w:lineRule="auto"/>
        <w:rPr>
          <w:rFonts w:hint="eastAsia"/>
          <w:color w:val="auto"/>
          <w:highlight w:val="none"/>
          <w:lang w:val="en-US" w:eastAsia="zh-CN"/>
        </w:rPr>
      </w:pPr>
      <w:r>
        <w:rPr>
          <w:rFonts w:hint="eastAsia"/>
          <w:color w:val="auto"/>
          <w:highlight w:val="none"/>
          <w:lang w:val="en-US" w:eastAsia="zh-CN"/>
        </w:rPr>
      </w:r>
      <w:r/>
    </w:p>
    <w:p>
      <w:pPr>
        <w:pStyle w:val="972"/>
        <w:numPr>
          <w:ilvl w:val="0"/>
          <w:numId w:val="0"/>
        </w:numPr>
        <w:pageBreakBefore w:val="0"/>
        <w:spacing w:line="360" w:lineRule="auto"/>
        <w:rPr>
          <w:rFonts w:hint="eastAsia"/>
          <w:color w:val="auto"/>
          <w:highlight w:val="none"/>
          <w:lang w:val="en-US" w:eastAsia="zh-CN"/>
        </w:rPr>
      </w:pPr>
      <w:r>
        <w:rPr>
          <w:rFonts w:hint="eastAsia"/>
          <w:color w:val="auto"/>
          <w:highlight w:val="none"/>
          <w:lang w:val="en-US" w:eastAsia="zh-CN"/>
        </w:rPr>
      </w:r>
      <w:r/>
    </w:p>
    <w:p>
      <w:pPr>
        <w:pStyle w:val="972"/>
        <w:numPr>
          <w:ilvl w:val="0"/>
          <w:numId w:val="0"/>
        </w:numPr>
        <w:pageBreakBefore w:val="0"/>
        <w:spacing w:line="360" w:lineRule="auto"/>
        <w:rPr>
          <w:rFonts w:hint="eastAsia"/>
          <w:color w:val="auto"/>
          <w:highlight w:val="none"/>
          <w:lang w:val="en-US" w:eastAsia="zh-CN"/>
        </w:rPr>
      </w:pPr>
      <w:r>
        <w:rPr>
          <w:rFonts w:hint="eastAsia"/>
          <w:color w:val="auto"/>
          <w:highlight w:val="none"/>
          <w:lang w:val="en-US" w:eastAsia="zh-CN"/>
        </w:rPr>
      </w:r>
      <w:r/>
    </w:p>
    <w:p>
      <w:pPr>
        <w:numPr>
          <w:ilvl w:val="0"/>
          <w:numId w:val="0"/>
        </w:numPr>
        <w:jc w:val="left"/>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24"/>
          <w:szCs w:val="24"/>
          <w:highlight w:val="none"/>
          <w:lang w:val="en-US" w:eastAsia="zh-CN"/>
        </w:rPr>
      </w:pPr>
      <w:r>
        <w:rPr>
          <w:rFonts w:hint="eastAsia" w:ascii="方正小标宋简体" w:hAnsi="方正小标宋简体" w:eastAsia="方正小标宋简体" w:cs="方正小标宋简体"/>
          <w:b w:val="0"/>
          <w:bCs w:val="0"/>
          <w:color w:val="auto"/>
          <w:sz w:val="24"/>
          <w:szCs w:val="24"/>
          <w:highlight w:val="none"/>
          <w:lang w:val="en-US" w:eastAsia="zh-CN"/>
        </w:rPr>
      </w:r>
      <w:r/>
    </w:p>
    <w:p>
      <w:pPr>
        <w:numPr>
          <w:ilvl w:val="0"/>
          <w:numId w:val="0"/>
        </w:numPr>
        <w:jc w:val="left"/>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24"/>
          <w:szCs w:val="24"/>
          <w:highlight w:val="none"/>
          <w:lang w:val="en-US" w:eastAsia="zh-CN"/>
        </w:rPr>
      </w:pPr>
      <w:r>
        <w:rPr>
          <w:rFonts w:hint="eastAsia" w:ascii="方正小标宋简体" w:hAnsi="方正小标宋简体" w:eastAsia="方正小标宋简体" w:cs="方正小标宋简体"/>
          <w:b w:val="0"/>
          <w:bCs w:val="0"/>
          <w:color w:val="auto"/>
          <w:sz w:val="24"/>
          <w:szCs w:val="24"/>
          <w:highlight w:val="none"/>
          <w:lang w:val="en-US" w:eastAsia="zh-CN"/>
        </w:rPr>
        <w:t xml:space="preserve">附件1</w:t>
      </w:r>
      <w:r/>
    </w:p>
    <w:p>
      <w:pPr>
        <w:numPr>
          <w:ilvl w:val="0"/>
          <w:numId w:val="0"/>
        </w:numPr>
        <w:ind w:firstLine="320"/>
        <w:jc w:val="center"/>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 </w:t>
      </w:r>
      <w:r>
        <w:rPr>
          <w:rFonts w:hint="eastAsia" w:ascii="方正小标宋简体" w:hAnsi="方正小标宋简体" w:eastAsia="方正小标宋简体" w:cs="方正小标宋简体"/>
          <w:b w:val="0"/>
          <w:bCs w:val="0"/>
          <w:color w:val="auto"/>
          <w:sz w:val="32"/>
          <w:szCs w:val="32"/>
          <w:highlight w:val="none"/>
        </w:rPr>
        <w:t xml:space="preserve">中小企业声明函（服务）</w:t>
      </w:r>
      <w:r/>
    </w:p>
    <w:p>
      <w:pPr>
        <w:ind w:firstLine="480"/>
        <w:pageBreakBefore w:val="0"/>
        <w:spacing w:line="360" w:lineRule="auto"/>
        <w:rPr>
          <w:rFonts w:hint="eastAsia" w:ascii="宋体" w:hAnsi="宋体"/>
          <w:bCs w:val="0"/>
          <w:color w:val="auto"/>
          <w:sz w:val="24"/>
          <w:szCs w:val="24"/>
          <w:highlight w:val="none"/>
        </w:rPr>
      </w:pPr>
      <w:r>
        <w:rPr>
          <w:rFonts w:hint="eastAsia" w:ascii="宋体" w:hAnsi="宋体"/>
          <w:bCs w:val="0"/>
          <w:color w:val="auto"/>
          <w:sz w:val="24"/>
          <w:szCs w:val="24"/>
          <w:highlight w:val="none"/>
        </w:rPr>
        <w:t xml:space="preserve">本公司郑重声明，根据《政府采购促进中小企业发展管理办法》（财库﹝2020﹞46 号）的规定，本公司参加</w:t>
      </w:r>
      <w:r>
        <w:rPr>
          <w:rFonts w:hint="eastAsia" w:ascii="宋体" w:hAnsi="宋体"/>
          <w:bCs w:val="0"/>
          <w:color w:val="auto"/>
          <w:sz w:val="24"/>
          <w:szCs w:val="24"/>
          <w:highlight w:val="none"/>
          <w:lang w:val="en-US" w:eastAsia="zh-CN"/>
        </w:rPr>
        <w:t xml:space="preserve">泰州市自然资源和规划局组织的                       项目</w:t>
      </w:r>
      <w:r>
        <w:rPr>
          <w:rFonts w:hint="eastAsia" w:ascii="宋体" w:hAnsi="宋体"/>
          <w:bCs w:val="0"/>
          <w:color w:val="auto"/>
          <w:sz w:val="24"/>
          <w:szCs w:val="24"/>
          <w:highlight w:val="none"/>
          <w:u w:val="none"/>
          <w:lang w:val="en-US" w:eastAsia="zh-CN"/>
        </w:rPr>
        <w:t xml:space="preserve">，</w:t>
      </w:r>
      <w:r>
        <w:rPr>
          <w:rFonts w:hint="eastAsia" w:ascii="宋体" w:hAnsi="宋体"/>
          <w:color w:val="auto"/>
          <w:sz w:val="24"/>
          <w:szCs w:val="24"/>
          <w:highlight w:val="none"/>
          <w:lang w:val="en-US" w:eastAsia="zh-CN"/>
        </w:rPr>
        <w:t xml:space="preserve">项目</w:t>
      </w:r>
      <w:r>
        <w:rPr>
          <w:rFonts w:ascii="宋体" w:hAnsi="宋体"/>
          <w:color w:val="auto"/>
          <w:sz w:val="24"/>
          <w:szCs w:val="24"/>
          <w:highlight w:val="none"/>
        </w:rPr>
        <w:t xml:space="preserve">编号为 </w:t>
      </w:r>
      <w:r>
        <w:rPr>
          <w:rFonts w:hint="eastAsia" w:ascii="宋体" w:hAnsi="宋体"/>
          <w:color w:val="auto"/>
          <w:sz w:val="24"/>
          <w:szCs w:val="24"/>
          <w:highlight w:val="none"/>
          <w:lang w:eastAsia="zh-CN"/>
        </w:rPr>
        <w:t xml:space="preserve">JSZC-321200-THZX-K2026-0011 ，</w:t>
      </w:r>
      <w:r>
        <w:rPr>
          <w:rFonts w:hint="eastAsia" w:ascii="宋体" w:hAnsi="宋体" w:cs="宋体"/>
          <w:color w:val="auto"/>
          <w:sz w:val="24"/>
          <w:highlight w:val="none"/>
          <w:u w:val="single"/>
          <w:lang w:val="en-US" w:eastAsia="zh-CN"/>
        </w:rPr>
        <w:t xml:space="preserve">2026-2027年度泰州市区储备、上市地块地质灾害危险性评估框架协议征集服务</w:t>
      </w:r>
      <w:r>
        <w:rPr>
          <w:rFonts w:hint="eastAsia" w:ascii="宋体" w:hAnsi="宋体"/>
          <w:bCs w:val="0"/>
          <w:color w:val="auto"/>
          <w:sz w:val="24"/>
          <w:szCs w:val="24"/>
          <w:highlight w:val="none"/>
        </w:rPr>
        <w:t xml:space="preserve">的封闭式框架协议采购活动，服务全部由符合政策要求的中小企业承接。相关企业（含联合体中的中小企业、签订分包意向协议的中小企业）的具体情况如下：</w:t>
      </w:r>
      <w:r/>
    </w:p>
    <w:p>
      <w:pPr>
        <w:ind w:firstLine="48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p>
    <w:p>
      <w:pPr>
        <w:ind w:right="960"/>
        <w:jc w:val="righ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numPr>
          <w:ilvl w:val="0"/>
          <w:numId w:val="0"/>
        </w:numPr>
        <w:ind w:firstLine="240"/>
        <w:jc w:val="left"/>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24"/>
          <w:szCs w:val="24"/>
          <w:highlight w:val="none"/>
          <w:lang w:val="en-US" w:eastAsia="zh-CN"/>
        </w:rPr>
      </w:pPr>
      <w:r>
        <w:rPr>
          <w:rFonts w:hint="eastAsia" w:ascii="方正小标宋简体" w:hAnsi="方正小标宋简体" w:eastAsia="方正小标宋简体" w:cs="方正小标宋简体"/>
          <w:b w:val="0"/>
          <w:bCs w:val="0"/>
          <w:color w:val="auto"/>
          <w:sz w:val="24"/>
          <w:szCs w:val="24"/>
          <w:highlight w:val="none"/>
          <w:lang w:val="en-US" w:eastAsia="zh-CN"/>
        </w:rPr>
      </w:r>
      <w:r/>
    </w:p>
    <w:p>
      <w:pPr>
        <w:numPr>
          <w:ilvl w:val="0"/>
          <w:numId w:val="0"/>
        </w:numPr>
        <w:ind w:firstLine="240"/>
        <w:jc w:val="left"/>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24"/>
          <w:szCs w:val="24"/>
          <w:highlight w:val="none"/>
          <w:lang w:val="en-US" w:eastAsia="zh-CN"/>
        </w:rPr>
      </w:pPr>
      <w:r>
        <w:rPr>
          <w:rFonts w:hint="eastAsia" w:ascii="方正小标宋简体" w:hAnsi="方正小标宋简体" w:eastAsia="方正小标宋简体" w:cs="方正小标宋简体"/>
          <w:b w:val="0"/>
          <w:bCs w:val="0"/>
          <w:color w:val="auto"/>
          <w:sz w:val="24"/>
          <w:szCs w:val="24"/>
          <w:highlight w:val="none"/>
          <w:lang w:val="en-US" w:eastAsia="zh-CN"/>
        </w:rPr>
      </w:r>
      <w:r/>
    </w:p>
    <w:p>
      <w:pPr>
        <w:numPr>
          <w:ilvl w:val="0"/>
          <w:numId w:val="0"/>
        </w:numPr>
        <w:ind w:firstLine="240"/>
        <w:jc w:val="left"/>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24"/>
          <w:szCs w:val="24"/>
          <w:highlight w:val="none"/>
          <w:lang w:val="en-US" w:eastAsia="zh-CN"/>
        </w:rPr>
      </w:pPr>
      <w:r>
        <w:rPr>
          <w:rFonts w:hint="eastAsia" w:ascii="方正小标宋简体" w:hAnsi="方正小标宋简体" w:eastAsia="方正小标宋简体" w:cs="方正小标宋简体"/>
          <w:b w:val="0"/>
          <w:bCs w:val="0"/>
          <w:color w:val="auto"/>
          <w:sz w:val="24"/>
          <w:szCs w:val="24"/>
          <w:highlight w:val="none"/>
          <w:lang w:val="en-US" w:eastAsia="zh-CN"/>
        </w:rPr>
      </w:r>
      <w:r/>
    </w:p>
    <w:p>
      <w:pPr>
        <w:numPr>
          <w:ilvl w:val="0"/>
          <w:numId w:val="0"/>
        </w:numPr>
        <w:ind w:firstLine="240"/>
        <w:jc w:val="left"/>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24"/>
          <w:szCs w:val="24"/>
          <w:highlight w:val="none"/>
          <w:lang w:val="en-US" w:eastAsia="zh-CN"/>
        </w:rPr>
      </w:pPr>
      <w:r>
        <w:rPr>
          <w:rFonts w:hint="eastAsia" w:ascii="方正小标宋简体" w:hAnsi="方正小标宋简体" w:eastAsia="方正小标宋简体" w:cs="方正小标宋简体"/>
          <w:b w:val="0"/>
          <w:bCs w:val="0"/>
          <w:color w:val="auto"/>
          <w:sz w:val="24"/>
          <w:szCs w:val="24"/>
          <w:highlight w:val="none"/>
          <w:lang w:val="en-US" w:eastAsia="zh-CN"/>
        </w:rPr>
      </w:r>
      <w:r/>
    </w:p>
    <w:p>
      <w:pPr>
        <w:numPr>
          <w:ilvl w:val="0"/>
          <w:numId w:val="0"/>
        </w:numPr>
        <w:jc w:val="left"/>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24"/>
          <w:szCs w:val="24"/>
          <w:highlight w:val="none"/>
          <w:lang w:val="en-US" w:eastAsia="zh-CN"/>
        </w:rPr>
        <w:sectPr>
          <w:footnotePr/>
          <w:endnotePr/>
          <w:type w:val="nextPage"/>
          <w:pgSz w:w="11906" w:h="16838" w:orient="portrait"/>
          <w:pgMar w:top="1191" w:right="1191" w:bottom="1020" w:left="1196" w:header="851" w:footer="907" w:gutter="0"/>
          <w:cols w:num="1" w:sep="0" w:space="720" w:equalWidth="1"/>
          <w:docGrid w:linePitch="360"/>
        </w:sectPr>
      </w:pPr>
      <w:r>
        <w:rPr>
          <w:rFonts w:hint="eastAsia" w:ascii="方正小标宋简体" w:hAnsi="方正小标宋简体" w:eastAsia="方正小标宋简体" w:cs="方正小标宋简体"/>
          <w:b w:val="0"/>
          <w:bCs w:val="0"/>
          <w:color w:val="auto"/>
          <w:sz w:val="24"/>
          <w:szCs w:val="24"/>
          <w:highlight w:val="none"/>
          <w:lang w:val="en-US" w:eastAsia="zh-CN"/>
        </w:rPr>
      </w:r>
      <w:r/>
    </w:p>
    <w:p>
      <w:pPr>
        <w:numPr>
          <w:ilvl w:val="0"/>
          <w:numId w:val="0"/>
        </w:numPr>
        <w:jc w:val="left"/>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24"/>
          <w:szCs w:val="24"/>
          <w:highlight w:val="none"/>
          <w:lang w:val="en-US" w:eastAsia="zh-CN"/>
        </w:rPr>
      </w:pPr>
      <w:r>
        <w:rPr>
          <w:rFonts w:hint="eastAsia" w:ascii="方正小标宋简体" w:hAnsi="方正小标宋简体" w:eastAsia="方正小标宋简体" w:cs="方正小标宋简体"/>
          <w:b w:val="0"/>
          <w:bCs w:val="0"/>
          <w:color w:val="auto"/>
          <w:sz w:val="24"/>
          <w:szCs w:val="24"/>
          <w:highlight w:val="none"/>
          <w:lang w:val="en-US" w:eastAsia="zh-CN"/>
        </w:rPr>
      </w:r>
      <w:r/>
    </w:p>
    <w:p>
      <w:pPr>
        <w:numPr>
          <w:ilvl w:val="0"/>
          <w:numId w:val="0"/>
        </w:numPr>
        <w:jc w:val="left"/>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24"/>
          <w:szCs w:val="24"/>
          <w:highlight w:val="none"/>
          <w:lang w:val="en-US" w:eastAsia="zh-CN"/>
        </w:rPr>
      </w:pPr>
      <w:r>
        <w:rPr>
          <w:rFonts w:hint="eastAsia" w:ascii="方正小标宋简体" w:hAnsi="方正小标宋简体" w:eastAsia="方正小标宋简体" w:cs="方正小标宋简体"/>
          <w:b w:val="0"/>
          <w:bCs w:val="0"/>
          <w:color w:val="auto"/>
          <w:sz w:val="24"/>
          <w:szCs w:val="24"/>
          <w:highlight w:val="none"/>
          <w:lang w:val="en-US" w:eastAsia="zh-CN"/>
        </w:rPr>
        <w:t xml:space="preserve">附件2</w:t>
      </w:r>
      <w:r/>
    </w:p>
    <w:p>
      <w:pPr>
        <w:numPr>
          <w:ilvl w:val="0"/>
          <w:numId w:val="0"/>
        </w:numPr>
        <w:jc w:val="center"/>
        <w:keepLines w:val="0"/>
        <w:keepNext w:val="0"/>
        <w:pageBreakBefore w:val="0"/>
        <w:spacing w:after="157" w:line="360" w:lineRule="auto"/>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残疾人福利性单位声明函</w:t>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lang w:val="en-US" w:eastAsia="zh-CN"/>
        </w:rPr>
        <w:t xml:space="preserve">泰州市自然资源和规划局</w:t>
      </w:r>
      <w:r>
        <w:rPr>
          <w:rFonts w:ascii="宋体" w:hAnsi="宋体"/>
          <w:color w:val="auto"/>
          <w:sz w:val="24"/>
          <w:szCs w:val="24"/>
          <w:highlight w:val="none"/>
        </w:rPr>
        <w:t xml:space="preserve">组织的</w:t>
      </w:r>
      <w:r>
        <w:rPr>
          <w:rFonts w:hint="eastAsia" w:ascii="宋体" w:hAnsi="宋体"/>
          <w:color w:val="auto"/>
          <w:sz w:val="24"/>
          <w:szCs w:val="24"/>
          <w:highlight w:val="none"/>
          <w:lang w:val="en-US" w:eastAsia="zh-CN"/>
        </w:rPr>
        <w:t xml:space="preserve">项目</w:t>
      </w:r>
      <w:r>
        <w:rPr>
          <w:rFonts w:ascii="宋体" w:hAnsi="宋体"/>
          <w:color w:val="auto"/>
          <w:sz w:val="24"/>
          <w:szCs w:val="24"/>
          <w:highlight w:val="none"/>
        </w:rPr>
        <w:t xml:space="preserve">编号为                 ，</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的</w:t>
      </w:r>
      <w:r>
        <w:rPr>
          <w:rFonts w:hint="eastAsia" w:ascii="宋体" w:hAnsi="宋体"/>
          <w:bCs/>
          <w:color w:val="auto"/>
          <w:sz w:val="24"/>
          <w:szCs w:val="24"/>
          <w:highlight w:val="none"/>
        </w:rPr>
        <w:t xml:space="preserve">封闭式框架协议采购活动</w:t>
      </w:r>
      <w:r>
        <w:rPr>
          <w:rFonts w:ascii="宋体" w:hAnsi="宋体"/>
          <w:color w:val="auto"/>
          <w:sz w:val="24"/>
          <w:szCs w:val="24"/>
          <w:highlight w:val="none"/>
        </w:rPr>
        <w:t xml:space="preserve">，</w:t>
      </w:r>
      <w:r>
        <w:rPr>
          <w:rFonts w:ascii="宋体" w:hAnsi="宋体"/>
          <w:color w:val="auto"/>
          <w:sz w:val="24"/>
          <w:highlight w:val="none"/>
        </w:rPr>
        <w:t xml:space="preserve">活动提供本单位</w:t>
      </w:r>
      <w:r>
        <w:rPr>
          <w:rFonts w:hint="eastAsia" w:ascii="宋体" w:hAnsi="宋体"/>
          <w:color w:val="auto"/>
          <w:sz w:val="24"/>
          <w:highlight w:val="none"/>
          <w:lang w:val="en-US" w:eastAsia="zh-CN"/>
        </w:rPr>
        <w:t xml:space="preserve">提供</w:t>
      </w:r>
      <w:r>
        <w:rPr>
          <w:rFonts w:ascii="宋体" w:hAnsi="宋体"/>
          <w:color w:val="auto"/>
          <w:sz w:val="24"/>
          <w:highlight w:val="none"/>
        </w:rPr>
        <w:t xml:space="preserve">的服务，或者提供其他残疾人福利性单位服务的服务。</w:t>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t xml:space="preserve">本单位对上述声明的真实性负责。如有虚假，将依法承担相应责任。</w:t>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624"/>
        <w:pageBreakBefore w:val="0"/>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80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p>
    <w:p>
      <w:pPr>
        <w:ind w:right="960"/>
        <w:jc w:val="righ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right="1560" w:firstLine="480"/>
        <w:jc w:val="center"/>
        <w:pageBreakBefore w:val="0"/>
        <w:spacing w:line="360" w:lineRule="auto"/>
        <w:tabs>
          <w:tab w:val="left" w:pos="4860" w:leader="none"/>
        </w:tabs>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pStyle w:val="972"/>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ind w:left="0" w:firstLine="0"/>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ind w:left="0" w:firstLine="0"/>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ind w:left="0" w:firstLine="0"/>
        <w:pageBreakBefore w:val="0"/>
        <w:spacing w:line="360" w:lineRule="auto"/>
        <w:rPr>
          <w:rFonts w:ascii="黑体" w:hAnsi="宋体" w:eastAsia="黑体"/>
          <w:color w:val="auto"/>
          <w:sz w:val="24"/>
          <w:szCs w:val="24"/>
          <w:highlight w:val="none"/>
        </w:rPr>
      </w:pPr>
      <w:r>
        <w:rPr>
          <w:rFonts w:ascii="黑体" w:hAnsi="宋体" w:eastAsia="黑体"/>
          <w:bCs/>
          <w:color w:val="auto"/>
          <w:sz w:val="24"/>
          <w:szCs w:val="24"/>
          <w:highlight w:val="none"/>
        </w:rPr>
      </w:r>
      <w:r>
        <w:rPr>
          <w:rFonts w:ascii="黑体" w:hAnsi="宋体" w:eastAsia="黑体"/>
          <w:bCs/>
          <w:color w:val="auto"/>
          <w:sz w:val="24"/>
          <w:szCs w:val="24"/>
          <w:highlight w:val="none"/>
        </w:rPr>
      </w:r>
      <w:r/>
    </w:p>
    <w:p>
      <w:pPr>
        <w:pStyle w:val="972"/>
        <w:ind w:left="0" w:firstLine="0"/>
        <w:pageBreakBefore w:val="0"/>
        <w:spacing w:line="360" w:lineRule="auto"/>
        <w:rPr>
          <w:rFonts w:ascii="黑体" w:hAnsi="宋体" w:eastAsia="黑体"/>
          <w:color w:val="auto"/>
          <w:sz w:val="24"/>
          <w:szCs w:val="24"/>
          <w:highlight w:val="none"/>
        </w:rPr>
      </w:pPr>
      <w:r>
        <w:rPr>
          <w:rFonts w:ascii="黑体" w:hAnsi="宋体" w:eastAsia="黑体"/>
          <w:color w:val="auto"/>
          <w:sz w:val="24"/>
          <w:szCs w:val="24"/>
          <w:highlight w:val="none"/>
        </w:rPr>
      </w:r>
      <w:r>
        <w:rPr>
          <w:rFonts w:ascii="黑体" w:hAnsi="宋体" w:eastAsia="黑体"/>
          <w:color w:val="auto"/>
          <w:sz w:val="24"/>
          <w:szCs w:val="24"/>
          <w:highlight w:val="none"/>
        </w:rPr>
      </w:r>
      <w:r/>
    </w:p>
    <w:p>
      <w:pPr>
        <w:pStyle w:val="972"/>
        <w:ind w:left="0" w:firstLine="0"/>
        <w:pageBreakBefore w:val="0"/>
        <w:spacing w:line="360" w:lineRule="auto"/>
        <w:rPr>
          <w:rFonts w:ascii="黑体" w:hAnsi="宋体" w:eastAsia="黑体"/>
          <w:color w:val="auto"/>
          <w:sz w:val="24"/>
          <w:szCs w:val="24"/>
          <w:highlight w:val="none"/>
        </w:rPr>
      </w:pPr>
      <w:r>
        <w:rPr>
          <w:rFonts w:ascii="黑体" w:hAnsi="宋体" w:eastAsia="黑体"/>
          <w:color w:val="auto"/>
          <w:sz w:val="24"/>
          <w:szCs w:val="24"/>
          <w:highlight w:val="none"/>
        </w:rPr>
      </w:r>
      <w:r>
        <w:rPr>
          <w:rFonts w:ascii="黑体" w:hAnsi="宋体" w:eastAsia="黑体"/>
          <w:color w:val="auto"/>
          <w:sz w:val="24"/>
          <w:szCs w:val="24"/>
          <w:highlight w:val="none"/>
        </w:rPr>
      </w:r>
      <w:r/>
    </w:p>
    <w:p>
      <w:pPr>
        <w:pStyle w:val="972"/>
        <w:ind w:left="0" w:firstLine="0"/>
        <w:pageBreakBefore w:val="0"/>
        <w:spacing w:line="360" w:lineRule="auto"/>
        <w:rPr>
          <w:rFonts w:ascii="黑体" w:hAnsi="宋体" w:eastAsia="黑体"/>
          <w:color w:val="auto"/>
          <w:sz w:val="24"/>
          <w:szCs w:val="24"/>
          <w:highlight w:val="none"/>
        </w:rPr>
      </w:pPr>
      <w:r>
        <w:rPr>
          <w:rFonts w:ascii="黑体" w:hAnsi="宋体" w:eastAsia="黑体"/>
          <w:bCs/>
          <w:color w:val="auto"/>
          <w:sz w:val="24"/>
          <w:szCs w:val="24"/>
          <w:highlight w:val="none"/>
        </w:rPr>
      </w:r>
      <w:r/>
    </w:p>
    <w:p>
      <w:pPr>
        <w:pStyle w:val="972"/>
        <w:ind w:left="0" w:firstLine="0"/>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72"/>
        <w:ind w:left="0" w:firstLine="0"/>
        <w:pageBreakBefore w:val="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center"/>
        <w:pageBreakBefore w:val="0"/>
        <w:spacing w:before="50" w:after="50"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四、征集文件需求偏离表</w:t>
      </w:r>
      <w:r/>
    </w:p>
    <w:p>
      <w:pPr>
        <w:jc w:val="both"/>
        <w:pageBreakBefore w:val="0"/>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供应商名称（加盖CA电子公章）                         </w:t>
      </w:r>
      <w:r/>
    </w:p>
    <w:p>
      <w:pPr>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 w:val="0"/>
          <w:bCs w:val="0"/>
          <w:color w:val="auto"/>
          <w:sz w:val="24"/>
          <w:szCs w:val="16"/>
          <w:highlight w:val="none"/>
          <w:lang w:val="en-US" w:eastAsia="zh-CN"/>
        </w:rPr>
        <w:t xml:space="preserve"> </w:t>
      </w:r>
      <w:r/>
    </w:p>
    <w:tbl>
      <w:tblPr>
        <w:tblStyle w:val="963"/>
        <w:tblW w:w="9709" w:type="dxa"/>
        <w:tblInd w:w="-375" w:type="dxa"/>
        <w:tblLayout w:type="fixed"/>
        <w:tblCellMar>
          <w:left w:w="0" w:type="dxa"/>
          <w:top w:w="0" w:type="dxa"/>
          <w:right w:w="0" w:type="dxa"/>
          <w:bottom w:w="0" w:type="dxa"/>
        </w:tblCellMar>
        <w:tblLook w:val="04A0" w:firstRow="1" w:lastRow="0" w:firstColumn="1" w:lastColumn="0" w:noHBand="0" w:noVBand="1"/>
      </w:tblPr>
      <w:tblGrid>
        <w:gridCol w:w="1840"/>
        <w:gridCol w:w="3275"/>
        <w:gridCol w:w="2521"/>
        <w:gridCol w:w="2073"/>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40" w:type="dxa"/>
            <w:vAlign w:val="center"/>
            <w:textDirection w:val="lrTb"/>
            <w:noWrap/>
          </w:tcPr>
          <w:p>
            <w:pPr>
              <w:jc w:val="center"/>
              <w:pageBreakBefore w:val="0"/>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75" w:type="dxa"/>
            <w:vAlign w:val="center"/>
            <w:textDirection w:val="lrTb"/>
            <w:noWrap w:val="false"/>
          </w:tcPr>
          <w:p>
            <w:pPr>
              <w:jc w:val="center"/>
              <w:pageBreakBefore w:val="0"/>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pageBreakBefore w:val="0"/>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pageBreakBefore w:val="0"/>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偏离情况</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40" w:type="dxa"/>
            <w:vAlign w:val="center"/>
            <w:textDirection w:val="lrTb"/>
            <w:noWrap/>
          </w:tcPr>
          <w:p>
            <w:pPr>
              <w:jc w:val="center"/>
              <w:pageBreakBefore w:val="0"/>
              <w:spacing w:line="360" w:lineRule="auto"/>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3275" w:type="dxa"/>
            <w:vAlign w:val="center"/>
            <w:textDirection w:val="lrTb"/>
            <w:noWrap w:val="false"/>
          </w:tcPr>
          <w:p>
            <w:pPr>
              <w:jc w:val="center"/>
              <w:pageBreakBefore w:val="0"/>
              <w:spacing w:line="360" w:lineRule="auto"/>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pageBreakBefore w:val="0"/>
              <w:spacing w:line="360" w:lineRule="auto"/>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pageBreakBefore w:val="0"/>
              <w:spacing w:line="360" w:lineRule="auto"/>
              <w:rPr>
                <w:rFonts w:ascii="宋体"/>
                <w:bCs/>
                <w:color w:val="auto"/>
                <w:highlight w:val="none"/>
              </w:rPr>
            </w:pPr>
            <w:r>
              <w:rPr>
                <w:rFonts w:ascii="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40" w:type="dxa"/>
            <w:vAlign w:val="center"/>
            <w:textDirection w:val="lrTb"/>
            <w:noWrap/>
          </w:tcPr>
          <w:p>
            <w:pPr>
              <w:jc w:val="center"/>
              <w:pageBreakBefore w:val="0"/>
              <w:spacing w:line="360" w:lineRule="auto"/>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3275" w:type="dxa"/>
            <w:vAlign w:val="center"/>
            <w:textDirection w:val="lrTb"/>
            <w:noWrap w:val="false"/>
          </w:tcPr>
          <w:p>
            <w:pPr>
              <w:jc w:val="center"/>
              <w:pageBreakBefore w:val="0"/>
              <w:spacing w:line="360" w:lineRule="auto"/>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pageBreakBefore w:val="0"/>
              <w:spacing w:line="360" w:lineRule="auto"/>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pageBreakBefore w:val="0"/>
              <w:spacing w:line="360" w:lineRule="auto"/>
              <w:rPr>
                <w:rFonts w:ascii="宋体"/>
                <w:bCs/>
                <w:color w:val="auto"/>
                <w:highlight w:val="none"/>
              </w:rPr>
            </w:pPr>
            <w:r>
              <w:rPr>
                <w:rFonts w:ascii="宋体"/>
                <w:bCs/>
                <w:color w:val="auto"/>
                <w:highlight w:val="none"/>
              </w:rPr>
            </w:r>
            <w:r/>
          </w:p>
        </w:tc>
      </w:tr>
    </w:tbl>
    <w:p>
      <w:pPr>
        <w:pageBreakBefore w:val="0"/>
        <w:spacing w:line="360" w:lineRule="auto"/>
        <w:rPr>
          <w:rFonts w:ascii="宋体"/>
          <w:b/>
          <w:color w:val="auto"/>
          <w:sz w:val="24"/>
          <w:szCs w:val="24"/>
          <w:highlight w:val="none"/>
        </w:rPr>
      </w:pPr>
      <w:r>
        <w:rPr>
          <w:rFonts w:ascii="宋体"/>
          <w:b/>
          <w:color w:val="auto"/>
          <w:sz w:val="24"/>
          <w:szCs w:val="24"/>
          <w:highlight w:val="none"/>
        </w:rPr>
      </w:r>
      <w:r/>
    </w:p>
    <w:p>
      <w:pPr>
        <w:pageBreakBefore w:val="0"/>
        <w:spacing w:before="5" w:line="360" w:lineRule="auto"/>
        <w:rPr>
          <w:b/>
          <w:bCs/>
          <w:color w:val="auto"/>
          <w:sz w:val="24"/>
          <w:szCs w:val="24"/>
          <w:highlight w:val="none"/>
        </w:rPr>
      </w:pPr>
      <w:r>
        <w:rPr>
          <w:rFonts w:hint="eastAsia"/>
          <w:b/>
          <w:bCs/>
          <w:color w:val="auto"/>
          <w:sz w:val="24"/>
          <w:szCs w:val="24"/>
          <w:highlight w:val="none"/>
        </w:rPr>
        <w:t xml:space="preserve">法定代表人或授权代表签字或盖章：</w:t>
      </w:r>
      <w:r/>
    </w:p>
    <w:p>
      <w:pPr>
        <w:pageBreakBefore w:val="0"/>
        <w:spacing w:line="360" w:lineRule="auto"/>
        <w:rPr>
          <w:rFonts w:ascii="宋体"/>
          <w:bCs/>
          <w:color w:val="auto"/>
          <w:sz w:val="30"/>
          <w:highlight w:val="none"/>
        </w:rPr>
      </w:pPr>
      <w:r>
        <w:rPr>
          <w:rFonts w:ascii="宋体"/>
          <w:bCs/>
          <w:color w:val="auto"/>
          <w:sz w:val="30"/>
          <w:highlight w:val="none"/>
        </w:rPr>
      </w:r>
      <w:r/>
    </w:p>
    <w:p>
      <w:pPr>
        <w:ind w:firstLine="420"/>
        <w:pageBreakBefore w:val="0"/>
        <w:spacing w:line="360" w:lineRule="auto"/>
        <w:rPr>
          <w:rFonts w:ascii="宋体" w:hAnsi="宋体"/>
          <w:bCs/>
          <w:color w:val="auto"/>
          <w:sz w:val="24"/>
          <w:szCs w:val="24"/>
          <w:highlight w:val="none"/>
        </w:rPr>
        <w:outlineLvl w:val="9"/>
      </w:pPr>
      <w:r>
        <w:rPr>
          <w:rFonts w:hint="eastAsia" w:ascii="宋体" w:hAnsi="宋体" w:eastAsia="宋体" w:cs="Times New Roman"/>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pageBreakBefore w:val="0"/>
        <w:spacing w:line="360" w:lineRule="auto"/>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）对本征集文件中所有要求如无任何偏离情况，请于本表“响应情况”中注明“响应”，于“偏离情况”中注明“无偏离”。</w:t>
      </w:r>
      <w:r/>
    </w:p>
    <w:p>
      <w:pPr>
        <w:ind w:firstLine="420"/>
        <w:pageBreakBefore w:val="0"/>
        <w:spacing w:line="360" w:lineRule="auto"/>
        <w:rPr>
          <w:rFonts w:ascii="宋体"/>
          <w:bCs/>
          <w:color w:val="auto"/>
          <w:sz w:val="24"/>
          <w:szCs w:val="24"/>
          <w:highlight w:val="none"/>
        </w:rPr>
        <w:outlineLvl w:val="9"/>
      </w:pPr>
      <w:r>
        <w:rPr>
          <w:rFonts w:hint="eastAsia" w:ascii="宋体" w:hAnsi="宋体"/>
          <w:bCs/>
          <w:color w:val="auto"/>
          <w:sz w:val="24"/>
          <w:szCs w:val="24"/>
          <w:highlight w:val="none"/>
        </w:rPr>
        <w:t xml:space="preserve">   （3）如有偏离项，请于本表“响应情况”中写明实报内容，于“偏离情况”中注明实际偏离情况（比如“正偏离”），本项目采购要求均不接受负偏离。其余无偏离内容不须赘述。</w:t>
      </w:r>
      <w:r/>
    </w:p>
    <w:p>
      <w:pPr>
        <w:ind w:firstLine="420"/>
        <w:pageBreakBefore w:val="0"/>
        <w:spacing w:line="360" w:lineRule="auto"/>
        <w:rPr>
          <w:rFonts w:ascii="宋体"/>
          <w:bCs/>
          <w:color w:val="auto"/>
          <w:sz w:val="24"/>
          <w:szCs w:val="24"/>
          <w:highlight w:val="none"/>
        </w:rPr>
        <w:outlineLvl w:val="9"/>
      </w:pPr>
      <w:r>
        <w:rPr>
          <w:rFonts w:hint="eastAsia" w:ascii="宋体" w:hAnsi="宋体"/>
          <w:bCs/>
          <w:color w:val="auto"/>
          <w:sz w:val="24"/>
          <w:szCs w:val="24"/>
          <w:highlight w:val="none"/>
        </w:rPr>
        <w:t xml:space="preserve">   （4）表格不够可自行延长。</w:t>
      </w:r>
      <w:r/>
    </w:p>
    <w:p>
      <w:pPr>
        <w:ind w:firstLine="480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color w:val="auto"/>
          <w:highlight w:val="none"/>
        </w:rPr>
        <w:br w:type="page" w:clear="all"/>
      </w:r>
      <w:r/>
    </w:p>
    <w:p>
      <w:pPr>
        <w:jc w:val="center"/>
        <w:pageBreakBefore w:val="0"/>
        <w:spacing w:before="50" w:after="50"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五、供应商情况表</w:t>
      </w:r>
      <w:r/>
    </w:p>
    <w:p>
      <w:pP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供应商名称（加盖CA电子公章）                         </w:t>
      </w:r>
      <w:r/>
    </w:p>
    <w:p>
      <w:pPr>
        <w:pageBreakBefore w:val="0"/>
        <w:spacing w:line="360" w:lineRule="auto"/>
        <w:rPr>
          <w:rFonts w:hint="eastAsia" w:ascii="黑体" w:hAnsi="宋体" w:eastAsia="宋体"/>
          <w:b w:val="0"/>
          <w:bCs w:val="0"/>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 w:val="0"/>
          <w:bCs w:val="0"/>
          <w:color w:val="auto"/>
          <w:sz w:val="24"/>
          <w:szCs w:val="16"/>
          <w:highlight w:val="none"/>
          <w:lang w:val="en-US" w:eastAsia="zh-CN"/>
        </w:rPr>
        <w:t xml:space="preserve"> </w:t>
      </w:r>
      <w:r/>
    </w:p>
    <w:tbl>
      <w:tblPr>
        <w:tblStyle w:val="9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3432"/>
        <w:gridCol w:w="1549"/>
        <w:gridCol w:w="2326"/>
      </w:tblGrid>
      <w:tr>
        <w:trPr>
          <w:jc w:val="center"/>
          <w:trHeight w:val="473"/>
        </w:trPr>
        <w:tc>
          <w:tcPr>
            <w:tcW w:w="2412"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供应商名称（全称）</w:t>
            </w:r>
            <w:r/>
          </w:p>
        </w:tc>
        <w:tc>
          <w:tcPr>
            <w:gridSpan w:val="3"/>
            <w:tcW w:w="7307" w:type="dxa"/>
            <w:textDirection w:val="lrTb"/>
            <w:noWrap w:val="false"/>
          </w:tcPr>
          <w:p>
            <w:pPr>
              <w:jc w:val="both"/>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473"/>
        </w:trPr>
        <w:tc>
          <w:tcPr>
            <w:tcW w:w="2412"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企业地址</w:t>
            </w:r>
            <w:r/>
          </w:p>
        </w:tc>
        <w:tc>
          <w:tcPr>
            <w:gridSpan w:val="3"/>
            <w:tcW w:w="7307" w:type="dxa"/>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473"/>
        </w:trPr>
        <w:tc>
          <w:tcPr>
            <w:tcW w:w="2412"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统一社会信用代码</w:t>
            </w:r>
            <w:r/>
          </w:p>
        </w:tc>
        <w:tc>
          <w:tcPr>
            <w:gridSpan w:val="3"/>
            <w:tcW w:w="7307" w:type="dxa"/>
            <w:textDirection w:val="lrTb"/>
            <w:noWrap w:val="false"/>
          </w:tcPr>
          <w:p>
            <w:pPr>
              <w:jc w:val="both"/>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473"/>
        </w:trPr>
        <w:tc>
          <w:tcPr>
            <w:tcW w:w="2412"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开户银行</w:t>
            </w:r>
            <w:r/>
          </w:p>
        </w:tc>
        <w:tc>
          <w:tcPr>
            <w:gridSpan w:val="3"/>
            <w:tcW w:w="7307" w:type="dxa"/>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开户行、开户名称、银行账号</w:t>
            </w:r>
            <w:r>
              <w:rPr>
                <w:rFonts w:ascii="宋体" w:hAnsi="宋体"/>
                <w:bCs/>
                <w:color w:val="auto"/>
                <w:sz w:val="24"/>
                <w:szCs w:val="24"/>
                <w:highlight w:val="none"/>
              </w:rPr>
              <w:t xml:space="preserve">）</w:t>
            </w:r>
            <w:r/>
          </w:p>
        </w:tc>
      </w:tr>
      <w:tr>
        <w:trPr>
          <w:jc w:val="center"/>
          <w:trHeight w:val="473"/>
        </w:trPr>
        <w:tc>
          <w:tcPr>
            <w:tcW w:w="2412"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法定代表人</w:t>
            </w:r>
            <w:r/>
          </w:p>
        </w:tc>
        <w:tc>
          <w:tcPr>
            <w:tcW w:w="3432"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tc>
        <w:tc>
          <w:tcPr>
            <w:tcW w:w="1549"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联系电话</w:t>
            </w:r>
            <w:r/>
          </w:p>
        </w:tc>
        <w:tc>
          <w:tcPr>
            <w:tcW w:w="2326" w:type="dxa"/>
            <w:textDirection w:val="lrTb"/>
            <w:noWrap w:val="false"/>
          </w:tcPr>
          <w:p>
            <w:pPr>
              <w:jc w:val="both"/>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925"/>
        </w:trPr>
        <w:tc>
          <w:tcPr>
            <w:tcW w:w="2412" w:type="dxa"/>
            <w:vAlign w:val="center"/>
            <w:textDirection w:val="lrTb"/>
            <w:noWrap w:val="false"/>
          </w:tcPr>
          <w:p>
            <w:pPr>
              <w:jc w:val="center"/>
              <w:pageBreakBefore w:val="0"/>
              <w:spacing w:line="360" w:lineRule="auto"/>
              <w:widowControl w:val="off"/>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项目负责人</w:t>
            </w:r>
            <w:r/>
          </w:p>
        </w:tc>
        <w:tc>
          <w:tcPr>
            <w:tcW w:w="3432"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tc>
        <w:tc>
          <w:tcPr>
            <w:tcW w:w="1549"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联系电话</w:t>
            </w:r>
            <w:r/>
          </w:p>
        </w:tc>
        <w:tc>
          <w:tcPr>
            <w:tcW w:w="2326" w:type="dxa"/>
            <w:textDirection w:val="lrTb"/>
            <w:noWrap w:val="false"/>
          </w:tcPr>
          <w:p>
            <w:pPr>
              <w:jc w:val="both"/>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2304"/>
        </w:trPr>
        <w:tc>
          <w:tcPr>
            <w:tcW w:w="2412" w:type="dxa"/>
            <w:vAlign w:val="center"/>
            <w:textDirection w:val="lrTb"/>
            <w:noWrap w:val="false"/>
          </w:tcPr>
          <w:p>
            <w:pPr>
              <w:jc w:val="center"/>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其他需要说明的情况：</w:t>
            </w:r>
            <w:r/>
          </w:p>
        </w:tc>
        <w:tc>
          <w:tcPr>
            <w:gridSpan w:val="3"/>
            <w:tcW w:w="7307" w:type="dxa"/>
            <w:textDirection w:val="lrTb"/>
            <w:noWrap w:val="false"/>
          </w:tcPr>
          <w:p>
            <w:pPr>
              <w:jc w:val="both"/>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jc w:val="both"/>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jc w:val="both"/>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jc w:val="both"/>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jc w:val="both"/>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tc>
      </w:tr>
    </w:tbl>
    <w:p>
      <w:pPr>
        <w:pageBreakBefore w:val="0"/>
        <w:spacing w:line="360" w:lineRule="auto"/>
        <w:rPr>
          <w:rFonts w:ascii="宋体"/>
          <w:b/>
          <w:color w:val="auto"/>
          <w:sz w:val="24"/>
          <w:szCs w:val="24"/>
          <w:highlight w:val="none"/>
        </w:rPr>
      </w:pPr>
      <w:r>
        <w:rPr>
          <w:rFonts w:ascii="宋体"/>
          <w:b/>
          <w:color w:val="auto"/>
          <w:sz w:val="24"/>
          <w:szCs w:val="24"/>
          <w:highlight w:val="none"/>
        </w:rPr>
      </w:r>
      <w:r/>
    </w:p>
    <w:p>
      <w:pPr>
        <w:pageBreakBefore w:val="0"/>
        <w:spacing w:before="5" w:line="360" w:lineRule="auto"/>
        <w:rPr>
          <w:b/>
          <w:bCs/>
          <w:color w:val="auto"/>
          <w:sz w:val="24"/>
          <w:szCs w:val="24"/>
          <w:highlight w:val="none"/>
        </w:rPr>
      </w:pPr>
      <w:r>
        <w:rPr>
          <w:rFonts w:hint="eastAsia"/>
          <w:b/>
          <w:bCs/>
          <w:color w:val="auto"/>
          <w:sz w:val="24"/>
          <w:szCs w:val="24"/>
          <w:highlight w:val="none"/>
        </w:rPr>
        <w:t xml:space="preserve">法定代表人或授权代表签字或盖章：</w:t>
      </w:r>
      <w:r/>
    </w:p>
    <w:p>
      <w:pPr>
        <w:pageBreakBefore w:val="0"/>
        <w:spacing w:before="5"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360" w:lineRule="auto"/>
        <w:rPr>
          <w:rFonts w:ascii="黑体" w:hAnsi="宋体" w:eastAsia="黑体"/>
          <w:bCs/>
          <w:color w:val="auto"/>
          <w:sz w:val="24"/>
          <w:szCs w:val="24"/>
          <w:highlight w:val="none"/>
        </w:rPr>
      </w:pPr>
      <w:r>
        <w:rPr>
          <w:color w:val="auto"/>
          <w:highlight w:val="none"/>
        </w:rPr>
        <w:br w:type="page" w:clear="all"/>
      </w:r>
      <w:r/>
    </w:p>
    <w:p>
      <w:pPr>
        <w:jc w:val="center"/>
        <w:pageBreakBefore w:val="0"/>
        <w:spacing w:before="50" w:after="50"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六、项目人员配置表</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供应商名称（加盖CA电子公章）                                                  </w:t>
      </w:r>
      <w:r/>
    </w:p>
    <w:p>
      <w:pPr>
        <w:ind w:firstLine="480"/>
        <w:pageBreakBefore w:val="0"/>
        <w:spacing w:line="360" w:lineRule="auto"/>
        <w:rPr>
          <w:rFonts w:hint="eastAsia" w:ascii="黑体" w:eastAsia="宋体"/>
          <w:b w:val="0"/>
          <w:bCs w:val="0"/>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 w:val="0"/>
          <w:bCs w:val="0"/>
          <w:color w:val="auto"/>
          <w:sz w:val="24"/>
          <w:szCs w:val="16"/>
          <w:highlight w:val="none"/>
          <w:lang w:val="en-US" w:eastAsia="zh-CN"/>
        </w:rPr>
        <w:t xml:space="preserve"> </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2327"/>
        <w:gridCol w:w="1233"/>
        <w:gridCol w:w="2312"/>
        <w:gridCol w:w="1837"/>
      </w:tblGrid>
      <w:tr>
        <w:trPr>
          <w:jc w:val="center"/>
          <w:trHeight w:val="940"/>
        </w:trPr>
        <w:tc>
          <w:tcPr>
            <w:tcW w:w="1209" w:type="dxa"/>
            <w:vAlign w:val="center"/>
            <w:textDirection w:val="lrTb"/>
            <w:noWrap w:val="false"/>
          </w:tcPr>
          <w:p>
            <w:pPr>
              <w:jc w:val="center"/>
              <w:pageBreakBefore w:val="0"/>
              <w:spacing w:line="360" w:lineRule="auto"/>
              <w:rPr>
                <w:b/>
                <w:color w:val="auto"/>
                <w:sz w:val="24"/>
                <w:highlight w:val="none"/>
              </w:rPr>
            </w:pPr>
            <w:r>
              <w:rPr>
                <w:rFonts w:hint="eastAsia"/>
                <w:b/>
                <w:color w:val="auto"/>
                <w:sz w:val="24"/>
                <w:highlight w:val="none"/>
              </w:rPr>
              <w:t xml:space="preserve">序号</w:t>
            </w:r>
            <w:r/>
          </w:p>
        </w:tc>
        <w:tc>
          <w:tcPr>
            <w:tcW w:w="2327" w:type="dxa"/>
            <w:vAlign w:val="center"/>
            <w:textDirection w:val="lrTb"/>
            <w:noWrap w:val="false"/>
          </w:tcPr>
          <w:p>
            <w:pPr>
              <w:jc w:val="center"/>
              <w:pageBreakBefore w:val="0"/>
              <w:spacing w:line="360" w:lineRule="auto"/>
              <w:rPr>
                <w:b/>
                <w:color w:val="auto"/>
                <w:sz w:val="24"/>
                <w:highlight w:val="none"/>
              </w:rPr>
            </w:pPr>
            <w:r>
              <w:rPr>
                <w:rFonts w:hint="eastAsia"/>
                <w:b/>
                <w:color w:val="auto"/>
                <w:sz w:val="24"/>
                <w:highlight w:val="none"/>
              </w:rPr>
              <w:t xml:space="preserve">姓名</w:t>
            </w:r>
            <w:r/>
          </w:p>
        </w:tc>
        <w:tc>
          <w:tcPr>
            <w:tcW w:w="1233" w:type="dxa"/>
            <w:vAlign w:val="center"/>
            <w:textDirection w:val="lrTb"/>
            <w:noWrap w:val="false"/>
          </w:tcPr>
          <w:p>
            <w:pPr>
              <w:jc w:val="center"/>
              <w:pageBreakBefore w:val="0"/>
              <w:spacing w:line="360" w:lineRule="auto"/>
              <w:rPr>
                <w:rFonts w:hint="default" w:eastAsia="宋体"/>
                <w:b/>
                <w:color w:val="auto"/>
                <w:sz w:val="24"/>
                <w:highlight w:val="none"/>
                <w:lang w:val="en-US" w:eastAsia="zh-CN"/>
              </w:rPr>
            </w:pPr>
            <w:r>
              <w:rPr>
                <w:rFonts w:hint="eastAsia"/>
                <w:b/>
                <w:color w:val="auto"/>
                <w:sz w:val="24"/>
                <w:highlight w:val="none"/>
                <w:lang w:val="en-US" w:eastAsia="zh-CN"/>
              </w:rPr>
              <w:t xml:space="preserve">年龄</w:t>
            </w:r>
            <w:r/>
          </w:p>
        </w:tc>
        <w:tc>
          <w:tcPr>
            <w:tcW w:w="2312" w:type="dxa"/>
            <w:vAlign w:val="center"/>
            <w:textDirection w:val="lrTb"/>
            <w:noWrap w:val="false"/>
          </w:tcPr>
          <w:p>
            <w:pPr>
              <w:jc w:val="center"/>
              <w:pageBreakBefore w:val="0"/>
              <w:spacing w:line="360" w:lineRule="auto"/>
              <w:rPr>
                <w:rFonts w:hint="default" w:eastAsia="宋体"/>
                <w:b/>
                <w:color w:val="auto"/>
                <w:sz w:val="24"/>
                <w:highlight w:val="none"/>
                <w:lang w:val="en-US" w:eastAsia="zh-CN"/>
              </w:rPr>
            </w:pPr>
            <w:r>
              <w:rPr>
                <w:rFonts w:hint="eastAsia"/>
                <w:b/>
                <w:color w:val="auto"/>
                <w:sz w:val="24"/>
                <w:highlight w:val="none"/>
                <w:lang w:val="en-US" w:eastAsia="zh-CN"/>
              </w:rPr>
              <w:t xml:space="preserve">执业资格</w:t>
            </w:r>
            <w:r/>
          </w:p>
        </w:tc>
        <w:tc>
          <w:tcPr>
            <w:tcW w:w="1837" w:type="dxa"/>
            <w:vAlign w:val="center"/>
            <w:textDirection w:val="lrTb"/>
            <w:noWrap w:val="false"/>
          </w:tcPr>
          <w:p>
            <w:pPr>
              <w:jc w:val="center"/>
              <w:pageBreakBefore w:val="0"/>
              <w:spacing w:line="360" w:lineRule="auto"/>
              <w:rPr>
                <w:rFonts w:hint="eastAsia" w:eastAsia="宋体"/>
                <w:b/>
                <w:color w:val="auto"/>
                <w:sz w:val="24"/>
                <w:highlight w:val="none"/>
                <w:lang w:val="en-US" w:eastAsia="zh-CN"/>
              </w:rPr>
            </w:pPr>
            <w:r>
              <w:rPr>
                <w:rFonts w:hint="eastAsia"/>
                <w:b/>
                <w:color w:val="auto"/>
                <w:sz w:val="24"/>
                <w:highlight w:val="none"/>
                <w:lang w:val="en-US" w:eastAsia="zh-CN"/>
              </w:rPr>
              <w:t xml:space="preserve">备注</w:t>
            </w:r>
            <w:r/>
          </w:p>
        </w:tc>
      </w:tr>
      <w:tr>
        <w:trPr>
          <w:jc w:val="center"/>
          <w:trHeight w:val="744"/>
        </w:trPr>
        <w:tc>
          <w:tcPr>
            <w:tcW w:w="1209"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327"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33"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312" w:type="dxa"/>
            <w:vAlign w:val="center"/>
            <w:textDirection w:val="lrTb"/>
            <w:noWrap w:val="false"/>
          </w:tcPr>
          <w:p>
            <w:pPr>
              <w:jc w:val="center"/>
              <w:pageBreakBefore w:val="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tc>
        <w:tc>
          <w:tcPr>
            <w:tcW w:w="1837" w:type="dxa"/>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744"/>
        </w:trPr>
        <w:tc>
          <w:tcPr>
            <w:tcW w:w="1209"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327"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33"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312" w:type="dxa"/>
            <w:vAlign w:val="center"/>
            <w:textDirection w:val="lrTb"/>
            <w:noWrap w:val="false"/>
          </w:tcPr>
          <w:p>
            <w:pPr>
              <w:jc w:val="center"/>
              <w:pageBreakBefore w:val="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tc>
        <w:tc>
          <w:tcPr>
            <w:tcW w:w="1837" w:type="dxa"/>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744"/>
        </w:trPr>
        <w:tc>
          <w:tcPr>
            <w:tcW w:w="1209"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327"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33"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312" w:type="dxa"/>
            <w:vAlign w:val="center"/>
            <w:textDirection w:val="lrTb"/>
            <w:noWrap w:val="false"/>
          </w:tcPr>
          <w:p>
            <w:pPr>
              <w:jc w:val="center"/>
              <w:pageBreakBefore w:val="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tc>
        <w:tc>
          <w:tcPr>
            <w:tcW w:w="1837" w:type="dxa"/>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765"/>
        </w:trPr>
        <w:tc>
          <w:tcPr>
            <w:tcW w:w="1209"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327"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33"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312" w:type="dxa"/>
            <w:vAlign w:val="center"/>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7" w:type="dxa"/>
            <w:textDirection w:val="lrTb"/>
            <w:noWrap w:val="false"/>
          </w:tcPr>
          <w:p>
            <w:pPr>
              <w:jc w:val="center"/>
              <w:pageBreakBefore w:val="0"/>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241"/>
        <w:pageBreakBefore w:val="0"/>
        <w:spacing w:before="5" w:line="360" w:lineRule="auto"/>
        <w:rPr>
          <w:rFonts w:hint="eastAsia"/>
          <w:b/>
          <w:bCs/>
          <w:color w:val="auto"/>
          <w:sz w:val="24"/>
          <w:szCs w:val="24"/>
          <w:highlight w:val="none"/>
        </w:rPr>
      </w:pPr>
      <w:r>
        <w:rPr>
          <w:rFonts w:hint="eastAsia"/>
          <w:b/>
          <w:bCs/>
          <w:color w:val="auto"/>
          <w:sz w:val="24"/>
          <w:szCs w:val="24"/>
          <w:highlight w:val="none"/>
        </w:rPr>
        <w:t xml:space="preserve">法定代表人或授权代表签字或盖章：</w:t>
      </w:r>
      <w:r/>
    </w:p>
    <w:p>
      <w:pPr>
        <w:ind w:firstLine="480"/>
        <w:pageBreakBefore w:val="0"/>
        <w:spacing w:before="5"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注：表格不够可自行延长</w:t>
      </w:r>
      <w:r>
        <w:rPr>
          <w:rFonts w:hint="eastAsia" w:ascii="宋体" w:hAnsi="宋体"/>
          <w:bCs/>
          <w:color w:val="auto"/>
          <w:sz w:val="24"/>
          <w:szCs w:val="24"/>
          <w:highlight w:val="none"/>
          <w:lang w:eastAsia="zh-CN"/>
        </w:rPr>
        <w:t xml:space="preserve">。</w:t>
      </w:r>
      <w:r/>
    </w:p>
    <w:p>
      <w:pPr>
        <w:pageBreakBefore w:val="0"/>
        <w:spacing w:line="360" w:lineRule="auto"/>
        <w:rPr>
          <w:rFonts w:ascii="宋体"/>
          <w:bCs/>
          <w:color w:val="auto"/>
          <w:sz w:val="24"/>
          <w:szCs w:val="24"/>
          <w:highlight w:val="none"/>
        </w:rPr>
      </w:pPr>
      <w:r>
        <w:rPr>
          <w:rFonts w:ascii="宋体"/>
          <w:bCs/>
          <w:color w:val="auto"/>
          <w:sz w:val="24"/>
          <w:szCs w:val="24"/>
          <w:highlight w:val="none"/>
        </w:rPr>
      </w:r>
      <w:r/>
    </w:p>
    <w:p>
      <w:pPr>
        <w:pageBreakBefore w:val="0"/>
        <w:spacing w:line="360" w:lineRule="auto"/>
        <w:rPr>
          <w:rFonts w:ascii="宋体"/>
          <w:bCs/>
          <w:color w:val="auto"/>
          <w:sz w:val="24"/>
          <w:szCs w:val="24"/>
          <w:highlight w:val="none"/>
        </w:rPr>
      </w:pPr>
      <w:r>
        <w:rPr>
          <w:rFonts w:ascii="宋体"/>
          <w:bCs/>
          <w:color w:val="auto"/>
          <w:sz w:val="24"/>
          <w:szCs w:val="24"/>
          <w:highlight w:val="none"/>
        </w:rPr>
      </w:r>
      <w:r/>
    </w:p>
    <w:p>
      <w:pPr>
        <w:pageBreakBefore w:val="0"/>
        <w:spacing w:line="360" w:lineRule="auto"/>
        <w:rPr>
          <w:rFonts w:ascii="宋体"/>
          <w:bCs/>
          <w:color w:val="auto"/>
          <w:sz w:val="24"/>
          <w:szCs w:val="24"/>
          <w:highlight w:val="none"/>
        </w:rPr>
      </w:pPr>
      <w:r>
        <w:rPr>
          <w:rFonts w:ascii="宋体"/>
          <w:bCs/>
          <w:color w:val="auto"/>
          <w:sz w:val="24"/>
          <w:szCs w:val="24"/>
          <w:highlight w:val="none"/>
        </w:rPr>
      </w:r>
      <w:r/>
    </w:p>
    <w:p>
      <w:pPr>
        <w:pageBreakBefore w:val="0"/>
        <w:spacing w:line="360" w:lineRule="auto"/>
        <w:rPr>
          <w:rFonts w:ascii="宋体"/>
          <w:bCs/>
          <w:color w:val="auto"/>
          <w:sz w:val="24"/>
          <w:szCs w:val="24"/>
          <w:highlight w:val="none"/>
        </w:rPr>
      </w:pPr>
      <w:r>
        <w:rPr>
          <w:rFonts w:ascii="宋体"/>
          <w:bCs/>
          <w:color w:val="auto"/>
          <w:sz w:val="24"/>
          <w:szCs w:val="24"/>
          <w:highlight w:val="none"/>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pStyle w:val="981"/>
        <w:ind w:firstLine="3840"/>
        <w:jc w:val="left"/>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方正小标宋简体" w:hAnsi="方正小标宋简体" w:eastAsia="方正小标宋简体" w:cs="方正小标宋简体"/>
          <w:b w:val="0"/>
          <w:bCs w:val="0"/>
          <w:color w:val="auto"/>
          <w:sz w:val="32"/>
          <w:szCs w:val="32"/>
          <w:highlight w:val="none"/>
          <w:lang w:val="en-US" w:eastAsia="zh-CN" w:bidi="ar-SA"/>
        </w:rPr>
      </w:r>
      <w:r/>
    </w:p>
    <w:p>
      <w:pPr>
        <w:ind w:firstLine="1920"/>
        <w:jc w:val="left"/>
        <w:pageBreakBefore w:val="0"/>
        <w:spacing w:before="100" w:beforeAutospacing="1" w:after="100" w:afterAutospacing="1" w:line="360" w:lineRule="auto"/>
        <w:widowControl/>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七</w:t>
      </w:r>
      <w:r>
        <w:rPr>
          <w:rFonts w:hint="eastAsia" w:ascii="方正小标宋简体" w:hAnsi="方正小标宋简体" w:eastAsia="方正小标宋简体" w:cs="方正小标宋简体"/>
          <w:b w:val="0"/>
          <w:bCs w:val="0"/>
          <w:color w:val="auto"/>
          <w:sz w:val="32"/>
          <w:szCs w:val="32"/>
          <w:highlight w:val="none"/>
        </w:rPr>
        <w:t xml:space="preserve">、</w:t>
      </w:r>
      <w:r>
        <w:rPr>
          <w:rFonts w:hint="eastAsia" w:ascii="方正小标宋简体" w:hAnsi="方正小标宋简体" w:eastAsia="方正小标宋简体" w:cs="方正小标宋简体"/>
          <w:b w:val="0"/>
          <w:bCs w:val="0"/>
          <w:color w:val="auto"/>
          <w:sz w:val="32"/>
          <w:szCs w:val="32"/>
          <w:highlight w:val="none"/>
          <w:lang w:eastAsia="zh-CN"/>
        </w:rPr>
        <w:t xml:space="preserve">泰州市</w:t>
      </w:r>
      <w:r>
        <w:rPr>
          <w:rFonts w:hint="eastAsia" w:ascii="方正小标宋简体" w:hAnsi="方正小标宋简体" w:eastAsia="方正小标宋简体" w:cs="方正小标宋简体"/>
          <w:b w:val="0"/>
          <w:bCs w:val="0"/>
          <w:color w:val="auto"/>
          <w:sz w:val="32"/>
          <w:szCs w:val="32"/>
          <w:highlight w:val="none"/>
        </w:rPr>
        <w:t xml:space="preserve">政府采购事前信用承诺书</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为营造我市公开、公平、公正、诚实守信的政府采购交易环境，树立诚信守法的投标人形象，本人代表本单位作出以下承诺：</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szCs w:val="24"/>
          <w:highlight w:val="none"/>
          <w:lang w:eastAsia="zh-CN"/>
        </w:rPr>
        <w:t xml:space="preserve">虚假成分</w:t>
      </w:r>
      <w:r>
        <w:rPr>
          <w:rFonts w:hint="eastAsia" w:ascii="宋体" w:hAnsi="宋体" w:eastAsia="宋体" w:cs="宋体"/>
          <w:color w:val="auto"/>
          <w:sz w:val="24"/>
          <w:szCs w:val="24"/>
          <w:highlight w:val="none"/>
        </w:rPr>
        <w:t xml:space="preserve">，并对所提供资料的真实性负责；</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、规章、规范性文件，参加政府采购投标活动；积极履行社会责任，促进廉政建设； </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w:t>
      </w:r>
      <w:r>
        <w:rPr>
          <w:rFonts w:hint="eastAsia" w:ascii="宋体" w:hAnsi="宋体" w:cs="宋体"/>
          <w:color w:val="auto"/>
          <w:sz w:val="24"/>
          <w:szCs w:val="24"/>
          <w:highlight w:val="none"/>
          <w:lang w:eastAsia="zh-CN"/>
        </w:rPr>
        <w:t xml:space="preserve">维护和更新泰州市</w:t>
      </w:r>
      <w:r>
        <w:rPr>
          <w:rFonts w:hint="eastAsia" w:ascii="宋体" w:hAnsi="宋体" w:eastAsia="宋体" w:cs="宋体"/>
          <w:color w:val="auto"/>
          <w:sz w:val="24"/>
          <w:szCs w:val="24"/>
          <w:highlight w:val="none"/>
        </w:rPr>
        <w:t xml:space="preserve">政府采购网中与本单位相关的信息；</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w:t>
      </w:r>
      <w:r>
        <w:rPr>
          <w:rFonts w:hint="eastAsia" w:ascii="宋体" w:hAnsi="宋体" w:cs="宋体"/>
          <w:color w:val="auto"/>
          <w:sz w:val="24"/>
          <w:szCs w:val="24"/>
          <w:highlight w:val="none"/>
          <w:lang w:eastAsia="zh-CN"/>
        </w:rPr>
        <w:t xml:space="preserve">工</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rPr>
        <w:t xml:space="preserve">了宣传教育。</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法定代表人签名：</w:t>
      </w:r>
      <w:r/>
    </w:p>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单位名称（加盖CA电子公章）：</w:t>
      </w:r>
      <w:r/>
    </w:p>
    <w:p>
      <w:pPr>
        <w:jc w:val="center"/>
        <w:pageBreakBefore w:val="0"/>
        <w:spacing w:line="360" w:lineRule="auto"/>
        <w:widowControl/>
        <w:rPr>
          <w:color w:val="auto"/>
          <w:highlight w:val="none"/>
        </w:rPr>
      </w:pPr>
      <w:r>
        <w:rPr>
          <w:rFonts w:hint="eastAsia" w:ascii="宋体" w:hAnsi="宋体" w:eastAsia="宋体" w:cs="宋体"/>
          <w:color w:val="auto"/>
          <w:sz w:val="24"/>
          <w:szCs w:val="24"/>
          <w:highlight w:val="none"/>
        </w:rPr>
        <w:t xml:space="preserve">                      年    月    日</w:t>
      </w:r>
      <w:r/>
    </w:p>
    <w:sectPr>
      <w:footnotePr/>
      <w:endnotePr/>
      <w:type w:val="nextPage"/>
      <w:pgSz w:w="11906" w:h="16838" w:orient="portrait"/>
      <w:pgMar w:top="1191" w:right="1191" w:bottom="1020" w:left="1196"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Verdana">
    <w:panose1 w:val="020B0604030504040204"/>
  </w:font>
  <w:font w:name="方正小标宋简体">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4"/>
      </w:rPr>
      <w:framePr w:wrap="around" w:vAnchor="text" w:hAnchor="margin" w:xAlign="center" w:y="1"/>
    </w:pPr>
    <w:r>
      <w:rPr>
        <w:rStyle w:val="974"/>
      </w:rPr>
      <w:fldChar w:fldCharType="begin"/>
    </w:r>
    <w:r>
      <w:rPr>
        <w:rStyle w:val="974"/>
      </w:rPr>
      <w:instrText xml:space="preserve">PAGE  </w:instrText>
    </w:r>
    <w:r>
      <w:fldChar w:fldCharType="separate"/>
    </w:r>
    <w:r>
      <w:rPr>
        <w:rStyle w:val="974"/>
      </w:rPr>
      <w:t xml:space="preserve">1</w:t>
    </w:r>
    <w:r>
      <w:fldChar w:fldCharType="end"/>
    </w:r>
    <w:r/>
  </w:p>
  <w:p>
    <w:pPr>
      <w:pStyle w:val="9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68"/>
                          </w:pPr>
                          <w:r>
                            <w:fldChar w:fldCharType="begin"/>
                          </w:r>
                          <w:r>
                            <w:instrText xml:space="preserve"> PAGE  \* MERGEFORMAT </w:instrText>
                          </w:r>
                          <w:r>
                            <w:fldChar w:fldCharType="separate"/>
                          </w:r>
                          <w:r>
                            <w:t xml:space="preserve">- 16 -</w:t>
                          </w:r>
                          <w: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8"/>
                    </w:pPr>
                    <w:r>
                      <w:fldChar w:fldCharType="begin"/>
                    </w:r>
                    <w:r>
                      <w:instrText xml:space="preserve"> PAGE  \* MERGEFORMAT </w:instrText>
                    </w:r>
                    <w:r>
                      <w:fldChar w:fldCharType="separate"/>
                    </w:r>
                    <w:r>
                      <w:t xml:space="preserve">- 16 -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62"/>
    <w:link w:val="961"/>
    <w:uiPriority w:val="9"/>
    <w:rPr>
      <w:rFonts w:ascii="Arial" w:hAnsi="Arial" w:eastAsia="Arial" w:cs="Arial"/>
      <w:sz w:val="40"/>
      <w:szCs w:val="40"/>
    </w:rPr>
  </w:style>
  <w:style w:type="paragraph" w:styleId="789">
    <w:name w:val="Heading 2"/>
    <w:basedOn w:val="960"/>
    <w:next w:val="960"/>
    <w:link w:val="790"/>
    <w:uiPriority w:val="9"/>
    <w:unhideWhenUsed/>
    <w:qFormat/>
    <w:pPr>
      <w:keepLines/>
      <w:keepNext/>
      <w:spacing w:before="360" w:after="200"/>
      <w:outlineLvl w:val="1"/>
    </w:pPr>
    <w:rPr>
      <w:rFonts w:ascii="Arial" w:hAnsi="Arial" w:eastAsia="Arial" w:cs="Arial"/>
      <w:sz w:val="34"/>
    </w:rPr>
  </w:style>
  <w:style w:type="character" w:styleId="790">
    <w:name w:val="Heading 2 Char"/>
    <w:basedOn w:val="962"/>
    <w:link w:val="789"/>
    <w:uiPriority w:val="9"/>
    <w:rPr>
      <w:rFonts w:ascii="Arial" w:hAnsi="Arial" w:eastAsia="Arial" w:cs="Arial"/>
      <w:sz w:val="34"/>
    </w:rPr>
  </w:style>
  <w:style w:type="paragraph" w:styleId="791">
    <w:name w:val="Heading 3"/>
    <w:basedOn w:val="960"/>
    <w:next w:val="960"/>
    <w:link w:val="792"/>
    <w:uiPriority w:val="9"/>
    <w:unhideWhenUsed/>
    <w:qFormat/>
    <w:pPr>
      <w:keepLines/>
      <w:keepNext/>
      <w:spacing w:before="320" w:after="200"/>
      <w:outlineLvl w:val="2"/>
    </w:pPr>
    <w:rPr>
      <w:rFonts w:ascii="Arial" w:hAnsi="Arial" w:eastAsia="Arial" w:cs="Arial"/>
      <w:sz w:val="30"/>
      <w:szCs w:val="30"/>
    </w:rPr>
  </w:style>
  <w:style w:type="character" w:styleId="792">
    <w:name w:val="Heading 3 Char"/>
    <w:basedOn w:val="962"/>
    <w:link w:val="791"/>
    <w:uiPriority w:val="9"/>
    <w:rPr>
      <w:rFonts w:ascii="Arial" w:hAnsi="Arial" w:eastAsia="Arial" w:cs="Arial"/>
      <w:sz w:val="30"/>
      <w:szCs w:val="30"/>
    </w:rPr>
  </w:style>
  <w:style w:type="paragraph" w:styleId="793">
    <w:name w:val="Heading 4"/>
    <w:basedOn w:val="960"/>
    <w:next w:val="960"/>
    <w:link w:val="794"/>
    <w:uiPriority w:val="9"/>
    <w:unhideWhenUsed/>
    <w:qFormat/>
    <w:pPr>
      <w:keepLines/>
      <w:keepNext/>
      <w:spacing w:before="320" w:after="200"/>
      <w:outlineLvl w:val="3"/>
    </w:pPr>
    <w:rPr>
      <w:rFonts w:ascii="Arial" w:hAnsi="Arial" w:eastAsia="Arial" w:cs="Arial"/>
      <w:b/>
      <w:bCs/>
      <w:sz w:val="26"/>
      <w:szCs w:val="26"/>
    </w:rPr>
  </w:style>
  <w:style w:type="character" w:styleId="794">
    <w:name w:val="Heading 4 Char"/>
    <w:basedOn w:val="962"/>
    <w:link w:val="793"/>
    <w:uiPriority w:val="9"/>
    <w:rPr>
      <w:rFonts w:ascii="Arial" w:hAnsi="Arial" w:eastAsia="Arial" w:cs="Arial"/>
      <w:b/>
      <w:bCs/>
      <w:sz w:val="26"/>
      <w:szCs w:val="26"/>
    </w:rPr>
  </w:style>
  <w:style w:type="paragraph" w:styleId="795">
    <w:name w:val="Heading 5"/>
    <w:basedOn w:val="960"/>
    <w:next w:val="960"/>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basedOn w:val="962"/>
    <w:link w:val="795"/>
    <w:uiPriority w:val="9"/>
    <w:rPr>
      <w:rFonts w:ascii="Arial" w:hAnsi="Arial" w:eastAsia="Arial" w:cs="Arial"/>
      <w:b/>
      <w:bCs/>
      <w:sz w:val="24"/>
      <w:szCs w:val="24"/>
    </w:rPr>
  </w:style>
  <w:style w:type="paragraph" w:styleId="797">
    <w:name w:val="Heading 6"/>
    <w:basedOn w:val="960"/>
    <w:next w:val="960"/>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basedOn w:val="962"/>
    <w:link w:val="797"/>
    <w:uiPriority w:val="9"/>
    <w:rPr>
      <w:rFonts w:ascii="Arial" w:hAnsi="Arial" w:eastAsia="Arial" w:cs="Arial"/>
      <w:b/>
      <w:bCs/>
      <w:sz w:val="22"/>
      <w:szCs w:val="22"/>
    </w:rPr>
  </w:style>
  <w:style w:type="paragraph" w:styleId="799">
    <w:name w:val="Heading 7"/>
    <w:basedOn w:val="960"/>
    <w:next w:val="960"/>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basedOn w:val="962"/>
    <w:link w:val="799"/>
    <w:uiPriority w:val="9"/>
    <w:rPr>
      <w:rFonts w:ascii="Arial" w:hAnsi="Arial" w:eastAsia="Arial" w:cs="Arial"/>
      <w:b/>
      <w:bCs/>
      <w:i/>
      <w:iCs/>
      <w:sz w:val="22"/>
      <w:szCs w:val="22"/>
    </w:rPr>
  </w:style>
  <w:style w:type="paragraph" w:styleId="801">
    <w:name w:val="Heading 8"/>
    <w:basedOn w:val="960"/>
    <w:next w:val="960"/>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basedOn w:val="962"/>
    <w:link w:val="801"/>
    <w:uiPriority w:val="9"/>
    <w:rPr>
      <w:rFonts w:ascii="Arial" w:hAnsi="Arial" w:eastAsia="Arial" w:cs="Arial"/>
      <w:i/>
      <w:iCs/>
      <w:sz w:val="22"/>
      <w:szCs w:val="22"/>
    </w:rPr>
  </w:style>
  <w:style w:type="paragraph" w:styleId="803">
    <w:name w:val="Heading 9"/>
    <w:basedOn w:val="960"/>
    <w:next w:val="960"/>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basedOn w:val="962"/>
    <w:link w:val="803"/>
    <w:uiPriority w:val="9"/>
    <w:rPr>
      <w:rFonts w:ascii="Arial" w:hAnsi="Arial" w:eastAsia="Arial" w:cs="Arial"/>
      <w:i/>
      <w:iCs/>
      <w:sz w:val="21"/>
      <w:szCs w:val="21"/>
    </w:rPr>
  </w:style>
  <w:style w:type="paragraph" w:styleId="805">
    <w:name w:val="List Paragraph"/>
    <w:basedOn w:val="960"/>
    <w:uiPriority w:val="34"/>
    <w:qFormat/>
    <w:pPr>
      <w:contextualSpacing/>
      <w:ind w:left="720"/>
    </w:pPr>
  </w:style>
  <w:style w:type="paragraph" w:styleId="806">
    <w:name w:val="Title"/>
    <w:basedOn w:val="960"/>
    <w:next w:val="960"/>
    <w:link w:val="807"/>
    <w:uiPriority w:val="10"/>
    <w:qFormat/>
    <w:pPr>
      <w:contextualSpacing/>
      <w:spacing w:before="300" w:after="200"/>
    </w:pPr>
    <w:rPr>
      <w:sz w:val="48"/>
      <w:szCs w:val="48"/>
    </w:rPr>
  </w:style>
  <w:style w:type="character" w:styleId="807">
    <w:name w:val="Title Char"/>
    <w:basedOn w:val="962"/>
    <w:link w:val="806"/>
    <w:uiPriority w:val="10"/>
    <w:rPr>
      <w:sz w:val="48"/>
      <w:szCs w:val="48"/>
    </w:rPr>
  </w:style>
  <w:style w:type="paragraph" w:styleId="808">
    <w:name w:val="Subtitle"/>
    <w:basedOn w:val="960"/>
    <w:next w:val="960"/>
    <w:link w:val="809"/>
    <w:uiPriority w:val="11"/>
    <w:qFormat/>
    <w:pPr>
      <w:spacing w:before="200" w:after="200"/>
    </w:pPr>
    <w:rPr>
      <w:sz w:val="24"/>
      <w:szCs w:val="24"/>
    </w:rPr>
  </w:style>
  <w:style w:type="character" w:styleId="809">
    <w:name w:val="Subtitle Char"/>
    <w:basedOn w:val="962"/>
    <w:link w:val="808"/>
    <w:uiPriority w:val="11"/>
    <w:rPr>
      <w:sz w:val="24"/>
      <w:szCs w:val="24"/>
    </w:rPr>
  </w:style>
  <w:style w:type="paragraph" w:styleId="810">
    <w:name w:val="Quote"/>
    <w:basedOn w:val="960"/>
    <w:next w:val="960"/>
    <w:link w:val="811"/>
    <w:uiPriority w:val="29"/>
    <w:qFormat/>
    <w:pPr>
      <w:ind w:left="720" w:right="720"/>
    </w:pPr>
    <w:rPr>
      <w:i/>
    </w:rPr>
  </w:style>
  <w:style w:type="character" w:styleId="811">
    <w:name w:val="Quote Char"/>
    <w:link w:val="810"/>
    <w:uiPriority w:val="29"/>
    <w:rPr>
      <w:i/>
    </w:rPr>
  </w:style>
  <w:style w:type="paragraph" w:styleId="812">
    <w:name w:val="Intense Quote"/>
    <w:basedOn w:val="960"/>
    <w:next w:val="960"/>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character" w:styleId="814">
    <w:name w:val="Header Char"/>
    <w:basedOn w:val="962"/>
    <w:link w:val="969"/>
    <w:uiPriority w:val="99"/>
  </w:style>
  <w:style w:type="character" w:styleId="815">
    <w:name w:val="Footer Char"/>
    <w:basedOn w:val="962"/>
    <w:link w:val="968"/>
    <w:uiPriority w:val="99"/>
  </w:style>
  <w:style w:type="paragraph" w:styleId="816">
    <w:name w:val="Caption"/>
    <w:basedOn w:val="960"/>
    <w:next w:val="960"/>
    <w:uiPriority w:val="35"/>
    <w:semiHidden/>
    <w:unhideWhenUsed/>
    <w:qFormat/>
    <w:pPr>
      <w:spacing w:line="276" w:lineRule="auto"/>
    </w:pPr>
    <w:rPr>
      <w:b/>
      <w:bCs/>
      <w:color w:val="4f81bd" w:themeColor="accent1"/>
      <w:sz w:val="18"/>
      <w:szCs w:val="18"/>
    </w:rPr>
  </w:style>
  <w:style w:type="character" w:styleId="817">
    <w:name w:val="Caption Char"/>
    <w:basedOn w:val="816"/>
    <w:link w:val="968"/>
    <w:uiPriority w:val="99"/>
  </w:style>
  <w:style w:type="table" w:styleId="818">
    <w:name w:val="Table Grid Light"/>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9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9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9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basedOn w:val="9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basedOn w:val="9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basedOn w:val="9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basedOn w:val="9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basedOn w:val="9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basedOn w:val="9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4">
    <w:name w:val="Grid Table 5 Dark - Accent 2"/>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5">
    <w:name w:val="Grid Table 5 Dark - Accent 3"/>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6">
    <w:name w:val="Grid Table 5 Dark- Accent 4"/>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7">
    <w:name w:val="Grid Table 5 Dark - Accent 5"/>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8">
    <w:name w:val="Grid Table 5 Dark - Accent 6"/>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9">
    <w:name w:val="Grid Table 6 Colorful"/>
    <w:basedOn w:val="9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basedOn w:val="9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basedOn w:val="9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basedOn w:val="9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5">
    <w:name w:val="Grid Table 6 Colorful - Accent 6"/>
    <w:basedOn w:val="9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6">
    <w:name w:val="Grid Table 7 Colorful"/>
    <w:basedOn w:val="9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basedOn w:val="9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basedOn w:val="9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basedOn w:val="9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basedOn w:val="9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basedOn w:val="9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basedOn w:val="9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basedOn w:val="9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basedOn w:val="96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basedOn w:val="96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basedOn w:val="96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basedOn w:val="96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basedOn w:val="96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basedOn w:val="96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basedOn w:val="9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basedOn w:val="9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basedOn w:val="9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basedOn w:val="9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basedOn w:val="9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basedOn w:val="9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basedOn w:val="9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basedOn w:val="9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9">
    <w:name w:val="List Table 3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0">
    <w:name w:val="List Table 3 - Accent 3"/>
    <w:basedOn w:val="9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1">
    <w:name w:val="List Table 3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2">
    <w:name w:val="List Table 3 - Accent 5"/>
    <w:basedOn w:val="9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3">
    <w:name w:val="List Table 3 - Accent 6"/>
    <w:basedOn w:val="9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4">
    <w:name w:val="List Table 4"/>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basedOn w:val="9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6">
    <w:name w:val="List Table 4 - Accent 2"/>
    <w:basedOn w:val="9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7">
    <w:name w:val="List Table 4 - Accent 3"/>
    <w:basedOn w:val="9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8">
    <w:name w:val="List Table 4 - Accent 4"/>
    <w:basedOn w:val="9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9">
    <w:name w:val="List Table 4 - Accent 5"/>
    <w:basedOn w:val="9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0">
    <w:name w:val="List Table 4 - Accent 6"/>
    <w:basedOn w:val="9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1">
    <w:name w:val="List Table 5 Dark"/>
    <w:basedOn w:val="9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basedOn w:val="9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basedOn w:val="9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basedOn w:val="9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basedOn w:val="9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basedOn w:val="9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basedOn w:val="9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basedOn w:val="9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basedOn w:val="9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0">
    <w:name w:val="List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1">
    <w:name w:val="List Table 6 Colorful - Accent 3"/>
    <w:basedOn w:val="9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2">
    <w:name w:val="List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3">
    <w:name w:val="List Table 6 Colorful - Accent 5"/>
    <w:basedOn w:val="9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4">
    <w:name w:val="List Table 6 Colorful - Accent 6"/>
    <w:basedOn w:val="9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5">
    <w:name w:val="List Table 7 Colorful"/>
    <w:basedOn w:val="9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basedOn w:val="9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7">
    <w:name w:val="List Table 7 Colorful - Accent 2"/>
    <w:basedOn w:val="9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8">
    <w:name w:val="List Table 7 Colorful - Accent 3"/>
    <w:basedOn w:val="9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9">
    <w:name w:val="List Table 7 Colorful - Accent 4"/>
    <w:basedOn w:val="9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0">
    <w:name w:val="List Table 7 Colorful - Accent 5"/>
    <w:basedOn w:val="9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1">
    <w:name w:val="List Table 7 Colorful - Accent 6"/>
    <w:basedOn w:val="9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2">
    <w:name w:val="Lined - Accent"/>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4">
    <w:name w:val="Lined - Accent 2"/>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5">
    <w:name w:val="Lined - Accent 3"/>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6">
    <w:name w:val="Lined - Accent 4"/>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7">
    <w:name w:val="Lined - Accent 5"/>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8">
    <w:name w:val="Lined - Accent 6"/>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9">
    <w:name w:val="Bordered &amp; Lined - Accent"/>
    <w:basedOn w:val="9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basedOn w:val="9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1">
    <w:name w:val="Bordered &amp; Lined - Accent 2"/>
    <w:basedOn w:val="9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2">
    <w:name w:val="Bordered &amp; Lined - Accent 3"/>
    <w:basedOn w:val="9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3">
    <w:name w:val="Bordered &amp; Lined - Accent 4"/>
    <w:basedOn w:val="9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4">
    <w:name w:val="Bordered &amp; Lined - Accent 5"/>
    <w:basedOn w:val="9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5">
    <w:name w:val="Bordered &amp; Lined - Accent 6"/>
    <w:basedOn w:val="9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6">
    <w:name w:val="Bordered"/>
    <w:basedOn w:val="9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0"/>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basedOn w:val="962"/>
    <w:uiPriority w:val="99"/>
    <w:unhideWhenUsed/>
    <w:rPr>
      <w:vertAlign w:val="superscript"/>
    </w:rPr>
  </w:style>
  <w:style w:type="paragraph" w:styleId="947">
    <w:name w:val="endnote text"/>
    <w:basedOn w:val="960"/>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2"/>
    <w:uiPriority w:val="99"/>
    <w:semiHidden/>
    <w:unhideWhenUsed/>
    <w:rPr>
      <w:vertAlign w:val="superscript"/>
    </w:r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uiPriority w:val="0"/>
    <w:qFormat/>
    <w:rPr>
      <w:rFonts w:hint="default" w:ascii="Times New Roman" w:hAnsi="Times New Roman" w:eastAsia="宋体" w:cs="Times New Roman"/>
      <w:lang w:val="en-US" w:eastAsia="zh-CN" w:bidi="ar-SA"/>
    </w:rPr>
  </w:style>
  <w:style w:type="paragraph" w:styleId="961">
    <w:name w:val="Heading 1"/>
    <w:basedOn w:val="960"/>
    <w:next w:val="960"/>
    <w:uiPriority w:val="0"/>
    <w:qFormat/>
    <w:pPr>
      <w:jc w:val="center"/>
      <w:keepNext/>
      <w:outlineLvl w:val="0"/>
    </w:pPr>
    <w:rPr>
      <w:rFonts w:ascii="楷体_GB2312" w:eastAsia="楷体_GB2312"/>
      <w:sz w:val="28"/>
      <w:szCs w:val="28"/>
    </w:rPr>
  </w:style>
  <w:style w:type="character" w:styleId="962" w:default="1">
    <w:name w:val="Default Paragraph Font"/>
    <w:uiPriority w:val="0"/>
    <w:semiHidden/>
    <w:qFormat/>
  </w:style>
  <w:style w:type="table" w:styleId="963" w:default="1">
    <w:name w:val="Normal Table"/>
    <w:uiPriority w:val="0"/>
    <w:semiHidden/>
    <w:qFormat/>
    <w:tblPr>
      <w:tblCellMar>
        <w:left w:w="108" w:type="dxa"/>
        <w:top w:w="0" w:type="dxa"/>
        <w:right w:w="108" w:type="dxa"/>
        <w:bottom w:w="0" w:type="dxa"/>
      </w:tblCellMar>
    </w:tblPr>
  </w:style>
  <w:style w:type="paragraph" w:styleId="964">
    <w:name w:val="Normal Indent"/>
    <w:basedOn w:val="960"/>
    <w:uiPriority w:val="0"/>
    <w:qFormat/>
    <w:pPr>
      <w:ind w:firstLine="420"/>
    </w:pPr>
    <w:rPr>
      <w:szCs w:val="20"/>
    </w:rPr>
  </w:style>
  <w:style w:type="paragraph" w:styleId="965">
    <w:name w:val="Body Text Indent"/>
    <w:basedOn w:val="960"/>
    <w:next w:val="966"/>
    <w:uiPriority w:val="0"/>
    <w:qFormat/>
    <w:pPr>
      <w:ind w:firstLine="645"/>
    </w:pPr>
    <w:rPr>
      <w:rFonts w:ascii="楷体_GB2312" w:eastAsia="楷体_GB2312"/>
      <w:sz w:val="32"/>
      <w:szCs w:val="32"/>
    </w:rPr>
  </w:style>
  <w:style w:type="paragraph" w:styleId="966">
    <w:name w:val="envelope return"/>
    <w:basedOn w:val="960"/>
    <w:uiPriority w:val="0"/>
    <w:qFormat/>
    <w:rPr>
      <w:rFonts w:ascii="Arial" w:hAnsi="Arial"/>
    </w:rPr>
  </w:style>
  <w:style w:type="paragraph" w:styleId="967">
    <w:name w:val="Plain Text"/>
    <w:basedOn w:val="960"/>
    <w:next w:val="964"/>
    <w:uiPriority w:val="0"/>
    <w:qFormat/>
    <w:rPr>
      <w:rFonts w:ascii="宋体" w:hAnsi="Courier New"/>
    </w:rPr>
  </w:style>
  <w:style w:type="paragraph" w:styleId="968">
    <w:name w:val="Footer"/>
    <w:basedOn w:val="960"/>
    <w:uiPriority w:val="0"/>
    <w:qFormat/>
    <w:pPr>
      <w:tabs>
        <w:tab w:val="center" w:pos="4153" w:leader="none"/>
        <w:tab w:val="right" w:pos="8306" w:leader="none"/>
      </w:tabs>
    </w:pPr>
    <w:rPr>
      <w:sz w:val="18"/>
      <w:szCs w:val="18"/>
    </w:rPr>
  </w:style>
  <w:style w:type="paragraph" w:styleId="969">
    <w:name w:val="Header"/>
    <w:basedOn w:val="96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70">
    <w:name w:val="toc 1"/>
    <w:basedOn w:val="960"/>
    <w:next w:val="960"/>
    <w:uiPriority w:val="0"/>
    <w:qFormat/>
  </w:style>
  <w:style w:type="paragraph" w:styleId="971">
    <w:name w:val="Normal (Web)"/>
    <w:basedOn w:val="960"/>
    <w:uiPriority w:val="99"/>
    <w:qFormat/>
    <w:pPr>
      <w:spacing w:before="100" w:beforeAutospacing="1" w:after="100" w:afterAutospacing="1"/>
    </w:pPr>
    <w:rPr>
      <w:rFonts w:ascii="宋体" w:hAnsi="宋体"/>
      <w:sz w:val="24"/>
      <w:szCs w:val="24"/>
    </w:rPr>
  </w:style>
  <w:style w:type="paragraph" w:styleId="972">
    <w:name w:val="Body Text First Indent 2"/>
    <w:basedOn w:val="965"/>
    <w:uiPriority w:val="0"/>
    <w:qFormat/>
    <w:pPr>
      <w:ind w:firstLine="420"/>
      <w:spacing w:line="360" w:lineRule="auto"/>
    </w:pPr>
    <w:rPr>
      <w:rFonts w:ascii="宋体" w:hAnsi="宋体" w:eastAsia="宋体"/>
      <w:sz w:val="21"/>
      <w:szCs w:val="20"/>
    </w:rPr>
  </w:style>
  <w:style w:type="table" w:styleId="973">
    <w:name w:val="Table Grid"/>
    <w:basedOn w:val="9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page number"/>
    <w:basedOn w:val="962"/>
    <w:uiPriority w:val="0"/>
    <w:qFormat/>
  </w:style>
  <w:style w:type="paragraph" w:styleId="975" w:customStyle="1">
    <w:name w:val="普通正文"/>
    <w:basedOn w:val="960"/>
    <w:uiPriority w:val="0"/>
    <w:qFormat/>
    <w:pPr>
      <w:ind w:firstLine="480"/>
      <w:spacing w:before="120" w:after="120" w:line="360" w:lineRule="auto"/>
    </w:pPr>
    <w:rPr>
      <w:rFonts w:ascii="Arial" w:hAnsi="Arial"/>
      <w:sz w:val="24"/>
      <w:szCs w:val="24"/>
    </w:rPr>
  </w:style>
  <w:style w:type="paragraph" w:styleId="976" w:customStyle="1">
    <w:name w:val="正文1"/>
    <w:uiPriority w:val="0"/>
    <w:qFormat/>
    <w:pPr>
      <w:jc w:val="both"/>
      <w:widowControl w:val="off"/>
    </w:pPr>
    <w:rPr>
      <w:rFonts w:hint="default" w:ascii="Times New Roman" w:hAnsi="Times New Roman" w:eastAsia="宋体" w:cs="Times New Roman"/>
      <w:sz w:val="21"/>
      <w:szCs w:val="21"/>
    </w:rPr>
  </w:style>
  <w:style w:type="paragraph" w:styleId="977" w:customStyle="1">
    <w:name w:val="普通(网站)1"/>
    <w:basedOn w:val="976"/>
    <w:uiPriority w:val="0"/>
    <w:qFormat/>
    <w:pPr>
      <w:jc w:val="left"/>
      <w:spacing w:before="100" w:beforeAutospacing="1" w:after="100" w:afterAutospacing="1"/>
      <w:widowControl/>
    </w:pPr>
    <w:rPr>
      <w:rFonts w:ascii="宋体" w:hAnsi="宋体"/>
      <w:sz w:val="24"/>
      <w:szCs w:val="24"/>
    </w:rPr>
  </w:style>
  <w:style w:type="character" w:styleId="978" w:customStyle="1">
    <w:name w:val="apple-style-span"/>
    <w:basedOn w:val="962"/>
    <w:uiPriority w:val="99"/>
    <w:qFormat/>
    <w:rPr>
      <w:rFonts w:cs="Times New Roman"/>
    </w:rPr>
  </w:style>
  <w:style w:type="paragraph" w:styleId="979" w:customStyle="1">
    <w:name w:val="首行缩进"/>
    <w:basedOn w:val="960"/>
    <w:uiPriority w:val="0"/>
    <w:qFormat/>
    <w:pPr>
      <w:ind w:firstLine="480"/>
      <w:spacing w:line="360" w:lineRule="auto"/>
    </w:pPr>
    <w:rPr>
      <w:rFonts w:ascii="宋体" w:hAnsi="宋体" w:cs="宋体"/>
      <w:sz w:val="24"/>
      <w:szCs w:val="24"/>
    </w:rPr>
  </w:style>
  <w:style w:type="paragraph" w:styleId="980" w:customStyle="1">
    <w:name w:val="Char"/>
    <w:basedOn w:val="960"/>
    <w:uiPriority w:val="0"/>
    <w:qFormat/>
    <w:pPr>
      <w:ind w:firstLine="200"/>
      <w:tabs>
        <w:tab w:val="left" w:pos="360" w:leader="none"/>
      </w:tabs>
    </w:pPr>
    <w:rPr>
      <w:sz w:val="28"/>
      <w:szCs w:val="30"/>
    </w:rPr>
  </w:style>
  <w:style w:type="paragraph" w:styleId="981">
    <w:name w:val="No Spacing"/>
    <w:uiPriority w:val="1"/>
    <w:qFormat/>
    <w:pPr>
      <w:jc w:val="both"/>
      <w:widowControl w:val="off"/>
    </w:pPr>
    <w:rPr>
      <w:rFonts w:hint="default" w:asciiTheme="minorHAnsi" w:hAnsiTheme="minorHAnsi" w:eastAsiaTheme="minorEastAsia" w:cstheme="minorBidi"/>
      <w:sz w:val="21"/>
      <w:szCs w:val="22"/>
      <w:lang w:val="en-US" w:eastAsia="zh-CN" w:bidi="ar-SA"/>
    </w:rPr>
  </w:style>
  <w:style w:type="paragraph" w:styleId="982" w:customStyle="1">
    <w:name w:val="正文文本11"/>
    <w:basedOn w:val="960"/>
    <w:next w:val="960"/>
    <w:uiPriority w:val="0"/>
    <w:qFormat/>
    <w:rPr>
      <w:rFonts w:ascii="楷体_GB2312" w:hAnsi="Arial" w:eastAsia="楷体_GB2312"/>
      <w:sz w:val="28"/>
      <w:szCs w:val="20"/>
    </w:rPr>
  </w:style>
  <w:style w:type="paragraph" w:styleId="983" w:customStyle="1">
    <w:name w:val="DAS正文"/>
    <w:basedOn w:val="960"/>
    <w:uiPriority w:val="0"/>
    <w:qFormat/>
    <w:pPr>
      <w:ind w:right="181" w:firstLine="480"/>
      <w:spacing w:line="360" w:lineRule="auto"/>
    </w:pPr>
    <w:rPr>
      <w:rFonts w:ascii="Verdana" w:hAnsi="Verdana"/>
    </w:rPr>
  </w:style>
  <w:style w:type="paragraph" w:styleId="984" w:customStyle="1">
    <w:name w:val="正文 A"/>
    <w:uiPriority w:val="0"/>
    <w:qFormat/>
    <w:pPr>
      <w:jc w:val="both"/>
      <w:widowControl w:val="off"/>
      <w:framePr w:wrap="around" w:vAnchor="margin" w:hAnchor="text" w:yAlign="top"/>
    </w:pPr>
    <w:rPr>
      <w:rFonts w:hAnsi="Arial Unicode MS" w:eastAsia="Arial Unicode MS" w:cs="Arial Unicode MS" w:asciiTheme="minorHAnsi"/>
      <w:color w:val="000000"/>
      <w:sz w:val="21"/>
      <w:szCs w:val="21"/>
      <w:lang w:val="en-US" w:eastAsia="zh-CN" w:bidi="ar-SA"/>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customXml" Target="../customXml/item5.xml" /><Relationship Id="rId21" Type="http://schemas.openxmlformats.org/officeDocument/2006/relationships/customXml" Target="../customXml/item6.xml" /><Relationship Id="rId22" Type="http://schemas.openxmlformats.org/officeDocument/2006/relationships/customXml" Target="../customXml/item7.xml" /><Relationship Id="rId23" Type="http://schemas.openxmlformats.org/officeDocument/2006/relationships/customXml" Target="../customXml/item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contractReview xmlns="http://schemas.wps.cn/vas-ai-hub/contract-review">
  <reviewItems>
    <reviewItem>
      <errorID>9fef57da-0cf3-4e68-b624-7737bc223071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1D0D0705</paraID>
      <start>11</start>
      <end>12</end>
      <status>unmodified</status>
      <modifiedWord/>
      <trackRevisions>false</trackRevisions>
    </reviewItem>
    <reviewItem>
      <errorID>c1232ee4-9973-41e5-bcd5-1144d59ab2fb</errorID>
      <errorWord>勘查</errorWord>
      <group>L1_Word</group>
      <groupName>字词问题</groupName>
      <ability>L2_Typo</ability>
      <abilityName>字词错误</abilityName>
      <candidateList>
        <item>勘察</item>
      </candidateList>
      <explain>存在发音相同字词的误用。</explain>
      <paraID> 735BC7B</paraID>
      <start>14</start>
      <end>16</end>
      <status>unmodified</status>
      <modifiedWord/>
      <trackRevisions>false</trackRevisions>
    </reviewItem>
    <reviewItem>
      <errorID>410ad5e1-0f5f-480a-8686-b158bdcff65c</errorID>
      <errorWord>勘查</errorWord>
      <group>L1_Word</group>
      <groupName>字词问题</groupName>
      <ability>L2_Typo</ability>
      <abilityName>字词错误</abilityName>
      <candidateList>
        <item>勘察</item>
      </candidateList>
      <explain>存在发音相同字词的误用。</explain>
      <paraID>1FB0E5B6</paraID>
      <start>131</start>
      <end>133</end>
      <status>unmodified</status>
      <modifiedWord/>
      <trackRevisions>false</trackRevisions>
    </reviewItem>
    <reviewItem>
      <errorID>617af0d8-75ae-4c95-b223-c1e73a31be01</errorID>
      <errorWord>日</errorWord>
      <group>L1_Word</group>
      <groupName>字词问题</groupName>
      <ability>L2_Typo</ability>
      <abilityName>字词错误</abilityName>
      <candidateList>
        <item>日内</item>
      </candidateList>
      <explain/>
      <paraID> AE93456</paraID>
      <start>19</start>
      <end>20</end>
      <status>unmodified</status>
      <modifiedWord/>
      <trackRevisions>false</trackRevisions>
    </reviewItem>
    <reviewItem>
      <errorID>ca6461cc-9b8b-4178-a22c-ae5714fc2e86</errorID>
      <errorWord>“.</errorWord>
      <group>L1_Punc</group>
      <groupName>标点问题</groupName>
      <ability>L2_Punc</ability>
      <abilityName>标点符号检查</abilityName>
      <candidateList>
        <item>“</item>
      </candidateList>
      <explain/>
      <paraID>4E9A8757</paraID>
      <start>51</start>
      <end>53</end>
      <status>unmodified</status>
      <modifiedWord/>
      <trackRevisions>false</trackRevisions>
    </reviewItem>
    <reviewItem>
      <errorID>03addce1-58fe-4cad-85ab-553d50cd3fa7</errorID>
      <errorWord>“.</errorWord>
      <group>L1_Punc</group>
      <groupName>标点问题</groupName>
      <ability>L2_Punc</ability>
      <abilityName>标点符号检查</abilityName>
      <candidateList>
        <item>“</item>
      </candidateList>
      <explain/>
      <paraID>4E9A8757</paraID>
      <start>66</start>
      <end>68</end>
      <status>unmodified</status>
      <modifiedWord/>
      <trackRevisions>false</trackRevisions>
    </reviewItem>
    <reviewItem>
      <errorID>52f4c30d-2bdf-41c6-a905-2ac968653ed6</errorID>
      <errorWord>“.</errorWord>
      <group>L1_Punc</group>
      <groupName>标点问题</groupName>
      <ability>L2_Punc</ability>
      <abilityName>标点符号检查</abilityName>
      <candidateList>
        <item>“</item>
      </candidateList>
      <explain/>
      <paraID>73F263E3</paraID>
      <start>12</start>
      <end>14</end>
      <status>unmodified</status>
      <modifiedWord/>
      <trackRevisions>false</trackRevisions>
    </reviewItem>
    <reviewItem>
      <errorID>3b0b347d-8645-4d81-863f-12d401d06040</errorID>
      <errorWord>（</errorWord>
      <group>L1_Punc</group>
      <groupName>标点问题</groupName>
      <ability>L2_Punc</ability>
      <abilityName>标点符号检查</abilityName>
      <candidateList/>
      <explain>同一形式括号套用。</explain>
      <paraID>16D0A13B</paraID>
      <start>35</start>
      <end>36</end>
      <status>unmodified</status>
      <modifiedWord/>
      <trackRevisions>false</trackRevisions>
    </reviewItem>
    <reviewItem>
      <errorID>7f00b4e1-96b1-4f4a-8ce0-63ee6652c2bf</errorID>
      <errorWord>）</errorWord>
      <group>L1_Punc</group>
      <groupName>标点问题</groupName>
      <ability>L2_Punc</ability>
      <abilityName>标点符号检查</abilityName>
      <candidateList/>
      <explain>同一形式括号套用。</explain>
      <paraID>16D0A13B</paraID>
      <start>39</start>
      <end>40</end>
      <status>unmodified</status>
      <modifiedWord/>
      <trackRevisions>false</trackRevisions>
    </reviewItem>
    <reviewItem>
      <errorID>8c73d386-95d5-40ad-887a-caea4049e948</errorID>
      <errorWord>&lt;</errorWord>
      <group>L1_Format</group>
      <groupName>格式问题</groupName>
      <ability>L2_HalfPunc</ability>
      <abilityName>全半角检查</abilityName>
      <candidateList>
        <item>〈</item>
      </candidateList>
      <explain>文本全半角错误。</explain>
      <paraID> F1D4D03</paraID>
      <start>50</start>
      <end>51</end>
      <status>unmodified</status>
      <modifiedWord/>
      <trackRevisions>false</trackRevisions>
    </reviewItem>
    <reviewItem>
      <errorID>af3cd626-e6dc-4580-954d-b7f54a147435</errorID>
      <errorWord>&lt;</errorWord>
      <group>L1_Format</group>
      <groupName>格式问题</groupName>
      <ability>L2_HalfPunc</ability>
      <abilityName>全半角检查</abilityName>
      <candidateList>
        <item>〈</item>
      </candidateList>
      <explain>文本全半角错误。</explain>
      <paraID>2A867700</paraID>
      <start>50</start>
      <end>51</end>
      <status>unmodified</status>
      <modifiedWord/>
      <trackRevisions>false</trackRevisions>
    </reviewItem>
    <reviewItem>
      <errorID>f2f73c51-1a91-4364-b740-f463d631240b</errorID>
      <errorWord>&lt;</errorWord>
      <group>L1_Format</group>
      <groupName>格式问题</groupName>
      <ability>L2_HalfPunc</ability>
      <abilityName>全半角检查</abilityName>
      <candidateList>
        <item>〈</item>
      </candidateList>
      <explain>文本全半角错误。</explain>
      <paraID>392A5210</paraID>
      <start>35</start>
      <end>36</end>
      <status>unmodified</status>
      <modifiedWord/>
      <trackRevisions>false</trackRevisions>
    </reviewItem>
    <reviewItem>
      <errorID>6b8219bf-c521-47ee-a446-b4e4148338c6</errorID>
      <errorWord>间</errorWord>
      <group>L1_Word</group>
      <groupName>字词问题</groupName>
      <ability>L2_Typo</ability>
      <abilityName>字词错误</abilityName>
      <candidateList>
        <item>间之</item>
      </candidateList>
      <explain/>
      <paraID>12EF5241</paraID>
      <start>14</start>
      <end>15</end>
      <status>unmodified</status>
      <modifiedWord/>
      <trackRevisions>false</trackRevisions>
    </reviewItem>
    <reviewItem>
      <errorID>91e6aa87-5152-4829-8435-6e6f0e843629</errorID>
      <errorWord>：</errorWord>
      <group>L1_Word</group>
      <groupName>字词问题</groupName>
      <ability>L2_Typo</ability>
      <abilityName>字词错误</abilityName>
      <candidateList>
        <item>：根</item>
      </candidateList>
      <explain/>
      <paraID>492CF652</paraID>
      <start>6</start>
      <end>7</end>
      <status>unmodified</status>
      <modifiedWord/>
      <trackRevisions>false</trackRevisions>
    </reviewItem>
    <reviewItem>
      <errorID>7f907a9b-8791-4b77-8ca4-2e987663f695</errorID>
      <errorWord>间</errorWord>
      <group>L1_Word</group>
      <groupName>字词问题</groupName>
      <ability>L2_Typo</ability>
      <abilityName>字词错误</abilityName>
      <candidateList>
        <item>间内</item>
      </candidateList>
      <explain/>
      <paraID>705EABC1</paraID>
      <start>43</start>
      <end>44</end>
      <status>unmodified</status>
      <modifiedWord/>
      <trackRevisions>false</trackRevisions>
    </reviewItem>
    <reviewItem>
      <errorID>25d535b6-f792-4264-9a54-bf4ad714245d</errorID>
      <errorWord>&lt;</errorWord>
      <group>L1_Format</group>
      <groupName>格式问题</groupName>
      <ability>L2_HalfPunc</ability>
      <abilityName>全半角检查</abilityName>
      <candidateList>
        <item>〈</item>
      </candidateList>
      <explain>文本全半角错误。</explain>
      <paraID>5438350D</paraID>
      <start>50</start>
      <end>51</end>
      <status>unmodified</status>
      <modifiedWord/>
      <trackRevisions>false</trackRevisions>
    </reviewItem>
    <reviewItem>
      <errorID>2c3b0cc9-2a79-4468-adb0-d657a88dcbf1</errorID>
      <errorWord>&lt;</errorWord>
      <group>L1_Format</group>
      <groupName>格式问题</groupName>
      <ability>L2_HalfPunc</ability>
      <abilityName>全半角检查</abilityName>
      <candidateList>
        <item>〈</item>
      </candidateList>
      <explain>文本全半角错误。</explain>
      <paraID> A9FAF0F</paraID>
      <start>50</start>
      <end>51</end>
      <status>unmodified</status>
      <modifiedWord/>
      <trackRevisions>false</trackRevisions>
    </reviewItem>
    <reviewItem>
      <errorID>29b10943-dd9b-466e-a117-dee72c027538</errorID>
      <errorWord>&lt;</errorWord>
      <group>L1_Format</group>
      <groupName>格式问题</groupName>
      <ability>L2_HalfPunc</ability>
      <abilityName>全半角检查</abilityName>
      <candidateList>
        <item>〈</item>
      </candidateList>
      <explain>文本全半角错误。</explain>
      <paraID> 99DDDB1</paraID>
      <start>35</start>
      <end>36</end>
      <status>unmodified</status>
      <modifiedWord/>
      <trackRevisions>false</trackRevisions>
    </reviewItem>
    <reviewItem>
      <errorID>84838895-08fe-4cd2-884b-b78830cb705c</errorID>
      <errorWord>《</errorWord>
      <group>L1_Punc</group>
      <groupName>标点问题</groupName>
      <ability>L2_Punc</ability>
      <abilityName>标点符号检查</abilityName>
      <candidateList/>
      <explain>同一形式括号套用。</explain>
      <paraID>79B0FEC8</paraID>
      <start>43</start>
      <end>44</end>
      <status>unmodified</status>
      <modifiedWord/>
      <trackRevisions>false</trackRevisions>
    </reviewItem>
    <reviewItem>
      <errorID>d713e0cc-7a28-4e0d-be19-c162663ba810</errorID>
      <errorWord>》</errorWord>
      <group>L1_Punc</group>
      <groupName>标点问题</groupName>
      <ability>L2_Punc</ability>
      <abilityName>标点符号检查</abilityName>
      <candidateList/>
      <explain>同一形式括号套用。</explain>
      <paraID>79B0FEC8</paraID>
      <start>60</start>
      <end>61</end>
      <status>unmodified</status>
      <modifiedWord/>
      <trackRevisions>false</trackRevisions>
    </reviewItem>
    <reviewItem>
      <errorID>16d39fc3-0970-4918-8532-fe7797d86d21</errorID>
      <errorWord>《</errorWord>
      <group>L1_Punc</group>
      <groupName>标点问题</groupName>
      <ability>L2_Punc</ability>
      <abilityName>标点符号检查</abilityName>
      <candidateList/>
      <explain>同一形式括号套用。</explain>
      <paraID>79B0FEC8</paraID>
      <start>61</start>
      <end>62</end>
      <status>unmodified</status>
      <modifiedWord/>
      <trackRevisions>false</trackRevisions>
    </reviewItem>
    <reviewItem>
      <errorID>def7011c-3c53-4356-8e5d-7dbd19a28ee5</errorID>
      <errorWord>》</errorWord>
      <group>L1_Punc</group>
      <groupName>标点问题</groupName>
      <ability>L2_Punc</ability>
      <abilityName>标点符号检查</abilityName>
      <candidateList/>
      <explain>同一形式括号套用。</explain>
      <paraID>79B0FEC8</paraID>
      <start>78</start>
      <end>79</end>
      <status>unmodified</status>
      <modifiedWord/>
      <trackRevisions>false</trackRevisions>
    </reviewItem>
    <reviewItem>
      <errorID>4958a6af-3281-42a2-87b4-650c5f2e1a91</errorID>
      <errorWord>涉及到</errorWord>
      <group>L1_Grammar</group>
      <groupName>语法问题</groupName>
      <ability>L2_Grammar</ability>
      <abilityName>语法错误</abilityName>
      <candidateList>
        <item>涉及</item>
      </candidateList>
      <explain>〈动〉牵涉到；关联到：案子～好几个人｜这个问题～面很广。</explain>
      <paraID>16CA23C6</paraID>
      <start>7</start>
      <end>10</end>
      <status>unmodified</status>
      <modifiedWord/>
      <trackRevisions>false</trackRevisions>
    </reviewItem>
    <reviewItem>
      <errorID>1f2f44c4-ec9c-44b5-86e1-6bf37a65282b</errorID>
      <errorWord>间</errorWord>
      <group>L1_Word</group>
      <groupName>字词问题</groupName>
      <ability>L2_Typo</ability>
      <abilityName>字词错误</abilityName>
      <candidateList>
        <item>间内</item>
      </candidateList>
      <explain/>
      <paraID>7BAC888E</paraID>
      <start>52</start>
      <end>53</end>
      <status>unmodified</status>
      <modifiedWord/>
      <trackRevisions>false</trackRevisions>
    </reviewItem>
    <reviewItem>
      <errorID>4deb6225-ddf2-49f3-9bfb-6c1e3b0df1d2</errorID>
      <errorWord>工做</errorWord>
      <group>L1_Word</group>
      <groupName>字词问题</groupName>
      <ability>L2_Typo</ability>
      <abilityName>字词错误</abilityName>
      <candidateList>
        <item>工作</item>
      </candidateList>
      <explain>存在发音相同字词的误用。</explain>
      <paraID>5EE9A039</paraID>
      <start>25</start>
      <end>27</end>
      <status>unmodified</status>
      <modifiedWord/>
      <trackRevisions>false</trackRevisions>
    </reviewItem>
  </reviewItems>
  <config/>
</contractReview>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A2FA7EA00FB943E88CEF588FC8882962_11</vt:lpwstr>
  </property>
  <property fmtid="{D5CDD505-2E9C-101B-9397-08002B2CF9AE}" pid="4" name="KSOTemplateDocerSaveRecord">
    <vt:lpwstr>eyJoZGlkIjoiMTJjNDEwOWRiYmIzNWFkNTkwNWIyMGM3YTJiNTg5OWUiLCJ1c2VySWQiOiI1MDk2NzQ1NjMifQ==</vt:lpwstr>
  </property>
</Properties>
</file>

<file path=customXml/item3.xml><?xml version="1.0" encoding="utf-8"?>
<Properties xmlns="http://schemas.openxmlformats.org/officeDocument/2006/extended-properties" xmlns:vt="http://schemas.openxmlformats.org/officeDocument/2006/docPropsVTypes">
  <Template>Normal.dotm</Template>
  <Pages>46</Pages>
  <Words>13004</Words>
  <Characters>14169</Characters>
  <Lines>0</Lines>
  <Paragraphs>0</Paragraphs>
  <TotalTime>18</TotalTime>
  <ScaleCrop>false</ScaleCrop>
  <LinksUpToDate>false</LinksUpToDate>
  <CharactersWithSpaces>14538</CharactersWithSpaces>
  <Application>WPS Office_12.1.0.25225_F1E327BC-269C-435d-A152-05C5408002CA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2025-03-17T02:21:00Z</dcterms:created>
  <dc:creator>歪点羊子</dc:creator>
  <cp:lastModifiedBy>杨了个杨</cp:lastModifiedBy>
  <dcterms:modified xsi:type="dcterms:W3CDTF">2026-02-25T09:26:34Z</dcterms:modified>
  <cp:revision>1</cp:revision>
</cp:core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2052-12.1.0.25225</vt:lpwstr>
  </property>
  <property fmtid="{D5CDD505-2E9C-101B-9397-08002B2CF9AE}" pid="3" name="ICV">
    <vt:lpwstr>A2FA7EA00FB943E88CEF588FC8882962_11</vt:lpwstr>
  </property>
  <property fmtid="{D5CDD505-2E9C-101B-9397-08002B2CF9AE}" pid="4" name="KSOTemplateDocerSaveRecord">
    <vt:lpwstr>eyJoZGlkIjoiMTJjNDEwOWRiYmIzNWFkNTkwNWIyMGM3YTJiNTg5OWUiLCJ1c2VySWQiOiI1MDk2NzQ1NjMifQ_x003D__x003D_</vt:lpwstr>
  </property>
</Properties>
</file>

<file path=customXml/item6.xml><?xml version="1.0" encoding="utf-8"?>
<Properties xmlns:vt="http://schemas.openxmlformats.org/officeDocument/2006/docPropsVTypes" xmlns="http://schemas.openxmlformats.org/officeDocument/2006/extended-properties">
  <Template>Normal.dotm</Template>
  <TotalTime>18</TotalTime>
  <Pages>46</Pages>
  <Words>13004</Words>
  <Characters>14169</Characters>
  <Application>WPS Office_12.1.0.25225_F1E327BC-269C-435d-A152-05C5408002CA</Application>
  <DocSecurity>0</DocSecurity>
  <Lines>0</Lines>
  <Paragraphs>0</Paragraphs>
  <CharactersWithSpaces>14538</CharactersWithSpaces>
  <AppVersion>14.0000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杨了个杨</cp:lastModifiedBy>
  <cp:revision>1</cp:revision>
  <dcterms:created xsi:type="dcterms:W3CDTF">2025-03-17T02:21:00Z</dcterms:created>
  <dcterms:modified xsi:type="dcterms:W3CDTF">2026-02-26T02:31:25Z</dcterms:modified>
</cp:coreProperties>
</file>

<file path=customXml/item8.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525AFAF-7288-4773-B464-91260889709E}"/>
</file>

<file path=customXml/itemProps2.xml><?xml version="1.0" encoding="utf-8"?>
<ds:datastoreItem xmlns:ds="http://schemas.openxmlformats.org/officeDocument/2006/customXml" ds:itemID="{5F208389-D983-4F95-9DFE-AE37DDE4B071}"/>
</file>

<file path=customXml/itemProps3.xml><?xml version="1.0" encoding="utf-8"?>
<ds:datastoreItem xmlns:ds="http://schemas.openxmlformats.org/officeDocument/2006/customXml" ds:itemID="{6D6DA624-B7C2-4B6F-85B5-F51091C86E4D}"/>
</file>

<file path=customXml/itemProps4.xml><?xml version="1.0" encoding="utf-8"?>
<ds:datastoreItem xmlns:ds="http://schemas.openxmlformats.org/officeDocument/2006/customXml" ds:itemID="{19343435-AF7F-42C5-8D98-E23DA270E35A}"/>
</file>

<file path=customXml/itemProps5.xml><?xml version="1.0" encoding="utf-8"?>
<ds:datastoreItem xmlns:ds="http://schemas.openxmlformats.org/officeDocument/2006/customXml" ds:itemID="{26C45A64-4820-4751-A8D7-744BC8D72528}"/>
</file>

<file path=customXml/itemProps6.xml><?xml version="1.0" encoding="utf-8"?>
<ds:datastoreItem xmlns:ds="http://schemas.openxmlformats.org/officeDocument/2006/customXml" ds:itemID="{23EBFE64-C892-457E-A571-9BCC1C5F6B82}"/>
</file>

<file path=customXml/itemProps7.xml><?xml version="1.0" encoding="utf-8"?>
<ds:datastoreItem xmlns:ds="http://schemas.openxmlformats.org/officeDocument/2006/customXml" ds:itemID="{077EEFC4-3857-431C-B692-965F4280B013}"/>
</file>

<file path=customXml/itemProps8.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杨莉</cp:lastModifiedBy>
  <cp:revision>3</cp:revision>
  <dcterms:created xsi:type="dcterms:W3CDTF">2025-03-17T02:21:00Z</dcterms:created>
  <dcterms:modified xsi:type="dcterms:W3CDTF">2026-03-19T08:20:07Z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A2FA7EA00FB943E88CEF588FC8882962_11</vt:lpwstr>
  </property>
  <property fmtid="{D5CDD505-2E9C-101B-9397-08002B2CF9AE}" pid="4" name="KSOTemplateDocerSaveRecord">
    <vt:lpwstr>eyJoZGlkIjoiMTJjNDEwOWRiYmIzNWFkNTkwNWIyMGM3YTJiNTg5OWUiLCJ1c2VySWQiOiI1MDk2NzQ1NjMifQ==</vt:lpwstr>
  </property>
  <property fmtid="{D5CDD505-2E9C-101B-9397-08002B2CF9AE}" pid="5" name="AIGC">
    <vt:lpwstr>{"ContentType":"Report-word","Producer":"蜜度-校对通","TaskID":"JDT_20260226_5b8326ab44f545d1b6bd3b20875e9530","Timestamp":1772073142086,"Version":"wenxiu_v4.0"}</vt:lpwstr>
  </property>
</Properties>
</file>