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pageBreakBefore w:val="0"/>
        <w:spacing w:line="312" w:lineRule="auto"/>
        <w:widowControl w:val="off"/>
        <w:rPr>
          <w:rStyle w:val="1277"/>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31"/>
        <w:jc w:val="center"/>
        <w:pageBreakBefore w:val="0"/>
        <w:spacing w:line="312" w:lineRule="auto"/>
        <w:widowControl w:val="off"/>
        <w:rPr>
          <w:rStyle w:val="1277"/>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31"/>
        <w:jc w:val="center"/>
        <w:pageBreakBefore w:val="0"/>
        <w:spacing w:line="312" w:lineRule="auto"/>
        <w:widowControl w:val="off"/>
        <w:rPr>
          <w:rStyle w:val="1277"/>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84"/>
          <w:szCs w:val="84"/>
          <w:highlight w:val="none"/>
        </w:rPr>
        <w:t xml:space="preserve">竞争性磋商文件</w:t>
      </w:r>
      <w:r/>
    </w:p>
    <w:p>
      <w:pPr>
        <w:pStyle w:val="1031"/>
        <w:jc w:val="left"/>
        <w:pageBreakBefore w:val="0"/>
        <w:spacing w:line="312" w:lineRule="auto"/>
        <w:widowControl w:val="off"/>
        <w:rPr>
          <w:rStyle w:val="1277"/>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32"/>
        <w:pageBreakBefore w:val="0"/>
        <w:spacing w:line="312" w:lineRule="auto"/>
        <w:rPr>
          <w:rFonts w:hint="eastAsia"/>
          <w:color w:val="auto"/>
          <w:highlight w:val="none"/>
        </w:rPr>
      </w:pPr>
      <w:r>
        <w:rPr>
          <w:rFonts w:hint="eastAsia"/>
          <w:color w:val="auto"/>
          <w:highlight w:val="none"/>
        </w:rPr>
      </w:r>
      <w:r/>
    </w:p>
    <w:p>
      <w:pPr>
        <w:pStyle w:val="1032"/>
        <w:pageBreakBefore w:val="0"/>
        <w:spacing w:line="312" w:lineRule="auto"/>
        <w:rPr>
          <w:rFonts w:hint="eastAsia"/>
          <w:color w:val="auto"/>
          <w:highlight w:val="none"/>
        </w:rPr>
      </w:pPr>
      <w:r>
        <w:rPr>
          <w:rFonts w:hint="eastAsia"/>
          <w:color w:val="auto"/>
          <w:highlight w:val="none"/>
        </w:rPr>
      </w:r>
      <w:r/>
    </w:p>
    <w:p>
      <w:pPr>
        <w:pStyle w:val="1032"/>
        <w:pageBreakBefore w:val="0"/>
        <w:spacing w:line="312" w:lineRule="auto"/>
        <w:rPr>
          <w:rFonts w:hint="eastAsia"/>
          <w:color w:val="auto"/>
          <w:highlight w:val="none"/>
        </w:rPr>
      </w:pPr>
      <w:r>
        <w:rPr>
          <w:rFonts w:hint="eastAsia"/>
          <w:color w:val="auto"/>
          <w:highlight w:val="none"/>
        </w:rPr>
      </w:r>
      <w:r/>
    </w:p>
    <w:p>
      <w:pPr>
        <w:pStyle w:val="1031"/>
        <w:ind w:firstLine="63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left="839" w:firstLine="420"/>
        <w:jc w:val="left"/>
        <w:keepLines w:val="0"/>
        <w:keepNext w:val="0"/>
        <w:pageBreakBefore w:val="0"/>
        <w:spacing w:line="480" w:lineRule="auto"/>
        <w:widowControl w:val="off"/>
        <w:rPr>
          <w:rStyle w:val="1277"/>
          <w:rFonts w:hint="eastAsia" w:ascii="仿宋" w:hAnsi="仿宋" w:eastAsia="仿宋" w:cs="仿宋"/>
          <w:color w:val="auto"/>
          <w:sz w:val="28"/>
          <w:szCs w:val="28"/>
          <w:highlight w:val="none"/>
          <w:lang w:eastAsia="zh-CN"/>
        </w:rPr>
      </w:pPr>
      <w:r>
        <w:rPr>
          <w:rStyle w:val="1277"/>
          <w:rFonts w:hint="eastAsia" w:ascii="仿宋" w:hAnsi="仿宋" w:eastAsia="仿宋" w:cs="仿宋"/>
          <w:color w:val="auto"/>
          <w:sz w:val="28"/>
          <w:szCs w:val="28"/>
          <w:highlight w:val="none"/>
        </w:rPr>
        <w:t xml:space="preserve">项目名称：</w:t>
      </w:r>
      <w:r>
        <w:rPr>
          <w:rStyle w:val="1277"/>
          <w:rFonts w:hint="eastAsia" w:ascii="仿宋" w:hAnsi="仿宋" w:eastAsia="仿宋" w:cs="仿宋"/>
          <w:color w:val="auto"/>
          <w:sz w:val="28"/>
          <w:szCs w:val="28"/>
          <w:highlight w:val="none"/>
          <w:lang w:eastAsia="zh-CN"/>
        </w:rPr>
        <w:t xml:space="preserve">2026年新增市管绿地养护管理</w:t>
      </w:r>
      <w:r/>
    </w:p>
    <w:p>
      <w:pPr>
        <w:pStyle w:val="1031"/>
        <w:ind w:left="839" w:firstLine="420"/>
        <w:jc w:val="left"/>
        <w:keepLines w:val="0"/>
        <w:keepNext w:val="0"/>
        <w:pageBreakBefore w:val="0"/>
        <w:spacing w:line="480" w:lineRule="auto"/>
        <w:widowControl w:val="off"/>
        <w:rPr>
          <w:rStyle w:val="1277"/>
          <w:rFonts w:hint="eastAsia" w:ascii="仿宋" w:hAnsi="仿宋" w:eastAsia="仿宋" w:cs="仿宋"/>
          <w:color w:val="auto"/>
          <w:sz w:val="28"/>
          <w:szCs w:val="28"/>
          <w:highlight w:val="none"/>
          <w:lang w:eastAsia="zh-CN"/>
        </w:rPr>
      </w:pPr>
      <w:r>
        <w:rPr>
          <w:rStyle w:val="1277"/>
          <w:rFonts w:hint="eastAsia" w:ascii="仿宋" w:hAnsi="仿宋" w:eastAsia="仿宋" w:cs="仿宋"/>
          <w:color w:val="auto"/>
          <w:sz w:val="28"/>
          <w:szCs w:val="28"/>
          <w:highlight w:val="none"/>
        </w:rPr>
        <w:t xml:space="preserve">项目编号：</w:t>
      </w:r>
      <w:r>
        <w:rPr>
          <w:rStyle w:val="1277"/>
          <w:rFonts w:hint="eastAsia" w:ascii="仿宋" w:hAnsi="仿宋" w:eastAsia="仿宋" w:cs="仿宋"/>
          <w:color w:val="auto"/>
          <w:sz w:val="28"/>
          <w:szCs w:val="28"/>
          <w:highlight w:val="none"/>
          <w:lang w:eastAsia="zh-CN"/>
        </w:rPr>
        <w:t xml:space="preserve">JSZC-320300-JSKJ-C2026-0009</w:t>
      </w:r>
      <w:r/>
    </w:p>
    <w:p>
      <w:pPr>
        <w:pStyle w:val="1031"/>
        <w:ind w:left="839" w:firstLine="420"/>
        <w:jc w:val="left"/>
        <w:keepLines w:val="0"/>
        <w:keepNext w:val="0"/>
        <w:pageBreakBefore w:val="0"/>
        <w:spacing w:line="480" w:lineRule="auto"/>
        <w:widowControl w:val="off"/>
        <w:rPr>
          <w:rStyle w:val="1277"/>
          <w:rFonts w:hint="eastAsia" w:ascii="仿宋" w:hAnsi="仿宋" w:eastAsia="仿宋" w:cs="仿宋"/>
          <w:color w:val="auto"/>
          <w:sz w:val="28"/>
          <w:szCs w:val="28"/>
          <w:highlight w:val="none"/>
          <w:lang w:eastAsia="zh-CN"/>
        </w:rPr>
      </w:pPr>
      <w:r>
        <w:rPr>
          <w:rStyle w:val="1277"/>
          <w:rFonts w:hint="eastAsia" w:ascii="仿宋" w:hAnsi="仿宋" w:eastAsia="仿宋" w:cs="仿宋"/>
          <w:color w:val="auto"/>
          <w:sz w:val="28"/>
          <w:szCs w:val="28"/>
          <w:highlight w:val="none"/>
        </w:rPr>
        <w:t xml:space="preserve">采 购 人：</w:t>
      </w:r>
      <w:r>
        <w:rPr>
          <w:rStyle w:val="1277"/>
          <w:rFonts w:hint="eastAsia" w:ascii="仿宋" w:hAnsi="仿宋" w:eastAsia="仿宋" w:cs="仿宋"/>
          <w:color w:val="auto"/>
          <w:sz w:val="28"/>
          <w:szCs w:val="28"/>
          <w:highlight w:val="none"/>
          <w:lang w:eastAsia="zh-CN"/>
        </w:rPr>
        <w:t xml:space="preserve">徐州市住房和城乡建设局</w:t>
      </w:r>
      <w:r/>
    </w:p>
    <w:p>
      <w:pPr>
        <w:pStyle w:val="1031"/>
        <w:ind w:firstLine="96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firstLine="96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2"/>
        <w:pageBreakBefore w:val="0"/>
        <w:spacing w:line="312" w:lineRule="auto"/>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left="0" w:firstLine="0"/>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4776470" cy="685800"/>
                <wp:effectExtent l="0" t="0" r="508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24"/>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6.1pt;height:54.0pt;mso-wrap-distance-left:0.0pt;mso-wrap-distance-top:0.0pt;mso-wrap-distance-right:0.0pt;mso-wrap-distance-bottom:0.0pt;" stroked="f">
                <v:path textboxrect="0,0,0,0"/>
                <v:imagedata r:id="rId24" o:title=""/>
              </v:shape>
            </w:pict>
          </mc:Fallback>
        </mc:AlternateContent>
      </w:r>
      <w:r/>
    </w:p>
    <w:p>
      <w:pPr>
        <w:pStyle w:val="1032"/>
        <w:ind w:left="0" w:right="0" w:firstLine="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2"/>
        <w:ind w:left="0" w:right="0" w:firstLine="56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8"/>
          <w:szCs w:val="28"/>
          <w:highlight w:val="none"/>
        </w:rPr>
        <w:t xml:space="preserve">二〇二</w:t>
      </w:r>
      <w:r>
        <w:rPr>
          <w:rStyle w:val="1277"/>
          <w:rFonts w:hint="eastAsia" w:ascii="仿宋" w:hAnsi="仿宋" w:eastAsia="仿宋" w:cs="仿宋"/>
          <w:color w:val="auto"/>
          <w:sz w:val="28"/>
          <w:szCs w:val="28"/>
          <w:highlight w:val="none"/>
          <w:lang w:val="en-US" w:eastAsia="zh-CN"/>
        </w:rPr>
        <w:t xml:space="preserve">六</w:t>
      </w:r>
      <w:r>
        <w:rPr>
          <w:rStyle w:val="1277"/>
          <w:rFonts w:hint="eastAsia" w:ascii="仿宋" w:hAnsi="仿宋" w:eastAsia="仿宋" w:cs="仿宋"/>
          <w:color w:val="auto"/>
          <w:sz w:val="28"/>
          <w:szCs w:val="28"/>
          <w:highlight w:val="none"/>
        </w:rPr>
        <w:t xml:space="preserve">年</w:t>
      </w:r>
      <w:r>
        <w:rPr>
          <w:rStyle w:val="1277"/>
          <w:rFonts w:hint="eastAsia" w:ascii="仿宋" w:hAnsi="仿宋" w:eastAsia="仿宋" w:cs="仿宋"/>
          <w:color w:val="auto"/>
          <w:sz w:val="28"/>
          <w:szCs w:val="28"/>
          <w:highlight w:val="none"/>
          <w:lang w:val="en-US" w:eastAsia="zh-CN"/>
        </w:rPr>
        <w:t xml:space="preserve">四</w:t>
      </w:r>
      <w:r>
        <w:rPr>
          <w:rStyle w:val="1277"/>
          <w:rFonts w:hint="eastAsia" w:ascii="仿宋" w:hAnsi="仿宋" w:eastAsia="仿宋" w:cs="仿宋"/>
          <w:color w:val="auto"/>
          <w:sz w:val="28"/>
          <w:szCs w:val="28"/>
          <w:highlight w:val="none"/>
        </w:rPr>
        <w:t xml:space="preserve">月</w:t>
      </w:r>
      <w:r>
        <w:rPr>
          <w:rStyle w:val="1277"/>
          <w:rFonts w:hint="eastAsia" w:ascii="仿宋" w:hAnsi="仿宋" w:eastAsia="仿宋" w:cs="仿宋"/>
          <w:color w:val="auto"/>
          <w:sz w:val="24"/>
          <w:szCs w:val="24"/>
          <w:highlight w:val="none"/>
        </w:rPr>
        <w:t xml:space="preserve"> </w:t>
      </w:r>
      <w:r/>
    </w:p>
    <w:p>
      <w:pPr>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r>
      <w:r/>
    </w:p>
    <w:sdt>
      <w:sdtPr>
        <w15:appearance w15:val="boundingBox"/>
        <w:id w:val="147480767"/>
        <w:docPartObj>
          <w:docPartGallery w:val="Table of Contents"/>
          <w:docPartUnique w:val="true"/>
        </w:docPartObj>
        <w:rPr>
          <w:rFonts w:hint="eastAsia" w:ascii="仿宋" w:hAnsi="仿宋" w:eastAsia="仿宋" w:cs="仿宋"/>
          <w:color w:val="auto"/>
          <w:sz w:val="24"/>
          <w:szCs w:val="24"/>
          <w:highlight w:val="none"/>
        </w:rPr>
      </w:sdtPr>
      <w:sdtContent>
        <w:p>
          <w:pPr>
            <w:jc w:val="cente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pStyle w:val="1006"/>
            <w:tabs>
              <w:tab w:val="right" w:pos="9692"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 \o "1-2" \h \u </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_Toc15165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第一章 项目说明</w:t>
          </w:r>
          <w:r>
            <w:rPr>
              <w:color w:val="auto"/>
              <w:highlight w:val="none"/>
            </w:rPr>
            <w:tab/>
          </w:r>
          <w:r>
            <w:rPr>
              <w:color w:val="auto"/>
              <w:highlight w:val="none"/>
            </w:rPr>
            <w:fldChar w:fldCharType="begin"/>
          </w:r>
          <w:r>
            <w:rPr>
              <w:color w:val="auto"/>
              <w:highlight w:val="none"/>
            </w:rPr>
            <w:instrText xml:space="preserve"> PAGEREF _Toc15165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_Toc12574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第二章 响应文件要求</w:t>
          </w:r>
          <w:r>
            <w:rPr>
              <w:color w:val="auto"/>
              <w:highlight w:val="none"/>
            </w:rPr>
            <w:tab/>
          </w:r>
          <w:r>
            <w:rPr>
              <w:color w:val="auto"/>
              <w:highlight w:val="none"/>
            </w:rPr>
            <w:fldChar w:fldCharType="begin"/>
          </w:r>
          <w:r>
            <w:rPr>
              <w:color w:val="auto"/>
              <w:highlight w:val="none"/>
            </w:rPr>
            <w:instrText xml:space="preserve"> PAGEREF _Toc12574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_Toc26385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第三章 磋商相关说明</w:t>
          </w:r>
          <w:r>
            <w:rPr>
              <w:color w:val="auto"/>
              <w:highlight w:val="none"/>
            </w:rPr>
            <w:tab/>
          </w:r>
          <w:r>
            <w:rPr>
              <w:color w:val="auto"/>
              <w:highlight w:val="none"/>
            </w:rPr>
            <w:fldChar w:fldCharType="begin"/>
          </w:r>
          <w:r>
            <w:rPr>
              <w:color w:val="auto"/>
              <w:highlight w:val="none"/>
            </w:rPr>
            <w:instrText xml:space="preserve"> PAGEREF _Toc26385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_Toc22819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第四章 确定成交供应商及合同签订等</w:t>
          </w:r>
          <w:r>
            <w:rPr>
              <w:color w:val="auto"/>
              <w:highlight w:val="none"/>
            </w:rPr>
            <w:tab/>
          </w:r>
          <w:r>
            <w:rPr>
              <w:color w:val="auto"/>
              <w:highlight w:val="none"/>
            </w:rPr>
            <w:fldChar w:fldCharType="begin"/>
          </w:r>
          <w:r>
            <w:rPr>
              <w:color w:val="auto"/>
              <w:highlight w:val="none"/>
            </w:rPr>
            <w:instrText xml:space="preserve"> PAGEREF _Toc22819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_Toc30492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第五章 磋商文件的澄清或者修改</w:t>
          </w:r>
          <w:r>
            <w:rPr>
              <w:color w:val="auto"/>
              <w:highlight w:val="none"/>
            </w:rPr>
            <w:tab/>
          </w:r>
          <w:r>
            <w:rPr>
              <w:color w:val="auto"/>
              <w:highlight w:val="none"/>
            </w:rPr>
            <w:fldChar w:fldCharType="begin"/>
          </w:r>
          <w:r>
            <w:rPr>
              <w:color w:val="auto"/>
              <w:highlight w:val="none"/>
            </w:rPr>
            <w:instrText xml:space="preserve"> PAGEREF _Toc30492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_Toc28886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第六章 询问和质疑</w:t>
          </w:r>
          <w:r>
            <w:rPr>
              <w:color w:val="auto"/>
              <w:highlight w:val="none"/>
            </w:rPr>
            <w:tab/>
          </w:r>
          <w:r>
            <w:rPr>
              <w:color w:val="auto"/>
              <w:highlight w:val="none"/>
            </w:rPr>
            <w:fldChar w:fldCharType="begin"/>
          </w:r>
          <w:r>
            <w:rPr>
              <w:color w:val="auto"/>
              <w:highlight w:val="none"/>
            </w:rPr>
            <w:instrText xml:space="preserve"> PAGEREF _Toc28886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_Toc14377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第七章 评分细则（综合评分法）</w:t>
          </w:r>
          <w:r>
            <w:rPr>
              <w:color w:val="auto"/>
              <w:highlight w:val="none"/>
            </w:rPr>
            <w:tab/>
          </w:r>
          <w:r>
            <w:rPr>
              <w:color w:val="auto"/>
              <w:highlight w:val="none"/>
            </w:rPr>
            <w:fldChar w:fldCharType="begin"/>
          </w:r>
          <w:r>
            <w:rPr>
              <w:color w:val="auto"/>
              <w:highlight w:val="none"/>
            </w:rPr>
            <w:instrText xml:space="preserve"> PAGEREF _Toc14377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_Toc30302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第八章 项目要求（采购需求）</w:t>
          </w:r>
          <w:r>
            <w:rPr>
              <w:color w:val="auto"/>
              <w:highlight w:val="none"/>
            </w:rPr>
            <w:tab/>
          </w:r>
          <w:r>
            <w:rPr>
              <w:color w:val="auto"/>
              <w:highlight w:val="none"/>
            </w:rPr>
            <w:fldChar w:fldCharType="begin"/>
          </w:r>
          <w:r>
            <w:rPr>
              <w:color w:val="auto"/>
              <w:highlight w:val="none"/>
            </w:rPr>
            <w:instrText xml:space="preserve"> PAGEREF _Toc30302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_Toc10788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第九章 响应文件相关格式</w:t>
          </w:r>
          <w:r>
            <w:rPr>
              <w:color w:val="auto"/>
              <w:highlight w:val="none"/>
            </w:rPr>
            <w:tab/>
          </w:r>
          <w:r>
            <w:rPr>
              <w:color w:val="auto"/>
              <w:highlight w:val="none"/>
            </w:rPr>
            <w:fldChar w:fldCharType="begin"/>
          </w:r>
          <w:r>
            <w:rPr>
              <w:color w:val="auto"/>
              <w:highlight w:val="none"/>
            </w:rPr>
            <w:instrText xml:space="preserve"> PAGEREF _Toc10788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_Toc720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一、承诺书</w:t>
          </w:r>
          <w:r>
            <w:rPr>
              <w:color w:val="auto"/>
              <w:highlight w:val="none"/>
            </w:rPr>
            <w:tab/>
          </w:r>
          <w:r>
            <w:rPr>
              <w:color w:val="auto"/>
              <w:highlight w:val="none"/>
            </w:rPr>
            <w:fldChar w:fldCharType="begin"/>
          </w:r>
          <w:r>
            <w:rPr>
              <w:color w:val="auto"/>
              <w:highlight w:val="none"/>
            </w:rPr>
            <w:instrText xml:space="preserve"> PAGEREF _Toc720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_Toc8001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二、磋商报价表</w:t>
          </w:r>
          <w:r>
            <w:rPr>
              <w:color w:val="auto"/>
              <w:highlight w:val="none"/>
            </w:rPr>
            <w:tab/>
          </w:r>
          <w:r>
            <w:rPr>
              <w:color w:val="auto"/>
              <w:highlight w:val="none"/>
            </w:rPr>
            <w:fldChar w:fldCharType="begin"/>
          </w:r>
          <w:r>
            <w:rPr>
              <w:color w:val="auto"/>
              <w:highlight w:val="none"/>
            </w:rPr>
            <w:instrText xml:space="preserve"> PAGEREF _Toc8001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_Toc3899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三、分项价格表</w:t>
          </w:r>
          <w:r>
            <w:rPr>
              <w:color w:val="auto"/>
              <w:highlight w:val="none"/>
            </w:rPr>
            <w:tab/>
          </w:r>
          <w:r>
            <w:rPr>
              <w:color w:val="auto"/>
              <w:highlight w:val="none"/>
            </w:rPr>
            <w:fldChar w:fldCharType="begin"/>
          </w:r>
          <w:r>
            <w:rPr>
              <w:color w:val="auto"/>
              <w:highlight w:val="none"/>
            </w:rPr>
            <w:instrText xml:space="preserve"> PAGEREF _Toc3899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_Toc1368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四</w:t>
          </w:r>
          <w:r>
            <w:rPr>
              <w:rFonts w:hint="eastAsia" w:ascii="仿宋" w:hAnsi="仿宋" w:eastAsia="仿宋" w:cs="仿宋"/>
              <w:color w:val="auto"/>
              <w:szCs w:val="24"/>
              <w:highlight w:val="none"/>
            </w:rPr>
            <w:t xml:space="preserve">、</w:t>
          </w:r>
          <w:r>
            <w:rPr>
              <w:rFonts w:hint="eastAsia" w:ascii="仿宋" w:hAnsi="仿宋" w:eastAsia="仿宋" w:cs="仿宋"/>
              <w:bCs/>
              <w:color w:val="auto"/>
              <w:szCs w:val="24"/>
              <w:highlight w:val="none"/>
            </w:rPr>
            <w:t xml:space="preserve">偏离表</w:t>
          </w:r>
          <w:r>
            <w:rPr>
              <w:color w:val="auto"/>
              <w:highlight w:val="none"/>
            </w:rPr>
            <w:tab/>
          </w:r>
          <w:r>
            <w:rPr>
              <w:color w:val="auto"/>
              <w:highlight w:val="none"/>
            </w:rPr>
            <w:fldChar w:fldCharType="begin"/>
          </w:r>
          <w:r>
            <w:rPr>
              <w:color w:val="auto"/>
              <w:highlight w:val="none"/>
            </w:rPr>
            <w:instrText xml:space="preserve"> PAGEREF _Toc1368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_Toc20243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五</w:t>
          </w:r>
          <w:r>
            <w:rPr>
              <w:rFonts w:hint="eastAsia" w:ascii="仿宋" w:hAnsi="仿宋" w:eastAsia="仿宋" w:cs="仿宋"/>
              <w:color w:val="auto"/>
              <w:szCs w:val="24"/>
              <w:highlight w:val="none"/>
            </w:rPr>
            <w:t xml:space="preserve">、授权委托书</w:t>
          </w:r>
          <w:r>
            <w:rPr>
              <w:color w:val="auto"/>
              <w:highlight w:val="none"/>
            </w:rPr>
            <w:tab/>
          </w:r>
          <w:r>
            <w:rPr>
              <w:color w:val="auto"/>
              <w:highlight w:val="none"/>
            </w:rPr>
            <w:fldChar w:fldCharType="begin"/>
          </w:r>
          <w:r>
            <w:rPr>
              <w:color w:val="auto"/>
              <w:highlight w:val="none"/>
            </w:rPr>
            <w:instrText xml:space="preserve"> PAGEREF _Toc20243 \h </w:instrText>
          </w:r>
          <w:r>
            <w:rPr>
              <w:color w:val="auto"/>
              <w:highlight w:val="none"/>
            </w:rPr>
            <w:fldChar w:fldCharType="separate"/>
          </w:r>
          <w:r>
            <w:rPr>
              <w:color w:val="auto"/>
              <w:highlight w:val="none"/>
            </w:rPr>
            <w:t xml:space="preserve">30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_Toc13083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六</w:t>
          </w:r>
          <w:r>
            <w:rPr>
              <w:rFonts w:hint="eastAsia" w:ascii="仿宋" w:hAnsi="仿宋" w:eastAsia="仿宋" w:cs="仿宋"/>
              <w:color w:val="auto"/>
              <w:szCs w:val="24"/>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_Toc13083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_Toc13066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七</w:t>
          </w:r>
          <w:r>
            <w:rPr>
              <w:rFonts w:hint="eastAsia" w:ascii="仿宋" w:hAnsi="仿宋" w:eastAsia="仿宋" w:cs="仿宋"/>
              <w:bCs/>
              <w:color w:val="auto"/>
              <w:szCs w:val="24"/>
              <w:highlight w:val="none"/>
            </w:rPr>
            <w:t xml:space="preserve">、残疾人福利性单位声明函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lang w:val="en-US" w:eastAsia="zh-CN"/>
            </w:rPr>
            <w:t xml:space="preserve">非</w:t>
          </w:r>
          <w:r>
            <w:rPr>
              <w:rFonts w:hint="eastAsia" w:ascii="仿宋" w:hAnsi="仿宋" w:eastAsia="仿宋" w:cs="仿宋"/>
              <w:bCs/>
              <w:color w:val="auto"/>
              <w:szCs w:val="24"/>
              <w:highlight w:val="none"/>
            </w:rPr>
            <w:t xml:space="preserve">残疾人福利性单位</w:t>
          </w:r>
          <w:r>
            <w:rPr>
              <w:rFonts w:hint="eastAsia" w:ascii="仿宋" w:hAnsi="仿宋" w:eastAsia="仿宋" w:cs="仿宋"/>
              <w:bCs/>
              <w:color w:val="auto"/>
              <w:szCs w:val="24"/>
              <w:highlight w:val="none"/>
              <w:lang w:val="en-US" w:eastAsia="zh-CN"/>
            </w:rPr>
            <w:t xml:space="preserve">可以不提供）</w:t>
          </w:r>
          <w:r>
            <w:rPr>
              <w:color w:val="auto"/>
              <w:highlight w:val="none"/>
            </w:rPr>
            <w:tab/>
          </w:r>
          <w:r>
            <w:rPr>
              <w:color w:val="auto"/>
              <w:highlight w:val="none"/>
            </w:rPr>
            <w:fldChar w:fldCharType="begin"/>
          </w:r>
          <w:r>
            <w:rPr>
              <w:color w:val="auto"/>
              <w:highlight w:val="none"/>
            </w:rPr>
            <w:instrText xml:space="preserve"> PAGEREF _Toc13066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_Toc8214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八</w:t>
          </w:r>
          <w:r>
            <w:rPr>
              <w:rFonts w:hint="eastAsia" w:ascii="仿宋" w:hAnsi="仿宋" w:eastAsia="仿宋" w:cs="仿宋"/>
              <w:color w:val="auto"/>
              <w:szCs w:val="24"/>
              <w:highlight w:val="none"/>
            </w:rPr>
            <w:t xml:space="preserve">、供应商参加政府采购活动前3年内在经营活动中没有重大违法记录的书面声明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_Toc8214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_Toc32663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九</w:t>
          </w:r>
          <w:r>
            <w:rPr>
              <w:rFonts w:hint="eastAsia" w:ascii="仿宋" w:hAnsi="仿宋" w:eastAsia="仿宋" w:cs="仿宋"/>
              <w:color w:val="auto"/>
              <w:szCs w:val="24"/>
              <w:highlight w:val="none"/>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_Toc32663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_Toc26008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bidi="ar-SA"/>
            </w:rPr>
            <w:t xml:space="preserve">十、供应商相关承诺</w:t>
          </w:r>
          <w:r>
            <w:rPr>
              <w:color w:val="auto"/>
              <w:highlight w:val="none"/>
            </w:rPr>
            <w:tab/>
          </w:r>
          <w:r>
            <w:rPr>
              <w:color w:val="auto"/>
              <w:highlight w:val="none"/>
            </w:rPr>
            <w:fldChar w:fldCharType="begin"/>
          </w:r>
          <w:r>
            <w:rPr>
              <w:color w:val="auto"/>
              <w:highlight w:val="none"/>
            </w:rPr>
            <w:instrText xml:space="preserve"> PAGEREF _Toc26008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_Toc31924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十一、</w:t>
          </w:r>
          <w:r>
            <w:rPr>
              <w:rFonts w:hint="eastAsia" w:ascii="仿宋" w:hAnsi="仿宋" w:eastAsia="仿宋" w:cs="仿宋"/>
              <w:bCs/>
              <w:color w:val="auto"/>
              <w:szCs w:val="24"/>
              <w:highlight w:val="none"/>
              <w:lang w:val="en-US" w:eastAsia="zh-CN"/>
            </w:rPr>
            <w:t xml:space="preserve">供应商书面声明</w:t>
          </w:r>
          <w:r>
            <w:rPr>
              <w:color w:val="auto"/>
              <w:highlight w:val="none"/>
            </w:rPr>
            <w:tab/>
          </w:r>
          <w:r>
            <w:rPr>
              <w:color w:val="auto"/>
              <w:highlight w:val="none"/>
            </w:rPr>
            <w:fldChar w:fldCharType="begin"/>
          </w:r>
          <w:r>
            <w:rPr>
              <w:color w:val="auto"/>
              <w:highlight w:val="none"/>
            </w:rPr>
            <w:instrText xml:space="preserve"> PAGEREF _Toc31924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_Toc6134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十二、项目总负责人简历表</w:t>
          </w:r>
          <w:r>
            <w:rPr>
              <w:color w:val="auto"/>
              <w:highlight w:val="none"/>
            </w:rPr>
            <w:tab/>
          </w:r>
          <w:r>
            <w:rPr>
              <w:color w:val="auto"/>
              <w:highlight w:val="none"/>
            </w:rPr>
            <w:fldChar w:fldCharType="begin"/>
          </w:r>
          <w:r>
            <w:rPr>
              <w:color w:val="auto"/>
              <w:highlight w:val="none"/>
            </w:rPr>
            <w:instrText xml:space="preserve"> PAGEREF _Toc6134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_Toc12447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十三 、1工作人员配备要求</w:t>
          </w:r>
          <w:r>
            <w:rPr>
              <w:color w:val="auto"/>
              <w:highlight w:val="none"/>
            </w:rPr>
            <w:tab/>
          </w:r>
          <w:r>
            <w:rPr>
              <w:color w:val="auto"/>
              <w:highlight w:val="none"/>
            </w:rPr>
            <w:fldChar w:fldCharType="begin"/>
          </w:r>
          <w:r>
            <w:rPr>
              <w:color w:val="auto"/>
              <w:highlight w:val="none"/>
            </w:rPr>
            <w:instrText xml:space="preserve"> PAGEREF _Toc12447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_Toc17091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十三、2供应商对“工作人员配备要求”的承诺</w:t>
          </w:r>
          <w:r>
            <w:rPr>
              <w:color w:val="auto"/>
              <w:highlight w:val="none"/>
            </w:rPr>
            <w:tab/>
          </w:r>
          <w:r>
            <w:rPr>
              <w:color w:val="auto"/>
              <w:highlight w:val="none"/>
            </w:rPr>
            <w:fldChar w:fldCharType="begin"/>
          </w:r>
          <w:r>
            <w:rPr>
              <w:color w:val="auto"/>
              <w:highlight w:val="none"/>
            </w:rPr>
            <w:instrText xml:space="preserve"> PAGEREF _Toc17091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_Toc26025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十四、供应商对“养护管理机械机具设备配置要求”的承诺</w:t>
          </w:r>
          <w:r>
            <w:rPr>
              <w:color w:val="auto"/>
              <w:highlight w:val="none"/>
            </w:rPr>
            <w:tab/>
          </w:r>
          <w:r>
            <w:rPr>
              <w:color w:val="auto"/>
              <w:highlight w:val="none"/>
            </w:rPr>
            <w:fldChar w:fldCharType="begin"/>
          </w:r>
          <w:r>
            <w:rPr>
              <w:color w:val="auto"/>
              <w:highlight w:val="none"/>
            </w:rPr>
            <w:instrText xml:space="preserve"> PAGEREF _Toc26025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_Toc26613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第十章 拟签订的合同文本</w:t>
          </w:r>
          <w:r>
            <w:rPr>
              <w:color w:val="auto"/>
              <w:highlight w:val="none"/>
            </w:rPr>
            <w:tab/>
          </w:r>
          <w:r>
            <w:rPr>
              <w:color w:val="auto"/>
              <w:highlight w:val="none"/>
            </w:rPr>
            <w:fldChar w:fldCharType="begin"/>
          </w:r>
          <w:r>
            <w:rPr>
              <w:color w:val="auto"/>
              <w:highlight w:val="none"/>
            </w:rPr>
            <w:instrText xml:space="preserve"> PAGEREF _Toc26613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_Toc31561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第一项  总则</w:t>
          </w:r>
          <w:r>
            <w:rPr>
              <w:color w:val="auto"/>
              <w:highlight w:val="none"/>
            </w:rPr>
            <w:tab/>
          </w:r>
          <w:r>
            <w:rPr>
              <w:color w:val="auto"/>
              <w:highlight w:val="none"/>
            </w:rPr>
            <w:fldChar w:fldCharType="begin"/>
          </w:r>
          <w:r>
            <w:rPr>
              <w:color w:val="auto"/>
              <w:highlight w:val="none"/>
            </w:rPr>
            <w:instrText xml:space="preserve"> PAGEREF _Toc31561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_Toc8465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第二项  合同价款与支付</w:t>
          </w:r>
          <w:r>
            <w:rPr>
              <w:color w:val="auto"/>
              <w:highlight w:val="none"/>
            </w:rPr>
            <w:tab/>
          </w:r>
          <w:r>
            <w:rPr>
              <w:color w:val="auto"/>
              <w:highlight w:val="none"/>
            </w:rPr>
            <w:fldChar w:fldCharType="begin"/>
          </w:r>
          <w:r>
            <w:rPr>
              <w:color w:val="auto"/>
              <w:highlight w:val="none"/>
            </w:rPr>
            <w:instrText xml:space="preserve"> PAGEREF _Toc8465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_Toc17689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highlight w:val="none"/>
            </w:rPr>
            <w:t xml:space="preserve">第三项  质量与</w:t>
          </w:r>
          <w:r>
            <w:rPr>
              <w:rFonts w:hint="eastAsia" w:ascii="仿宋" w:hAnsi="仿宋" w:eastAsia="仿宋" w:cs="仿宋"/>
              <w:bCs/>
              <w:strike w:val="0"/>
              <w:color w:val="auto"/>
              <w:highlight w:val="none"/>
              <w:lang w:val="en-US" w:eastAsia="zh-CN"/>
            </w:rPr>
            <w:t xml:space="preserve">评价</w:t>
          </w:r>
          <w:r>
            <w:rPr>
              <w:color w:val="auto"/>
              <w:highlight w:val="none"/>
            </w:rPr>
            <w:tab/>
          </w:r>
          <w:r>
            <w:rPr>
              <w:color w:val="auto"/>
              <w:highlight w:val="none"/>
            </w:rPr>
            <w:fldChar w:fldCharType="begin"/>
          </w:r>
          <w:r>
            <w:rPr>
              <w:color w:val="auto"/>
              <w:highlight w:val="none"/>
            </w:rPr>
            <w:instrText xml:space="preserve"> PAGEREF _Toc17689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_Toc15059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第四项  甲乙双方的权利和义务</w:t>
          </w:r>
          <w:r>
            <w:rPr>
              <w:color w:val="auto"/>
              <w:highlight w:val="none"/>
            </w:rPr>
            <w:tab/>
          </w:r>
          <w:r>
            <w:rPr>
              <w:color w:val="auto"/>
              <w:highlight w:val="none"/>
            </w:rPr>
            <w:fldChar w:fldCharType="begin"/>
          </w:r>
          <w:r>
            <w:rPr>
              <w:color w:val="auto"/>
              <w:highlight w:val="none"/>
            </w:rPr>
            <w:instrText xml:space="preserve"> PAGEREF _Toc15059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_Toc3684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第五项  违约责任</w:t>
          </w:r>
          <w:r>
            <w:rPr>
              <w:color w:val="auto"/>
              <w:highlight w:val="none"/>
            </w:rPr>
            <w:tab/>
          </w:r>
          <w:r>
            <w:rPr>
              <w:color w:val="auto"/>
              <w:highlight w:val="none"/>
            </w:rPr>
            <w:fldChar w:fldCharType="begin"/>
          </w:r>
          <w:r>
            <w:rPr>
              <w:color w:val="auto"/>
              <w:highlight w:val="none"/>
            </w:rPr>
            <w:instrText xml:space="preserve"> PAGEREF _Toc3684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_Toc9960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第六项  合同的解除</w:t>
          </w:r>
          <w:r>
            <w:rPr>
              <w:color w:val="auto"/>
              <w:highlight w:val="none"/>
            </w:rPr>
            <w:tab/>
          </w:r>
          <w:r>
            <w:rPr>
              <w:color w:val="auto"/>
              <w:highlight w:val="none"/>
            </w:rPr>
            <w:fldChar w:fldCharType="begin"/>
          </w:r>
          <w:r>
            <w:rPr>
              <w:color w:val="auto"/>
              <w:highlight w:val="none"/>
            </w:rPr>
            <w:instrText xml:space="preserve"> PAGEREF _Toc9960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13"/>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_Toc20327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bidi="ar-SA"/>
            </w:rPr>
            <w:t xml:space="preserve">第七项  其他</w:t>
          </w:r>
          <w:r>
            <w:rPr>
              <w:color w:val="auto"/>
              <w:highlight w:val="none"/>
            </w:rPr>
            <w:tab/>
          </w:r>
          <w:r>
            <w:rPr>
              <w:color w:val="auto"/>
              <w:highlight w:val="none"/>
            </w:rPr>
            <w:fldChar w:fldCharType="begin"/>
          </w:r>
          <w:r>
            <w:rPr>
              <w:color w:val="auto"/>
              <w:highlight w:val="none"/>
            </w:rPr>
            <w:instrText xml:space="preserve"> PAGEREF _Toc20327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06"/>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_Toc15545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第十一章 《徐州市政府采购业务代理服务费行业指导价格标准》</w:t>
          </w:r>
          <w:r>
            <w:rPr>
              <w:color w:val="auto"/>
              <w:highlight w:val="none"/>
            </w:rPr>
            <w:tab/>
          </w:r>
          <w:r>
            <w:rPr>
              <w:color w:val="auto"/>
              <w:highlight w:val="none"/>
            </w:rPr>
            <w:fldChar w:fldCharType="begin"/>
          </w:r>
          <w:r>
            <w:rPr>
              <w:color w:val="auto"/>
              <w:highlight w:val="none"/>
            </w:rPr>
            <w:instrText xml:space="preserve"> PAGEREF _Toc15545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371"/>
            <w:jc w:val="both"/>
            <w:keepLines w:val="0"/>
            <w:keepNext w:val="0"/>
            <w:pageBreakBefore w:val="0"/>
            <w:spacing w:line="312"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Cs/>
              <w:color w:val="auto"/>
              <w:szCs w:val="24"/>
              <w:highlight w:val="none"/>
              <w:lang w:val="zh-CN"/>
            </w:rPr>
            <w:fldChar w:fldCharType="end"/>
          </w:r>
          <w:r/>
        </w:p>
      </w:sdtContent>
    </w:sdt>
    <w:p>
      <w:pPr>
        <w:pStyle w:val="1031"/>
        <w:ind w:firstLine="320"/>
        <w:jc w:val="center"/>
        <w:pageBreakBefore w:val="0"/>
        <w:spacing w:line="312" w:lineRule="auto"/>
        <w:widowControl w:val="off"/>
        <w:rPr>
          <w:rStyle w:val="1277"/>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31"/>
        <w:ind w:firstLine="320"/>
        <w:jc w:val="center"/>
        <w:pageBreakBefore w:val="0"/>
        <w:spacing w:line="312" w:lineRule="auto"/>
        <w:widowControl w:val="off"/>
        <w:rPr>
          <w:rStyle w:val="1277"/>
          <w:rFonts w:hint="eastAsia" w:ascii="仿宋" w:hAnsi="仿宋" w:eastAsia="仿宋" w:cs="仿宋"/>
          <w:b/>
          <w:color w:val="auto"/>
          <w:sz w:val="24"/>
          <w:szCs w:val="24"/>
          <w:highlight w:val="none"/>
        </w:rPr>
        <w:sectPr>
          <w:headerReference w:type="default" r:id="rId9"/>
          <w:footerReference w:type="default" r:id="rId11"/>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b/>
          <w:color w:val="auto"/>
          <w:sz w:val="24"/>
          <w:szCs w:val="24"/>
          <w:highlight w:val="none"/>
        </w:rPr>
      </w:pPr>
      <w:r>
        <w:rPr>
          <w:rStyle w:val="1277"/>
          <w:rFonts w:hint="eastAsia" w:ascii="仿宋" w:hAnsi="仿宋" w:eastAsia="仿宋" w:cs="仿宋"/>
          <w:b/>
          <w:color w:val="auto"/>
          <w:sz w:val="24"/>
          <w:szCs w:val="24"/>
          <w:highlight w:val="none"/>
        </w:rPr>
        <w:t xml:space="preserve">竞争性磋商文件</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项目编号：</w:t>
      </w:r>
      <w:r>
        <w:rPr>
          <w:rStyle w:val="1277"/>
          <w:rFonts w:hint="eastAsia" w:ascii="仿宋" w:hAnsi="仿宋" w:eastAsia="仿宋" w:cs="仿宋"/>
          <w:color w:val="auto"/>
          <w:sz w:val="24"/>
          <w:szCs w:val="24"/>
          <w:highlight w:val="none"/>
          <w:lang w:eastAsia="zh-CN"/>
        </w:rPr>
        <w:t xml:space="preserve">JSZC-320300-JSKJ-C2026-0009</w:t>
      </w:r>
      <w:r>
        <w:rPr>
          <w:rStyle w:val="1277"/>
          <w:rFonts w:hint="eastAsia" w:ascii="仿宋" w:hAnsi="仿宋" w:eastAsia="仿宋" w:cs="仿宋"/>
          <w:color w:val="auto"/>
          <w:sz w:val="24"/>
          <w:szCs w:val="24"/>
          <w:highlight w:val="none"/>
        </w:rPr>
        <w:t xml:space="preserve"> </w:t>
      </w:r>
      <w:r/>
    </w:p>
    <w:p>
      <w:pPr>
        <w:pStyle w:val="1031"/>
        <w:jc w:val="left"/>
        <w:pageBreakBefore w:val="0"/>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1031"/>
        <w:ind w:firstLine="499"/>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rPr>
        <w:t xml:space="preserve">江苏科建工程项目管理有限公司</w:t>
      </w:r>
      <w:r>
        <w:rPr>
          <w:rStyle w:val="1277"/>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2026年新增市管绿地养护管理</w:t>
      </w:r>
      <w:r>
        <w:rPr>
          <w:rStyle w:val="1277"/>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246"/>
        <w:jc w:val="center"/>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bookmarkStart w:id="0" w:name="_Toc21952"/>
      <w:r/>
      <w:bookmarkStart w:id="1" w:name="_Toc15165"/>
      <w:r/>
      <w:bookmarkStart w:id="2" w:name="_Toc80122283"/>
      <w:r>
        <w:rPr>
          <w:rStyle w:val="1277"/>
          <w:rFonts w:hint="eastAsia" w:ascii="仿宋" w:hAnsi="仿宋" w:eastAsia="仿宋" w:cs="仿宋"/>
          <w:color w:val="auto"/>
          <w:sz w:val="24"/>
          <w:szCs w:val="24"/>
          <w:highlight w:val="none"/>
        </w:rPr>
        <w:t xml:space="preserve">第一章 项目说明</w:t>
      </w:r>
      <w:bookmarkEnd w:id="0"/>
      <w:r/>
      <w:bookmarkEnd w:id="1"/>
      <w:r/>
      <w:bookmarkEnd w:id="2"/>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一、项目概况</w:t>
      </w:r>
      <w:r/>
    </w:p>
    <w:p>
      <w:pPr>
        <w:pStyle w:val="1031"/>
        <w:ind w:firstLine="480"/>
        <w:jc w:val="left"/>
        <w:pageBreakBefore w:val="0"/>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r>
        <w:rPr>
          <w:rFonts w:hint="eastAsia" w:ascii="仿宋" w:hAnsi="仿宋" w:eastAsia="仿宋" w:cs="仿宋"/>
          <w:color w:val="auto"/>
          <w:sz w:val="24"/>
          <w:szCs w:val="24"/>
          <w:highlight w:val="none"/>
          <w:lang w:eastAsia="zh-CN"/>
        </w:rPr>
        <w:t xml:space="preserve">徐州市住房和城乡建设局</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277"/>
          <w:rFonts w:hint="eastAsia" w:ascii="仿宋" w:hAnsi="仿宋" w:eastAsia="仿宋" w:cs="仿宋"/>
          <w:color w:val="auto"/>
          <w:sz w:val="24"/>
          <w:szCs w:val="24"/>
          <w:highlight w:val="none"/>
          <w:lang w:eastAsia="zh-CN"/>
        </w:rPr>
        <w:t xml:space="preserve">2026年新增市管绿地养护管理</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277"/>
          <w:rFonts w:hint="eastAsia" w:ascii="仿宋" w:hAnsi="仿宋" w:eastAsia="仿宋" w:cs="仿宋"/>
          <w:color w:val="auto"/>
          <w:sz w:val="24"/>
          <w:szCs w:val="24"/>
          <w:highlight w:val="none"/>
          <w:lang w:eastAsia="zh-CN"/>
        </w:rPr>
        <w:t xml:space="preserve">JSZC-320300-JSKJ-C2026-0009</w:t>
      </w:r>
      <w:r/>
    </w:p>
    <w:p>
      <w:pPr>
        <w:pStyle w:val="1031"/>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4、采购预算（采购项目预算金额）：详见第八章《项目要求（采购需求）》。</w:t>
      </w:r>
      <w:r/>
    </w:p>
    <w:p>
      <w:pPr>
        <w:pStyle w:val="1031"/>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二、采购需求：详见第八章《项目要求（采购需求）》。</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三、采购方式：本项目采用竞争性磋商采购方式。</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采购人确定的采购项目属性：</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、采购邀请：通过发布公告的方式邀请符合相应资格条件的供应商参与竞争性磋商采购活动。</w:t>
      </w:r>
      <w:r/>
    </w:p>
    <w:p>
      <w:pPr>
        <w:pStyle w:val="1031"/>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、合同草案条款：见《磋商文件》</w:t>
      </w:r>
      <w:r>
        <w:rPr>
          <w:rFonts w:hint="eastAsia" w:ascii="仿宋" w:hAnsi="仿宋" w:eastAsia="仿宋" w:cs="仿宋"/>
          <w:color w:val="auto"/>
          <w:sz w:val="24"/>
          <w:szCs w:val="24"/>
          <w:highlight w:val="none"/>
          <w:lang w:val="en-US" w:eastAsia="zh-CN"/>
        </w:rPr>
        <w:t xml:space="preserve">第十章</w:t>
      </w:r>
      <w:r>
        <w:rPr>
          <w:rFonts w:hint="eastAsia" w:ascii="仿宋" w:hAnsi="仿宋" w:eastAsia="仿宋" w:cs="仿宋"/>
          <w:color w:val="auto"/>
          <w:sz w:val="24"/>
          <w:szCs w:val="24"/>
          <w:highlight w:val="none"/>
        </w:rPr>
        <w:t xml:space="preserve">《拟签订的合同文本》。</w:t>
      </w:r>
      <w:r/>
    </w:p>
    <w:p>
      <w:pPr>
        <w:pStyle w:val="1031"/>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七</w:t>
      </w:r>
      <w:r>
        <w:rPr>
          <w:rFonts w:hint="eastAsia" w:ascii="仿宋" w:hAnsi="仿宋" w:eastAsia="仿宋" w:cs="仿宋"/>
          <w:bCs/>
          <w:color w:val="auto"/>
          <w:sz w:val="24"/>
          <w:szCs w:val="24"/>
          <w:highlight w:val="none"/>
        </w:rPr>
        <w:t xml:space="preserve">、供应商</w:t>
      </w:r>
      <w:r>
        <w:rPr>
          <w:rFonts w:hint="eastAsia" w:ascii="仿宋" w:hAnsi="仿宋" w:eastAsia="仿宋" w:cs="仿宋"/>
          <w:color w:val="auto"/>
          <w:sz w:val="24"/>
          <w:szCs w:val="24"/>
          <w:highlight w:val="none"/>
        </w:rPr>
        <w:t xml:space="preserve">资格条件</w:t>
      </w:r>
      <w:r/>
    </w:p>
    <w:p>
      <w:pPr>
        <w:pStyle w:val="1031"/>
        <w:ind w:left="42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竞争性磋商公告（项目编号：</w:t>
      </w:r>
      <w:r>
        <w:rPr>
          <w:rStyle w:val="1277"/>
          <w:rFonts w:hint="eastAsia" w:ascii="仿宋" w:hAnsi="仿宋" w:eastAsia="仿宋" w:cs="仿宋"/>
          <w:color w:val="auto"/>
          <w:sz w:val="24"/>
          <w:szCs w:val="24"/>
          <w:highlight w:val="none"/>
          <w:lang w:eastAsia="zh-CN"/>
        </w:rPr>
        <w:t xml:space="preserve">JSZC-320300-JSKJ-C2026-0009</w:t>
      </w:r>
      <w:r>
        <w:rPr>
          <w:rFonts w:hint="eastAsia" w:ascii="仿宋" w:hAnsi="仿宋" w:eastAsia="仿宋" w:cs="仿宋"/>
          <w:color w:val="auto"/>
          <w:sz w:val="24"/>
          <w:szCs w:val="24"/>
          <w:highlight w:val="none"/>
        </w:rPr>
        <w:t xml:space="preserve">）。</w:t>
      </w:r>
      <w:r/>
    </w:p>
    <w:p>
      <w:pPr>
        <w:pStyle w:val="1031"/>
        <w:jc w:val="left"/>
        <w:pageBreakBefore w:val="0"/>
        <w:spacing w:line="312" w:lineRule="auto"/>
        <w:widowControl w:val="off"/>
        <w:rPr>
          <w:rStyle w:val="1277"/>
          <w:rFonts w:hint="eastAsia" w:ascii="仿宋" w:hAnsi="仿宋" w:eastAsia="仿宋" w:cs="仿宋"/>
          <w:b/>
          <w:bCs/>
          <w:color w:val="auto"/>
          <w:sz w:val="24"/>
          <w:szCs w:val="24"/>
          <w:highlight w:val="none"/>
        </w:rPr>
      </w:pPr>
      <w:r>
        <w:rPr>
          <w:rStyle w:val="1277"/>
          <w:rFonts w:hint="eastAsia" w:ascii="仿宋" w:hAnsi="仿宋" w:eastAsia="仿宋" w:cs="仿宋"/>
          <w:b/>
          <w:bCs/>
          <w:color w:val="auto"/>
          <w:sz w:val="24"/>
          <w:szCs w:val="24"/>
          <w:highlight w:val="none"/>
        </w:rPr>
        <w:t xml:space="preserve">说明：</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1、本项目不接受联合体参与采购活动。</w:t>
      </w:r>
      <w:r/>
    </w:p>
    <w:p>
      <w:pPr>
        <w:pStyle w:val="1031"/>
        <w:ind w:firstLine="48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1031"/>
        <w:ind w:firstLine="48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4、查询及使用供应商信用记录：</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⑴由采购人查询信用信息。</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⑵查询渠道包括：</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①“信用中国”网（www.creditchina.gov.cn）；</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②中国政府采购网（www.ccgp.gov.cn）；</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③“</w:t>
      </w:r>
      <w:r>
        <w:rPr>
          <w:rStyle w:val="1277"/>
          <w:rFonts w:hint="eastAsia" w:ascii="仿宋" w:hAnsi="仿宋" w:eastAsia="仿宋" w:cs="仿宋"/>
          <w:color w:val="auto"/>
          <w:sz w:val="24"/>
          <w:szCs w:val="24"/>
          <w:highlight w:val="none"/>
          <w:lang w:val="en-US" w:eastAsia="zh-CN"/>
        </w:rPr>
        <w:t xml:space="preserve">信用</w:t>
      </w:r>
      <w:r>
        <w:rPr>
          <w:rStyle w:val="1277"/>
          <w:rFonts w:hint="eastAsia" w:ascii="仿宋" w:hAnsi="仿宋" w:eastAsia="仿宋" w:cs="仿宋"/>
          <w:color w:val="auto"/>
          <w:sz w:val="24"/>
          <w:szCs w:val="24"/>
          <w:highlight w:val="none"/>
        </w:rPr>
        <w:t xml:space="preserve">江苏”网（http://www.jscredit.gov.cn/）；</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lang w:val="en-US" w:eastAsia="zh-CN"/>
        </w:rPr>
        <w:t xml:space="preserve">④“信用中国（江苏徐州）”网（ http://</w:t>
      </w:r>
      <w:r>
        <w:rPr>
          <w:rStyle w:val="1277"/>
          <w:rFonts w:hint="eastAsia" w:ascii="仿宋" w:hAnsi="仿宋" w:eastAsia="仿宋" w:cs="仿宋"/>
          <w:color w:val="auto"/>
          <w:sz w:val="24"/>
          <w:szCs w:val="24"/>
          <w:highlight w:val="none"/>
          <w:lang w:val="en-US" w:eastAsia="zh-CN"/>
        </w:rPr>
        <w:fldChar w:fldCharType="begin"/>
      </w:r>
      <w:r>
        <w:rPr>
          <w:rStyle w:val="1277"/>
          <w:rFonts w:hint="eastAsia" w:ascii="仿宋" w:hAnsi="仿宋" w:eastAsia="仿宋" w:cs="仿宋"/>
          <w:color w:val="auto"/>
          <w:sz w:val="24"/>
          <w:szCs w:val="24"/>
          <w:highlight w:val="none"/>
          <w:lang w:val="en-US" w:eastAsia="zh-CN"/>
        </w:rPr>
        <w:instrText xml:space="preserve"> HYPERLINK "http://www.xuzhoucredit.gov.cn）。" </w:instrText>
      </w:r>
      <w:r>
        <w:rPr>
          <w:rStyle w:val="1277"/>
          <w:rFonts w:hint="eastAsia" w:ascii="仿宋" w:hAnsi="仿宋" w:eastAsia="仿宋" w:cs="仿宋"/>
          <w:color w:val="auto"/>
          <w:sz w:val="24"/>
          <w:szCs w:val="24"/>
          <w:highlight w:val="none"/>
          <w:lang w:val="en-US" w:eastAsia="zh-CN"/>
        </w:rPr>
        <w:fldChar w:fldCharType="separate"/>
      </w:r>
      <w:r>
        <w:rPr>
          <w:rStyle w:val="1277"/>
          <w:rFonts w:hint="eastAsia" w:ascii="仿宋" w:hAnsi="仿宋" w:eastAsia="仿宋" w:cs="仿宋"/>
          <w:color w:val="auto"/>
          <w:sz w:val="24"/>
          <w:szCs w:val="24"/>
          <w:highlight w:val="none"/>
          <w:lang w:val="en-US" w:eastAsia="zh-CN"/>
        </w:rPr>
        <w:t xml:space="preserve">www.xuzhoucredit.gov.cn）。</w:t>
      </w:r>
      <w:r>
        <w:rPr>
          <w:rStyle w:val="1277"/>
          <w:rFonts w:hint="eastAsia" w:ascii="仿宋" w:hAnsi="仿宋" w:eastAsia="仿宋" w:cs="仿宋"/>
          <w:color w:val="auto"/>
          <w:sz w:val="24"/>
          <w:szCs w:val="24"/>
          <w:highlight w:val="none"/>
          <w:lang w:val="en-US" w:eastAsia="zh-CN"/>
        </w:rPr>
        <w:fldChar w:fldCharType="end"/>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⑶截止时点（查询环节）：首次响应文件开启后资格审查结束前。</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⑸信用信息的使用规则：</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31"/>
        <w:jc w:val="left"/>
        <w:pageBreakBefore w:val="0"/>
        <w:spacing w:line="312" w:lineRule="auto"/>
        <w:widowControl w:val="off"/>
        <w:rPr>
          <w:rStyle w:val="1277"/>
          <w:rFonts w:hint="eastAsia" w:ascii="仿宋" w:hAnsi="仿宋" w:eastAsia="仿宋" w:cs="仿宋"/>
          <w:b/>
          <w:bCs/>
          <w:color w:val="auto"/>
          <w:sz w:val="24"/>
          <w:szCs w:val="24"/>
          <w:highlight w:val="none"/>
        </w:rPr>
      </w:pPr>
      <w:r>
        <w:rPr>
          <w:rStyle w:val="1277"/>
          <w:rFonts w:hint="eastAsia" w:ascii="仿宋" w:hAnsi="仿宋" w:eastAsia="仿宋" w:cs="仿宋"/>
          <w:b/>
          <w:bCs/>
          <w:color w:val="auto"/>
          <w:sz w:val="24"/>
          <w:szCs w:val="24"/>
          <w:highlight w:val="none"/>
        </w:rPr>
        <w:t xml:space="preserve">八、报价要求</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1、供应商报价为要约，采购人无承诺表示时视为未成交，采购人认为必要时可重新进行竞争性磋商采购或采取其它方式采购。</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2、按照《磋商报价表》要求填写首次报价。</w:t>
      </w:r>
      <w:r/>
    </w:p>
    <w:p>
      <w:pPr>
        <w:pStyle w:val="1031"/>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bookmarkStart w:id="3" w:name="_Toc80122284"/>
      <w:r>
        <w:rPr>
          <w:rStyle w:val="1277"/>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246"/>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bookmarkStart w:id="4" w:name="_Toc12574"/>
      <w:r/>
      <w:bookmarkStart w:id="5" w:name="_Toc53"/>
      <w:r>
        <w:rPr>
          <w:rStyle w:val="1277"/>
          <w:rFonts w:hint="eastAsia" w:ascii="仿宋" w:hAnsi="仿宋" w:eastAsia="仿宋" w:cs="仿宋"/>
          <w:color w:val="auto"/>
          <w:sz w:val="24"/>
          <w:szCs w:val="24"/>
          <w:highlight w:val="none"/>
        </w:rPr>
        <w:t xml:space="preserve">第二章 响应文件要求</w:t>
      </w:r>
      <w:bookmarkEnd w:id="3"/>
      <w:r/>
      <w:bookmarkEnd w:id="4"/>
      <w:r/>
      <w:bookmarkEnd w:id="5"/>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277"/>
          <w:rFonts w:hint="eastAsia" w:ascii="仿宋" w:hAnsi="仿宋" w:eastAsia="仿宋" w:cs="仿宋"/>
          <w:color w:val="auto"/>
          <w:sz w:val="24"/>
          <w:szCs w:val="24"/>
          <w:highlight w:val="none"/>
        </w:rPr>
        <w:t xml:space="preserve">取：</w:t>
      </w:r>
      <w:r>
        <w:rPr>
          <w:rFonts w:hint="eastAsia" w:ascii="仿宋" w:hAnsi="仿宋" w:eastAsia="仿宋" w:cs="仿宋"/>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color w:val="auto"/>
          <w:sz w:val="24"/>
          <w:szCs w:val="24"/>
          <w:highlight w:val="none"/>
          <w:lang w:val="en-US" w:eastAsia="zh-CN"/>
        </w:rPr>
        <w:t xml:space="preserve">办事指南</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资料下载</w:t>
      </w:r>
      <w:r>
        <w:rPr>
          <w:rFonts w:hint="eastAsia" w:ascii="仿宋" w:hAnsi="仿宋" w:eastAsia="仿宋" w:cs="仿宋"/>
          <w:color w:val="auto"/>
          <w:sz w:val="24"/>
          <w:szCs w:val="24"/>
          <w:highlight w:val="none"/>
        </w:rPr>
        <w:t xml:space="preserve">”中的《“苏采云”系统政务CA办理材料、操作手册及控件下载》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277"/>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仿宋" w:hAnsi="仿宋" w:eastAsia="仿宋" w:cs="仿宋"/>
          <w:bCs/>
          <w:color w:val="auto"/>
          <w:sz w:val="24"/>
          <w:szCs w:val="24"/>
          <w:highlight w:val="none"/>
        </w:rPr>
        <w:t xml:space="preserve">），点击“苏采云”进入系统），按照要求通过互联网方式提交首次响应文件。</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月14</w:t>
      </w:r>
      <w:r>
        <w:rPr>
          <w:rFonts w:hint="eastAsia" w:ascii="仿宋" w:hAnsi="仿宋" w:eastAsia="仿宋" w:cs="仿宋"/>
          <w:b/>
          <w:color w:val="auto"/>
          <w:sz w:val="24"/>
          <w:szCs w:val="24"/>
          <w:highlight w:val="none"/>
        </w:rPr>
        <w:t xml:space="preserve">日</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仿宋" w:hAnsi="仿宋" w:eastAsia="仿宋" w:cs="仿宋"/>
          <w:color w:val="auto"/>
          <w:sz w:val="24"/>
          <w:szCs w:val="24"/>
          <w:highlight w:val="none"/>
        </w:rPr>
        <w:t xml:space="preserve">），点击“苏采云”进入系统“开标大厅”。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月14</w:t>
      </w:r>
      <w:r>
        <w:rPr>
          <w:rFonts w:hint="eastAsia" w:ascii="仿宋" w:hAnsi="仿宋" w:eastAsia="仿宋" w:cs="仿宋"/>
          <w:b/>
          <w:color w:val="auto"/>
          <w:sz w:val="24"/>
          <w:szCs w:val="24"/>
          <w:highlight w:val="none"/>
        </w:rPr>
        <w:t xml:space="preserve">日 </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w:t>
      </w:r>
      <w:r>
        <w:rPr>
          <w:rFonts w:hint="eastAsia" w:ascii="仿宋" w:hAnsi="仿宋" w:eastAsia="仿宋" w:cs="仿宋"/>
          <w:b/>
          <w:bCs/>
          <w:color w:val="auto"/>
          <w:sz w:val="24"/>
          <w:szCs w:val="24"/>
          <w:highlight w:val="none"/>
        </w:rPr>
        <w:t xml:space="preserve">（北京时间）</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仿宋" w:hAnsi="仿宋" w:eastAsia="仿宋" w:cs="仿宋"/>
          <w:color w:val="auto"/>
          <w:sz w:val="24"/>
          <w:szCs w:val="24"/>
          <w:highlight w:val="none"/>
        </w:rPr>
        <w:t xml:space="preserve">），点击“苏采云”进入系统“开标大厅”。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w:instrText>
      </w:r>
      <w:r>
        <w:rPr>
          <w:rFonts w:hint="eastAsia" w:ascii="仿宋" w:hAnsi="仿宋" w:eastAsia="仿宋" w:cs="仿宋"/>
          <w:color w:val="auto"/>
          <w:sz w:val="24"/>
          <w:szCs w:val="24"/>
          <w:highlight w:val="none"/>
        </w:rPr>
        <w:fldChar w:fldCharType="separate"/>
      </w:r>
      <w:r>
        <w:rPr>
          <w:rStyle w:val="1025"/>
          <w:rFonts w:hint="eastAsia" w:ascii="仿宋" w:hAnsi="仿宋" w:eastAsia="仿宋" w:cs="仿宋"/>
          <w:color w:val="auto"/>
          <w:sz w:val="24"/>
          <w:szCs w:val="24"/>
          <w:highlight w:val="none"/>
        </w:rPr>
        <w:t xml:space="preserve">http://jszfcg.jsczt.cn/</w:t>
      </w:r>
      <w:r>
        <w:rPr>
          <w:rStyle w:val="1025"/>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w:t>
      </w:r>
      <w:r>
        <w:rPr>
          <w:rFonts w:hint="eastAsia" w:ascii="仿宋" w:hAnsi="仿宋" w:eastAsia="仿宋" w:cs="仿宋"/>
          <w:color w:val="auto"/>
          <w:sz w:val="24"/>
          <w:szCs w:val="24"/>
          <w:highlight w:val="none"/>
          <w:lang w:val="en-US" w:eastAsia="zh-CN"/>
        </w:rPr>
        <w:t xml:space="preserve">办事指南</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资料下载</w:t>
      </w:r>
      <w:r>
        <w:rPr>
          <w:rFonts w:hint="eastAsia" w:ascii="仿宋" w:hAnsi="仿宋" w:eastAsia="仿宋" w:cs="仿宋"/>
          <w:color w:val="auto"/>
          <w:sz w:val="24"/>
          <w:szCs w:val="24"/>
          <w:highlight w:val="none"/>
        </w:rPr>
        <w:t xml:space="preserve">，点击进入《江苏省政府采购管理交易系统（苏采云）供应商操作手册及政府采购客户端》，进行下载。</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第二部分 响应文件组成</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十二、响应文件编制要求，请按照以下要求（包括但不限于以下要求）制作：</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（一）基本目录</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政府采购客户端工具输入报价自动生成）；</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2、供应商认为需要提供的其他资料的扫描件（如有）。</w:t>
      </w:r>
      <w:r/>
    </w:p>
    <w:p>
      <w:pPr>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（二）资格审查条件（1-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项必须提供，否则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Cs/>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1.具有独立承担民事责任的能力，提供供应商合法有效的营业执照</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（或事业单位法人证书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，或民办非企业单位登记证书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财务状况报告（至少提供供应商的本项目开标时间前6个月内任何时间的资产负债表和利润表扫描件各一份；或提供供应商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2024年度</w:t>
      </w:r>
      <w:r>
        <w:rPr>
          <w:rFonts w:hint="eastAsia" w:ascii="仿宋" w:hAnsi="仿宋" w:eastAsia="仿宋" w:cs="仿宋"/>
          <w:color w:val="auto"/>
          <w:sz w:val="24"/>
          <w:szCs w:val="24"/>
          <w:highlight w:val="none"/>
          <w:lang w:val="en-US" w:eastAsia="zh-CN"/>
        </w:rPr>
        <w:t xml:space="preserve">或2025年度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经审计的财务报告</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一份；或提供供应商的本项目开标时间前6个月内银行出具的资信证明扫描件一份）；</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履行合同所必需的设备和专业技术能力的证明（响应文件中提供《具备履行合同所必需的设备和专业技术能力的书面声明（附证明材料扫描件）》，加盖电子签章，格式见采购文件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,所附证明材料扫描件可不加盖电子签章）；</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5.供应商参加政府采购活动前3年内在经营活动中没有重大违法记录的书面声明（加盖电子签章，格式见采购文件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此项目属于专门面向中小微企业采购的项目，供应商应为中小微企业、监狱企业、残疾人福利性单位。</w:t>
      </w:r>
      <w:r/>
    </w:p>
    <w:p>
      <w:pPr>
        <w:keepLines w:val="0"/>
        <w:keepNext w:val="0"/>
        <w:pageBreakBefore w:val="0"/>
        <w:spacing w:line="312" w:lineRule="auto"/>
        <w:widowControl/>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为中小</w:t>
      </w:r>
      <w:r>
        <w:rPr>
          <w:rFonts w:hint="eastAsia" w:ascii="仿宋" w:hAnsi="仿宋" w:eastAsia="仿宋" w:cs="仿宋"/>
          <w:i w:val="0"/>
          <w:iCs w:val="0"/>
          <w:caps w:val="0"/>
          <w:color w:val="auto"/>
          <w:spacing w:val="0"/>
          <w:sz w:val="24"/>
          <w:szCs w:val="24"/>
          <w:highlight w:val="none"/>
        </w:rPr>
        <w:t xml:space="preserve">企业（含中型、小型、微型企业，下同）的，提供《中小企业声明函》（电子签章，填写完整。</w:t>
      </w:r>
      <w:r>
        <w:rPr>
          <w:rFonts w:hint="eastAsia" w:ascii="仿宋" w:hAnsi="仿宋" w:eastAsia="仿宋" w:cs="仿宋"/>
          <w:i w:val="0"/>
          <w:iCs w:val="0"/>
          <w:caps w:val="0"/>
          <w:color w:val="auto"/>
          <w:spacing w:val="0"/>
          <w:sz w:val="24"/>
          <w:szCs w:val="24"/>
          <w:highlight w:val="none"/>
          <w:lang w:eastAsia="zh-CN"/>
        </w:rPr>
        <w:t xml:space="preserve">格式见磋商文件《响应文件相关格式》</w:t>
      </w:r>
      <w:r>
        <w:rPr>
          <w:rFonts w:hint="eastAsia" w:ascii="仿宋" w:hAnsi="仿宋" w:eastAsia="仿宋" w:cs="仿宋"/>
          <w:i w:val="0"/>
          <w:iCs w:val="0"/>
          <w:caps w:val="0"/>
          <w:color w:val="auto"/>
          <w:spacing w:val="0"/>
          <w:sz w:val="24"/>
          <w:szCs w:val="24"/>
          <w:highlight w:val="none"/>
        </w:rPr>
        <w:t xml:space="preserve">）。《中小企业声明函》查询渠道用微信搜索“中小企业规模类型自测小程序”。</w:t>
      </w:r>
      <w:r/>
    </w:p>
    <w:p>
      <w:pPr>
        <w:pStyle w:val="1015"/>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w:t>
      </w:r>
      <w:r>
        <w:rPr>
          <w:rFonts w:hint="eastAsia" w:ascii="仿宋" w:hAnsi="仿宋" w:eastAsia="仿宋" w:cs="仿宋"/>
          <w:color w:val="auto"/>
          <w:sz w:val="24"/>
          <w:szCs w:val="24"/>
          <w:highlight w:val="none"/>
          <w:lang w:eastAsia="zh-CN"/>
        </w:rPr>
        <w:t xml:space="preserve">磋商文件第九章 《响应文件相关格式》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rPr>
        <w:t xml:space="preserve">项目不接受联合体参与采购活动。</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left="479" w:firstLine="67"/>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3、《分项价格表》（必须提供，否则响应无效）（加盖电子签章，格式见磋商文件《响应文件相关格式》）；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中小企业声明函</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7、《供应商相关承诺》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8、《供应商的书面声明》</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9、《项目总负责人简历表》</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10、《工作人员配备要求》</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11、《供应商对“工作人员配备要求”的承诺》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bookmarkStart w:id="113" w:name="_GoBack"/>
      <w:r>
        <w:rPr>
          <w:rFonts w:hint="eastAsia" w:ascii="仿宋" w:hAnsi="仿宋" w:eastAsia="仿宋" w:cs="仿宋"/>
          <w:color w:val="auto"/>
          <w:sz w:val="24"/>
          <w:szCs w:val="24"/>
          <w:highlight w:val="none"/>
          <w:lang w:val="en-US" w:eastAsia="zh-CN"/>
        </w:rPr>
        <w:t xml:space="preserve">《供应商对“养护管理机械机具设备配置要求”的承诺》</w:t>
      </w:r>
      <w:bookmarkEnd w:id="113"/>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（五）价格折扣文件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见《磋商文件》第九章附件中相关格式要求。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w:t>
      </w:r>
      <w:r>
        <w:rPr>
          <w:rFonts w:hint="eastAsia" w:ascii="仿宋" w:hAnsi="仿宋" w:eastAsia="仿宋" w:cs="仿宋"/>
          <w:bCs/>
          <w:color w:val="auto"/>
          <w:sz w:val="24"/>
          <w:szCs w:val="24"/>
          <w:highlight w:val="none"/>
          <w:lang w:val="en-US" w:eastAsia="zh-CN"/>
        </w:rPr>
        <w:t xml:space="preserve">响应文件</w:t>
      </w:r>
      <w:r>
        <w:rPr>
          <w:rFonts w:hint="eastAsia" w:ascii="仿宋" w:hAnsi="仿宋" w:eastAsia="仿宋" w:cs="仿宋"/>
          <w:bCs/>
          <w:color w:val="auto"/>
          <w:sz w:val="24"/>
          <w:szCs w:val="24"/>
          <w:highlight w:val="none"/>
        </w:rPr>
        <w:t xml:space="preserve">相关格式要求。供应商须通过“苏采云”系统提供的政府采购客户端工具（使用“CA数字证书”）加盖电子签章。</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纸质版响应文件一正四副及电子响应文件（U盘</w:t>
      </w:r>
      <w:r>
        <w:rPr>
          <w:rFonts w:hint="eastAsia" w:ascii="仿宋" w:hAnsi="仿宋" w:eastAsia="仿宋" w:cs="仿宋"/>
          <w:bCs/>
          <w:color w:val="auto"/>
          <w:sz w:val="24"/>
          <w:szCs w:val="24"/>
          <w:highlight w:val="none"/>
          <w:lang w:val="en-US" w:eastAsia="zh-CN"/>
        </w:rPr>
        <w:t xml:space="preserve">1份</w:t>
      </w:r>
      <w:r>
        <w:rPr>
          <w:rFonts w:hint="eastAsia" w:ascii="仿宋" w:hAnsi="仿宋" w:eastAsia="仿宋" w:cs="仿宋"/>
          <w:bCs/>
          <w:color w:val="auto"/>
          <w:sz w:val="24"/>
          <w:szCs w:val="24"/>
          <w:highlight w:val="none"/>
        </w:rPr>
        <w:t xml:space="preserve">）</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246"/>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bookmarkStart w:id="7" w:name="_Toc26385"/>
      <w:r/>
      <w:bookmarkStart w:id="8" w:name="_Toc80122285"/>
      <w:r/>
      <w:bookmarkStart w:id="9" w:name="_Toc11675"/>
      <w:r>
        <w:rPr>
          <w:rStyle w:val="1277"/>
          <w:rFonts w:hint="eastAsia" w:ascii="仿宋" w:hAnsi="仿宋" w:eastAsia="仿宋" w:cs="仿宋"/>
          <w:color w:val="auto"/>
          <w:sz w:val="24"/>
          <w:szCs w:val="24"/>
          <w:highlight w:val="none"/>
        </w:rPr>
        <w:t xml:space="preserve">第三章 磋商相关说明</w:t>
      </w:r>
      <w:bookmarkEnd w:id="7"/>
      <w:r/>
      <w:bookmarkEnd w:id="8"/>
      <w:r/>
      <w:bookmarkEnd w:id="9"/>
      <w:r/>
      <w:r/>
    </w:p>
    <w:p>
      <w:pPr>
        <w:jc w:val="left"/>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十四、</w:t>
      </w:r>
      <w:r>
        <w:rPr>
          <w:rFonts w:hint="eastAsia" w:ascii="仿宋" w:hAnsi="仿宋" w:eastAsia="仿宋" w:cs="仿宋"/>
          <w:color w:val="auto"/>
          <w:sz w:val="24"/>
          <w:szCs w:val="24"/>
          <w:highlight w:val="none"/>
          <w:lang w:val="en-US" w:eastAsia="zh-CN"/>
        </w:rPr>
        <w:t xml:space="preserve">磋商程序</w:t>
      </w:r>
      <w:r/>
    </w:p>
    <w:p>
      <w:pPr>
        <w:ind w:firstLine="480"/>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磋商要求</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rPr>
        <w:t xml:space="preserve">未在规定时间内进行报价的，视为响应无效。</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numPr>
          <w:ilvl w:val="0"/>
          <w:numId w:val="3"/>
        </w:num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被邀请参与磋商的供应商如未按上述磋商要求执行，</w:t>
      </w:r>
      <w:r>
        <w:rPr>
          <w:rFonts w:hint="eastAsia" w:ascii="仿宋" w:hAnsi="仿宋" w:eastAsia="仿宋" w:cs="仿宋"/>
          <w:b/>
          <w:bCs/>
          <w:color w:val="auto"/>
          <w:sz w:val="24"/>
          <w:szCs w:val="24"/>
          <w:highlight w:val="none"/>
        </w:rPr>
        <w:t xml:space="preserve">视同放弃磋商的权利</w:t>
      </w:r>
      <w:r>
        <w:rPr>
          <w:rFonts w:hint="eastAsia" w:ascii="仿宋" w:hAnsi="仿宋" w:eastAsia="仿宋" w:cs="仿宋"/>
          <w:color w:val="auto"/>
          <w:sz w:val="24"/>
          <w:szCs w:val="24"/>
          <w:highlight w:val="none"/>
        </w:rPr>
        <w:t xml:space="preserve">。</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Style w:val="1277"/>
          <w:rFonts w:hint="eastAsia" w:ascii="仿宋" w:hAnsi="仿宋" w:eastAsia="仿宋" w:cs="仿宋"/>
          <w:color w:val="auto"/>
          <w:sz w:val="24"/>
          <w:szCs w:val="24"/>
          <w:highlight w:val="none"/>
        </w:rPr>
        <w:t xml:space="preserve">查询及使用供应商信用记录：</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⑴由采购人查询信用信息。</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⑵查询渠道包括：</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①“信用中国”网（www.creditchina.gov.cn）；</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②中国政府采购网（www.ccgp.gov.cn）；</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③“</w:t>
      </w:r>
      <w:r>
        <w:rPr>
          <w:rStyle w:val="1277"/>
          <w:rFonts w:hint="eastAsia" w:ascii="仿宋" w:hAnsi="仿宋" w:eastAsia="仿宋" w:cs="仿宋"/>
          <w:color w:val="auto"/>
          <w:sz w:val="24"/>
          <w:szCs w:val="24"/>
          <w:highlight w:val="none"/>
          <w:lang w:val="en-US" w:eastAsia="zh-CN"/>
        </w:rPr>
        <w:t xml:space="preserve">信用</w:t>
      </w:r>
      <w:r>
        <w:rPr>
          <w:rStyle w:val="1277"/>
          <w:rFonts w:hint="eastAsia" w:ascii="仿宋" w:hAnsi="仿宋" w:eastAsia="仿宋" w:cs="仿宋"/>
          <w:color w:val="auto"/>
          <w:sz w:val="24"/>
          <w:szCs w:val="24"/>
          <w:highlight w:val="none"/>
        </w:rPr>
        <w:t xml:space="preserve">江苏”网（http://www.jscredit.gov.cn/）；</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lang w:val="en-US" w:eastAsia="zh-CN"/>
        </w:rPr>
        <w:t xml:space="preserve">④“信用中国（江苏徐州）”网（ http://</w:t>
      </w:r>
      <w:r>
        <w:rPr>
          <w:rStyle w:val="1277"/>
          <w:rFonts w:hint="eastAsia" w:ascii="仿宋" w:hAnsi="仿宋" w:eastAsia="仿宋" w:cs="仿宋"/>
          <w:color w:val="auto"/>
          <w:sz w:val="24"/>
          <w:szCs w:val="24"/>
          <w:highlight w:val="none"/>
          <w:lang w:val="en-US" w:eastAsia="zh-CN"/>
        </w:rPr>
        <w:fldChar w:fldCharType="begin"/>
      </w:r>
      <w:r>
        <w:rPr>
          <w:rStyle w:val="1277"/>
          <w:rFonts w:hint="eastAsia" w:ascii="仿宋" w:hAnsi="仿宋" w:eastAsia="仿宋" w:cs="仿宋"/>
          <w:color w:val="auto"/>
          <w:sz w:val="24"/>
          <w:szCs w:val="24"/>
          <w:highlight w:val="none"/>
          <w:lang w:val="en-US" w:eastAsia="zh-CN"/>
        </w:rPr>
        <w:instrText xml:space="preserve"> HYPERLINK "http://www.xuzhoucredit.gov.cn）。" </w:instrText>
      </w:r>
      <w:r>
        <w:rPr>
          <w:rStyle w:val="1277"/>
          <w:rFonts w:hint="eastAsia" w:ascii="仿宋" w:hAnsi="仿宋" w:eastAsia="仿宋" w:cs="仿宋"/>
          <w:color w:val="auto"/>
          <w:sz w:val="24"/>
          <w:szCs w:val="24"/>
          <w:highlight w:val="none"/>
          <w:lang w:val="en-US" w:eastAsia="zh-CN"/>
        </w:rPr>
        <w:fldChar w:fldCharType="separate"/>
      </w:r>
      <w:r>
        <w:rPr>
          <w:rStyle w:val="1277"/>
          <w:rFonts w:hint="eastAsia" w:ascii="仿宋" w:hAnsi="仿宋" w:eastAsia="仿宋" w:cs="仿宋"/>
          <w:color w:val="auto"/>
          <w:sz w:val="24"/>
          <w:szCs w:val="24"/>
          <w:highlight w:val="none"/>
          <w:lang w:val="en-US" w:eastAsia="zh-CN"/>
        </w:rPr>
        <w:t xml:space="preserve">www.xuzhoucredit.gov.cn）。</w:t>
      </w:r>
      <w:r>
        <w:rPr>
          <w:rStyle w:val="1277"/>
          <w:rFonts w:hint="eastAsia" w:ascii="仿宋" w:hAnsi="仿宋" w:eastAsia="仿宋" w:cs="仿宋"/>
          <w:color w:val="auto"/>
          <w:sz w:val="24"/>
          <w:szCs w:val="24"/>
          <w:highlight w:val="none"/>
          <w:lang w:val="en-US" w:eastAsia="zh-CN"/>
        </w:rPr>
        <w:fldChar w:fldCharType="end"/>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⑶截止时点（查询环节）：首次响应文件开启后资格审查结束前。</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⑸信用信息的使用规则：</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1、磋商评审小组的组建：采购人组建。磋商小组成员构成：3 人</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磋商小组确定方式：从《江苏省政府采购专家库》随机抽取。    </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本项目资格审查由磋商小组负责。</w:t>
      </w:r>
      <w:r>
        <w:rPr>
          <w:rFonts w:hint="eastAsia" w:ascii="仿宋" w:hAnsi="仿宋" w:eastAsia="仿宋" w:cs="仿宋"/>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5、磋商结束后，磋商进入报价环节，磋商小组应当要求所有参加磋商的供应商在规定时间内进行最后报价。本项目二次报价为最后报价。</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实施政府采购异常低价审查的有关要求：</w:t>
      </w:r>
      <w:r/>
    </w:p>
    <w:p>
      <w:pPr>
        <w:ind w:firstLine="482"/>
        <w:jc w:val="left"/>
        <w:pageBreakBefore w:val="0"/>
        <w:spacing w:line="312" w:lineRule="auto"/>
        <w:rPr>
          <w:rFonts w:hint="eastAsia" w:ascii="仿宋" w:hAnsi="仿宋" w:eastAsia="仿宋" w:cs="仿宋"/>
          <w:color w:val="auto"/>
          <w:sz w:val="24"/>
          <w:szCs w:val="24"/>
          <w:highlight w:val="none"/>
        </w:rPr>
      </w:pPr>
      <w:r/>
      <w:bookmarkStart w:id="10" w:name="OLE_LINK6"/>
      <w:r/>
      <w:bookmarkStart w:id="11" w:name="OLE_LINK5"/>
      <w:r>
        <w:rPr>
          <w:rFonts w:hint="eastAsia" w:ascii="仿宋" w:hAnsi="仿宋" w:eastAsia="仿宋" w:cs="仿宋"/>
          <w:color w:val="auto"/>
          <w:sz w:val="24"/>
          <w:szCs w:val="24"/>
          <w:highlight w:val="none"/>
        </w:rPr>
        <w:t xml:space="preserve">（一）评审中出现下列情形之一的，评审（评标）委员会应当启动异常低价投标（响应）审查程序：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4.评审（评标）委员会基于专业判断，认为供应商报价过低，有可能影响产品质量或者不能诚信履约的其他情形。</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0"/>
      <w:r/>
      <w:bookmarkEnd w:id="11"/>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采用竞争性</w:t>
      </w:r>
      <w:r>
        <w:rPr>
          <w:rFonts w:hint="eastAsia" w:ascii="仿宋" w:hAnsi="仿宋" w:eastAsia="仿宋" w:cs="仿宋"/>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未在规定时间内解密电子响应文件的；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en-US" w:eastAsia="zh-CN"/>
        </w:rPr>
        <w:t xml:space="preserve">与采购文件提供的清单中项目名称、项目特征、计量单位、工程量不一致的；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响应文件内容不全或不符合磋商文件中规定的其它实质性要求的；</w:t>
      </w:r>
      <w:r/>
    </w:p>
    <w:p>
      <w:pPr>
        <w:ind w:firstLine="48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21、报价清单与采购文件明确列出的不可竞争费用项目或费率或计算基础不一致的；</w:t>
      </w:r>
      <w:r/>
    </w:p>
    <w:p>
      <w:pPr>
        <w:ind w:firstLine="48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22、报价清单与采购文件规定的暂估价、暂列金额不一致的；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、法律法规和磋商文件规定的其它无效情形。</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2" w:name="_Toc31496"/>
      <w:r/>
      <w:bookmarkStart w:id="13" w:name="_Toc80122286"/>
      <w:r/>
      <w:bookmarkStart w:id="14" w:name="_Toc22819"/>
      <w:r>
        <w:rPr>
          <w:rFonts w:hint="eastAsia" w:ascii="仿宋" w:hAnsi="仿宋" w:eastAsia="仿宋" w:cs="仿宋"/>
          <w:b/>
          <w:bCs/>
          <w:color w:val="auto"/>
          <w:sz w:val="24"/>
          <w:szCs w:val="24"/>
          <w:highlight w:val="none"/>
        </w:rPr>
        <w:t xml:space="preserve">第四章 确定成交供应商及合同签订等</w:t>
      </w:r>
      <w:bookmarkEnd w:id="12"/>
      <w:r/>
      <w:bookmarkEnd w:id="13"/>
      <w:r/>
      <w:bookmarkEnd w:id="14"/>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公告同一发布媒体上公告成交结果，公告标的的基本概况为成交供应商的《磋商报价表》（最后报价）。</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277"/>
          <w:rFonts w:hint="eastAsia" w:ascii="仿宋" w:hAnsi="仿宋" w:eastAsia="仿宋" w:cs="仿宋"/>
          <w:color w:val="auto"/>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keepLines w:val="0"/>
        <w:keepNext w:val="0"/>
        <w:pageBreakBefore w:val="0"/>
        <w:spacing w:line="288" w:lineRule="auto"/>
        <w:widowControl w:val="off"/>
        <w:rPr>
          <w:rFonts w:hint="eastAsia" w:ascii="仿宋" w:hAnsi="仿宋" w:eastAsia="仿宋" w:cs="仿宋"/>
          <w:b/>
          <w:bCs/>
          <w:color w:val="auto"/>
          <w:sz w:val="24"/>
          <w:szCs w:val="24"/>
          <w:highlight w:val="none"/>
        </w:rPr>
        <w:outlineLvl w:val="0"/>
      </w:pPr>
      <w:r/>
      <w:bookmarkStart w:id="15" w:name="_Toc30492"/>
      <w:r/>
      <w:bookmarkStart w:id="16" w:name="_Toc15896"/>
      <w:r/>
      <w:bookmarkStart w:id="17" w:name="_Toc80122287"/>
      <w:r>
        <w:rPr>
          <w:rFonts w:hint="eastAsia" w:ascii="仿宋" w:hAnsi="仿宋" w:eastAsia="仿宋" w:cs="仿宋"/>
          <w:b/>
          <w:bCs/>
          <w:color w:val="auto"/>
          <w:sz w:val="24"/>
          <w:szCs w:val="24"/>
          <w:highlight w:val="none"/>
        </w:rPr>
        <w:t xml:space="preserve">第五章 磋商文件的澄清或者修改</w:t>
      </w:r>
      <w:bookmarkEnd w:id="15"/>
      <w:r/>
      <w:bookmarkEnd w:id="16"/>
      <w:r/>
      <w:bookmarkEnd w:id="17"/>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keepLines w:val="0"/>
        <w:keepNext w:val="0"/>
        <w:pageBreakBefore w:val="0"/>
        <w:spacing w:line="288"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8" w:name="_Toc11856"/>
      <w:r/>
      <w:bookmarkStart w:id="19" w:name="_Toc80122288"/>
      <w:r/>
      <w:bookmarkStart w:id="20" w:name="_Toc28886"/>
      <w:r>
        <w:rPr>
          <w:rFonts w:hint="eastAsia" w:ascii="仿宋" w:hAnsi="仿宋" w:eastAsia="仿宋" w:cs="仿宋"/>
          <w:b/>
          <w:bCs/>
          <w:color w:val="auto"/>
          <w:sz w:val="24"/>
          <w:szCs w:val="24"/>
          <w:highlight w:val="none"/>
        </w:rPr>
        <w:t xml:space="preserve">第六章 询问和质疑</w:t>
      </w:r>
      <w:bookmarkEnd w:id="18"/>
      <w:r/>
      <w:bookmarkEnd w:id="19"/>
      <w:r/>
      <w:bookmarkEnd w:id="20"/>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2、质疑和投诉按《政府采购质疑和投诉办法》执行。供应商对同一采购程序环节的质疑应在质疑期内一次性提出。</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朱文颖、朱柄昱</w:t>
      </w:r>
      <w:r>
        <w:rPr>
          <w:rFonts w:hint="eastAsia" w:ascii="仿宋" w:hAnsi="仿宋" w:eastAsia="仿宋" w:cs="仿宋"/>
          <w:color w:val="auto"/>
          <w:sz w:val="24"/>
          <w:szCs w:val="24"/>
          <w:highlight w:val="none"/>
        </w:rPr>
        <w:t xml:space="preserve">     联系电话：0516-85610680</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接收地址：徐州市泉山区软件园路2号</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，向江苏科建工程项目管理有限公司一次性支付招标代理服务费，收费标准见《徐州市政府采购业务代理服务费行业指导价格标准》。同时提供纸质版响应文件一正四副及电子响应文件（U盘）</w:t>
      </w:r>
      <w:r>
        <w:rPr>
          <w:rFonts w:hint="eastAsia" w:ascii="仿宋" w:hAnsi="仿宋" w:eastAsia="仿宋" w:cs="仿宋"/>
          <w:color w:val="auto"/>
          <w:sz w:val="24"/>
          <w:szCs w:val="24"/>
          <w:highlight w:val="none"/>
          <w:lang w:val="en-US" w:eastAsia="zh-CN"/>
        </w:rPr>
        <w:t xml:space="preserve">1份</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1031"/>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pStyle w:val="1031"/>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、采购人</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名称：徐州市住房和城乡建设局</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地址：徐州市云龙区镜泊西路6号建设大厦</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联系人：</w:t>
      </w:r>
      <w:r>
        <w:rPr>
          <w:rFonts w:hint="eastAsia" w:ascii="仿宋" w:hAnsi="仿宋" w:eastAsia="仿宋" w:cs="仿宋"/>
          <w:color w:val="auto"/>
          <w:sz w:val="24"/>
          <w:szCs w:val="24"/>
          <w:highlight w:val="none"/>
          <w:lang w:val="en-US" w:eastAsia="zh-CN"/>
        </w:rPr>
        <w:t xml:space="preserve">张瑜</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联系电话：0516-66998137</w:t>
      </w:r>
      <w:r/>
    </w:p>
    <w:p>
      <w:pPr>
        <w:pStyle w:val="1031"/>
        <w:numPr>
          <w:ilvl w:val="0"/>
          <w:numId w:val="0"/>
        </w:numPr>
        <w:ind w:firstLine="480"/>
        <w:jc w:val="left"/>
        <w:keepLines w:val="0"/>
        <w:keepNext w:val="0"/>
        <w:pageBreakBefore w:val="0"/>
        <w:spacing w:line="288"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rPr>
        <w:t xml:space="preserve">采购代理机构</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名称：江苏科建工程项目管理有限公司</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地址：徐州市泉山区软件园路2号</w:t>
      </w:r>
      <w:r/>
    </w:p>
    <w:p>
      <w:pPr>
        <w:pStyle w:val="1031"/>
        <w:ind w:firstLine="960"/>
        <w:jc w:val="left"/>
        <w:keepLines w:val="0"/>
        <w:keepNext w:val="0"/>
        <w:pageBreakBefore w:val="0"/>
        <w:spacing w:line="288"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eastAsia="zh-CN"/>
        </w:rPr>
        <w:t xml:space="preserve">朱文颖、朱柄昱</w:t>
      </w:r>
      <w:r/>
    </w:p>
    <w:p>
      <w:pPr>
        <w:pStyle w:val="1031"/>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电话：0516-85610680</w:t>
      </w:r>
      <w:r/>
    </w:p>
    <w:p>
      <w:pPr>
        <w:pStyle w:val="1246"/>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br w:type="page" w:clear="all"/>
      </w:r>
      <w:bookmarkStart w:id="21" w:name="_Toc80122289"/>
      <w:r/>
      <w:bookmarkStart w:id="22" w:name="_Toc16162"/>
      <w:r/>
      <w:bookmarkStart w:id="23" w:name="_Toc14377"/>
      <w:r>
        <w:rPr>
          <w:rStyle w:val="1277"/>
          <w:rFonts w:hint="eastAsia" w:ascii="仿宋" w:hAnsi="仿宋" w:eastAsia="仿宋" w:cs="仿宋"/>
          <w:color w:val="auto"/>
          <w:sz w:val="24"/>
          <w:szCs w:val="24"/>
          <w:highlight w:val="none"/>
        </w:rPr>
        <w:t xml:space="preserve">第七章 评分细则</w:t>
      </w:r>
      <w:bookmarkEnd w:id="21"/>
      <w:r/>
      <w:bookmarkEnd w:id="22"/>
      <w:r>
        <w:rPr>
          <w:rStyle w:val="1277"/>
          <w:rFonts w:hint="eastAsia" w:ascii="仿宋" w:hAnsi="仿宋" w:eastAsia="仿宋" w:cs="仿宋"/>
          <w:color w:val="auto"/>
          <w:sz w:val="24"/>
          <w:szCs w:val="24"/>
          <w:highlight w:val="none"/>
        </w:rPr>
        <w:t xml:space="preserve">（综合评分法）</w:t>
      </w:r>
      <w:bookmarkEnd w:id="23"/>
      <w:r/>
      <w:r/>
    </w:p>
    <w:p>
      <w:pPr>
        <w:pStyle w:val="1031"/>
        <w:jc w:val="center"/>
        <w:pageBreakBefore w:val="0"/>
        <w:spacing w:line="312"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一标段：2026年新移交绿地子房山公园养护管理（评分细则）</w:t>
      </w:r>
      <w:r/>
    </w:p>
    <w:tbl>
      <w:tblPr>
        <w:tblStyle w:val="986"/>
        <w:tblW w:w="49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1347"/>
        <w:gridCol w:w="7286"/>
      </w:tblGrid>
      <w:tr>
        <w:trPr>
          <w:jc w:val="center"/>
          <w:trHeight w:val="764"/>
        </w:trPr>
        <w:tc>
          <w:tcPr>
            <w:tcW w:w="1297"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1347"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细化项目及分值</w:t>
            </w:r>
            <w:r/>
          </w:p>
        </w:tc>
        <w:tc>
          <w:tcPr>
            <w:tcW w:w="7288"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评分依据</w:t>
            </w:r>
            <w:r/>
          </w:p>
        </w:tc>
      </w:tr>
      <w:tr>
        <w:trPr>
          <w:jc w:val="center"/>
          <w:trHeight w:val="560"/>
        </w:trPr>
        <w:tc>
          <w:tcPr>
            <w:tcW w:w="1297"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（15分）</w:t>
            </w:r>
            <w:r/>
          </w:p>
        </w:tc>
        <w:tc>
          <w:tcPr>
            <w:gridSpan w:val="2"/>
            <w:tcW w:w="8635"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w:t>
            </w: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要求且</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报价最低的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的价格为评标基准价，其价格分为满分。其他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报价得分=（评标基准价/</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报价）×15</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（按四舍五入取至小数点后两位）。</w:t>
            </w:r>
            <w:r/>
          </w:p>
        </w:tc>
      </w:tr>
      <w:tr>
        <w:trPr>
          <w:jc w:val="center"/>
          <w:trHeight w:val="560"/>
        </w:trPr>
        <w:tc>
          <w:tcPr>
            <w:tcW w:w="1297" w:type="dxa"/>
            <w:vAlign w:val="center"/>
            <w:vMerge w:val="restart"/>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商务部分（7分）</w:t>
            </w:r>
            <w:r/>
          </w:p>
        </w:tc>
        <w:tc>
          <w:tcPr>
            <w:tcBorders>
              <w:right w:val="single" w:color="auto" w:sz="4" w:space="0"/>
            </w:tcBorders>
            <w:tcW w:w="1347"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企业认证</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（3分）</w:t>
            </w:r>
            <w:r/>
          </w:p>
        </w:tc>
        <w:tc>
          <w:tcPr>
            <w:tcBorders>
              <w:left w:val="single" w:color="auto" w:sz="4" w:space="0"/>
            </w:tcBorders>
            <w:tcW w:w="7288"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供应商具有有效的质量管理体系认证证书、环境管理体系认证证书、职业健康安全管理体系认证证书，每具有一项得1分，最高得3分。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注：响应文件中提供相关材料文件扫描件。</w:t>
            </w:r>
            <w:r/>
          </w:p>
        </w:tc>
      </w:tr>
      <w:tr>
        <w:trPr>
          <w:jc w:val="center"/>
          <w:trHeight w:val="560"/>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right w:val="single" w:color="auto" w:sz="4" w:space="0"/>
            </w:tcBorders>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项目总负责人业绩</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（4分）</w:t>
            </w:r>
            <w:r/>
          </w:p>
        </w:tc>
        <w:tc>
          <w:tcPr>
            <w:shd w:val="clear" w:color="auto" w:fill="auto"/>
            <w:tcBorders>
              <w:left w:val="single" w:color="auto" w:sz="4" w:space="0"/>
            </w:tcBorders>
            <w:tcW w:w="7288"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拟派项目总负责人（项目经理）的业绩合同服务周期应在2023年4月1日（含）之后，类似类型应含公共区域（含公园、广场、道路、园区等）保安、保洁及绿化养护服务的。合同连续服务期须满一周年的得4分，否则不得分，本项目最高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拟派项目总负责人（项目经理）业绩由项目合同甲方（如甲方为行政单位，可由其委托所属负责合同履约的监管单位或其项目代表单位）出具合同履约情况证明及相关信息，并加盖单位公章方为有效，否则该项业绩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2.供应商须提供合同扫描件及相关证明材料，扫描件及相关证明材料应能体现并标注出项目总负责人（项目经理）、服务内容、服务周期、起止时间等相关信息。</w:t>
            </w:r>
            <w:r/>
          </w:p>
        </w:tc>
      </w:tr>
      <w:tr>
        <w:trPr>
          <w:jc w:val="center"/>
          <w:trHeight w:val="708"/>
        </w:trPr>
        <w:tc>
          <w:tcPr>
            <w:tcW w:w="1297" w:type="dxa"/>
            <w:vAlign w:val="center"/>
            <w:vMerge w:val="restart"/>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pStyle w:val="1031"/>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（78分）</w:t>
            </w:r>
            <w:r/>
          </w:p>
        </w:tc>
        <w:tc>
          <w:tcPr>
            <w:tcW w:w="1347" w:type="dxa"/>
            <w:vAlign w:val="center"/>
            <w:textDirection w:val="lrTb"/>
            <w:noWrap w:val="false"/>
          </w:tcPr>
          <w:p>
            <w:pPr>
              <w:pStyle w:val="1368"/>
              <w:ind w:left="0"/>
              <w:jc w:val="center"/>
              <w:spacing w:before="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68"/>
              <w:ind w:left="134"/>
              <w:jc w:val="center"/>
              <w:spacing w:before="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人员投入</w:t>
            </w:r>
            <w:r>
              <w:rPr>
                <w:rFonts w:hint="eastAsia" w:cs="仿宋"/>
                <w:bCs/>
                <w:color w:val="auto"/>
                <w:sz w:val="24"/>
                <w:szCs w:val="24"/>
                <w:highlight w:val="none"/>
                <w:lang w:val="en-US" w:eastAsia="zh-CN"/>
              </w:rPr>
              <w:t xml:space="preserve">方案</w:t>
            </w:r>
            <w:r/>
          </w:p>
          <w:p>
            <w:pPr>
              <w:pStyle w:val="1368"/>
              <w:ind w:left="165"/>
              <w:jc w:val="center"/>
              <w:spacing w:before="4"/>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30"/>
                <w:sz w:val="24"/>
                <w:szCs w:val="24"/>
                <w:highlight w:val="none"/>
              </w:rPr>
              <w:t xml:space="preserve">分</w:t>
            </w:r>
            <w:r>
              <w:rPr>
                <w:rFonts w:hint="eastAsia" w:ascii="仿宋" w:hAnsi="仿宋" w:eastAsia="仿宋" w:cs="仿宋"/>
                <w:bCs/>
                <w:color w:val="auto"/>
                <w:sz w:val="24"/>
                <w:szCs w:val="24"/>
                <w:highlight w:val="none"/>
              </w:rPr>
              <w:t xml:space="preserve">）</w:t>
            </w:r>
            <w:r/>
          </w:p>
        </w:tc>
        <w:tc>
          <w:tcPr>
            <w:tcW w:w="7288" w:type="dxa"/>
            <w:vAlign w:val="center"/>
            <w:textDirection w:val="lrTb"/>
            <w:noWrap w:val="false"/>
          </w:tcPr>
          <w:p>
            <w:pPr>
              <w:pStyle w:val="1368"/>
              <w:ind w:left="134"/>
              <w:jc w:val="both"/>
              <w:spacing w:before="0"/>
              <w:rPr>
                <w:rFonts w:hint="eastAsia" w:ascii="仿宋" w:hAnsi="仿宋" w:eastAsia="仿宋" w:cs="仿宋"/>
                <w:bCs/>
                <w:color w:val="auto"/>
                <w:spacing w:val="-13"/>
                <w:sz w:val="24"/>
                <w:szCs w:val="24"/>
                <w:highlight w:val="none"/>
              </w:rPr>
            </w:pPr>
            <w:r>
              <w:rPr>
                <w:rFonts w:hint="eastAsia" w:cs="仿宋"/>
                <w:bCs/>
                <w:color w:val="auto"/>
                <w:spacing w:val="-13"/>
                <w:sz w:val="24"/>
                <w:szCs w:val="24"/>
                <w:highlight w:val="none"/>
                <w:lang w:val="en-US" w:eastAsia="zh-CN"/>
              </w:rPr>
              <w:t xml:space="preserve">根据供应商提供的拟派本项目（采购包）的人员配备方案，对</w:t>
            </w:r>
            <w:r>
              <w:rPr>
                <w:rFonts w:hint="eastAsia" w:ascii="仿宋" w:hAnsi="仿宋" w:eastAsia="仿宋" w:cs="仿宋"/>
                <w:bCs/>
                <w:color w:val="auto"/>
                <w:spacing w:val="-7"/>
                <w:sz w:val="24"/>
                <w:szCs w:val="24"/>
                <w:highlight w:val="none"/>
                <w:lang w:val="en-US" w:eastAsia="zh-CN"/>
              </w:rPr>
              <w:t xml:space="preserve">方案</w:t>
            </w:r>
            <w:r>
              <w:rPr>
                <w:rFonts w:hint="eastAsia" w:ascii="仿宋" w:hAnsi="仿宋" w:eastAsia="仿宋" w:cs="仿宋"/>
                <w:bCs/>
                <w:color w:val="auto"/>
                <w:spacing w:val="-13"/>
                <w:sz w:val="24"/>
                <w:szCs w:val="24"/>
                <w:highlight w:val="none"/>
              </w:rPr>
              <w:t xml:space="preserve">内容的全面性、可行性、针对性进行评价</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1、人员配备方案内容全面，可行性强，针对性强的得 10分； </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2、人员配备方案内容较全面，可行性较强，针对性较强的得 8分；</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3、人员配备方案内容一般，基本可行，针对性一般的得 6分； </w:t>
            </w:r>
            <w:r/>
          </w:p>
          <w:p>
            <w:pPr>
              <w:pStyle w:val="1368"/>
              <w:ind w:left="106" w:right="-59"/>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4、人员配备方案内容不太全面，可行性较差，针对性较差的得4分。 </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5、无具体内容的，</w:t>
            </w:r>
            <w:r>
              <w:rPr>
                <w:rFonts w:hint="eastAsia" w:cs="仿宋"/>
                <w:bCs/>
                <w:color w:val="auto"/>
                <w:spacing w:val="-10"/>
                <w:sz w:val="24"/>
                <w:szCs w:val="24"/>
                <w:highlight w:val="none"/>
                <w:lang w:val="en-US" w:eastAsia="zh-CN"/>
              </w:rPr>
              <w:t xml:space="preserve">不得分</w:t>
            </w:r>
            <w:r>
              <w:rPr>
                <w:rFonts w:hint="eastAsia" w:ascii="仿宋" w:hAnsi="仿宋" w:eastAsia="仿宋" w:cs="仿宋"/>
                <w:bCs/>
                <w:color w:val="auto"/>
                <w:spacing w:val="-10"/>
                <w:sz w:val="24"/>
                <w:szCs w:val="24"/>
                <w:highlight w:val="none"/>
                <w:lang w:val="en-US" w:eastAsia="zh-CN"/>
              </w:rPr>
              <w:t xml:space="preserve">。</w:t>
            </w:r>
            <w:r/>
          </w:p>
          <w:p>
            <w:pPr>
              <w:ind w:left="0" w:firstLine="0"/>
              <w:spacing w:line="440" w:lineRule="exact"/>
              <w:rPr>
                <w:rFonts w:hint="eastAsia" w:ascii="仿宋" w:hAnsi="仿宋" w:eastAsia="仿宋" w:cs="仿宋"/>
                <w:bCs/>
                <w:color w:val="auto"/>
                <w:spacing w:val="-30"/>
                <w:sz w:val="24"/>
                <w:szCs w:val="24"/>
                <w:highlight w:val="none"/>
              </w:rPr>
            </w:pPr>
            <w:r>
              <w:rPr>
                <w:rFonts w:hint="eastAsia" w:ascii="仿宋" w:hAnsi="仿宋" w:eastAsia="仿宋" w:cs="仿宋"/>
                <w:bCs/>
                <w:color w:val="auto"/>
                <w:spacing w:val="-30"/>
                <w:sz w:val="24"/>
                <w:szCs w:val="24"/>
                <w:highlight w:val="none"/>
                <w:lang w:val="en-US" w:eastAsia="zh-CN"/>
              </w:rPr>
              <w:t xml:space="preserve">本项目最高得10分，最低得0分</w:t>
            </w:r>
            <w:r>
              <w:rPr>
                <w:rFonts w:hint="eastAsia" w:ascii="仿宋" w:hAnsi="仿宋" w:eastAsia="仿宋" w:cs="仿宋"/>
                <w:bCs/>
                <w:color w:val="auto"/>
                <w:spacing w:val="-30"/>
                <w:sz w:val="24"/>
                <w:szCs w:val="24"/>
                <w:highlight w:val="none"/>
              </w:rPr>
              <w:t xml:space="preserve">。</w:t>
            </w:r>
            <w:r/>
          </w:p>
          <w:p>
            <w:pPr>
              <w:spacing w:line="440" w:lineRule="exact"/>
              <w:rPr>
                <w:rFonts w:hint="default"/>
                <w:color w:val="auto"/>
                <w:highlight w:val="none"/>
                <w:lang w:val="en-US" w:eastAsia="zh-CN"/>
              </w:rPr>
            </w:pPr>
            <w:r>
              <w:rPr>
                <w:rFonts w:hint="eastAsia" w:ascii="仿宋" w:hAnsi="仿宋" w:eastAsia="仿宋" w:cs="仿宋"/>
                <w:b/>
                <w:color w:val="auto"/>
                <w:sz w:val="24"/>
                <w:szCs w:val="24"/>
                <w:highlight w:val="none"/>
                <w:lang w:val="zh-CN" w:bidi="zh-CN"/>
              </w:rPr>
              <w:t xml:space="preserve">注：除</w:t>
            </w:r>
            <w:r>
              <w:rPr>
                <w:rFonts w:hint="eastAsia" w:ascii="仿宋" w:hAnsi="仿宋" w:eastAsia="仿宋" w:cs="仿宋"/>
                <w:b/>
                <w:color w:val="auto"/>
                <w:sz w:val="24"/>
                <w:szCs w:val="24"/>
                <w:highlight w:val="none"/>
                <w:lang w:val="en-US" w:bidi="zh-CN"/>
              </w:rPr>
              <w:t xml:space="preserve">提供人员配备</w:t>
            </w:r>
            <w:r>
              <w:rPr>
                <w:rFonts w:hint="eastAsia" w:ascii="仿宋" w:hAnsi="仿宋" w:eastAsia="仿宋" w:cs="仿宋"/>
                <w:b/>
                <w:color w:val="auto"/>
                <w:sz w:val="24"/>
                <w:szCs w:val="24"/>
                <w:highlight w:val="none"/>
                <w:lang w:val="zh-CN" w:bidi="zh-CN"/>
              </w:rPr>
              <w:t xml:space="preserve">方案外，</w:t>
            </w:r>
            <w:r>
              <w:rPr>
                <w:rFonts w:hint="eastAsia" w:ascii="仿宋" w:hAnsi="仿宋" w:eastAsia="仿宋" w:cs="仿宋"/>
                <w:b/>
                <w:color w:val="auto"/>
                <w:sz w:val="24"/>
                <w:szCs w:val="24"/>
                <w:highlight w:val="none"/>
                <w:lang w:val="en-US" w:bidi="zh-CN"/>
              </w:rPr>
              <w:t xml:space="preserve">还</w:t>
            </w:r>
            <w:r>
              <w:rPr>
                <w:rFonts w:hint="eastAsia" w:ascii="仿宋" w:hAnsi="仿宋" w:eastAsia="仿宋" w:cs="仿宋"/>
                <w:b/>
                <w:color w:val="auto"/>
                <w:sz w:val="24"/>
                <w:szCs w:val="24"/>
                <w:highlight w:val="none"/>
                <w:lang w:val="zh-CN" w:bidi="zh-CN"/>
              </w:rPr>
              <w:t xml:space="preserve">须提供承诺书：本项目所配备的工作人员和所配备的设备不低于采购需求中要求。</w:t>
            </w:r>
            <w:r>
              <w:rPr>
                <w:rFonts w:hint="eastAsia" w:ascii="仿宋" w:hAnsi="仿宋" w:eastAsia="仿宋" w:cs="仿宋"/>
                <w:color w:val="auto"/>
                <w:sz w:val="24"/>
                <w:szCs w:val="24"/>
                <w:highlight w:val="none"/>
                <w:lang w:val="en-US" w:eastAsia="zh-CN" w:bidi="ar-SA"/>
              </w:rPr>
              <w:t xml:space="preserve">项目总负责人（项目经理）1名、技术员（兼现场负责人）1名、质检员1名、安全员1名、资料员1名、园林园艺修剪专职人员不少于3名，供应商必须书面承诺在成交通知书下达15天内提供与上述人员</w:t>
            </w:r>
            <w:r>
              <w:rPr>
                <w:rFonts w:hint="eastAsia" w:ascii="仿宋" w:hAnsi="仿宋" w:eastAsia="仿宋" w:cs="仿宋"/>
                <w:b/>
                <w:bCs/>
                <w:color w:val="auto"/>
                <w:sz w:val="24"/>
                <w:szCs w:val="24"/>
                <w:highlight w:val="none"/>
                <w:lang w:val="en-US" w:eastAsia="zh-CN" w:bidi="ar-SA"/>
              </w:rPr>
              <w:t xml:space="preserve">（项目总负责人（项目经理）除外）</w:t>
            </w:r>
            <w:r>
              <w:rPr>
                <w:rFonts w:hint="eastAsia" w:ascii="仿宋" w:hAnsi="仿宋" w:eastAsia="仿宋" w:cs="仿宋"/>
                <w:color w:val="auto"/>
                <w:sz w:val="24"/>
                <w:szCs w:val="24"/>
                <w:highlight w:val="none"/>
                <w:lang w:val="en-US" w:eastAsia="zh-CN" w:bidi="ar-SA"/>
              </w:rPr>
              <w:t xml:space="preserve">签订不少于与本项目履约期的用人合同并在该公司缴纳社保和保险等</w:t>
            </w:r>
            <w:r>
              <w:rPr>
                <w:rFonts w:hint="eastAsia" w:ascii="仿宋" w:hAnsi="仿宋" w:eastAsia="仿宋" w:cs="仿宋"/>
                <w:b/>
                <w:color w:val="auto"/>
                <w:sz w:val="24"/>
                <w:szCs w:val="24"/>
                <w:highlight w:val="none"/>
                <w:lang w:val="zh-CN" w:bidi="zh-CN"/>
              </w:rPr>
              <w:t xml:space="preserve">。无承诺书本项不得分。</w:t>
            </w:r>
            <w:r>
              <w:rPr>
                <w:rFonts w:hint="eastAsia" w:ascii="仿宋" w:hAnsi="仿宋" w:eastAsia="仿宋" w:cs="仿宋"/>
                <w:b/>
                <w:color w:val="auto"/>
                <w:sz w:val="24"/>
                <w:szCs w:val="24"/>
                <w:highlight w:val="none"/>
                <w:lang w:val="zh-CN" w:eastAsia="zh-CN" w:bidi="zh-CN"/>
              </w:rPr>
              <w:t xml:space="preserve">（项目总负责人（项目经理）除外）</w:t>
            </w:r>
            <w:r>
              <w:rPr>
                <w:rFonts w:hint="eastAsia" w:ascii="仿宋" w:hAnsi="仿宋" w:eastAsia="仿宋" w:cs="仿宋"/>
                <w:b/>
                <w:color w:val="auto"/>
                <w:sz w:val="24"/>
                <w:szCs w:val="24"/>
                <w:highlight w:val="none"/>
                <w:lang w:val="en-US" w:bidi="zh-CN"/>
              </w:rPr>
              <w:t xml:space="preserve">需为</w:t>
            </w:r>
            <w:r>
              <w:rPr>
                <w:rFonts w:hint="eastAsia" w:ascii="仿宋" w:hAnsi="仿宋" w:eastAsia="仿宋" w:cs="仿宋"/>
                <w:b/>
                <w:color w:val="auto"/>
                <w:sz w:val="24"/>
                <w:szCs w:val="24"/>
                <w:highlight w:val="none"/>
                <w:lang w:val="en-US" w:eastAsia="zh-CN" w:bidi="zh-CN"/>
              </w:rPr>
              <w:t xml:space="preserve">供应商在职员工，</w:t>
            </w:r>
            <w:r>
              <w:rPr>
                <w:rFonts w:hint="eastAsia" w:ascii="仿宋" w:hAnsi="仿宋" w:eastAsia="仿宋" w:cs="仿宋"/>
                <w:b/>
                <w:color w:val="auto"/>
                <w:sz w:val="24"/>
                <w:szCs w:val="24"/>
                <w:highlight w:val="none"/>
                <w:lang w:val="en-US" w:bidi="zh-CN"/>
              </w:rPr>
              <w:t xml:space="preserve">提供供应商近6个月内</w:t>
            </w:r>
            <w:r>
              <w:rPr>
                <w:rFonts w:hint="eastAsia" w:ascii="仿宋" w:hAnsi="仿宋" w:eastAsia="仿宋" w:cs="仿宋"/>
                <w:b/>
                <w:color w:val="auto"/>
                <w:sz w:val="24"/>
                <w:szCs w:val="24"/>
                <w:highlight w:val="none"/>
                <w:lang w:val="en-US" w:eastAsia="zh-CN" w:bidi="zh-CN"/>
              </w:rPr>
              <w:t xml:space="preserve">任意一月供应商为其缴纳的</w:t>
            </w:r>
            <w:r>
              <w:rPr>
                <w:rFonts w:hint="eastAsia" w:ascii="仿宋" w:hAnsi="仿宋" w:eastAsia="仿宋" w:cs="仿宋"/>
                <w:b/>
                <w:color w:val="auto"/>
                <w:sz w:val="24"/>
                <w:szCs w:val="24"/>
                <w:highlight w:val="none"/>
                <w:lang w:val="en-US" w:bidi="zh-CN"/>
              </w:rPr>
              <w:t xml:space="preserve">社保证明扫描件</w:t>
            </w:r>
            <w:r>
              <w:rPr>
                <w:rFonts w:hint="eastAsia" w:ascii="仿宋" w:hAnsi="仿宋" w:eastAsia="仿宋" w:cs="仿宋"/>
                <w:b/>
                <w:color w:val="auto"/>
                <w:sz w:val="24"/>
                <w:szCs w:val="24"/>
                <w:highlight w:val="none"/>
                <w:lang w:val="en-US" w:eastAsia="zh-CN" w:bidi="zh-CN"/>
              </w:rPr>
              <w:t xml:space="preserve">，</w:t>
            </w:r>
            <w:r>
              <w:rPr>
                <w:rFonts w:hint="eastAsia" w:ascii="仿宋" w:hAnsi="仿宋" w:eastAsia="仿宋" w:cs="仿宋"/>
                <w:b/>
                <w:color w:val="auto"/>
                <w:sz w:val="24"/>
                <w:szCs w:val="24"/>
                <w:highlight w:val="none"/>
                <w:lang w:val="en-US" w:bidi="zh-CN"/>
              </w:rPr>
              <w:t xml:space="preserve">扫描件需清晰易辨认否则不予认可。</w:t>
            </w:r>
            <w:r/>
          </w:p>
        </w:tc>
      </w:tr>
      <w:tr>
        <w:trPr>
          <w:jc w:val="center"/>
          <w:trHeight w:val="634"/>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68"/>
              <w:ind w:left="0"/>
              <w:jc w:val="center"/>
              <w:spacing w:before="1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68"/>
              <w:ind w:left="134"/>
              <w:jc w:val="center"/>
              <w:spacing w:before="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组织实施</w:t>
            </w:r>
            <w:r>
              <w:rPr>
                <w:rFonts w:hint="eastAsia" w:cs="仿宋"/>
                <w:bCs/>
                <w:color w:val="auto"/>
                <w:sz w:val="24"/>
                <w:szCs w:val="24"/>
                <w:highlight w:val="none"/>
                <w:lang w:val="en-US" w:eastAsia="zh-CN"/>
              </w:rPr>
              <w:t xml:space="preserve">方案</w:t>
            </w:r>
            <w:r/>
          </w:p>
          <w:p>
            <w:pPr>
              <w:pStyle w:val="1368"/>
              <w:ind w:left="105" w:right="-44"/>
              <w:jc w:val="center"/>
              <w:spacing w:before="5"/>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pacing w:val="-30"/>
                <w:sz w:val="24"/>
                <w:szCs w:val="24"/>
                <w:highlight w:val="none"/>
              </w:rPr>
              <w:t xml:space="preserve"> 分</w:t>
            </w:r>
            <w:r>
              <w:rPr>
                <w:rFonts w:hint="eastAsia" w:ascii="仿宋" w:hAnsi="仿宋" w:eastAsia="仿宋" w:cs="仿宋"/>
                <w:bCs/>
                <w:color w:val="auto"/>
                <w:sz w:val="24"/>
                <w:szCs w:val="24"/>
                <w:highlight w:val="none"/>
              </w:rPr>
              <w:t xml:space="preserve">）</w:t>
            </w:r>
            <w:r/>
          </w:p>
        </w:tc>
        <w:tc>
          <w:tcPr>
            <w:tcW w:w="7288" w:type="dxa"/>
            <w:vAlign w:val="center"/>
            <w:textDirection w:val="lrTb"/>
            <w:noWrap w:val="false"/>
          </w:tcPr>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根据供应商提供针对本项目的具体组织实施方案，对方案内容的全面性、可行性、针对性进行评价</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1、内容全面，可行性强，针对性强的得 10分； </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2、内容较全面，可行性较强，针对性较强的得 8分；</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3、内容一般，基本可行，针对性一般的得 6 分； </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4、内容不太全面，可行性较差，针对性较差的得4分。</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5、无具体内容的，不得分。</w:t>
            </w:r>
            <w:r/>
          </w:p>
          <w:p>
            <w:pPr>
              <w:pStyle w:val="1368"/>
              <w:ind w:left="106"/>
              <w:spacing w:before="0"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本项目最高得10分，最低得0分。</w:t>
            </w:r>
            <w:r/>
          </w:p>
        </w:tc>
      </w:tr>
      <w:tr>
        <w:trPr>
          <w:jc w:val="center"/>
          <w:trHeight w:val="634"/>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养护管理机械机具设备配置方案</w:t>
            </w:r>
            <w:r/>
          </w:p>
          <w:p>
            <w:pP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bidi="ar-SA"/>
              </w:rPr>
              <w:t xml:space="preserve">（10分）</w:t>
            </w:r>
            <w:r/>
          </w:p>
        </w:tc>
        <w:tc>
          <w:tcPr>
            <w:tcW w:w="7288"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根据供应商提供的养护管理机械机具设备配置方案进行综合评分：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（1）根据季节性、阶段性及养护现场实际情况进行量化配置，完全满足养护管理需要的，得10分；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（2）根据季节性、阶段性及养护现场实际情况进行量化配置，能够满足养护管理需要的，得8分；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（3）根据季节性、阶段性及养护现场实际情况进行量化配置，基本满足养护管理需要的，得6分；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（4）根据季节性、阶段性及养护现场实际情况进行量化配置，不能满足养护管理需要的得4分；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养护管理机械机具设备配置要求为本项目的最低要求，供应商提供的养护管理机械机具设备不足的必须提供在成交通知书发出之日后15天内全部采购或租赁到位，完全满足采购人需求的书面承诺，不能满足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机械机具设备响应文件中须提供采购发票、记账凭证扫描件或购置(租赁)承诺书（含拟采购(租赁)的机械机具设备名称型号等）且按照本磋商文件第八章机械机具设备配置要求的顺序编排，并提供清单目录。其中，水车等机动车辆还需提供车辆行驶证、车辆保险等证件扫描件资料。</w:t>
            </w:r>
            <w:r/>
          </w:p>
          <w:p>
            <w:pPr>
              <w:rPr>
                <w:rFonts w:hint="eastAsia" w:ascii="仿宋" w:hAnsi="仿宋" w:eastAsia="仿宋" w:cs="仿宋"/>
                <w:bCs/>
                <w:color w:val="auto"/>
                <w:spacing w:val="-30"/>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需要采取租赁的，除提供租赁合同扫描件外，还需要按第八章采购需求中的要求提供养护管理机械机具设备配置相应的所有证明材料的扫描件。</w:t>
            </w:r>
            <w:r/>
          </w:p>
        </w:tc>
      </w:tr>
      <w:tr>
        <w:trPr>
          <w:jc w:val="center"/>
          <w:trHeight w:val="416"/>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top"/>
            <w:textDirection w:val="lrTb"/>
            <w:noWrap w:val="false"/>
          </w:tcPr>
          <w:p>
            <w:pPr>
              <w:pStyle w:val="1368"/>
              <w:ind w:left="134" w:right="124"/>
              <w:jc w:val="center"/>
              <w:spacing w:before="144" w:line="242"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服务质量管理措施</w:t>
            </w:r>
            <w:r>
              <w:rPr>
                <w:rFonts w:hint="eastAsia" w:cs="仿宋"/>
                <w:bCs/>
                <w:color w:val="auto"/>
                <w:sz w:val="24"/>
                <w:szCs w:val="24"/>
                <w:highlight w:val="none"/>
                <w:lang w:val="en-US" w:eastAsia="zh-CN"/>
              </w:rPr>
              <w:t xml:space="preserve">方案</w:t>
            </w:r>
            <w:r/>
          </w:p>
          <w:p>
            <w:pPr>
              <w:pStyle w:val="1368"/>
              <w:ind w:left="0" w:right="13"/>
              <w:jc w:val="center"/>
              <w:spacing w:before="4"/>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pacing w:val="-30"/>
                <w:sz w:val="24"/>
                <w:szCs w:val="24"/>
                <w:highlight w:val="none"/>
              </w:rPr>
              <w:t xml:space="preserve"> 分</w:t>
            </w:r>
            <w:r>
              <w:rPr>
                <w:rFonts w:hint="eastAsia" w:ascii="仿宋" w:hAnsi="仿宋" w:eastAsia="仿宋" w:cs="仿宋"/>
                <w:bCs/>
                <w:color w:val="auto"/>
                <w:sz w:val="24"/>
                <w:szCs w:val="24"/>
                <w:highlight w:val="none"/>
              </w:rPr>
              <w:t xml:space="preserve">）</w:t>
            </w:r>
            <w:r/>
          </w:p>
        </w:tc>
        <w:tc>
          <w:tcPr>
            <w:tcW w:w="7288" w:type="dxa"/>
            <w:vAlign w:val="top"/>
            <w:textDirection w:val="lrTb"/>
            <w:noWrap w:val="false"/>
          </w:tcPr>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根据供应商提供</w:t>
            </w:r>
            <w:r>
              <w:rPr>
                <w:rFonts w:hint="eastAsia" w:cs="仿宋"/>
                <w:bCs/>
                <w:color w:val="auto"/>
                <w:spacing w:val="-10"/>
                <w:sz w:val="24"/>
                <w:szCs w:val="24"/>
                <w:highlight w:val="none"/>
                <w:lang w:val="en-US" w:eastAsia="zh-CN"/>
              </w:rPr>
              <w:t xml:space="preserve">针对本项目的服务质量管理措施方案</w:t>
            </w:r>
            <w:r>
              <w:rPr>
                <w:rFonts w:hint="eastAsia" w:ascii="仿宋" w:hAnsi="仿宋" w:eastAsia="仿宋" w:cs="仿宋"/>
                <w:bCs/>
                <w:color w:val="auto"/>
                <w:spacing w:val="-10"/>
                <w:sz w:val="24"/>
                <w:szCs w:val="24"/>
                <w:highlight w:val="none"/>
                <w:lang w:val="en-US" w:eastAsia="zh-CN"/>
              </w:rPr>
              <w:t xml:space="preserve">，</w:t>
            </w:r>
            <w:r>
              <w:rPr>
                <w:rFonts w:hint="eastAsia" w:ascii="仿宋" w:hAnsi="仿宋" w:eastAsia="仿宋" w:cs="仿宋"/>
                <w:bCs/>
                <w:color w:val="auto"/>
                <w:spacing w:val="-13"/>
                <w:sz w:val="24"/>
                <w:szCs w:val="24"/>
                <w:highlight w:val="none"/>
              </w:rPr>
              <w:t xml:space="preserve">对</w:t>
            </w:r>
            <w:r>
              <w:rPr>
                <w:rFonts w:hint="eastAsia" w:ascii="仿宋" w:hAnsi="仿宋" w:eastAsia="仿宋" w:cs="仿宋"/>
                <w:bCs/>
                <w:color w:val="auto"/>
                <w:spacing w:val="-7"/>
                <w:sz w:val="24"/>
                <w:szCs w:val="24"/>
                <w:highlight w:val="none"/>
                <w:lang w:val="en-US" w:eastAsia="zh-CN"/>
              </w:rPr>
              <w:t xml:space="preserve">方案</w:t>
            </w:r>
            <w:r>
              <w:rPr>
                <w:rFonts w:hint="eastAsia" w:ascii="仿宋" w:hAnsi="仿宋" w:eastAsia="仿宋" w:cs="仿宋"/>
                <w:bCs/>
                <w:color w:val="auto"/>
                <w:spacing w:val="-13"/>
                <w:sz w:val="24"/>
                <w:szCs w:val="24"/>
                <w:highlight w:val="none"/>
              </w:rPr>
              <w:t xml:space="preserve">内容的全面性、可行性、针对性进行评价</w:t>
            </w:r>
            <w:r>
              <w:rPr>
                <w:rFonts w:hint="eastAsia" w:ascii="仿宋" w:hAnsi="仿宋" w:eastAsia="仿宋" w:cs="仿宋"/>
                <w:bCs/>
                <w:color w:val="auto"/>
                <w:spacing w:val="-13"/>
                <w:sz w:val="24"/>
                <w:szCs w:val="24"/>
                <w:highlight w:val="none"/>
                <w:lang w:eastAsia="zh-CN"/>
              </w:rPr>
              <w:t xml:space="preserve">。</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68"/>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20"/>
                <w:sz w:val="24"/>
                <w:szCs w:val="24"/>
                <w:highlight w:val="none"/>
                <w:lang w:val="en-US" w:eastAsia="zh-CN"/>
              </w:rPr>
              <w:t xml:space="preserve">3、</w:t>
            </w:r>
            <w:r>
              <w:rPr>
                <w:rFonts w:hint="eastAsia" w:ascii="仿宋" w:hAnsi="仿宋" w:eastAsia="仿宋" w:cs="仿宋"/>
                <w:bCs/>
                <w:color w:val="auto"/>
                <w:spacing w:val="-10"/>
                <w:sz w:val="24"/>
                <w:szCs w:val="24"/>
                <w:highlight w:val="none"/>
              </w:rPr>
              <w:t xml:space="preserve">内容一般，</w:t>
            </w:r>
            <w:r>
              <w:rPr>
                <w:rFonts w:hint="eastAsia" w:ascii="仿宋" w:hAnsi="仿宋" w:eastAsia="仿宋" w:cs="仿宋"/>
                <w:bCs/>
                <w:color w:val="auto"/>
                <w:spacing w:val="-10"/>
                <w:sz w:val="24"/>
                <w:szCs w:val="24"/>
                <w:highlight w:val="none"/>
                <w:lang w:val="en-US" w:eastAsia="zh-CN"/>
              </w:rPr>
              <w:t xml:space="preserve">基本可行</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一般的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pacing w:val="-20"/>
                <w:sz w:val="24"/>
                <w:szCs w:val="24"/>
                <w:highlight w:val="none"/>
              </w:rPr>
              <w:t xml:space="preserve"> 分； </w:t>
            </w:r>
            <w:r/>
          </w:p>
          <w:p>
            <w:pPr>
              <w:pStyle w:val="1368"/>
              <w:ind w:left="106"/>
              <w:spacing w:before="5" w:line="291" w:lineRule="exact"/>
              <w:rPr>
                <w:rFonts w:hint="eastAsia" w:ascii="仿宋" w:hAnsi="仿宋" w:eastAsia="仿宋" w:cs="仿宋"/>
                <w:bCs/>
                <w:color w:val="auto"/>
                <w:spacing w:val="-5"/>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pacing w:val="-5"/>
                <w:sz w:val="24"/>
                <w:szCs w:val="24"/>
                <w:highlight w:val="none"/>
              </w:rPr>
              <w:t xml:space="preserve">、内容</w:t>
            </w:r>
            <w:r>
              <w:rPr>
                <w:rFonts w:hint="eastAsia" w:ascii="仿宋" w:hAnsi="仿宋" w:eastAsia="仿宋" w:cs="仿宋"/>
                <w:bCs/>
                <w:color w:val="auto"/>
                <w:spacing w:val="-5"/>
                <w:sz w:val="24"/>
                <w:szCs w:val="24"/>
                <w:highlight w:val="none"/>
                <w:lang w:val="en-US" w:eastAsia="zh-CN"/>
              </w:rPr>
              <w:t xml:space="preserve">不太全面</w:t>
            </w:r>
            <w:r>
              <w:rPr>
                <w:rFonts w:hint="eastAsia" w:ascii="仿宋" w:hAnsi="仿宋" w:eastAsia="仿宋" w:cs="仿宋"/>
                <w:bCs/>
                <w:color w:val="auto"/>
                <w:spacing w:val="-5"/>
                <w:sz w:val="24"/>
                <w:szCs w:val="24"/>
                <w:highlight w:val="none"/>
              </w:rPr>
              <w:t xml:space="preserve">，</w:t>
            </w:r>
            <w:r>
              <w:rPr>
                <w:rFonts w:hint="eastAsia" w:ascii="仿宋" w:hAnsi="仿宋" w:eastAsia="仿宋" w:cs="仿宋"/>
                <w:bCs/>
                <w:color w:val="auto"/>
                <w:spacing w:val="-5"/>
                <w:sz w:val="24"/>
                <w:szCs w:val="24"/>
                <w:highlight w:val="none"/>
                <w:lang w:val="en-US" w:eastAsia="zh-CN"/>
              </w:rPr>
              <w:t xml:space="preserve">可行性较差</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较差的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pacing w:val="-5"/>
                <w:sz w:val="24"/>
                <w:szCs w:val="24"/>
                <w:highlight w:val="none"/>
                <w:lang w:val="en-US" w:eastAsia="zh-CN"/>
              </w:rPr>
              <w:t xml:space="preserve">4</w:t>
            </w:r>
            <w:r>
              <w:rPr>
                <w:rFonts w:hint="eastAsia" w:ascii="仿宋" w:hAnsi="仿宋" w:eastAsia="仿宋" w:cs="仿宋"/>
                <w:bCs/>
                <w:color w:val="auto"/>
                <w:spacing w:val="-5"/>
                <w:sz w:val="24"/>
                <w:szCs w:val="24"/>
                <w:highlight w:val="none"/>
              </w:rPr>
              <w:t xml:space="preserve">分。 </w:t>
            </w:r>
            <w:r/>
          </w:p>
          <w:p>
            <w:pPr>
              <w:pStyle w:val="1368"/>
              <w:ind w:left="106"/>
              <w:spacing w:before="5" w:line="291" w:lineRule="exact"/>
              <w:rPr>
                <w:rFonts w:hint="eastAsia" w:ascii="仿宋" w:hAnsi="仿宋" w:eastAsia="仿宋" w:cs="仿宋"/>
                <w:bCs/>
                <w:color w:val="auto"/>
                <w:spacing w:val="-5"/>
                <w:sz w:val="24"/>
                <w:szCs w:val="24"/>
                <w:highlight w:val="none"/>
                <w:lang w:val="en-US" w:eastAsia="zh-CN"/>
              </w:rPr>
            </w:pPr>
            <w:r>
              <w:rPr>
                <w:rFonts w:hint="eastAsia" w:ascii="仿宋" w:hAnsi="仿宋" w:eastAsia="仿宋" w:cs="仿宋"/>
                <w:bCs/>
                <w:color w:val="auto"/>
                <w:spacing w:val="-5"/>
                <w:sz w:val="24"/>
                <w:szCs w:val="24"/>
                <w:highlight w:val="none"/>
                <w:lang w:val="en-US" w:eastAsia="zh-CN"/>
              </w:rPr>
              <w:t xml:space="preserve">5、无具体内容的，不得分。</w:t>
            </w:r>
            <w:r/>
          </w:p>
          <w:p>
            <w:pPr>
              <w:pStyle w:val="1368"/>
              <w:ind w:left="106"/>
              <w:spacing w:before="5"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5"/>
                <w:sz w:val="24"/>
                <w:szCs w:val="24"/>
                <w:highlight w:val="none"/>
                <w:lang w:val="en-US" w:eastAsia="zh-CN"/>
              </w:rPr>
              <w:t xml:space="preserve">本项目最高得10分，最低得0分</w:t>
            </w:r>
            <w:r>
              <w:rPr>
                <w:rFonts w:hint="eastAsia" w:ascii="仿宋" w:hAnsi="仿宋" w:eastAsia="仿宋" w:cs="仿宋"/>
                <w:bCs/>
                <w:color w:val="auto"/>
                <w:spacing w:val="-5"/>
                <w:sz w:val="24"/>
                <w:szCs w:val="24"/>
                <w:highlight w:val="none"/>
              </w:rPr>
              <w:t xml:space="preserve">。</w:t>
            </w:r>
            <w:r/>
          </w:p>
        </w:tc>
      </w:tr>
      <w:tr>
        <w:trPr>
          <w:jc w:val="center"/>
          <w:trHeight w:val="758"/>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68"/>
              <w:ind w:left="105" w:right="-29"/>
              <w:jc w:val="center"/>
              <w:spacing w:before="0"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13"/>
                <w:sz w:val="24"/>
                <w:szCs w:val="24"/>
                <w:highlight w:val="none"/>
              </w:rPr>
              <w:t xml:space="preserve">秩序维护方案（</w:t>
            </w:r>
            <w:r>
              <w:rPr>
                <w:rFonts w:hint="eastAsia" w:ascii="仿宋" w:hAnsi="仿宋" w:eastAsia="仿宋" w:cs="仿宋"/>
                <w:bCs/>
                <w:color w:val="auto"/>
                <w:spacing w:val="-13"/>
                <w:sz w:val="24"/>
                <w:szCs w:val="24"/>
                <w:highlight w:val="none"/>
                <w:lang w:val="en-US" w:eastAsia="zh-CN"/>
              </w:rPr>
              <w:t xml:space="preserve">10</w:t>
            </w:r>
            <w:r>
              <w:rPr>
                <w:rFonts w:hint="eastAsia" w:ascii="仿宋" w:hAnsi="仿宋" w:eastAsia="仿宋" w:cs="仿宋"/>
                <w:bCs/>
                <w:color w:val="auto"/>
                <w:spacing w:val="-13"/>
                <w:sz w:val="24"/>
                <w:szCs w:val="24"/>
                <w:highlight w:val="none"/>
              </w:rPr>
              <w:t xml:space="preserve"> 分）</w:t>
            </w:r>
            <w:r/>
          </w:p>
        </w:tc>
        <w:tc>
          <w:tcPr>
            <w:tcW w:w="7288" w:type="dxa"/>
            <w:vAlign w:val="top"/>
            <w:textDirection w:val="lrTb"/>
            <w:noWrap w:val="false"/>
          </w:tcPr>
          <w:p>
            <w:pPr>
              <w:pStyle w:val="1368"/>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0"/>
                <w:sz w:val="24"/>
                <w:szCs w:val="24"/>
                <w:highlight w:val="none"/>
                <w:lang w:val="en-US" w:eastAsia="zh-CN"/>
              </w:rPr>
              <w:t xml:space="preserve">根据供应商提供</w:t>
            </w:r>
            <w:r>
              <w:rPr>
                <w:rFonts w:hint="eastAsia" w:cs="仿宋"/>
                <w:bCs/>
                <w:color w:val="auto"/>
                <w:spacing w:val="-10"/>
                <w:sz w:val="24"/>
                <w:szCs w:val="24"/>
                <w:highlight w:val="none"/>
                <w:lang w:val="en-US" w:eastAsia="zh-CN"/>
              </w:rPr>
              <w:t xml:space="preserve">针对本项目的</w:t>
            </w:r>
            <w:r>
              <w:rPr>
                <w:rFonts w:hint="eastAsia" w:ascii="仿宋" w:hAnsi="仿宋" w:eastAsia="仿宋" w:cs="仿宋"/>
                <w:bCs/>
                <w:color w:val="auto"/>
                <w:spacing w:val="-13"/>
                <w:sz w:val="24"/>
                <w:szCs w:val="24"/>
                <w:highlight w:val="none"/>
              </w:rPr>
              <w:t xml:space="preserve">秩序维护方案</w:t>
            </w:r>
            <w:r>
              <w:rPr>
                <w:rFonts w:hint="eastAsia" w:ascii="仿宋" w:hAnsi="仿宋" w:eastAsia="仿宋" w:cs="仿宋"/>
                <w:bCs/>
                <w:color w:val="auto"/>
                <w:spacing w:val="-10"/>
                <w:sz w:val="24"/>
                <w:szCs w:val="24"/>
                <w:highlight w:val="none"/>
                <w:lang w:val="en-US" w:eastAsia="zh-CN"/>
              </w:rPr>
              <w:t xml:space="preserve">，</w:t>
            </w: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68"/>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20"/>
                <w:sz w:val="24"/>
                <w:szCs w:val="24"/>
                <w:highlight w:val="none"/>
                <w:lang w:val="en-US" w:eastAsia="zh-CN"/>
              </w:rPr>
              <w:t xml:space="preserve">3、</w:t>
            </w:r>
            <w:r>
              <w:rPr>
                <w:rFonts w:hint="eastAsia" w:ascii="仿宋" w:hAnsi="仿宋" w:eastAsia="仿宋" w:cs="仿宋"/>
                <w:bCs/>
                <w:color w:val="auto"/>
                <w:spacing w:val="-10"/>
                <w:sz w:val="24"/>
                <w:szCs w:val="24"/>
                <w:highlight w:val="none"/>
              </w:rPr>
              <w:t xml:space="preserve">内容一般，</w:t>
            </w:r>
            <w:r>
              <w:rPr>
                <w:rFonts w:hint="eastAsia" w:ascii="仿宋" w:hAnsi="仿宋" w:eastAsia="仿宋" w:cs="仿宋"/>
                <w:bCs/>
                <w:color w:val="auto"/>
                <w:spacing w:val="-10"/>
                <w:sz w:val="24"/>
                <w:szCs w:val="24"/>
                <w:highlight w:val="none"/>
                <w:lang w:val="en-US" w:eastAsia="zh-CN"/>
              </w:rPr>
              <w:t xml:space="preserve">基本可行</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一般的</w:t>
            </w:r>
            <w:r>
              <w:rPr>
                <w:rFonts w:hint="eastAsia" w:ascii="仿宋" w:hAnsi="仿宋" w:eastAsia="仿宋" w:cs="仿宋"/>
                <w:bCs/>
                <w:color w:val="auto"/>
                <w:spacing w:val="-5"/>
                <w:sz w:val="24"/>
                <w:szCs w:val="24"/>
                <w:highlight w:val="none"/>
              </w:rPr>
              <w:t xml:space="preserve">得 </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pacing w:val="-20"/>
                <w:sz w:val="24"/>
                <w:szCs w:val="24"/>
                <w:highlight w:val="none"/>
              </w:rPr>
              <w:t xml:space="preserve"> 分； </w:t>
            </w:r>
            <w:r/>
          </w:p>
          <w:p>
            <w:pPr>
              <w:pStyle w:val="1368"/>
              <w:ind w:left="106"/>
              <w:spacing w:before="5" w:line="291"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不太全面</w:t>
            </w:r>
            <w:r>
              <w:rPr>
                <w:rFonts w:hint="eastAsia" w:ascii="仿宋" w:hAnsi="仿宋" w:eastAsia="仿宋" w:cs="仿宋"/>
                <w:bCs/>
                <w:color w:val="auto"/>
                <w:spacing w:val="-10"/>
                <w:sz w:val="24"/>
                <w:szCs w:val="24"/>
                <w:highlight w:val="none"/>
              </w:rPr>
              <w:t xml:space="preserve">，</w:t>
            </w:r>
            <w:r>
              <w:rPr>
                <w:rFonts w:hint="eastAsia" w:ascii="仿宋" w:hAnsi="仿宋" w:eastAsia="仿宋" w:cs="仿宋"/>
                <w:bCs/>
                <w:color w:val="auto"/>
                <w:spacing w:val="-10"/>
                <w:sz w:val="24"/>
                <w:szCs w:val="24"/>
                <w:highlight w:val="none"/>
                <w:lang w:val="en-US" w:eastAsia="zh-CN"/>
              </w:rPr>
              <w:t xml:space="preserve">可行性较差</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较差的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pacing w:val="-20"/>
                <w:sz w:val="24"/>
                <w:szCs w:val="24"/>
                <w:highlight w:val="none"/>
              </w:rPr>
              <w:t xml:space="preserve">分</w:t>
            </w:r>
            <w:r>
              <w:rPr>
                <w:rFonts w:hint="eastAsia" w:ascii="仿宋" w:hAnsi="仿宋" w:eastAsia="仿宋" w:cs="仿宋"/>
                <w:bCs/>
                <w:color w:val="auto"/>
                <w:sz w:val="24"/>
                <w:szCs w:val="24"/>
                <w:highlight w:val="none"/>
              </w:rPr>
              <w:t xml:space="preserve">。</w:t>
            </w:r>
            <w:r/>
          </w:p>
          <w:p>
            <w:pPr>
              <w:pStyle w:val="1368"/>
              <w:ind w:left="106"/>
              <w:spacing w:before="5" w:line="291"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5、无具体内容的，不得分。</w:t>
            </w:r>
            <w:r/>
          </w:p>
          <w:p>
            <w:pPr>
              <w:pStyle w:val="1368"/>
              <w:ind w:left="106"/>
              <w:spacing w:before="5" w:line="29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本项目最高得10分，最低得0分</w:t>
            </w:r>
            <w:r>
              <w:rPr>
                <w:rFonts w:hint="eastAsia" w:ascii="仿宋" w:hAnsi="仿宋" w:eastAsia="仿宋" w:cs="仿宋"/>
                <w:bCs/>
                <w:color w:val="auto"/>
                <w:sz w:val="24"/>
                <w:szCs w:val="24"/>
                <w:highlight w:val="none"/>
              </w:rPr>
              <w:t xml:space="preserve">。 </w:t>
            </w:r>
            <w:r/>
          </w:p>
        </w:tc>
      </w:tr>
      <w:tr>
        <w:trPr>
          <w:jc w:val="center"/>
          <w:trHeight w:val="694"/>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68"/>
              <w:ind w:left="0"/>
              <w:jc w:val="center"/>
              <w:spacing w:before="11"/>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68"/>
              <w:ind w:left="134"/>
              <w:jc w:val="center"/>
              <w:spacing w:before="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应急方案</w:t>
            </w:r>
            <w:r/>
          </w:p>
          <w:p>
            <w:pPr>
              <w:pStyle w:val="1368"/>
              <w:ind w:left="165"/>
              <w:jc w:val="center"/>
              <w:spacing w:before="5"/>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30"/>
                <w:sz w:val="24"/>
                <w:szCs w:val="24"/>
                <w:highlight w:val="none"/>
              </w:rPr>
              <w:t xml:space="preserve">分</w:t>
            </w:r>
            <w:r>
              <w:rPr>
                <w:rFonts w:hint="eastAsia" w:ascii="仿宋" w:hAnsi="仿宋" w:eastAsia="仿宋" w:cs="仿宋"/>
                <w:bCs/>
                <w:color w:val="auto"/>
                <w:sz w:val="24"/>
                <w:szCs w:val="24"/>
                <w:highlight w:val="none"/>
              </w:rPr>
              <w:t xml:space="preserve">）</w:t>
            </w:r>
            <w:r/>
          </w:p>
        </w:tc>
        <w:tc>
          <w:tcPr>
            <w:tcW w:w="7288" w:type="dxa"/>
            <w:vAlign w:val="top"/>
            <w:textDirection w:val="lrTb"/>
            <w:noWrap w:val="false"/>
          </w:tcPr>
          <w:p>
            <w:pPr>
              <w:pStyle w:val="1368"/>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0"/>
                <w:sz w:val="24"/>
                <w:szCs w:val="24"/>
                <w:highlight w:val="none"/>
                <w:lang w:val="en-US" w:eastAsia="zh-CN"/>
              </w:rPr>
              <w:t xml:space="preserve">根据供应商提供</w:t>
            </w:r>
            <w:r>
              <w:rPr>
                <w:rFonts w:hint="eastAsia" w:cs="仿宋"/>
                <w:bCs/>
                <w:color w:val="auto"/>
                <w:spacing w:val="-10"/>
                <w:sz w:val="24"/>
                <w:szCs w:val="24"/>
                <w:highlight w:val="none"/>
                <w:lang w:val="en-US" w:eastAsia="zh-CN"/>
              </w:rPr>
              <w:t xml:space="preserve">针对本项目的</w:t>
            </w:r>
            <w:r>
              <w:rPr>
                <w:rFonts w:hint="eastAsia" w:cs="仿宋"/>
                <w:bCs/>
                <w:color w:val="auto"/>
                <w:spacing w:val="-13"/>
                <w:sz w:val="24"/>
                <w:szCs w:val="24"/>
                <w:highlight w:val="none"/>
                <w:lang w:val="en-US" w:eastAsia="zh-CN"/>
              </w:rPr>
              <w:t xml:space="preserve">应急</w:t>
            </w:r>
            <w:r>
              <w:rPr>
                <w:rFonts w:hint="eastAsia" w:ascii="仿宋" w:hAnsi="仿宋" w:eastAsia="仿宋" w:cs="仿宋"/>
                <w:bCs/>
                <w:color w:val="auto"/>
                <w:spacing w:val="-13"/>
                <w:sz w:val="24"/>
                <w:szCs w:val="24"/>
                <w:highlight w:val="none"/>
              </w:rPr>
              <w:t xml:space="preserve">方案</w:t>
            </w:r>
            <w:r>
              <w:rPr>
                <w:rFonts w:hint="eastAsia" w:ascii="仿宋" w:hAnsi="仿宋" w:eastAsia="仿宋" w:cs="仿宋"/>
                <w:bCs/>
                <w:color w:val="auto"/>
                <w:spacing w:val="-10"/>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rPr>
              <w:t xml:space="preserve">重大活动、迎检接待、处理突发事件等各项应急措施</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68"/>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68"/>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3、内容一般，基本可行，针对性一般的得 6分； </w:t>
            </w:r>
            <w:r/>
          </w:p>
          <w:p>
            <w:pPr>
              <w:pStyle w:val="1368"/>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4、内容不太全面，可行性较差，针对性较差的得4分。</w:t>
            </w:r>
            <w:r/>
          </w:p>
          <w:p>
            <w:pPr>
              <w:pStyle w:val="1368"/>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5、无具体内容的，不得分。</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20"/>
                <w:sz w:val="24"/>
                <w:szCs w:val="24"/>
                <w:highlight w:val="none"/>
                <w:lang w:val="en-US" w:eastAsia="zh-CN"/>
              </w:rPr>
              <w:t xml:space="preserve">本项目最高得10分，最低得0分。 </w:t>
            </w:r>
            <w:r/>
          </w:p>
        </w:tc>
      </w:tr>
      <w:tr>
        <w:trPr>
          <w:jc w:val="center"/>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68"/>
              <w:ind w:left="106" w:right="83"/>
              <w:jc w:val="center"/>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项目管理机构</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（10分）</w:t>
            </w:r>
            <w:r/>
          </w:p>
        </w:tc>
        <w:tc>
          <w:tcPr>
            <w:tcW w:w="7288" w:type="dxa"/>
            <w:vAlign w:val="center"/>
            <w:textDirection w:val="lrTb"/>
            <w:noWrap w:val="false"/>
          </w:tcPr>
          <w:p>
            <w:pPr>
              <w:pStyle w:val="1368"/>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10"/>
                <w:sz w:val="24"/>
                <w:szCs w:val="24"/>
                <w:highlight w:val="none"/>
                <w:lang w:val="en-US" w:eastAsia="zh-CN"/>
              </w:rPr>
              <w:t xml:space="preserve">1、</w:t>
            </w:r>
            <w:r>
              <w:rPr>
                <w:rFonts w:hint="eastAsia" w:ascii="仿宋" w:hAnsi="仿宋" w:eastAsia="仿宋" w:cs="仿宋"/>
                <w:bCs/>
                <w:color w:val="auto"/>
                <w:spacing w:val="-10"/>
                <w:sz w:val="24"/>
                <w:szCs w:val="24"/>
                <w:highlight w:val="none"/>
              </w:rPr>
              <w:t xml:space="preserve">内容全面，</w:t>
            </w:r>
            <w:r>
              <w:rPr>
                <w:rFonts w:hint="eastAsia" w:ascii="仿宋" w:hAnsi="仿宋" w:eastAsia="仿宋" w:cs="仿宋"/>
                <w:bCs/>
                <w:color w:val="auto"/>
                <w:spacing w:val="-10"/>
                <w:sz w:val="24"/>
                <w:szCs w:val="24"/>
                <w:highlight w:val="none"/>
                <w:lang w:val="en-US" w:eastAsia="zh-CN"/>
              </w:rPr>
              <w:t xml:space="preserve">可行性强</w:t>
            </w:r>
            <w:r>
              <w:rPr>
                <w:rFonts w:hint="eastAsia" w:ascii="仿宋" w:hAnsi="仿宋" w:eastAsia="仿宋" w:cs="仿宋"/>
                <w:bCs/>
                <w:color w:val="auto"/>
                <w:spacing w:val="-6"/>
                <w:sz w:val="24"/>
                <w:szCs w:val="24"/>
                <w:highlight w:val="none"/>
              </w:rPr>
              <w:t xml:space="preserve">，针对性强的得 </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pacing w:val="-20"/>
                <w:sz w:val="24"/>
                <w:szCs w:val="24"/>
                <w:highlight w:val="none"/>
              </w:rPr>
              <w:t xml:space="preserve">分； </w:t>
            </w:r>
            <w:r/>
          </w:p>
          <w:p>
            <w:pPr>
              <w:pStyle w:val="1368"/>
              <w:ind w:left="106" w:right="83"/>
              <w:spacing w:before="0" w:line="242" w:lineRule="auto"/>
              <w:rPr>
                <w:rFonts w:hint="eastAsia" w:ascii="仿宋" w:hAnsi="仿宋" w:eastAsia="仿宋" w:cs="仿宋"/>
                <w:bCs/>
                <w:color w:val="auto"/>
                <w:spacing w:val="-20"/>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较</w:t>
            </w:r>
            <w:r>
              <w:rPr>
                <w:rFonts w:hint="eastAsia" w:ascii="仿宋" w:hAnsi="仿宋" w:eastAsia="仿宋" w:cs="仿宋"/>
                <w:bCs/>
                <w:color w:val="auto"/>
                <w:spacing w:val="-10"/>
                <w:sz w:val="24"/>
                <w:szCs w:val="24"/>
                <w:highlight w:val="none"/>
              </w:rPr>
              <w:t xml:space="preserve">全面，</w:t>
            </w:r>
            <w:r>
              <w:rPr>
                <w:rFonts w:hint="eastAsia" w:ascii="仿宋" w:hAnsi="仿宋" w:eastAsia="仿宋" w:cs="仿宋"/>
                <w:bCs/>
                <w:color w:val="auto"/>
                <w:spacing w:val="-10"/>
                <w:sz w:val="24"/>
                <w:szCs w:val="24"/>
                <w:highlight w:val="none"/>
                <w:lang w:val="en-US" w:eastAsia="zh-CN"/>
              </w:rPr>
              <w:t xml:space="preserve">可行性较强</w:t>
            </w:r>
            <w:r>
              <w:rPr>
                <w:rFonts w:hint="eastAsia" w:ascii="仿宋" w:hAnsi="仿宋" w:eastAsia="仿宋" w:cs="仿宋"/>
                <w:bCs/>
                <w:color w:val="auto"/>
                <w:spacing w:val="-6"/>
                <w:sz w:val="24"/>
                <w:szCs w:val="24"/>
                <w:highlight w:val="none"/>
              </w:rPr>
              <w:t xml:space="preserve">，针对性</w:t>
            </w:r>
            <w:r>
              <w:rPr>
                <w:rFonts w:hint="eastAsia" w:ascii="仿宋" w:hAnsi="仿宋" w:eastAsia="仿宋" w:cs="仿宋"/>
                <w:bCs/>
                <w:color w:val="auto"/>
                <w:spacing w:val="-6"/>
                <w:sz w:val="24"/>
                <w:szCs w:val="24"/>
                <w:highlight w:val="none"/>
                <w:lang w:val="en-US" w:eastAsia="zh-CN"/>
              </w:rPr>
              <w:t xml:space="preserve">较</w:t>
            </w:r>
            <w:r>
              <w:rPr>
                <w:rFonts w:hint="eastAsia" w:ascii="仿宋" w:hAnsi="仿宋" w:eastAsia="仿宋" w:cs="仿宋"/>
                <w:bCs/>
                <w:color w:val="auto"/>
                <w:spacing w:val="-6"/>
                <w:sz w:val="24"/>
                <w:szCs w:val="24"/>
                <w:highlight w:val="none"/>
              </w:rPr>
              <w:t xml:space="preserve">强的得 </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pacing w:val="-20"/>
                <w:sz w:val="24"/>
                <w:szCs w:val="24"/>
                <w:highlight w:val="none"/>
              </w:rPr>
              <w:t xml:space="preserve">分；</w:t>
            </w:r>
            <w:r/>
          </w:p>
          <w:p>
            <w:pPr>
              <w:pStyle w:val="1368"/>
              <w:ind w:left="106" w:right="83"/>
              <w:spacing w:before="0" w:line="242" w:lineRule="auto"/>
              <w:rPr>
                <w:rFonts w:hint="eastAsia" w:ascii="仿宋" w:hAnsi="仿宋" w:eastAsia="仿宋" w:cs="仿宋"/>
                <w:bCs/>
                <w:color w:val="auto"/>
                <w:sz w:val="24"/>
                <w:szCs w:val="24"/>
                <w:highlight w:val="none"/>
              </w:rPr>
            </w:pPr>
            <w:r>
              <w:rPr>
                <w:rFonts w:hint="eastAsia" w:ascii="仿宋" w:hAnsi="仿宋" w:eastAsia="仿宋" w:cs="仿宋"/>
                <w:bCs/>
                <w:color w:val="auto"/>
                <w:spacing w:val="-20"/>
                <w:sz w:val="24"/>
                <w:szCs w:val="24"/>
                <w:highlight w:val="none"/>
                <w:lang w:val="en-US" w:eastAsia="zh-CN"/>
              </w:rPr>
              <w:t xml:space="preserve">3、</w:t>
            </w:r>
            <w:r>
              <w:rPr>
                <w:rFonts w:hint="eastAsia" w:ascii="仿宋" w:hAnsi="仿宋" w:eastAsia="仿宋" w:cs="仿宋"/>
                <w:bCs/>
                <w:color w:val="auto"/>
                <w:spacing w:val="-10"/>
                <w:sz w:val="24"/>
                <w:szCs w:val="24"/>
                <w:highlight w:val="none"/>
              </w:rPr>
              <w:t xml:space="preserve">内容一般，</w:t>
            </w:r>
            <w:r>
              <w:rPr>
                <w:rFonts w:hint="eastAsia" w:ascii="仿宋" w:hAnsi="仿宋" w:eastAsia="仿宋" w:cs="仿宋"/>
                <w:bCs/>
                <w:color w:val="auto"/>
                <w:spacing w:val="-10"/>
                <w:sz w:val="24"/>
                <w:szCs w:val="24"/>
                <w:highlight w:val="none"/>
                <w:lang w:val="en-US" w:eastAsia="zh-CN"/>
              </w:rPr>
              <w:t xml:space="preserve">基本可行</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一般的</w:t>
            </w:r>
            <w:r>
              <w:rPr>
                <w:rFonts w:hint="eastAsia" w:ascii="仿宋" w:hAnsi="仿宋" w:eastAsia="仿宋" w:cs="仿宋"/>
                <w:bCs/>
                <w:color w:val="auto"/>
                <w:spacing w:val="-5"/>
                <w:sz w:val="24"/>
                <w:szCs w:val="24"/>
                <w:highlight w:val="none"/>
              </w:rPr>
              <w:t xml:space="preserve">得 </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pacing w:val="-20"/>
                <w:sz w:val="24"/>
                <w:szCs w:val="24"/>
                <w:highlight w:val="none"/>
              </w:rPr>
              <w:t xml:space="preserve">分； </w:t>
            </w:r>
            <w:r/>
          </w:p>
          <w:p>
            <w:pPr>
              <w:pStyle w:val="1368"/>
              <w:ind w:left="106"/>
              <w:spacing w:before="5" w:line="291"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pacing w:val="-10"/>
                <w:sz w:val="24"/>
                <w:szCs w:val="24"/>
                <w:highlight w:val="none"/>
              </w:rPr>
              <w:t xml:space="preserve">内容</w:t>
            </w:r>
            <w:r>
              <w:rPr>
                <w:rFonts w:hint="eastAsia" w:ascii="仿宋" w:hAnsi="仿宋" w:eastAsia="仿宋" w:cs="仿宋"/>
                <w:bCs/>
                <w:color w:val="auto"/>
                <w:spacing w:val="-10"/>
                <w:sz w:val="24"/>
                <w:szCs w:val="24"/>
                <w:highlight w:val="none"/>
                <w:lang w:val="en-US" w:eastAsia="zh-CN"/>
              </w:rPr>
              <w:t xml:space="preserve">不太全面</w:t>
            </w:r>
            <w:r>
              <w:rPr>
                <w:rFonts w:hint="eastAsia" w:ascii="仿宋" w:hAnsi="仿宋" w:eastAsia="仿宋" w:cs="仿宋"/>
                <w:bCs/>
                <w:color w:val="auto"/>
                <w:spacing w:val="-10"/>
                <w:sz w:val="24"/>
                <w:szCs w:val="24"/>
                <w:highlight w:val="none"/>
              </w:rPr>
              <w:t xml:space="preserve">，</w:t>
            </w:r>
            <w:r>
              <w:rPr>
                <w:rFonts w:hint="eastAsia" w:ascii="仿宋" w:hAnsi="仿宋" w:eastAsia="仿宋" w:cs="仿宋"/>
                <w:bCs/>
                <w:color w:val="auto"/>
                <w:spacing w:val="-10"/>
                <w:sz w:val="24"/>
                <w:szCs w:val="24"/>
                <w:highlight w:val="none"/>
                <w:lang w:val="en-US" w:eastAsia="zh-CN"/>
              </w:rPr>
              <w:t xml:space="preserve">可行性较差</w:t>
            </w:r>
            <w:r>
              <w:rPr>
                <w:rFonts w:hint="eastAsia" w:ascii="仿宋" w:hAnsi="仿宋" w:eastAsia="仿宋" w:cs="仿宋"/>
                <w:bCs/>
                <w:color w:val="auto"/>
                <w:spacing w:val="-5"/>
                <w:sz w:val="24"/>
                <w:szCs w:val="24"/>
                <w:highlight w:val="none"/>
              </w:rPr>
              <w:t xml:space="preserve">，针对性</w:t>
            </w:r>
            <w:r>
              <w:rPr>
                <w:rFonts w:hint="eastAsia" w:ascii="仿宋" w:hAnsi="仿宋" w:eastAsia="仿宋" w:cs="仿宋"/>
                <w:bCs/>
                <w:color w:val="auto"/>
                <w:spacing w:val="-5"/>
                <w:sz w:val="24"/>
                <w:szCs w:val="24"/>
                <w:highlight w:val="none"/>
                <w:lang w:val="en-US" w:eastAsia="zh-CN"/>
              </w:rPr>
              <w:t xml:space="preserve">较差的</w:t>
            </w:r>
            <w:r>
              <w:rPr>
                <w:rFonts w:hint="eastAsia" w:ascii="仿宋" w:hAnsi="仿宋" w:eastAsia="仿宋" w:cs="仿宋"/>
                <w:bCs/>
                <w:color w:val="auto"/>
                <w:spacing w:val="-5"/>
                <w:sz w:val="24"/>
                <w:szCs w:val="24"/>
                <w:highlight w:val="none"/>
              </w:rPr>
              <w:t xml:space="preserve">得</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pacing w:val="-20"/>
                <w:sz w:val="24"/>
                <w:szCs w:val="24"/>
                <w:highlight w:val="none"/>
              </w:rPr>
              <w:t xml:space="preserve">分</w:t>
            </w:r>
            <w:r>
              <w:rPr>
                <w:rFonts w:hint="eastAsia" w:ascii="仿宋" w:hAnsi="仿宋" w:eastAsia="仿宋" w:cs="仿宋"/>
                <w:bCs/>
                <w:color w:val="auto"/>
                <w:sz w:val="24"/>
                <w:szCs w:val="24"/>
                <w:highlight w:val="none"/>
              </w:rPr>
              <w:t xml:space="preserve">。</w:t>
            </w:r>
            <w:r/>
          </w:p>
          <w:p>
            <w:pPr>
              <w:pStyle w:val="1368"/>
              <w:ind w:left="106" w:right="83"/>
              <w:spacing w:before="0" w:line="242" w:lineRule="auto"/>
              <w:rPr>
                <w:rFonts w:hint="eastAsia" w:ascii="仿宋" w:hAnsi="仿宋" w:eastAsia="仿宋" w:cs="仿宋"/>
                <w:bCs/>
                <w:color w:val="auto"/>
                <w:spacing w:val="-20"/>
                <w:sz w:val="24"/>
                <w:szCs w:val="24"/>
                <w:highlight w:val="none"/>
                <w:lang w:val="en-US" w:eastAsia="zh-CN"/>
              </w:rPr>
            </w:pPr>
            <w:r>
              <w:rPr>
                <w:rFonts w:hint="eastAsia" w:ascii="仿宋" w:hAnsi="仿宋" w:eastAsia="仿宋" w:cs="仿宋"/>
                <w:bCs/>
                <w:color w:val="auto"/>
                <w:spacing w:val="-20"/>
                <w:sz w:val="24"/>
                <w:szCs w:val="24"/>
                <w:highlight w:val="none"/>
                <w:lang w:val="en-US" w:eastAsia="zh-CN"/>
              </w:rPr>
              <w:t xml:space="preserve">5、无具体内容的，不得分。</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20"/>
                <w:sz w:val="24"/>
                <w:szCs w:val="24"/>
                <w:highlight w:val="none"/>
                <w:lang w:val="en-US" w:eastAsia="zh-CN"/>
              </w:rPr>
              <w:t xml:space="preserve">本项目最高得10分，最低得0分。 </w:t>
            </w:r>
            <w:r>
              <w:rPr>
                <w:rFonts w:hint="eastAsia" w:ascii="仿宋" w:hAnsi="仿宋" w:eastAsia="仿宋" w:cs="仿宋"/>
                <w:bCs/>
                <w:color w:val="auto"/>
                <w:sz w:val="24"/>
                <w:szCs w:val="24"/>
                <w:highlight w:val="none"/>
              </w:rPr>
              <w:t xml:space="preserve"> </w:t>
            </w:r>
            <w:r/>
          </w:p>
        </w:tc>
      </w:tr>
      <w:tr>
        <w:trPr>
          <w:jc w:val="center"/>
          <w:trHeight w:val="1412"/>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pStyle w:val="1368"/>
              <w:ind w:left="165"/>
              <w:jc w:val="center"/>
              <w:spacing w:before="5"/>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日常管理制度</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w:t>
            </w:r>
            <w:r>
              <w:rPr>
                <w:rFonts w:hint="eastAsia"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c>
          <w:tcPr>
            <w:tcW w:w="7288" w:type="dxa"/>
            <w:vAlign w:val="top"/>
            <w:textDirection w:val="lrTb"/>
            <w:noWrap w:val="false"/>
          </w:tcPr>
          <w:p>
            <w:pPr>
              <w:pStyle w:val="1368"/>
              <w:ind w:left="106" w:right="-44"/>
              <w:spacing w:before="0" w:line="294" w:lineRule="exact"/>
              <w:rPr>
                <w:rFonts w:hint="eastAsia" w:ascii="仿宋" w:hAnsi="仿宋" w:eastAsia="仿宋" w:cs="仿宋"/>
                <w:bCs/>
                <w:color w:val="auto"/>
                <w:spacing w:val="-13"/>
                <w:sz w:val="24"/>
                <w:szCs w:val="24"/>
                <w:highlight w:val="none"/>
              </w:rPr>
            </w:pPr>
            <w:r>
              <w:rPr>
                <w:rFonts w:hint="eastAsia" w:ascii="仿宋" w:hAnsi="仿宋" w:eastAsia="仿宋" w:cs="仿宋"/>
                <w:bCs/>
                <w:color w:val="auto"/>
                <w:spacing w:val="-13"/>
                <w:sz w:val="24"/>
                <w:szCs w:val="24"/>
                <w:highlight w:val="none"/>
              </w:rPr>
              <w:t xml:space="preserve">对方案内容的全面性、可行性、针对性进行评价。</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1、内容全面，可行性强，针对性强的得 </w:t>
            </w:r>
            <w:r>
              <w:rPr>
                <w:rFonts w:hint="eastAsia" w:cs="仿宋"/>
                <w:bCs/>
                <w:color w:val="auto"/>
                <w:spacing w:val="-10"/>
                <w:sz w:val="24"/>
                <w:szCs w:val="24"/>
                <w:highlight w:val="none"/>
                <w:lang w:val="en-US" w:eastAsia="zh-CN"/>
              </w:rPr>
              <w:t xml:space="preserve">8</w:t>
            </w:r>
            <w:r>
              <w:rPr>
                <w:rFonts w:hint="eastAsia" w:ascii="仿宋" w:hAnsi="仿宋" w:eastAsia="仿宋" w:cs="仿宋"/>
                <w:bCs/>
                <w:color w:val="auto"/>
                <w:spacing w:val="-10"/>
                <w:sz w:val="24"/>
                <w:szCs w:val="24"/>
                <w:highlight w:val="none"/>
                <w:lang w:val="en-US" w:eastAsia="zh-CN"/>
              </w:rPr>
              <w:t xml:space="preserve">分； </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2、内容一般，基本可行，针对性一般的得 </w:t>
            </w:r>
            <w:r>
              <w:rPr>
                <w:rFonts w:hint="eastAsia" w:cs="仿宋"/>
                <w:bCs/>
                <w:color w:val="auto"/>
                <w:spacing w:val="-10"/>
                <w:sz w:val="24"/>
                <w:szCs w:val="24"/>
                <w:highlight w:val="none"/>
                <w:lang w:val="en-US" w:eastAsia="zh-CN"/>
              </w:rPr>
              <w:t xml:space="preserve">6</w:t>
            </w:r>
            <w:r>
              <w:rPr>
                <w:rFonts w:hint="eastAsia" w:ascii="仿宋" w:hAnsi="仿宋" w:eastAsia="仿宋" w:cs="仿宋"/>
                <w:bCs/>
                <w:color w:val="auto"/>
                <w:spacing w:val="-10"/>
                <w:sz w:val="24"/>
                <w:szCs w:val="24"/>
                <w:highlight w:val="none"/>
                <w:lang w:val="en-US" w:eastAsia="zh-CN"/>
              </w:rPr>
              <w:t xml:space="preserve">分；</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3、内容不太全面，可行性较差，针对性较差的得 </w:t>
            </w:r>
            <w:r>
              <w:rPr>
                <w:rFonts w:hint="eastAsia" w:cs="仿宋"/>
                <w:bCs/>
                <w:color w:val="auto"/>
                <w:spacing w:val="-10"/>
                <w:sz w:val="24"/>
                <w:szCs w:val="24"/>
                <w:highlight w:val="none"/>
                <w:lang w:val="en-US" w:eastAsia="zh-CN"/>
              </w:rPr>
              <w:t xml:space="preserve">4</w:t>
            </w:r>
            <w:r>
              <w:rPr>
                <w:rFonts w:hint="eastAsia" w:ascii="仿宋" w:hAnsi="仿宋" w:eastAsia="仿宋" w:cs="仿宋"/>
                <w:bCs/>
                <w:color w:val="auto"/>
                <w:spacing w:val="-10"/>
                <w:sz w:val="24"/>
                <w:szCs w:val="24"/>
                <w:highlight w:val="none"/>
                <w:lang w:val="en-US" w:eastAsia="zh-CN"/>
              </w:rPr>
              <w:t xml:space="preserve">分。</w:t>
            </w:r>
            <w:r/>
          </w:p>
          <w:p>
            <w:pPr>
              <w:pStyle w:val="1368"/>
              <w:ind w:left="106" w:right="83"/>
              <w:spacing w:before="0" w:line="242" w:lineRule="auto"/>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4、无具体内容的，不得分。</w:t>
            </w:r>
            <w:r/>
          </w:p>
          <w:p>
            <w:pPr>
              <w:pStyle w:val="1368"/>
              <w:ind w:left="106" w:right="83"/>
              <w:spacing w:before="0" w:line="24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pacing w:val="-10"/>
                <w:sz w:val="24"/>
                <w:szCs w:val="24"/>
                <w:highlight w:val="none"/>
                <w:lang w:val="en-US" w:eastAsia="zh-CN"/>
              </w:rPr>
              <w:t xml:space="preserve">本项目最高得</w:t>
            </w:r>
            <w:r>
              <w:rPr>
                <w:rFonts w:hint="eastAsia" w:cs="仿宋"/>
                <w:bCs/>
                <w:color w:val="auto"/>
                <w:spacing w:val="-10"/>
                <w:sz w:val="24"/>
                <w:szCs w:val="24"/>
                <w:highlight w:val="none"/>
                <w:lang w:val="en-US" w:eastAsia="zh-CN"/>
              </w:rPr>
              <w:t xml:space="preserve">8</w:t>
            </w:r>
            <w:r>
              <w:rPr>
                <w:rFonts w:hint="eastAsia" w:ascii="仿宋" w:hAnsi="仿宋" w:eastAsia="仿宋" w:cs="仿宋"/>
                <w:bCs/>
                <w:color w:val="auto"/>
                <w:spacing w:val="-10"/>
                <w:sz w:val="24"/>
                <w:szCs w:val="24"/>
                <w:highlight w:val="none"/>
                <w:lang w:val="en-US" w:eastAsia="zh-CN"/>
              </w:rPr>
              <w:t xml:space="preserve">分，最低得0分。 </w:t>
            </w:r>
            <w:r/>
          </w:p>
        </w:tc>
      </w:tr>
    </w:tbl>
    <w:p>
      <w:pPr>
        <w:pStyle w:val="1047"/>
        <w:rPr>
          <w:rFonts w:hint="eastAsia"/>
          <w:color w:val="auto"/>
          <w:highlight w:val="none"/>
          <w:lang w:val="en-US" w:eastAsia="zh-CN"/>
        </w:rPr>
      </w:pPr>
      <w:r>
        <w:rPr>
          <w:rFonts w:hint="eastAsia"/>
          <w:color w:val="auto"/>
          <w:highlight w:val="none"/>
          <w:lang w:val="en-US" w:eastAsia="zh-CN"/>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Style w:val="1277"/>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二标段：2026年新移交绿地道路绿地养护管理（评分细则）</w:t>
      </w:r>
      <w:r/>
    </w:p>
    <w:tbl>
      <w:tblPr>
        <w:tblStyle w:val="986"/>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1347"/>
        <w:gridCol w:w="7290"/>
      </w:tblGrid>
      <w:tr>
        <w:trPr>
          <w:jc w:val="center"/>
          <w:trHeight w:val="764"/>
        </w:trPr>
        <w:tc>
          <w:tcPr>
            <w:tcW w:w="1297"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bookmarkStart w:id="24" w:name="_Toc80122290"/>
            <w:r>
              <w:rPr>
                <w:rFonts w:hint="eastAsia" w:ascii="仿宋" w:hAnsi="仿宋" w:eastAsia="仿宋" w:cs="仿宋"/>
                <w:color w:val="auto"/>
                <w:sz w:val="24"/>
                <w:szCs w:val="24"/>
                <w:highlight w:val="none"/>
              </w:rPr>
              <w:t xml:space="preserve">项目</w:t>
            </w:r>
            <w:r/>
          </w:p>
        </w:tc>
        <w:tc>
          <w:tcPr>
            <w:tcW w:w="1347"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细化项目及分值</w:t>
            </w:r>
            <w:r/>
          </w:p>
        </w:tc>
        <w:tc>
          <w:tcPr>
            <w:tcW w:w="7291"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评分依据</w:t>
            </w:r>
            <w:r/>
          </w:p>
        </w:tc>
      </w:tr>
      <w:tr>
        <w:trPr>
          <w:jc w:val="center"/>
          <w:trHeight w:val="560"/>
        </w:trPr>
        <w:tc>
          <w:tcPr>
            <w:tcW w:w="1297"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（15分）</w:t>
            </w:r>
            <w:r/>
          </w:p>
        </w:tc>
        <w:tc>
          <w:tcPr>
            <w:gridSpan w:val="2"/>
            <w:tcW w:w="8638"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w:t>
            </w: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要求且</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报价最低的</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的价格为评标基准价，其价格分为满分。其他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报价得分=（评标基准价/</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报价）×15</w:t>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（按四舍五入取至小数点后两位）。</w:t>
            </w:r>
            <w:r/>
          </w:p>
        </w:tc>
      </w:tr>
      <w:tr>
        <w:trPr>
          <w:jc w:val="center"/>
          <w:trHeight w:val="560"/>
        </w:trPr>
        <w:tc>
          <w:tcPr>
            <w:tcW w:w="1297" w:type="dxa"/>
            <w:vAlign w:val="center"/>
            <w:vMerge w:val="restart"/>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商务部分（7分）</w:t>
            </w:r>
            <w:r/>
          </w:p>
        </w:tc>
        <w:tc>
          <w:tcPr>
            <w:tcBorders>
              <w:right w:val="single" w:color="auto" w:sz="4" w:space="0"/>
            </w:tcBorders>
            <w:tcW w:w="1347"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企业认证</w:t>
            </w:r>
            <w:r/>
          </w:p>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（3分）</w:t>
            </w:r>
            <w:r/>
          </w:p>
        </w:tc>
        <w:tc>
          <w:tcPr>
            <w:tcBorders>
              <w:left w:val="single" w:color="auto" w:sz="4" w:space="0"/>
            </w:tcBorders>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供应商具有有效的质量管理体系认证证书、环境管理体系认证证书、职业健康安全管理体系认证证书，每具有一项得1分，最高得3分。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注：响应文件中提供相关材料文件扫描件。</w:t>
            </w:r>
            <w:r/>
          </w:p>
        </w:tc>
      </w:tr>
      <w:tr>
        <w:trPr>
          <w:jc w:val="center"/>
          <w:trHeight w:val="560"/>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right w:val="single" w:color="auto" w:sz="4" w:space="0"/>
            </w:tcBorders>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项目总负责人业绩</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（4分）</w:t>
            </w:r>
            <w:r/>
          </w:p>
        </w:tc>
        <w:tc>
          <w:tcPr>
            <w:shd w:val="clear" w:color="auto" w:fill="auto"/>
            <w:tcBorders>
              <w:left w:val="single" w:color="auto" w:sz="4" w:space="0"/>
            </w:tcBorders>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拟派项目总负责人（项目经理）的业绩合同服务周期应在2023年4月1日（含）之后，业绩类型应为城市公共绿地（化）养护管理项目。合同连续服务期须满一周年的得4分，否则不得分，本项目最高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拟派项目总负责人（项目经理）业绩由项目合同甲方（如甲方为行政单位，可由其委托所属负责合同履约的监管单位或其项目代表单位）出具合同履约情况证明及相关信息，并加盖单位公章方为有效，否则该项业绩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2.供应商须提供合同扫描件及相关证明材料，扫描件及相关证明材料应能体现并标注出项目总负责人（项目经理）、服务内容、服务周期、起止时间等相关信息。</w:t>
            </w:r>
            <w:r/>
          </w:p>
        </w:tc>
      </w:tr>
      <w:tr>
        <w:trPr>
          <w:jc w:val="center"/>
          <w:trHeight w:val="708"/>
        </w:trPr>
        <w:tc>
          <w:tcPr>
            <w:tcW w:w="1297" w:type="dxa"/>
            <w:vAlign w:val="center"/>
            <w:vMerge w:val="restart"/>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p>
            <w:pPr>
              <w:pStyle w:val="1031"/>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（78分）</w:t>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养护管理总体组织实施方案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（15分）</w:t>
            </w:r>
            <w:r/>
          </w:p>
        </w:tc>
        <w:tc>
          <w:tcPr>
            <w:tcW w:w="7291" w:type="dxa"/>
            <w:vAlign w:val="center"/>
            <w:textDirection w:val="lrTb"/>
            <w:noWrap w:val="false"/>
          </w:tcPr>
          <w:p>
            <w:pPr>
              <w:jc w:val="both"/>
              <w:keepLines w:val="0"/>
              <w:keepNext w:val="0"/>
              <w:pageBreakBefore w:val="0"/>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市管绿地特点和地域重要性，针对所投项目绿地构成形式及苗木特性，供应商提供养护管理具体实施方案，包含各类苗木修剪、病虫害防治、水肥管理、抗旱防涝、景观提升改造、防寒保暖、切边等具体实施方案。</w:t>
            </w:r>
            <w:r/>
          </w:p>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（1）目标性（3分）方案目标性明确完整、符合实际、切实可行且无缺陷的得3分；目标性较明确存在缺陷的得2分；目标性一般的得1分；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（2）全面性（4分）方案内容全面完整、符合实际、切实可行且无缺陷的得4分；内容较全面存在缺陷的得3分；内容一般的得1分；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（3）针对性（4分）方案针对性强、完整、符合实际、切实可行且无缺陷的得4分；针对性较强存在缺陷的得3分；针对性一般的得1分 ；</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（4）规范性（4分）方案规范性强、完整、符合实际、切实可行且无缺陷的得4分，规范性较强存在缺陷的得3分；规范性一般的得1分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本项最高15分，未提供方案不得分。</w:t>
            </w:r>
            <w:r/>
          </w:p>
        </w:tc>
      </w:tr>
      <w:tr>
        <w:trPr>
          <w:jc w:val="center"/>
          <w:trHeight w:val="634"/>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组织机构设置方案（7分）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根据供应商提供的组织机构设置方案进行综合评分：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（1）组织机构健全、合理、无缺陷的，得7分；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（2）组织机构较健全、较合理、存在缺陷的，得5分；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（3）组织机构基本健全、基本合理、存在缺陷的，得2分；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Height w:val="416"/>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工作人员配备方案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根据供应商提供的工作人员配备方案进行综合评分：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（1）现场工作人员工种配置全面、比例合理，且能根据季节性和阶段性养护工作对现场工作人员进行量化配置，按照《园林绿化养护管理规范》（DB 3203/T 1010-2021）要求，完全满足养护管理需要的，得12分；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（2）现场工作人员工种配置全面、比例合理，且能根据季节性和阶段性养护工作对现场工作人员进行量化配置，按照《园林绿化养护管理规范》（DB 3203/T 1010-2021）要求，能够满足养护管理需要的，得8分；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（3）现场工作人员工种配置全面，根据工作需要对现场工作人员进行量化，基本满足养护管理需要的，得5分；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（4）不能满足的得0分。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注：项目总负责人（项目经理）1名、技术员（兼现场负责人）1名、质检员1名、安全员1名、资料员1名、园林园艺修剪专职人员不少于5名，供应商必须书面承诺在成交通知书下达15天内提供与上述人员</w:t>
            </w:r>
            <w:r>
              <w:rPr>
                <w:rFonts w:hint="eastAsia" w:ascii="仿宋" w:hAnsi="仿宋" w:eastAsia="仿宋" w:cs="仿宋"/>
                <w:b/>
                <w:bCs/>
                <w:color w:val="auto"/>
                <w:sz w:val="24"/>
                <w:szCs w:val="24"/>
                <w:highlight w:val="none"/>
                <w:lang w:val="en-US" w:eastAsia="zh-CN" w:bidi="ar-SA"/>
              </w:rPr>
              <w:t xml:space="preserve">（项目总负责人（项目经理）除外）</w:t>
            </w:r>
            <w:r>
              <w:rPr>
                <w:rFonts w:hint="eastAsia" w:ascii="仿宋" w:hAnsi="仿宋" w:eastAsia="仿宋" w:cs="仿宋"/>
                <w:color w:val="auto"/>
                <w:sz w:val="24"/>
                <w:szCs w:val="24"/>
                <w:highlight w:val="none"/>
                <w:lang w:val="en-US" w:eastAsia="zh-CN" w:bidi="ar-SA"/>
              </w:rPr>
              <w:t xml:space="preserve">签订不少于与本项目履约期的用人合同并在该公司缴纳社保和保险等，不能满足的得0分。</w:t>
            </w:r>
            <w:r/>
          </w:p>
          <w:p>
            <w:pPr>
              <w:pStyle w:val="987"/>
              <w:ind w:left="0" w:firstLine="0"/>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bidi="ar-SA"/>
              </w:rPr>
              <w:t xml:space="preserve">（项目总负责人（项目经理））</w:t>
            </w:r>
            <w:r>
              <w:rPr>
                <w:rFonts w:hint="eastAsia" w:ascii="仿宋" w:hAnsi="仿宋" w:eastAsia="仿宋" w:cs="仿宋"/>
                <w:b/>
                <w:color w:val="auto"/>
                <w:sz w:val="24"/>
                <w:szCs w:val="24"/>
                <w:highlight w:val="none"/>
                <w:lang w:val="en-US" w:bidi="zh-CN"/>
              </w:rPr>
              <w:t xml:space="preserve">需为</w:t>
            </w:r>
            <w:r>
              <w:rPr>
                <w:rFonts w:hint="eastAsia" w:ascii="仿宋" w:hAnsi="仿宋" w:eastAsia="仿宋" w:cs="仿宋"/>
                <w:b/>
                <w:color w:val="auto"/>
                <w:sz w:val="24"/>
                <w:szCs w:val="24"/>
                <w:highlight w:val="none"/>
                <w:lang w:val="en-US" w:eastAsia="zh-CN" w:bidi="zh-CN"/>
              </w:rPr>
              <w:t xml:space="preserve">供应商在职员工，</w:t>
            </w:r>
            <w:r>
              <w:rPr>
                <w:rFonts w:hint="eastAsia" w:ascii="仿宋" w:hAnsi="仿宋" w:eastAsia="仿宋" w:cs="仿宋"/>
                <w:b/>
                <w:color w:val="auto"/>
                <w:sz w:val="24"/>
                <w:szCs w:val="24"/>
                <w:highlight w:val="none"/>
                <w:lang w:val="en-US" w:bidi="zh-CN"/>
              </w:rPr>
              <w:t xml:space="preserve">提供供应商近6个月</w:t>
            </w:r>
            <w:r>
              <w:rPr>
                <w:rFonts w:hint="eastAsia" w:ascii="仿宋" w:hAnsi="仿宋" w:cs="仿宋"/>
                <w:b/>
                <w:color w:val="auto"/>
                <w:sz w:val="24"/>
                <w:szCs w:val="24"/>
                <w:highlight w:val="none"/>
                <w:lang w:val="en-US" w:bidi="zh-CN"/>
              </w:rPr>
              <w:t xml:space="preserve">内</w:t>
            </w:r>
            <w:r>
              <w:rPr>
                <w:rFonts w:hint="eastAsia" w:ascii="仿宋" w:hAnsi="仿宋" w:eastAsia="仿宋" w:cs="仿宋"/>
                <w:b/>
                <w:color w:val="auto"/>
                <w:sz w:val="24"/>
                <w:szCs w:val="24"/>
                <w:highlight w:val="none"/>
                <w:lang w:val="en-US" w:eastAsia="zh-CN" w:bidi="zh-CN"/>
              </w:rPr>
              <w:t xml:space="preserve">任意一月供应商为其缴纳的</w:t>
            </w:r>
            <w:r>
              <w:rPr>
                <w:rFonts w:hint="eastAsia" w:ascii="仿宋" w:hAnsi="仿宋" w:eastAsia="仿宋" w:cs="仿宋"/>
                <w:b/>
                <w:color w:val="auto"/>
                <w:sz w:val="24"/>
                <w:szCs w:val="24"/>
                <w:highlight w:val="none"/>
                <w:lang w:val="en-US" w:bidi="zh-CN"/>
              </w:rPr>
              <w:t xml:space="preserve">社保证明扫描件</w:t>
            </w:r>
            <w:r>
              <w:rPr>
                <w:rFonts w:hint="eastAsia" w:ascii="仿宋" w:hAnsi="仿宋" w:eastAsia="仿宋" w:cs="仿宋"/>
                <w:b/>
                <w:color w:val="auto"/>
                <w:sz w:val="24"/>
                <w:szCs w:val="24"/>
                <w:highlight w:val="none"/>
                <w:lang w:val="en-US" w:eastAsia="zh-CN" w:bidi="zh-CN"/>
              </w:rPr>
              <w:t xml:space="preserve">，</w:t>
            </w:r>
            <w:r>
              <w:rPr>
                <w:rFonts w:hint="eastAsia" w:ascii="仿宋" w:hAnsi="仿宋" w:cs="仿宋"/>
                <w:b/>
                <w:color w:val="auto"/>
                <w:sz w:val="24"/>
                <w:szCs w:val="24"/>
                <w:highlight w:val="none"/>
                <w:lang w:val="en-US" w:bidi="zh-CN"/>
              </w:rPr>
              <w:t xml:space="preserve">扫描件</w:t>
            </w:r>
            <w:r>
              <w:rPr>
                <w:rFonts w:hint="eastAsia" w:ascii="仿宋" w:hAnsi="仿宋" w:eastAsia="仿宋" w:cs="仿宋"/>
                <w:b/>
                <w:color w:val="auto"/>
                <w:sz w:val="24"/>
                <w:szCs w:val="24"/>
                <w:highlight w:val="none"/>
                <w:lang w:val="en-US" w:bidi="zh-CN"/>
              </w:rPr>
              <w:t xml:space="preserve">需清晰易辨认否则不予认可。</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本项最高12分。</w:t>
            </w:r>
            <w:r/>
          </w:p>
        </w:tc>
      </w:tr>
      <w:tr>
        <w:trPr>
          <w:jc w:val="center"/>
          <w:trHeight w:val="758"/>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养护管理机械机具设备配置方案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根据供应商提供的养护管理机械机具设备配置方案进行综合评分：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（1）根据季节性、阶段性及养护现场实际情况进行量化配置，完全满足养护管理需要的，得12分；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（2）根据季节性、阶段性及养护现场实际情况进行量化配置，能够满足养护管理需要的，得8分；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（3）根据季节性、阶段性及养护现场实际情况进行量化配置，基本满足养护管理需要的，得4分；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（4）根据季节性、阶段性及养护现场实际情况进行量化配置，不能满足养护管理需要的得1分；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本项最高12分。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养护管理机械机具设备配置要求为本项目的最低要求，供应商提供的养护管理机械机具设备不足的必须提供在成交通知书发出之日后15天内全部采购或租赁到位，完全满足采购人需求的书面承诺，不能满足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机械机具设备响应文件中须提供采购发票、记账凭证扫描件或购置(租赁)承诺书（含拟采购(租赁)的机械机具设备名称型号等）且按照本磋商文件第八章机械机具设备配置要求的顺序编排，并提供清单目录。其中，水车等机动车辆还需提供车辆行驶证、车辆保险等证件扫描件资料。</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需要采取租赁的，除提供租赁合同扫描件外，还需要按第八章采购需求中的要求提供养护管理机械机具设备配置相应的所有证明材料的扫描件。</w:t>
            </w:r>
            <w:r/>
          </w:p>
        </w:tc>
      </w:tr>
      <w:tr>
        <w:trPr>
          <w:jc w:val="center"/>
          <w:trHeight w:val="694"/>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重点难点区域养护管理应对措施方案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根据供应商提供的重点难点区域养护管理应对措施方案内容的针对性、合理性进行综合评分：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内容针对性、合理性强、无缺陷的得8分；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内容针对性、合理性较强、存在缺陷的得6分；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内容针对性、合理性一般、存在缺陷的得4分；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本项最高8分。无具体内容的，得0分。</w:t>
            </w:r>
            <w:r/>
          </w:p>
        </w:tc>
      </w:tr>
      <w:tr>
        <w:trPr>
          <w:jc w:val="center"/>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质量管理措施及承诺</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根据供应商提供的质量管理措施及承诺进行综合评分：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（1）目标明确，严格按照《园林绿化养护管理规范》（DB 3203/T 1010-2021）制定合理可行措施，承诺苗木修剪及时、景观效果佳，始终保持苗木存活率、设施完好率98-100%、无缺陷的，得7分；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（2）目标较明确，按照《园林绿化养护管理规范》（DB 3203/T 1010-2021）制定措施，承诺苗木修剪及时、景观效果好，保持苗木存活率、设施完好率95-97%、存在缺陷的，得5分 ；</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（3）目标一般，措施一般，质量承诺泛泛，存在缺陷的，得2分 ；</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安全、文明及环保施工方案</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根据供应商提供的安全、文明及环保施工方案进行综合评分：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（1）有安全、文明及环保施工制度及措施，内容全面，措施到位，针对性强，无缺陷的，得7分；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（2）有安全、文明及环保施工制度及措施，内容较全面，措施基本到位，针对性较强，存在缺陷的，得5分；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（3）有安全、文明及环保施工制度及措施，内容一般，措施一般，有一定的针对性，存在缺陷的，得2分；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Height w:val="1184"/>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服从采购人管理措施</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根据供应商提供的服从采购人管理措施进行综合评分：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（1）服从采购人日常管理，承诺对采购人安排的例会、资料、试验、整改、质量验收及各类突击任务等100%按时完成，无缺陷的，得7分；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（2）服从采购人日常管理，承诺对采购人安排的例会、资料、试验、整改、质量验收等积极响应，存在缺陷的，得5分；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（3）服从采购人日常管理，承诺对采购人安排的例会、资料、试验、整改、质量验收等部分响应，存在缺陷的，得2分；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（4）无具体内容的，得0分。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本项最高7分。</w:t>
            </w:r>
            <w:r/>
          </w:p>
        </w:tc>
      </w:tr>
      <w:tr>
        <w:trPr>
          <w:jc w:val="center"/>
          <w:trHeight w:val="1412"/>
        </w:trPr>
        <w:tc>
          <w:tcPr>
            <w:tcW w:w="1297" w:type="dxa"/>
            <w:vAlign w:val="center"/>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7"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新工艺、新方法、新措施、新设备等</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（3分）</w:t>
            </w:r>
            <w:r/>
          </w:p>
        </w:tc>
        <w:tc>
          <w:tcPr>
            <w:tcW w:w="729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根据方案内容的针对性、合理性进行综合评分。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（1）内容针对性、合理性强的得3分；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（2）内容针对性、合理性较强的得2分；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（3）内容针对性、合理性一般的得1分。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本项最高3分。无具体内容的，得0分。</w:t>
            </w:r>
            <w:r/>
          </w:p>
        </w:tc>
      </w:tr>
    </w:tbl>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说明：本项目采用综合评分法，评分结果精确到小数点后两位。</w:t>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6"/>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rPr>
          <w:highlight w:val="none"/>
        </w:rPr>
      </w:r>
      <w:r>
        <w:rPr>
          <w:highlight w:val="none"/>
        </w:rPr>
      </w:r>
      <w:r/>
    </w:p>
    <w:p>
      <w:pPr>
        <w:pStyle w:val="1246"/>
        <w:jc w:val="center"/>
        <w:keepLines w:val="0"/>
        <w:keepNext w:val="0"/>
        <w:pageBreakBefore w:val="0"/>
        <w:spacing w:before="0" w:after="0" w:line="312" w:lineRule="auto"/>
        <w:widowControl w:val="off"/>
        <w:rPr>
          <w:highlight w:val="none"/>
        </w:rPr>
      </w:pPr>
      <w:r>
        <w:rPr>
          <w:highlight w:val="none"/>
        </w:rPr>
      </w:r>
      <w:r>
        <w:rPr>
          <w:highlight w:val="none"/>
        </w:rPr>
      </w:r>
      <w:r/>
    </w:p>
    <w:p>
      <w:pPr>
        <w:pStyle w:val="1246"/>
        <w:jc w:val="center"/>
        <w:keepLines w:val="0"/>
        <w:keepNext w:val="0"/>
        <w:pageBreakBefore w:val="0"/>
        <w:spacing w:before="0" w:after="0" w:line="312" w:lineRule="auto"/>
        <w:widowControl w:val="off"/>
        <w:rPr>
          <w:highlight w:val="none"/>
        </w:rPr>
      </w:pPr>
      <w:r/>
      <w:bookmarkStart w:id="25" w:name="_Toc32561"/>
      <w:r/>
      <w:bookmarkStart w:id="26" w:name="_Toc30302"/>
      <w:r>
        <w:rPr>
          <w:rStyle w:val="1277"/>
          <w:rFonts w:hint="eastAsia" w:ascii="仿宋" w:hAnsi="仿宋" w:eastAsia="仿宋" w:cs="仿宋"/>
          <w:color w:val="auto"/>
          <w:sz w:val="24"/>
          <w:szCs w:val="24"/>
          <w:highlight w:val="none"/>
        </w:rPr>
        <w:t xml:space="preserve">第八章 项目要求（采购需求）</w:t>
      </w:r>
      <w:bookmarkEnd w:id="24"/>
      <w:r/>
      <w:bookmarkEnd w:id="25"/>
      <w:r/>
      <w:bookmarkEnd w:id="26"/>
      <w:r/>
      <w:r/>
    </w:p>
    <w:p>
      <w:pPr>
        <w:ind w:firstLine="420"/>
        <w:jc w:val="both"/>
        <w:keepLines w:val="0"/>
        <w:keepNext w:val="0"/>
        <w:pageBreakBefore w:val="0"/>
        <w:spacing w:line="360" w:lineRule="auto"/>
        <w:rPr>
          <w:rFonts w:hint="eastAsia" w:ascii="仿宋" w:hAnsi="仿宋" w:eastAsia="仿宋" w:cs="仿宋"/>
          <w:b/>
          <w:bCs/>
          <w:color w:val="auto"/>
          <w:sz w:val="24"/>
          <w:szCs w:val="24"/>
          <w:highlight w:val="none"/>
          <w:lang w:val="en-US" w:eastAsia="zh-CN" w:bidi="ar-SA"/>
        </w:rPr>
      </w:pPr>
      <w:r/>
      <w:bookmarkStart w:id="27" w:name="_Toc80122301"/>
      <w:r/>
      <w:bookmarkStart w:id="28" w:name="_Toc25252"/>
      <w:r>
        <w:rPr>
          <w:rFonts w:hint="eastAsia" w:ascii="仿宋" w:hAnsi="仿宋" w:eastAsia="仿宋" w:cs="仿宋"/>
          <w:b/>
          <w:bCs/>
          <w:color w:val="auto"/>
          <w:sz w:val="24"/>
          <w:szCs w:val="24"/>
          <w:highlight w:val="none"/>
          <w:lang w:val="en-US" w:eastAsia="zh-CN" w:bidi="ar-SA"/>
        </w:rPr>
        <w:t xml:space="preserve">一、项目说明</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1、采购人：徐州市住房和城乡建设局</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2、项目名称：2026年新增市管绿地养护管理</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3、预算金额</w:t>
      </w:r>
      <w:r>
        <w:rPr>
          <w:rStyle w:val="1277"/>
          <w:rFonts w:hint="eastAsia" w:ascii="仿宋" w:hAnsi="仿宋" w:eastAsia="仿宋" w:cs="仿宋"/>
          <w:b/>
          <w:bCs/>
          <w:color w:val="auto"/>
          <w:sz w:val="24"/>
          <w:szCs w:val="24"/>
          <w:highlight w:val="none"/>
        </w:rPr>
        <w:t xml:space="preserve">（</w:t>
      </w:r>
      <w:r>
        <w:rPr>
          <w:rStyle w:val="1277"/>
          <w:rFonts w:hint="eastAsia" w:ascii="仿宋" w:hAnsi="仿宋" w:eastAsia="仿宋" w:cs="仿宋"/>
          <w:b/>
          <w:bCs/>
          <w:color w:val="auto"/>
          <w:sz w:val="24"/>
          <w:szCs w:val="24"/>
          <w:highlight w:val="none"/>
          <w:lang w:val="en-US"/>
        </w:rPr>
        <w:t xml:space="preserve">最高限价）</w:t>
      </w:r>
      <w:r>
        <w:rPr>
          <w:rFonts w:hint="eastAsia" w:ascii="仿宋" w:hAnsi="仿宋" w:eastAsia="仿宋" w:cs="仿宋"/>
          <w:color w:val="auto"/>
          <w:sz w:val="24"/>
          <w:szCs w:val="24"/>
          <w:highlight w:val="none"/>
          <w:lang w:val="en-US" w:eastAsia="zh-CN" w:bidi="ar-SA"/>
        </w:rPr>
        <w:t xml:space="preserve">：</w:t>
      </w:r>
      <w:r>
        <w:rPr>
          <w:rStyle w:val="1277"/>
          <w:rFonts w:hint="eastAsia" w:ascii="仿宋" w:hAnsi="仿宋" w:eastAsia="仿宋" w:cs="仿宋"/>
          <w:b/>
          <w:bCs/>
          <w:color w:val="auto"/>
          <w:sz w:val="24"/>
          <w:szCs w:val="24"/>
          <w:highlight w:val="none"/>
        </w:rPr>
        <w:t xml:space="preserve">本项目不接受超过采购项目预算金额人民币</w:t>
      </w:r>
      <w:r>
        <w:rPr>
          <w:rStyle w:val="1277"/>
          <w:rFonts w:hint="eastAsia" w:ascii="仿宋" w:hAnsi="仿宋" w:eastAsia="仿宋" w:cs="仿宋"/>
          <w:b/>
          <w:bCs/>
          <w:color w:val="auto"/>
          <w:sz w:val="24"/>
          <w:szCs w:val="24"/>
          <w:highlight w:val="none"/>
          <w:u w:val="single"/>
          <w:lang w:val="en-US"/>
        </w:rPr>
        <w:t xml:space="preserve">314.35</w:t>
      </w:r>
      <w:r>
        <w:rPr>
          <w:rStyle w:val="1277"/>
          <w:rFonts w:hint="eastAsia" w:ascii="仿宋" w:hAnsi="仿宋" w:eastAsia="仿宋" w:cs="仿宋"/>
          <w:b/>
          <w:bCs/>
          <w:color w:val="auto"/>
          <w:sz w:val="24"/>
          <w:szCs w:val="24"/>
          <w:highlight w:val="none"/>
          <w:u w:val="none"/>
        </w:rPr>
        <w:t xml:space="preserve">万元</w:t>
      </w:r>
      <w:r>
        <w:rPr>
          <w:rStyle w:val="1277"/>
          <w:rFonts w:hint="eastAsia" w:ascii="仿宋" w:hAnsi="仿宋" w:eastAsia="仿宋" w:cs="仿宋"/>
          <w:b/>
          <w:bCs/>
          <w:color w:val="auto"/>
          <w:sz w:val="24"/>
          <w:szCs w:val="24"/>
          <w:highlight w:val="none"/>
        </w:rPr>
        <w:t xml:space="preserve">的报价，</w:t>
      </w:r>
      <w:r>
        <w:rPr>
          <w:rStyle w:val="1277"/>
          <w:rFonts w:hint="eastAsia" w:ascii="仿宋" w:hAnsi="仿宋" w:eastAsia="仿宋" w:cs="仿宋"/>
          <w:b/>
          <w:bCs/>
          <w:color w:val="auto"/>
          <w:sz w:val="24"/>
          <w:szCs w:val="24"/>
          <w:highlight w:val="none"/>
          <w:lang w:val="en-US"/>
        </w:rPr>
        <w:t xml:space="preserve">其中</w:t>
      </w:r>
      <w:r>
        <w:rPr>
          <w:rStyle w:val="1277"/>
          <w:rFonts w:hint="eastAsia" w:ascii="仿宋" w:hAnsi="仿宋" w:eastAsia="仿宋" w:cs="仿宋"/>
          <w:b/>
          <w:bCs/>
          <w:color w:val="auto"/>
          <w:sz w:val="24"/>
          <w:szCs w:val="24"/>
          <w:highlight w:val="none"/>
          <w:lang w:val="en-US" w:eastAsia="zh-CN"/>
        </w:rPr>
        <w:t xml:space="preserve">采购包1：160.64万元；采购包2：153.71万元。</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4、合同履行期限：本项目合同履行期限为3-29个月不等，以实际养护时间为准。</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5、采购包划分：本项目</w:t>
      </w:r>
      <w:r>
        <w:rPr>
          <w:rFonts w:hint="eastAsia" w:ascii="仿宋" w:hAnsi="仿宋" w:eastAsia="仿宋" w:cs="仿宋"/>
          <w:color w:val="auto"/>
          <w:sz w:val="24"/>
          <w:szCs w:val="24"/>
          <w:highlight w:val="none"/>
          <w:lang w:val="zh-CN" w:eastAsia="zh-CN" w:bidi="ar-SA"/>
        </w:rPr>
        <w:t xml:space="preserve">共分</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个</w:t>
      </w:r>
      <w:r>
        <w:rPr>
          <w:rFonts w:hint="eastAsia" w:ascii="仿宋" w:hAnsi="仿宋" w:eastAsia="仿宋" w:cs="仿宋"/>
          <w:color w:val="auto"/>
          <w:sz w:val="24"/>
          <w:szCs w:val="24"/>
          <w:highlight w:val="none"/>
          <w:lang w:val="en-US" w:eastAsia="zh-CN" w:bidi="ar-SA"/>
        </w:rPr>
        <w:t xml:space="preserve">采购包，其中：</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采购包1：2026年新增市管绿地养护管理(</w:t>
      </w:r>
      <w:r>
        <w:rPr>
          <w:rFonts w:hint="eastAsia" w:ascii="仿宋" w:hAnsi="仿宋" w:eastAsia="仿宋" w:cs="仿宋"/>
          <w:b/>
          <w:bCs/>
          <w:color w:val="auto"/>
          <w:sz w:val="24"/>
          <w:szCs w:val="24"/>
          <w:highlight w:val="none"/>
          <w:lang w:val="en-US" w:eastAsia="zh-CN" w:bidi="ar-SA"/>
        </w:rPr>
        <w:t xml:space="preserve">一标段：2026年新移交绿地子房山公园养护管理</w:t>
      </w:r>
      <w:r>
        <w:rPr>
          <w:rFonts w:hint="eastAsia" w:ascii="仿宋" w:hAnsi="仿宋" w:eastAsia="仿宋" w:cs="仿宋"/>
          <w:color w:val="auto"/>
          <w:sz w:val="24"/>
          <w:szCs w:val="24"/>
          <w:highlight w:val="none"/>
          <w:lang w:val="en-US" w:eastAsia="zh-CN" w:bidi="ar-SA"/>
        </w:rPr>
        <w:t xml:space="preserve">)，包含2026年新移交绿地子房山公园养护管理，对园区内建（构）筑物、绿地、广场、道路、给排水、照明、监控、标识标牌、公共服务设施等进行养护管理，包括建（</w:t>
      </w:r>
      <w:r>
        <w:rPr>
          <w:rFonts w:hint="eastAsia" w:ascii="仿宋" w:hAnsi="仿宋" w:eastAsia="仿宋" w:cs="仿宋"/>
          <w:strike w:val="0"/>
          <w:color w:val="auto"/>
          <w:sz w:val="24"/>
          <w:szCs w:val="24"/>
          <w:highlight w:val="none"/>
          <w:lang w:val="en-US" w:eastAsia="zh-CN" w:bidi="ar-SA"/>
        </w:rPr>
        <w:t xml:space="preserve">构</w:t>
      </w:r>
      <w:r>
        <w:rPr>
          <w:rFonts w:hint="eastAsia" w:ascii="仿宋" w:hAnsi="仿宋" w:eastAsia="仿宋" w:cs="仿宋"/>
          <w:color w:val="auto"/>
          <w:sz w:val="24"/>
          <w:szCs w:val="24"/>
          <w:highlight w:val="none"/>
          <w:lang w:val="en-US" w:eastAsia="zh-CN" w:bidi="ar-SA"/>
        </w:rPr>
        <w:t xml:space="preserve">）筑物日常维修、设施维护、绿化苗木管理、病虫害防治、肥水管理、卫生保洁、防灾防火、秩序巡查(含保安)等服务项目。</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采购包2：2026年新增市管绿地养护管理(</w:t>
      </w:r>
      <w:r>
        <w:rPr>
          <w:rFonts w:hint="eastAsia" w:ascii="仿宋" w:hAnsi="仿宋" w:eastAsia="仿宋" w:cs="仿宋"/>
          <w:b/>
          <w:bCs/>
          <w:color w:val="auto"/>
          <w:sz w:val="24"/>
          <w:szCs w:val="24"/>
          <w:highlight w:val="none"/>
          <w:lang w:val="en-US" w:eastAsia="zh-CN" w:bidi="ar-SA"/>
        </w:rPr>
        <w:t xml:space="preserve">二标段：2026年新移交绿地道路绿地养护管理</w:t>
      </w:r>
      <w:r>
        <w:rPr>
          <w:rFonts w:hint="eastAsia" w:ascii="仿宋" w:hAnsi="仿宋" w:eastAsia="仿宋" w:cs="仿宋"/>
          <w:color w:val="auto"/>
          <w:sz w:val="24"/>
          <w:szCs w:val="24"/>
          <w:highlight w:val="none"/>
          <w:lang w:val="en-US" w:eastAsia="zh-CN" w:bidi="ar-SA"/>
        </w:rPr>
        <w:t xml:space="preserve">)，包含2026年新移交绿地道路绿地养护管理，对道路绿地内建（</w:t>
      </w:r>
      <w:r>
        <w:rPr>
          <w:rFonts w:hint="eastAsia" w:ascii="仿宋" w:hAnsi="仿宋" w:eastAsia="仿宋" w:cs="仿宋"/>
          <w:strike w:val="0"/>
          <w:color w:val="auto"/>
          <w:sz w:val="24"/>
          <w:szCs w:val="24"/>
          <w:highlight w:val="none"/>
          <w:lang w:val="en-US" w:eastAsia="zh-CN" w:bidi="ar-SA"/>
        </w:rPr>
        <w:t xml:space="preserve">构</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strike w:val="0"/>
          <w:color w:val="auto"/>
          <w:sz w:val="24"/>
          <w:szCs w:val="24"/>
          <w:highlight w:val="none"/>
          <w:lang w:val="en-US" w:eastAsia="zh-CN" w:bidi="ar-SA"/>
        </w:rPr>
        <w:t xml:space="preserve">筑物</w:t>
      </w:r>
      <w:r>
        <w:rPr>
          <w:rFonts w:hint="eastAsia" w:ascii="仿宋" w:hAnsi="仿宋" w:eastAsia="仿宋" w:cs="仿宋"/>
          <w:color w:val="auto"/>
          <w:sz w:val="24"/>
          <w:szCs w:val="24"/>
          <w:highlight w:val="none"/>
          <w:lang w:val="en-US" w:eastAsia="zh-CN" w:bidi="ar-SA"/>
        </w:rPr>
        <w:t xml:space="preserve">、绿地、广场、园路、公共服务设施等进行养护管理，包括建（</w:t>
      </w:r>
      <w:r>
        <w:rPr>
          <w:rFonts w:hint="eastAsia" w:ascii="仿宋" w:hAnsi="仿宋" w:eastAsia="仿宋" w:cs="仿宋"/>
          <w:strike w:val="0"/>
          <w:color w:val="auto"/>
          <w:sz w:val="24"/>
          <w:szCs w:val="24"/>
          <w:highlight w:val="none"/>
          <w:lang w:val="en-US" w:eastAsia="zh-CN" w:bidi="ar-SA"/>
        </w:rPr>
        <w:t xml:space="preserve">构</w:t>
      </w:r>
      <w:r>
        <w:rPr>
          <w:rFonts w:hint="eastAsia" w:ascii="仿宋" w:hAnsi="仿宋" w:eastAsia="仿宋" w:cs="仿宋"/>
          <w:color w:val="auto"/>
          <w:sz w:val="24"/>
          <w:szCs w:val="24"/>
          <w:highlight w:val="none"/>
          <w:lang w:val="en-US" w:eastAsia="zh-CN" w:bidi="ar-SA"/>
        </w:rPr>
        <w:t xml:space="preserve">）筑物日常维修、设施维护、绿化苗木管理、病虫害防治、肥水管理、卫生保洁、防灾防火等服务项目。</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说明：每个供应商可以对本项目2个采购包提交响应文件及参与评审，但每个供应商只能获得一个采购包的中标（成交）资格。如果投标人采购包1中排名第一，则确定其为采购包1中标（成交）人，在采购包2中不再推荐其为中标（成交）人。评审顺序为采购包1至采购包2依次评审。</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6、采购标的对应的中小企业划分标准所属行业为其他未列明行业</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注：中小企业划分标准所属行业以《关于印发中小企业划型标准规定的通知》（工信部联企业[2011]300号）的规定为准。</w:t>
      </w:r>
      <w:r/>
    </w:p>
    <w:p>
      <w:pPr>
        <w:ind w:firstLine="420"/>
        <w:jc w:val="both"/>
        <w:keepLines w:val="0"/>
        <w:keepNext w:val="0"/>
        <w:pageBreakBefore w:val="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7、本项目为专门面向中小企业的项目。</w:t>
      </w:r>
      <w:r/>
    </w:p>
    <w:p>
      <w:pPr>
        <w:ind w:firstLine="420"/>
        <w:jc w:val="both"/>
        <w:keepLines w:val="0"/>
        <w:keepNext w:val="0"/>
        <w:pageBreakBefore w:val="0"/>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二、</w:t>
      </w:r>
      <w:r>
        <w:rPr>
          <w:rFonts w:hint="eastAsia" w:ascii="仿宋" w:hAnsi="仿宋" w:eastAsia="仿宋" w:cs="仿宋"/>
          <w:b/>
          <w:bCs/>
          <w:color w:val="auto"/>
          <w:sz w:val="24"/>
          <w:szCs w:val="24"/>
          <w:highlight w:val="none"/>
          <w:lang w:val="en-US" w:eastAsia="zh-CN" w:bidi="ar-SA"/>
        </w:rPr>
        <w:t xml:space="preserve">服务内容及范围</w:t>
      </w:r>
      <w:r/>
    </w:p>
    <w:p>
      <w:pPr>
        <w:ind w:firstLine="420"/>
        <w:jc w:val="both"/>
        <w:keepLines w:val="0"/>
        <w:keepNext w:val="0"/>
        <w:pageBreakBefore w:val="0"/>
        <w:spacing w:line="360" w:lineRule="auto"/>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rPr>
          <w:rFonts w:hint="default" w:ascii="仿宋" w:hAnsi="仿宋" w:eastAsia="仿宋" w:cs="仿宋"/>
          <w:color w:val="auto"/>
          <w:sz w:val="24"/>
          <w:szCs w:val="24"/>
          <w:highlight w:val="none"/>
          <w:lang w:val="en-US" w:eastAsia="zh-CN" w:bidi="ar-SA"/>
        </w:rPr>
      </w:r>
      <w:r/>
    </w:p>
    <w:p>
      <w:pPr>
        <w:ind w:firstLine="420"/>
        <w:jc w:val="both"/>
        <w:keepLines w:val="0"/>
        <w:keepNext w:val="0"/>
        <w:pageBreakBefore w:val="0"/>
        <w:spacing w:line="36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rPr>
          <w:rFonts w:hint="eastAsia" w:ascii="仿宋" w:hAnsi="仿宋" w:eastAsia="仿宋" w:cs="仿宋"/>
          <w:b/>
          <w:bCs/>
          <w:color w:val="auto"/>
          <w:sz w:val="24"/>
          <w:szCs w:val="24"/>
          <w:highlight w:val="none"/>
          <w:lang w:val="en-US" w:eastAsia="zh-CN" w:bidi="ar-SA"/>
        </w:rPr>
      </w:r>
      <w:r/>
    </w:p>
    <w:p>
      <w:pPr>
        <w:ind w:left="0" w:right="0" w:firstLine="482"/>
        <w:jc w:val="both"/>
        <w:keepLines w:val="0"/>
        <w:keepNext w:val="0"/>
        <w:pageBreakBefore w:val="0"/>
        <w:spacing w:line="324"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采购包1：</w:t>
      </w:r>
      <w:r>
        <w:rPr>
          <w:rFonts w:hint="eastAsia" w:ascii="仿宋" w:hAnsi="仿宋" w:eastAsia="仿宋" w:cs="仿宋"/>
          <w:color w:val="auto"/>
          <w:sz w:val="24"/>
          <w:szCs w:val="24"/>
          <w:highlight w:val="none"/>
          <w:lang w:val="en-US" w:eastAsia="zh-CN" w:bidi="ar-SA"/>
        </w:rPr>
        <w:t xml:space="preserve">一标段：</w:t>
      </w:r>
      <w:r>
        <w:rPr>
          <w:rFonts w:hint="eastAsia" w:ascii="仿宋" w:hAnsi="仿宋" w:eastAsia="仿宋" w:cs="仿宋"/>
          <w:b/>
          <w:bCs/>
          <w:color w:val="auto"/>
          <w:sz w:val="24"/>
          <w:szCs w:val="24"/>
          <w:highlight w:val="none"/>
          <w:lang w:val="en-US" w:eastAsia="zh-CN" w:bidi="ar-SA"/>
        </w:rPr>
        <w:t xml:space="preserve">2026年新移交绿地子房山公园养护管理</w:t>
      </w:r>
      <w:r/>
    </w:p>
    <w:tbl>
      <w:tblPr>
        <w:tblStyle w:val="986"/>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410"/>
        <w:gridCol w:w="1235"/>
        <w:gridCol w:w="1110"/>
        <w:gridCol w:w="1245"/>
        <w:gridCol w:w="945"/>
        <w:gridCol w:w="1275"/>
      </w:tblGrid>
      <w:tr>
        <w:trPr>
          <w:jc w:val="center"/>
          <w:trHeight w:val="586"/>
        </w:trPr>
        <w:tc>
          <w:tcPr>
            <w:gridSpan w:val="7"/>
            <w:tcW w:w="9540" w:type="dxa"/>
            <w:vAlign w:val="center"/>
            <w:textDirection w:val="lrTb"/>
            <w:noWrap/>
          </w:tcPr>
          <w:p>
            <w:pPr>
              <w:pStyle w:val="15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一、子房山山体公园</w:t>
            </w:r>
            <w:r/>
          </w:p>
        </w:tc>
      </w:tr>
      <w:tr>
        <w:trPr>
          <w:jc w:val="center"/>
          <w:trHeight w:val="23"/>
        </w:trPr>
        <w:tc>
          <w:tcPr>
            <w:tcW w:w="132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采购包号</w:t>
            </w:r>
            <w:r/>
          </w:p>
        </w:tc>
        <w:tc>
          <w:tcPr>
            <w:tcW w:w="241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类别</w:t>
            </w:r>
            <w:r/>
          </w:p>
        </w:tc>
        <w:tc>
          <w:tcPr>
            <w:tcW w:w="1235"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1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245" w:type="dxa"/>
            <w:vAlign w:val="center"/>
            <w:textDirection w:val="lrTb"/>
            <w:noWrap w:val="false"/>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位置</w:t>
            </w:r>
            <w:r/>
          </w:p>
        </w:tc>
        <w:tc>
          <w:tcPr>
            <w:tcW w:w="945" w:type="dxa"/>
            <w:vAlign w:val="center"/>
            <w:textDirection w:val="lrTb"/>
            <w:noWrap w:val="false"/>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W w:w="1275" w:type="dxa"/>
            <w:vAlign w:val="center"/>
            <w:textDirection w:val="lrTb"/>
            <w:noWrap w:val="false"/>
          </w:tcPr>
          <w:p>
            <w:pPr>
              <w:pStyle w:val="1534"/>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养护周期（月）</w:t>
            </w:r>
            <w:r/>
          </w:p>
        </w:tc>
      </w:tr>
      <w:tr>
        <w:trPr>
          <w:jc w:val="center"/>
          <w:trHeight w:val="90"/>
        </w:trPr>
        <w:tc>
          <w:tcPr>
            <w:tcW w:w="1320" w:type="dxa"/>
            <w:vAlign w:val="center"/>
            <w:textDirection w:val="lrTb"/>
            <w:noWrap/>
          </w:tcPr>
          <w:p>
            <w:pPr>
              <w:pStyle w:val="1534"/>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一标段：</w:t>
            </w:r>
            <w:r>
              <w:rPr>
                <w:rFonts w:hint="eastAsia" w:ascii="仿宋" w:hAnsi="仿宋" w:eastAsia="仿宋" w:cs="仿宋"/>
                <w:b/>
                <w:bCs/>
                <w:color w:val="auto"/>
                <w:sz w:val="24"/>
                <w:szCs w:val="24"/>
                <w:highlight w:val="none"/>
                <w:lang w:val="en-US" w:eastAsia="zh-CN" w:bidi="ar-SA"/>
              </w:rPr>
              <w:t xml:space="preserve">2026年新移交绿地子房山公园养护管理</w:t>
            </w:r>
            <w:r/>
          </w:p>
        </w:tc>
        <w:tc>
          <w:tcPr>
            <w:tcW w:w="2410" w:type="dxa"/>
            <w:vAlign w:val="center"/>
            <w:textDirection w:val="lrTb"/>
            <w:noWrap w:val="false"/>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子房山山体公园（绿地及铺装）</w:t>
            </w:r>
            <w:r/>
          </w:p>
        </w:tc>
        <w:tc>
          <w:tcPr>
            <w:tcW w:w="1235"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10" w:type="dxa"/>
            <w:vAlign w:val="center"/>
            <w:textDirection w:val="lrTb"/>
            <w:noWrap/>
          </w:tcPr>
          <w:p>
            <w:pPr>
              <w:pStyle w:val="153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101563</w:t>
            </w:r>
            <w:r/>
          </w:p>
        </w:tc>
        <w:tc>
          <w:tcPr>
            <w:shd w:val="clear" w:color="auto" w:fill="auto"/>
            <w:tcW w:w="124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津浦东路与淮海路东延交叉口东北角</w:t>
            </w:r>
            <w:r/>
          </w:p>
        </w:tc>
        <w:tc>
          <w:tcPr>
            <w:tcW w:w="945" w:type="dxa"/>
            <w:vAlign w:val="center"/>
            <w:textDirection w:val="lrTb"/>
            <w:noWrap/>
          </w:tcPr>
          <w:p>
            <w:pPr>
              <w:pStyle w:val="153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W w:w="1275" w:type="dxa"/>
            <w:vAlign w:val="center"/>
            <w:textDirection w:val="lrTb"/>
            <w:noWrap/>
          </w:tcPr>
          <w:p>
            <w:pPr>
              <w:pStyle w:val="1534"/>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27</w:t>
            </w:r>
            <w:r/>
          </w:p>
        </w:tc>
      </w:tr>
    </w:tbl>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right="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采购包2</w:t>
      </w:r>
      <w:r>
        <w:rPr>
          <w:rFonts w:hint="eastAsia" w:ascii="仿宋" w:hAnsi="仿宋" w:eastAsia="仿宋" w:cs="仿宋"/>
          <w:color w:val="auto"/>
          <w:sz w:val="24"/>
          <w:szCs w:val="24"/>
          <w:highlight w:val="none"/>
          <w:lang w:val="en-US" w:eastAsia="zh-CN" w:bidi="ar-SA"/>
        </w:rPr>
        <w:t xml:space="preserve">：二标段：</w:t>
      </w:r>
      <w:r>
        <w:rPr>
          <w:rFonts w:hint="eastAsia" w:ascii="仿宋" w:hAnsi="仿宋" w:eastAsia="仿宋" w:cs="仿宋"/>
          <w:b/>
          <w:bCs/>
          <w:color w:val="auto"/>
          <w:sz w:val="24"/>
          <w:szCs w:val="24"/>
          <w:highlight w:val="none"/>
          <w:lang w:val="en-US" w:eastAsia="zh-CN" w:bidi="ar-SA"/>
        </w:rPr>
        <w:t xml:space="preserve">2026年新移交绿地道路绿地养护管理</w:t>
      </w:r>
      <w:r/>
    </w:p>
    <w:tbl>
      <w:tblPr>
        <w:tblStyle w:val="986"/>
        <w:tblW w:w="9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6"/>
        <w:gridCol w:w="2090"/>
        <w:gridCol w:w="2153"/>
        <w:gridCol w:w="788"/>
        <w:gridCol w:w="1390"/>
        <w:gridCol w:w="1075"/>
        <w:gridCol w:w="1194"/>
      </w:tblGrid>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31"/>
              <w:jc w:val="center"/>
              <w:keepLines w:val="0"/>
              <w:keepNext w:val="0"/>
              <w:pageBreakBefore w:val="0"/>
              <w:spacing w:line="24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采购包号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绿地名称</w:t>
            </w:r>
            <w:r/>
          </w:p>
        </w:tc>
        <w:tc>
          <w:tcPr>
            <w:shd w:val="clear" w:color="auto" w:fill="auto"/>
            <w:tcBorders>
              <w:top w:val="single" w:color="000000" w:sz="4" w:space="0"/>
              <w:left w:val="single" w:color="000000" w:sz="4" w:space="0"/>
              <w:bottom w:val="none" w:color="000000" w:sz="4" w:space="0"/>
              <w:right w:val="single" w:color="000000" w:sz="4" w:space="0"/>
            </w:tcBorders>
            <w:tcW w:w="2153" w:type="dxa"/>
            <w:vAlign w:val="center"/>
            <w:textDirection w:val="lrTb"/>
            <w:noWrap w:val="false"/>
          </w:tcPr>
          <w:p>
            <w:pPr>
              <w:pStyle w:val="1031"/>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位置</w:t>
            </w:r>
            <w:r/>
          </w:p>
        </w:tc>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Borders>
              <w:top w:val="single" w:color="000000" w:sz="4" w:space="0"/>
              <w:left w:val="single" w:color="000000" w:sz="4" w:space="0"/>
              <w:bottom w:val="none" w:color="000000" w:sz="4" w:space="0"/>
              <w:right w:val="single" w:color="000000" w:sz="4" w:space="0"/>
            </w:tcBorders>
            <w:tcW w:w="1390"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普通行道树数量（株）</w:t>
            </w:r>
            <w:r/>
          </w:p>
        </w:tc>
        <w:tc>
          <w:tcPr>
            <w:shd w:val="clear" w:color="auto" w:fill="auto"/>
            <w:tcBorders>
              <w:top w:val="single" w:color="000000" w:sz="4" w:space="0"/>
              <w:left w:val="none" w:color="000000" w:sz="4" w:space="0"/>
              <w:bottom w:val="none" w:color="000000" w:sz="4" w:space="0"/>
              <w:right w:val="single" w:color="000000" w:sz="4" w:space="0"/>
            </w:tcBorders>
            <w:tcW w:w="1194"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养护期（月）</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1031"/>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2：二标段：</w:t>
            </w:r>
            <w:r>
              <w:rPr>
                <w:rFonts w:hint="eastAsia" w:ascii="仿宋" w:hAnsi="仿宋" w:eastAsia="仿宋" w:cs="仿宋"/>
                <w:b/>
                <w:bCs/>
                <w:color w:val="auto"/>
                <w:sz w:val="24"/>
                <w:szCs w:val="24"/>
                <w:highlight w:val="none"/>
                <w:lang w:val="en-US" w:eastAsia="zh-CN" w:bidi="ar-SA"/>
              </w:rPr>
              <w:t xml:space="preserve">2026年新移交绿地道路绿地养护管理</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2018年市管道路贯通改造建国路改造工程（建国东路快哉亭段）行道树工程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建国路快哉亭段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泉润大道绿化工程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泉山区范围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49296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2023年城市快速路网建设-三环南路快速化改造新增点位绿化工程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泉山区七里沟节点、双山路节点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19997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26</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2023年市级道路续建工程-淮塔东路东延一期道路绿化工程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淮塔东路以南迎宾大道部分</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怀德路（新元大道至奥体路段）</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新元大道渠化段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w:t>
            </w:r>
            <w:r/>
          </w:p>
        </w:tc>
      </w:tr>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徐州市新城区紫金路（唐盛路-汉源大道）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11</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汉源大道快速化改造工程（彭祖大道-故黄河南岸）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彭祖大道快速路一标项目</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肖庄河南-汉源大道东</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44648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1273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汉源大道绿道建设工程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昆仑大道-迎宾大道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36514.88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r>
      <w:tr>
        <w:trPr>
          <w:trHeight w:val="496"/>
        </w:trPr>
        <w:tc>
          <w:tcPr>
            <w:gridSpan w:val="3"/>
            <w:shd w:val="clear" w:color="auto" w:fill="auto"/>
            <w:tcBorders>
              <w:top w:val="single" w:color="000000" w:sz="4" w:space="0"/>
              <w:left w:val="single" w:color="000000" w:sz="4" w:space="0"/>
              <w:bottom w:val="single" w:color="000000" w:sz="4" w:space="0"/>
              <w:right w:val="single" w:color="000000" w:sz="4" w:space="0"/>
            </w:tcBorders>
            <w:tcW w:w="5129" w:type="dxa"/>
            <w:vAlign w:val="center"/>
            <w:textDirection w:val="lrTb"/>
            <w:noWrap/>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176866.88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1031"/>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87"/>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987"/>
        <w:ind w:left="0"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三、工作人员配备要求（本条为实质性响应指标，如有任何一项不满足则视为无效投标）：</w:t>
      </w:r>
      <w:r/>
    </w:p>
    <w:p>
      <w:pPr>
        <w:pStyle w:val="1031"/>
        <w:ind w:firstLine="420"/>
        <w:keepLines w:val="0"/>
        <w:keepNext w:val="0"/>
        <w:pageBreakBefore w:val="0"/>
        <w:spacing w:line="312"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rPr>
        <w:t xml:space="preserve">1.人数要求（以</w:t>
      </w:r>
      <w:r>
        <w:rPr>
          <w:rFonts w:hint="eastAsia" w:ascii="仿宋" w:hAnsi="仿宋" w:eastAsia="仿宋" w:cs="仿宋"/>
          <w:color w:val="auto"/>
          <w:sz w:val="24"/>
          <w:szCs w:val="24"/>
          <w:highlight w:val="none"/>
          <w:lang w:val="en-US" w:eastAsia="zh-CN"/>
        </w:rPr>
        <w:t xml:space="preserve">下</w:t>
      </w:r>
      <w:r>
        <w:rPr>
          <w:rFonts w:hint="eastAsia" w:ascii="仿宋" w:hAnsi="仿宋" w:eastAsia="仿宋" w:cs="仿宋"/>
          <w:color w:val="auto"/>
          <w:sz w:val="24"/>
          <w:szCs w:val="24"/>
          <w:highlight w:val="none"/>
        </w:rPr>
        <w:t xml:space="preserve">人数为最低标准，</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可根据自身情况增加）</w:t>
      </w:r>
      <w:r/>
    </w:p>
    <w:tbl>
      <w:tblPr>
        <w:tblStyle w:val="986"/>
        <w:tblW w:w="96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857"/>
        <w:gridCol w:w="997"/>
        <w:gridCol w:w="997"/>
        <w:gridCol w:w="794"/>
        <w:gridCol w:w="795"/>
        <w:gridCol w:w="870"/>
        <w:gridCol w:w="1020"/>
        <w:gridCol w:w="997"/>
        <w:gridCol w:w="1006"/>
      </w:tblGrid>
      <w:tr>
        <w:trPr>
          <w:trHeight w:val="663"/>
        </w:trPr>
        <w:tc>
          <w:tcPr>
            <w:gridSpan w:val="10"/>
            <w:tcW w:w="9684" w:type="dxa"/>
            <w:vAlign w:val="center"/>
            <w:textDirection w:val="lrTb"/>
            <w:noWrap w:val="false"/>
          </w:tcPr>
          <w:p>
            <w:pPr>
              <w:pStyle w:val="1031"/>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现场工作人员最低人员</w:t>
            </w:r>
            <w:r/>
          </w:p>
        </w:tc>
      </w:tr>
      <w:tr>
        <w:trPr>
          <w:trHeight w:val="1153"/>
        </w:trPr>
        <w:tc>
          <w:tcPr>
            <w:shd w:val="clear" w:color="auto" w:fill="auto"/>
            <w:tcW w:w="1351" w:type="dxa"/>
            <w:vAlign w:val="center"/>
            <w:textDirection w:val="lrTb"/>
            <w:noWrap w:val="false"/>
          </w:tcPr>
          <w:p>
            <w:pPr>
              <w:pStyle w:val="1031"/>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标段号</w:t>
            </w:r>
            <w:r/>
          </w:p>
        </w:tc>
        <w:tc>
          <w:tcPr>
            <w:shd w:val="clear" w:color="auto" w:fill="auto"/>
            <w:tcW w:w="857"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总人数</w:t>
            </w:r>
            <w:r/>
          </w:p>
        </w:tc>
        <w:tc>
          <w:tcPr>
            <w:shd w:val="clear" w:color="auto" w:fill="auto"/>
            <w:tcW w:w="997"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项目总负责人</w:t>
            </w:r>
            <w:r/>
          </w:p>
        </w:tc>
        <w:tc>
          <w:tcPr>
            <w:shd w:val="clear" w:color="auto" w:fill="auto"/>
            <w:tcW w:w="997"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技术员</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兼现场负责人）</w:t>
            </w:r>
            <w:r/>
          </w:p>
        </w:tc>
        <w:tc>
          <w:tcPr>
            <w:shd w:val="clear" w:color="auto" w:fill="auto"/>
            <w:tcW w:w="794"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质检员</w:t>
            </w:r>
            <w:r/>
          </w:p>
        </w:tc>
        <w:tc>
          <w:tcPr>
            <w:shd w:val="clear" w:color="auto" w:fill="auto"/>
            <w:tcW w:w="795"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安全员</w:t>
            </w:r>
            <w:r/>
          </w:p>
        </w:tc>
        <w:tc>
          <w:tcPr>
            <w:shd w:val="clear" w:color="auto" w:fill="auto"/>
            <w:tcW w:w="870"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资料员</w:t>
            </w:r>
            <w:r/>
          </w:p>
        </w:tc>
        <w:tc>
          <w:tcPr>
            <w:shd w:val="clear" w:color="auto" w:fill="auto"/>
            <w:tcW w:w="1020"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shd w:val="clear" w:color="auto" w:fill="auto"/>
            <w:tcW w:w="997"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en-US"/>
              </w:rPr>
              <w:t xml:space="preserve">秩序巡查人数</w:t>
            </w:r>
            <w:r/>
          </w:p>
        </w:tc>
        <w:tc>
          <w:tcPr>
            <w:shd w:val="clear" w:color="auto" w:fill="auto"/>
            <w:tcW w:w="1006"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现场养护</w:t>
            </w:r>
            <w:r>
              <w:rPr>
                <w:rFonts w:hint="eastAsia" w:ascii="仿宋" w:hAnsi="仿宋" w:eastAsia="仿宋" w:cs="仿宋"/>
                <w:color w:val="auto"/>
                <w:sz w:val="24"/>
                <w:szCs w:val="24"/>
                <w:highlight w:val="none"/>
                <w:lang w:val="en-US" w:eastAsia="zh-CN"/>
              </w:rPr>
              <w:t xml:space="preserve">工</w:t>
            </w:r>
            <w:r/>
          </w:p>
        </w:tc>
      </w:tr>
      <w:tr>
        <w:trPr>
          <w:trHeight w:val="2983"/>
        </w:trPr>
        <w:tc>
          <w:tcPr>
            <w:tcW w:w="1351" w:type="dxa"/>
            <w:vAlign w:val="center"/>
            <w:textDirection w:val="lrTb"/>
            <w:noWrap w:val="false"/>
          </w:tcPr>
          <w:p>
            <w:pPr>
              <w:pStyle w:val="1031"/>
              <w:ind w:firstLine="0"/>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一标段：2026年新移交绿地子房山公园养护管理</w:t>
            </w:r>
            <w:r/>
          </w:p>
        </w:tc>
        <w:tc>
          <w:tcPr>
            <w:tcW w:w="85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99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99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4"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5"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870"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020"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99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1006"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r>
      <w:tr>
        <w:trPr>
          <w:trHeight w:val="2992"/>
        </w:trPr>
        <w:tc>
          <w:tcPr>
            <w:tcW w:w="1351" w:type="dxa"/>
            <w:vAlign w:val="center"/>
            <w:textDirection w:val="lrTb"/>
            <w:noWrap w:val="false"/>
          </w:tcPr>
          <w:p>
            <w:pPr>
              <w:pStyle w:val="1031"/>
              <w:ind w:firstLine="0"/>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二标段：2026年新移交绿地道路绿地养护管理</w:t>
            </w:r>
            <w:r/>
          </w:p>
        </w:tc>
        <w:tc>
          <w:tcPr>
            <w:tcW w:w="85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99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99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4"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95"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870"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020"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997"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w:t>
            </w:r>
            <w:r/>
          </w:p>
        </w:tc>
        <w:tc>
          <w:tcPr>
            <w:tcW w:w="1006"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r>
    </w:tbl>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 xml:space="preserve">2、人员要求</w:t>
      </w:r>
      <w:r>
        <w:rPr>
          <w:rFonts w:hint="eastAsia" w:ascii="仿宋" w:hAnsi="仿宋" w:eastAsia="仿宋" w:cs="仿宋"/>
          <w:bCs/>
          <w:color w:val="auto"/>
          <w:sz w:val="24"/>
          <w:szCs w:val="24"/>
          <w:highlight w:val="none"/>
          <w:lang w:val="en-US" w:eastAsia="zh-CN"/>
        </w:rPr>
        <w:t xml:space="preserve">:</w:t>
      </w:r>
      <w:r/>
    </w:p>
    <w:p>
      <w:pPr>
        <w:ind w:right="0" w:firstLine="480"/>
        <w:keepLines w:val="0"/>
        <w:keepNext w:val="0"/>
        <w:pageBreakBefore w:val="0"/>
        <w:spacing w:line="360" w:lineRule="auto"/>
        <w:widowControl/>
        <w:rPr>
          <w:rFonts w:hint="default"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eastAsia="zh-CN" w:bidi="ar-SA"/>
        </w:rPr>
        <w:t xml:space="preserve">一标段：2026年新移交绿地子房山公园养护管理（人员要求）</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①项目负责人（项目经理）必须具有园林绿化专业中级（含）以上职称证书（</w:t>
      </w:r>
      <w:r>
        <w:rPr>
          <w:rFonts w:hint="eastAsia" w:ascii="仿宋" w:hAnsi="仿宋" w:eastAsia="仿宋" w:cs="仿宋"/>
          <w:b/>
          <w:bCs/>
          <w:color w:val="auto"/>
          <w:sz w:val="24"/>
          <w:szCs w:val="24"/>
          <w:highlight w:val="none"/>
        </w:rPr>
        <w:t xml:space="preserve">如职称证书反映不出园林绿化专业则必须提供园林绿化专业毕业证书或者职称评审表</w:t>
      </w:r>
      <w:r>
        <w:rPr>
          <w:rFonts w:hint="eastAsia" w:ascii="仿宋" w:hAnsi="仿宋" w:eastAsia="仿宋" w:cs="仿宋"/>
          <w:color w:val="auto"/>
          <w:sz w:val="24"/>
          <w:szCs w:val="24"/>
          <w:highlight w:val="none"/>
        </w:rPr>
        <w:t xml:space="preserve">），或者园林绿化高级工及以上资格证书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项目负责人（项目经理）</w:t>
      </w:r>
      <w:r>
        <w:rPr>
          <w:rFonts w:hint="eastAsia" w:ascii="仿宋" w:hAnsi="仿宋" w:eastAsia="仿宋" w:cs="仿宋"/>
          <w:color w:val="auto"/>
          <w:sz w:val="24"/>
          <w:szCs w:val="24"/>
          <w:highlight w:val="none"/>
          <w:lang w:val="en-US" w:eastAsia="zh-CN"/>
        </w:rPr>
        <w:t xml:space="preserve">需为供应商在职人员，提供近6个月内任意一月供应商为其缴纳的社保证明</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②技术员（兼现场负责人）必须具有园林绿化专业初级（含）以上职称证书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如职称证书反映不出园林绿化专业则必须提供</w:t>
      </w:r>
      <w:r>
        <w:rPr>
          <w:rFonts w:hint="eastAsia" w:ascii="仿宋" w:hAnsi="仿宋" w:eastAsia="仿宋" w:cs="仿宋"/>
          <w:color w:val="auto"/>
          <w:sz w:val="24"/>
          <w:szCs w:val="24"/>
          <w:highlight w:val="none"/>
          <w:lang w:val="en-US" w:eastAsia="zh-CN"/>
        </w:rPr>
        <w:t xml:space="preserve">完整的相应职称评审表</w:t>
      </w:r>
      <w:r>
        <w:rPr>
          <w:rFonts w:hint="eastAsia" w:ascii="仿宋" w:hAnsi="仿宋" w:eastAsia="仿宋" w:cs="仿宋"/>
          <w:color w:val="auto"/>
          <w:sz w:val="24"/>
          <w:szCs w:val="24"/>
          <w:highlight w:val="none"/>
        </w:rPr>
        <w:t xml:space="preserve">），或者园林绿化中级工</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以上资格证书。</w:t>
      </w:r>
      <w:r/>
    </w:p>
    <w:p>
      <w:pPr>
        <w:pStyle w:val="1030"/>
        <w:ind w:righ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③质检员、安全员、资料员、专职园林绿化工（修剪）具有相应资格证书并提供扫描件，证书包括绿化工、园艺工、花卉工、安全员等；</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④项目负责人（项目经理）和技术员（兼现场负责人）在项目履约过程中，不得同时参与其他项目施工、养护管理等工作，且项目负责人（项目经理）和技术员（兼现场负责人）不得擅自更换。</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⑤保安人员标准：</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5.1保安班长需有三年以上相关保安服务管理工作经验，有一定的组织能力、协调沟通能力和应变能力，持有《保安员上岗证》。</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5.2保安员需经公安机关批准设立的培训机构培训合格，并取得公安机关颁发的《保安员上岗证》。</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5.3常规保安人员须为18周岁以上，身心健康、品行端正中国公民，具备初中及以上学历，形象整洁得体；综合条件优异者可优先录用。</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5.4派驻保安员应遵纪守法，品行良好，无违法犯罪记录。</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5.5派驻保安员需身心健康，仪表整洁。</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5.6遵纪守法观念强，能严格执行国家法律法规，自觉遵守甲、乙双方制定的各项规章制度。</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5.7供应商在日常管理中要建立交接班、请（休）假等登记制度，采购人有权查阅记录。如因保安员的请（休）假、撤换或辞退造成保安人数的空缺，供应商应在3个工作日内予以补充。否则，每缺1人扣300元，从履约保证金中扣除,并从扣发之日起5个工作日内及时补足履约保证金。</w:t>
      </w:r>
      <w:r/>
    </w:p>
    <w:p>
      <w:pPr>
        <w:ind w:right="0" w:firstLine="482"/>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二标段：2026年新移交绿地道路绿地养护管理（人员要求）</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①项目负责人（项目经理）必须具有园林绿化专业中级（含）以上职称证书（</w:t>
      </w:r>
      <w:r>
        <w:rPr>
          <w:rFonts w:hint="eastAsia" w:ascii="仿宋" w:hAnsi="仿宋" w:eastAsia="仿宋" w:cs="仿宋"/>
          <w:b/>
          <w:bCs/>
          <w:color w:val="auto"/>
          <w:sz w:val="24"/>
          <w:szCs w:val="24"/>
          <w:highlight w:val="none"/>
        </w:rPr>
        <w:t xml:space="preserve">如职称证书反映不出园林绿化专业则必须提供园林绿化专业毕业证书或者职称评审表</w:t>
      </w:r>
      <w:r>
        <w:rPr>
          <w:rFonts w:hint="eastAsia" w:ascii="仿宋" w:hAnsi="仿宋" w:eastAsia="仿宋" w:cs="仿宋"/>
          <w:color w:val="auto"/>
          <w:sz w:val="24"/>
          <w:szCs w:val="24"/>
          <w:highlight w:val="none"/>
        </w:rPr>
        <w:t xml:space="preserve">），或者园林绿化高级工及以上资格证书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项目负责人（项目经理）</w:t>
      </w:r>
      <w:r>
        <w:rPr>
          <w:rFonts w:hint="eastAsia" w:ascii="仿宋" w:hAnsi="仿宋" w:eastAsia="仿宋" w:cs="仿宋"/>
          <w:color w:val="auto"/>
          <w:sz w:val="24"/>
          <w:szCs w:val="24"/>
          <w:highlight w:val="none"/>
          <w:lang w:val="en-US" w:eastAsia="zh-CN"/>
        </w:rPr>
        <w:t xml:space="preserve">需为供应商在职人员，提供近6个月内任意一月供应商为其缴纳的社保证明</w:t>
      </w:r>
      <w:r>
        <w:rPr>
          <w:rFonts w:hint="eastAsia" w:ascii="仿宋" w:hAnsi="仿宋" w:eastAsia="仿宋" w:cs="仿宋"/>
          <w:color w:val="auto"/>
          <w:sz w:val="24"/>
          <w:szCs w:val="24"/>
          <w:highlight w:val="none"/>
        </w:rPr>
        <w:t xml:space="preserve">；</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②技术员（兼现场负责人）必须具有园林绿化专业初级（含）以上职称证书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如职称证书反映不出园林绿化专业则必须提供</w:t>
      </w:r>
      <w:r>
        <w:rPr>
          <w:rFonts w:hint="eastAsia" w:ascii="仿宋" w:hAnsi="仿宋" w:eastAsia="仿宋" w:cs="仿宋"/>
          <w:color w:val="auto"/>
          <w:sz w:val="24"/>
          <w:szCs w:val="24"/>
          <w:highlight w:val="none"/>
          <w:lang w:val="en-US" w:eastAsia="zh-CN"/>
        </w:rPr>
        <w:t xml:space="preserve">完整的相应职称评审表</w:t>
      </w:r>
      <w:r>
        <w:rPr>
          <w:rFonts w:hint="eastAsia" w:ascii="仿宋" w:hAnsi="仿宋" w:eastAsia="仿宋" w:cs="仿宋"/>
          <w:color w:val="auto"/>
          <w:sz w:val="24"/>
          <w:szCs w:val="24"/>
          <w:highlight w:val="none"/>
        </w:rPr>
        <w:t xml:space="preserve">），或者园林绿化中级工</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以上资格证书。</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③质检员、安全员、资料员、专职园林绿化工（修剪）具有相应资格证书并提供扫描件，证书包括绿化工、园艺工、花卉工、安全员等</w:t>
      </w:r>
      <w:r>
        <w:rPr>
          <w:rFonts w:hint="eastAsia" w:ascii="仿宋" w:hAnsi="仿宋" w:eastAsia="仿宋" w:cs="仿宋"/>
          <w:color w:val="auto"/>
          <w:sz w:val="24"/>
          <w:szCs w:val="24"/>
          <w:highlight w:val="none"/>
          <w:lang w:eastAsia="zh-CN"/>
        </w:rPr>
        <w:t xml:space="preserve">。</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④项目负责人（项目经理）和技术员（兼现场负责人）在项目履约过程中，不得同时参与其他项目施工、养护管理等工作，且项目负责人（项目经理）和技术员（兼现场负责人）不得擅自更换。</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微软雅黑" w:hAnsi="微软雅黑" w:eastAsia="微软雅黑" w:cs="微软雅黑"/>
          <w:color w:val="auto"/>
          <w:sz w:val="24"/>
          <w:szCs w:val="24"/>
          <w:highlight w:val="none"/>
          <w:lang w:val="en-US" w:eastAsia="zh-CN"/>
        </w:rPr>
        <w:t xml:space="preserve">⑤</w:t>
      </w:r>
      <w:r>
        <w:rPr>
          <w:rFonts w:hint="eastAsia" w:ascii="仿宋" w:hAnsi="仿宋" w:eastAsia="仿宋" w:cs="仿宋"/>
          <w:color w:val="auto"/>
          <w:sz w:val="24"/>
          <w:szCs w:val="24"/>
          <w:highlight w:val="none"/>
          <w:lang w:val="en-US" w:eastAsia="zh-CN"/>
        </w:rPr>
        <w:t xml:space="preserve">项目总负责人、技术员、质检员、安全员、资料员、专职园林修剪工须提供相应证书扫描件及供应商</w:t>
      </w:r>
      <w:r>
        <w:rPr>
          <w:rFonts w:hint="eastAsia" w:ascii="仿宋" w:hAnsi="仿宋" w:eastAsia="仿宋" w:cs="仿宋"/>
          <w:color w:val="auto"/>
          <w:sz w:val="24"/>
          <w:szCs w:val="24"/>
          <w:highlight w:val="none"/>
          <w:lang w:eastAsia="zh-CN"/>
        </w:rPr>
        <w:t xml:space="preserve">为其缴纳的近6个月任意一个月社保证明扫描件（</w:t>
      </w:r>
      <w:r>
        <w:rPr>
          <w:rFonts w:hint="eastAsia" w:ascii="仿宋" w:hAnsi="仿宋" w:eastAsia="仿宋" w:cs="仿宋"/>
          <w:color w:val="auto"/>
          <w:sz w:val="24"/>
          <w:szCs w:val="24"/>
          <w:highlight w:val="none"/>
          <w:lang w:val="en-US" w:eastAsia="zh-CN"/>
        </w:rPr>
        <w:t xml:space="preserve">项目总负责人）。</w:t>
      </w:r>
      <w:r/>
    </w:p>
    <w:p>
      <w:p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color w:val="auto"/>
          <w:sz w:val="24"/>
          <w:szCs w:val="24"/>
          <w:highlight w:val="none"/>
          <w:lang w:eastAsia="zh-CN"/>
        </w:rPr>
        <w:t xml:space="preserve">工作人员配备要求：以上要求人员年龄在18岁周岁</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rPr>
        <w:t xml:space="preserve">身心健康、品行端正</w:t>
      </w:r>
      <w:r>
        <w:rPr>
          <w:rFonts w:hint="eastAsia" w:ascii="仿宋" w:hAnsi="仿宋" w:eastAsia="仿宋" w:cs="仿宋"/>
          <w:color w:val="auto"/>
          <w:sz w:val="24"/>
          <w:szCs w:val="24"/>
          <w:highlight w:val="none"/>
          <w:lang w:val="en-US" w:eastAsia="zh-CN"/>
        </w:rPr>
        <w:t xml:space="preserve">中国公民</w:t>
      </w:r>
      <w:r>
        <w:rPr>
          <w:rFonts w:hint="eastAsia" w:ascii="仿宋" w:hAnsi="仿宋" w:eastAsia="仿宋" w:cs="仿宋"/>
          <w:color w:val="auto"/>
          <w:sz w:val="24"/>
          <w:szCs w:val="24"/>
          <w:highlight w:val="none"/>
          <w:lang w:eastAsia="zh-CN"/>
        </w:rPr>
        <w:t xml:space="preserve">，并严格遵守《劳动法》相关规定；统一工作服装，统一雨具并带有公司标识。</w:t>
      </w:r>
      <w:r/>
    </w:p>
    <w:p>
      <w:pPr>
        <w:ind w:right="0" w:firstLine="480"/>
        <w:keepLines w:val="0"/>
        <w:keepNext w:val="0"/>
        <w:pageBreakBefore w:val="0"/>
        <w:spacing w:line="360" w:lineRule="auto"/>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4.提供24小时应急服务，附近应有固定办公地点、值班人员及联系电话。（</w:t>
      </w:r>
      <w:r>
        <w:rPr>
          <w:rFonts w:hint="eastAsia" w:ascii="仿宋" w:hAnsi="仿宋" w:eastAsia="仿宋" w:cs="仿宋"/>
          <w:b/>
          <w:color w:val="auto"/>
          <w:sz w:val="24"/>
          <w:szCs w:val="24"/>
          <w:highlight w:val="none"/>
          <w:lang w:eastAsia="zh-CN"/>
        </w:rPr>
        <w:t xml:space="preserve">投标文件中提供应急方案</w:t>
      </w:r>
      <w:r>
        <w:rPr>
          <w:rFonts w:hint="eastAsia" w:ascii="仿宋" w:hAnsi="仿宋" w:eastAsia="仿宋" w:cs="仿宋"/>
          <w:b/>
          <w:bCs/>
          <w:color w:val="auto"/>
          <w:sz w:val="24"/>
          <w:szCs w:val="24"/>
          <w:highlight w:val="none"/>
          <w:lang w:eastAsia="zh-CN"/>
        </w:rPr>
        <w:t xml:space="preserve">（包含办公地点图片及拟定值班人员和联系电话）</w:t>
      </w:r>
      <w:r>
        <w:rPr>
          <w:rFonts w:hint="eastAsia" w:ascii="仿宋" w:hAnsi="仿宋" w:eastAsia="仿宋" w:cs="仿宋"/>
          <w:bCs/>
          <w:color w:val="auto"/>
          <w:sz w:val="24"/>
          <w:szCs w:val="24"/>
          <w:highlight w:val="none"/>
          <w:lang w:eastAsia="zh-CN"/>
        </w:rPr>
        <w:t xml:space="preserve">）；</w:t>
      </w:r>
      <w:r/>
    </w:p>
    <w:p>
      <w:pPr>
        <w:ind w:right="0" w:firstLine="480"/>
        <w:keepLines w:val="0"/>
        <w:keepNext w:val="0"/>
        <w:pageBreakBefore w:val="0"/>
        <w:spacing w:line="360" w:lineRule="auto"/>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lang w:val="en-US" w:eastAsia="zh-CN" w:bidi="ar-SA"/>
        </w:rPr>
        <w:t xml:space="preserve">中标人必须要与上述人员签署不少于本合同履约期的用人用工合同，并购买相应的人身保险。</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、养护管理机械机具设备配置要求</w:t>
      </w:r>
      <w:r>
        <w:rPr>
          <w:rFonts w:hint="eastAsia" w:ascii="仿宋" w:hAnsi="仿宋" w:eastAsia="仿宋" w:cs="仿宋"/>
          <w:color w:val="auto"/>
          <w:sz w:val="24"/>
          <w:szCs w:val="24"/>
          <w:highlight w:val="none"/>
        </w:rPr>
        <w:t xml:space="preserve">（以下数量为最低标准，</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可根据自身情况增加）。</w:t>
      </w:r>
      <w:r/>
    </w:p>
    <w:tbl>
      <w:tblPr>
        <w:tblStyle w:val="986"/>
        <w:tblpPr w:horzAnchor="page" w:tblpX="1172" w:vertAnchor="text" w:tblpY="287" w:leftFromText="180" w:topFromText="0" w:rightFromText="180" w:bottomFromText="0"/>
        <w:tblW w:w="10140" w:type="dxa"/>
        <w:tblInd w:w="0" w:type="dxa"/>
        <w:tblLayout w:type="fixed"/>
        <w:tblCellMar>
          <w:left w:w="108" w:type="dxa"/>
          <w:top w:w="0" w:type="dxa"/>
          <w:right w:w="108" w:type="dxa"/>
          <w:bottom w:w="0" w:type="dxa"/>
        </w:tblCellMar>
        <w:tblLook w:val="04A0" w:firstRow="1" w:lastRow="0" w:firstColumn="1" w:lastColumn="0" w:noHBand="0" w:noVBand="1"/>
      </w:tblPr>
      <w:tblGrid>
        <w:gridCol w:w="696"/>
        <w:gridCol w:w="476"/>
        <w:gridCol w:w="476"/>
        <w:gridCol w:w="476"/>
        <w:gridCol w:w="476"/>
        <w:gridCol w:w="476"/>
        <w:gridCol w:w="476"/>
        <w:gridCol w:w="538"/>
        <w:gridCol w:w="740"/>
        <w:gridCol w:w="675"/>
        <w:gridCol w:w="735"/>
        <w:gridCol w:w="675"/>
        <w:gridCol w:w="795"/>
        <w:gridCol w:w="2430"/>
      </w:tblGrid>
      <w:tr>
        <w:trPr>
          <w:trHeight w:val="1677"/>
        </w:trPr>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val="false"/>
          </w:tcPr>
          <w:p>
            <w:pPr>
              <w:pStyle w:val="1031"/>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标段号</w:t>
            </w:r>
            <w:r/>
          </w:p>
        </w:tc>
        <w:tc>
          <w:tcPr>
            <w:gridSpan w:val="8"/>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树枝叶粉碎设备（台）</w:t>
            </w:r>
            <w:r/>
          </w:p>
        </w:tc>
        <w:tc>
          <w:tcPr>
            <w:tcBorders>
              <w:top w:val="single" w:color="000000" w:sz="4" w:space="0"/>
              <w:left w:val="none" w:color="000000" w:sz="4" w:space="0"/>
              <w:bottom w:val="single" w:color="000000" w:sz="4" w:space="0"/>
              <w:right w:val="single" w:color="000000" w:sz="4" w:space="0"/>
            </w:tcBorders>
            <w:tcW w:w="73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保洁设备辆）</w:t>
            </w:r>
            <w:r/>
          </w:p>
        </w:tc>
        <w:tc>
          <w:tcPr>
            <w:shd w:val="clear" w:color="auto" w:fill="auto"/>
            <w:tcBorders>
              <w:top w:val="single" w:color="000000" w:sz="4" w:space="0"/>
              <w:left w:val="none" w:color="000000" w:sz="4" w:space="0"/>
              <w:bottom w:val="single" w:color="000000" w:sz="4" w:space="0"/>
              <w:right w:val="single" w:color="000000" w:sz="4" w:space="0"/>
            </w:tcBorders>
            <w:tcW w:w="67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秩序巡查设备（部）</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数字化城管案件办理（部）</w:t>
            </w:r>
            <w:r/>
          </w:p>
        </w:tc>
        <w:tc>
          <w:tcPr>
            <w:tcBorders>
              <w:top w:val="single" w:color="000000" w:sz="4" w:space="0"/>
              <w:left w:val="none" w:color="000000" w:sz="4" w:space="0"/>
              <w:bottom w:val="single" w:color="000000" w:sz="4" w:space="0"/>
              <w:right w:val="single" w:color="000000" w:sz="4" w:space="0"/>
            </w:tcBorders>
            <w:tcW w:w="2430" w:type="dxa"/>
            <w:vAlign w:val="center"/>
            <w:textDirection w:val="tbLrV"/>
            <w:noWrap w:val="false"/>
          </w:tcPr>
          <w:p>
            <w:pPr>
              <w:ind w:left="113" w:right="113"/>
              <w:jc w:val="both"/>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道路安全防护设施（组）</w:t>
            </w:r>
            <w:r/>
          </w:p>
        </w:tc>
      </w:tr>
      <w:tr>
        <w:trPr>
          <w:trHeight w:val="3585"/>
        </w:trPr>
        <w:tc>
          <w:tcPr>
            <w:tcBorders>
              <w:top w:val="non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49"/>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水车</w:t>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49"/>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喷药设备</w:t>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49"/>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水泵</w:t>
            </w:r>
            <w:r/>
          </w:p>
        </w:tc>
        <w:tc>
          <w:tcPr>
            <w:shd w:val="clear" w:color="auto" w:fill="auto"/>
            <w:tcBorders>
              <w:top w:val="none" w:color="000000" w:sz="4" w:space="0"/>
              <w:left w:val="single" w:color="000000" w:sz="4" w:space="0"/>
              <w:bottom w:val="single" w:color="000000" w:sz="4" w:space="0"/>
              <w:right w:val="single" w:color="000000" w:sz="4" w:space="0"/>
            </w:tcBorders>
            <w:tcW w:w="476"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对讲机</w:t>
            </w:r>
            <w:r/>
          </w:p>
        </w:tc>
        <w:tc>
          <w:tcPr>
            <w:shd w:val="clear" w:color="auto" w:fill="auto"/>
            <w:tcBorders>
              <w:top w:val="none" w:color="000000" w:sz="4" w:space="0"/>
              <w:left w:val="single" w:color="000000" w:sz="4" w:space="0"/>
              <w:bottom w:val="single" w:color="000000" w:sz="4" w:space="0"/>
              <w:right w:val="single" w:color="000000" w:sz="4" w:space="0"/>
            </w:tcBorders>
            <w:tcW w:w="476"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处置通</w:t>
            </w:r>
            <w:r/>
          </w:p>
        </w:tc>
        <w:tc>
          <w:tcPr>
            <w:tcBorders>
              <w:top w:val="non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49"/>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割灌机</w:t>
            </w:r>
            <w:r/>
          </w:p>
        </w:tc>
        <w:tc>
          <w:tcPr>
            <w:tcBorders>
              <w:top w:val="none" w:color="000000" w:sz="4" w:space="0"/>
              <w:left w:val="single" w:color="000000" w:sz="4" w:space="0"/>
              <w:bottom w:val="single" w:color="000000" w:sz="4" w:space="0"/>
              <w:right w:val="single" w:color="auto" w:sz="4" w:space="0"/>
            </w:tcBorders>
            <w:tcW w:w="538" w:type="dxa"/>
            <w:vAlign w:val="center"/>
            <w:textDirection w:val="lrTb"/>
            <w:noWrap w:val="false"/>
          </w:tcPr>
          <w:p>
            <w:pPr>
              <w:pStyle w:val="1049"/>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疏草机</w:t>
            </w:r>
            <w:r/>
          </w:p>
        </w:tc>
        <w:tc>
          <w:tcPr>
            <w:tcBorders>
              <w:top w:val="none" w:color="000000" w:sz="4" w:space="0"/>
              <w:left w:val="single" w:color="auto" w:sz="4" w:space="0"/>
              <w:bottom w:val="single" w:color="000000" w:sz="4" w:space="0"/>
              <w:right w:val="single" w:color="000000" w:sz="4" w:space="0"/>
            </w:tcBorders>
            <w:tcW w:w="740" w:type="dxa"/>
            <w:vAlign w:val="center"/>
            <w:textDirection w:val="lrTb"/>
            <w:noWrap w:val="false"/>
          </w:tcPr>
          <w:p>
            <w:pPr>
              <w:pStyle w:val="1049"/>
              <w:jc w:val="center"/>
              <w:spacing w:line="360" w:lineRule="auto"/>
              <w:rPr>
                <w:rFonts w:hint="eastAsia" w:ascii="仿宋" w:hAnsi="仿宋" w:eastAsia="仿宋" w:cs="仿宋"/>
                <w:b w:val="0"/>
                <w:bCs w:val="0"/>
                <w:color w:val="auto"/>
                <w:spacing w:val="0"/>
                <w:sz w:val="24"/>
                <w:szCs w:val="24"/>
                <w:highlight w:val="none"/>
                <w:lang w:val="en-US" w:eastAsia="zh-CN" w:bidi="ar-SA"/>
              </w:rPr>
            </w:pPr>
            <w:r>
              <w:rPr>
                <w:rFonts w:hint="eastAsia" w:ascii="仿宋" w:hAnsi="仿宋" w:eastAsia="仿宋" w:cs="仿宋"/>
                <w:b w:val="0"/>
                <w:bCs w:val="0"/>
                <w:color w:val="auto"/>
                <w:spacing w:val="0"/>
                <w:sz w:val="24"/>
                <w:szCs w:val="24"/>
                <w:highlight w:val="none"/>
                <w:lang w:val="en-US" w:eastAsia="zh-CN" w:bidi="ar-SA"/>
              </w:rPr>
              <w:t xml:space="preserve">水肥一体机（机械）</w:t>
            </w:r>
            <w:r/>
          </w:p>
        </w:tc>
        <w:tc>
          <w:tcPr>
            <w:tcBorders>
              <w:top w:val="none" w:color="000000" w:sz="4" w:space="0"/>
              <w:left w:val="single" w:color="000000" w:sz="4" w:space="0"/>
              <w:bottom w:val="single" w:color="000000" w:sz="4" w:space="0"/>
              <w:right w:val="single" w:color="000000" w:sz="4" w:space="0"/>
            </w:tcBorders>
            <w:tcW w:w="67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可移动铡切揉碎机（粉碎机）</w:t>
            </w:r>
            <w:r/>
          </w:p>
        </w:tc>
        <w:tc>
          <w:tcPr>
            <w:tcBorders>
              <w:top w:val="none" w:color="000000" w:sz="4" w:space="0"/>
              <w:left w:val="single" w:color="000000" w:sz="4" w:space="0"/>
              <w:bottom w:val="single" w:color="000000" w:sz="4" w:space="0"/>
              <w:right w:val="single" w:color="000000" w:sz="4" w:space="0"/>
            </w:tcBorders>
            <w:tcW w:w="73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电动保洁车</w:t>
            </w:r>
            <w:r/>
          </w:p>
        </w:tc>
        <w:tc>
          <w:tcPr>
            <w:tcBorders>
              <w:top w:val="none" w:color="000000" w:sz="4" w:space="0"/>
              <w:left w:val="single" w:color="000000" w:sz="4" w:space="0"/>
              <w:bottom w:val="single" w:color="000000" w:sz="4" w:space="0"/>
              <w:right w:val="single" w:color="000000" w:sz="4" w:space="0"/>
            </w:tcBorders>
            <w:tcW w:w="67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对讲机</w:t>
            </w:r>
            <w:r/>
          </w:p>
        </w:tc>
        <w:tc>
          <w:tcPr>
            <w:tcBorders>
              <w:top w:val="none" w:color="000000" w:sz="4" w:space="0"/>
              <w:left w:val="single" w:color="000000" w:sz="4" w:space="0"/>
              <w:bottom w:val="single" w:color="000000" w:sz="4" w:space="0"/>
              <w:right w:val="single" w:color="000000" w:sz="4" w:space="0"/>
            </w:tcBorders>
            <w:tcW w:w="795" w:type="dxa"/>
            <w:vAlign w:val="center"/>
            <w:textDirection w:val="tbLrV"/>
            <w:noWrap w:val="false"/>
          </w:tcPr>
          <w:p>
            <w:pPr>
              <w:ind w:left="113" w:right="113"/>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处置通</w:t>
            </w:r>
            <w:r/>
          </w:p>
        </w:tc>
        <w:tc>
          <w:tcPr>
            <w:tcBorders>
              <w:top w:val="none" w:color="000000" w:sz="4" w:space="0"/>
              <w:left w:val="single" w:color="000000" w:sz="4" w:space="0"/>
              <w:bottom w:val="single" w:color="000000" w:sz="4" w:space="0"/>
              <w:right w:val="single" w:color="000000" w:sz="4" w:space="0"/>
            </w:tcBorders>
            <w:tcW w:w="2430" w:type="dxa"/>
            <w:vAlign w:val="center"/>
            <w:textDirection w:val="lrTb"/>
            <w:noWrap w:val="false"/>
          </w:tcPr>
          <w:p>
            <w:pPr>
              <w:ind w:left="0" w:right="0"/>
              <w:jc w:val="center"/>
              <w:spacing w:after="120"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r>
      <w:tr>
        <w:trPr>
          <w:trHeight w:val="138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31"/>
              <w:ind w:firstLine="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一标段：2026年新移交绿地子房山公园养护管理</w:t>
            </w:r>
            <w:r/>
          </w:p>
        </w:tc>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auto" w:sz="4" w:space="0"/>
            </w:tcBorders>
            <w:tcW w:w="538"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auto" w:sz="4" w:space="0"/>
              <w:bottom w:val="single" w:color="000000" w:sz="4" w:space="0"/>
              <w:right w:val="single" w:color="000000" w:sz="4" w:space="0"/>
            </w:tcBorders>
            <w:tcW w:w="740"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430"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w:t>
            </w:r>
            <w:r/>
          </w:p>
        </w:tc>
      </w:tr>
      <w:tr>
        <w:trPr>
          <w:trHeight w:val="138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031"/>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二标段：2026年新移交绿地道路绿地养护管理</w:t>
            </w:r>
            <w:r/>
          </w:p>
        </w:tc>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49"/>
              <w:jc w:val="center"/>
              <w:rPr>
                <w:rFonts w:hint="eastAsia" w:ascii="仿宋" w:hAnsi="仿宋" w:eastAsia="仿宋" w:cs="仿宋"/>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49"/>
              <w:jc w:val="center"/>
              <w:rPr>
                <w:rFonts w:hint="eastAsia" w:ascii="仿宋" w:hAnsi="仿宋" w:eastAsia="仿宋" w:cs="仿宋"/>
                <w:color w:val="auto"/>
                <w:sz w:val="24"/>
                <w:szCs w:val="24"/>
                <w:highlight w:val="none"/>
              </w:rPr>
            </w:pPr>
            <w:r>
              <w:rPr>
                <w:rFonts w:ascii="宋体" w:hAnsi="宋体" w:eastAsia="宋体" w:cs="宋体"/>
                <w:color w:val="auto"/>
                <w:sz w:val="24"/>
                <w:szCs w:val="24"/>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49"/>
              <w:jc w:val="center"/>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49"/>
              <w:jc w:val="center"/>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476" w:type="dxa"/>
            <w:vAlign w:val="center"/>
            <w:textDirection w:val="lrTb"/>
            <w:noWrap w:val="false"/>
          </w:tcPr>
          <w:p>
            <w:pPr>
              <w:pStyle w:val="1049"/>
              <w:jc w:val="center"/>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auto" w:sz="4" w:space="0"/>
            </w:tcBorders>
            <w:tcW w:w="538" w:type="dxa"/>
            <w:vAlign w:val="center"/>
            <w:textDirection w:val="lrTb"/>
            <w:noWrap w:val="false"/>
          </w:tcPr>
          <w:p>
            <w:pPr>
              <w:pStyle w:val="1049"/>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shd w:val="clear" w:color="auto" w:fill="auto"/>
            <w:tcBorders>
              <w:top w:val="single" w:color="000000" w:sz="4" w:space="0"/>
              <w:left w:val="single" w:color="auto" w:sz="4" w:space="0"/>
              <w:bottom w:val="single" w:color="000000" w:sz="4" w:space="0"/>
              <w:right w:val="single" w:color="000000" w:sz="4" w:space="0"/>
            </w:tcBorders>
            <w:tcW w:w="740" w:type="dxa"/>
            <w:vAlign w:val="center"/>
            <w:textDirection w:val="lrTb"/>
            <w:noWrap w:val="false"/>
          </w:tcPr>
          <w:p>
            <w:pPr>
              <w:pStyle w:val="1049"/>
              <w:jc w:val="center"/>
              <w:rPr>
                <w:rFonts w:hint="eastAsia" w:ascii="仿宋" w:hAnsi="仿宋" w:eastAsia="仿宋" w:cs="仿宋"/>
                <w:b/>
                <w:bCs/>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1049"/>
              <w:jc w:val="center"/>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1049"/>
              <w:jc w:val="center"/>
              <w:rPr>
                <w:rFonts w:hint="default" w:ascii="仿宋" w:hAnsi="仿宋" w:eastAsia="仿宋" w:cs="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1031"/>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430" w:type="dxa"/>
            <w:vAlign w:val="center"/>
            <w:textDirection w:val="lrTb"/>
            <w:noWrap w:val="false"/>
          </w:tcPr>
          <w:p>
            <w:pPr>
              <w:pStyle w:val="1031"/>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r>
    </w:tbl>
    <w:p>
      <w:pPr>
        <w:pStyle w:val="1031"/>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（一）如</w:t>
      </w:r>
      <w:r>
        <w:rPr>
          <w:rFonts w:hint="eastAsia" w:ascii="仿宋" w:hAnsi="仿宋" w:eastAsia="仿宋" w:cs="仿宋"/>
          <w:color w:val="auto"/>
          <w:sz w:val="24"/>
          <w:szCs w:val="24"/>
          <w:highlight w:val="none"/>
        </w:rPr>
        <w:t xml:space="preserve">以上机械机具设备</w:t>
      </w:r>
      <w:r>
        <w:rPr>
          <w:rFonts w:hint="eastAsia" w:ascii="仿宋" w:hAnsi="仿宋" w:eastAsia="仿宋" w:cs="仿宋"/>
          <w:color w:val="auto"/>
          <w:sz w:val="24"/>
          <w:szCs w:val="24"/>
          <w:highlight w:val="none"/>
          <w:lang w:val="en-US" w:eastAsia="zh-CN"/>
        </w:rPr>
        <w:t xml:space="preserve">为自有的，</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en-US" w:eastAsia="zh-CN"/>
        </w:rPr>
        <w:t xml:space="preserve">提供设备的</w:t>
      </w:r>
      <w:r>
        <w:rPr>
          <w:rFonts w:hint="eastAsia" w:ascii="仿宋" w:hAnsi="仿宋" w:eastAsia="仿宋" w:cs="仿宋"/>
          <w:color w:val="auto"/>
          <w:sz w:val="24"/>
          <w:szCs w:val="24"/>
          <w:highlight w:val="none"/>
        </w:rPr>
        <w:t xml:space="preserve">采购发票、记账凭证等扫描件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其中，水车等机动车辆还需提供车辆行驶证、车辆保险等证件资料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（二）如</w:t>
      </w:r>
      <w:r>
        <w:rPr>
          <w:rFonts w:hint="eastAsia" w:ascii="仿宋" w:hAnsi="仿宋" w:eastAsia="仿宋" w:cs="仿宋"/>
          <w:color w:val="auto"/>
          <w:sz w:val="24"/>
          <w:szCs w:val="24"/>
          <w:highlight w:val="none"/>
        </w:rPr>
        <w:t xml:space="preserve">以上机械机具设备</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rPr>
        <w:t xml:space="preserve">租赁的，除租赁合同扫描件外，还需要</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水车等机动车辆还需提供车辆行驶证、车辆保险等证件资料</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扫描件。</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注：不足需再配置的，除提供现有设备的</w:t>
      </w:r>
      <w:r>
        <w:rPr>
          <w:rFonts w:hint="eastAsia" w:ascii="仿宋" w:hAnsi="仿宋" w:eastAsia="仿宋" w:cs="仿宋"/>
          <w:color w:val="auto"/>
          <w:sz w:val="24"/>
          <w:szCs w:val="24"/>
          <w:highlight w:val="none"/>
        </w:rPr>
        <w:t xml:space="preserve">采购发票、记账凭证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租赁合同等扫描件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其中，</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rPr>
        <w:t xml:space="preserve">水车等机动车辆还需提供车辆行驶证、车辆保险等证件资料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外还应提供配备</w:t>
      </w:r>
      <w:r>
        <w:rPr>
          <w:rFonts w:hint="eastAsia" w:ascii="仿宋" w:hAnsi="仿宋" w:eastAsia="仿宋" w:cs="仿宋"/>
          <w:color w:val="auto"/>
          <w:sz w:val="24"/>
          <w:szCs w:val="24"/>
          <w:highlight w:val="none"/>
        </w:rPr>
        <w:t xml:space="preserve">承诺书（含拟采购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的机械机具设备名称型号等）。</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（三）电动保洁车需符合国标，规范上牌，办理备案编号及车辆注册登记；驾乘人员需办理-驾证（D证），按照机动车实行统一管理。</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（四）供应商要严格按照《中华人民共和国国家标准》（GB5768.4-2017）中道路交通标志和标线第4部分：作业区内容要求，配备绿化养护管理作业相应道路安全防护设施。</w:t>
      </w:r>
      <w:r/>
    </w:p>
    <w:p>
      <w:pPr>
        <w:pStyle w:val="104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（五）执行国家、省、市相关规定及《园林绿化养护管理规范》（DB 3203/T 1010-2021）。</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六、质量验收要求</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以徐州市现行的绿化养护管理相关的法律法规、规范标准、办法文件等。</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、验收标准（验收要求、验收标准和程序）要求</w:t>
      </w:r>
      <w:r/>
    </w:p>
    <w:p>
      <w:pPr>
        <w:pStyle w:val="1031"/>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见磋商文件第十章《拟签订的合同文本》。</w:t>
      </w:r>
      <w:r/>
    </w:p>
    <w:p>
      <w:pPr>
        <w:pStyle w:val="987"/>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、其他要求：见</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val="en-US" w:eastAsia="zh-CN"/>
        </w:rPr>
        <w:t xml:space="preserve">第十章《拟签订的合同文本》</w:t>
      </w:r>
      <w:r>
        <w:rPr>
          <w:rFonts w:hint="eastAsia" w:ascii="仿宋" w:hAnsi="仿宋" w:eastAsia="仿宋" w:cs="仿宋"/>
          <w:color w:val="auto"/>
          <w:sz w:val="24"/>
          <w:szCs w:val="24"/>
          <w:highlight w:val="none"/>
        </w:rPr>
        <w:t xml:space="preserve">。</w:t>
      </w:r>
      <w:r/>
    </w:p>
    <w:p>
      <w:pPr>
        <w:pStyle w:val="987"/>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rPr>
          <w:rFonts w:hint="eastAsia" w:ascii="仿宋" w:hAnsi="仿宋" w:eastAsia="仿宋" w:cs="仿宋"/>
          <w:color w:val="auto"/>
          <w:sz w:val="24"/>
          <w:szCs w:val="24"/>
          <w:highlight w:val="none"/>
          <w:lang w:val="en-US" w:eastAsia="zh-CN"/>
        </w:rPr>
      </w:r>
      <w:r/>
    </w:p>
    <w:p>
      <w:pPr>
        <w:pStyle w:val="987"/>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rPr>
          <w:rFonts w:hint="eastAsia" w:ascii="仿宋" w:hAnsi="仿宋" w:eastAsia="仿宋" w:cs="仿宋"/>
          <w:color w:val="auto"/>
          <w:sz w:val="24"/>
          <w:szCs w:val="24"/>
          <w:highlight w:val="none"/>
          <w:lang w:val="en-US" w:eastAsia="zh-CN"/>
        </w:rPr>
      </w:r>
      <w:r/>
    </w:p>
    <w:p>
      <w:pPr>
        <w:pStyle w:val="987"/>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987"/>
        <w:ind w:left="0" w:firstLine="0"/>
        <w:rPr>
          <w:rFonts w:hint="default"/>
          <w:color w:val="auto"/>
          <w:highlight w:val="none"/>
          <w:lang w:val="en-US" w:eastAsia="zh-CN"/>
        </w:rPr>
      </w:pPr>
      <w:r>
        <w:rPr>
          <w:rFonts w:hint="default"/>
          <w:color w:val="auto"/>
          <w:highlight w:val="none"/>
          <w:lang w:val="en-US" w:eastAsia="zh-CN"/>
        </w:rPr>
      </w:r>
      <w:r/>
    </w:p>
    <w:p>
      <w:pPr>
        <w:pStyle w:val="1246"/>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bookmarkStart w:id="29" w:name="_Toc10788"/>
      <w:r>
        <w:rPr>
          <w:rStyle w:val="1277"/>
          <w:rFonts w:hint="eastAsia" w:ascii="仿宋" w:hAnsi="仿宋" w:eastAsia="仿宋" w:cs="仿宋"/>
          <w:color w:val="auto"/>
          <w:sz w:val="24"/>
          <w:szCs w:val="24"/>
          <w:highlight w:val="none"/>
        </w:rPr>
        <w:t xml:space="preserve">第九章 响应文件相关格式</w:t>
      </w:r>
      <w:bookmarkEnd w:id="27"/>
      <w:r/>
      <w:bookmarkEnd w:id="28"/>
      <w:r/>
      <w:bookmarkEnd w:id="29"/>
      <w:r/>
      <w:r/>
    </w:p>
    <w:p>
      <w:pPr>
        <w:pStyle w:val="1246"/>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bookmarkStart w:id="30" w:name="_Toc8491"/>
      <w:r/>
      <w:bookmarkStart w:id="31" w:name="_Toc7129"/>
      <w:r>
        <w:rPr>
          <w:rStyle w:val="1277"/>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0"/>
      <w:r/>
      <w:bookmarkEnd w:id="31"/>
      <w:r/>
      <w:r/>
    </w:p>
    <w:p>
      <w:pPr>
        <w:pStyle w:val="1246"/>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rPr>
        <w:t xml:space="preserve">一、承诺书</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rPr>
        <w:t xml:space="preserve">二、磋商报价表</w:t>
      </w:r>
      <w:r/>
    </w:p>
    <w:p>
      <w:pPr>
        <w:pStyle w:val="1031"/>
        <w:ind w:firstLine="0"/>
        <w:keepLines w:val="0"/>
        <w:keepNext w:val="0"/>
        <w:pageBreakBefore w:val="0"/>
        <w:spacing w:line="312" w:lineRule="auto"/>
        <w:widowControl w:val="off"/>
        <w:tabs>
          <w:tab w:val="left" w:pos="2100" w:leader="none"/>
        </w:tabs>
        <w:rPr>
          <w:rStyle w:val="1277"/>
          <w:rFonts w:hint="default" w:ascii="仿宋" w:hAnsi="仿宋" w:eastAsia="仿宋" w:cs="仿宋"/>
          <w:bCs/>
          <w:color w:val="auto"/>
          <w:sz w:val="24"/>
          <w:szCs w:val="24"/>
          <w:highlight w:val="none"/>
          <w:lang w:val="en-US" w:eastAsia="zh-CN"/>
        </w:rPr>
      </w:pPr>
      <w:r>
        <w:rPr>
          <w:rStyle w:val="1277"/>
          <w:rFonts w:hint="eastAsia" w:ascii="仿宋" w:hAnsi="仿宋" w:eastAsia="仿宋" w:cs="仿宋"/>
          <w:bCs/>
          <w:color w:val="auto"/>
          <w:sz w:val="24"/>
          <w:szCs w:val="24"/>
          <w:highlight w:val="none"/>
        </w:rPr>
        <w:t xml:space="preserve">三、</w:t>
      </w:r>
      <w:r>
        <w:rPr>
          <w:rStyle w:val="1277"/>
          <w:rFonts w:hint="eastAsia" w:ascii="仿宋" w:hAnsi="仿宋" w:eastAsia="仿宋" w:cs="仿宋"/>
          <w:bCs/>
          <w:color w:val="auto"/>
          <w:sz w:val="24"/>
          <w:szCs w:val="24"/>
          <w:highlight w:val="none"/>
          <w:lang w:val="en-US" w:eastAsia="zh-CN"/>
        </w:rPr>
        <w:t xml:space="preserve">分项价格表</w:t>
      </w:r>
      <w:r/>
    </w:p>
    <w:p>
      <w:pPr>
        <w:pStyle w:val="1031"/>
        <w:ind w:firstLine="0"/>
        <w:keepLines w:val="0"/>
        <w:keepNext w:val="0"/>
        <w:pageBreakBefore w:val="0"/>
        <w:spacing w:line="312" w:lineRule="auto"/>
        <w:widowControl w:val="off"/>
        <w:tabs>
          <w:tab w:val="left" w:pos="2100" w:leader="none"/>
        </w:tabs>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四、</w:t>
      </w:r>
      <w:r>
        <w:rPr>
          <w:rStyle w:val="1277"/>
          <w:rFonts w:hint="eastAsia" w:ascii="仿宋" w:hAnsi="仿宋" w:eastAsia="仿宋" w:cs="仿宋"/>
          <w:bCs/>
          <w:color w:val="auto"/>
          <w:sz w:val="24"/>
          <w:szCs w:val="24"/>
          <w:highlight w:val="none"/>
        </w:rPr>
        <w:t xml:space="preserve">偏离表</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五</w:t>
      </w:r>
      <w:r>
        <w:rPr>
          <w:rStyle w:val="1277"/>
          <w:rFonts w:hint="eastAsia" w:ascii="仿宋" w:hAnsi="仿宋" w:eastAsia="仿宋" w:cs="仿宋"/>
          <w:bCs/>
          <w:color w:val="auto"/>
          <w:sz w:val="24"/>
          <w:szCs w:val="24"/>
          <w:highlight w:val="none"/>
        </w:rPr>
        <w:t xml:space="preserve">、授权委托书</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六</w:t>
      </w:r>
      <w:r>
        <w:rPr>
          <w:rStyle w:val="1277"/>
          <w:rFonts w:hint="eastAsia" w:ascii="仿宋" w:hAnsi="仿宋" w:eastAsia="仿宋" w:cs="仿宋"/>
          <w:bCs/>
          <w:color w:val="auto"/>
          <w:sz w:val="24"/>
          <w:szCs w:val="24"/>
          <w:highlight w:val="none"/>
        </w:rPr>
        <w:t xml:space="preserve">、中小企业声明函</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七</w:t>
      </w:r>
      <w:r>
        <w:rPr>
          <w:rStyle w:val="1277"/>
          <w:rFonts w:hint="eastAsia" w:ascii="仿宋" w:hAnsi="仿宋" w:eastAsia="仿宋" w:cs="仿宋"/>
          <w:bCs/>
          <w:color w:val="auto"/>
          <w:sz w:val="24"/>
          <w:szCs w:val="24"/>
          <w:highlight w:val="none"/>
        </w:rPr>
        <w:t xml:space="preserve">、残疾人福利性单位声明函</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八</w:t>
      </w:r>
      <w:r>
        <w:rPr>
          <w:rStyle w:val="1277"/>
          <w:rFonts w:hint="eastAsia" w:ascii="仿宋" w:hAnsi="仿宋" w:eastAsia="仿宋" w:cs="仿宋"/>
          <w:bCs/>
          <w:color w:val="auto"/>
          <w:sz w:val="24"/>
          <w:szCs w:val="24"/>
          <w:highlight w:val="none"/>
        </w:rPr>
        <w:t xml:space="preserve">、供应商参加政府采购活动前3年内在经营活动中没有重大违法记录的书面声明</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九</w:t>
      </w:r>
      <w:r>
        <w:rPr>
          <w:rStyle w:val="1277"/>
          <w:rFonts w:hint="eastAsia" w:ascii="仿宋" w:hAnsi="仿宋" w:eastAsia="仿宋" w:cs="仿宋"/>
          <w:bCs/>
          <w:color w:val="auto"/>
          <w:sz w:val="24"/>
          <w:szCs w:val="24"/>
          <w:highlight w:val="none"/>
        </w:rPr>
        <w:t xml:space="preserve">、具备履行合同所必需的设备和专业技术能力的书面声明</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十</w:t>
      </w:r>
      <w:r>
        <w:rPr>
          <w:rStyle w:val="1277"/>
          <w:rFonts w:hint="eastAsia" w:ascii="仿宋" w:hAnsi="仿宋" w:eastAsia="仿宋" w:cs="仿宋"/>
          <w:bCs/>
          <w:color w:val="auto"/>
          <w:sz w:val="24"/>
          <w:szCs w:val="24"/>
          <w:highlight w:val="none"/>
        </w:rPr>
        <w:t xml:space="preserve">、</w:t>
      </w:r>
      <w:r>
        <w:rPr>
          <w:rStyle w:val="1277"/>
          <w:rFonts w:hint="eastAsia" w:ascii="仿宋" w:hAnsi="仿宋" w:eastAsia="仿宋" w:cs="仿宋"/>
          <w:bCs/>
          <w:color w:val="auto"/>
          <w:sz w:val="24"/>
          <w:szCs w:val="24"/>
          <w:highlight w:val="none"/>
          <w:lang w:val="en-US" w:eastAsia="zh-CN"/>
        </w:rPr>
        <w:t xml:space="preserve">供应商</w:t>
      </w:r>
      <w:r>
        <w:rPr>
          <w:rStyle w:val="1277"/>
          <w:rFonts w:hint="eastAsia" w:ascii="仿宋" w:hAnsi="仿宋" w:eastAsia="仿宋" w:cs="仿宋"/>
          <w:bCs/>
          <w:color w:val="auto"/>
          <w:sz w:val="24"/>
          <w:szCs w:val="24"/>
          <w:highlight w:val="none"/>
        </w:rPr>
        <w:t xml:space="preserve">相关承诺</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rPr>
        <w:t xml:space="preserve">十</w:t>
      </w:r>
      <w:r>
        <w:rPr>
          <w:rStyle w:val="1277"/>
          <w:rFonts w:hint="eastAsia" w:ascii="仿宋" w:hAnsi="仿宋" w:eastAsia="仿宋" w:cs="仿宋"/>
          <w:bCs/>
          <w:color w:val="auto"/>
          <w:sz w:val="24"/>
          <w:szCs w:val="24"/>
          <w:highlight w:val="none"/>
          <w:lang w:val="en-US" w:eastAsia="zh-CN"/>
        </w:rPr>
        <w:t xml:space="preserve">一</w:t>
      </w:r>
      <w:r>
        <w:rPr>
          <w:rStyle w:val="1277"/>
          <w:rFonts w:hint="eastAsia" w:ascii="仿宋" w:hAnsi="仿宋" w:eastAsia="仿宋" w:cs="仿宋"/>
          <w:bCs/>
          <w:color w:val="auto"/>
          <w:sz w:val="24"/>
          <w:szCs w:val="24"/>
          <w:highlight w:val="none"/>
        </w:rPr>
        <w:t xml:space="preserve">、</w:t>
      </w:r>
      <w:r>
        <w:rPr>
          <w:rStyle w:val="1277"/>
          <w:rFonts w:hint="eastAsia" w:ascii="仿宋" w:hAnsi="仿宋" w:eastAsia="仿宋" w:cs="仿宋"/>
          <w:bCs/>
          <w:color w:val="auto"/>
          <w:sz w:val="24"/>
          <w:szCs w:val="24"/>
          <w:highlight w:val="none"/>
          <w:lang w:val="en-US" w:eastAsia="zh-CN"/>
        </w:rPr>
        <w:t xml:space="preserve">供应商</w:t>
      </w:r>
      <w:r>
        <w:rPr>
          <w:rStyle w:val="1277"/>
          <w:rFonts w:hint="eastAsia" w:ascii="仿宋" w:hAnsi="仿宋" w:eastAsia="仿宋" w:cs="仿宋"/>
          <w:bCs/>
          <w:color w:val="auto"/>
          <w:sz w:val="24"/>
          <w:szCs w:val="24"/>
          <w:highlight w:val="none"/>
        </w:rPr>
        <w:t xml:space="preserve">书面声明</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rPr>
        <w:t xml:space="preserve">十</w:t>
      </w:r>
      <w:r>
        <w:rPr>
          <w:rStyle w:val="1277"/>
          <w:rFonts w:hint="eastAsia" w:ascii="仿宋" w:hAnsi="仿宋" w:eastAsia="仿宋" w:cs="仿宋"/>
          <w:bCs/>
          <w:color w:val="auto"/>
          <w:sz w:val="24"/>
          <w:szCs w:val="24"/>
          <w:highlight w:val="none"/>
          <w:lang w:val="en-US" w:eastAsia="zh-CN"/>
        </w:rPr>
        <w:t xml:space="preserve">二</w:t>
      </w:r>
      <w:r>
        <w:rPr>
          <w:rStyle w:val="1277"/>
          <w:rFonts w:hint="eastAsia" w:ascii="仿宋" w:hAnsi="仿宋" w:eastAsia="仿宋" w:cs="仿宋"/>
          <w:bCs/>
          <w:color w:val="auto"/>
          <w:sz w:val="24"/>
          <w:szCs w:val="24"/>
          <w:highlight w:val="none"/>
        </w:rPr>
        <w:t xml:space="preserve">、项目总负责人简历表</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lang w:val="en-US" w:eastAsia="zh-CN"/>
        </w:rPr>
      </w:pPr>
      <w:r>
        <w:rPr>
          <w:rStyle w:val="1277"/>
          <w:rFonts w:hint="eastAsia" w:ascii="仿宋" w:hAnsi="仿宋" w:eastAsia="仿宋" w:cs="仿宋"/>
          <w:bCs/>
          <w:color w:val="auto"/>
          <w:sz w:val="24"/>
          <w:szCs w:val="24"/>
          <w:highlight w:val="none"/>
          <w:lang w:val="en-US" w:eastAsia="zh-CN"/>
        </w:rPr>
        <w:t xml:space="preserve">十三、1工作人员配备要求</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lang w:val="en-US" w:eastAsia="zh-CN"/>
        </w:rPr>
      </w:pPr>
      <w:r>
        <w:rPr>
          <w:rStyle w:val="1277"/>
          <w:rFonts w:hint="eastAsia" w:ascii="仿宋" w:hAnsi="仿宋" w:eastAsia="仿宋" w:cs="仿宋"/>
          <w:bCs/>
          <w:color w:val="auto"/>
          <w:sz w:val="24"/>
          <w:szCs w:val="24"/>
          <w:highlight w:val="none"/>
          <w:lang w:val="en-US" w:eastAsia="zh-CN"/>
        </w:rPr>
        <w:t xml:space="preserve">十三、2供应商对“工作人员配备要求”的承诺</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lang w:val="en-US" w:eastAsia="zh-CN"/>
        </w:rPr>
      </w:pPr>
      <w:r>
        <w:rPr>
          <w:rStyle w:val="1277"/>
          <w:rFonts w:hint="eastAsia" w:ascii="仿宋" w:hAnsi="仿宋" w:eastAsia="仿宋" w:cs="仿宋"/>
          <w:bCs/>
          <w:color w:val="auto"/>
          <w:sz w:val="24"/>
          <w:szCs w:val="24"/>
          <w:highlight w:val="none"/>
          <w:lang w:val="en-US" w:eastAsia="zh-CN"/>
        </w:rPr>
        <w:t xml:space="preserve">十四、供应商对“养护管理机械机具设备配置要求”的承诺</w:t>
      </w:r>
      <w:r/>
    </w:p>
    <w:p>
      <w:pPr>
        <w:pStyle w:val="1031"/>
        <w:ind w:firstLine="0"/>
        <w:keepLines w:val="0"/>
        <w:keepNext w:val="0"/>
        <w:pageBreakBefore w:val="0"/>
        <w:spacing w:line="312" w:lineRule="auto"/>
        <w:widowControl w:val="off"/>
        <w:rPr>
          <w:rStyle w:val="1277"/>
          <w:rFonts w:hint="eastAsia" w:ascii="仿宋" w:hAnsi="仿宋" w:eastAsia="仿宋" w:cs="仿宋"/>
          <w:bCs/>
          <w:color w:val="auto"/>
          <w:sz w:val="24"/>
          <w:szCs w:val="24"/>
          <w:highlight w:val="none"/>
        </w:rPr>
      </w:pPr>
      <w:r>
        <w:rPr>
          <w:rStyle w:val="1277"/>
          <w:rFonts w:hint="eastAsia" w:ascii="仿宋" w:hAnsi="仿宋" w:eastAsia="仿宋" w:cs="仿宋"/>
          <w:bCs/>
          <w:color w:val="auto"/>
          <w:sz w:val="24"/>
          <w:szCs w:val="24"/>
          <w:highlight w:val="none"/>
          <w:lang w:val="en-US" w:eastAsia="zh-CN"/>
        </w:rPr>
        <w:t xml:space="preserve">十五、预付款保函支付条款模板</w:t>
      </w:r>
      <w:r/>
    </w:p>
    <w:p>
      <w:pPr>
        <w:pStyle w:val="1369"/>
        <w:ind w:left="0" w:right="0" w:firstLine="0"/>
        <w:keepLines w:val="0"/>
        <w:keepNext w:val="0"/>
        <w:pageBreakBefore w:val="0"/>
        <w:spacing w:line="312" w:lineRule="auto"/>
        <w:widowControl w:val="off"/>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p>
      <w:pPr>
        <w:pStyle w:val="1369"/>
        <w:ind w:left="0" w:right="0" w:firstLine="0"/>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9"/>
        <w:ind w:left="0" w:right="0" w:firstLine="0"/>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9"/>
        <w:ind w:left="0" w:right="0" w:firstLine="0"/>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9"/>
        <w:ind w:left="0" w:right="0" w:firstLine="0"/>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47"/>
        <w:jc w:val="center"/>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br w:type="page" w:clear="all"/>
      </w:r>
      <w:bookmarkStart w:id="32" w:name="_Toc720"/>
      <w:r/>
      <w:bookmarkStart w:id="33" w:name="_Toc6721"/>
      <w:r/>
      <w:bookmarkStart w:id="34" w:name="_Toc80122302"/>
      <w:r>
        <w:rPr>
          <w:rStyle w:val="1277"/>
          <w:rFonts w:hint="eastAsia" w:ascii="仿宋" w:hAnsi="仿宋" w:eastAsia="仿宋" w:cs="仿宋"/>
          <w:color w:val="auto"/>
          <w:sz w:val="24"/>
          <w:szCs w:val="24"/>
          <w:highlight w:val="none"/>
        </w:rPr>
        <w:t xml:space="preserve">一、承诺书</w:t>
      </w:r>
      <w:bookmarkEnd w:id="32"/>
      <w:r/>
      <w:bookmarkEnd w:id="33"/>
      <w:r/>
      <w:bookmarkEnd w:id="34"/>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致</w:t>
      </w:r>
      <w:r>
        <w:rPr>
          <w:rStyle w:val="1277"/>
          <w:rFonts w:hint="eastAsia" w:ascii="仿宋" w:hAnsi="仿宋" w:eastAsia="仿宋" w:cs="仿宋"/>
          <w:color w:val="auto"/>
          <w:sz w:val="24"/>
          <w:szCs w:val="24"/>
          <w:highlight w:val="none"/>
          <w:u w:val="single"/>
        </w:rPr>
        <w:t xml:space="preserve">江苏科建工程项目管理有限公司</w:t>
      </w:r>
      <w:r>
        <w:rPr>
          <w:rStyle w:val="1277"/>
          <w:rFonts w:hint="eastAsia" w:ascii="仿宋" w:hAnsi="仿宋" w:eastAsia="仿宋" w:cs="仿宋"/>
          <w:color w:val="auto"/>
          <w:sz w:val="24"/>
          <w:szCs w:val="24"/>
          <w:highlight w:val="none"/>
        </w:rPr>
        <w:t xml:space="preserve">：</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根据贵方《磋商文件》（项目编号：</w:t>
      </w:r>
      <w:r>
        <w:rPr>
          <w:rStyle w:val="1277"/>
          <w:rFonts w:hint="eastAsia" w:ascii="仿宋" w:hAnsi="仿宋" w:eastAsia="仿宋" w:cs="仿宋"/>
          <w:color w:val="auto"/>
          <w:sz w:val="24"/>
          <w:szCs w:val="24"/>
          <w:highlight w:val="none"/>
          <w:lang w:eastAsia="zh-CN"/>
        </w:rPr>
        <w:t xml:space="preserve">JSZC-320300-JSKJ-C2026-0009</w:t>
      </w:r>
      <w:r>
        <w:rPr>
          <w:rStyle w:val="1277"/>
          <w:rFonts w:hint="eastAsia" w:ascii="仿宋" w:hAnsi="仿宋" w:eastAsia="仿宋" w:cs="仿宋"/>
          <w:color w:val="auto"/>
          <w:sz w:val="24"/>
          <w:szCs w:val="24"/>
          <w:highlight w:val="none"/>
        </w:rPr>
        <w:t xml:space="preserve">）要求，本供应商正式提交以下首次响应文件。</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Style w:val="1277"/>
          <w:rFonts w:hint="eastAsia" w:ascii="仿宋" w:hAnsi="仿宋" w:eastAsia="仿宋" w:cs="仿宋"/>
          <w:color w:val="auto"/>
          <w:sz w:val="24"/>
          <w:szCs w:val="24"/>
          <w:highlight w:val="none"/>
        </w:rPr>
        <w:t xml:space="preserve">（1）承诺书； </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（2）磋商报价表； </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（3）偏离表；</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（4）磋商文件要求提供的其他响应文件。</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供应商兹宣布同意如下: </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Style w:val="1277"/>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31"/>
        <w:ind w:firstLine="480"/>
        <w:jc w:val="left"/>
        <w:pageBreakBefore w:val="0"/>
        <w:spacing w:line="312" w:lineRule="auto"/>
        <w:widowControl w:val="off"/>
        <w:tabs>
          <w:tab w:val="right" w:pos="4153" w:leader="none"/>
          <w:tab w:val="left" w:pos="8306" w:leader="underscore"/>
        </w:tabs>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Style w:val="1277"/>
          <w:rFonts w:hint="eastAsia" w:ascii="仿宋" w:hAnsi="仿宋" w:eastAsia="仿宋" w:cs="仿宋"/>
          <w:color w:val="auto"/>
          <w:sz w:val="24"/>
          <w:szCs w:val="24"/>
          <w:highlight w:val="none"/>
        </w:rPr>
        <w:t xml:space="preserve">二、保证所提供的响应文件及所有材料的真实、合法、有效，并对其负责。</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四、所供货物保证符合国家有关产品质量、性能和安全标准，无权利瑕疵。</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五、报价有效期为30个工作日。</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七、完全理解贵方不一定要接受最低的报价或收到的任何报价。</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八、江苏科建工程项目管理有限公司有权将我单位本项目的《磋商报价表》和《分项价格表》予以公示，公示的方式由江苏科建工程项目管理有限公司确定。</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九、采购人有权对供应商的响应文件的真实性</w:t>
      </w:r>
      <w:r>
        <w:rPr>
          <w:rStyle w:val="1277"/>
          <w:rFonts w:hint="eastAsia" w:ascii="仿宋" w:hAnsi="仿宋" w:eastAsia="仿宋" w:cs="仿宋"/>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277"/>
          <w:rFonts w:hint="eastAsia" w:ascii="仿宋" w:hAnsi="仿宋" w:eastAsia="仿宋" w:cs="仿宋"/>
          <w:color w:val="auto"/>
          <w:sz w:val="24"/>
          <w:szCs w:val="24"/>
          <w:highlight w:val="none"/>
        </w:rPr>
        <w:t xml:space="preserve">。</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十、供应商同意按照磋商文件的有关规定支付相关代理服务费。 </w:t>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pStyle w:val="1031"/>
        <w:jc w:val="both"/>
        <w:pageBreakBefore w:val="0"/>
        <w:spacing w:line="312" w:lineRule="auto"/>
        <w:widowControl w:val="off"/>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w:t>
      </w:r>
      <w:r/>
    </w:p>
    <w:p>
      <w:pPr>
        <w:pStyle w:val="1031"/>
        <w:jc w:val="center"/>
        <w:pageBreakBefore w:val="0"/>
        <w:spacing w:line="312" w:lineRule="auto"/>
        <w:widowControl w:val="off"/>
        <w:rPr>
          <w:rStyle w:val="1277"/>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35" w:name="_Toc25312"/>
      <w:r/>
      <w:bookmarkStart w:id="36" w:name="_Toc80122303"/>
      <w:r/>
      <w:bookmarkStart w:id="37" w:name="_Toc8001"/>
      <w:r>
        <w:rPr>
          <w:rStyle w:val="1277"/>
          <w:rFonts w:hint="eastAsia" w:ascii="仿宋" w:hAnsi="仿宋" w:eastAsia="仿宋" w:cs="仿宋"/>
          <w:b/>
          <w:bCs/>
          <w:color w:val="auto"/>
          <w:sz w:val="24"/>
          <w:szCs w:val="24"/>
          <w:highlight w:val="none"/>
        </w:rPr>
        <w:t xml:space="preserve">二、磋商报价表</w:t>
      </w:r>
      <w:bookmarkEnd w:id="35"/>
      <w:r/>
      <w:bookmarkEnd w:id="36"/>
      <w:r/>
      <w:bookmarkEnd w:id="37"/>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首次  □终次报价）                              </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lang w:eastAsia="zh-CN"/>
        </w:rPr>
      </w:pPr>
      <w:r>
        <w:rPr>
          <w:rStyle w:val="1277"/>
          <w:rFonts w:hint="eastAsia" w:ascii="仿宋" w:hAnsi="仿宋" w:eastAsia="仿宋" w:cs="仿宋"/>
          <w:color w:val="auto"/>
          <w:sz w:val="24"/>
          <w:szCs w:val="24"/>
          <w:highlight w:val="none"/>
        </w:rPr>
        <w:t xml:space="preserve">项目编号：</w:t>
      </w:r>
      <w:r>
        <w:rPr>
          <w:rStyle w:val="1277"/>
          <w:rFonts w:hint="eastAsia" w:ascii="仿宋" w:hAnsi="仿宋" w:eastAsia="仿宋" w:cs="仿宋"/>
          <w:color w:val="auto"/>
          <w:sz w:val="24"/>
          <w:szCs w:val="24"/>
          <w:highlight w:val="none"/>
          <w:lang w:eastAsia="zh-CN"/>
        </w:rPr>
        <w:t xml:space="preserve">JSZC-320300-JSKJ-C2026-0009</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lang w:val="en-US" w:eastAsia="zh-CN"/>
        </w:rPr>
      </w:pPr>
      <w:r>
        <w:rPr>
          <w:rStyle w:val="1277"/>
          <w:rFonts w:hint="eastAsia" w:ascii="仿宋" w:hAnsi="仿宋" w:eastAsia="仿宋" w:cs="仿宋"/>
          <w:color w:val="auto"/>
          <w:sz w:val="24"/>
          <w:szCs w:val="24"/>
          <w:highlight w:val="none"/>
          <w:lang w:val="en-US" w:eastAsia="zh-CN"/>
        </w:rPr>
        <w:t xml:space="preserve">采购包：                                             </w:t>
      </w:r>
      <w:r>
        <w:rPr>
          <w:rStyle w:val="1277"/>
          <w:rFonts w:hint="eastAsia" w:ascii="仿宋" w:hAnsi="仿宋" w:eastAsia="仿宋" w:cs="仿宋"/>
          <w:color w:val="auto"/>
          <w:sz w:val="24"/>
          <w:szCs w:val="24"/>
          <w:highlight w:val="none"/>
        </w:rPr>
        <w:t xml:space="preserve">单位：</w:t>
      </w:r>
      <w:r>
        <w:rPr>
          <w:rStyle w:val="1277"/>
          <w:rFonts w:hint="eastAsia" w:ascii="仿宋" w:hAnsi="仿宋" w:eastAsia="仿宋" w:cs="仿宋"/>
          <w:color w:val="auto"/>
          <w:sz w:val="24"/>
          <w:szCs w:val="24"/>
          <w:highlight w:val="none"/>
          <w:lang w:val="en-US" w:eastAsia="zh-CN"/>
        </w:rPr>
        <w:t xml:space="preserve">元</w:t>
      </w:r>
      <w:r/>
    </w:p>
    <w:tbl>
      <w:tblPr>
        <w:tblStyle w:val="986"/>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98"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项目内容</w:t>
            </w:r>
            <w:r/>
          </w:p>
        </w:tc>
        <w:tc>
          <w:tcPr>
            <w:tcW w:w="2382"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总价（小写）</w:t>
            </w:r>
            <w:r/>
          </w:p>
        </w:tc>
        <w:tc>
          <w:tcPr>
            <w:tcW w:w="2382"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1096"/>
        </w:trPr>
        <w:tc>
          <w:tcPr>
            <w:tcW w:w="2486"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2026年新增市管绿地养护管理</w:t>
            </w:r>
            <w:r/>
          </w:p>
        </w:tc>
        <w:tc>
          <w:tcPr>
            <w:tcW w:w="2498" w:type="dxa"/>
            <w:vAlign w:val="center"/>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详见响应文件</w:t>
            </w:r>
            <w:r/>
          </w:p>
        </w:tc>
        <w:tc>
          <w:tcPr>
            <w:tcW w:w="2382"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Align w:val="center"/>
            <w:vMerge w:val="restart"/>
            <w:textDirection w:val="lrTb"/>
            <w:noWrap w:val="false"/>
          </w:tcPr>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报价为</w:t>
            </w:r>
            <w:r/>
          </w:p>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《分项价格表》</w:t>
            </w:r>
            <w:r/>
          </w:p>
          <w:p>
            <w:pPr>
              <w:pStyle w:val="1031"/>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的总价</w:t>
            </w:r>
            <w:r/>
          </w:p>
        </w:tc>
      </w:tr>
      <w:tr>
        <w:trPr>
          <w:jc w:val="center"/>
          <w:trHeight w:val="1333"/>
        </w:trPr>
        <w:tc>
          <w:tcPr>
            <w:tcW w:w="2486"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总价（大写）：</w:t>
            </w:r>
            <w:r/>
          </w:p>
        </w:tc>
        <w:tc>
          <w:tcPr>
            <w:gridSpan w:val="2"/>
            <w:tcW w:w="4880" w:type="dxa"/>
            <w:vAlign w:val="center"/>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Merge w:val="continue"/>
            <w:textDirection w:val="lrTb"/>
            <w:noWrap w:val="false"/>
          </w:tcPr>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1"/>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527"/>
        <w:ind w:left="0" w:right="0"/>
        <w:jc w:val="center"/>
        <w:keepLines w:val="0"/>
        <w:keepNext w:val="0"/>
        <w:spacing w:before="0" w:beforeAutospacing="0" w:after="0" w:afterAutospacing="0" w:line="360" w:lineRule="auto"/>
        <w:shd w:val="clear" w:color="auto" w:fill="auto"/>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rPr>
        <w:t xml:space="preserve">（政府采购客户端工具输入报价自动生成，加盖电子签章上传）</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供应商承诺：  1、本报价（总价）为供应商本企业提供的</w:t>
      </w:r>
      <w:r>
        <w:rPr>
          <w:rStyle w:val="1277"/>
          <w:rFonts w:hint="eastAsia" w:ascii="仿宋" w:hAnsi="仿宋" w:eastAsia="仿宋" w:cs="仿宋"/>
          <w:color w:val="auto"/>
          <w:sz w:val="24"/>
          <w:szCs w:val="24"/>
          <w:highlight w:val="none"/>
          <w:lang w:val="en-US" w:eastAsia="zh-CN"/>
        </w:rPr>
        <w:t xml:space="preserve">服务</w:t>
      </w:r>
      <w:r>
        <w:rPr>
          <w:rStyle w:val="1277"/>
          <w:rFonts w:hint="eastAsia" w:ascii="仿宋" w:hAnsi="仿宋" w:eastAsia="仿宋" w:cs="仿宋"/>
          <w:color w:val="auto"/>
          <w:sz w:val="24"/>
          <w:szCs w:val="24"/>
          <w:highlight w:val="none"/>
        </w:rPr>
        <w:t xml:space="preserve">。</w:t>
      </w:r>
      <w:r/>
    </w:p>
    <w:p>
      <w:pPr>
        <w:pStyle w:val="1031"/>
        <w:ind w:firstLine="16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报价说明：</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1、报价包括完成项目的所有费用。采购人不再支付报价以外的任何费用。</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2、报价以总价为准，大小写不一致以大写为准；</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3、偏离说明：详见《偏离表》；</w:t>
      </w:r>
      <w:r/>
    </w:p>
    <w:p>
      <w:pPr>
        <w:pStyle w:val="1032"/>
        <w:ind w:left="0" w:firstLine="480"/>
        <w:rPr>
          <w:rFonts w:hint="eastAsia"/>
          <w:color w:val="auto"/>
          <w:highlight w:val="none"/>
        </w:rPr>
      </w:pPr>
      <w:r>
        <w:rPr>
          <w:rStyle w:val="1277"/>
          <w:rFonts w:hint="eastAsia" w:ascii="仿宋" w:hAnsi="仿宋" w:eastAsia="仿宋" w:cs="仿宋"/>
          <w:color w:val="auto"/>
          <w:szCs w:val="24"/>
          <w:highlight w:val="none"/>
          <w:lang w:val="en-US" w:eastAsia="zh-CN" w:bidi="ar-SA"/>
        </w:rPr>
        <w:t xml:space="preserve">4、如最后报价未列明单价，则最后所报各项单价计算方法为：（最后报价/最初报价）* 各项最初报价的单价。</w:t>
      </w:r>
      <w:r/>
    </w:p>
    <w:p>
      <w:pPr>
        <w:pStyle w:val="1032"/>
        <w:rPr>
          <w:rFonts w:hint="eastAsia"/>
          <w:color w:val="auto"/>
          <w:highlight w:val="none"/>
        </w:rPr>
      </w:pPr>
      <w:r>
        <w:rPr>
          <w:rFonts w:hint="eastAsia"/>
          <w:color w:val="auto"/>
          <w:highlight w:val="none"/>
        </w:rPr>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ind w:left="0" w:right="0" w:firstLine="480"/>
        <w:jc w:val="center"/>
        <w:keepLines w:val="0"/>
        <w:keepNext w:val="0"/>
        <w:pageBreakBefore w:val="0"/>
        <w:spacing w:beforeAutospacing="0" w:afterAutospacing="0" w:line="312"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p>
    <w:p>
      <w:pPr>
        <w:pStyle w:val="1031"/>
        <w:ind w:firstLine="482"/>
        <w:jc w:val="right"/>
        <w:pageBreakBefore w:val="0"/>
        <w:spacing w:line="312" w:lineRule="auto"/>
        <w:widowControl w:val="off"/>
        <w:rPr>
          <w:rStyle w:val="1277"/>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12" w:lineRule="auto"/>
        <w:rPr>
          <w:rFonts w:hint="eastAsia" w:ascii="仿宋" w:hAnsi="仿宋" w:eastAsia="仿宋" w:cs="仿宋"/>
          <w:b/>
          <w:color w:val="auto"/>
          <w:sz w:val="24"/>
          <w:szCs w:val="24"/>
          <w:highlight w:val="none"/>
          <w:lang w:val="en-US" w:eastAsia="zh-CN"/>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bookmarkStart w:id="38" w:name="_Toc80122304"/>
      <w:r/>
      <w:bookmarkStart w:id="39" w:name="_Toc14249"/>
      <w:r/>
      <w:r/>
    </w:p>
    <w:p>
      <w:pPr>
        <w:pStyle w:val="1247"/>
        <w:jc w:val="center"/>
        <w:keepLines w:val="0"/>
        <w:keepNext w:val="0"/>
        <w:pageBreakBefore w:val="0"/>
        <w:spacing w:before="0" w:after="0" w:line="500" w:lineRule="exact"/>
        <w:widowControl w:val="off"/>
        <w:rPr>
          <w:rFonts w:hint="eastAsia" w:ascii="仿宋" w:hAnsi="仿宋" w:eastAsia="仿宋" w:cs="仿宋"/>
          <w:bCs w:val="0"/>
          <w:color w:val="auto"/>
          <w:sz w:val="24"/>
          <w:szCs w:val="24"/>
          <w:highlight w:val="none"/>
        </w:rPr>
      </w:pPr>
      <w:r/>
      <w:bookmarkStart w:id="40" w:name="_Toc22792"/>
      <w:r/>
      <w:bookmarkStart w:id="41" w:name="_Toc3899"/>
      <w:r>
        <w:rPr>
          <w:rStyle w:val="1277"/>
          <w:rFonts w:hint="eastAsia" w:ascii="仿宋" w:hAnsi="仿宋" w:eastAsia="仿宋" w:cs="仿宋"/>
          <w:color w:val="auto"/>
          <w:sz w:val="24"/>
          <w:szCs w:val="24"/>
          <w:highlight w:val="none"/>
        </w:rPr>
        <w:t xml:space="preserve">三、分项价格表</w:t>
      </w:r>
      <w:bookmarkEnd w:id="40"/>
      <w:r/>
      <w:bookmarkEnd w:id="41"/>
      <w:r/>
      <w:r/>
    </w:p>
    <w:p>
      <w:pPr>
        <w:pStyle w:val="1042"/>
        <w:pageBreakBefore w:val="0"/>
        <w:spacing w:after="0" w:line="500" w:lineRule="exact"/>
        <w:widowControl w:val="off"/>
        <w:rPr>
          <w:rFonts w:hint="eastAsia" w:ascii="仿宋" w:hAnsi="仿宋" w:eastAsia="仿宋" w:cs="仿宋"/>
          <w:color w:val="auto"/>
          <w:sz w:val="24"/>
          <w:szCs w:val="24"/>
          <w:highlight w:val="none"/>
          <w:lang w:eastAsia="zh-CN"/>
        </w:rPr>
      </w:pPr>
      <w:r/>
      <w:bookmarkStart w:id="42" w:name="_Hlk105167508"/>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042"/>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pStyle w:val="1042"/>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 </w:t>
      </w:r>
      <w:bookmarkEnd w:id="42"/>
      <w:r/>
      <w:r/>
    </w:p>
    <w:p>
      <w:pPr>
        <w:pStyle w:val="1042"/>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8"/>
        <w:ind w:left="0"/>
        <w:jc w:val="center"/>
        <w:pageBreakBefore w:val="0"/>
        <w:spacing w:line="500" w:lineRule="exact"/>
        <w:widowControl w:val="off"/>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格式自拟</w:t>
      </w:r>
      <w:r/>
    </w:p>
    <w:p>
      <w:pPr>
        <w:pStyle w:val="1045"/>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5"/>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2"/>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31"/>
        <w:jc w:val="left"/>
        <w:pageBreakBefore w:val="0"/>
        <w:spacing w:line="500" w:lineRule="exact"/>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w:t>
      </w:r>
      <w:r>
        <w:rPr>
          <w:rStyle w:val="1277"/>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szCs w:val="24"/>
          <w:highlight w:val="none"/>
        </w:rPr>
        <w:t xml:space="preserve">）</w:t>
      </w:r>
      <w:r>
        <w:rPr>
          <w:rStyle w:val="1277"/>
          <w:rFonts w:hint="eastAsia" w:ascii="仿宋" w:hAnsi="仿宋" w:eastAsia="仿宋" w:cs="仿宋"/>
          <w:color w:val="auto"/>
          <w:sz w:val="24"/>
          <w:szCs w:val="24"/>
          <w:highlight w:val="none"/>
        </w:rPr>
        <w:t xml:space="preserve">：  </w:t>
      </w:r>
      <w:r/>
    </w:p>
    <w:p>
      <w:pPr>
        <w:pStyle w:val="1031"/>
        <w:jc w:val="left"/>
        <w:pageBreakBefore w:val="0"/>
        <w:spacing w:line="500" w:lineRule="exact"/>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日期：</w:t>
      </w:r>
      <w:r/>
    </w:p>
    <w:p>
      <w:pPr>
        <w:pStyle w:val="1042"/>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2"/>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042"/>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1042"/>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042"/>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1042"/>
        <w:ind w:firstLine="480"/>
        <w:pageBreakBefore w:val="0"/>
        <w:spacing w:after="0" w:line="500" w:lineRule="exact"/>
        <w:widowControl w:val="off"/>
        <w:rPr>
          <w:rFonts w:hint="eastAsia" w:ascii="仿宋" w:hAnsi="仿宋" w:eastAsia="仿宋" w:cs="仿宋"/>
          <w:b/>
          <w:i w:val="0"/>
          <w:iCs/>
          <w:color w:val="auto"/>
          <w:sz w:val="24"/>
          <w:szCs w:val="24"/>
          <w:highlight w:val="none"/>
          <w:u w:val="single"/>
        </w:rPr>
      </w:pPr>
      <w:r>
        <w:rPr>
          <w:rFonts w:hint="eastAsia" w:ascii="仿宋" w:hAnsi="仿宋" w:eastAsia="仿宋" w:cs="仿宋"/>
          <w:b/>
          <w:i w:val="0"/>
          <w:iCs/>
          <w:color w:val="auto"/>
          <w:sz w:val="24"/>
          <w:szCs w:val="24"/>
          <w:highlight w:val="none"/>
          <w:u w:val="single"/>
        </w:rPr>
        <w:t xml:space="preserve">采购人或采购代理机构有权将以上内容进行公示。</w:t>
      </w:r>
      <w:r/>
    </w:p>
    <w:p>
      <w:pPr>
        <w:jc w:val="center"/>
        <w:pageBreakBefore w:val="0"/>
        <w:spacing w:line="312" w:lineRule="auto"/>
        <w:rPr>
          <w:rFonts w:hint="eastAsia" w:ascii="仿宋" w:hAnsi="仿宋" w:eastAsia="仿宋" w:cs="仿宋"/>
          <w:b/>
          <w:i w:val="0"/>
          <w:iCs/>
          <w:color w:val="auto"/>
          <w:sz w:val="24"/>
          <w:szCs w:val="24"/>
          <w:highlight w:val="none"/>
          <w:lang w:val="en-US" w:eastAsia="zh-CN"/>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i w:val="0"/>
          <w:iCs/>
          <w:color w:val="auto"/>
          <w:sz w:val="24"/>
          <w:szCs w:val="24"/>
          <w:highlight w:val="none"/>
          <w:lang w:val="en-US" w:eastAsia="zh-CN"/>
        </w:rPr>
      </w:r>
      <w:r/>
    </w:p>
    <w:p>
      <w:pPr>
        <w:ind w:left="0" w:firstLine="0"/>
        <w:jc w:val="center"/>
        <w:pageBreakBefore w:val="0"/>
        <w:spacing w:line="312" w:lineRule="auto"/>
        <w:rPr>
          <w:rStyle w:val="1277"/>
          <w:rFonts w:hint="eastAsia" w:ascii="仿宋" w:hAnsi="仿宋" w:eastAsia="仿宋" w:cs="仿宋"/>
          <w:color w:val="auto"/>
          <w:sz w:val="24"/>
          <w:szCs w:val="24"/>
          <w:highlight w:val="none"/>
        </w:rPr>
        <w:outlineLvl w:val="1"/>
      </w:pPr>
      <w:r/>
      <w:bookmarkStart w:id="43" w:name="_Toc1368"/>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bookmarkEnd w:id="38"/>
      <w:r/>
      <w:bookmarkEnd w:id="39"/>
      <w:r/>
      <w:bookmarkStart w:id="44" w:name="_Toc9364"/>
      <w:r/>
      <w:bookmarkStart w:id="45" w:name="_Toc80122305"/>
      <w:r>
        <w:rPr>
          <w:rStyle w:val="1277"/>
          <w:rFonts w:hint="eastAsia" w:ascii="仿宋" w:hAnsi="仿宋" w:eastAsia="仿宋" w:cs="仿宋"/>
          <w:b/>
          <w:bCs/>
          <w:color w:val="auto"/>
          <w:sz w:val="24"/>
          <w:szCs w:val="24"/>
          <w:highlight w:val="none"/>
        </w:rPr>
        <w:t xml:space="preserve">偏离表</w:t>
      </w:r>
      <w:bookmarkEnd w:id="43"/>
      <w:r/>
      <w:bookmarkEnd w:id="44"/>
      <w:r/>
      <w:bookmarkEnd w:id="45"/>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lang w:eastAsia="zh-CN"/>
        </w:rPr>
      </w:pPr>
      <w:r>
        <w:rPr>
          <w:rStyle w:val="1277"/>
          <w:rFonts w:hint="eastAsia" w:ascii="仿宋" w:hAnsi="仿宋" w:eastAsia="仿宋" w:cs="仿宋"/>
          <w:color w:val="auto"/>
          <w:sz w:val="24"/>
          <w:szCs w:val="24"/>
          <w:highlight w:val="none"/>
        </w:rPr>
        <w:t xml:space="preserve">   项目名称：</w:t>
      </w:r>
      <w:r>
        <w:rPr>
          <w:rStyle w:val="1277"/>
          <w:rFonts w:hint="eastAsia" w:ascii="仿宋" w:hAnsi="仿宋" w:eastAsia="仿宋" w:cs="仿宋"/>
          <w:color w:val="auto"/>
          <w:sz w:val="24"/>
          <w:szCs w:val="24"/>
          <w:highlight w:val="none"/>
          <w:lang w:eastAsia="zh-CN"/>
        </w:rPr>
        <w:t xml:space="preserve">2026年新增市管绿地养护管理</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lang w:eastAsia="zh-CN"/>
        </w:rPr>
      </w:pPr>
      <w:r>
        <w:rPr>
          <w:rStyle w:val="1277"/>
          <w:rFonts w:hint="eastAsia" w:ascii="仿宋" w:hAnsi="仿宋" w:eastAsia="仿宋" w:cs="仿宋"/>
          <w:color w:val="auto"/>
          <w:sz w:val="24"/>
          <w:szCs w:val="24"/>
          <w:highlight w:val="none"/>
        </w:rPr>
        <w:t xml:space="preserve">   项目编号： </w:t>
      </w:r>
      <w:r>
        <w:rPr>
          <w:rStyle w:val="1277"/>
          <w:rFonts w:hint="eastAsia" w:ascii="仿宋" w:hAnsi="仿宋" w:eastAsia="仿宋" w:cs="仿宋"/>
          <w:color w:val="auto"/>
          <w:sz w:val="24"/>
          <w:szCs w:val="24"/>
          <w:highlight w:val="none"/>
          <w:lang w:eastAsia="zh-CN"/>
        </w:rPr>
        <w:t xml:space="preserve">JSZC-320300-JSKJ-C2026-0009</w:t>
      </w:r>
      <w:r/>
    </w:p>
    <w:p>
      <w:pPr>
        <w:pStyle w:val="1031"/>
        <w:ind w:left="0" w:firstLine="420"/>
        <w:jc w:val="left"/>
        <w:pageBreakBefore w:val="0"/>
        <w:spacing w:line="312" w:lineRule="auto"/>
        <w:widowControl w:val="off"/>
        <w:rPr>
          <w:rStyle w:val="1277"/>
          <w:rFonts w:hint="default" w:ascii="仿宋" w:hAnsi="仿宋" w:eastAsia="仿宋" w:cs="仿宋"/>
          <w:color w:val="auto"/>
          <w:sz w:val="24"/>
          <w:szCs w:val="24"/>
          <w:highlight w:val="none"/>
          <w:lang w:val="en-US" w:eastAsia="zh-CN"/>
        </w:rPr>
      </w:pPr>
      <w:r>
        <w:rPr>
          <w:rStyle w:val="1277"/>
          <w:rFonts w:hint="eastAsia" w:ascii="仿宋" w:hAnsi="仿宋" w:eastAsia="仿宋" w:cs="仿宋"/>
          <w:color w:val="auto"/>
          <w:sz w:val="24"/>
          <w:szCs w:val="24"/>
          <w:highlight w:val="none"/>
          <w:lang w:val="en-US" w:eastAsia="zh-CN"/>
        </w:rPr>
        <w:t xml:space="preserve">采购包：</w:t>
      </w:r>
      <w:r/>
    </w:p>
    <w:tbl>
      <w:tblPr>
        <w:tblStyle w:val="986"/>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Style w:val="1277"/>
                <w:rFonts w:hint="eastAsia" w:ascii="仿宋" w:hAnsi="仿宋" w:eastAsia="仿宋" w:cs="仿宋"/>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Style w:val="1277"/>
                <w:rFonts w:hint="eastAsia" w:ascii="仿宋" w:hAnsi="仿宋" w:eastAsia="仿宋" w:cs="仿宋"/>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Style w:val="1277"/>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Style w:val="1277"/>
                <w:rFonts w:hint="eastAsia" w:ascii="仿宋" w:hAnsi="仿宋" w:eastAsia="仿宋" w:cs="仿宋"/>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31"/>
              <w:jc w:val="left"/>
              <w:pageBreakBefore w:val="0"/>
              <w:spacing w:line="312" w:lineRule="auto"/>
              <w:widowControl w:val="off"/>
              <w:rPr>
                <w:rStyle w:val="1277"/>
                <w:rFonts w:hint="eastAsia" w:ascii="仿宋" w:hAnsi="仿宋" w:eastAsia="仿宋" w:cs="仿宋"/>
                <w:caps/>
                <w:color w:val="auto"/>
                <w:sz w:val="24"/>
                <w:szCs w:val="24"/>
                <w:highlight w:val="none"/>
              </w:rPr>
            </w:pPr>
            <w:r>
              <w:rPr>
                <w:rStyle w:val="1277"/>
                <w:rFonts w:hint="eastAsia" w:ascii="仿宋" w:hAnsi="仿宋" w:eastAsia="仿宋" w:cs="仿宋"/>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Style w:val="1277"/>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31"/>
              <w:jc w:val="center"/>
              <w:pageBreakBefore w:val="0"/>
              <w:spacing w:line="312" w:lineRule="auto"/>
              <w:widowControl w:val="off"/>
              <w:rPr>
                <w:rStyle w:val="1277"/>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1"/>
        <w:jc w:val="left"/>
        <w:pageBreakBefore w:val="0"/>
        <w:spacing w:line="312" w:lineRule="auto"/>
        <w:widowControl w:val="off"/>
        <w:rPr>
          <w:rStyle w:val="1277"/>
          <w:rFonts w:hint="eastAsia" w:ascii="仿宋" w:hAnsi="仿宋" w:eastAsia="仿宋" w:cs="仿宋"/>
          <w:color w:val="auto"/>
          <w:sz w:val="24"/>
          <w:szCs w:val="24"/>
          <w:highlight w:val="none"/>
          <w:u w:val="single"/>
        </w:rPr>
      </w:pPr>
      <w:r>
        <w:rPr>
          <w:rStyle w:val="1277"/>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center"/>
        <w:keepLines w:val="0"/>
        <w:keepNext w:val="0"/>
        <w:pageBreakBefore w:val="0"/>
        <w:spacing w:beforeAutospacing="0" w:afterAutospacing="0" w:line="312" w:lineRule="auto"/>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lang w:val="en-US" w:eastAsia="zh-CN"/>
        </w:rPr>
        <w:t xml:space="preserve">                                                   </w:t>
      </w: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77"/>
          <w:rFonts w:hint="eastAsia" w:ascii="仿宋" w:hAnsi="仿宋" w:eastAsia="仿宋" w:cs="仿宋"/>
          <w:color w:val="auto"/>
          <w:sz w:val="24"/>
          <w:szCs w:val="24"/>
          <w:highlight w:val="none"/>
        </w:rPr>
        <w:t xml:space="preserve">：</w:t>
      </w:r>
      <w:r/>
    </w:p>
    <w:p>
      <w:pPr>
        <w:pStyle w:val="1031"/>
        <w:ind w:firstLine="39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w:t>
      </w:r>
      <w:r/>
    </w:p>
    <w:p>
      <w:pPr>
        <w:pStyle w:val="1031"/>
        <w:ind w:firstLine="7164"/>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日期：</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7"/>
        <w:jc w:val="center"/>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bookmarkStart w:id="46" w:name="_Toc80122306"/>
      <w:r>
        <w:rPr>
          <w:rStyle w:val="1277"/>
          <w:rFonts w:hint="eastAsia" w:ascii="仿宋" w:hAnsi="仿宋" w:eastAsia="仿宋" w:cs="仿宋"/>
          <w:color w:val="auto"/>
          <w:sz w:val="24"/>
          <w:szCs w:val="24"/>
          <w:highlight w:val="none"/>
        </w:rPr>
        <w:br w:type="page" w:clear="all"/>
      </w:r>
      <w:bookmarkStart w:id="47" w:name="_Toc7832"/>
      <w:r/>
      <w:bookmarkStart w:id="48" w:name="_Toc20243"/>
      <w:r>
        <w:rPr>
          <w:rStyle w:val="1277"/>
          <w:rFonts w:hint="eastAsia" w:ascii="仿宋" w:hAnsi="仿宋" w:eastAsia="仿宋" w:cs="仿宋"/>
          <w:color w:val="auto"/>
          <w:sz w:val="24"/>
          <w:szCs w:val="24"/>
          <w:highlight w:val="none"/>
          <w:lang w:val="en-US" w:eastAsia="zh-CN"/>
        </w:rPr>
        <w:t xml:space="preserve">五</w:t>
      </w:r>
      <w:r>
        <w:rPr>
          <w:rStyle w:val="1277"/>
          <w:rFonts w:hint="eastAsia" w:ascii="仿宋" w:hAnsi="仿宋" w:eastAsia="仿宋" w:cs="仿宋"/>
          <w:color w:val="auto"/>
          <w:sz w:val="24"/>
          <w:szCs w:val="24"/>
          <w:highlight w:val="none"/>
        </w:rPr>
        <w:t xml:space="preserve">、授权委托书</w:t>
      </w:r>
      <w:bookmarkEnd w:id="46"/>
      <w:r/>
      <w:bookmarkEnd w:id="47"/>
      <w:r/>
      <w:bookmarkEnd w:id="48"/>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委托人（全称）：</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地  址：</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法定代表人：              </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统一社会信用代码：</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受托人：                  先生（女士）</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身份证号：</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兹委托（            ）全权代表我企业（公司）参与</w:t>
      </w:r>
      <w:r>
        <w:rPr>
          <w:rStyle w:val="1277"/>
          <w:rFonts w:hint="eastAsia" w:ascii="仿宋" w:hAnsi="仿宋" w:eastAsia="仿宋" w:cs="仿宋"/>
          <w:color w:val="auto"/>
          <w:sz w:val="24"/>
          <w:szCs w:val="24"/>
          <w:highlight w:val="none"/>
          <w:u w:val="single"/>
          <w:lang w:eastAsia="zh-CN"/>
        </w:rPr>
        <w:t xml:space="preserve">2026年新增市管绿地养护管理</w:t>
      </w:r>
      <w:r>
        <w:rPr>
          <w:rStyle w:val="1277"/>
          <w:rFonts w:hint="eastAsia" w:ascii="仿宋" w:hAnsi="仿宋" w:eastAsia="仿宋" w:cs="仿宋"/>
          <w:color w:val="auto"/>
          <w:sz w:val="24"/>
          <w:szCs w:val="24"/>
          <w:highlight w:val="none"/>
        </w:rPr>
        <w:t xml:space="preserve"> [项目编号：</w:t>
      </w:r>
      <w:r>
        <w:rPr>
          <w:rStyle w:val="1277"/>
          <w:rFonts w:hint="eastAsia" w:ascii="仿宋" w:hAnsi="仿宋" w:eastAsia="仿宋" w:cs="仿宋"/>
          <w:color w:val="auto"/>
          <w:sz w:val="24"/>
          <w:szCs w:val="24"/>
          <w:highlight w:val="none"/>
          <w:lang w:eastAsia="zh-CN"/>
        </w:rPr>
        <w:t xml:space="preserve">JSZC-320300-JSKJ-C2026-0009</w:t>
      </w:r>
      <w:r>
        <w:rPr>
          <w:rStyle w:val="1277"/>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委托人</w:t>
      </w:r>
      <w:r>
        <w:rPr>
          <w:rFonts w:hint="eastAsia" w:ascii="仿宋" w:hAnsi="仿宋" w:eastAsia="仿宋" w:cs="仿宋"/>
          <w:bCs/>
          <w:color w:val="auto"/>
          <w:sz w:val="24"/>
          <w:highlight w:val="none"/>
        </w:rPr>
        <w:t xml:space="preserve">（电子签章）</w:t>
      </w:r>
      <w:r>
        <w:rPr>
          <w:rStyle w:val="1277"/>
          <w:rFonts w:hint="eastAsia" w:ascii="仿宋" w:hAnsi="仿宋" w:eastAsia="仿宋" w:cs="仿宋"/>
          <w:color w:val="auto"/>
          <w:sz w:val="24"/>
          <w:szCs w:val="24"/>
          <w:highlight w:val="none"/>
        </w:rPr>
        <w:t xml:space="preserve">：</w:t>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法定代表人（签字或盖章）：</w:t>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受托人（签字或盖章）：</w:t>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日期：</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(受托人身份证</w:t>
      </w:r>
      <w:r>
        <w:rPr>
          <w:rStyle w:val="1277"/>
          <w:rFonts w:hint="eastAsia" w:ascii="仿宋" w:hAnsi="仿宋" w:eastAsia="仿宋" w:cs="仿宋"/>
          <w:color w:val="auto"/>
          <w:sz w:val="24"/>
          <w:szCs w:val="24"/>
          <w:highlight w:val="none"/>
          <w:lang w:val="en-US" w:eastAsia="zh-CN"/>
        </w:rPr>
        <w:t xml:space="preserve">反正面</w:t>
      </w:r>
      <w:r>
        <w:rPr>
          <w:rStyle w:val="1277"/>
          <w:rFonts w:hint="eastAsia" w:ascii="仿宋" w:hAnsi="仿宋" w:eastAsia="仿宋" w:cs="仿宋"/>
          <w:color w:val="auto"/>
          <w:sz w:val="24"/>
          <w:szCs w:val="24"/>
          <w:highlight w:val="none"/>
        </w:rPr>
        <w:t xml:space="preserve">复印件附后)</w:t>
      </w:r>
      <w:r/>
    </w:p>
    <w:p>
      <w:pPr>
        <w:pStyle w:val="1031"/>
        <w:pageBreakBefore w:val="0"/>
        <w:spacing w:line="312" w:lineRule="auto"/>
        <w:widowControl w:val="off"/>
        <w:rPr>
          <w:rStyle w:val="1277"/>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7"/>
        <w:jc w:val="center"/>
        <w:keepLines w:val="0"/>
        <w:keepNext w:val="0"/>
        <w:pageBreakBefore w:val="0"/>
        <w:spacing w:line="312" w:lineRule="auto"/>
        <w:widowControl w:val="off"/>
        <w:rPr>
          <w:rStyle w:val="1277"/>
          <w:rFonts w:hint="eastAsia" w:ascii="仿宋" w:hAnsi="仿宋" w:eastAsia="仿宋" w:cs="仿宋"/>
          <w:color w:val="auto"/>
          <w:sz w:val="24"/>
          <w:szCs w:val="24"/>
          <w:highlight w:val="none"/>
        </w:rPr>
        <w:outlineLvl w:val="9"/>
      </w:pPr>
      <w:r/>
      <w:bookmarkStart w:id="49" w:name="_Toc80122307"/>
      <w:r/>
      <w:r/>
    </w:p>
    <w:p>
      <w:pPr>
        <w:pStyle w:val="1247"/>
        <w:jc w:val="center"/>
        <w:keepLines w:val="0"/>
        <w:keepNext w:val="0"/>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br w:type="page" w:clear="all"/>
      </w:r>
      <w:bookmarkStart w:id="50" w:name="_Toc6068"/>
      <w:r/>
      <w:bookmarkStart w:id="51" w:name="_Toc13083"/>
      <w:r>
        <w:rPr>
          <w:rStyle w:val="1277"/>
          <w:rFonts w:hint="eastAsia" w:ascii="仿宋" w:hAnsi="仿宋" w:eastAsia="仿宋" w:cs="仿宋"/>
          <w:color w:val="auto"/>
          <w:sz w:val="24"/>
          <w:szCs w:val="24"/>
          <w:highlight w:val="none"/>
          <w:lang w:val="en-US" w:eastAsia="zh-CN"/>
        </w:rPr>
        <w:t xml:space="preserve">六</w:t>
      </w:r>
      <w:r>
        <w:rPr>
          <w:rStyle w:val="1277"/>
          <w:rFonts w:hint="eastAsia" w:ascii="仿宋" w:hAnsi="仿宋" w:eastAsia="仿宋" w:cs="仿宋"/>
          <w:color w:val="auto"/>
          <w:sz w:val="24"/>
          <w:szCs w:val="24"/>
          <w:highlight w:val="none"/>
        </w:rPr>
        <w:t xml:space="preserve">、中小企业声明函</w:t>
      </w:r>
      <w:bookmarkEnd w:id="49"/>
      <w:r/>
      <w:bookmarkEnd w:id="50"/>
      <w:r/>
      <w:bookmarkEnd w:id="51"/>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项目名称：</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项目编号：</w:t>
      </w:r>
      <w:r/>
    </w:p>
    <w:p>
      <w:pPr>
        <w:pStyle w:val="1031"/>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徐州市住房和城乡建设局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2026年新增市管绿地养护管理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w:t>
      </w:r>
      <w:r>
        <w:rPr>
          <w:rFonts w:hint="eastAsia" w:ascii="仿宋" w:hAnsi="仿宋" w:eastAsia="仿宋" w:cs="仿宋"/>
          <w:color w:val="auto"/>
          <w:sz w:val="24"/>
          <w:szCs w:val="24"/>
          <w:highlight w:val="none"/>
          <w:lang w:val="en-US" w:eastAsia="zh-CN"/>
        </w:rPr>
        <w:t xml:space="preserve">提供的</w:t>
      </w:r>
      <w:r>
        <w:rPr>
          <w:rFonts w:hint="eastAsia" w:ascii="仿宋" w:hAnsi="仿宋" w:eastAsia="仿宋" w:cs="仿宋"/>
          <w:color w:val="auto"/>
          <w:sz w:val="24"/>
          <w:szCs w:val="24"/>
          <w:highlight w:val="none"/>
        </w:rPr>
        <w:t xml:space="preserve">服务全部由符合政策要求的中小企业承接。相关企业的具体情况如下：</w:t>
      </w:r>
      <w:r/>
    </w:p>
    <w:p>
      <w:pPr>
        <w:pStyle w:val="1031"/>
        <w:ind w:firstLine="48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52" w:name="_Hlk105228467"/>
      <w:r>
        <w:rPr>
          <w:rFonts w:hint="eastAsia" w:ascii="仿宋" w:hAnsi="仿宋" w:eastAsia="仿宋" w:cs="仿宋"/>
          <w:color w:val="auto"/>
          <w:sz w:val="24"/>
          <w:szCs w:val="24"/>
          <w:highlight w:val="none"/>
          <w:u w:val="single"/>
        </w:rPr>
        <w:t xml:space="preserve">采购文件中明确的所属行业</w:t>
      </w:r>
      <w:bookmarkEnd w:id="52"/>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031"/>
        <w:ind w:firstLine="482"/>
        <w:pageBreakBefore w:val="0"/>
        <w:spacing w:line="312"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1031"/>
        <w:ind w:firstLine="48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注：本项目采购属于</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其他未列明行业</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w:t>
      </w:r>
      <w:r/>
    </w:p>
    <w:p>
      <w:pPr>
        <w:pStyle w:val="1031"/>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031"/>
        <w:ind w:firstLine="48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righ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firstLine="312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p>
    <w:p>
      <w:pPr>
        <w:pStyle w:val="1031"/>
        <w:ind w:firstLine="360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日期：  </w:t>
      </w:r>
      <w:r/>
    </w:p>
    <w:p>
      <w:pPr>
        <w:pStyle w:val="1044"/>
        <w:ind w:left="0" w:firstLine="0"/>
        <w:pageBreakBefore w:val="0"/>
        <w:spacing w:after="0" w:line="312" w:lineRule="auto"/>
        <w:rPr>
          <w:rFonts w:hint="eastAsia" w:ascii="仿宋" w:hAnsi="仿宋" w:eastAsia="仿宋" w:cs="仿宋"/>
          <w:b w:val="0"/>
          <w:bCs w:val="0"/>
          <w:color w:val="auto"/>
          <w:sz w:val="21"/>
          <w:szCs w:val="21"/>
          <w:highlight w:val="none"/>
        </w:rPr>
      </w:pPr>
      <w:r/>
      <w:bookmarkStart w:id="53" w:name="OLE_LINK7"/>
      <w:r>
        <w:rPr>
          <w:rFonts w:hint="eastAsia" w:ascii="仿宋" w:hAnsi="仿宋" w:eastAsia="仿宋" w:cs="仿宋"/>
          <w:b w:val="0"/>
          <w:bCs w:val="0"/>
          <w:color w:val="auto"/>
          <w:sz w:val="21"/>
          <w:szCs w:val="21"/>
          <w:highlight w:val="none"/>
          <w:lang w:val="en-US" w:eastAsia="zh-CN"/>
        </w:rPr>
        <w:t xml:space="preserve">说明</w:t>
      </w:r>
      <w:r>
        <w:rPr>
          <w:rFonts w:hint="eastAsia" w:ascii="仿宋" w:hAnsi="仿宋" w:eastAsia="仿宋" w:cs="仿宋"/>
          <w:b w:val="0"/>
          <w:bCs w:val="0"/>
          <w:color w:val="auto"/>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4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2、从业人员、营业收入、资产总额填报响应</w:t>
      </w:r>
      <w:r>
        <w:rPr>
          <w:rFonts w:hint="eastAsia" w:ascii="仿宋" w:hAnsi="仿宋" w:eastAsia="仿宋" w:cs="仿宋"/>
          <w:b w:val="0"/>
          <w:bCs w:val="0"/>
          <w:color w:val="auto"/>
          <w:sz w:val="21"/>
          <w:szCs w:val="21"/>
          <w:highlight w:val="none"/>
          <w:lang w:val="en-US" w:eastAsia="zh-CN"/>
        </w:rPr>
        <w:t xml:space="preserve">供应商</w:t>
      </w:r>
      <w:r>
        <w:rPr>
          <w:rFonts w:hint="eastAsia" w:ascii="仿宋" w:hAnsi="仿宋" w:eastAsia="仿宋" w:cs="仿宋"/>
          <w:b w:val="0"/>
          <w:bCs w:val="0"/>
          <w:color w:val="auto"/>
          <w:sz w:val="21"/>
          <w:szCs w:val="21"/>
          <w:highlight w:val="none"/>
        </w:rPr>
        <w:t xml:space="preserve">上一年度数据，无上一年度数据的新成立企业可不填报。</w:t>
      </w:r>
      <w:r/>
    </w:p>
    <w:p>
      <w:pPr>
        <w:pStyle w:val="104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3、</w:t>
      </w:r>
      <w:r>
        <w:rPr>
          <w:rFonts w:hint="eastAsia" w:ascii="仿宋" w:hAnsi="仿宋" w:eastAsia="仿宋" w:cs="仿宋"/>
          <w:b w:val="0"/>
          <w:bCs w:val="0"/>
          <w:color w:val="auto"/>
          <w:sz w:val="21"/>
          <w:szCs w:val="21"/>
          <w:highlight w:val="none"/>
          <w:lang w:eastAsia="zh-CN"/>
        </w:rPr>
        <w:t xml:space="preserve">中标人</w:t>
      </w:r>
      <w:r>
        <w:rPr>
          <w:rFonts w:hint="eastAsia" w:ascii="仿宋" w:hAnsi="仿宋" w:eastAsia="仿宋" w:cs="仿宋"/>
          <w:b w:val="0"/>
          <w:bCs w:val="0"/>
          <w:color w:val="auto"/>
          <w:sz w:val="21"/>
          <w:szCs w:val="21"/>
          <w:highlight w:val="none"/>
        </w:rPr>
        <w:t xml:space="preserve">为</w:t>
      </w:r>
      <w:r>
        <w:rPr>
          <w:rFonts w:hint="eastAsia" w:ascii="仿宋" w:hAnsi="仿宋" w:eastAsia="仿宋" w:cs="仿宋"/>
          <w:b w:val="0"/>
          <w:bCs w:val="0"/>
          <w:color w:val="auto"/>
          <w:sz w:val="21"/>
          <w:szCs w:val="21"/>
          <w:highlight w:val="none"/>
          <w:lang w:val="en-US" w:eastAsia="zh-CN"/>
        </w:rPr>
        <w:t xml:space="preserve">中型、</w:t>
      </w:r>
      <w:r>
        <w:rPr>
          <w:rFonts w:hint="eastAsia" w:ascii="仿宋" w:hAnsi="仿宋" w:eastAsia="仿宋" w:cs="仿宋"/>
          <w:b w:val="0"/>
          <w:bCs w:val="0"/>
          <w:color w:val="auto"/>
          <w:sz w:val="21"/>
          <w:szCs w:val="21"/>
          <w:highlight w:val="none"/>
        </w:rPr>
        <w:t xml:space="preserve">小型、微型企业的，采购人或者其委托的采购代理机构有权随中标、成交结果同时公告其《中小企业声明函》，接受社会监督。</w:t>
      </w:r>
      <w:r/>
    </w:p>
    <w:p>
      <w:pPr>
        <w:pStyle w:val="104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4、执行江苏省财政厅关于进一步加大政府采购支持中小企业力度的通知（苏财购〔2022〕45号）的规定。</w:t>
      </w:r>
      <w:r/>
    </w:p>
    <w:p>
      <w:pPr>
        <w:pStyle w:val="1044"/>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5、响应</w:t>
      </w:r>
      <w:r>
        <w:rPr>
          <w:rFonts w:hint="eastAsia" w:ascii="仿宋" w:hAnsi="仿宋" w:eastAsia="仿宋" w:cs="仿宋"/>
          <w:b w:val="0"/>
          <w:bCs w:val="0"/>
          <w:color w:val="auto"/>
          <w:sz w:val="21"/>
          <w:szCs w:val="21"/>
          <w:highlight w:val="none"/>
          <w:lang w:val="en-US" w:eastAsia="zh-CN"/>
        </w:rPr>
        <w:t xml:space="preserve">供应商</w:t>
      </w:r>
      <w:r>
        <w:rPr>
          <w:rFonts w:hint="eastAsia" w:ascii="仿宋" w:hAnsi="仿宋" w:eastAsia="仿宋" w:cs="仿宋"/>
          <w:b w:val="0"/>
          <w:bCs w:val="0"/>
          <w:color w:val="auto"/>
          <w:sz w:val="21"/>
          <w:szCs w:val="21"/>
          <w:highlight w:val="none"/>
        </w:rPr>
        <w:t xml:space="preserve">提供的《中小企业声明函》与事实不符的，依照《中华人民共和国政府采购法》第七十七条第一款的规定追究法律责任。</w:t>
      </w:r>
      <w:r/>
    </w:p>
    <w:p>
      <w:pPr>
        <w:pStyle w:val="1267"/>
        <w:ind w:firstLine="480"/>
        <w:keepLines w:val="0"/>
        <w:keepNext w:val="0"/>
        <w:pageBreakBefore w:val="0"/>
        <w:spacing w:beforeAutospacing="0" w:afterAutospacing="0" w:line="312"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6、《中小企业声明函》查询渠道用微信搜索“中小企业规模类型自测小程序”。</w:t>
      </w:r>
      <w:r/>
    </w:p>
    <w:p>
      <w:pPr>
        <w:pStyle w:val="1267"/>
        <w:keepLines w:val="0"/>
        <w:keepNext w:val="0"/>
        <w:pageBreakBefore w:val="0"/>
        <w:spacing w:beforeAutospacing="0" w:afterAutospacing="0" w:line="312"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267"/>
        <w:jc w:val="center"/>
        <w:keepLines w:val="0"/>
        <w:keepNext w:val="0"/>
        <w:pageBreakBefore w:val="0"/>
        <w:spacing w:beforeAutospacing="0" w:afterAutospacing="0" w:line="312" w:lineRule="auto"/>
        <w:rPr>
          <w:rFonts w:hint="eastAsia" w:ascii="仿宋" w:hAnsi="仿宋" w:eastAsia="仿宋" w:cs="仿宋"/>
          <w:color w:val="auto"/>
          <w:sz w:val="30"/>
          <w:szCs w:val="30"/>
          <w:highlight w:val="none"/>
        </w:rPr>
        <w:sectPr>
          <w:headerReference w:type="default" r:id="rId10"/>
          <w:footerReference w:type="even"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23440" cy="4614545"/>
                <wp:effectExtent l="0" t="0" r="635" b="5080"/>
                <wp:docPr id="16" name="图片 16"/>
                <wp:cNvGraphicFramePr/>
                <a:graphic xmlns:a="http://schemas.openxmlformats.org/drawingml/2006/main">
                  <a:graphicData uri="http://schemas.openxmlformats.org/drawingml/2006/picture">
                    <pic:pic xmlns:pic="http://schemas.openxmlformats.org/drawingml/2006/picture">
                      <pic:nvPicPr>
                        <pic:cNvPr id="21" name="图片 16"/>
                        <pic:cNvPicPr/>
                        <pic:nvPr/>
                      </pic:nvPicPr>
                      <pic:blipFill>
                        <a:blip r:embed="rId25"/>
                        <a:srcRect l="0" t="4825" r="0" b="0"/>
                        <a:stretch/>
                      </pic:blipFill>
                      <pic:spPr bwMode="auto">
                        <a:xfrm>
                          <a:off x="0" y="0"/>
                          <a:ext cx="2123440" cy="4614544"/>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7.2pt;height:363.3pt;mso-wrap-distance-left:0.0pt;mso-wrap-distance-top:0.0pt;mso-wrap-distance-right:0.0pt;mso-wrap-distance-bottom:0.0pt;" stroked="f">
                <v:path textboxrect="0,0,0,0"/>
                <v:imagedata r:id="rId25" o:title=""/>
              </v:shape>
            </w:pict>
          </mc:Fallback>
        </mc:AlternateContent>
      </w:r>
      <w:bookmarkEnd w:id="53"/>
      <w:r/>
      <w:r/>
    </w:p>
    <w:p>
      <w:pPr>
        <w:pStyle w:val="1031"/>
        <w:jc w:val="center"/>
        <w:pageBreakBefore w:val="0"/>
        <w:spacing w:line="312" w:lineRule="auto"/>
        <w:widowControl w:val="off"/>
        <w:rPr>
          <w:rStyle w:val="1277"/>
          <w:rFonts w:hint="eastAsia" w:ascii="仿宋" w:hAnsi="仿宋" w:eastAsia="仿宋" w:cs="仿宋"/>
          <w:b/>
          <w:bCs/>
          <w:color w:val="auto"/>
          <w:sz w:val="24"/>
          <w:szCs w:val="24"/>
          <w:highlight w:val="none"/>
        </w:rPr>
        <w:outlineLvl w:val="1"/>
      </w:pPr>
      <w:r/>
      <w:bookmarkStart w:id="54" w:name="_Toc80122308"/>
      <w:r/>
      <w:bookmarkStart w:id="55" w:name="_Toc15197"/>
      <w:r/>
      <w:bookmarkStart w:id="56" w:name="_Toc13066"/>
      <w:r>
        <w:rPr>
          <w:rStyle w:val="1277"/>
          <w:rFonts w:hint="eastAsia" w:ascii="仿宋" w:hAnsi="仿宋" w:eastAsia="仿宋" w:cs="仿宋"/>
          <w:b/>
          <w:bCs/>
          <w:color w:val="auto"/>
          <w:sz w:val="24"/>
          <w:szCs w:val="24"/>
          <w:highlight w:val="none"/>
          <w:lang w:val="en-US" w:eastAsia="zh-CN"/>
        </w:rPr>
        <w:t xml:space="preserve">七</w:t>
      </w:r>
      <w:r>
        <w:rPr>
          <w:rStyle w:val="1277"/>
          <w:rFonts w:hint="eastAsia" w:ascii="仿宋" w:hAnsi="仿宋" w:eastAsia="仿宋" w:cs="仿宋"/>
          <w:b/>
          <w:bCs/>
          <w:color w:val="auto"/>
          <w:sz w:val="24"/>
          <w:szCs w:val="24"/>
          <w:highlight w:val="none"/>
        </w:rPr>
        <w:t xml:space="preserve">、残疾人福利性单位声明函</w:t>
      </w:r>
      <w:bookmarkEnd w:id="54"/>
      <w:r/>
      <w:bookmarkEnd w:id="55"/>
      <w:r>
        <w:rPr>
          <w:rStyle w:val="1277"/>
          <w:rFonts w:hint="eastAsia" w:ascii="仿宋" w:hAnsi="仿宋" w:eastAsia="仿宋" w:cs="仿宋"/>
          <w:b/>
          <w:bCs/>
          <w:color w:val="auto"/>
          <w:sz w:val="24"/>
          <w:szCs w:val="24"/>
          <w:highlight w:val="none"/>
          <w:lang w:eastAsia="zh-CN"/>
        </w:rPr>
        <w:t xml:space="preserve">（</w:t>
      </w:r>
      <w:r>
        <w:rPr>
          <w:rStyle w:val="1277"/>
          <w:rFonts w:hint="eastAsia" w:ascii="仿宋" w:hAnsi="仿宋" w:eastAsia="仿宋" w:cs="仿宋"/>
          <w:b/>
          <w:bCs/>
          <w:color w:val="auto"/>
          <w:sz w:val="24"/>
          <w:szCs w:val="24"/>
          <w:highlight w:val="none"/>
          <w:lang w:val="en-US" w:eastAsia="zh-CN"/>
        </w:rPr>
        <w:t xml:space="preserve">非</w:t>
      </w:r>
      <w:r>
        <w:rPr>
          <w:rStyle w:val="1277"/>
          <w:rFonts w:hint="eastAsia" w:ascii="仿宋" w:hAnsi="仿宋" w:eastAsia="仿宋" w:cs="仿宋"/>
          <w:b/>
          <w:bCs/>
          <w:color w:val="auto"/>
          <w:sz w:val="24"/>
          <w:szCs w:val="24"/>
          <w:highlight w:val="none"/>
        </w:rPr>
        <w:t xml:space="preserve">残疾人福利性单位</w:t>
      </w:r>
      <w:r>
        <w:rPr>
          <w:rStyle w:val="1277"/>
          <w:rFonts w:hint="eastAsia" w:ascii="仿宋" w:hAnsi="仿宋" w:eastAsia="仿宋" w:cs="仿宋"/>
          <w:b/>
          <w:bCs/>
          <w:color w:val="auto"/>
          <w:sz w:val="24"/>
          <w:szCs w:val="24"/>
          <w:highlight w:val="none"/>
          <w:lang w:val="en-US" w:eastAsia="zh-CN"/>
        </w:rPr>
        <w:t xml:space="preserve">可以不提供）</w:t>
      </w:r>
      <w:bookmarkEnd w:id="56"/>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项目名称：</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项目编号：</w:t>
      </w:r>
      <w:r/>
    </w:p>
    <w:p>
      <w:pPr>
        <w:pStyle w:val="1031"/>
        <w:ind w:firstLine="504"/>
        <w:jc w:val="left"/>
        <w:pageBreakBefore w:val="0"/>
        <w:spacing w:line="312" w:lineRule="auto"/>
        <w:widowControl w:val="off"/>
        <w:rPr>
          <w:rStyle w:val="1277"/>
          <w:rFonts w:hint="eastAsia" w:ascii="仿宋" w:hAnsi="仿宋" w:eastAsia="仿宋" w:cs="仿宋"/>
          <w:color w:val="auto"/>
          <w:spacing w:val="6"/>
          <w:sz w:val="24"/>
          <w:szCs w:val="24"/>
          <w:highlight w:val="none"/>
        </w:rPr>
      </w:pPr>
      <w:r>
        <w:rPr>
          <w:rStyle w:val="1277"/>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Style w:val="1277"/>
          <w:rFonts w:hint="eastAsia" w:ascii="仿宋" w:hAnsi="仿宋" w:eastAsia="仿宋" w:cs="仿宋"/>
          <w:color w:val="auto"/>
          <w:sz w:val="24"/>
          <w:szCs w:val="24"/>
          <w:highlight w:val="none"/>
        </w:rPr>
        <w:t xml:space="preserve">〔2017〕141</w:t>
      </w:r>
      <w:r>
        <w:rPr>
          <w:rStyle w:val="1277"/>
          <w:rFonts w:hint="eastAsia" w:ascii="仿宋" w:hAnsi="仿宋" w:eastAsia="仿宋" w:cs="仿宋"/>
          <w:color w:val="auto"/>
          <w:spacing w:val="6"/>
          <w:sz w:val="24"/>
          <w:szCs w:val="24"/>
          <w:highlight w:val="none"/>
        </w:rPr>
        <w:t xml:space="preserve">号）的规定，本单位为符合条件的残疾人福利性单位，且本单位参加</w:t>
      </w:r>
      <w:r>
        <w:rPr>
          <w:rStyle w:val="1277"/>
          <w:rFonts w:hint="eastAsia" w:ascii="仿宋" w:hAnsi="仿宋" w:eastAsia="仿宋" w:cs="仿宋"/>
          <w:color w:val="auto"/>
          <w:sz w:val="24"/>
          <w:szCs w:val="24"/>
          <w:highlight w:val="none"/>
        </w:rPr>
        <w:t xml:space="preserve">______</w:t>
      </w:r>
      <w:r>
        <w:rPr>
          <w:rStyle w:val="1277"/>
          <w:rFonts w:hint="eastAsia" w:ascii="仿宋" w:hAnsi="仿宋" w:eastAsia="仿宋" w:cs="仿宋"/>
          <w:color w:val="auto"/>
          <w:spacing w:val="6"/>
          <w:sz w:val="24"/>
          <w:szCs w:val="24"/>
          <w:highlight w:val="none"/>
        </w:rPr>
        <w:t xml:space="preserve">单位的</w:t>
      </w:r>
      <w:r>
        <w:rPr>
          <w:rStyle w:val="1277"/>
          <w:rFonts w:hint="eastAsia" w:ascii="仿宋" w:hAnsi="仿宋" w:eastAsia="仿宋" w:cs="仿宋"/>
          <w:color w:val="auto"/>
          <w:sz w:val="24"/>
          <w:szCs w:val="24"/>
          <w:highlight w:val="none"/>
        </w:rPr>
        <w:t xml:space="preserve">______</w:t>
      </w:r>
      <w:r>
        <w:rPr>
          <w:rStyle w:val="1277"/>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31"/>
        <w:ind w:firstLine="504"/>
        <w:jc w:val="left"/>
        <w:pageBreakBefore w:val="0"/>
        <w:spacing w:line="312" w:lineRule="auto"/>
        <w:widowControl w:val="off"/>
        <w:rPr>
          <w:rStyle w:val="1277"/>
          <w:rFonts w:hint="eastAsia" w:ascii="仿宋" w:hAnsi="仿宋" w:eastAsia="仿宋" w:cs="仿宋"/>
          <w:color w:val="auto"/>
          <w:spacing w:val="6"/>
          <w:sz w:val="24"/>
          <w:szCs w:val="24"/>
          <w:highlight w:val="none"/>
        </w:rPr>
      </w:pPr>
      <w:r>
        <w:rPr>
          <w:rStyle w:val="1277"/>
          <w:rFonts w:hint="eastAsia" w:ascii="仿宋" w:hAnsi="仿宋" w:eastAsia="仿宋" w:cs="仿宋"/>
          <w:color w:val="auto"/>
          <w:spacing w:val="6"/>
          <w:sz w:val="24"/>
          <w:szCs w:val="24"/>
          <w:highlight w:val="none"/>
        </w:rPr>
        <w:t xml:space="preserve">本单位对上述声明的真实性负责。如有虚假，将依法承担相应责任。</w:t>
      </w:r>
      <w:r/>
    </w:p>
    <w:p>
      <w:pPr>
        <w:pStyle w:val="1031"/>
        <w:ind w:firstLine="504"/>
        <w:jc w:val="left"/>
        <w:pageBreakBefore w:val="0"/>
        <w:spacing w:line="312" w:lineRule="auto"/>
        <w:widowControl w:val="off"/>
        <w:rPr>
          <w:rStyle w:val="1277"/>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31"/>
        <w:ind w:firstLine="504"/>
        <w:jc w:val="left"/>
        <w:pageBreakBefore w:val="0"/>
        <w:spacing w:line="312" w:lineRule="auto"/>
        <w:widowControl w:val="off"/>
        <w:rPr>
          <w:rStyle w:val="1277"/>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日期：  </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247"/>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bookmarkStart w:id="57" w:name="_Toc5658"/>
      <w:r/>
      <w:bookmarkStart w:id="58" w:name="_Toc80122309"/>
      <w:r/>
      <w:bookmarkStart w:id="59" w:name="_Toc8214"/>
      <w:r>
        <w:rPr>
          <w:rStyle w:val="1277"/>
          <w:rFonts w:hint="eastAsia" w:ascii="仿宋" w:hAnsi="仿宋" w:eastAsia="仿宋" w:cs="仿宋"/>
          <w:color w:val="auto"/>
          <w:sz w:val="24"/>
          <w:szCs w:val="24"/>
          <w:highlight w:val="none"/>
          <w:lang w:val="en-US" w:eastAsia="zh-CN"/>
        </w:rPr>
        <w:t xml:space="preserve">八</w:t>
      </w:r>
      <w:r>
        <w:rPr>
          <w:rStyle w:val="1277"/>
          <w:rFonts w:hint="eastAsia" w:ascii="仿宋" w:hAnsi="仿宋" w:eastAsia="仿宋" w:cs="仿宋"/>
          <w:color w:val="auto"/>
          <w:sz w:val="24"/>
          <w:szCs w:val="24"/>
          <w:highlight w:val="none"/>
        </w:rPr>
        <w:t xml:space="preserve">、</w:t>
      </w:r>
      <w:bookmarkEnd w:id="57"/>
      <w:r/>
      <w:bookmarkEnd w:id="58"/>
      <w:r>
        <w:rPr>
          <w:rStyle w:val="1277"/>
          <w:rFonts w:hint="eastAsia" w:ascii="仿宋" w:hAnsi="仿宋" w:eastAsia="仿宋" w:cs="仿宋"/>
          <w:color w:val="auto"/>
          <w:sz w:val="24"/>
          <w:szCs w:val="24"/>
          <w:highlight w:val="none"/>
        </w:rPr>
        <w:t xml:space="preserve">供应商参加政府采购活动前3年内在经营活动中没有重大违法记录的书面声明</w:t>
      </w:r>
      <w:bookmarkEnd w:id="59"/>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我单位在参加</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u w:val="single"/>
          <w:lang w:eastAsia="zh-CN"/>
        </w:rPr>
        <w:t xml:space="preserve">2026年新增市管绿地养护管理</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[项目编号：</w:t>
      </w:r>
      <w:r>
        <w:rPr>
          <w:rStyle w:val="1277"/>
          <w:rFonts w:hint="eastAsia" w:ascii="仿宋" w:hAnsi="仿宋" w:eastAsia="仿宋" w:cs="仿宋"/>
          <w:color w:val="auto"/>
          <w:sz w:val="24"/>
          <w:szCs w:val="24"/>
          <w:highlight w:val="none"/>
          <w:lang w:eastAsia="zh-CN"/>
        </w:rPr>
        <w:t xml:space="preserve">JSZC-320300-JSKJ-C2026-0009</w:t>
      </w:r>
      <w:r>
        <w:rPr>
          <w:rStyle w:val="1277"/>
          <w:rFonts w:hint="eastAsia" w:ascii="仿宋" w:hAnsi="仿宋" w:eastAsia="仿宋" w:cs="仿宋"/>
          <w:color w:val="auto"/>
          <w:sz w:val="24"/>
          <w:szCs w:val="24"/>
          <w:highlight w:val="none"/>
        </w:rPr>
        <w:t xml:space="preserve">]政府采购活动前</w:t>
      </w:r>
      <w:r>
        <w:rPr>
          <w:rStyle w:val="1277"/>
          <w:rFonts w:hint="eastAsia" w:ascii="仿宋" w:hAnsi="仿宋" w:eastAsia="仿宋" w:cs="仿宋"/>
          <w:color w:val="auto"/>
          <w:sz w:val="24"/>
          <w:szCs w:val="24"/>
          <w:highlight w:val="none"/>
          <w:lang w:val="en-US" w:eastAsia="zh-CN"/>
        </w:rPr>
        <w:t xml:space="preserve">3</w:t>
      </w:r>
      <w:r>
        <w:rPr>
          <w:rStyle w:val="1277"/>
          <w:rFonts w:hint="eastAsia" w:ascii="仿宋" w:hAnsi="仿宋" w:eastAsia="仿宋" w:cs="仿宋"/>
          <w:color w:val="auto"/>
          <w:sz w:val="24"/>
          <w:szCs w:val="24"/>
          <w:highlight w:val="none"/>
        </w:rPr>
        <w:t xml:space="preserve">年内在经营活动中没有重大违法记录。重大违法记录是指因违法经营受到刑事处罚或者责令停产停业、吊销许可证或者执照、较大数额罚款等行政处罚。</w:t>
      </w:r>
      <w:r/>
    </w:p>
    <w:p>
      <w:pPr>
        <w:pStyle w:val="1031"/>
        <w:ind w:firstLine="72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我单位对上述声明的真实性负责。如有虚假，将依法承担相应责任。</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rPr>
          <w:rStyle w:val="1277"/>
          <w:rFonts w:hint="eastAsia" w:ascii="仿宋" w:hAnsi="仿宋" w:eastAsia="仿宋" w:cs="仿宋"/>
          <w:color w:val="auto"/>
          <w:sz w:val="24"/>
          <w:szCs w:val="24"/>
          <w:highlight w:val="none"/>
        </w:rPr>
        <w:t xml:space="preserve">：</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w:t>
      </w:r>
      <w:r/>
    </w:p>
    <w:p>
      <w:pPr>
        <w:pStyle w:val="1031"/>
        <w:jc w:val="left"/>
        <w:pageBreakBefore w:val="0"/>
        <w:spacing w:line="312" w:lineRule="auto"/>
        <w:widowControl w:val="off"/>
        <w:rPr>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日期： </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7"/>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br w:type="page" w:clear="all"/>
      </w:r>
      <w:bookmarkStart w:id="60" w:name="_Toc7334"/>
      <w:r/>
      <w:bookmarkStart w:id="61" w:name="_Toc32663"/>
      <w:r/>
      <w:bookmarkStart w:id="62" w:name="_Toc80122310"/>
      <w:r>
        <w:rPr>
          <w:rStyle w:val="1277"/>
          <w:rFonts w:hint="eastAsia" w:ascii="仿宋" w:hAnsi="仿宋" w:eastAsia="仿宋" w:cs="仿宋"/>
          <w:color w:val="auto"/>
          <w:sz w:val="24"/>
          <w:szCs w:val="24"/>
          <w:highlight w:val="none"/>
          <w:lang w:val="en-US" w:eastAsia="zh-CN"/>
        </w:rPr>
        <w:t xml:space="preserve">九</w:t>
      </w:r>
      <w:r>
        <w:rPr>
          <w:rStyle w:val="1277"/>
          <w:rFonts w:hint="eastAsia" w:ascii="仿宋" w:hAnsi="仿宋" w:eastAsia="仿宋" w:cs="仿宋"/>
          <w:color w:val="auto"/>
          <w:sz w:val="24"/>
          <w:szCs w:val="24"/>
          <w:highlight w:val="none"/>
        </w:rPr>
        <w:t xml:space="preserve">、具备履行合同所必需的设备和专业技术能力的书面声明</w:t>
      </w:r>
      <w:bookmarkEnd w:id="60"/>
      <w:r/>
      <w:bookmarkEnd w:id="61"/>
      <w:r/>
      <w:r/>
    </w:p>
    <w:p>
      <w:pPr>
        <w:pStyle w:val="1247"/>
        <w:jc w:val="center"/>
        <w:keepLines w:val="0"/>
        <w:keepNext w:val="0"/>
        <w:pageBreakBefore w:val="0"/>
        <w:spacing w:before="0" w:after="0" w:line="312" w:lineRule="auto"/>
        <w:widowControl w:val="off"/>
        <w:rPr>
          <w:rStyle w:val="1277"/>
          <w:rFonts w:hint="eastAsia" w:ascii="仿宋" w:hAnsi="仿宋" w:eastAsia="仿宋" w:cs="仿宋"/>
          <w:color w:val="auto"/>
          <w:sz w:val="24"/>
          <w:szCs w:val="24"/>
          <w:highlight w:val="none"/>
        </w:rPr>
        <w:outlineLvl w:val="9"/>
      </w:pPr>
      <w:r/>
      <w:bookmarkStart w:id="63" w:name="_Toc19685"/>
      <w:r/>
      <w:bookmarkStart w:id="64" w:name="_Toc28074"/>
      <w:r>
        <w:rPr>
          <w:rStyle w:val="1277"/>
          <w:rFonts w:hint="eastAsia" w:ascii="仿宋" w:hAnsi="仿宋" w:eastAsia="仿宋" w:cs="仿宋"/>
          <w:color w:val="auto"/>
          <w:sz w:val="24"/>
          <w:szCs w:val="24"/>
          <w:highlight w:val="none"/>
        </w:rPr>
        <w:t xml:space="preserve">（附证明材料扫描件）</w:t>
      </w:r>
      <w:bookmarkEnd w:id="62"/>
      <w:r/>
      <w:bookmarkEnd w:id="63"/>
      <w:r/>
      <w:bookmarkEnd w:id="64"/>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项目名称：</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项目编号：</w:t>
      </w:r>
      <w:r/>
    </w:p>
    <w:p>
      <w:pPr>
        <w:pStyle w:val="1031"/>
        <w:ind w:firstLine="480"/>
        <w:jc w:val="left"/>
        <w:pageBreakBefore w:val="0"/>
        <w:spacing w:line="312" w:lineRule="auto"/>
        <w:widowControl w:val="off"/>
        <w:rPr>
          <w:rStyle w:val="1277"/>
          <w:rFonts w:hint="eastAsia" w:ascii="仿宋" w:hAnsi="仿宋" w:eastAsia="仿宋" w:cs="仿宋"/>
          <w:color w:val="auto"/>
          <w:sz w:val="24"/>
          <w:szCs w:val="24"/>
          <w:highlight w:val="none"/>
          <w:lang w:val="en-US" w:eastAsia="zh-CN"/>
        </w:rPr>
      </w:pPr>
      <w:r>
        <w:rPr>
          <w:rStyle w:val="1277"/>
          <w:rFonts w:hint="eastAsia" w:ascii="仿宋" w:hAnsi="仿宋" w:eastAsia="仿宋" w:cs="仿宋"/>
          <w:color w:val="auto"/>
          <w:sz w:val="24"/>
          <w:szCs w:val="24"/>
          <w:highlight w:val="none"/>
        </w:rPr>
        <w:t xml:space="preserve">供应商郑重声明：供应商具备履行合同（项目名称</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u w:val="single"/>
          <w:lang w:val="en-US" w:eastAsia="zh-CN"/>
        </w:rPr>
        <w:t xml:space="preserve">   </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，项目编号：</w:t>
      </w:r>
      <w:r>
        <w:rPr>
          <w:rStyle w:val="1277"/>
          <w:rFonts w:hint="eastAsia" w:ascii="仿宋" w:hAnsi="仿宋" w:eastAsia="仿宋" w:cs="仿宋"/>
          <w:color w:val="auto"/>
          <w:sz w:val="24"/>
          <w:szCs w:val="24"/>
          <w:highlight w:val="none"/>
          <w:u w:val="single"/>
          <w:lang w:val="en-US" w:eastAsia="zh-CN"/>
        </w:rPr>
        <w:t xml:space="preserve">       </w:t>
      </w:r>
      <w:r>
        <w:rPr>
          <w:rStyle w:val="1277"/>
          <w:rFonts w:hint="eastAsia" w:ascii="仿宋" w:hAnsi="仿宋" w:eastAsia="仿宋" w:cs="仿宋"/>
          <w:color w:val="auto"/>
          <w:sz w:val="24"/>
          <w:szCs w:val="24"/>
          <w:highlight w:val="none"/>
        </w:rPr>
        <w:t xml:space="preserve">所必需的设备和专业技术能力，具体为：</w:t>
      </w:r>
      <w:r>
        <w:rPr>
          <w:rStyle w:val="1277"/>
          <w:rFonts w:hint="eastAsia" w:ascii="仿宋" w:hAnsi="仿宋" w:eastAsia="仿宋" w:cs="仿宋"/>
          <w:color w:val="auto"/>
          <w:sz w:val="24"/>
          <w:szCs w:val="24"/>
          <w:highlight w:val="none"/>
          <w:lang w:val="en-US" w:eastAsia="zh-CN"/>
        </w:rPr>
        <w:t xml:space="preserve"> </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设备：</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1、 </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（证明材料</w:t>
      </w:r>
      <w:r>
        <w:rPr>
          <w:rStyle w:val="1277"/>
          <w:rFonts w:hint="eastAsia" w:ascii="仿宋" w:hAnsi="仿宋" w:eastAsia="仿宋" w:cs="仿宋"/>
          <w:color w:val="auto"/>
          <w:sz w:val="24"/>
          <w:szCs w:val="24"/>
          <w:highlight w:val="none"/>
          <w:lang w:val="en-US" w:eastAsia="zh-CN"/>
        </w:rPr>
        <w:t xml:space="preserve">扫描</w:t>
      </w:r>
      <w:r>
        <w:rPr>
          <w:rStyle w:val="1277"/>
          <w:rFonts w:hint="eastAsia" w:ascii="仿宋" w:hAnsi="仿宋" w:eastAsia="仿宋" w:cs="仿宋"/>
          <w:color w:val="auto"/>
          <w:sz w:val="24"/>
          <w:szCs w:val="24"/>
          <w:highlight w:val="none"/>
        </w:rPr>
        <w:t xml:space="preserve">件附后）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2、  </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 （证明材料</w:t>
      </w:r>
      <w:r>
        <w:rPr>
          <w:rStyle w:val="1277"/>
          <w:rFonts w:hint="eastAsia" w:ascii="仿宋" w:hAnsi="仿宋" w:eastAsia="仿宋" w:cs="仿宋"/>
          <w:color w:val="auto"/>
          <w:sz w:val="24"/>
          <w:szCs w:val="24"/>
          <w:highlight w:val="none"/>
          <w:lang w:val="en-US" w:eastAsia="zh-CN"/>
        </w:rPr>
        <w:t xml:space="preserve">扫描</w:t>
      </w:r>
      <w:r>
        <w:rPr>
          <w:rStyle w:val="1277"/>
          <w:rFonts w:hint="eastAsia" w:ascii="仿宋" w:hAnsi="仿宋" w:eastAsia="仿宋" w:cs="仿宋"/>
          <w:color w:val="auto"/>
          <w:sz w:val="24"/>
          <w:szCs w:val="24"/>
          <w:highlight w:val="none"/>
        </w:rPr>
        <w:t xml:space="preserve">件附后）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3、</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（证明材料</w:t>
      </w:r>
      <w:r>
        <w:rPr>
          <w:rStyle w:val="1277"/>
          <w:rFonts w:hint="eastAsia" w:ascii="仿宋" w:hAnsi="仿宋" w:eastAsia="仿宋" w:cs="仿宋"/>
          <w:color w:val="auto"/>
          <w:sz w:val="24"/>
          <w:szCs w:val="24"/>
          <w:highlight w:val="none"/>
          <w:lang w:val="en-US" w:eastAsia="zh-CN"/>
        </w:rPr>
        <w:t xml:space="preserve">扫描</w:t>
      </w:r>
      <w:r>
        <w:rPr>
          <w:rStyle w:val="1277"/>
          <w:rFonts w:hint="eastAsia" w:ascii="仿宋" w:hAnsi="仿宋" w:eastAsia="仿宋" w:cs="仿宋"/>
          <w:color w:val="auto"/>
          <w:sz w:val="24"/>
          <w:szCs w:val="24"/>
          <w:highlight w:val="none"/>
        </w:rPr>
        <w:t xml:space="preserve">件附后）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专业技术能力：</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1、</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（证明材料</w:t>
      </w:r>
      <w:r>
        <w:rPr>
          <w:rStyle w:val="1277"/>
          <w:rFonts w:hint="eastAsia" w:ascii="仿宋" w:hAnsi="仿宋" w:eastAsia="仿宋" w:cs="仿宋"/>
          <w:color w:val="auto"/>
          <w:sz w:val="24"/>
          <w:szCs w:val="24"/>
          <w:highlight w:val="none"/>
          <w:lang w:val="en-US" w:eastAsia="zh-CN"/>
        </w:rPr>
        <w:t xml:space="preserve">扫描</w:t>
      </w:r>
      <w:r>
        <w:rPr>
          <w:rStyle w:val="1277"/>
          <w:rFonts w:hint="eastAsia" w:ascii="仿宋" w:hAnsi="仿宋" w:eastAsia="仿宋" w:cs="仿宋"/>
          <w:color w:val="auto"/>
          <w:sz w:val="24"/>
          <w:szCs w:val="24"/>
          <w:highlight w:val="none"/>
        </w:rPr>
        <w:t xml:space="preserve">件附后）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2、</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 （证明材料</w:t>
      </w:r>
      <w:r>
        <w:rPr>
          <w:rStyle w:val="1277"/>
          <w:rFonts w:hint="eastAsia" w:ascii="仿宋" w:hAnsi="仿宋" w:eastAsia="仿宋" w:cs="仿宋"/>
          <w:color w:val="auto"/>
          <w:sz w:val="24"/>
          <w:szCs w:val="24"/>
          <w:highlight w:val="none"/>
          <w:lang w:val="en-US" w:eastAsia="zh-CN"/>
        </w:rPr>
        <w:t xml:space="preserve">扫描</w:t>
      </w:r>
      <w:r>
        <w:rPr>
          <w:rStyle w:val="1277"/>
          <w:rFonts w:hint="eastAsia" w:ascii="仿宋" w:hAnsi="仿宋" w:eastAsia="仿宋" w:cs="仿宋"/>
          <w:color w:val="auto"/>
          <w:sz w:val="24"/>
          <w:szCs w:val="24"/>
          <w:highlight w:val="none"/>
        </w:rPr>
        <w:t xml:space="preserve">件附后）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3、</w:t>
      </w:r>
      <w:r>
        <w:rPr>
          <w:rStyle w:val="1277"/>
          <w:rFonts w:hint="eastAsia" w:ascii="仿宋" w:hAnsi="仿宋" w:eastAsia="仿宋" w:cs="仿宋"/>
          <w:color w:val="auto"/>
          <w:sz w:val="24"/>
          <w:szCs w:val="24"/>
          <w:highlight w:val="none"/>
          <w:u w:val="single"/>
        </w:rPr>
        <w:t xml:space="preserve">                          </w:t>
      </w:r>
      <w:r>
        <w:rPr>
          <w:rStyle w:val="1277"/>
          <w:rFonts w:hint="eastAsia" w:ascii="仿宋" w:hAnsi="仿宋" w:eastAsia="仿宋" w:cs="仿宋"/>
          <w:color w:val="auto"/>
          <w:sz w:val="24"/>
          <w:szCs w:val="24"/>
          <w:highlight w:val="none"/>
        </w:rPr>
        <w:t xml:space="preserve"> （证明材料</w:t>
      </w:r>
      <w:r>
        <w:rPr>
          <w:rStyle w:val="1277"/>
          <w:rFonts w:hint="eastAsia" w:ascii="仿宋" w:hAnsi="仿宋" w:eastAsia="仿宋" w:cs="仿宋"/>
          <w:color w:val="auto"/>
          <w:sz w:val="24"/>
          <w:szCs w:val="24"/>
          <w:highlight w:val="none"/>
          <w:lang w:val="en-US" w:eastAsia="zh-CN"/>
        </w:rPr>
        <w:t xml:space="preserve">扫描</w:t>
      </w:r>
      <w:r>
        <w:rPr>
          <w:rStyle w:val="1277"/>
          <w:rFonts w:hint="eastAsia" w:ascii="仿宋" w:hAnsi="仿宋" w:eastAsia="仿宋" w:cs="仿宋"/>
          <w:color w:val="auto"/>
          <w:sz w:val="24"/>
          <w:szCs w:val="24"/>
          <w:highlight w:val="none"/>
        </w:rPr>
        <w:t xml:space="preserve">件附后）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特此声明。</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供应商人对上述声明的真实性负责。如有虚假，将依法承担相应责任。</w:t>
      </w:r>
      <w:r/>
    </w:p>
    <w:p>
      <w:pPr>
        <w:pStyle w:val="1031"/>
        <w:ind w:firstLine="972"/>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w:t>
      </w:r>
      <w:r/>
    </w:p>
    <w:p>
      <w:pPr>
        <w:pStyle w:val="1031"/>
        <w:ind w:firstLine="360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77"/>
          <w:rFonts w:hint="eastAsia" w:ascii="仿宋" w:hAnsi="仿宋" w:eastAsia="仿宋" w:cs="仿宋"/>
          <w:color w:val="auto"/>
          <w:sz w:val="24"/>
          <w:szCs w:val="24"/>
          <w:highlight w:val="none"/>
        </w:rPr>
        <w:t xml:space="preserve">：</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w:t>
      </w:r>
      <w:r/>
    </w:p>
    <w:p>
      <w:pPr>
        <w:pStyle w:val="1031"/>
        <w:ind w:firstLine="3600"/>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日期：</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7"/>
        <w:jc w:val="center"/>
        <w:keepLines w:val="0"/>
        <w:keepNext w:val="0"/>
        <w:pageBreakBefore w:val="0"/>
        <w:spacing w:line="312" w:lineRule="auto"/>
        <w:widowControl w:val="off"/>
        <w:rPr>
          <w:rStyle w:val="1277"/>
          <w:rFonts w:hint="eastAsia" w:ascii="仿宋" w:hAnsi="仿宋" w:eastAsia="仿宋" w:cs="仿宋"/>
          <w:color w:val="auto"/>
          <w:sz w:val="24"/>
          <w:szCs w:val="24"/>
          <w:highlight w:val="none"/>
        </w:rPr>
        <w:outlineLvl w:val="9"/>
      </w:pPr>
      <w:r/>
      <w:bookmarkStart w:id="65" w:name="_Toc80122311"/>
      <w:r>
        <w:rPr>
          <w:rStyle w:val="1277"/>
          <w:rFonts w:hint="eastAsia" w:ascii="仿宋" w:hAnsi="仿宋" w:eastAsia="仿宋" w:cs="仿宋"/>
          <w:color w:val="auto"/>
          <w:sz w:val="24"/>
          <w:szCs w:val="24"/>
          <w:highlight w:val="none"/>
        </w:rPr>
        <w:t xml:space="preserve">       </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outlineLvl w:val="9"/>
      </w:pPr>
      <w:r>
        <w:rPr>
          <w:rStyle w:val="1277"/>
          <w:rFonts w:hint="eastAsia" w:ascii="仿宋" w:hAnsi="仿宋" w:eastAsia="仿宋" w:cs="仿宋"/>
          <w:color w:val="auto"/>
          <w:sz w:val="24"/>
          <w:szCs w:val="24"/>
          <w:highlight w:val="none"/>
        </w:rPr>
        <w:br w:type="page" w:clear="all"/>
      </w:r>
      <w:bookmarkEnd w:id="65"/>
      <w:r/>
      <w:bookmarkStart w:id="66" w:name="_Toc6127"/>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1"/>
      </w:pPr>
      <w:r/>
      <w:bookmarkStart w:id="67" w:name="_Toc26008"/>
      <w:r/>
      <w:bookmarkStart w:id="68" w:name="_Toc80122313"/>
      <w:r>
        <w:rPr>
          <w:rFonts w:hint="eastAsia" w:ascii="仿宋" w:hAnsi="仿宋" w:eastAsia="仿宋" w:cs="仿宋"/>
          <w:color w:val="auto"/>
          <w:sz w:val="24"/>
          <w:szCs w:val="24"/>
          <w:highlight w:val="none"/>
          <w:lang w:val="en-US" w:eastAsia="zh-CN" w:bidi="ar-SA"/>
        </w:rPr>
        <w:t xml:space="preserve">十、供应商相关承诺</w:t>
      </w:r>
      <w:bookmarkEnd w:id="67"/>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项目名称：2026年新增市管绿地养护管理</w:t>
      </w:r>
      <w:r/>
    </w:p>
    <w:p>
      <w:pPr>
        <w:pStyle w:val="1031"/>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项目编号：</w:t>
      </w:r>
      <w:r>
        <w:rPr>
          <w:rFonts w:hint="eastAsia" w:ascii="仿宋" w:hAnsi="仿宋" w:eastAsia="仿宋" w:cs="仿宋"/>
          <w:color w:val="auto"/>
          <w:sz w:val="24"/>
          <w:szCs w:val="24"/>
          <w:highlight w:val="none"/>
          <w:lang w:eastAsia="zh-CN" w:bidi="ar"/>
        </w:rPr>
        <w:t xml:space="preserve">JSZC-320300-JSKJ-C2026-0009</w:t>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ind w:firstLine="480"/>
        <w:jc w:val="both"/>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我单位承诺：</w:t>
      </w:r>
      <w:r/>
    </w:p>
    <w:p>
      <w:pPr>
        <w:pStyle w:val="1031"/>
        <w:ind w:left="0" w:firstLine="480"/>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如有参与同一合同项下政府采购活动的供应商与我单位存在负责人为同一人的情况或者存在直接控股、管理关系，我单位不再参加该同一合同项下的政府采购活动。</w:t>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ind w:firstLine="480"/>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我单位对上述承诺负责，并依法承担相应责任。</w:t>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31"/>
        <w:ind w:firstLine="360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77"/>
          <w:rFonts w:hint="eastAsia" w:ascii="仿宋" w:hAnsi="仿宋" w:eastAsia="仿宋" w:cs="仿宋"/>
          <w:color w:val="auto"/>
          <w:sz w:val="24"/>
          <w:szCs w:val="24"/>
          <w:highlight w:val="none"/>
        </w:rPr>
        <w:t xml:space="preserve">：</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                                </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outlineLvl w:val="9"/>
      </w:pPr>
      <w:r>
        <w:rPr>
          <w:rStyle w:val="1277"/>
          <w:rFonts w:hint="eastAsia" w:ascii="仿宋" w:hAnsi="仿宋" w:eastAsia="仿宋" w:cs="仿宋"/>
          <w:color w:val="auto"/>
          <w:sz w:val="24"/>
          <w:szCs w:val="24"/>
          <w:highlight w:val="none"/>
        </w:rPr>
        <w:t xml:space="preserve">日期：</w:t>
      </w:r>
      <w:r/>
    </w:p>
    <w:p>
      <w:pPr>
        <w:pStyle w:val="1032"/>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6"/>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1"/>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2"/>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6"/>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1"/>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2"/>
        <w:rPr>
          <w:rStyle w:val="1277"/>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6"/>
        <w:rPr>
          <w:rFonts w:hint="eastAsia"/>
          <w:color w:val="auto"/>
          <w:highlight w:val="none"/>
        </w:rPr>
        <w:outlineLvl w:val="9"/>
      </w:pPr>
      <w:r>
        <w:rPr>
          <w:rFonts w:hint="eastAsia"/>
          <w:color w:val="auto"/>
          <w:highlight w:val="none"/>
        </w:rPr>
      </w:r>
      <w:r/>
    </w:p>
    <w:p>
      <w:pPr>
        <w:pStyle w:val="1031"/>
        <w:rPr>
          <w:rFonts w:hint="eastAsia"/>
          <w:color w:val="auto"/>
          <w:highlight w:val="none"/>
        </w:rPr>
        <w:outlineLvl w:val="9"/>
      </w:pPr>
      <w:r>
        <w:rPr>
          <w:rFonts w:hint="eastAsia"/>
          <w:color w:val="auto"/>
          <w:highlight w:val="none"/>
        </w:rPr>
      </w:r>
      <w:r/>
    </w:p>
    <w:p>
      <w:pPr>
        <w:pStyle w:val="1032"/>
        <w:rPr>
          <w:rFonts w:hint="eastAsia"/>
          <w:color w:val="auto"/>
          <w:highlight w:val="none"/>
        </w:rPr>
        <w:outlineLvl w:val="9"/>
      </w:pPr>
      <w:r>
        <w:rPr>
          <w:rFonts w:hint="eastAsia"/>
          <w:color w:val="auto"/>
          <w:highlight w:val="none"/>
        </w:rPr>
      </w:r>
      <w:r/>
    </w:p>
    <w:p>
      <w:pPr>
        <w:pStyle w:val="1036"/>
        <w:rPr>
          <w:rFonts w:hint="eastAsia"/>
          <w:color w:val="auto"/>
          <w:highlight w:val="none"/>
        </w:rPr>
        <w:outlineLvl w:val="9"/>
      </w:pPr>
      <w:r>
        <w:rPr>
          <w:rFonts w:hint="eastAsia"/>
          <w:color w:val="auto"/>
          <w:highlight w:val="none"/>
        </w:rPr>
      </w:r>
      <w:r/>
    </w:p>
    <w:p>
      <w:pPr>
        <w:pStyle w:val="1031"/>
        <w:rPr>
          <w:rFonts w:hint="eastAsia"/>
          <w:color w:val="auto"/>
          <w:highlight w:val="none"/>
        </w:rPr>
        <w:outlineLvl w:val="9"/>
      </w:pPr>
      <w:r>
        <w:rPr>
          <w:rFonts w:hint="eastAsia"/>
          <w:color w:val="auto"/>
          <w:highlight w:val="none"/>
        </w:rPr>
      </w:r>
      <w:r/>
    </w:p>
    <w:p>
      <w:pPr>
        <w:pStyle w:val="1032"/>
        <w:rPr>
          <w:rFonts w:hint="eastAsia"/>
          <w:color w:val="auto"/>
          <w:highlight w:val="none"/>
        </w:rPr>
        <w:outlineLvl w:val="9"/>
      </w:pPr>
      <w:r>
        <w:rPr>
          <w:rFonts w:hint="eastAsia"/>
          <w:color w:val="auto"/>
          <w:highlight w:val="none"/>
        </w:rPr>
      </w:r>
      <w:r/>
    </w:p>
    <w:p>
      <w:pPr>
        <w:pStyle w:val="1036"/>
        <w:rPr>
          <w:rFonts w:hint="eastAsia"/>
          <w:color w:val="auto"/>
          <w:highlight w:val="none"/>
        </w:rPr>
        <w:outlineLvl w:val="9"/>
      </w:pPr>
      <w:r>
        <w:rPr>
          <w:rFonts w:hint="eastAsia"/>
          <w:color w:val="auto"/>
          <w:highlight w:val="none"/>
        </w:rPr>
      </w:r>
      <w:r/>
    </w:p>
    <w:p>
      <w:pPr>
        <w:pStyle w:val="1031"/>
        <w:rPr>
          <w:rFonts w:hint="eastAsia"/>
          <w:color w:val="auto"/>
          <w:highlight w:val="none"/>
        </w:rPr>
        <w:outlineLvl w:val="9"/>
      </w:pPr>
      <w:r>
        <w:rPr>
          <w:rFonts w:hint="eastAsia"/>
          <w:color w:val="auto"/>
          <w:highlight w:val="none"/>
        </w:rPr>
      </w:r>
      <w:r/>
    </w:p>
    <w:p>
      <w:pPr>
        <w:pStyle w:val="1032"/>
        <w:rPr>
          <w:rFonts w:hint="eastAsia"/>
          <w:color w:val="auto"/>
          <w:highlight w:val="none"/>
        </w:rPr>
        <w:outlineLvl w:val="9"/>
      </w:pPr>
      <w:r>
        <w:rPr>
          <w:rFonts w:hint="eastAsia"/>
          <w:color w:val="auto"/>
          <w:highlight w:val="none"/>
        </w:rPr>
      </w:r>
      <w:r/>
    </w:p>
    <w:p>
      <w:pPr>
        <w:pStyle w:val="1031"/>
        <w:jc w:val="center"/>
        <w:pageBreakBefore w:val="0"/>
        <w:spacing w:line="312" w:lineRule="auto"/>
        <w:widowControl w:val="off"/>
        <w:rPr>
          <w:rStyle w:val="1277"/>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031"/>
        <w:jc w:val="center"/>
        <w:pageBreakBefore w:val="0"/>
        <w:spacing w:line="312" w:lineRule="auto"/>
        <w:widowControl w:val="off"/>
        <w:rPr>
          <w:rStyle w:val="1277"/>
          <w:rFonts w:hint="eastAsia" w:ascii="仿宋" w:hAnsi="仿宋" w:eastAsia="仿宋" w:cs="仿宋"/>
          <w:b/>
          <w:bCs/>
          <w:color w:val="auto"/>
          <w:sz w:val="24"/>
          <w:szCs w:val="24"/>
          <w:highlight w:val="none"/>
          <w:lang w:val="en-US" w:eastAsia="zh-CN"/>
        </w:rPr>
        <w:sectPr>
          <w:footerReference w:type="default" r:id="rId16"/>
          <w:footerReference w:type="first" r:id="rId17"/>
          <w:footnotePr/>
          <w:endnotePr/>
          <w:type w:val="nextPage"/>
          <w:pgSz w:w="11906" w:h="16838" w:orient="portrait"/>
          <w:pgMar w:top="1440" w:right="1080" w:bottom="1440" w:left="1300" w:header="851" w:footer="992" w:gutter="0"/>
          <w:cols w:num="1" w:sep="0" w:space="720" w:equalWidth="1"/>
          <w:docGrid w:linePitch="360"/>
          <w:titlePg/>
        </w:sectPr>
        <w:outlineLvl w:val="1"/>
      </w:pPr>
      <w:r>
        <w:rPr>
          <w:rFonts w:hint="eastAsia" w:ascii="仿宋" w:hAnsi="仿宋" w:eastAsia="仿宋" w:cs="仿宋"/>
          <w:b/>
          <w:bCs/>
          <w:color w:val="auto"/>
          <w:sz w:val="24"/>
          <w:szCs w:val="24"/>
          <w:highlight w:val="none"/>
          <w:lang w:val="en-US" w:eastAsia="zh-CN"/>
        </w:rPr>
      </w:r>
      <w:r/>
    </w:p>
    <w:p>
      <w:pPr>
        <w:pStyle w:val="1031"/>
        <w:numPr>
          <w:ilvl w:val="0"/>
          <w:numId w:val="0"/>
        </w:numPr>
        <w:jc w:val="center"/>
        <w:pageBreakBefore w:val="0"/>
        <w:spacing w:line="312" w:lineRule="auto"/>
        <w:widowControl w:val="off"/>
        <w:rPr>
          <w:rStyle w:val="1277"/>
          <w:rFonts w:hint="eastAsia" w:ascii="仿宋" w:hAnsi="仿宋" w:eastAsia="仿宋" w:cs="仿宋"/>
          <w:b/>
          <w:bCs/>
          <w:color w:val="auto"/>
          <w:sz w:val="24"/>
          <w:szCs w:val="24"/>
          <w:highlight w:val="none"/>
          <w:lang w:val="en-US" w:eastAsia="zh-CN"/>
        </w:rPr>
        <w:outlineLvl w:val="1"/>
      </w:pPr>
      <w:r/>
      <w:bookmarkStart w:id="69" w:name="_Toc31924"/>
      <w:r>
        <w:rPr>
          <w:rFonts w:hint="eastAsia" w:ascii="仿宋" w:hAnsi="仿宋" w:eastAsia="仿宋" w:cs="仿宋"/>
          <w:b/>
          <w:bCs/>
          <w:color w:val="auto"/>
          <w:sz w:val="24"/>
          <w:szCs w:val="24"/>
          <w:highlight w:val="none"/>
          <w:lang w:val="en-US" w:eastAsia="zh-CN" w:bidi="ar-SA"/>
        </w:rPr>
        <w:t xml:space="preserve">十一、</w:t>
      </w:r>
      <w:r>
        <w:rPr>
          <w:rStyle w:val="1277"/>
          <w:rFonts w:hint="eastAsia" w:ascii="仿宋" w:hAnsi="仿宋" w:eastAsia="仿宋" w:cs="仿宋"/>
          <w:b/>
          <w:bCs/>
          <w:color w:val="auto"/>
          <w:sz w:val="24"/>
          <w:szCs w:val="24"/>
          <w:highlight w:val="none"/>
          <w:lang w:val="en-US" w:eastAsia="zh-CN"/>
        </w:rPr>
        <w:t xml:space="preserve">供应商书面声明</w:t>
      </w:r>
      <w:bookmarkEnd w:id="69"/>
      <w:r/>
      <w:r/>
    </w:p>
    <w:p>
      <w:pPr>
        <w:pStyle w:val="1032"/>
        <w:numPr>
          <w:ilvl w:val="0"/>
          <w:numId w:val="0"/>
        </w:numPr>
        <w:ind w:right="6"/>
        <w:jc w:val="both"/>
        <w:widowControl w:val="off"/>
        <w:rPr>
          <w:rFonts w:hint="default"/>
          <w:color w:val="auto"/>
          <w:highlight w:val="none"/>
          <w:lang w:val="en-US" w:eastAsia="zh-CN"/>
        </w:rPr>
      </w:pPr>
      <w:r>
        <w:rPr>
          <w:rFonts w:hint="default"/>
          <w:color w:val="auto"/>
          <w:highlight w:val="none"/>
          <w:lang w:val="en-US" w:eastAsia="zh-CN"/>
        </w:rPr>
      </w:r>
      <w:r/>
    </w:p>
    <w:p>
      <w:pPr>
        <w:pStyle w:val="1031"/>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项目名称：2026年新增市管绿地养护管理</w:t>
      </w:r>
      <w:r/>
    </w:p>
    <w:p>
      <w:pPr>
        <w:pStyle w:val="1036"/>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val="en-US" w:eastAsia="zh-CN" w:bidi="ar-SA"/>
        </w:rPr>
        <w:t xml:space="preserve">项目编号：</w:t>
      </w:r>
      <w:r>
        <w:rPr>
          <w:rFonts w:hint="eastAsia" w:ascii="仿宋" w:hAnsi="仿宋" w:eastAsia="仿宋" w:cs="仿宋"/>
          <w:b w:val="0"/>
          <w:bCs w:val="0"/>
          <w:color w:val="auto"/>
          <w:sz w:val="24"/>
          <w:szCs w:val="24"/>
          <w:highlight w:val="none"/>
          <w:lang w:eastAsia="zh-CN" w:bidi="ar"/>
        </w:rPr>
        <w:t xml:space="preserve">JSZC-320300-JSKJ-C2026-0009</w:t>
      </w:r>
      <w:r/>
    </w:p>
    <w:p>
      <w:pPr>
        <w:pStyle w:val="1031"/>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eastAsia="zh-CN" w:bidi="ar"/>
        </w:rPr>
      </w:r>
      <w:r/>
    </w:p>
    <w:p>
      <w:pPr>
        <w:pStyle w:val="1032"/>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eastAsia="zh-CN" w:bidi="ar"/>
        </w:rPr>
      </w:r>
      <w:r/>
    </w:p>
    <w:p>
      <w:pPr>
        <w:pStyle w:val="1036"/>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我单位不是为本采购项目提供整体设计、规范编制或者项目管理、监理、检测等服务的供应商。</w:t>
      </w:r>
      <w:r/>
    </w:p>
    <w:p>
      <w:pPr>
        <w:pStyle w:val="1036"/>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特此声明。</w:t>
      </w:r>
      <w:r/>
    </w:p>
    <w:p>
      <w:pPr>
        <w:pStyle w:val="1036"/>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我单位对上述声明的真实性负责。如有虚假，将依法承担相应责任。</w:t>
      </w:r>
      <w:r/>
    </w:p>
    <w:p>
      <w:pPr>
        <w:pStyle w:val="1031"/>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p>
      <w:pPr>
        <w:pStyle w:val="1032"/>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p>
      <w:pPr>
        <w:pStyle w:val="1031"/>
        <w:ind w:firstLine="3600"/>
        <w:jc w:val="left"/>
        <w:pageBreakBefore w:val="0"/>
        <w:spacing w:line="312" w:lineRule="auto"/>
        <w:widowControl w:val="off"/>
        <w:rPr>
          <w:rStyle w:val="1277"/>
          <w:rFonts w:hint="eastAsia" w:ascii="仿宋" w:hAnsi="仿宋" w:eastAsia="仿宋" w:cs="仿宋"/>
          <w:color w:val="auto"/>
          <w:sz w:val="24"/>
          <w:szCs w:val="24"/>
          <w:highlight w:val="none"/>
        </w:rPr>
        <w:outlineLvl w:val="9"/>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277"/>
          <w:rFonts w:hint="eastAsia" w:ascii="仿宋" w:hAnsi="仿宋" w:eastAsia="仿宋" w:cs="仿宋"/>
          <w:color w:val="auto"/>
          <w:sz w:val="24"/>
          <w:szCs w:val="24"/>
          <w:highlight w:val="none"/>
        </w:rPr>
        <w:t xml:space="preserve">：</w:t>
      </w:r>
      <w:r/>
    </w:p>
    <w:p>
      <w:pPr>
        <w:pStyle w:val="1031"/>
        <w:jc w:val="left"/>
        <w:pageBreakBefore w:val="0"/>
        <w:spacing w:line="312" w:lineRule="auto"/>
        <w:widowControl w:val="off"/>
        <w:rPr>
          <w:rStyle w:val="1277"/>
          <w:rFonts w:hint="eastAsia" w:ascii="仿宋" w:hAnsi="仿宋" w:eastAsia="仿宋" w:cs="仿宋"/>
          <w:color w:val="auto"/>
          <w:sz w:val="24"/>
          <w:szCs w:val="24"/>
          <w:highlight w:val="none"/>
        </w:rPr>
        <w:outlineLvl w:val="9"/>
      </w:pPr>
      <w:r>
        <w:rPr>
          <w:rStyle w:val="1277"/>
          <w:rFonts w:hint="eastAsia" w:ascii="仿宋" w:hAnsi="仿宋" w:eastAsia="仿宋" w:cs="仿宋"/>
          <w:color w:val="auto"/>
          <w:sz w:val="24"/>
          <w:szCs w:val="24"/>
          <w:highlight w:val="none"/>
        </w:rPr>
        <w:t xml:space="preserve">                                </w:t>
      </w:r>
      <w:r/>
    </w:p>
    <w:p>
      <w:pPr>
        <w:pStyle w:val="1031"/>
        <w:jc w:val="center"/>
        <w:pageBreakBefore w:val="0"/>
        <w:spacing w:line="312" w:lineRule="auto"/>
        <w:widowControl w:val="off"/>
        <w:rPr>
          <w:rStyle w:val="1277"/>
          <w:rFonts w:hint="eastAsia" w:ascii="仿宋" w:hAnsi="仿宋" w:eastAsia="仿宋" w:cs="仿宋"/>
          <w:color w:val="auto"/>
          <w:sz w:val="24"/>
          <w:szCs w:val="24"/>
          <w:highlight w:val="none"/>
        </w:rPr>
        <w:outlineLvl w:val="9"/>
      </w:pPr>
      <w:r>
        <w:rPr>
          <w:rStyle w:val="1277"/>
          <w:rFonts w:hint="eastAsia" w:ascii="仿宋" w:hAnsi="仿宋" w:eastAsia="仿宋" w:cs="仿宋"/>
          <w:color w:val="auto"/>
          <w:sz w:val="24"/>
          <w:szCs w:val="24"/>
          <w:highlight w:val="none"/>
        </w:rPr>
        <w:t xml:space="preserve">日期：</w:t>
      </w:r>
      <w:r/>
    </w:p>
    <w:p>
      <w:pPr>
        <w:pStyle w:val="1036"/>
        <w:rPr>
          <w:rFonts w:hint="eastAsia"/>
          <w:color w:val="auto"/>
          <w:highlight w:val="none"/>
          <w:lang w:val="en-US" w:eastAsia="zh-CN"/>
        </w:rPr>
        <w:sectPr>
          <w:footnotePr/>
          <w:endnotePr/>
          <w:type w:val="nextPage"/>
          <w:pgSz w:w="11906" w:h="16838" w:orient="portrait"/>
          <w:pgMar w:top="1440" w:right="1080" w:bottom="1440" w:left="1300" w:header="851" w:footer="992" w:gutter="0"/>
          <w:cols w:num="1" w:sep="0" w:space="720" w:equalWidth="1"/>
          <w:docGrid w:linePitch="360"/>
          <w:titlePg/>
        </w:sectPr>
        <w:outlineLvl w:val="9"/>
      </w:pPr>
      <w:r>
        <w:rPr>
          <w:rFonts w:hint="eastAsia"/>
          <w:color w:val="auto"/>
          <w:highlight w:val="none"/>
          <w:lang w:val="en-US" w:eastAsia="zh-CN"/>
        </w:rPr>
      </w:r>
      <w:r/>
    </w:p>
    <w:p>
      <w:pPr>
        <w:jc w:val="center"/>
        <w:keepLines w:val="0"/>
        <w:keepNext w:val="0"/>
        <w:pageBreakBefore w:val="0"/>
        <w:spacing w:line="360" w:lineRule="auto"/>
        <w:rPr>
          <w:rStyle w:val="1277"/>
          <w:rFonts w:hint="eastAsia" w:ascii="仿宋" w:hAnsi="仿宋" w:eastAsia="仿宋" w:cs="仿宋"/>
          <w:b/>
          <w:bCs/>
          <w:color w:val="auto"/>
          <w:szCs w:val="24"/>
          <w:highlight w:val="none"/>
          <w:lang w:val="en-US" w:eastAsia="zh-CN" w:bidi="ar-SA"/>
        </w:rPr>
        <w:outlineLvl w:val="1"/>
      </w:pPr>
      <w:r/>
      <w:bookmarkStart w:id="70" w:name="_Toc26683"/>
      <w:r/>
      <w:bookmarkStart w:id="71" w:name="_Toc6134"/>
      <w:r>
        <w:rPr>
          <w:rStyle w:val="1277"/>
          <w:rFonts w:hint="eastAsia" w:ascii="仿宋" w:hAnsi="仿宋" w:eastAsia="仿宋" w:cs="仿宋"/>
          <w:b/>
          <w:bCs/>
          <w:color w:val="auto"/>
          <w:szCs w:val="24"/>
          <w:highlight w:val="none"/>
          <w:lang w:val="en-US" w:eastAsia="zh-CN" w:bidi="ar-SA"/>
        </w:rPr>
        <w:t xml:space="preserve">十二、项目总负责人简历表</w:t>
      </w:r>
      <w:bookmarkEnd w:id="70"/>
      <w:r/>
      <w:bookmarkEnd w:id="71"/>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tbl>
      <w:tblPr>
        <w:tblStyle w:val="9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2013"/>
        <w:gridCol w:w="1726"/>
        <w:gridCol w:w="1440"/>
        <w:gridCol w:w="1296"/>
        <w:gridCol w:w="1904"/>
      </w:tblGrid>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gridSpan w:val="6"/>
            <w:tcW w:w="5000" w:type="pct"/>
            <w:textDirection w:val="lrTb"/>
            <w:noWrap w:val="false"/>
          </w:tcPr>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主要业绩（须提供证明资料）：</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1"/>
        <w:jc w:val="left"/>
        <w:pageBreakBefore w:val="0"/>
        <w:spacing w:line="312"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注：项目总负责人必须具有园林绿化中级（含）及以上职称证书，或者园林绿化高级工及以上资格证书，且以上证书的聘用企业必须为</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文件中必须提供项目总负责人的证书扫描件</w:t>
      </w:r>
      <w:r>
        <w:rPr>
          <w:rFonts w:hint="eastAsia" w:ascii="仿宋" w:hAnsi="仿宋" w:eastAsia="仿宋" w:cs="仿宋"/>
          <w:color w:val="auto"/>
          <w:sz w:val="24"/>
          <w:szCs w:val="24"/>
          <w:highlight w:val="none"/>
          <w:lang w:val="en-US" w:eastAsia="zh-CN"/>
        </w:rPr>
        <w:t xml:space="preserve">及近6个月内任意一月供应商为其缴纳的社保证明</w:t>
      </w:r>
      <w:r>
        <w:rPr>
          <w:rFonts w:hint="eastAsia" w:ascii="仿宋" w:hAnsi="仿宋" w:eastAsia="仿宋" w:cs="仿宋"/>
          <w:color w:val="auto"/>
          <w:sz w:val="24"/>
          <w:szCs w:val="24"/>
          <w:highlight w:val="none"/>
        </w:rPr>
        <w:t xml:space="preserve">。项目总负责人在项目履约过程中不得擅自更换。</w:t>
      </w:r>
      <w:r/>
    </w:p>
    <w:p>
      <w:pPr>
        <w:pStyle w:val="1032"/>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1"/>
        <w:ind w:firstLine="504"/>
        <w:jc w:val="left"/>
        <w:pageBreakBefore w:val="0"/>
        <w:spacing w:line="312" w:lineRule="auto"/>
        <w:widowControl w:val="off"/>
        <w:rPr>
          <w:rStyle w:val="1277"/>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36"/>
        <w:jc w:val="center"/>
        <w:rPr>
          <w:rFonts w:hint="eastAsia" w:ascii="仿宋" w:hAnsi="仿宋" w:eastAsia="仿宋" w:cs="仿宋"/>
          <w:color w:val="auto"/>
          <w:sz w:val="24"/>
          <w:szCs w:val="24"/>
          <w:highlight w:val="none"/>
        </w:rPr>
        <w:outlineLvl w:val="9"/>
      </w:pPr>
      <w:r>
        <w:rPr>
          <w:rStyle w:val="1277"/>
          <w:rFonts w:hint="eastAsia" w:ascii="仿宋" w:hAnsi="仿宋" w:eastAsia="仿宋" w:cs="仿宋"/>
          <w:b w:val="0"/>
          <w:bCs w:val="0"/>
          <w:color w:val="auto"/>
          <w:sz w:val="24"/>
          <w:szCs w:val="24"/>
          <w:highlight w:val="none"/>
          <w:lang w:val="en-US" w:eastAsia="zh-CN"/>
        </w:rPr>
        <w:t xml:space="preserve">  </w:t>
      </w:r>
      <w:r>
        <w:rPr>
          <w:rStyle w:val="1277"/>
          <w:rFonts w:hint="eastAsia" w:ascii="仿宋" w:hAnsi="仿宋" w:eastAsia="仿宋" w:cs="仿宋"/>
          <w:b w:val="0"/>
          <w:bCs w:val="0"/>
          <w:color w:val="auto"/>
          <w:sz w:val="24"/>
          <w:szCs w:val="24"/>
          <w:highlight w:val="none"/>
        </w:rPr>
        <w:t xml:space="preserve">日期：</w:t>
      </w:r>
      <w:r/>
    </w:p>
    <w:p>
      <w:pPr>
        <w:pStyle w:val="1031"/>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2"/>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1"/>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32"/>
        <w:rPr>
          <w:rFonts w:hint="eastAsia"/>
          <w:color w:val="auto"/>
          <w:highlight w:val="none"/>
        </w:rPr>
      </w:pPr>
      <w:r>
        <w:rPr>
          <w:rFonts w:hint="eastAsia"/>
          <w:color w:val="auto"/>
          <w:highlight w:val="none"/>
        </w:rPr>
      </w:r>
      <w:r/>
    </w:p>
    <w:p>
      <w:pPr>
        <w:jc w:val="center"/>
        <w:keepLines w:val="0"/>
        <w:keepNext w:val="0"/>
        <w:pageBreakBefore w:val="0"/>
        <w:spacing w:line="360" w:lineRule="auto"/>
        <w:rPr>
          <w:rStyle w:val="1277"/>
          <w:rFonts w:hint="eastAsia" w:ascii="仿宋" w:hAnsi="仿宋" w:eastAsia="仿宋" w:cs="仿宋"/>
          <w:b/>
          <w:bCs/>
          <w:color w:val="auto"/>
          <w:szCs w:val="24"/>
          <w:highlight w:val="none"/>
          <w:lang w:val="en-US" w:eastAsia="zh-CN" w:bidi="ar-SA"/>
        </w:rPr>
        <w:outlineLvl w:val="1"/>
      </w:pPr>
      <w:r/>
      <w:bookmarkStart w:id="72" w:name="_Toc14214"/>
      <w:r/>
      <w:bookmarkStart w:id="73" w:name="_Toc12447"/>
      <w:r>
        <w:rPr>
          <w:rStyle w:val="1277"/>
          <w:rFonts w:hint="eastAsia" w:ascii="仿宋" w:hAnsi="仿宋" w:eastAsia="仿宋" w:cs="仿宋"/>
          <w:b/>
          <w:bCs/>
          <w:color w:val="auto"/>
          <w:szCs w:val="24"/>
          <w:highlight w:val="none"/>
          <w:lang w:val="en-US" w:eastAsia="zh-CN" w:bidi="ar-SA"/>
        </w:rPr>
        <w:t xml:space="preserve">十三 、1工作人员配备要求</w:t>
      </w:r>
      <w:bookmarkEnd w:id="72"/>
      <w:r/>
      <w:bookmarkEnd w:id="73"/>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采购包：</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人员配备：（表格根据供应商情况自行删减）</w:t>
      </w:r>
      <w:r/>
    </w:p>
    <w:tbl>
      <w:tblPr>
        <w:tblStyle w:val="1020"/>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965"/>
        <w:gridCol w:w="728"/>
        <w:gridCol w:w="772"/>
        <w:gridCol w:w="2420"/>
        <w:gridCol w:w="1680"/>
        <w:gridCol w:w="1010"/>
        <w:gridCol w:w="1585"/>
      </w:tblGrid>
      <w:tr>
        <w:trPr>
          <w:jc w:val="center"/>
          <w:trHeight w:val="454"/>
        </w:trPr>
        <w:tc>
          <w:tcPr>
            <w:tcW w:w="761"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序号</w:t>
            </w:r>
            <w:r/>
          </w:p>
        </w:tc>
        <w:tc>
          <w:tcPr>
            <w:tcW w:w="96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姓名</w:t>
            </w:r>
            <w:r/>
          </w:p>
        </w:tc>
        <w:tc>
          <w:tcPr>
            <w:tcW w:w="728"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性别</w:t>
            </w:r>
            <w:r/>
          </w:p>
        </w:tc>
        <w:tc>
          <w:tcPr>
            <w:tcW w:w="772"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年龄</w:t>
            </w:r>
            <w:r/>
          </w:p>
        </w:tc>
        <w:tc>
          <w:tcPr>
            <w:tcW w:w="242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身份证号</w:t>
            </w:r>
            <w:r/>
          </w:p>
        </w:tc>
        <w:tc>
          <w:tcPr>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岗位</w:t>
            </w:r>
            <w:r/>
          </w:p>
        </w:tc>
        <w:tc>
          <w:tcPr>
            <w:tcW w:w="101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职称</w:t>
            </w:r>
            <w:r/>
          </w:p>
        </w:tc>
        <w:tc>
          <w:tcPr>
            <w:tcW w:w="158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证书编号</w:t>
            </w:r>
            <w:r/>
          </w:p>
        </w:tc>
      </w:tr>
      <w:tr>
        <w:trPr>
          <w:jc w:val="center"/>
          <w:trHeight w:val="454"/>
        </w:trPr>
        <w:tc>
          <w:tcPr>
            <w:tcW w:w="761"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ind w:firstLine="0"/>
              <w:jc w:val="center"/>
              <w:spacing w:after="0" w:line="30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项目总</w:t>
            </w:r>
            <w:r/>
          </w:p>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bidi="ar-SA"/>
              </w:rPr>
              <w:t xml:space="preserve">负责人</w:t>
            </w:r>
            <w:r/>
          </w:p>
        </w:tc>
        <w:tc>
          <w:tcPr>
            <w:tcW w:w="101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技术员（兼现场负责人）</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质检员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安全员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资料员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专职园林园艺修剪</w:t>
            </w:r>
            <w:r>
              <w:rPr>
                <w:rFonts w:hint="eastAsia" w:ascii="仿宋" w:hAnsi="仿宋" w:eastAsia="仿宋" w:cs="仿宋"/>
                <w:color w:val="auto"/>
                <w:sz w:val="21"/>
                <w:szCs w:val="21"/>
                <w:highlight w:val="none"/>
                <w:lang w:val="en-US" w:eastAsia="zh-CN"/>
              </w:rPr>
              <w:t xml:space="preserve">工</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42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68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en-US"/>
              </w:rPr>
              <w:t xml:space="preserve">秩序巡查人</w:t>
            </w:r>
            <w:r>
              <w:rPr>
                <w:rFonts w:hint="eastAsia" w:ascii="仿宋" w:hAnsi="仿宋" w:eastAsia="仿宋" w:cs="仿宋"/>
                <w:color w:val="auto"/>
                <w:sz w:val="21"/>
                <w:szCs w:val="21"/>
                <w:highlight w:val="none"/>
                <w:lang w:val="en-US" w:eastAsia="zh-CN"/>
              </w:rPr>
              <w:t xml:space="preserve">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bl>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1031"/>
        <w:jc w:val="left"/>
        <w:pageBreakBefore w:val="0"/>
        <w:spacing w:line="312" w:lineRule="auto"/>
        <w:widowControl w:val="off"/>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须提供采购需求中满足人员数量要求的项目总负责人、技术员、质检员、安全员、资料员、专职园林修剪工的相应职称资格证书及项目总负责人近6个月内任意一个月社保证明扫描件。</w:t>
      </w:r>
      <w:r/>
    </w:p>
    <w:p>
      <w:pPr>
        <w:pStyle w:val="1032"/>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36"/>
        <w:jc w:val="center"/>
        <w:rPr>
          <w:rFonts w:hint="eastAsia" w:ascii="仿宋" w:hAnsi="仿宋" w:eastAsia="仿宋" w:cs="仿宋"/>
          <w:color w:val="auto"/>
          <w:sz w:val="24"/>
          <w:szCs w:val="24"/>
          <w:highlight w:val="none"/>
        </w:rPr>
        <w:outlineLvl w:val="9"/>
      </w:pPr>
      <w:r>
        <w:rPr>
          <w:rStyle w:val="1277"/>
          <w:rFonts w:hint="eastAsia" w:ascii="仿宋" w:hAnsi="仿宋" w:eastAsia="仿宋" w:cs="仿宋"/>
          <w:b w:val="0"/>
          <w:bCs w:val="0"/>
          <w:color w:val="auto"/>
          <w:sz w:val="24"/>
          <w:szCs w:val="24"/>
          <w:highlight w:val="none"/>
          <w:lang w:val="en-US" w:eastAsia="zh-CN"/>
        </w:rPr>
        <w:t xml:space="preserve">  </w:t>
      </w:r>
      <w:r>
        <w:rPr>
          <w:rStyle w:val="1277"/>
          <w:rFonts w:hint="eastAsia" w:ascii="仿宋" w:hAnsi="仿宋" w:eastAsia="仿宋" w:cs="仿宋"/>
          <w:b w:val="0"/>
          <w:bCs w:val="0"/>
          <w:color w:val="auto"/>
          <w:sz w:val="24"/>
          <w:szCs w:val="24"/>
          <w:highlight w:val="none"/>
        </w:rPr>
        <w:t xml:space="preserve">日期：</w:t>
      </w:r>
      <w:r/>
    </w:p>
    <w:p>
      <w:pPr>
        <w:pStyle w:val="103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1"/>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2"/>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1"/>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2"/>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1"/>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2"/>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1"/>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2"/>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31"/>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jc w:val="center"/>
        <w:keepLines w:val="0"/>
        <w:keepNext w:val="0"/>
        <w:pageBreakBefore w:val="0"/>
        <w:spacing w:line="360" w:lineRule="auto"/>
        <w:rPr>
          <w:rStyle w:val="1277"/>
          <w:rFonts w:hint="eastAsia" w:ascii="仿宋" w:hAnsi="仿宋" w:eastAsia="仿宋" w:cs="仿宋"/>
          <w:b/>
          <w:bCs/>
          <w:color w:val="auto"/>
          <w:szCs w:val="24"/>
          <w:highlight w:val="none"/>
          <w:lang w:val="en-US" w:eastAsia="zh-CN" w:bidi="ar-SA"/>
        </w:rPr>
        <w:outlineLvl w:val="1"/>
      </w:pPr>
      <w:r/>
      <w:bookmarkStart w:id="74" w:name="_Toc17091"/>
      <w:r/>
      <w:bookmarkStart w:id="75" w:name="_Toc25939"/>
      <w:r>
        <w:rPr>
          <w:rStyle w:val="1277"/>
          <w:rFonts w:hint="eastAsia" w:ascii="仿宋" w:hAnsi="仿宋" w:eastAsia="仿宋" w:cs="仿宋"/>
          <w:b/>
          <w:bCs/>
          <w:color w:val="auto"/>
          <w:szCs w:val="24"/>
          <w:highlight w:val="none"/>
          <w:lang w:val="en-US" w:eastAsia="zh-CN" w:bidi="ar-SA"/>
        </w:rPr>
        <w:t xml:space="preserve">十三、2供应商对“工作人员配备要求”的承诺</w:t>
      </w:r>
      <w:bookmarkEnd w:id="74"/>
      <w:r/>
      <w:bookmarkEnd w:id="75"/>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2"/>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承诺：如我单位被确定为</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项目所配备的工作人员不低于</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文件的要求。具体如下：</w:t>
      </w:r>
      <w:r/>
    </w:p>
    <w:p>
      <w:pPr>
        <w:ind w:firstLine="482"/>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1.人员承诺</w:t>
      </w:r>
      <w:r/>
    </w:p>
    <w:tbl>
      <w:tblPr>
        <w:tblStyle w:val="986"/>
        <w:tblW w:w="53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376"/>
        <w:gridCol w:w="697"/>
        <w:gridCol w:w="946"/>
        <w:gridCol w:w="946"/>
        <w:gridCol w:w="946"/>
        <w:gridCol w:w="946"/>
        <w:gridCol w:w="946"/>
        <w:gridCol w:w="946"/>
        <w:gridCol w:w="946"/>
        <w:gridCol w:w="955"/>
      </w:tblGrid>
      <w:tr>
        <w:trPr>
          <w:jc w:val="center"/>
          <w:trHeight w:val="516"/>
        </w:trPr>
        <w:tc>
          <w:tcPr>
            <w:gridSpan w:val="11"/>
            <w:tcW w:w="500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现场工作人员最低人数</w:t>
            </w:r>
            <w:r/>
          </w:p>
        </w:tc>
      </w:tr>
      <w:tr>
        <w:trPr>
          <w:jc w:val="center"/>
          <w:trHeight w:val="1285"/>
        </w:trPr>
        <w:tc>
          <w:tcPr>
            <w:tcW w:w="35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W w:w="662"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tcW w:w="33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总人数</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w:t>
            </w:r>
            <w:r/>
          </w:p>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负责人</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技术员（兼现场负责人）</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质检员</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安全员</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资料员</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秩序巡查人员</w:t>
            </w:r>
            <w:r/>
          </w:p>
        </w:tc>
        <w:tc>
          <w:tcPr>
            <w:tcW w:w="4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现场养护人</w:t>
            </w:r>
            <w:r>
              <w:rPr>
                <w:rFonts w:hint="eastAsia" w:ascii="仿宋" w:hAnsi="仿宋" w:eastAsia="仿宋" w:cs="仿宋"/>
                <w:color w:val="auto"/>
                <w:sz w:val="24"/>
                <w:szCs w:val="24"/>
                <w:highlight w:val="none"/>
                <w:lang w:val="en-US" w:eastAsia="zh-CN"/>
              </w:rPr>
              <w:t xml:space="preserve">员</w:t>
            </w:r>
            <w:r/>
          </w:p>
        </w:tc>
      </w:tr>
      <w:tr>
        <w:trPr>
          <w:jc w:val="center"/>
          <w:trHeight w:val="489"/>
        </w:trPr>
        <w:tc>
          <w:tcPr>
            <w:tcW w:w="35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662"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35"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500"/>
        </w:trPr>
        <w:tc>
          <w:tcPr>
            <w:tcW w:w="35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662"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35"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55"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注：技术员兼现场负责人。</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2.项目总负责人具有园林绿化</w:t>
      </w:r>
      <w:r>
        <w:rPr>
          <w:rFonts w:hint="eastAsia" w:ascii="仿宋" w:hAnsi="仿宋" w:eastAsia="仿宋" w:cs="仿宋"/>
          <w:color w:val="auto"/>
          <w:sz w:val="24"/>
          <w:szCs w:val="24"/>
          <w:highlight w:val="none"/>
          <w:lang w:val="en-US" w:eastAsia="zh-CN"/>
        </w:rPr>
        <w:t xml:space="preserve">中级</w:t>
      </w:r>
      <w:r>
        <w:rPr>
          <w:rFonts w:hint="eastAsia" w:ascii="仿宋" w:hAnsi="仿宋" w:eastAsia="仿宋" w:cs="仿宋"/>
          <w:color w:val="auto"/>
          <w:sz w:val="24"/>
          <w:szCs w:val="24"/>
          <w:highlight w:val="none"/>
        </w:rPr>
        <w:t xml:space="preserve">工程师及以上职称或园林绿化高级工及以上资格，技术员（兼现场负责人）具有园林绿化初级及以上职称或园林绿化中级工及以上资格，质检员、安全员、资料员以及绿化工、园艺工等不同工种的现场工作人员均具有相应的资格证书，</w:t>
      </w:r>
      <w:r>
        <w:rPr>
          <w:rFonts w:hint="eastAsia" w:ascii="仿宋" w:hAnsi="仿宋" w:eastAsia="仿宋" w:cs="仿宋"/>
          <w:color w:val="auto"/>
          <w:sz w:val="24"/>
          <w:szCs w:val="24"/>
          <w:highlight w:val="none"/>
          <w:lang w:val="en-US" w:eastAsia="zh-CN"/>
        </w:rPr>
        <w:t xml:space="preserve">（一标段）保安人员持有《保安员上岗证》，</w:t>
      </w:r>
      <w:r>
        <w:rPr>
          <w:rFonts w:hint="eastAsia" w:ascii="仿宋" w:hAnsi="仿宋" w:eastAsia="仿宋" w:cs="仿宋"/>
          <w:color w:val="auto"/>
          <w:sz w:val="24"/>
          <w:szCs w:val="24"/>
          <w:highlight w:val="none"/>
        </w:rPr>
        <w:t xml:space="preserve">能够胜任现场养护管理工作，且以上人员为我公司合法人员。</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3.项目总负责人和技术员（兼现场负责人）等现场管理和服务人员在项目履约过程中，不擅自更换。</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4.项目部人员及工人统一工作服装。</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5.提供24小时应急服务，设置固定办公地点、值班人员及联系电话。</w:t>
      </w:r>
      <w:r/>
    </w:p>
    <w:p>
      <w:pPr>
        <w:ind w:firstLine="48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6.上述人员在我</w:t>
      </w:r>
      <w:r>
        <w:rPr>
          <w:rFonts w:hint="eastAsia" w:ascii="仿宋" w:hAnsi="仿宋" w:eastAsia="仿宋" w:cs="仿宋"/>
          <w:color w:val="auto"/>
          <w:sz w:val="24"/>
          <w:szCs w:val="24"/>
          <w:highlight w:val="none"/>
          <w:lang w:val="en-US" w:eastAsia="zh-CN"/>
        </w:rPr>
        <w:t xml:space="preserve">单位</w:t>
      </w:r>
      <w:r>
        <w:rPr>
          <w:rFonts w:hint="eastAsia" w:ascii="仿宋" w:hAnsi="仿宋" w:eastAsia="仿宋" w:cs="仿宋"/>
          <w:color w:val="auto"/>
          <w:sz w:val="24"/>
          <w:szCs w:val="24"/>
          <w:highlight w:val="none"/>
        </w:rPr>
        <w:t xml:space="preserve">中标后15天内，完成用工合同签署并完成养老保险、安全保险等相关保险办理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项目总负责人除外）</w:t>
      </w:r>
      <w:r>
        <w:rPr>
          <w:rFonts w:hint="eastAsia" w:ascii="仿宋" w:hAnsi="仿宋" w:eastAsia="仿宋" w:cs="仿宋"/>
          <w:color w:val="auto"/>
          <w:sz w:val="24"/>
          <w:szCs w:val="24"/>
          <w:highlight w:val="none"/>
        </w:rPr>
        <w:t xml:space="preserve">，且用工时间不少于合同履约期，逾期未按要求完成按我单位自动放弃中标处理。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办公地点：                         </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值班人员：                         </w:t>
      </w:r>
      <w:r/>
    </w:p>
    <w:p>
      <w:pPr>
        <w:pStyle w:val="1036"/>
        <w:ind w:firstLine="482"/>
        <w:pageBreakBefore w:val="0"/>
        <w:spacing w:line="312"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联系电话：</w:t>
      </w:r>
      <w:r/>
    </w:p>
    <w:p>
      <w:pPr>
        <w:pStyle w:val="1031"/>
        <w:ind w:firstLine="4560"/>
        <w:jc w:val="left"/>
        <w:pageBreakBefore w:val="0"/>
        <w:spacing w:line="312" w:lineRule="auto"/>
        <w:widowControl w:val="off"/>
        <w:rPr>
          <w:rFonts w:hint="eastAsia" w:ascii="仿宋" w:hAnsi="仿宋" w:eastAsia="仿宋" w:cs="仿宋"/>
          <w:bCs/>
          <w:color w:val="auto"/>
          <w:sz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31"/>
        <w:ind w:firstLine="4560"/>
        <w:jc w:val="left"/>
        <w:pageBreakBefore w:val="0"/>
        <w:spacing w:line="312" w:lineRule="auto"/>
        <w:widowControl w:val="off"/>
        <w:rPr>
          <w:rFonts w:hint="eastAsia" w:ascii="仿宋" w:hAnsi="仿宋" w:eastAsia="仿宋" w:cs="仿宋"/>
          <w:color w:val="auto"/>
          <w:sz w:val="24"/>
          <w:szCs w:val="24"/>
          <w:highlight w:val="none"/>
        </w:rPr>
      </w:pPr>
      <w:r>
        <w:rPr>
          <w:rStyle w:val="1277"/>
          <w:rFonts w:hint="eastAsia" w:ascii="仿宋" w:hAnsi="仿宋" w:eastAsia="仿宋" w:cs="仿宋"/>
          <w:b w:val="0"/>
          <w:bCs w:val="0"/>
          <w:color w:val="auto"/>
          <w:sz w:val="24"/>
          <w:szCs w:val="24"/>
          <w:highlight w:val="none"/>
        </w:rPr>
        <w:t xml:space="preserve">日期：</w:t>
      </w:r>
      <w:r/>
    </w:p>
    <w:p>
      <w:pPr>
        <w:pStyle w:val="1031"/>
        <w:ind w:left="0" w:firstLine="0"/>
        <w:jc w:val="center"/>
        <w:pageBreakBefore w:val="0"/>
        <w:spacing w:line="312" w:lineRule="auto"/>
        <w:widowControl w:val="off"/>
        <w:rPr>
          <w:rStyle w:val="1277"/>
          <w:rFonts w:hint="eastAsia" w:ascii="仿宋" w:hAnsi="仿宋" w:eastAsia="仿宋" w:cs="仿宋"/>
          <w:b/>
          <w:bCs/>
          <w:color w:val="auto"/>
          <w:sz w:val="24"/>
          <w:szCs w:val="24"/>
          <w:highlight w:val="none"/>
          <w:lang w:val="en-US" w:eastAsia="zh-CN"/>
        </w:rPr>
        <w:sectPr>
          <w:footnotePr/>
          <w:endnotePr/>
          <w:type w:val="nextPage"/>
          <w:pgSz w:w="11906" w:h="16838" w:orient="portrait"/>
          <w:pgMar w:top="1440" w:right="1080" w:bottom="1440" w:left="1300" w:header="851" w:footer="992" w:gutter="0"/>
          <w:cols w:num="1" w:sep="0" w:space="720" w:equalWidth="1"/>
          <w:docGrid w:linePitch="360"/>
          <w:titlePg/>
        </w:sect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spacing w:line="360" w:lineRule="auto"/>
        <w:rPr>
          <w:rStyle w:val="1277"/>
          <w:rFonts w:hint="eastAsia" w:ascii="仿宋" w:hAnsi="仿宋" w:eastAsia="仿宋" w:cs="仿宋"/>
          <w:b/>
          <w:bCs/>
          <w:color w:val="auto"/>
          <w:szCs w:val="24"/>
          <w:highlight w:val="none"/>
          <w:lang w:val="en-US" w:eastAsia="zh-CN" w:bidi="ar-SA"/>
        </w:rPr>
        <w:outlineLvl w:val="1"/>
      </w:pPr>
      <w:r/>
      <w:bookmarkStart w:id="76" w:name="_Toc32016"/>
      <w:r/>
      <w:bookmarkStart w:id="77" w:name="_Toc26025"/>
      <w:r>
        <w:rPr>
          <w:rStyle w:val="1277"/>
          <w:rFonts w:hint="eastAsia" w:ascii="仿宋" w:hAnsi="仿宋" w:eastAsia="仿宋" w:cs="仿宋"/>
          <w:b/>
          <w:bCs/>
          <w:color w:val="auto"/>
          <w:szCs w:val="24"/>
          <w:highlight w:val="none"/>
          <w:lang w:val="en-US" w:eastAsia="zh-CN" w:bidi="ar-SA"/>
        </w:rPr>
        <w:t xml:space="preserve">十四、供应商对“养护管理机械机具设备配置要求”的承诺</w:t>
      </w:r>
      <w:bookmarkEnd w:id="76"/>
      <w:r/>
      <w:bookmarkEnd w:id="77"/>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承诺：如我单位被确定为</w:t>
      </w:r>
      <w:r>
        <w:rPr>
          <w:rFonts w:hint="eastAsia" w:ascii="仿宋" w:hAnsi="仿宋" w:eastAsia="仿宋" w:cs="仿宋"/>
          <w:color w:val="auto"/>
          <w:sz w:val="24"/>
          <w:szCs w:val="24"/>
          <w:highlight w:val="none"/>
          <w:lang w:val="en-US" w:eastAsia="zh-CN"/>
        </w:rPr>
        <w:t xml:space="preserve">承建人</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项目所配置的养护管理机械机具设备不低于</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文件的要求。具体如下：</w:t>
      </w:r>
      <w:r/>
    </w:p>
    <w:tbl>
      <w:tblPr>
        <w:tblStyle w:val="986"/>
        <w:tblW w:w="10385" w:type="dxa"/>
        <w:jc w:val="center"/>
        <w:tblLayout w:type="fixed"/>
        <w:tblCellMar>
          <w:left w:w="108" w:type="dxa"/>
          <w:top w:w="0" w:type="dxa"/>
          <w:right w:w="108" w:type="dxa"/>
          <w:bottom w:w="0" w:type="dxa"/>
        </w:tblCellMar>
        <w:tblLook w:val="04A0" w:firstRow="1" w:lastRow="0" w:firstColumn="1" w:lastColumn="0" w:noHBand="0" w:noVBand="1"/>
      </w:tblPr>
      <w:tblGrid>
        <w:gridCol w:w="438"/>
        <w:gridCol w:w="467"/>
        <w:gridCol w:w="486"/>
        <w:gridCol w:w="486"/>
        <w:gridCol w:w="429"/>
        <w:gridCol w:w="435"/>
        <w:gridCol w:w="540"/>
        <w:gridCol w:w="435"/>
        <w:gridCol w:w="420"/>
        <w:gridCol w:w="459"/>
        <w:gridCol w:w="866"/>
        <w:gridCol w:w="919"/>
        <w:gridCol w:w="861"/>
        <w:gridCol w:w="699"/>
        <w:gridCol w:w="2445"/>
      </w:tblGrid>
      <w:tr>
        <w:trPr>
          <w:jc w:val="center"/>
          <w:trHeight w:val="765"/>
        </w:trPr>
        <w:tc>
          <w:tcPr>
            <w:tcBorders>
              <w:top w:val="single" w:color="auto" w:sz="4" w:space="0"/>
              <w:left w:val="single" w:color="auto" w:sz="4" w:space="0"/>
              <w:right w:val="single" w:color="auto" w:sz="4" w:space="0"/>
            </w:tcBorders>
            <w:tcW w:w="438"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Borders>
              <w:top w:val="single" w:color="auto" w:sz="4" w:space="0"/>
              <w:left w:val="single" w:color="auto" w:sz="4" w:space="0"/>
              <w:right w:val="single" w:color="auto" w:sz="4" w:space="0"/>
            </w:tcBorders>
            <w:tcW w:w="467"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gridSpan w:val="8"/>
            <w:tcBorders>
              <w:top w:val="single" w:color="auto" w:sz="4" w:space="0"/>
              <w:left w:val="single" w:color="auto" w:sz="4" w:space="0"/>
              <w:bottom w:val="single" w:color="auto" w:sz="4" w:space="0"/>
              <w:right w:val="single" w:color="auto" w:sz="4" w:space="0"/>
            </w:tcBorders>
            <w:tcW w:w="369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树枝叶粉碎设备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保洁设备</w:t>
            </w:r>
            <w:r/>
          </w:p>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（辆）</w:t>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pStyle w:val="104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秩序巡查设备（部）</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数字化城管案件办理</w:t>
            </w:r>
            <w:r/>
          </w:p>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w:t>
            </w:r>
            <w:r/>
          </w:p>
        </w:tc>
        <w:tc>
          <w:tcPr>
            <w:tcBorders>
              <w:top w:val="single" w:color="auto" w:sz="4" w:space="0"/>
              <w:left w:val="none" w:color="000000"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道路安全防护设施（组）</w:t>
            </w:r>
            <w:r/>
          </w:p>
        </w:tc>
      </w:tr>
      <w:tr>
        <w:trPr>
          <w:jc w:val="center"/>
          <w:trHeight w:val="1560"/>
        </w:trPr>
        <w:tc>
          <w:tcPr>
            <w:tcBorders>
              <w:left w:val="single" w:color="auto" w:sz="4" w:space="0"/>
              <w:bottom w:val="single" w:color="auto" w:sz="4" w:space="0"/>
              <w:right w:val="single" w:color="auto" w:sz="4" w:space="0"/>
            </w:tcBorders>
            <w:tcW w:w="438"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467"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水车</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喷药设备</w:t>
            </w:r>
            <w:r/>
          </w:p>
        </w:tc>
        <w:tc>
          <w:tcPr>
            <w:tcBorders>
              <w:top w:val="none" w:color="000000" w:sz="4" w:space="0"/>
              <w:left w:val="single" w:color="auto"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pacing w:val="0"/>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割灌机</w:t>
            </w:r>
            <w:r/>
          </w:p>
        </w:tc>
        <w:tc>
          <w:tcPr>
            <w:tcBorders>
              <w:top w:val="none" w:color="000000" w:sz="4" w:space="0"/>
              <w:left w:val="single" w:color="auto"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疏草机</w:t>
            </w:r>
            <w:r/>
          </w:p>
        </w:tc>
        <w:tc>
          <w:tcPr>
            <w:tcBorders>
              <w:top w:val="none" w:color="000000" w:sz="4" w:space="0"/>
              <w:left w:val="single" w:color="auto"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水肥一体机</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电动保洁车</w:t>
            </w:r>
            <w:r/>
          </w:p>
        </w:tc>
        <w:tc>
          <w:tcPr>
            <w:tcBorders>
              <w:top w:val="none" w:color="000000" w:sz="4" w:space="0"/>
              <w:left w:val="single" w:color="auto" w:sz="4" w:space="0"/>
              <w:bottom w:val="single" w:color="000000" w:sz="4" w:space="0"/>
              <w:right w:val="single" w:color="auto" w:sz="4" w:space="0"/>
            </w:tcBorders>
            <w:tcW w:w="861" w:type="dxa"/>
            <w:vAlign w:val="center"/>
            <w:textDirection w:val="lrTb"/>
            <w:noWrap w:val="false"/>
          </w:tcPr>
          <w:p>
            <w:pPr>
              <w:pStyle w:val="104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对讲机</w:t>
            </w:r>
            <w:r/>
          </w:p>
        </w:tc>
        <w:tc>
          <w:tcPr>
            <w:tcBorders>
              <w:top w:val="none" w:color="000000" w:sz="4" w:space="0"/>
              <w:left w:val="single" w:color="auto" w:sz="4" w:space="0"/>
              <w:bottom w:val="single" w:color="000000" w:sz="4" w:space="0"/>
              <w:right w:val="single" w:color="auto" w:sz="4" w:space="0"/>
            </w:tcBorders>
            <w:tcW w:w="699"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处置通</w:t>
            </w:r>
            <w:r/>
          </w:p>
        </w:tc>
        <w:tc>
          <w:tcPr>
            <w:tcBorders>
              <w:top w:val="none" w:color="000000" w:sz="4" w:space="0"/>
              <w:left w:val="single" w:color="auto"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1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61"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1.上述机械设备机具等为我公司所有，全部专用于</w:t>
      </w:r>
      <w:r>
        <w:rPr>
          <w:rFonts w:hint="eastAsia" w:ascii="仿宋" w:hAnsi="仿宋" w:eastAsia="仿宋" w:cs="仿宋"/>
          <w:color w:val="auto"/>
          <w:sz w:val="24"/>
          <w:szCs w:val="24"/>
          <w:highlight w:val="none"/>
          <w:lang w:eastAsia="zh-CN"/>
        </w:rPr>
        <w:t xml:space="preserve">2026年新增市管绿地养护管理</w:t>
      </w:r>
      <w:r>
        <w:rPr>
          <w:rFonts w:hint="eastAsia" w:ascii="仿宋" w:hAnsi="仿宋" w:eastAsia="仿宋" w:cs="仿宋"/>
          <w:color w:val="auto"/>
          <w:sz w:val="24"/>
          <w:szCs w:val="24"/>
          <w:highlight w:val="none"/>
        </w:rPr>
        <w:t xml:space="preserve">工作。</w:t>
      </w:r>
      <w:r/>
    </w:p>
    <w:p>
      <w:pPr>
        <w:ind w:firstLine="48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2.在我公司接到</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通知后15天内，将上述机械机具设备等全部足额配备到位，并放置至规定场所，并提供相应机械机具设备清单</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合同、采购发票以及机械机具设备名称、型号、编号（码）等信息，且按照上表要求的顺序编排，供采购人核实，其中水车等机动车辆要提供车辆行驶证、车辆保险等证件资料，</w:t>
      </w:r>
      <w:r>
        <w:rPr>
          <w:rFonts w:hint="eastAsia" w:ascii="仿宋" w:hAnsi="仿宋" w:eastAsia="仿宋" w:cs="仿宋"/>
          <w:b/>
          <w:bCs/>
          <w:color w:val="auto"/>
          <w:sz w:val="24"/>
          <w:szCs w:val="24"/>
          <w:highlight w:val="none"/>
          <w:lang w:val="en-US" w:eastAsia="zh-CN"/>
        </w:rPr>
        <w:t xml:space="preserve">电动保洁车需符合国标，规范上牌，办理备案编号及车辆注册登记；驾乘人员需办理驾驶证（D证），</w:t>
      </w:r>
      <w:r>
        <w:rPr>
          <w:rFonts w:hint="eastAsia" w:ascii="仿宋" w:hAnsi="仿宋" w:eastAsia="仿宋" w:cs="仿宋"/>
          <w:color w:val="auto"/>
          <w:sz w:val="24"/>
          <w:szCs w:val="24"/>
          <w:highlight w:val="none"/>
        </w:rPr>
        <w:t xml:space="preserve">逾期未按要求办理到位的按自动放弃中标处理。</w:t>
      </w:r>
      <w:r/>
    </w:p>
    <w:p>
      <w:pPr>
        <w:numPr>
          <w:ilvl w:val="0"/>
          <w:numId w:val="0"/>
        </w:numPr>
        <w:ind w:firstLine="482"/>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3.投标企业要严格按照《中华人民共和国国家标准》（GB5768.4-2017）中道路交通标志和标线第4部分：作业区内容要求，配备绿化养护管理作业相应道路安全防护设施。</w:t>
      </w:r>
      <w:r/>
    </w:p>
    <w:p>
      <w:pPr>
        <w:pStyle w:val="1031"/>
        <w:ind w:firstLine="480"/>
        <w:jc w:val="left"/>
        <w:pageBreakBefore w:val="0"/>
        <w:spacing w:line="240" w:lineRule="auto"/>
        <w:widowControl w:val="off"/>
        <w:rPr>
          <w:rStyle w:val="1277"/>
          <w:rFonts w:hint="eastAsia" w:ascii="仿宋" w:hAnsi="仿宋" w:eastAsia="仿宋" w:cs="仿宋"/>
          <w:b/>
          <w:bCs/>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.履约期间，甲方在检查</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中，如发现并查实我公司项目养护管理机械机具设备等未按照月度工作安排从事作业，或不在规定场所，或未足额配置上述承诺的养护管理机械设备机具等的，且未在甲方规定时间内整改到位的，甲方有权终止合同。</w:t>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1"/>
        <w:ind w:firstLine="4560"/>
        <w:jc w:val="left"/>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36"/>
        <w:jc w:val="center"/>
        <w:rPr>
          <w:rFonts w:hint="eastAsia" w:ascii="仿宋" w:hAnsi="仿宋" w:eastAsia="仿宋" w:cs="仿宋"/>
          <w:color w:val="auto"/>
          <w:sz w:val="24"/>
          <w:szCs w:val="24"/>
          <w:highlight w:val="none"/>
        </w:rPr>
        <w:outlineLvl w:val="9"/>
      </w:pPr>
      <w:r>
        <w:rPr>
          <w:rStyle w:val="1277"/>
          <w:rFonts w:hint="eastAsia" w:ascii="仿宋" w:hAnsi="仿宋" w:eastAsia="仿宋" w:cs="仿宋"/>
          <w:b w:val="0"/>
          <w:bCs w:val="0"/>
          <w:color w:val="auto"/>
          <w:sz w:val="24"/>
          <w:szCs w:val="24"/>
          <w:highlight w:val="none"/>
          <w:lang w:val="en-US" w:eastAsia="zh-CN"/>
        </w:rPr>
        <w:t xml:space="preserve">  </w:t>
      </w:r>
      <w:r>
        <w:rPr>
          <w:rStyle w:val="1277"/>
          <w:rFonts w:hint="eastAsia" w:ascii="仿宋" w:hAnsi="仿宋" w:eastAsia="仿宋" w:cs="仿宋"/>
          <w:b w:val="0"/>
          <w:bCs w:val="0"/>
          <w:color w:val="auto"/>
          <w:sz w:val="24"/>
          <w:szCs w:val="24"/>
          <w:highlight w:val="none"/>
        </w:rPr>
        <w:t xml:space="preserve">日期：</w:t>
      </w:r>
      <w:r/>
    </w:p>
    <w:p>
      <w:pPr>
        <w:pStyle w:val="1031"/>
        <w:ind w:left="0" w:firstLine="0"/>
        <w:jc w:val="center"/>
        <w:pageBreakBefore w:val="0"/>
        <w:spacing w:line="312" w:lineRule="auto"/>
        <w:widowControl w:val="off"/>
        <w:rPr>
          <w:rStyle w:val="1277"/>
          <w:rFonts w:hint="eastAsia" w:ascii="仿宋" w:hAnsi="仿宋" w:eastAsia="仿宋" w:cs="仿宋"/>
          <w:b/>
          <w:bCs/>
          <w:color w:val="auto"/>
          <w:sz w:val="24"/>
          <w:szCs w:val="24"/>
          <w:highlight w:val="none"/>
          <w:lang w:val="en-US" w:eastAsia="zh-CN"/>
        </w:rPr>
        <w:sectPr>
          <w:footnotePr/>
          <w:endnotePr/>
          <w:type w:val="nextPage"/>
          <w:pgSz w:w="11906" w:h="16838" w:orient="portrait"/>
          <w:pgMar w:top="1440" w:right="1080" w:bottom="1440" w:left="1300" w:header="851" w:footer="992" w:gutter="0"/>
          <w:cols w:num="1" w:sep="0" w:space="720" w:equalWidth="1"/>
          <w:docGrid w:linePitch="360"/>
          <w:titlePg/>
        </w:sectPr>
      </w:pPr>
      <w:r>
        <w:rPr>
          <w:rFonts w:hint="eastAsia" w:ascii="仿宋" w:hAnsi="仿宋" w:eastAsia="仿宋" w:cs="仿宋"/>
          <w:b/>
          <w:bCs/>
          <w:color w:val="auto"/>
          <w:sz w:val="24"/>
          <w:szCs w:val="24"/>
          <w:highlight w:val="none"/>
          <w:lang w:val="en-US" w:eastAsia="zh-CN"/>
        </w:rPr>
      </w:r>
      <w:r/>
    </w:p>
    <w:p>
      <w:pPr>
        <w:pStyle w:val="1031"/>
        <w:ind w:left="0" w:firstLine="0"/>
        <w:jc w:val="center"/>
        <w:pageBreakBefore w:val="0"/>
        <w:spacing w:line="312" w:lineRule="auto"/>
        <w:widowControl w:val="off"/>
        <w:rPr>
          <w:rStyle w:val="1277"/>
          <w:rFonts w:hint="eastAsia" w:ascii="仿宋" w:hAnsi="仿宋" w:eastAsia="仿宋" w:cs="仿宋"/>
          <w:color w:val="auto"/>
          <w:sz w:val="24"/>
          <w:szCs w:val="24"/>
          <w:highlight w:val="none"/>
        </w:rPr>
      </w:pPr>
      <w:r>
        <w:rPr>
          <w:rStyle w:val="1277"/>
          <w:rFonts w:hint="eastAsia" w:ascii="仿宋" w:hAnsi="仿宋" w:eastAsia="仿宋" w:cs="仿宋"/>
          <w:b/>
          <w:bCs/>
          <w:color w:val="auto"/>
          <w:sz w:val="24"/>
          <w:szCs w:val="24"/>
          <w:highlight w:val="none"/>
          <w:lang w:val="en-US" w:eastAsia="zh-CN"/>
        </w:rPr>
        <w:t xml:space="preserve">十五、</w:t>
      </w:r>
      <w:bookmarkEnd w:id="66"/>
      <w:r/>
      <w:bookmarkEnd w:id="68"/>
      <w:r/>
      <w:bookmarkStart w:id="78" w:name="_Toc27950"/>
      <w:r/>
      <w:bookmarkStart w:id="79" w:name="_Toc80122314"/>
      <w:r>
        <w:rPr>
          <w:rStyle w:val="1277"/>
          <w:rFonts w:hint="eastAsia" w:ascii="仿宋" w:hAnsi="仿宋" w:eastAsia="仿宋" w:cs="仿宋"/>
          <w:b/>
          <w:bCs/>
          <w:color w:val="auto"/>
          <w:sz w:val="24"/>
          <w:szCs w:val="24"/>
          <w:highlight w:val="none"/>
        </w:rPr>
        <w:t xml:space="preserve">预付款保函支付条款模板</w:t>
      </w:r>
      <w:bookmarkEnd w:id="78"/>
      <w:r/>
      <w:bookmarkEnd w:id="79"/>
      <w:r/>
      <w:r/>
    </w:p>
    <w:p>
      <w:pPr>
        <w:pStyle w:val="1031"/>
        <w:jc w:val="left"/>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31"/>
        <w:jc w:val="left"/>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1031"/>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Style w:val="1277"/>
          <w:rFonts w:hint="eastAsia" w:ascii="仿宋" w:hAnsi="仿宋" w:eastAsia="仿宋" w:cs="仿宋"/>
          <w:b/>
          <w:color w:val="auto"/>
          <w:sz w:val="24"/>
          <w:szCs w:val="24"/>
          <w:highlight w:val="none"/>
        </w:rPr>
      </w:pPr>
      <w:r>
        <w:rPr>
          <w:rStyle w:val="1277"/>
          <w:rFonts w:hint="eastAsia" w:ascii="仿宋" w:hAnsi="仿宋" w:eastAsia="仿宋" w:cs="仿宋"/>
          <w:b/>
          <w:color w:val="auto"/>
          <w:sz w:val="24"/>
          <w:szCs w:val="24"/>
          <w:highlight w:val="none"/>
        </w:rPr>
        <w:br w:type="page" w:clear="all"/>
      </w:r>
      <w:r/>
    </w:p>
    <w:p>
      <w:pPr>
        <w:pStyle w:val="1031"/>
        <w:ind w:firstLine="643"/>
        <w:jc w:val="center"/>
        <w:pageBreakBefore w:val="0"/>
        <w:spacing w:line="312" w:lineRule="auto"/>
        <w:widowControl w:val="off"/>
        <w:rPr>
          <w:rStyle w:val="1277"/>
          <w:rFonts w:hint="eastAsia" w:ascii="仿宋" w:hAnsi="仿宋" w:eastAsia="仿宋" w:cs="仿宋"/>
          <w:color w:val="auto"/>
          <w:sz w:val="24"/>
          <w:szCs w:val="24"/>
          <w:highlight w:val="none"/>
        </w:rPr>
        <w:outlineLvl w:val="0"/>
      </w:pPr>
      <w:r/>
      <w:bookmarkStart w:id="80" w:name="_Toc80122315"/>
      <w:r/>
      <w:bookmarkStart w:id="81" w:name="_Toc11596"/>
      <w:r/>
      <w:bookmarkStart w:id="82" w:name="_Toc26613"/>
      <w:r>
        <w:rPr>
          <w:rStyle w:val="1277"/>
          <w:rFonts w:hint="eastAsia" w:ascii="仿宋" w:hAnsi="仿宋" w:eastAsia="仿宋" w:cs="仿宋"/>
          <w:b/>
          <w:bCs/>
          <w:color w:val="auto"/>
          <w:sz w:val="24"/>
          <w:szCs w:val="24"/>
          <w:highlight w:val="none"/>
        </w:rPr>
        <w:t xml:space="preserve">第十章</w:t>
      </w:r>
      <w:bookmarkStart w:id="83" w:name="_Hlk77698623"/>
      <w:r>
        <w:rPr>
          <w:rStyle w:val="1277"/>
          <w:rFonts w:hint="eastAsia" w:ascii="仿宋" w:hAnsi="仿宋" w:eastAsia="仿宋" w:cs="仿宋"/>
          <w:b/>
          <w:bCs/>
          <w:color w:val="auto"/>
          <w:sz w:val="24"/>
          <w:szCs w:val="24"/>
          <w:highlight w:val="none"/>
        </w:rPr>
        <w:t xml:space="preserve"> 拟签订的合同文本</w:t>
      </w:r>
      <w:bookmarkEnd w:id="80"/>
      <w:r/>
      <w:bookmarkEnd w:id="81"/>
      <w:r/>
      <w:bookmarkEnd w:id="82"/>
      <w:r/>
      <w:bookmarkEnd w:id="83"/>
      <w:r/>
      <w:r/>
    </w:p>
    <w:p>
      <w:pPr>
        <w:jc w:val="center"/>
        <w:pageBreakBefore w:val="0"/>
        <w:spacing w:line="312" w:lineRule="auto"/>
        <w:rPr>
          <w:rFonts w:hint="eastAsia" w:ascii="仿宋" w:hAnsi="仿宋" w:eastAsia="仿宋" w:cs="仿宋"/>
          <w:b/>
          <w:color w:val="auto"/>
          <w:sz w:val="44"/>
          <w:szCs w:val="44"/>
          <w:highlight w:val="none"/>
        </w:rPr>
      </w:pPr>
      <w:r/>
      <w:bookmarkStart w:id="84" w:name="_Toc358569763"/>
      <w:r/>
      <w:bookmarkStart w:id="85" w:name="_Toc498006748"/>
      <w:r/>
      <w:bookmarkStart w:id="86" w:name="_Toc80122316"/>
      <w:r/>
      <w:r/>
    </w:p>
    <w:p>
      <w:pPr>
        <w:pStyle w:val="997"/>
        <w:pageBreakBefore w:val="0"/>
        <w:spacing w:line="312" w:lineRule="auto"/>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rPr>
      </w:r>
      <w:r/>
    </w:p>
    <w:p>
      <w:pPr>
        <w:jc w:val="center"/>
        <w:pageBreakBefore w:val="0"/>
        <w:spacing w:line="312" w:lineRule="auto"/>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rPr>
        <w:t xml:space="preserve">政府采购合同</w:t>
      </w:r>
      <w:r/>
    </w:p>
    <w:p>
      <w:pPr>
        <w:pageBreakBefore w:val="0"/>
        <w:spacing w:line="312" w:lineRule="auto"/>
        <w:rPr>
          <w:rFonts w:hint="eastAsia" w:ascii="仿宋" w:hAnsi="仿宋" w:eastAsia="仿宋" w:cs="仿宋"/>
          <w:b w:val="0"/>
          <w:bCs/>
          <w:color w:val="auto"/>
          <w:sz w:val="24"/>
          <w:szCs w:val="24"/>
          <w:highlight w:val="none"/>
          <w:lang w:val="de-DE"/>
        </w:rPr>
      </w:pPr>
      <w:r>
        <w:rPr>
          <w:rFonts w:hint="eastAsia" w:ascii="仿宋" w:hAnsi="仿宋" w:eastAsia="仿宋" w:cs="仿宋"/>
          <w:b w:val="0"/>
          <w:bCs/>
          <w:color w:val="auto"/>
          <w:sz w:val="24"/>
          <w:szCs w:val="24"/>
          <w:highlight w:val="none"/>
          <w:lang w:val="de-DE"/>
        </w:rPr>
      </w:r>
      <w:r/>
    </w:p>
    <w:p>
      <w:pPr>
        <w:ind w:firstLine="1920"/>
        <w:pageBreakBefore w:val="0"/>
        <w:spacing w:line="312" w:lineRule="auto"/>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项目编号：</w:t>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lang w:eastAsia="zh-CN"/>
        </w:rPr>
        <w:t xml:space="preserve">2026年新增市管绿地养护管理</w:t>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采购单位：</w:t>
      </w:r>
      <w:r>
        <w:rPr>
          <w:rFonts w:hint="eastAsia" w:ascii="仿宋" w:hAnsi="仿宋" w:eastAsia="仿宋" w:cs="仿宋"/>
          <w:b w:val="0"/>
          <w:bCs/>
          <w:color w:val="auto"/>
          <w:sz w:val="24"/>
          <w:szCs w:val="24"/>
          <w:highlight w:val="none"/>
          <w:lang w:eastAsia="zh-CN"/>
        </w:rPr>
        <w:t xml:space="preserve">徐州市住房和城乡建设局</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供应商：</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签订日期：    年  月  日</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r>
      <w:r/>
    </w:p>
    <w:p>
      <w:pPr>
        <w:jc w:val="both"/>
        <w:keepLines/>
        <w:keepNext/>
        <w:pageBreakBefore w:val="0"/>
        <w:spacing w:before="0" w:after="0" w:line="312" w:lineRule="auto"/>
        <w:widowControl/>
        <w:rPr>
          <w:rFonts w:hint="eastAsia" w:ascii="仿宋" w:hAnsi="仿宋" w:eastAsia="仿宋" w:cs="仿宋"/>
          <w:b/>
          <w:bCs/>
          <w:color w:val="auto"/>
          <w:sz w:val="24"/>
          <w:szCs w:val="24"/>
          <w:highlight w:val="none"/>
        </w:rPr>
        <w:outlineLvl w:val="9"/>
      </w:pPr>
      <w:r/>
      <w:bookmarkStart w:id="87" w:name="_Toc17550"/>
      <w:r/>
      <w:bookmarkStart w:id="88" w:name="_Toc296890982"/>
      <w:r/>
      <w:bookmarkStart w:id="89" w:name="_Toc351203480"/>
      <w:r/>
      <w:bookmarkStart w:id="90" w:name="_Toc24196"/>
      <w:r/>
      <w:bookmarkStart w:id="91" w:name="_Toc296503025"/>
      <w:r/>
      <w:r/>
    </w:p>
    <w:p>
      <w:pPr>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End w:id="87"/>
      <w:r/>
      <w:bookmarkEnd w:id="88"/>
      <w:r/>
      <w:bookmarkEnd w:id="89"/>
      <w:r/>
      <w:bookmarkEnd w:id="90"/>
      <w:r/>
      <w:bookmarkEnd w:id="91"/>
      <w:r/>
      <w:r/>
    </w:p>
    <w:p>
      <w:pPr>
        <w:jc w:val="left"/>
        <w:pageBreakBefore w:val="0"/>
        <w:spacing w:line="312" w:lineRule="auto"/>
        <w:widowControl/>
        <w:rPr>
          <w:rFonts w:hint="eastAsia" w:ascii="仿宋" w:hAnsi="仿宋" w:eastAsia="仿宋" w:cs="仿宋"/>
          <w:color w:val="auto"/>
          <w:sz w:val="24"/>
          <w:szCs w:val="24"/>
          <w:highlight w:val="none"/>
        </w:rPr>
        <w:sectPr>
          <w:footnotePr/>
          <w:endnotePr/>
          <w:type w:val="nextPage"/>
          <w:pgSz w:w="11906" w:h="16838" w:orient="portrait"/>
          <w:pgMar w:top="1440" w:right="1080" w:bottom="1440" w:left="1300" w:header="851" w:footer="992" w:gutter="0"/>
          <w:cols w:num="1" w:sep="0" w:space="720" w:equalWidth="1"/>
          <w:docGrid w:linePitch="360"/>
          <w:titlePg/>
        </w:sectPr>
      </w:pPr>
      <w:r>
        <w:rPr>
          <w:rFonts w:hint="eastAsia" w:ascii="仿宋" w:hAnsi="仿宋" w:eastAsia="仿宋" w:cs="仿宋"/>
          <w:color w:val="auto"/>
          <w:sz w:val="24"/>
          <w:szCs w:val="24"/>
          <w:highlight w:val="none"/>
        </w:rPr>
      </w:r>
      <w:bookmarkEnd w:id="84"/>
      <w:r/>
      <w:bookmarkEnd w:id="85"/>
      <w:r/>
      <w:r/>
    </w:p>
    <w:p>
      <w:pPr>
        <w:ind w:firstLine="480"/>
        <w:jc w:val="center"/>
        <w:spacing w:line="360" w:lineRule="auto"/>
        <w:rPr>
          <w:rFonts w:hint="eastAsia" w:ascii="仿宋" w:hAnsi="仿宋" w:eastAsia="仿宋" w:cs="仿宋"/>
          <w:color w:val="auto"/>
          <w:sz w:val="24"/>
          <w:highlight w:val="none"/>
        </w:rPr>
      </w:pPr>
      <w:r/>
      <w:bookmarkStart w:id="92" w:name="_Toc1567"/>
      <w:r>
        <w:rPr>
          <w:rFonts w:hint="eastAsia" w:ascii="仿宋" w:hAnsi="仿宋" w:eastAsia="仿宋" w:cs="仿宋"/>
          <w:color w:val="auto"/>
          <w:sz w:val="24"/>
          <w:highlight w:val="none"/>
        </w:rPr>
        <w:t xml:space="preserve">合同主要条款</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甲方：徐州市住房和城乡建设局</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乙方：</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合同编号：</w:t>
      </w:r>
      <w:bookmarkStart w:id="93" w:name="_Hlk51275935"/>
      <w:r/>
      <w:r/>
    </w:p>
    <w:p>
      <w:pPr>
        <w:ind w:firstLine="482"/>
        <w:jc w:val="center"/>
        <w:keepLines w:val="0"/>
        <w:keepNext w:val="0"/>
        <w:pageBreakBefore w:val="0"/>
        <w:spacing w:line="360" w:lineRule="auto"/>
        <w:rPr>
          <w:rFonts w:hint="eastAsia" w:ascii="仿宋" w:hAnsi="仿宋" w:eastAsia="仿宋" w:cs="仿宋"/>
          <w:b/>
          <w:bCs/>
          <w:color w:val="auto"/>
          <w:sz w:val="24"/>
          <w:highlight w:val="none"/>
        </w:rPr>
        <w:outlineLvl w:val="1"/>
      </w:pPr>
      <w:r/>
      <w:bookmarkStart w:id="94" w:name="_Toc31561"/>
      <w:r>
        <w:rPr>
          <w:rFonts w:hint="eastAsia" w:ascii="仿宋" w:hAnsi="仿宋" w:eastAsia="仿宋" w:cs="仿宋"/>
          <w:b/>
          <w:bCs/>
          <w:color w:val="auto"/>
          <w:sz w:val="24"/>
          <w:highlight w:val="none"/>
        </w:rPr>
        <w:t xml:space="preserve">第一项  总则</w:t>
      </w:r>
      <w:bookmarkEnd w:id="94"/>
      <w:r/>
      <w:r/>
    </w:p>
    <w:p>
      <w:pPr>
        <w:ind w:firstLine="482"/>
        <w:jc w:val="both"/>
        <w:keepLines w:val="0"/>
        <w:keepNext w:val="0"/>
        <w:pageBreakBefore w:val="0"/>
        <w:spacing w:line="360" w:lineRule="auto"/>
        <w:widowControl/>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第一条 </w:t>
      </w:r>
      <w:r>
        <w:rPr>
          <w:rFonts w:hint="eastAsia" w:ascii="仿宋" w:hAnsi="仿宋" w:eastAsia="仿宋" w:cs="仿宋"/>
          <w:color w:val="auto"/>
          <w:sz w:val="24"/>
          <w:highlight w:val="none"/>
        </w:rPr>
        <w:t xml:space="preserve">本合同履行期限为</w:t>
      </w:r>
      <w:r>
        <w:rPr>
          <w:rFonts w:hint="eastAsia" w:ascii="仿宋" w:hAnsi="仿宋" w:eastAsia="仿宋" w:cs="仿宋"/>
          <w:color w:val="auto"/>
          <w:sz w:val="24"/>
          <w:highlight w:val="none"/>
          <w:lang w:val="en-US" w:eastAsia="zh-CN"/>
        </w:rPr>
        <w:t xml:space="preserve">3-29个月不等</w:t>
      </w:r>
      <w:r>
        <w:rPr>
          <w:rFonts w:hint="eastAsia" w:ascii="仿宋" w:hAnsi="仿宋" w:eastAsia="仿宋" w:cs="仿宋"/>
          <w:color w:val="auto"/>
          <w:sz w:val="24"/>
          <w:highlight w:val="none"/>
        </w:rPr>
        <w:t xml:space="preserve">，从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rPr>
          <w:rFonts w:hint="eastAsia" w:ascii="仿宋" w:hAnsi="仿宋" w:eastAsia="仿宋" w:cs="仿宋"/>
          <w:b/>
          <w:bCs/>
          <w:color w:val="auto"/>
          <w:sz w:val="24"/>
          <w:highlight w:val="none"/>
          <w:lang w:val="en-US" w:eastAsia="zh-CN"/>
        </w:rPr>
        <w:t xml:space="preserve">共   个月，</w:t>
      </w:r>
      <w:r>
        <w:rPr>
          <w:rFonts w:hint="eastAsia" w:ascii="仿宋" w:hAnsi="仿宋" w:eastAsia="仿宋" w:cs="仿宋"/>
          <w:b/>
          <w:bCs/>
          <w:color w:val="auto"/>
          <w:sz w:val="24"/>
          <w:highlight w:val="none"/>
          <w:lang w:val="zh-CN"/>
        </w:rPr>
        <w:t xml:space="preserve">自办理移交接收手续日期起</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zh-CN"/>
        </w:rPr>
        <w:t xml:space="preserve">以实际服务期限支付</w:t>
      </w:r>
      <w:r>
        <w:rPr>
          <w:rFonts w:hint="eastAsia" w:ascii="仿宋" w:hAnsi="仿宋" w:eastAsia="仿宋" w:cs="仿宋"/>
          <w:b/>
          <w:bCs/>
          <w:color w:val="auto"/>
          <w:sz w:val="24"/>
          <w:highlight w:val="none"/>
        </w:rPr>
        <w:t xml:space="preserve">。</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第二条</w:t>
      </w:r>
      <w:r>
        <w:rPr>
          <w:rFonts w:hint="eastAsia" w:ascii="仿宋" w:hAnsi="仿宋" w:eastAsia="仿宋" w:cs="仿宋"/>
          <w:color w:val="auto"/>
          <w:sz w:val="24"/>
          <w:highlight w:val="none"/>
        </w:rPr>
        <w:t xml:space="preserve"> 徐州市住房和城乡建设局作为甲方代表，具体承担该项目检查、指导、</w:t>
      </w:r>
      <w:r>
        <w:rPr>
          <w:rFonts w:hint="eastAsia" w:ascii="仿宋" w:hAnsi="仿宋" w:eastAsia="仿宋" w:cs="仿宋"/>
          <w:color w:val="auto"/>
          <w:sz w:val="24"/>
          <w:highlight w:val="none"/>
          <w:lang w:eastAsia="zh-CN"/>
        </w:rPr>
        <w:t xml:space="preserve">质量验收</w:t>
      </w:r>
      <w:r>
        <w:rPr>
          <w:rFonts w:hint="eastAsia" w:ascii="仿宋" w:hAnsi="仿宋" w:eastAsia="仿宋" w:cs="仿宋"/>
          <w:color w:val="auto"/>
          <w:sz w:val="24"/>
          <w:highlight w:val="none"/>
        </w:rPr>
        <w:t xml:space="preserve">、质量评价等工作；乙方派项目总负责人</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 xml:space="preserve">身份证（               ）负责本项目的全面设施维护保养管理工作。</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第三条 合同签订依据</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根据《中华人民共和国民法典》《中华人民共和国政府采购法》《江苏省城市绿化管理条例》《徐州市城市绿化条例》等有关法律、法规和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rPr>
          <w:rFonts w:hint="eastAsia" w:ascii="仿宋" w:hAnsi="仿宋" w:eastAsia="仿宋" w:cs="仿宋"/>
          <w:color w:val="auto"/>
          <w:sz w:val="24"/>
          <w:highlight w:val="none"/>
          <w:u w:val="single"/>
          <w:lang w:val="en-US" w:eastAsia="zh-CN"/>
        </w:rPr>
        <w:t xml:space="preserve">2026年新增市管绿地养护管理</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结果，甲乙双方恪守公平、公正、诚信的原则，经友好协商，签订本合同。 </w:t>
      </w:r>
      <w:r/>
    </w:p>
    <w:p>
      <w:pPr>
        <w:ind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第四条 合同文件的组成</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本合同所附下列文件是构成本合同不可分割的部分：</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2026年新增市管绿地养护管理</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)以及相关的澄清、补充文件等；</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2.乙方的</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w:t>
      </w:r>
      <w:bookmarkStart w:id="95" w:name="_Hlk51621600"/>
      <w:r>
        <w:rPr>
          <w:rFonts w:hint="eastAsia" w:ascii="仿宋" w:hAnsi="仿宋" w:eastAsia="仿宋" w:cs="仿宋"/>
          <w:color w:val="auto"/>
          <w:sz w:val="24"/>
          <w:highlight w:val="none"/>
        </w:rPr>
        <w:t xml:space="preserve">投标承诺书</w:t>
      </w:r>
      <w:bookmarkEnd w:id="95"/>
      <w:r>
        <w:rPr>
          <w:rFonts w:hint="eastAsia" w:ascii="仿宋" w:hAnsi="仿宋" w:eastAsia="仿宋" w:cs="仿宋"/>
          <w:color w:val="auto"/>
          <w:sz w:val="24"/>
          <w:highlight w:val="none"/>
        </w:rPr>
        <w:t xml:space="preserve">及其澄清、补充说明文件等；</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3.履约保证金； </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通知书；</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5.履约过程中徐州市出台的绿化养护管理相关的法律法规、规范标准、办法文件等。</w:t>
      </w:r>
      <w:r/>
    </w:p>
    <w:p>
      <w:pPr>
        <w:pStyle w:val="987"/>
        <w:rPr>
          <w:rFonts w:hint="eastAsia"/>
          <w:color w:val="auto"/>
          <w:highlight w:val="none"/>
        </w:rPr>
      </w:pPr>
      <w:r>
        <w:rPr>
          <w:rFonts w:hint="eastAsia"/>
          <w:color w:val="auto"/>
          <w:highlight w:val="none"/>
        </w:rPr>
      </w:r>
      <w:r/>
    </w:p>
    <w:p>
      <w:pPr>
        <w:ind w:firstLine="482"/>
        <w:jc w:val="both"/>
        <w:keepLines w:val="0"/>
        <w:keepNext w:val="0"/>
        <w:pageBreakBefore w:val="0"/>
        <w:spacing w:line="360" w:lineRule="auto"/>
        <w:rPr>
          <w:rFonts w:hint="default"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rPr>
        <w:t xml:space="preserve">第五条 </w:t>
      </w:r>
      <w:r>
        <w:rPr>
          <w:rFonts w:hint="eastAsia" w:ascii="仿宋" w:hAnsi="仿宋" w:eastAsia="仿宋" w:cs="仿宋"/>
          <w:b/>
          <w:bCs/>
          <w:color w:val="auto"/>
          <w:sz w:val="24"/>
          <w:highlight w:val="none"/>
          <w:lang w:val="en-US" w:eastAsia="zh-CN"/>
        </w:rPr>
        <w:t xml:space="preserve">服务</w:t>
      </w:r>
      <w:r>
        <w:rPr>
          <w:rFonts w:hint="eastAsia" w:ascii="仿宋" w:hAnsi="仿宋" w:eastAsia="仿宋" w:cs="仿宋"/>
          <w:b/>
          <w:bCs/>
          <w:color w:val="auto"/>
          <w:sz w:val="24"/>
          <w:highlight w:val="none"/>
        </w:rPr>
        <w:t xml:space="preserve">范围</w:t>
      </w:r>
      <w:r>
        <w:rPr>
          <w:rFonts w:hint="eastAsia" w:ascii="仿宋" w:hAnsi="仿宋" w:eastAsia="仿宋" w:cs="仿宋"/>
          <w:b/>
          <w:bCs/>
          <w:color w:val="auto"/>
          <w:sz w:val="24"/>
          <w:highlight w:val="none"/>
          <w:lang w:val="en-US" w:eastAsia="zh-CN"/>
        </w:rPr>
        <w:t xml:space="preserve">及内容</w:t>
      </w:r>
      <w:bookmarkEnd w:id="93"/>
      <w:r/>
      <w:r/>
    </w:p>
    <w:p>
      <w:pPr>
        <w:ind w:left="0" w:right="0" w:firstLine="482"/>
        <w:jc w:val="both"/>
        <w:keepLines w:val="0"/>
        <w:keepNext w:val="0"/>
        <w:pageBreakBefore w:val="0"/>
        <w:spacing w:line="324"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left="0" w:right="0" w:firstLine="482"/>
        <w:jc w:val="both"/>
        <w:keepLines w:val="0"/>
        <w:keepNext w:val="0"/>
        <w:pageBreakBefore w:val="0"/>
        <w:spacing w:line="324"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采购包1：</w:t>
      </w:r>
      <w:r>
        <w:rPr>
          <w:rFonts w:hint="eastAsia" w:ascii="仿宋" w:hAnsi="仿宋" w:eastAsia="仿宋" w:cs="仿宋"/>
          <w:color w:val="auto"/>
          <w:sz w:val="24"/>
          <w:szCs w:val="24"/>
          <w:highlight w:val="none"/>
          <w:lang w:val="en-US" w:eastAsia="zh-CN" w:bidi="ar-SA"/>
        </w:rPr>
        <w:t xml:space="preserve">一标段：2026年新移交绿地子房山公园养护管理</w:t>
      </w:r>
      <w:r/>
    </w:p>
    <w:tbl>
      <w:tblPr>
        <w:tblStyle w:val="986"/>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410"/>
        <w:gridCol w:w="1235"/>
        <w:gridCol w:w="1110"/>
        <w:gridCol w:w="1245"/>
        <w:gridCol w:w="945"/>
        <w:gridCol w:w="1275"/>
      </w:tblGrid>
      <w:tr>
        <w:trPr>
          <w:jc w:val="center"/>
          <w:trHeight w:val="586"/>
        </w:trPr>
        <w:tc>
          <w:tcPr>
            <w:gridSpan w:val="7"/>
            <w:tcW w:w="9540" w:type="dxa"/>
            <w:vAlign w:val="center"/>
            <w:textDirection w:val="lrTb"/>
            <w:noWrap/>
          </w:tcPr>
          <w:p>
            <w:pPr>
              <w:pStyle w:val="15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一、子房山山体公园</w:t>
            </w:r>
            <w:r/>
          </w:p>
        </w:tc>
      </w:tr>
      <w:tr>
        <w:trPr>
          <w:jc w:val="center"/>
          <w:trHeight w:val="23"/>
        </w:trPr>
        <w:tc>
          <w:tcPr>
            <w:tcW w:w="132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采购包号</w:t>
            </w:r>
            <w:r/>
          </w:p>
        </w:tc>
        <w:tc>
          <w:tcPr>
            <w:tcW w:w="241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类别</w:t>
            </w:r>
            <w:r/>
          </w:p>
        </w:tc>
        <w:tc>
          <w:tcPr>
            <w:tcW w:w="1235"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1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245" w:type="dxa"/>
            <w:vAlign w:val="center"/>
            <w:textDirection w:val="lrTb"/>
            <w:noWrap w:val="false"/>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位置</w:t>
            </w:r>
            <w:r/>
          </w:p>
        </w:tc>
        <w:tc>
          <w:tcPr>
            <w:tcW w:w="945" w:type="dxa"/>
            <w:vAlign w:val="center"/>
            <w:textDirection w:val="lrTb"/>
            <w:noWrap w:val="false"/>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W w:w="1275" w:type="dxa"/>
            <w:vAlign w:val="center"/>
            <w:textDirection w:val="lrTb"/>
            <w:noWrap w:val="false"/>
          </w:tcPr>
          <w:p>
            <w:pPr>
              <w:pStyle w:val="1534"/>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养护周期（月）</w:t>
            </w:r>
            <w:r/>
          </w:p>
        </w:tc>
      </w:tr>
      <w:tr>
        <w:trPr>
          <w:jc w:val="center"/>
          <w:trHeight w:val="90"/>
        </w:trPr>
        <w:tc>
          <w:tcPr>
            <w:tcW w:w="1320"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一标段：2026年新移交绿地子房山公园养护管理</w:t>
            </w:r>
            <w:r/>
          </w:p>
        </w:tc>
        <w:tc>
          <w:tcPr>
            <w:tcW w:w="2410" w:type="dxa"/>
            <w:vAlign w:val="center"/>
            <w:textDirection w:val="lrTb"/>
            <w:noWrap w:val="false"/>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子房山山体公园（绿地及铺装）</w:t>
            </w:r>
            <w:r/>
          </w:p>
        </w:tc>
        <w:tc>
          <w:tcPr>
            <w:tcW w:w="1235" w:type="dxa"/>
            <w:vAlign w:val="center"/>
            <w:textDirection w:val="lrTb"/>
            <w:noWrap/>
          </w:tcPr>
          <w:p>
            <w:pPr>
              <w:pStyle w:val="153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10" w:type="dxa"/>
            <w:vAlign w:val="center"/>
            <w:textDirection w:val="lrTb"/>
            <w:noWrap/>
          </w:tcPr>
          <w:p>
            <w:pPr>
              <w:pStyle w:val="153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101563</w:t>
            </w:r>
            <w:r/>
          </w:p>
        </w:tc>
        <w:tc>
          <w:tcPr>
            <w:shd w:val="clear" w:color="auto" w:fill="auto"/>
            <w:tcW w:w="124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津浦东路与淮海路东延交叉口东北角</w:t>
            </w:r>
            <w:r/>
          </w:p>
        </w:tc>
        <w:tc>
          <w:tcPr>
            <w:tcW w:w="945" w:type="dxa"/>
            <w:vAlign w:val="center"/>
            <w:textDirection w:val="lrTb"/>
            <w:noWrap/>
          </w:tcPr>
          <w:p>
            <w:pPr>
              <w:pStyle w:val="153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W w:w="1275" w:type="dxa"/>
            <w:vAlign w:val="center"/>
            <w:textDirection w:val="lrTb"/>
            <w:noWrap/>
          </w:tcPr>
          <w:p>
            <w:pPr>
              <w:pStyle w:val="1534"/>
              <w:ind w:firstLine="0"/>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27</w:t>
            </w:r>
            <w:r/>
          </w:p>
        </w:tc>
      </w:tr>
    </w:tbl>
    <w:p>
      <w:pPr>
        <w:ind w:left="0" w:righ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ind w:right="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采购包2</w:t>
      </w:r>
      <w:r>
        <w:rPr>
          <w:rFonts w:hint="eastAsia" w:ascii="仿宋" w:hAnsi="仿宋" w:eastAsia="仿宋" w:cs="仿宋"/>
          <w:color w:val="auto"/>
          <w:sz w:val="24"/>
          <w:szCs w:val="24"/>
          <w:highlight w:val="none"/>
          <w:lang w:val="en-US" w:eastAsia="zh-CN" w:bidi="ar-SA"/>
        </w:rPr>
        <w:t xml:space="preserve">：二标段：2026年新移交绿地道路绿地养护管理</w:t>
      </w:r>
      <w:r/>
    </w:p>
    <w:tbl>
      <w:tblPr>
        <w:tblStyle w:val="986"/>
        <w:tblW w:w="9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6"/>
        <w:gridCol w:w="2090"/>
        <w:gridCol w:w="2153"/>
        <w:gridCol w:w="788"/>
        <w:gridCol w:w="1390"/>
        <w:gridCol w:w="1075"/>
        <w:gridCol w:w="1194"/>
      </w:tblGrid>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31"/>
              <w:jc w:val="center"/>
              <w:keepLines w:val="0"/>
              <w:keepNext w:val="0"/>
              <w:pageBreakBefore w:val="0"/>
              <w:spacing w:line="24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采购包号</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绿地名称</w:t>
            </w:r>
            <w:r/>
          </w:p>
        </w:tc>
        <w:tc>
          <w:tcPr>
            <w:shd w:val="clear" w:color="auto" w:fill="auto"/>
            <w:tcBorders>
              <w:top w:val="single" w:color="000000" w:sz="4" w:space="0"/>
              <w:left w:val="single" w:color="000000" w:sz="4" w:space="0"/>
              <w:bottom w:val="none" w:color="000000" w:sz="4" w:space="0"/>
              <w:right w:val="single" w:color="000000" w:sz="4" w:space="0"/>
            </w:tcBorders>
            <w:tcW w:w="2153" w:type="dxa"/>
            <w:vAlign w:val="center"/>
            <w:textDirection w:val="lrTb"/>
            <w:noWrap w:val="false"/>
          </w:tcPr>
          <w:p>
            <w:pPr>
              <w:pStyle w:val="1031"/>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位置</w:t>
            </w:r>
            <w:r/>
          </w:p>
        </w:tc>
        <w:tc>
          <w:tcPr>
            <w:shd w:val="clear" w:color="auto" w:fill="auto"/>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养护等级</w:t>
            </w:r>
            <w:r/>
          </w:p>
        </w:tc>
        <w:tc>
          <w:tcPr>
            <w:shd w:val="clear" w:color="auto" w:fill="auto"/>
            <w:tcBorders>
              <w:top w:val="single" w:color="000000" w:sz="4" w:space="0"/>
              <w:left w:val="single" w:color="000000" w:sz="4" w:space="0"/>
              <w:bottom w:val="none" w:color="000000" w:sz="4" w:space="0"/>
              <w:right w:val="single" w:color="000000" w:sz="4" w:space="0"/>
            </w:tcBorders>
            <w:tcW w:w="1390"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普通行道树数量（株）</w:t>
            </w:r>
            <w:r/>
          </w:p>
        </w:tc>
        <w:tc>
          <w:tcPr>
            <w:shd w:val="clear" w:color="auto" w:fill="auto"/>
            <w:tcBorders>
              <w:top w:val="single" w:color="000000" w:sz="4" w:space="0"/>
              <w:left w:val="none" w:color="000000" w:sz="4" w:space="0"/>
              <w:bottom w:val="none" w:color="000000" w:sz="4" w:space="0"/>
              <w:right w:val="single" w:color="000000" w:sz="4" w:space="0"/>
            </w:tcBorders>
            <w:tcW w:w="1194" w:type="dxa"/>
            <w:vAlign w:val="center"/>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养护期（月）</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restart"/>
            <w:textDirection w:val="lrTb"/>
            <w:noWrap w:val="false"/>
          </w:tcPr>
          <w:p>
            <w:pPr>
              <w:pStyle w:val="1031"/>
              <w:jc w:val="center"/>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p>
          <w:p>
            <w:pPr>
              <w:pStyle w:val="1031"/>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二标段：2026年新移交绿地道路绿地养护管理</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2018年市管道路贯通改造建国路改造工程（建国东路快哉亭段）行道树工程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建国路快哉亭段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31"/>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一级乙类</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泉润大道绿化工程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泉山区范围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49296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149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2023年城市快速路网建设-三环南路快速化改造新增点位绿化工程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泉山区七里沟节点、双山路节点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19997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26</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2023年市级道路续建工程-淮塔东路东延一期道路绿化工程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淮塔东路以南迎宾大道部分</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1030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29</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怀德路（新元大道至奥体路段）</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新元大道渠化段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w:t>
            </w:r>
            <w:r/>
          </w:p>
        </w:tc>
      </w:tr>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徐州市新城区紫金路（唐盛路-汉源大道）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11</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汉源大道快速化改造工程（彭祖大道-故黄河南岸）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彭祖大道-故黄河南岸</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彭祖大道快速路一标项目</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肖庄河南-汉源大道东</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44648 </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1273 </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vMerge w:val="continue"/>
            <w:textDirection w:val="lrTb"/>
            <w:noWrap w:val="false"/>
          </w:tcPr>
          <w:p>
            <w:pPr>
              <w:pStyle w:val="1031"/>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both"/>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汉源大道绿道建设工程</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昆仑大道-迎宾大道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36514.88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r>
      <w:tr>
        <w:trPr>
          <w:trHeight w:val="496"/>
        </w:trPr>
        <w:tc>
          <w:tcPr>
            <w:gridSpan w:val="3"/>
            <w:shd w:val="clear" w:color="auto" w:fill="auto"/>
            <w:tcBorders>
              <w:top w:val="single" w:color="000000" w:sz="4" w:space="0"/>
              <w:left w:val="single" w:color="000000" w:sz="4" w:space="0"/>
              <w:bottom w:val="single" w:color="000000" w:sz="4" w:space="0"/>
              <w:right w:val="single" w:color="000000" w:sz="4" w:space="0"/>
            </w:tcBorders>
            <w:tcW w:w="5129" w:type="dxa"/>
            <w:vAlign w:val="center"/>
            <w:textDirection w:val="lrTb"/>
            <w:noWrap/>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176866.88</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1031"/>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0" w:right="0" w:firstLine="0"/>
        <w:jc w:val="center"/>
        <w:keepLines w:val="0"/>
        <w:keepNext w:val="0"/>
        <w:pageBreakBefore w:val="0"/>
        <w:spacing w:line="360" w:lineRule="auto"/>
        <w:rPr>
          <w:rFonts w:hint="eastAsia" w:ascii="仿宋" w:hAnsi="仿宋" w:eastAsia="仿宋" w:cs="仿宋"/>
          <w:b/>
          <w:bCs/>
          <w:color w:val="auto"/>
          <w:sz w:val="24"/>
          <w:szCs w:val="24"/>
          <w:highlight w:val="none"/>
        </w:rPr>
        <w:outlineLvl w:val="1"/>
      </w:pPr>
      <w:r>
        <w:rPr>
          <w:highlight w:val="none"/>
        </w:rPr>
      </w:r>
      <w:r>
        <w:rPr>
          <w:highlight w:val="none"/>
        </w:rPr>
      </w:r>
      <w:r/>
    </w:p>
    <w:p>
      <w:pPr>
        <w:ind w:left="0" w:right="0" w:firstLine="0"/>
        <w:jc w:val="center"/>
        <w:keepLines w:val="0"/>
        <w:keepNext w:val="0"/>
        <w:pageBreakBefore w:val="0"/>
        <w:spacing w:line="360" w:lineRule="auto"/>
        <w:rPr>
          <w:highlight w:val="none"/>
        </w:rPr>
        <w:outlineLvl w:val="1"/>
      </w:pPr>
      <w:r/>
      <w:bookmarkStart w:id="96" w:name="_Toc8465"/>
      <w:r>
        <w:rPr>
          <w:rFonts w:hint="eastAsia" w:ascii="仿宋" w:hAnsi="仿宋" w:eastAsia="仿宋" w:cs="仿宋"/>
          <w:b/>
          <w:bCs/>
          <w:color w:val="auto"/>
          <w:sz w:val="24"/>
          <w:highlight w:val="none"/>
        </w:rPr>
        <w:t xml:space="preserve">第二项</w:t>
      </w:r>
      <w:bookmarkStart w:id="97" w:name="_Hlk51276039"/>
      <w:r>
        <w:rPr>
          <w:rFonts w:hint="eastAsia" w:ascii="仿宋" w:hAnsi="仿宋" w:eastAsia="仿宋" w:cs="仿宋"/>
          <w:b/>
          <w:bCs/>
          <w:color w:val="auto"/>
          <w:sz w:val="24"/>
          <w:highlight w:val="none"/>
        </w:rPr>
        <w:t xml:space="preserve">  合同价款与支付</w:t>
      </w:r>
      <w:bookmarkEnd w:id="96"/>
      <w:r/>
      <w:bookmarkEnd w:id="97"/>
      <w:r/>
      <w:r/>
    </w:p>
    <w:p>
      <w:pPr>
        <w:ind w:left="0" w:right="0" w:firstLine="480"/>
        <w:jc w:val="both"/>
        <w:keepLines w:val="0"/>
        <w:keepNext w:val="0"/>
        <w:pageBreakBefore w:val="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条 合同价款及支付</w:t>
      </w:r>
      <w:r/>
    </w:p>
    <w:p>
      <w:pPr>
        <w:ind w:left="0" w:right="0" w:firstLine="482"/>
        <w:spacing w:before="0" w:after="0" w:line="360" w:lineRule="auto"/>
        <w:tabs>
          <w:tab w:val="left" w:pos="5131"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98" w:name="_Hlk51276470"/>
      <w:r>
        <w:rPr>
          <w:rFonts w:hint="eastAsia" w:ascii="仿宋" w:hAnsi="仿宋" w:eastAsia="仿宋" w:cs="仿宋"/>
          <w:color w:val="auto"/>
          <w:sz w:val="24"/>
          <w:szCs w:val="24"/>
          <w:highlight w:val="none"/>
        </w:rPr>
        <w:t xml:space="preserve">（一）本合同总金额为人民币大写金额元（小写金额：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元），经双方协商一致，选择以下第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种付款方式：</w:t>
      </w:r>
      <w:r/>
    </w:p>
    <w:p>
      <w:pPr>
        <w:ind w:left="0" w:right="0" w:firstLine="482"/>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付款方式一：提交预付款保函的</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合同总价的百分之十（10%）即￥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元整，在双方签订合同后，乙方向甲方出具等额预付款保函后，办理政府采购资金结算手续支付给乙方。</w:t>
      </w:r>
      <w:r/>
    </w:p>
    <w:p>
      <w:pPr>
        <w:ind w:firstLine="480"/>
        <w:spacing w:after="0" w:line="360" w:lineRule="auto"/>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预付款</w:t>
      </w:r>
      <w:r>
        <w:rPr>
          <w:rFonts w:hint="eastAsia" w:ascii="仿宋" w:hAnsi="仿宋" w:eastAsia="仿宋" w:cs="仿宋"/>
          <w:color w:val="auto"/>
          <w:sz w:val="24"/>
          <w:szCs w:val="24"/>
          <w:highlight w:val="none"/>
        </w:rPr>
        <w:t xml:space="preserve">扣除</w:t>
      </w:r>
      <w:r>
        <w:rPr>
          <w:rFonts w:hint="eastAsia" w:ascii="仿宋" w:hAnsi="仿宋" w:eastAsia="仿宋" w:cs="仿宋"/>
          <w:color w:val="auto"/>
          <w:sz w:val="24"/>
          <w:szCs w:val="24"/>
          <w:highlight w:val="none"/>
        </w:rPr>
        <w:t xml:space="preserve">后期应支付管理费。剩余合同价款由甲方按月按</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结果支付，分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个月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按服务期限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，每月百分之二点五（2.5%）即￥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元整，每月月底前对当月作业情况进行</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结果汇总，按照</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结果，由甲方据实办理结算。</w:t>
      </w:r>
      <w:r>
        <w:rPr>
          <w:rFonts w:hint="eastAsia" w:ascii="仿宋" w:hAnsi="仿宋" w:eastAsia="仿宋" w:cs="仿宋"/>
          <w:b/>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卖方需提交的支付文件包括：卖方出具的全额正式发票</w:t>
      </w:r>
      <w:r>
        <w:rPr>
          <w:rFonts w:hint="eastAsia" w:ascii="仿宋" w:hAnsi="仿宋" w:eastAsia="仿宋" w:cs="仿宋"/>
          <w:color w:val="auto"/>
          <w:sz w:val="24"/>
          <w:szCs w:val="24"/>
          <w:highlight w:val="none"/>
          <w:lang w:eastAsia="zh-CN"/>
        </w:rPr>
        <w:t xml:space="preserve">。</w:t>
      </w:r>
      <w:r/>
    </w:p>
    <w:p>
      <w:pPr>
        <w:ind w:left="0" w:right="0" w:firstLine="482"/>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付款方式二：不提交预付款保函的</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合同总价的百分之十（10%）即￥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元整，在双方签订合同后，办理政府采购资金结算手续支付给乙方。</w:t>
      </w:r>
      <w:r/>
    </w:p>
    <w:p>
      <w:pPr>
        <w:ind w:firstLine="480"/>
        <w:spacing w:after="0" w:line="360" w:lineRule="auto"/>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预付款</w:t>
      </w:r>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t xml:space="preserve">扣除</w:t>
      </w:r>
      <w:r/>
      <w:r>
        <w:rPr>
          <w:rFonts w:hint="eastAsia" w:ascii="仿宋" w:hAnsi="仿宋" w:eastAsia="仿宋" w:cs="仿宋"/>
          <w:color w:val="auto"/>
          <w:sz w:val="24"/>
          <w:szCs w:val="24"/>
          <w:highlight w:val="none"/>
        </w:rPr>
        <w:t xml:space="preserve">后期应支付管理费。剩余合同价款由甲方按月按</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结果支付，分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个月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按服务期限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每月百分之二点五（2.5%）即￥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元整，每月月底前对当月作业情况进行</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结果汇总，按照</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结果，由甲方据实办理结算。</w:t>
      </w:r>
      <w:r>
        <w:rPr>
          <w:rFonts w:hint="eastAsia" w:ascii="仿宋" w:hAnsi="仿宋" w:eastAsia="仿宋" w:cs="仿宋"/>
          <w:b/>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卖方需提交的支付文件包括：卖方出具的全额正式发票。</w:t>
      </w:r>
      <w:r/>
    </w:p>
    <w:p>
      <w:pPr>
        <w:ind w:left="0" w:right="0" w:firstLine="482"/>
        <w:spacing w:before="0" w:after="0" w:line="360" w:lineRule="auto"/>
        <w:tabs>
          <w:tab w:val="left" w:pos="5131" w:leader="none"/>
        </w:tabs>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highlight w:val="none"/>
        </w:rPr>
        <w:t xml:space="preserve">付款方式三：</w:t>
      </w:r>
      <w:r>
        <w:rPr>
          <w:rFonts w:hint="eastAsia" w:ascii="仿宋" w:hAnsi="仿宋" w:eastAsia="仿宋" w:cs="仿宋"/>
          <w:color w:val="auto"/>
          <w:sz w:val="24"/>
          <w:szCs w:val="24"/>
          <w:highlight w:val="none"/>
        </w:rPr>
        <w:t xml:space="preserve">在签订合同时，如乙方明确表示无需预付款的，甲方可按月支付乙方养护管理费（注：此条符合苏财购〔2020〕52号文件要求）。当月合同价款=当月实际养护区域的预算审定价x(1-中标下浮率)。</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甲方每月月底前对当月作业情况进行</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结果汇总，按照</w:t>
      </w:r>
      <w:r>
        <w:rPr>
          <w:rFonts w:hint="eastAsia" w:ascii="仿宋" w:hAnsi="仿宋" w:eastAsia="仿宋" w:cs="仿宋"/>
          <w:color w:val="auto"/>
          <w:sz w:val="24"/>
          <w:highlight w:val="none"/>
          <w:lang w:val="en-US" w:eastAsia="zh-CN"/>
        </w:rPr>
        <w:t xml:space="preserve">质量评价</w:t>
      </w:r>
      <w:r>
        <w:rPr>
          <w:rFonts w:hint="eastAsia" w:ascii="仿宋" w:hAnsi="仿宋" w:eastAsia="仿宋" w:cs="仿宋"/>
          <w:color w:val="auto"/>
          <w:sz w:val="24"/>
          <w:szCs w:val="24"/>
          <w:highlight w:val="none"/>
        </w:rPr>
        <w:t xml:space="preserve">结果，由甲方据实办理结算。</w:t>
      </w:r>
      <w:r>
        <w:rPr>
          <w:rFonts w:hint="eastAsia" w:ascii="仿宋" w:hAnsi="仿宋" w:eastAsia="仿宋" w:cs="仿宋"/>
          <w:b/>
          <w:bCs/>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乙方需提交的支付文件包括：乙方出具的全额正式发票；</w:t>
      </w:r>
      <w:r/>
    </w:p>
    <w:p>
      <w:pPr>
        <w:ind w:firstLine="480"/>
        <w:spacing w:line="48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（二）合同价款的支付</w:t>
      </w:r>
      <w:bookmarkEnd w:id="98"/>
      <w:r>
        <w:rPr>
          <w:rFonts w:hint="eastAsia" w:ascii="仿宋" w:hAnsi="仿宋" w:eastAsia="仿宋" w:cs="仿宋"/>
          <w:color w:val="auto"/>
          <w:sz w:val="24"/>
          <w:szCs w:val="24"/>
          <w:highlight w:val="none"/>
          <w:lang w:eastAsia="zh-CN"/>
        </w:rPr>
        <w:t xml:space="preserve">：</w:t>
      </w:r>
      <w:r/>
    </w:p>
    <w:p>
      <w:pPr>
        <w:ind w:firstLine="480"/>
        <w:spacing w:line="480" w:lineRule="exact"/>
        <w:widowControl/>
        <w:rPr>
          <w:rFonts w:hint="eastAsia"/>
          <w:color w:val="auto"/>
          <w:sz w:val="24"/>
          <w:szCs w:val="24"/>
          <w:highlight w:val="none"/>
        </w:rPr>
      </w:pPr>
      <w:r/>
      <w:bookmarkStart w:id="99" w:name="_Hlk51621728"/>
      <w:r>
        <w:rPr>
          <w:rFonts w:hint="eastAsia" w:ascii="仿宋" w:hAnsi="仿宋" w:eastAsia="仿宋" w:cs="仿宋"/>
          <w:color w:val="auto"/>
          <w:sz w:val="24"/>
          <w:szCs w:val="24"/>
          <w:highlight w:val="none"/>
        </w:rPr>
        <w:t xml:space="preserve">甲方每月月底前对当月养护管理</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情况进行</w:t>
      </w:r>
      <w:r>
        <w:rPr>
          <w:rFonts w:hint="eastAsia" w:ascii="仿宋" w:hAnsi="仿宋" w:eastAsia="仿宋" w:cs="仿宋"/>
          <w:color w:val="auto"/>
          <w:sz w:val="24"/>
          <w:szCs w:val="24"/>
          <w:highlight w:val="none"/>
          <w:lang w:val="en-US" w:eastAsia="zh-CN"/>
        </w:rPr>
        <w:t xml:space="preserve">验收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依据质量验收单据实支付乙方费用</w:t>
      </w:r>
      <w:r>
        <w:rPr>
          <w:rFonts w:hint="eastAsia" w:ascii="仿宋" w:hAnsi="仿宋" w:eastAsia="仿宋" w:cs="仿宋"/>
          <w:color w:val="auto"/>
          <w:sz w:val="24"/>
          <w:szCs w:val="24"/>
          <w:highlight w:val="none"/>
        </w:rPr>
        <w:t xml:space="preserve">。其中，</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成绩在95分及以上的为优秀格次，全额支付当月费用；</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成绩在90-95分（含90分）的为合格格次，当月费用为：[1-（95-实际得</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成绩在80-90分（含80分）的为基本合格格次，当月费用为：[1-2×（95-实际得分）/100]×月合同金额；</w:t>
      </w:r>
      <w:r/>
    </w:p>
    <w:p>
      <w:pPr>
        <w:ind w:firstLine="480"/>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highlight w:val="none"/>
        </w:rPr>
        <w:t xml:space="preserve">成绩在80分以下为不合格格次，当月费用为：[1-3×（95-实际得分）/100]×月合同金额。</w:t>
      </w:r>
      <w:bookmarkEnd w:id="99"/>
      <w:r/>
      <w:r/>
    </w:p>
    <w:p>
      <w:pPr>
        <w:ind w:left="0" w:right="0"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乙</w:t>
      </w:r>
      <w:r>
        <w:rPr>
          <w:rFonts w:hint="eastAsia" w:ascii="仿宋" w:hAnsi="仿宋" w:eastAsia="仿宋" w:cs="仿宋"/>
          <w:color w:val="auto"/>
          <w:sz w:val="24"/>
          <w:highlight w:val="none"/>
        </w:rPr>
        <w:t xml:space="preserve">方需提交的支付文件包括：</w:t>
      </w:r>
      <w:r>
        <w:rPr>
          <w:rFonts w:hint="eastAsia" w:ascii="仿宋" w:hAnsi="仿宋" w:eastAsia="仿宋" w:cs="仿宋"/>
          <w:color w:val="auto"/>
          <w:sz w:val="24"/>
          <w:highlight w:val="none"/>
          <w:lang w:eastAsia="zh-CN"/>
        </w:rPr>
        <w:t xml:space="preserve">乙</w:t>
      </w:r>
      <w:r>
        <w:rPr>
          <w:rFonts w:hint="eastAsia" w:ascii="仿宋" w:hAnsi="仿宋" w:eastAsia="仿宋" w:cs="仿宋"/>
          <w:color w:val="auto"/>
          <w:sz w:val="24"/>
          <w:highlight w:val="none"/>
        </w:rPr>
        <w:t xml:space="preserve">方出具的全额正式发票。</w:t>
      </w:r>
      <w:r/>
    </w:p>
    <w:p>
      <w:pPr>
        <w:ind w:left="0" w:right="0" w:firstLine="482"/>
        <w:jc w:val="center"/>
        <w:keepLines w:val="0"/>
        <w:keepNext w:val="0"/>
        <w:pageBreakBefore w:val="0"/>
        <w:spacing w:line="360" w:lineRule="auto"/>
        <w:rPr>
          <w:rFonts w:hint="eastAsia" w:ascii="仿宋" w:hAnsi="仿宋" w:eastAsia="仿宋" w:cs="仿宋"/>
          <w:b/>
          <w:bCs/>
          <w:color w:val="auto"/>
          <w:sz w:val="24"/>
          <w:highlight w:val="none"/>
          <w:lang w:val="en-US" w:eastAsia="zh-CN"/>
        </w:rPr>
        <w:outlineLvl w:val="1"/>
      </w:pPr>
      <w:r/>
      <w:bookmarkStart w:id="100" w:name="_Toc17689"/>
      <w:r>
        <w:rPr>
          <w:rFonts w:hint="eastAsia" w:ascii="仿宋" w:hAnsi="仿宋" w:eastAsia="仿宋" w:cs="仿宋"/>
          <w:b/>
          <w:bCs/>
          <w:color w:val="auto"/>
          <w:sz w:val="24"/>
          <w:highlight w:val="none"/>
        </w:rPr>
        <w:t xml:space="preserve">第三项  质量与</w:t>
      </w:r>
      <w:r>
        <w:rPr>
          <w:rFonts w:hint="eastAsia" w:ascii="仿宋" w:hAnsi="仿宋" w:eastAsia="仿宋" w:cs="仿宋"/>
          <w:b/>
          <w:bCs/>
          <w:strike w:val="0"/>
          <w:color w:val="auto"/>
          <w:sz w:val="24"/>
          <w:highlight w:val="none"/>
          <w:lang w:val="en-US" w:eastAsia="zh-CN"/>
        </w:rPr>
        <w:t xml:space="preserve">评价</w:t>
      </w:r>
      <w:bookmarkEnd w:id="100"/>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w:t>
      </w:r>
      <w:r>
        <w:rPr>
          <w:rFonts w:hint="eastAsia" w:ascii="仿宋" w:hAnsi="仿宋" w:eastAsia="仿宋" w:cs="仿宋"/>
          <w:b/>
          <w:bCs/>
          <w:color w:val="auto"/>
          <w:sz w:val="24"/>
          <w:highlight w:val="none"/>
          <w:lang w:val="en-US" w:eastAsia="zh-CN"/>
        </w:rPr>
        <w:t xml:space="preserve">七</w:t>
      </w:r>
      <w:r>
        <w:rPr>
          <w:rFonts w:hint="eastAsia" w:ascii="仿宋" w:hAnsi="仿宋" w:eastAsia="仿宋" w:cs="仿宋"/>
          <w:b/>
          <w:bCs/>
          <w:color w:val="auto"/>
          <w:sz w:val="24"/>
          <w:highlight w:val="none"/>
        </w:rPr>
        <w:t xml:space="preserve">条 </w:t>
      </w:r>
      <w:r>
        <w:rPr>
          <w:rFonts w:hint="eastAsia" w:ascii="仿宋" w:hAnsi="仿宋" w:eastAsia="仿宋" w:cs="仿宋"/>
          <w:b/>
          <w:bCs/>
          <w:color w:val="auto"/>
          <w:sz w:val="24"/>
          <w:highlight w:val="none"/>
          <w:lang w:val="en-US" w:eastAsia="zh-CN"/>
        </w:rPr>
        <w:t xml:space="preserve">质量评价</w:t>
      </w:r>
      <w:r>
        <w:rPr>
          <w:rFonts w:hint="eastAsia" w:ascii="仿宋" w:hAnsi="仿宋" w:eastAsia="仿宋" w:cs="仿宋"/>
          <w:b/>
          <w:bCs/>
          <w:color w:val="auto"/>
          <w:sz w:val="24"/>
          <w:highlight w:val="none"/>
        </w:rPr>
        <w:t xml:space="preserve">标准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以徐州市现行的绿化养护管理相关的法律法规、规范标准、办法文件等。</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第</w:t>
      </w: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条 </w:t>
      </w:r>
      <w:bookmarkStart w:id="101" w:name="_Hlk51276898"/>
      <w:r>
        <w:rPr>
          <w:rFonts w:hint="eastAsia" w:ascii="仿宋" w:hAnsi="仿宋" w:eastAsia="仿宋" w:cs="仿宋"/>
          <w:b/>
          <w:bCs/>
          <w:color w:val="auto"/>
          <w:sz w:val="24"/>
          <w:highlight w:val="none"/>
        </w:rPr>
        <w:t xml:space="preserve">养护管理要点及主要内容</w:t>
      </w:r>
      <w:bookmarkEnd w:id="101"/>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（一）园容园貌园艺管理及病虫害防治</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1.严格按照徐州市地方标准《园林绿化养护管理规范》（DB 3203/T 1010-2021）进行养护管理。</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负责对管理区域内的环境卫生保洁，无垃圾杂物，无干枯枝叶，垃圾能及时清运，重点地区随产随清，其他地区日产日清。生活及建筑垃圾清运到市环卫部门指定的倾放处，园内植物枝、叶现场粉碎还田，或创造条件集中粉碎，分类堆放、发酵处理后回填绿地，以改良土壤，增强土壤肥力。</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3.负责对管理区域内的秩序管理，无拴挂、无宠物入园、夏季无赤臂现象，无自行车、机动车、电动车入园（残疾人轮椅、儿童车除外），无践踏绿地和其他破坏绿化的行为。</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.对管理区域内的地面铺装（含木质铺装）、花坛、座椅（凳）、花架、栅（护）栏、亮化、喷泉等设施日常维修维护保养，各项设施保持完好、使用正常（设施达到设计使用年限自然损毁的除外）。</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.指定专人分区负责养护管理，设置片长，按不同管理区域合理安排养护管理人员。</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.须配备必要的种植、运输工具，负责养护管理范围内的园林植物补植、种植、迁移工作。</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.负责养护管理范围内的</w:t>
      </w:r>
      <w:r>
        <w:rPr>
          <w:rFonts w:hint="eastAsia" w:ascii="仿宋" w:hAnsi="仿宋" w:eastAsia="仿宋" w:cs="仿宋"/>
          <w:color w:val="auto"/>
          <w:sz w:val="24"/>
          <w:szCs w:val="24"/>
          <w:highlight w:val="none"/>
          <w:lang w:eastAsia="zh-CN"/>
        </w:rPr>
        <w:t xml:space="preserve">造型</w:t>
      </w:r>
      <w:r>
        <w:rPr>
          <w:rFonts w:hint="eastAsia" w:ascii="仿宋" w:hAnsi="仿宋" w:eastAsia="仿宋" w:cs="仿宋"/>
          <w:color w:val="auto"/>
          <w:sz w:val="24"/>
          <w:szCs w:val="24"/>
          <w:highlight w:val="none"/>
        </w:rPr>
        <w:t xml:space="preserve">植物的</w:t>
      </w:r>
      <w:r>
        <w:rPr>
          <w:rFonts w:hint="eastAsia" w:ascii="仿宋" w:hAnsi="仿宋" w:eastAsia="仿宋" w:cs="仿宋"/>
          <w:color w:val="auto"/>
          <w:sz w:val="24"/>
          <w:szCs w:val="24"/>
          <w:highlight w:val="none"/>
          <w:lang w:eastAsia="zh-CN"/>
        </w:rPr>
        <w:t xml:space="preserve">及时</w:t>
      </w:r>
      <w:r>
        <w:rPr>
          <w:rFonts w:hint="eastAsia" w:ascii="仿宋" w:hAnsi="仿宋" w:eastAsia="仿宋" w:cs="仿宋"/>
          <w:color w:val="auto"/>
          <w:sz w:val="24"/>
          <w:szCs w:val="24"/>
          <w:highlight w:val="none"/>
        </w:rPr>
        <w:t xml:space="preserve">修剪、施肥、除草、浇水等日常养护管理工作</w:t>
      </w:r>
      <w:r>
        <w:rPr>
          <w:rFonts w:hint="eastAsia" w:ascii="仿宋" w:hAnsi="仿宋" w:eastAsia="仿宋" w:cs="仿宋"/>
          <w:color w:val="auto"/>
          <w:sz w:val="24"/>
          <w:szCs w:val="24"/>
          <w:highlight w:val="none"/>
          <w:lang w:eastAsia="zh-CN"/>
        </w:rPr>
        <w:t xml:space="preserve">，保持造型植物的艺术形态</w:t>
      </w:r>
      <w:r>
        <w:rPr>
          <w:rFonts w:hint="eastAsia" w:ascii="仿宋" w:hAnsi="仿宋" w:eastAsia="仿宋" w:cs="仿宋"/>
          <w:color w:val="auto"/>
          <w:sz w:val="24"/>
          <w:szCs w:val="24"/>
          <w:highlight w:val="none"/>
        </w:rPr>
        <w:t xml:space="preserve">。</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.负责对养护管理范围内绿地养护，并对养护管理范围内死亡的树木、草坪、地被等，由乙方及时补种、完善，补植品种、规格应与原树木基本相同。</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.按要求每月将苗木生长情况及日常养护管理计划、片区及人员安排计划上报管理单位。</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.如遇市政工程、重大活动时，乙方应派人员，做好绿地的维护管理工作，保证绿地及设施完好。</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日常养护管理</w:t>
      </w:r>
      <w:r>
        <w:rPr>
          <w:rFonts w:hint="eastAsia" w:ascii="仿宋" w:hAnsi="仿宋" w:eastAsia="仿宋" w:cs="仿宋"/>
          <w:color w:val="auto"/>
          <w:sz w:val="24"/>
          <w:szCs w:val="24"/>
          <w:highlight w:val="none"/>
        </w:rPr>
        <w:t xml:space="preserve">台账记录详细如实。每个履约周期及其年周期对乙方养护管理工作质量和成效进行总体质量评价。评价结果纳入企业信用体系。</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负责及时处置养护管理范围内发生的数字化城市管理案件、“12345”政府服务热线工单和上级交办的事项等。</w:t>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工作人员要求</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工作人员人数见乙方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投标文件，在总人数不变的情况下，合理安排各重要部位的工作人员数量。工作人员具体要求如下：</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（一）</w:t>
      </w:r>
      <w:r>
        <w:rPr>
          <w:rFonts w:hint="eastAsia" w:ascii="仿宋" w:hAnsi="仿宋" w:eastAsia="仿宋" w:cs="仿宋"/>
          <w:color w:val="auto"/>
          <w:sz w:val="24"/>
          <w:szCs w:val="24"/>
          <w:highlight w:val="none"/>
        </w:rPr>
        <w:t xml:space="preserve">人员配备要求：</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人数要求（以下人数为最低标准，投标人可根据自身情况增加）：</w:t>
      </w:r>
      <w:r/>
    </w:p>
    <w:tbl>
      <w:tblPr>
        <w:tblStyle w:val="986"/>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749"/>
        <w:gridCol w:w="985"/>
        <w:gridCol w:w="1412"/>
        <w:gridCol w:w="871"/>
        <w:gridCol w:w="944"/>
        <w:gridCol w:w="985"/>
        <w:gridCol w:w="1491"/>
        <w:gridCol w:w="949"/>
        <w:gridCol w:w="983"/>
      </w:tblGrid>
      <w:tr>
        <w:trPr>
          <w:cantSplit/>
          <w:jc w:val="center"/>
          <w:trHeight w:val="327"/>
        </w:trPr>
        <w:tc>
          <w:tcPr>
            <w:gridSpan w:val="10"/>
            <w:tcW w:w="5000" w:type="pct"/>
            <w:vAlign w:val="bottom"/>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工作人员最低人数（单位：人）</w:t>
            </w:r>
            <w:r/>
          </w:p>
        </w:tc>
      </w:tr>
      <w:tr>
        <w:trPr>
          <w:cantSplit/>
          <w:jc w:val="center"/>
          <w:trHeight w:val="1084"/>
        </w:trPr>
        <w:tc>
          <w:tcPr>
            <w:tcW w:w="407" w:type="pct"/>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w:t>
            </w:r>
            <w:r/>
          </w:p>
        </w:tc>
        <w:tc>
          <w:tcPr>
            <w:tcW w:w="367" w:type="pct"/>
            <w:vAlign w:val="center"/>
            <w:textDirection w:val="lrTb"/>
            <w:noWrap w:val="false"/>
          </w:tcPr>
          <w:p>
            <w:pPr>
              <w:jc w:val="center"/>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zh-CN"/>
              </w:rPr>
              <w:t xml:space="preserve">总</w:t>
            </w:r>
            <w:r>
              <w:rPr>
                <w:rFonts w:hint="eastAsia" w:ascii="仿宋" w:hAnsi="仿宋" w:eastAsia="仿宋" w:cs="仿宋"/>
                <w:color w:val="auto"/>
                <w:sz w:val="24"/>
                <w:szCs w:val="24"/>
                <w:highlight w:val="none"/>
                <w:lang w:eastAsia="en-US"/>
              </w:rPr>
              <w:t xml:space="preserve">人数</w:t>
            </w:r>
            <w:r/>
          </w:p>
        </w:tc>
        <w:tc>
          <w:tcPr>
            <w:tcW w:w="483" w:type="pct"/>
            <w:vAlign w:val="center"/>
            <w:textDirection w:val="lrTb"/>
            <w:noWrap w:val="false"/>
          </w:tcPr>
          <w:p>
            <w:pPr>
              <w:jc w:val="center"/>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zh-CN"/>
              </w:rPr>
              <w:t xml:space="preserve">项</w:t>
            </w:r>
            <w:r>
              <w:rPr>
                <w:rFonts w:hint="eastAsia" w:ascii="仿宋" w:hAnsi="仿宋" w:eastAsia="仿宋" w:cs="仿宋"/>
                <w:color w:val="auto"/>
                <w:sz w:val="24"/>
                <w:szCs w:val="24"/>
                <w:highlight w:val="none"/>
                <w:lang w:eastAsia="en-US"/>
              </w:rPr>
              <w:t xml:space="preserve">目负责人</w:t>
            </w:r>
            <w:r/>
          </w:p>
        </w:tc>
        <w:tc>
          <w:tcPr>
            <w:tcW w:w="692" w:type="pct"/>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技术</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lang w:eastAsia="zh-CN"/>
              </w:rPr>
              <w:t xml:space="preserve">员（兼现场负责人）</w:t>
            </w:r>
            <w:r/>
          </w:p>
        </w:tc>
        <w:tc>
          <w:tcPr>
            <w:tcW w:w="871"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质检员</w:t>
            </w:r>
            <w:r/>
          </w:p>
        </w:tc>
        <w:tc>
          <w:tcPr>
            <w:tcW w:w="944"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安全员</w:t>
            </w:r>
            <w:r/>
          </w:p>
        </w:tc>
        <w:tc>
          <w:tcPr>
            <w:tcW w:w="985"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rPr>
              <w:t xml:space="preserve">资料员</w:t>
            </w:r>
            <w:r/>
          </w:p>
        </w:tc>
        <w:tc>
          <w:tcPr>
            <w:tcW w:w="1491" w:type="dxa"/>
            <w:vAlign w:val="center"/>
            <w:textDirection w:val="lrTb"/>
            <w:noWrap w:val="false"/>
          </w:tcPr>
          <w:p>
            <w:pPr>
              <w:pStyle w:val="1031"/>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tcW w:w="949"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秩序巡查人数</w:t>
            </w:r>
            <w:r/>
          </w:p>
        </w:tc>
        <w:tc>
          <w:tcPr>
            <w:tcW w:w="983" w:type="dxa"/>
            <w:vAlign w:val="center"/>
            <w:textDirection w:val="lrTb"/>
            <w:noWrap w:val="false"/>
          </w:tcPr>
          <w:p>
            <w:pPr>
              <w:pStyle w:val="1031"/>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现场养护</w:t>
            </w:r>
            <w:r>
              <w:rPr>
                <w:rFonts w:hint="eastAsia" w:ascii="仿宋" w:hAnsi="仿宋" w:eastAsia="仿宋" w:cs="仿宋"/>
                <w:color w:val="auto"/>
                <w:sz w:val="24"/>
                <w:szCs w:val="24"/>
                <w:highlight w:val="none"/>
                <w:lang w:val="en-US" w:eastAsia="zh-CN"/>
              </w:rPr>
              <w:t xml:space="preserve">工</w:t>
            </w:r>
            <w:r/>
          </w:p>
        </w:tc>
      </w:tr>
      <w:tr>
        <w:trPr>
          <w:jc w:val="center"/>
          <w:trHeight w:val="615"/>
        </w:trPr>
        <w:tc>
          <w:tcPr>
            <w:tcW w:w="407"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6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692"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2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731"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5"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47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r>
      <w:tr>
        <w:trPr>
          <w:jc w:val="center"/>
          <w:trHeight w:val="615"/>
        </w:trPr>
        <w:tc>
          <w:tcPr>
            <w:tcW w:w="407"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36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692"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2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83"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731" w:type="pct"/>
            <w:vAlign w:val="center"/>
            <w:textDirection w:val="lrTb"/>
            <w:noWrap w:val="false"/>
          </w:tcPr>
          <w:p>
            <w:pPr>
              <w:ind w:firstLine="0"/>
              <w:jc w:val="left"/>
              <w:spacing w:after="200" w:line="276" w:lineRule="auto"/>
              <w:widowControl/>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W w:w="465"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477" w:type="pct"/>
            <w:vAlign w:val="center"/>
            <w:textDirection w:val="lrTb"/>
            <w:noWrap w:val="false"/>
          </w:tcPr>
          <w:p>
            <w:pPr>
              <w:ind w:firstLine="0"/>
              <w:jc w:val="center"/>
              <w:spacing w:after="200" w:line="27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r>
    </w:tbl>
    <w:p>
      <w:pPr>
        <w:numPr>
          <w:ilvl w:val="0"/>
          <w:numId w:val="0"/>
        </w:num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人员配备要求：以上要求人员年龄在18周岁</w:t>
      </w:r>
      <w:r>
        <w:rPr>
          <w:rFonts w:hint="eastAsia" w:ascii="仿宋" w:hAnsi="仿宋" w:eastAsia="仿宋" w:cs="仿宋"/>
          <w:color w:val="auto"/>
          <w:sz w:val="24"/>
          <w:szCs w:val="24"/>
          <w:highlight w:val="none"/>
          <w:lang w:val="en-US" w:eastAsia="zh-CN"/>
        </w:rPr>
        <w:t xml:space="preserve">以上、</w:t>
      </w:r>
      <w:r>
        <w:rPr>
          <w:rFonts w:hint="eastAsia" w:ascii="仿宋" w:hAnsi="仿宋" w:eastAsia="仿宋" w:cs="仿宋"/>
          <w:color w:val="auto"/>
          <w:sz w:val="24"/>
          <w:szCs w:val="24"/>
          <w:highlight w:val="none"/>
          <w:lang w:eastAsia="zh-CN"/>
        </w:rPr>
        <w:t xml:space="preserve">身心健康，品行端正</w:t>
      </w:r>
      <w:r>
        <w:rPr>
          <w:rFonts w:hint="eastAsia" w:ascii="仿宋" w:hAnsi="仿宋" w:eastAsia="仿宋" w:cs="仿宋"/>
          <w:color w:val="auto"/>
          <w:sz w:val="24"/>
          <w:szCs w:val="24"/>
          <w:highlight w:val="none"/>
          <w:lang w:val="en-US" w:eastAsia="zh-CN"/>
        </w:rPr>
        <w:t xml:space="preserve">中国公民</w:t>
      </w:r>
      <w:r>
        <w:rPr>
          <w:rFonts w:hint="eastAsia" w:ascii="仿宋" w:hAnsi="仿宋" w:eastAsia="仿宋" w:cs="仿宋"/>
          <w:color w:val="auto"/>
          <w:sz w:val="24"/>
          <w:szCs w:val="24"/>
          <w:highlight w:val="none"/>
          <w:lang w:eastAsia="zh-CN"/>
        </w:rPr>
        <w:t xml:space="preserve">，并严格遵守《劳动法》相关规定；</w:t>
      </w:r>
      <w:r/>
    </w:p>
    <w:p>
      <w:pPr>
        <w:numPr>
          <w:ilvl w:val="0"/>
          <w:numId w:val="0"/>
        </w:numPr>
        <w:ind w:righ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统一工作服装，并带有公司标识。</w:t>
      </w:r>
      <w:r/>
    </w:p>
    <w:p>
      <w:pPr>
        <w:ind w:right="0" w:firstLine="480"/>
        <w:keepLines w:val="0"/>
        <w:keepNext w:val="0"/>
        <w:pageBreakBefore w:val="0"/>
        <w:spacing w:line="360" w:lineRule="auto"/>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lang w:eastAsia="zh-CN"/>
        </w:rPr>
        <w:t xml:space="preserve">、提供24小时应急服务，附近应有固定办公地点、值班人员及联系电话。（</w:t>
      </w:r>
      <w:r>
        <w:rPr>
          <w:rFonts w:hint="eastAsia" w:ascii="仿宋" w:hAnsi="仿宋" w:eastAsia="仿宋" w:cs="仿宋"/>
          <w:b/>
          <w:color w:val="auto"/>
          <w:sz w:val="24"/>
          <w:szCs w:val="24"/>
          <w:highlight w:val="none"/>
          <w:lang w:eastAsia="zh-CN"/>
        </w:rPr>
        <w:t xml:space="preserve">投标文件中提供应急方案</w:t>
      </w:r>
      <w:r>
        <w:rPr>
          <w:rFonts w:hint="eastAsia" w:ascii="仿宋" w:hAnsi="仿宋" w:eastAsia="仿宋" w:cs="仿宋"/>
          <w:b/>
          <w:bCs/>
          <w:color w:val="auto"/>
          <w:sz w:val="24"/>
          <w:szCs w:val="24"/>
          <w:highlight w:val="none"/>
          <w:lang w:eastAsia="zh-CN"/>
        </w:rPr>
        <w:t xml:space="preserve">（包含办公地点图片及拟定值班人员和联系电话）</w:t>
      </w:r>
      <w:r>
        <w:rPr>
          <w:rFonts w:hint="eastAsia" w:ascii="仿宋" w:hAnsi="仿宋" w:eastAsia="仿宋" w:cs="仿宋"/>
          <w:bCs/>
          <w:color w:val="auto"/>
          <w:sz w:val="24"/>
          <w:szCs w:val="24"/>
          <w:highlight w:val="none"/>
          <w:lang w:eastAsia="zh-CN"/>
        </w:rPr>
        <w:t xml:space="preserve">）。</w:t>
      </w:r>
      <w:r/>
    </w:p>
    <w:p>
      <w:pPr>
        <w:ind w:left="0" w:right="0" w:firstLine="480"/>
        <w:jc w:val="both"/>
        <w:keepLines w:val="0"/>
        <w:keepNext w:val="0"/>
        <w:pageBreakBefore w:val="0"/>
        <w:spacing w:line="360" w:lineRule="auto"/>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strike w:val="0"/>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投标人必须要与上述现场工作人员签署不少于本合同履约期的用人用工合同，并购买相应的人身保险。</w:t>
      </w:r>
      <w:r/>
    </w:p>
    <w:p>
      <w:pPr>
        <w:ind w:firstLine="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机械机具设备配置要求</w:t>
      </w:r>
      <w:r/>
    </w:p>
    <w:p>
      <w:pPr>
        <w:ind w:firstLine="48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投标文件。</w:t>
      </w:r>
      <w:r/>
    </w:p>
    <w:tbl>
      <w:tblPr>
        <w:tblStyle w:val="986"/>
        <w:tblW w:w="10385" w:type="dxa"/>
        <w:jc w:val="center"/>
        <w:tblLayout w:type="fixed"/>
        <w:tblCellMar>
          <w:left w:w="108" w:type="dxa"/>
          <w:top w:w="0" w:type="dxa"/>
          <w:right w:w="108" w:type="dxa"/>
          <w:bottom w:w="0" w:type="dxa"/>
        </w:tblCellMar>
        <w:tblLook w:val="04A0" w:firstRow="1" w:lastRow="0" w:firstColumn="1" w:lastColumn="0" w:noHBand="0" w:noVBand="1"/>
      </w:tblPr>
      <w:tblGrid>
        <w:gridCol w:w="438"/>
        <w:gridCol w:w="467"/>
        <w:gridCol w:w="486"/>
        <w:gridCol w:w="486"/>
        <w:gridCol w:w="429"/>
        <w:gridCol w:w="435"/>
        <w:gridCol w:w="540"/>
        <w:gridCol w:w="435"/>
        <w:gridCol w:w="420"/>
        <w:gridCol w:w="459"/>
        <w:gridCol w:w="748"/>
        <w:gridCol w:w="810"/>
        <w:gridCol w:w="945"/>
        <w:gridCol w:w="870"/>
        <w:gridCol w:w="2417"/>
      </w:tblGrid>
      <w:tr>
        <w:trPr>
          <w:jc w:val="center"/>
          <w:trHeight w:val="765"/>
        </w:trPr>
        <w:tc>
          <w:tcPr>
            <w:tcBorders>
              <w:top w:val="single" w:color="auto" w:sz="4" w:space="0"/>
              <w:left w:val="single" w:color="auto" w:sz="4" w:space="0"/>
              <w:right w:val="single" w:color="auto" w:sz="4" w:space="0"/>
            </w:tcBorders>
            <w:tcW w:w="438"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Borders>
              <w:top w:val="single" w:color="auto" w:sz="4" w:space="0"/>
              <w:left w:val="single" w:color="auto" w:sz="4" w:space="0"/>
              <w:right w:val="single" w:color="auto" w:sz="4" w:space="0"/>
            </w:tcBorders>
            <w:tcW w:w="467"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gridSpan w:val="8"/>
            <w:tcBorders>
              <w:top w:val="single" w:color="auto" w:sz="4" w:space="0"/>
              <w:left w:val="single" w:color="auto" w:sz="4" w:space="0"/>
              <w:bottom w:val="single" w:color="auto" w:sz="4" w:space="0"/>
              <w:right w:val="single" w:color="auto" w:sz="4" w:space="0"/>
            </w:tcBorders>
            <w:tcW w:w="369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树枝叶粉碎设备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保洁设备</w:t>
            </w:r>
            <w:r/>
          </w:p>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（辆）</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pStyle w:val="104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秩序巡查设备（部）</w:t>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数字化城管案件办理</w:t>
            </w:r>
            <w:r/>
          </w:p>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w:t>
            </w:r>
            <w:r/>
          </w:p>
        </w:tc>
        <w:tc>
          <w:tcPr>
            <w:tcBorders>
              <w:top w:val="single" w:color="auto" w:sz="4" w:space="0"/>
              <w:left w:val="none" w:color="000000"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道路安全防护设施（组）</w:t>
            </w:r>
            <w:r/>
          </w:p>
        </w:tc>
      </w:tr>
      <w:tr>
        <w:trPr>
          <w:jc w:val="center"/>
          <w:trHeight w:val="1560"/>
        </w:trPr>
        <w:tc>
          <w:tcPr>
            <w:tcBorders>
              <w:left w:val="single" w:color="auto" w:sz="4" w:space="0"/>
              <w:bottom w:val="single" w:color="auto" w:sz="4" w:space="0"/>
              <w:right w:val="single" w:color="auto" w:sz="4" w:space="0"/>
            </w:tcBorders>
            <w:tcW w:w="438"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467"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水车</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喷药设备</w:t>
            </w:r>
            <w:r/>
          </w:p>
        </w:tc>
        <w:tc>
          <w:tcPr>
            <w:tcBorders>
              <w:top w:val="none" w:color="000000" w:sz="4" w:space="0"/>
              <w:left w:val="single" w:color="auto"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val="0"/>
                <w:bCs w:val="0"/>
                <w:color w:val="auto"/>
                <w:spacing w:val="0"/>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割灌机</w:t>
            </w:r>
            <w:r/>
          </w:p>
        </w:tc>
        <w:tc>
          <w:tcPr>
            <w:tcBorders>
              <w:top w:val="none" w:color="000000" w:sz="4" w:space="0"/>
              <w:left w:val="single" w:color="auto"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疏草机</w:t>
            </w:r>
            <w:r/>
          </w:p>
        </w:tc>
        <w:tc>
          <w:tcPr>
            <w:tcBorders>
              <w:top w:val="none" w:color="000000" w:sz="4" w:space="0"/>
              <w:left w:val="single" w:color="auto"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水肥一体机</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w:t>
            </w:r>
            <w:r/>
          </w:p>
        </w:tc>
        <w:tc>
          <w:tcPr>
            <w:tcBorders>
              <w:top w:val="none" w:color="000000" w:sz="4" w:space="0"/>
              <w:left w:val="single" w:color="auto"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电动保洁车</w:t>
            </w:r>
            <w:r/>
          </w:p>
        </w:tc>
        <w:tc>
          <w:tcPr>
            <w:tcBorders>
              <w:top w:val="none" w:color="000000" w:sz="4" w:space="0"/>
              <w:left w:val="single" w:color="auto" w:sz="4" w:space="0"/>
              <w:bottom w:val="single" w:color="000000" w:sz="4" w:space="0"/>
              <w:right w:val="single" w:color="auto" w:sz="4" w:space="0"/>
            </w:tcBorders>
            <w:tcW w:w="945" w:type="dxa"/>
            <w:vAlign w:val="center"/>
            <w:textDirection w:val="lrTb"/>
            <w:noWrap w:val="false"/>
          </w:tcPr>
          <w:p>
            <w:pPr>
              <w:pStyle w:val="1049"/>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0"/>
                <w:sz w:val="24"/>
                <w:szCs w:val="24"/>
                <w:highlight w:val="none"/>
                <w:lang w:val="en-US" w:eastAsia="zh-CN" w:bidi="ar-SA"/>
              </w:rPr>
              <w:t xml:space="preserve">对讲机</w:t>
            </w:r>
            <w:r/>
          </w:p>
        </w:tc>
        <w:tc>
          <w:tcPr>
            <w:tcBorders>
              <w:top w:val="none" w:color="000000" w:sz="4" w:space="0"/>
              <w:left w:val="single" w:color="auto" w:sz="4" w:space="0"/>
              <w:bottom w:val="single" w:color="000000" w:sz="4" w:space="0"/>
              <w:right w:val="single" w:color="auto" w:sz="4" w:space="0"/>
            </w:tcBorders>
            <w:tcW w:w="870"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处置通</w:t>
            </w:r>
            <w:r/>
          </w:p>
        </w:tc>
        <w:tc>
          <w:tcPr>
            <w:tcBorders>
              <w:top w:val="none" w:color="000000" w:sz="4" w:space="0"/>
              <w:left w:val="single" w:color="auto"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r>
      <w:tr>
        <w:trPr>
          <w:jc w:val="center"/>
          <w:trHeight w:val="58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78"/>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4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3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2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59"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4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41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第十一条 </w:t>
      </w:r>
      <w:r>
        <w:rPr>
          <w:rFonts w:hint="eastAsia" w:ascii="仿宋" w:hAnsi="仿宋" w:eastAsia="仿宋" w:cs="仿宋"/>
          <w:color w:val="auto"/>
          <w:sz w:val="24"/>
          <w:szCs w:val="24"/>
          <w:highlight w:val="none"/>
          <w:lang w:val="en-US" w:eastAsia="zh-CN" w:bidi="ar-SA"/>
        </w:rPr>
        <w:t xml:space="preserve">质量验收标准</w:t>
      </w:r>
      <w:r/>
    </w:p>
    <w:p>
      <w:pPr>
        <w:ind w:left="0" w:firstLine="480"/>
        <w:keepLines w:val="0"/>
        <w:keepNext w:val="0"/>
        <w:pageBreakBefore w:val="0"/>
        <w:spacing w:line="360" w:lineRule="auto"/>
        <w:widowControl/>
        <w:rPr>
          <w:rFonts w:hint="eastAsia" w:ascii="仿宋" w:hAnsi="仿宋" w:eastAsia="仿宋" w:cs="仿宋"/>
          <w:strike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strike w:val="0"/>
          <w:color w:val="auto"/>
          <w:sz w:val="24"/>
          <w:szCs w:val="24"/>
          <w:highlight w:val="none"/>
        </w:rPr>
        <w:t xml:space="preserve">  以徐州市现行的绿化相关的法律法规、规范标准、办法文件等。</w:t>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履约保证金</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（一）签订合同前，乙方应向甲方支付履约保证金，履约保证金金额为中标金额的百分之五（5%）大写：人民币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元），履约保证金不计利息。</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（二）履约保证金形式：履约保证金应当以支票、本票、汇票或金融机构、担保机构出具的保函等非现金形式提交。</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（三）履约保证金退还：</w:t>
      </w:r>
      <w:r>
        <w:rPr>
          <w:rFonts w:hint="eastAsia" w:ascii="仿宋" w:hAnsi="仿宋" w:eastAsia="仿宋" w:cs="仿宋"/>
          <w:color w:val="auto"/>
          <w:sz w:val="24"/>
          <w:szCs w:val="24"/>
          <w:highlight w:val="none"/>
          <w:lang w:val="en-US" w:eastAsia="zh-CN"/>
        </w:rPr>
        <w:t xml:space="preserve">合同履行期满后</w:t>
      </w:r>
      <w:r>
        <w:rPr>
          <w:rFonts w:hint="eastAsia" w:ascii="仿宋" w:hAnsi="仿宋" w:eastAsia="仿宋" w:cs="仿宋"/>
          <w:color w:val="auto"/>
          <w:sz w:val="24"/>
          <w:szCs w:val="24"/>
          <w:highlight w:val="none"/>
        </w:rPr>
        <w:t xml:space="preserve">，乙方出具甲方提供的《验收书》并结算违约赔偿（如有）后无息退还给乙方，如未提供，履约保证金不予退还。</w:t>
      </w:r>
      <w:r/>
    </w:p>
    <w:p>
      <w:pPr>
        <w:pStyle w:val="98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02" w:name="_Toc15059"/>
      <w:r>
        <w:rPr>
          <w:rFonts w:hint="eastAsia" w:ascii="仿宋" w:hAnsi="仿宋" w:eastAsia="仿宋" w:cs="仿宋"/>
          <w:b/>
          <w:bCs/>
          <w:color w:val="auto"/>
          <w:sz w:val="24"/>
          <w:szCs w:val="24"/>
          <w:highlight w:val="none"/>
          <w:lang w:val="en-US" w:eastAsia="zh-CN" w:bidi="ar-SA"/>
        </w:rPr>
        <w:t xml:space="preserve">第四项  甲乙双方的权利和义务</w:t>
      </w:r>
      <w:bookmarkEnd w:id="102"/>
      <w:r/>
      <w:r/>
    </w:p>
    <w:p>
      <w:pPr>
        <w:ind w:firstLine="224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甲方的权利和义务</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（一）甲方对乙方有实施日常检查、</w:t>
      </w:r>
      <w:r>
        <w:rPr>
          <w:rFonts w:hint="eastAsia" w:ascii="仿宋" w:hAnsi="仿宋" w:eastAsia="仿宋" w:cs="仿宋"/>
          <w:color w:val="auto"/>
          <w:sz w:val="24"/>
          <w:szCs w:val="24"/>
          <w:highlight w:val="none"/>
          <w:lang w:eastAsia="zh-CN"/>
        </w:rPr>
        <w:t xml:space="preserve">质量验收（</w:t>
      </w:r>
      <w:r>
        <w:rPr>
          <w:rFonts w:hint="eastAsia" w:ascii="仿宋" w:hAnsi="仿宋" w:eastAsia="仿宋" w:cs="仿宋"/>
          <w:color w:val="auto"/>
          <w:sz w:val="24"/>
          <w:szCs w:val="24"/>
          <w:highlight w:val="none"/>
          <w:lang w:val="en-US" w:eastAsia="zh-CN"/>
        </w:rPr>
        <w:t xml:space="preserve">评价）</w:t>
      </w:r>
      <w:r>
        <w:rPr>
          <w:rFonts w:hint="eastAsia" w:ascii="仿宋" w:hAnsi="仿宋" w:eastAsia="仿宋" w:cs="仿宋"/>
          <w:color w:val="auto"/>
          <w:sz w:val="24"/>
          <w:szCs w:val="24"/>
          <w:highlight w:val="none"/>
        </w:rPr>
        <w:t xml:space="preserve">、管理的权利。</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（二）甲方可对乙方存在问题限期整改，整改费用由乙方承担。</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（三）甲方需确保乙方合同价款（按照甲方出具的</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结果）按时到位。</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（四）甲方检查人员必须公开、公平、公正检查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bookmarkStart w:id="103" w:name="_Hlk51277609"/>
      <w:r>
        <w:rPr>
          <w:rFonts w:hint="eastAsia" w:ascii="仿宋" w:hAnsi="仿宋" w:eastAsia="仿宋" w:cs="仿宋"/>
          <w:color w:val="auto"/>
          <w:sz w:val="24"/>
          <w:szCs w:val="24"/>
          <w:highlight w:val="none"/>
        </w:rPr>
        <w:t xml:space="preserve">（五）甲方监督检查乙方对法律、法规、规章和相关作业标准、行业规范的履行情况。</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（六）甲方根据服务项目实际情况对优化调整。</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（七）甲方根据本合同约定第六项“合同的解除”中有关规定解除合同。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（八）甲方有权要求乙方限期更换履约意识不强、履约能力不足、不能坚守岗位、不服从管理的项目负责人、现场负责人及其他服务人员。</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（九）甲方有权定期对乙方养护机械设备机具等进行查验，要求乙方限期更换达不到使用标准的机械设备机具。</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（十）甲方根据相关政策和规定调整</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细则和评分标准。</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（十一）甲方在整个合同履行期内均有权对中标人提供的资料、主要人员、机械机具设备等进行复核，如有不符将取消中标资格并没收全部履约保证金。</w:t>
      </w:r>
      <w:bookmarkEnd w:id="103"/>
      <w:r/>
      <w:r/>
    </w:p>
    <w:p>
      <w:pPr>
        <w:ind w:firstLine="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numPr>
          <w:ilvl w:val="0"/>
          <w:numId w:val="0"/>
        </w:numP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乙方的权利和义务</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（一）乙方应自觉接受甲方及其下属绿地监管单位及有关人员的检查、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、指导和监督。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（二）乙方不得出现违法违规用工的情况。</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（三）乙方必须按照合同约定足额配备相关人员。</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（四）乙方不得擅自更换项目负责人、技术员（兼现场负责人）、质检员、安全员、资料员、专职修剪人员和项目其他服务人员。</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（五）合同履行期内，乙方在</w:t>
      </w:r>
      <w:r>
        <w:rPr>
          <w:rFonts w:hint="eastAsia" w:ascii="仿宋" w:hAnsi="仿宋" w:eastAsia="仿宋" w:cs="仿宋"/>
          <w:color w:val="auto"/>
          <w:sz w:val="24"/>
          <w:szCs w:val="24"/>
          <w:highlight w:val="none"/>
          <w:lang w:val="en-US" w:eastAsia="zh-CN"/>
        </w:rPr>
        <w:t xml:space="preserve">徐州市</w:t>
      </w:r>
      <w:r>
        <w:rPr>
          <w:rFonts w:hint="eastAsia" w:ascii="仿宋" w:hAnsi="仿宋" w:eastAsia="仿宋" w:cs="仿宋"/>
          <w:color w:val="auto"/>
          <w:sz w:val="24"/>
          <w:szCs w:val="24"/>
          <w:highlight w:val="none"/>
        </w:rPr>
        <w:t xml:space="preserve">应有固定办公和经营场所，用于作业、管理、机具停放、办公等。</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（六）乙方要加强工作人员的安全教育、职业技能等培训，完善相关措施，作业人员应经专业培训后方可上岗作业，确保安全无事故。</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（七）在责任期内，乙方必须制定每周、月工作计划，并按计划完成当周、月的日常工作。</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（八）乙方不得擅自大面积减少或改变绿地植物配置，如需改造，须书面申请上报甲方同意后方可施工。</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（九）乙方需全面配合甲方在乙方绿地内组织实施的科研试验等工作，并提供必要的人员和设备。</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（十）乙方应无条件在规定时间内完成某些需紧急处置的情况，或上级重大活动安排的任务及各类创建任务。</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（十一）乙方按照相关要求和标准建立日常养护自查制度，完善各项台账资料。</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（十二）乙方承担其工作人员的人身财产损害及造成第三方损害的法律责任。</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（十三）乙方必须将所投入本项目的设备（车辆）行驶证及机动车登记证书彩色扫描件交甲方备案，设备（车辆）只能在本项目专用，未经甲方书面同意不得用于其他项目。</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（十四）乙方按甲方要求参加相关业务会议、培训和活动等。</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（十五）乙方严格按照《徐州市推进城市生活垃圾分类行动方案》处置园林垃圾，严禁混入其他垃圾收集容器，严禁将其他非绿化垃圾夹杂在绿化植物废弃物中，做好园林垃圾收集、分类、运输和处置等工作。</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（十六）合同履约期间，乙方工作人员如遇人身伤亡事故， 由乙方承担全部经济与法律责任，甲方享有追偿权。</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（十七）乙方不得在管理范围内存在行政管理（执法）行为。</w:t>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04" w:name="_Toc3684"/>
      <w:r>
        <w:rPr>
          <w:rFonts w:hint="eastAsia" w:ascii="仿宋" w:hAnsi="仿宋" w:eastAsia="仿宋" w:cs="仿宋"/>
          <w:b/>
          <w:bCs/>
          <w:color w:val="auto"/>
          <w:sz w:val="24"/>
          <w:szCs w:val="24"/>
          <w:highlight w:val="none"/>
          <w:lang w:val="en-US" w:eastAsia="zh-CN" w:bidi="ar-SA"/>
        </w:rPr>
        <w:t xml:space="preserve">第五项  违约责任</w:t>
      </w:r>
      <w:bookmarkEnd w:id="104"/>
      <w:r/>
      <w:r/>
    </w:p>
    <w:p>
      <w:pPr>
        <w:ind w:left="0" w:firstLine="0"/>
        <w:spacing w:line="480" w:lineRule="exact"/>
        <w:widowControl/>
        <w:rPr>
          <w:rFonts w:hint="eastAsia" w:ascii="仿宋" w:hAnsi="仿宋" w:eastAsia="仿宋" w:cs="仿宋"/>
          <w:color w:val="auto"/>
          <w:sz w:val="24"/>
          <w:szCs w:val="24"/>
          <w:highlight w:val="none"/>
        </w:rPr>
      </w:pPr>
      <w:r/>
      <w:bookmarkStart w:id="105" w:name="_Hlk51621984"/>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甲方未按约定支付合同价款，乙方按照有关法律法规规定，有权追究甲方违约责任。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发生下列情况之一的，甲方有权要求乙方限期整改，并承担相应责任。</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（一）未按合同约定数量配备相关工作人员，或者工作人员到岗率低于95%的，限期调整；若整改不到位，月度综合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一次性扣除10分。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（二）乙方未能及时处置上级指派或各类应急任务的，甲方及其监管单位有权指派其他队伍进场，所发生的费用在乙方履约保证金中扣除，并在月度综合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中一次性扣除5分。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（三）当月针对同一点位同一存在问题，连续2次整改不合格或累计3次及以上未完成甲方交办的任务的，月度综合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一次性扣除2分。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（四）现场检查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期间，项目负责人不在现场的，每次扣5分；技术员（兼现场负责人）不在现场的，每人每次扣2分/人。每月月度综合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最高可扣13分。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（五）项目负责人、技术员（兼现场负责人）按月统计请假超过5天的，每0.5天扣0.5分/人（不足0.5天的按0.5天计）；未遵守请销假制度的，当月综合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每人每次扣2分。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bookmarkStart w:id="106" w:name="_Hlk52741648"/>
      <w:r>
        <w:rPr>
          <w:rFonts w:hint="eastAsia" w:ascii="仿宋" w:hAnsi="仿宋" w:eastAsia="仿宋" w:cs="仿宋"/>
          <w:color w:val="auto"/>
          <w:sz w:val="24"/>
          <w:szCs w:val="24"/>
          <w:highlight w:val="none"/>
        </w:rPr>
        <w:t xml:space="preserve">）乙方未按甲方要求参加相关业务会议、培训和活动等的人员，月度综合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每人每次扣1分。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（七）乙方机械机具设备等未按要求从事作业，或者不在规定场所的，主要施工车辆如水车等每次每辆扣1分，其他小型机具设备每次每台（部）扣0.5分，计入月度综合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w:t>
      </w:r>
      <w:bookmarkEnd w:id="106"/>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（八）出现绿地占用毁绿行为，且没及时跟踪行政执法处理结果，或擅自减少或改变绿地植物配置的，要承担相应损失。</w:t>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07" w:name="_Toc9960"/>
      <w:r/>
      <w:bookmarkStart w:id="108" w:name="_Hlk51277999"/>
      <w:r>
        <w:rPr>
          <w:rFonts w:hint="eastAsia" w:ascii="仿宋" w:hAnsi="仿宋" w:eastAsia="仿宋" w:cs="仿宋"/>
          <w:b/>
          <w:bCs/>
          <w:color w:val="auto"/>
          <w:sz w:val="24"/>
          <w:szCs w:val="24"/>
          <w:highlight w:val="none"/>
          <w:lang w:val="en-US" w:eastAsia="zh-CN" w:bidi="ar-SA"/>
        </w:rPr>
        <w:t xml:space="preserve">第六项  合同的解除</w:t>
      </w:r>
      <w:bookmarkEnd w:id="107"/>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合同履行期内发生下列情况之一的，甲方有权终止合同，没收乙方履约保证金，乙方应赔偿甲方由此产生的经济损失。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（一）不服从甲方或其委托的检查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监管单位管理的；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（二）检查</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过程中发现乙方有转包或分包行为的；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（三）擅自更换项目负责人、技术员（兼现场负责人）的或者未按甲方要求在规定时间内更换的；</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（四）未足额配置机械机具设备等，限期整改仍未配备到位的；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（五）在试管期间，</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成绩2次低于80分（含80分）或3次倒数第一且有1次低于80分（含80分）的；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（六）每一履约年累计3次</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不合格（低于80分）；</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（七）在责任期内，如乙方10日内未对绿地全面或部分绿地进行日常</w:t>
      </w:r>
      <w:bookmarkStart w:id="109" w:name="_Hlk51622104"/>
      <w:r>
        <w:rPr>
          <w:rFonts w:hint="eastAsia" w:ascii="仿宋" w:hAnsi="仿宋" w:eastAsia="仿宋" w:cs="仿宋"/>
          <w:color w:val="auto"/>
          <w:sz w:val="24"/>
          <w:szCs w:val="24"/>
          <w:highlight w:val="none"/>
        </w:rPr>
        <w:t xml:space="preserve">的，经甲方指出仍不进行整改</w:t>
      </w:r>
      <w:bookmarkEnd w:id="109"/>
      <w:r>
        <w:rPr>
          <w:rFonts w:hint="eastAsia" w:ascii="仿宋" w:hAnsi="仿宋" w:eastAsia="仿宋" w:cs="仿宋"/>
          <w:color w:val="auto"/>
          <w:sz w:val="24"/>
          <w:szCs w:val="24"/>
          <w:highlight w:val="none"/>
        </w:rPr>
        <w:t xml:space="preserve">或单方中途退出的；</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（八）乙方因特殊原因，或不具备继续履约能力，提出解除合同，经甲方同意的。</w:t>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合同解除时，提出解除合同的一方应书面通知对方，书面通知到达对方时解除。</w:t>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因乙方违约解除合同的，对于尚在投标有效期内的工作由招投标确定的递补队伍负责实施，重新签订养护合同，月度养护经费标准按上一中标人合同价中月度养护标准执行；投标有效期结束的，由甲方重新组织招标，新中标队伍进场前，由乙方继续负责工作，“续管期”内甲方按</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成绩正常兑现经费，续管期原则上不超过 3 个月。</w:t>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二十</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因乙方违约解除合同的，视情况列入政府采购失信行为记录名单。</w:t>
      </w:r>
      <w:bookmarkEnd w:id="108"/>
      <w:r/>
      <w:r/>
    </w:p>
    <w:p>
      <w:pPr>
        <w:ind w:firstLine="0"/>
        <w:jc w:val="center"/>
        <w:spacing w:line="520" w:lineRule="exact"/>
        <w:rPr>
          <w:rFonts w:hint="eastAsia" w:ascii="仿宋" w:hAnsi="仿宋" w:eastAsia="仿宋" w:cs="仿宋"/>
          <w:b/>
          <w:bCs/>
          <w:color w:val="auto"/>
          <w:sz w:val="24"/>
          <w:szCs w:val="24"/>
          <w:highlight w:val="none"/>
          <w:lang w:val="en-US" w:eastAsia="zh-CN" w:bidi="ar-SA"/>
        </w:rPr>
        <w:outlineLvl w:val="1"/>
      </w:pPr>
      <w:r/>
      <w:bookmarkStart w:id="110" w:name="_Toc20327"/>
      <w:r>
        <w:rPr>
          <w:rFonts w:hint="eastAsia" w:ascii="仿宋" w:hAnsi="仿宋" w:eastAsia="仿宋" w:cs="仿宋"/>
          <w:b/>
          <w:bCs/>
          <w:color w:val="auto"/>
          <w:sz w:val="24"/>
          <w:szCs w:val="24"/>
          <w:highlight w:val="none"/>
          <w:lang w:val="en-US" w:eastAsia="zh-CN" w:bidi="ar-SA"/>
        </w:rPr>
        <w:t xml:space="preserve">第七项  其他</w:t>
      </w:r>
      <w:bookmarkEnd w:id="110"/>
      <w:r/>
      <w:r/>
    </w:p>
    <w:p>
      <w:pPr>
        <w:ind w:left="0" w:firstLine="0"/>
        <w:jc w:val="left"/>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乙方在签署本合同同时，应与甲方或其委托监管单位、项目部及有关人员签署安全生产合同。</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期内，乙方出现未按照监管单位整改要求在规定期限内整改到位的，由甲方委托其他单位代为整改，费用由乙方承担。</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合同履约期间如遇人身伤亡事故，由乙方承担全部经济与法律责任。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承包工作量若因故发生增减，则承包款根据合同单价同比例增减。</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本合同执行期限内如因自然灾害、城市建设、政策调整或者不可抗力导致合同不得不终止，甲、乙双方应该相互理解，妥善处理终止合同所涉及相关事宜，互不追究对方责任。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合同执行过程中，乙方月度综合</w:t>
      </w:r>
      <w:r>
        <w:rPr>
          <w:rFonts w:hint="eastAsia" w:ascii="仿宋" w:hAnsi="仿宋" w:eastAsia="仿宋" w:cs="仿宋"/>
          <w:color w:val="auto"/>
          <w:sz w:val="24"/>
          <w:szCs w:val="24"/>
          <w:highlight w:val="none"/>
          <w:lang w:val="en-US" w:eastAsia="zh-CN"/>
        </w:rPr>
        <w:t xml:space="preserve">质量评价</w:t>
      </w:r>
      <w:r>
        <w:rPr>
          <w:rFonts w:hint="eastAsia" w:ascii="仿宋" w:hAnsi="仿宋" w:eastAsia="仿宋" w:cs="仿宋"/>
          <w:color w:val="auto"/>
          <w:sz w:val="24"/>
          <w:szCs w:val="24"/>
          <w:highlight w:val="none"/>
        </w:rPr>
        <w:t xml:space="preserve">成绩、履约情况等，记入徐州市企业信用评价体系。</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本合同一式</w:t>
      </w:r>
      <w:r>
        <w:rPr>
          <w:rFonts w:hint="eastAsia" w:ascii="仿宋" w:hAnsi="仿宋" w:eastAsia="仿宋" w:cs="仿宋"/>
          <w:color w:val="auto"/>
          <w:sz w:val="24"/>
          <w:szCs w:val="24"/>
          <w:highlight w:val="none"/>
          <w:u w:val="single"/>
        </w:rPr>
        <w:t xml:space="preserve"> 陆 </w:t>
      </w:r>
      <w:r>
        <w:rPr>
          <w:rFonts w:hint="eastAsia" w:ascii="仿宋" w:hAnsi="仿宋" w:eastAsia="仿宋" w:cs="仿宋"/>
          <w:color w:val="auto"/>
          <w:sz w:val="24"/>
          <w:szCs w:val="24"/>
          <w:highlight w:val="none"/>
        </w:rPr>
        <w:t xml:space="preserve">份，具有同等法律效力，甲方</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份，乙方</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份，徐州市政府采购中心一份存档，政府采购管理部门一份备案。</w:t>
      </w:r>
      <w:r/>
    </w:p>
    <w:p>
      <w:pPr>
        <w:ind w:left="0" w:firstLine="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w:t>
      </w:r>
      <w:r>
        <w:rPr>
          <w:rFonts w:hint="eastAsia" w:ascii="仿宋" w:hAnsi="仿宋" w:eastAsia="仿宋" w:cs="仿宋"/>
          <w:color w:val="auto"/>
          <w:sz w:val="24"/>
          <w:szCs w:val="24"/>
          <w:highlight w:val="none"/>
        </w:rPr>
        <w:t xml:space="preserve">本合同其他未尽事宜及与招标文件有矛盾之处，以招标文件[</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编号：[        ]为准。</w:t>
      </w:r>
      <w:r/>
    </w:p>
    <w:p>
      <w:pPr>
        <w:ind w:left="0" w:firstLine="0"/>
        <w:spacing w:line="480" w:lineRule="exact"/>
        <w:widowControl/>
        <w:rPr>
          <w:rFonts w:hint="eastAsia" w:ascii="仿宋" w:hAnsi="仿宋" w:eastAsia="仿宋" w:cs="仿宋"/>
          <w:color w:val="auto"/>
          <w:sz w:val="24"/>
          <w:szCs w:val="24"/>
          <w:highlight w:val="none"/>
        </w:rPr>
      </w:pPr>
      <w:r/>
      <w:bookmarkStart w:id="111" w:name="_Hlk52657062"/>
      <w:r>
        <w:rPr>
          <w:rFonts w:hint="eastAsia" w:ascii="仿宋" w:hAnsi="仿宋" w:eastAsia="仿宋" w:cs="仿宋"/>
          <w:b/>
          <w:bCs/>
          <w:color w:val="auto"/>
          <w:sz w:val="24"/>
          <w:szCs w:val="24"/>
          <w:highlight w:val="none"/>
        </w:rPr>
        <w:t xml:space="preserve">第二十</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w:t>
      </w:r>
      <w:r>
        <w:rPr>
          <w:rFonts w:hint="eastAsia" w:ascii="仿宋" w:hAnsi="仿宋" w:eastAsia="仿宋" w:cs="仿宋"/>
          <w:color w:val="auto"/>
          <w:sz w:val="24"/>
          <w:szCs w:val="24"/>
          <w:highlight w:val="none"/>
        </w:rPr>
        <w:t xml:space="preserve"> 凡因本合同引起的或与本合同有关的一切争议，双方应友好协商解决。如果争议不能得到解决，则任何一方均可向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徐州仲裁委员会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申请仲裁。</w:t>
      </w:r>
      <w:bookmarkEnd w:id="105"/>
      <w:r/>
      <w:bookmarkEnd w:id="111"/>
      <w:r/>
      <w:r/>
    </w:p>
    <w:p>
      <w:pPr>
        <w:ind w:firstLine="0"/>
        <w:spacing w:before="240" w:after="240"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以下无正文</w:t>
      </w:r>
      <w:r/>
    </w:p>
    <w:p>
      <w:pPr>
        <w:ind w:firstLine="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乙   方 </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单位签章：                              单位签章：</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银行帐号：                              银行帐号：</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 表 人：                              代 表 人：</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                              联 系 人：</w:t>
      </w:r>
      <w:r/>
    </w:p>
    <w:p>
      <w:pPr>
        <w:ind w:firstLine="0"/>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w:t>
      </w:r>
      <w:r/>
    </w:p>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签字日期：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签字日期：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rPr>
        <w:br w:type="page" w:clear="all"/>
      </w:r>
      <w:r/>
    </w:p>
    <w:p>
      <w:pPr>
        <w:pStyle w:val="1048"/>
        <w:ind w:left="0" w:firstLine="0"/>
        <w:jc w:val="center"/>
        <w:pageBreakBefore w:val="0"/>
        <w:spacing w:after="0" w:line="312" w:lineRule="auto"/>
        <w:widowControl w:val="off"/>
        <w:rPr>
          <w:rStyle w:val="1277"/>
          <w:rFonts w:hint="eastAsia" w:ascii="仿宋" w:hAnsi="仿宋" w:eastAsia="仿宋" w:cs="仿宋"/>
          <w:bCs/>
          <w:color w:val="auto"/>
          <w:sz w:val="24"/>
          <w:szCs w:val="24"/>
          <w:highlight w:val="none"/>
        </w:rPr>
        <w:outlineLvl w:val="0"/>
      </w:pPr>
      <w:r/>
      <w:bookmarkStart w:id="112" w:name="_Toc15545"/>
      <w:r>
        <w:rPr>
          <w:rStyle w:val="1277"/>
          <w:rFonts w:hint="eastAsia" w:ascii="仿宋" w:hAnsi="仿宋" w:eastAsia="仿宋" w:cs="仿宋"/>
          <w:color w:val="auto"/>
          <w:sz w:val="24"/>
          <w:szCs w:val="24"/>
          <w:highlight w:val="none"/>
        </w:rPr>
        <w:t xml:space="preserve">第十一章 </w:t>
      </w:r>
      <w:bookmarkEnd w:id="86"/>
      <w:r/>
      <w:bookmarkEnd w:id="92"/>
      <w:r>
        <w:rPr>
          <w:rFonts w:hint="eastAsia" w:ascii="仿宋" w:hAnsi="仿宋" w:eastAsia="仿宋" w:cs="仿宋"/>
          <w:color w:val="auto"/>
          <w:sz w:val="24"/>
          <w:szCs w:val="24"/>
          <w:highlight w:val="none"/>
        </w:rPr>
        <w:t xml:space="preserve">《徐州市政府采购业务代理服务费行业指导价格标准》</w:t>
      </w:r>
      <w:bookmarkEnd w:id="112"/>
      <w:r/>
      <w:r/>
    </w:p>
    <w:tbl>
      <w:tblPr>
        <w:tblStyle w:val="152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中标或者成交金额</w:t>
            </w:r>
            <w:r/>
          </w:p>
        </w:tc>
        <w:tc>
          <w:tcPr>
            <w:tcW w:w="2569"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最低收费金额（每个委托项目）</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50万元以下（含50万元）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50-400万元（含400万元）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400-1000万元（含1000万元）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1000-5000万元（含5000万元）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5000-1亿元（含1亿元）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1-10亿元（含10亿元）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10-50亿元（含50亿元）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50亿元以上</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0.005%</w:t>
            </w:r>
            <w:r/>
          </w:p>
        </w:tc>
      </w:tr>
    </w:tbl>
    <w:p>
      <w:pPr>
        <w:pStyle w:val="1031"/>
        <w:ind w:firstLine="505"/>
        <w:jc w:val="left"/>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1、按上表计算的收费为代理服务全过程的收费金额。各社会代理机构不再收取采购文件制作售卖费用。</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4、代理服务费应收取金额=代理服务费基准金额（按差额定率累进法计算的）的合计数。</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pStyle w:val="1031"/>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7.开户名称：江苏科建工程项目管理有限公司徐州分公司</w:t>
      </w:r>
      <w:r/>
    </w:p>
    <w:p>
      <w:pPr>
        <w:pStyle w:val="1031"/>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开户行：中国农业银行股份有限公司徐州塔东支行</w:t>
      </w:r>
      <w:r/>
    </w:p>
    <w:p>
      <w:pPr>
        <w:pStyle w:val="1031"/>
        <w:ind w:firstLine="505"/>
        <w:jc w:val="left"/>
        <w:keepLines w:val="0"/>
        <w:keepNext w:val="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Cs w:val="21"/>
          <w:highlight w:val="none"/>
        </w:rPr>
        <w:t xml:space="preserve">银行帐号：10247401040011283</w:t>
      </w:r>
      <w:r/>
    </w:p>
    <w:p>
      <w:pPr>
        <w:pStyle w:val="1042"/>
        <w:jc w:val="both"/>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42"/>
        <w:jc w:val="center"/>
        <w:pageBreakBefore w:val="0"/>
        <w:spacing w:line="312"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rPr>
        <w:t xml:space="preserve">（以下无正文）</w:t>
      </w:r>
      <w:r>
        <w:rPr>
          <w:rFonts w:hint="eastAsia" w:ascii="仿宋" w:hAnsi="仿宋" w:eastAsia="仿宋" w:cs="仿宋"/>
          <w:b/>
          <w:bCs/>
          <w:color w:val="auto"/>
          <w:sz w:val="24"/>
          <w:szCs w:val="24"/>
          <w:highlight w:val="none"/>
          <w:lang w:val="en-US" w:eastAsia="zh-CN"/>
        </w:rPr>
        <w:t xml:space="preserve">------------</w:t>
      </w:r>
      <w:r/>
    </w:p>
    <w:sectPr>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楷体_GB2312">
    <w:panose1 w:val="02010609060101010101"/>
  </w:font>
  <w:font w:name="Cambria">
    <w:panose1 w:val="02040503050406030204"/>
  </w:font>
  <w:font w:name="Courier New">
    <w:panose1 w:val="02070309020205020404"/>
  </w:font>
  <w:font w:name="黑体">
    <w:panose1 w:val="02010609060101010101"/>
  </w:font>
  <w:font w:name="仿宋_GB2312">
    <w:panose1 w:val="02010609060101010101"/>
  </w:font>
  <w:font w:name="仿宋">
    <w:panose1 w:val="02010609060101010101"/>
  </w:font>
  <w:font w:name="等线 Light">
    <w:panose1 w:val="02010600030101010101"/>
  </w:font>
  <w:font w:name="文鼎粗黑">
    <w:panose1 w:val="020B0503020202020204"/>
  </w:font>
  <w:font w:name="长城仿宋">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
    <w:panose1 w:val="020B05030202020202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5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5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5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tabs>
        <w:tab w:val="center" w:pos="4153" w:leader="none"/>
        <w:tab w:val="right" w:pos="8306" w:leader="none"/>
      </w:tabs>
      <w:rPr>
        <w:rStyle w:val="1273"/>
      </w:rPr>
      <w:framePr w:wrap="around" w:vAnchor="text" w:hAnchor="margin" w:xAlign="right" w:y="1"/>
    </w:pPr>
    <w:r>
      <w:fldChar w:fldCharType="begin"/>
    </w:r>
    <w:r>
      <w:rPr>
        <w:rStyle w:val="1273"/>
      </w:rPr>
      <w:instrText xml:space="preserve">PAGE  </w:instrText>
    </w:r>
    <w:r>
      <w:fldChar w:fldCharType="separate"/>
    </w:r>
    <w:r>
      <w:rPr>
        <w:rStyle w:val="1273"/>
      </w:rPr>
      <w:t xml:space="preserve">19</w:t>
    </w:r>
    <w:r>
      <w:fldChar w:fldCharType="end"/>
    </w:r>
    <w:r/>
  </w:p>
  <w:p>
    <w:pPr>
      <w:pStyle w:val="126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right"/>
      <w:tabs>
        <w:tab w:val="right" w:pos="4153" w:leader="none"/>
        <w:tab w:val="left" w:pos="8306" w:leader="underscore"/>
      </w:tabs>
      <w:rPr>
        <w:rStyle w:val="127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031"/>
      <w:rPr>
        <w:rStyle w:val="1277"/>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4"/>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iCs/>
        <w:sz w:val="21"/>
        <w:szCs w:val="21"/>
      </w:rPr>
      <w:t xml:space="preserve">江苏科建编制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2026年新增市管绿地养护管理</w:t>
    </w:r>
    <w:r>
      <w:rPr>
        <w:rFonts w:hint="eastAsia" w:ascii="仿宋" w:hAnsi="仿宋" w:eastAsia="仿宋" w:cs="仿宋"/>
        <w:iCs/>
        <w:sz w:val="21"/>
        <w:szCs w:val="21"/>
        <w:lang w:val="en-US" w:eastAsia="zh-CN"/>
      </w:rPr>
      <w:t xml:space="preserve">                竞争性磋商</w:t>
    </w:r>
    <w:r>
      <w:rPr>
        <w:rFonts w:hint="eastAsia" w:ascii="仿宋" w:hAnsi="仿宋" w:eastAsia="仿宋" w:cs="仿宋"/>
        <w:iCs/>
        <w:sz w:val="21"/>
        <w:szCs w:val="21"/>
      </w:rPr>
      <w:t xml:space="preserve">文件</w:t>
    </w:r>
    <w:r>
      <w:rPr>
        <w:rFonts w:hint="eastAsia" w:ascii="隶书" w:hAnsi="仿宋" w:eastAsia="隶书" w:cs="仿宋"/>
        <w:iCs/>
        <w:sz w:val="21"/>
        <w:szCs w:val="21"/>
      </w:rPr>
      <w:t xml:space="preserve">  </w:t>
    </w:r>
    <w:r>
      <w:rPr>
        <w:rFonts w:hint="eastAsia" w:ascii="隶书" w:hAnsi="仿宋" w:eastAsia="隶书" w:cs="仿宋"/>
        <w:i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281305" cy="245110"/>
              <wp:effectExtent l="0" t="0" r="4445" b="2540"/>
              <wp:docPr id="2" name="图片 18"/>
              <wp:cNvGraphicFramePr/>
              <a:graphic xmlns:a="http://schemas.openxmlformats.org/drawingml/2006/main">
                <a:graphicData uri="http://schemas.openxmlformats.org/drawingml/2006/picture">
                  <pic:pic xmlns:pic="http://schemas.openxmlformats.org/drawingml/2006/picture">
                    <pic:nvPicPr>
                      <pic:cNvPr id="3" name="图片 18"/>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sz w:val="21"/>
        <w:szCs w:val="21"/>
      </w:rPr>
      <w:t xml:space="preserve">江苏科建编制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2026年新增市管绿地养护管理</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竞争性磋商</w:t>
    </w:r>
    <w:r>
      <w:rPr>
        <w:rFonts w:hint="eastAsia" w:ascii="仿宋" w:hAnsi="仿宋" w:eastAsia="仿宋" w:cs="仿宋"/>
        <w:sz w:val="21"/>
        <w:szCs w:val="21"/>
        <w:lang w:eastAsia="zh-CN"/>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8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5" w:default="1">
    <w:name w:val="Normal"/>
    <w:next w:val="987"/>
    <w:link w:val="1529"/>
    <w:uiPriority w:val="0"/>
    <w:qFormat/>
    <w:pPr>
      <w:jc w:val="both"/>
    </w:pPr>
    <w:rPr>
      <w:rFonts w:hint="default" w:ascii="Calibri" w:hAnsi="Calibri" w:eastAsia="宋体" w:cs="Times New Roman"/>
      <w:sz w:val="21"/>
      <w:szCs w:val="21"/>
      <w:lang w:val="en-US" w:eastAsia="zh-CN" w:bidi="ar-SA"/>
    </w:rPr>
  </w:style>
  <w:style w:type="paragraph" w:styleId="976">
    <w:name w:val="Heading 1"/>
    <w:basedOn w:val="975"/>
    <w:next w:val="975"/>
    <w:link w:val="1118"/>
    <w:uiPriority w:val="9"/>
    <w:qFormat/>
    <w:pPr>
      <w:keepLines/>
      <w:keepNext/>
      <w:spacing w:before="480" w:after="200"/>
      <w:outlineLvl w:val="0"/>
    </w:pPr>
    <w:rPr>
      <w:rFonts w:ascii="Arial" w:hAnsi="Arial" w:eastAsia="Arial" w:cs="Arial"/>
      <w:sz w:val="40"/>
      <w:szCs w:val="40"/>
    </w:rPr>
  </w:style>
  <w:style w:type="paragraph" w:styleId="977">
    <w:name w:val="Heading 2"/>
    <w:basedOn w:val="975"/>
    <w:next w:val="975"/>
    <w:link w:val="1119"/>
    <w:uiPriority w:val="9"/>
    <w:unhideWhenUsed/>
    <w:qFormat/>
    <w:pPr>
      <w:keepLines/>
      <w:keepNext/>
      <w:spacing w:before="360" w:after="200"/>
      <w:outlineLvl w:val="1"/>
    </w:pPr>
    <w:rPr>
      <w:rFonts w:ascii="Arial" w:hAnsi="Arial" w:eastAsia="Arial" w:cs="Arial"/>
      <w:sz w:val="34"/>
    </w:rPr>
  </w:style>
  <w:style w:type="paragraph" w:styleId="978">
    <w:name w:val="Heading 3"/>
    <w:basedOn w:val="975"/>
    <w:next w:val="975"/>
    <w:link w:val="1120"/>
    <w:uiPriority w:val="9"/>
    <w:unhideWhenUsed/>
    <w:qFormat/>
    <w:pPr>
      <w:keepLines/>
      <w:keepNext/>
      <w:spacing w:before="320" w:after="200"/>
      <w:outlineLvl w:val="2"/>
    </w:pPr>
    <w:rPr>
      <w:rFonts w:ascii="Arial" w:hAnsi="Arial" w:eastAsia="Arial" w:cs="Arial"/>
      <w:sz w:val="30"/>
      <w:szCs w:val="30"/>
    </w:rPr>
  </w:style>
  <w:style w:type="paragraph" w:styleId="979">
    <w:name w:val="Heading 4"/>
    <w:basedOn w:val="975"/>
    <w:next w:val="975"/>
    <w:link w:val="1121"/>
    <w:uiPriority w:val="9"/>
    <w:unhideWhenUsed/>
    <w:qFormat/>
    <w:pPr>
      <w:keepLines/>
      <w:keepNext/>
      <w:spacing w:before="320" w:after="200"/>
      <w:outlineLvl w:val="3"/>
    </w:pPr>
    <w:rPr>
      <w:rFonts w:ascii="Arial" w:hAnsi="Arial" w:eastAsia="Arial" w:cs="Arial"/>
      <w:b/>
      <w:bCs/>
      <w:sz w:val="26"/>
      <w:szCs w:val="26"/>
    </w:rPr>
  </w:style>
  <w:style w:type="paragraph" w:styleId="980">
    <w:name w:val="Heading 5"/>
    <w:basedOn w:val="975"/>
    <w:next w:val="975"/>
    <w:link w:val="1122"/>
    <w:uiPriority w:val="9"/>
    <w:unhideWhenUsed/>
    <w:qFormat/>
    <w:pPr>
      <w:keepLines/>
      <w:keepNext/>
      <w:spacing w:before="320" w:after="200"/>
      <w:outlineLvl w:val="4"/>
    </w:pPr>
    <w:rPr>
      <w:rFonts w:ascii="Arial" w:hAnsi="Arial" w:eastAsia="Arial" w:cs="Arial"/>
      <w:b/>
      <w:bCs/>
      <w:sz w:val="24"/>
      <w:szCs w:val="24"/>
    </w:rPr>
  </w:style>
  <w:style w:type="paragraph" w:styleId="981">
    <w:name w:val="Heading 6"/>
    <w:basedOn w:val="975"/>
    <w:next w:val="975"/>
    <w:link w:val="1123"/>
    <w:uiPriority w:val="9"/>
    <w:unhideWhenUsed/>
    <w:qFormat/>
    <w:pPr>
      <w:keepLines/>
      <w:keepNext/>
      <w:spacing w:before="320" w:after="200"/>
      <w:outlineLvl w:val="5"/>
    </w:pPr>
    <w:rPr>
      <w:rFonts w:ascii="Arial" w:hAnsi="Arial" w:eastAsia="Arial" w:cs="Arial"/>
      <w:b/>
      <w:bCs/>
      <w:sz w:val="22"/>
      <w:szCs w:val="22"/>
    </w:rPr>
  </w:style>
  <w:style w:type="paragraph" w:styleId="982">
    <w:name w:val="Heading 7"/>
    <w:basedOn w:val="975"/>
    <w:next w:val="975"/>
    <w:link w:val="1124"/>
    <w:uiPriority w:val="9"/>
    <w:unhideWhenUsed/>
    <w:qFormat/>
    <w:pPr>
      <w:keepLines/>
      <w:keepNext/>
      <w:spacing w:before="320" w:after="200"/>
      <w:outlineLvl w:val="6"/>
    </w:pPr>
    <w:rPr>
      <w:rFonts w:ascii="Arial" w:hAnsi="Arial" w:eastAsia="Arial" w:cs="Arial"/>
      <w:b/>
      <w:bCs/>
      <w:i/>
      <w:iCs/>
      <w:sz w:val="22"/>
      <w:szCs w:val="22"/>
    </w:rPr>
  </w:style>
  <w:style w:type="paragraph" w:styleId="983">
    <w:name w:val="Heading 8"/>
    <w:basedOn w:val="975"/>
    <w:next w:val="975"/>
    <w:link w:val="1125"/>
    <w:uiPriority w:val="9"/>
    <w:unhideWhenUsed/>
    <w:qFormat/>
    <w:pPr>
      <w:keepLines/>
      <w:keepNext/>
      <w:spacing w:before="320" w:after="200"/>
      <w:outlineLvl w:val="7"/>
    </w:pPr>
    <w:rPr>
      <w:rFonts w:ascii="Arial" w:hAnsi="Arial" w:eastAsia="Arial" w:cs="Arial"/>
      <w:i/>
      <w:iCs/>
      <w:sz w:val="22"/>
      <w:szCs w:val="22"/>
    </w:rPr>
  </w:style>
  <w:style w:type="paragraph" w:styleId="984">
    <w:name w:val="Heading 9"/>
    <w:basedOn w:val="975"/>
    <w:next w:val="975"/>
    <w:link w:val="1126"/>
    <w:uiPriority w:val="9"/>
    <w:unhideWhenUsed/>
    <w:qFormat/>
    <w:pPr>
      <w:keepLines/>
      <w:keepNext/>
      <w:spacing w:before="320" w:after="200"/>
      <w:outlineLvl w:val="8"/>
    </w:pPr>
    <w:rPr>
      <w:rFonts w:ascii="Arial" w:hAnsi="Arial" w:eastAsia="Arial" w:cs="Arial"/>
      <w:i/>
      <w:iCs/>
    </w:rPr>
  </w:style>
  <w:style w:type="character" w:styleId="985" w:default="1">
    <w:name w:val="Default Paragraph Font"/>
    <w:uiPriority w:val="1"/>
    <w:semiHidden/>
    <w:unhideWhenUsed/>
    <w:qFormat/>
  </w:style>
  <w:style w:type="table" w:styleId="986" w:default="1">
    <w:name w:val="Normal Table"/>
    <w:uiPriority w:val="99"/>
    <w:semiHidden/>
    <w:unhideWhenUsed/>
    <w:qFormat/>
    <w:tblPr>
      <w:tblCellMar>
        <w:left w:w="108" w:type="dxa"/>
        <w:top w:w="0" w:type="dxa"/>
        <w:right w:w="108" w:type="dxa"/>
        <w:bottom w:w="0" w:type="dxa"/>
      </w:tblCellMar>
    </w:tblPr>
  </w:style>
  <w:style w:type="paragraph" w:styleId="987" w:customStyle="1">
    <w:name w:val="文本块11"/>
    <w:basedOn w:val="988"/>
    <w:uiPriority w:val="0"/>
    <w:qFormat/>
    <w:pPr>
      <w:ind w:left="256" w:right="6" w:firstLine="624"/>
    </w:pPr>
    <w:rPr>
      <w:rFonts w:ascii="Arial" w:hAnsi="Arial" w:eastAsia="仿宋"/>
      <w:sz w:val="28"/>
    </w:rPr>
  </w:style>
  <w:style w:type="paragraph" w:styleId="988" w:customStyle="1">
    <w:name w:val="正文121"/>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name w:val="toc 7"/>
    <w:basedOn w:val="975"/>
    <w:next w:val="975"/>
    <w:uiPriority w:val="39"/>
    <w:unhideWhenUsed/>
    <w:qFormat/>
    <w:pPr>
      <w:ind w:left="1701"/>
      <w:spacing w:after="57"/>
    </w:pPr>
  </w:style>
  <w:style w:type="paragraph" w:styleId="990">
    <w:name w:val="Normal Indent"/>
    <w:basedOn w:val="975"/>
    <w:next w:val="975"/>
    <w:uiPriority w:val="0"/>
    <w:qFormat/>
    <w:pPr>
      <w:ind w:firstLine="420"/>
      <w:jc w:val="left"/>
      <w:widowControl/>
    </w:pPr>
    <w:rPr>
      <w:rFonts w:eastAsia="??"/>
      <w:sz w:val="24"/>
    </w:rPr>
  </w:style>
  <w:style w:type="paragraph" w:styleId="991">
    <w:name w:val="Caption"/>
    <w:basedOn w:val="975"/>
    <w:next w:val="975"/>
    <w:uiPriority w:val="35"/>
    <w:semiHidden/>
    <w:unhideWhenUsed/>
    <w:qFormat/>
    <w:pPr>
      <w:spacing w:line="276" w:lineRule="auto"/>
    </w:pPr>
    <w:rPr>
      <w:b/>
      <w:bCs/>
      <w:color w:val="4f81bd"/>
      <w:sz w:val="18"/>
      <w:szCs w:val="18"/>
    </w:rPr>
  </w:style>
  <w:style w:type="paragraph" w:styleId="992">
    <w:name w:val="Document Map"/>
    <w:basedOn w:val="975"/>
    <w:uiPriority w:val="0"/>
    <w:qFormat/>
    <w:rPr>
      <w:rFonts w:ascii="宋体" w:hAnsi="Calibri"/>
      <w:sz w:val="18"/>
      <w:szCs w:val="18"/>
    </w:rPr>
  </w:style>
  <w:style w:type="paragraph" w:styleId="993">
    <w:name w:val="annotation text"/>
    <w:basedOn w:val="975"/>
    <w:link w:val="1379"/>
    <w:uiPriority w:val="99"/>
    <w:semiHidden/>
    <w:unhideWhenUsed/>
    <w:qFormat/>
    <w:pPr>
      <w:jc w:val="left"/>
    </w:pPr>
  </w:style>
  <w:style w:type="paragraph" w:styleId="994">
    <w:name w:val="Body Text"/>
    <w:basedOn w:val="975"/>
    <w:next w:val="975"/>
    <w:link w:val="1381"/>
    <w:uiPriority w:val="0"/>
    <w:qFormat/>
    <w:pPr>
      <w:jc w:val="left"/>
      <w:spacing w:after="120"/>
    </w:pPr>
    <w:rPr>
      <w:rFonts w:ascii="Times New Roman" w:hAnsi="Times New Roman"/>
      <w:sz w:val="20"/>
      <w:szCs w:val="20"/>
    </w:rPr>
  </w:style>
  <w:style w:type="paragraph" w:styleId="995">
    <w:name w:val="Body Text Indent"/>
    <w:basedOn w:val="975"/>
    <w:next w:val="996"/>
    <w:link w:val="1384"/>
    <w:uiPriority w:val="0"/>
    <w:qFormat/>
    <w:pPr>
      <w:ind w:left="420"/>
      <w:spacing w:after="120"/>
    </w:pPr>
  </w:style>
  <w:style w:type="paragraph" w:styleId="996">
    <w:name w:val="envelope return"/>
    <w:basedOn w:val="975"/>
    <w:uiPriority w:val="0"/>
    <w:qFormat/>
    <w:rPr>
      <w:rFonts w:ascii="Arial" w:hAnsi="Arial"/>
    </w:rPr>
  </w:style>
  <w:style w:type="paragraph" w:styleId="997">
    <w:name w:val="Block Text"/>
    <w:basedOn w:val="975"/>
    <w:next w:val="975"/>
    <w:uiPriority w:val="0"/>
    <w:qFormat/>
    <w:pPr>
      <w:ind w:left="256" w:right="6" w:firstLine="624"/>
    </w:pPr>
    <w:rPr>
      <w:rFonts w:eastAsia="仿宋_GB2312"/>
      <w:sz w:val="28"/>
      <w:szCs w:val="20"/>
    </w:rPr>
  </w:style>
  <w:style w:type="paragraph" w:styleId="998">
    <w:name w:val="toc 5"/>
    <w:basedOn w:val="975"/>
    <w:next w:val="975"/>
    <w:uiPriority w:val="39"/>
    <w:unhideWhenUsed/>
    <w:qFormat/>
    <w:pPr>
      <w:ind w:left="1134"/>
      <w:spacing w:after="57"/>
    </w:pPr>
  </w:style>
  <w:style w:type="paragraph" w:styleId="999">
    <w:name w:val="toc 3"/>
    <w:basedOn w:val="975"/>
    <w:next w:val="975"/>
    <w:uiPriority w:val="39"/>
    <w:unhideWhenUsed/>
    <w:qFormat/>
    <w:pPr>
      <w:ind w:left="567"/>
      <w:spacing w:after="57"/>
    </w:pPr>
  </w:style>
  <w:style w:type="paragraph" w:styleId="1000">
    <w:name w:val="Plain Text"/>
    <w:basedOn w:val="975"/>
    <w:uiPriority w:val="0"/>
    <w:qFormat/>
    <w:rPr>
      <w:rFonts w:ascii="宋体" w:hAnsi="Courier New"/>
    </w:rPr>
  </w:style>
  <w:style w:type="paragraph" w:styleId="1001">
    <w:name w:val="toc 8"/>
    <w:basedOn w:val="975"/>
    <w:next w:val="975"/>
    <w:uiPriority w:val="39"/>
    <w:unhideWhenUsed/>
    <w:qFormat/>
    <w:pPr>
      <w:ind w:left="1984"/>
      <w:spacing w:after="57"/>
    </w:pPr>
  </w:style>
  <w:style w:type="paragraph" w:styleId="1002">
    <w:name w:val="endnote text"/>
    <w:basedOn w:val="975"/>
    <w:link w:val="1244"/>
    <w:uiPriority w:val="99"/>
    <w:semiHidden/>
    <w:unhideWhenUsed/>
    <w:qFormat/>
    <w:rPr>
      <w:sz w:val="20"/>
    </w:rPr>
  </w:style>
  <w:style w:type="paragraph" w:styleId="1003">
    <w:name w:val="Balloon Text"/>
    <w:basedOn w:val="975"/>
    <w:link w:val="1382"/>
    <w:uiPriority w:val="99"/>
    <w:semiHidden/>
    <w:unhideWhenUsed/>
    <w:qFormat/>
    <w:rPr>
      <w:sz w:val="18"/>
      <w:szCs w:val="18"/>
    </w:rPr>
  </w:style>
  <w:style w:type="paragraph" w:styleId="1004">
    <w:name w:val="Footer"/>
    <w:basedOn w:val="975"/>
    <w:link w:val="1136"/>
    <w:uiPriority w:val="99"/>
    <w:unhideWhenUsed/>
    <w:qFormat/>
    <w:pPr>
      <w:tabs>
        <w:tab w:val="center" w:pos="7143" w:leader="none"/>
        <w:tab w:val="right" w:pos="14287" w:leader="none"/>
      </w:tabs>
    </w:pPr>
  </w:style>
  <w:style w:type="paragraph" w:styleId="1005">
    <w:name w:val="Header"/>
    <w:basedOn w:val="975"/>
    <w:link w:val="1134"/>
    <w:uiPriority w:val="99"/>
    <w:unhideWhenUsed/>
    <w:qFormat/>
    <w:pPr>
      <w:tabs>
        <w:tab w:val="center" w:pos="7143" w:leader="none"/>
        <w:tab w:val="right" w:pos="14287" w:leader="none"/>
      </w:tabs>
    </w:pPr>
  </w:style>
  <w:style w:type="paragraph" w:styleId="1006">
    <w:name w:val="toc 1"/>
    <w:basedOn w:val="975"/>
    <w:next w:val="975"/>
    <w:uiPriority w:val="39"/>
    <w:unhideWhenUsed/>
    <w:qFormat/>
    <w:pPr>
      <w:spacing w:after="57"/>
    </w:pPr>
  </w:style>
  <w:style w:type="paragraph" w:styleId="1007">
    <w:name w:val="toc 4"/>
    <w:basedOn w:val="975"/>
    <w:next w:val="975"/>
    <w:uiPriority w:val="39"/>
    <w:unhideWhenUsed/>
    <w:qFormat/>
    <w:pPr>
      <w:ind w:left="850"/>
      <w:spacing w:after="57"/>
    </w:pPr>
  </w:style>
  <w:style w:type="paragraph" w:styleId="1008">
    <w:name w:val="Subtitle"/>
    <w:basedOn w:val="975"/>
    <w:next w:val="975"/>
    <w:link w:val="1129"/>
    <w:uiPriority w:val="11"/>
    <w:qFormat/>
    <w:pPr>
      <w:spacing w:before="200" w:after="200"/>
    </w:pPr>
    <w:rPr>
      <w:sz w:val="24"/>
      <w:szCs w:val="24"/>
    </w:rPr>
  </w:style>
  <w:style w:type="paragraph" w:styleId="1009">
    <w:name w:val="footnote text"/>
    <w:basedOn w:val="975"/>
    <w:link w:val="1243"/>
    <w:uiPriority w:val="99"/>
    <w:semiHidden/>
    <w:unhideWhenUsed/>
    <w:qFormat/>
    <w:pPr>
      <w:spacing w:after="40"/>
    </w:pPr>
    <w:rPr>
      <w:sz w:val="18"/>
    </w:rPr>
  </w:style>
  <w:style w:type="paragraph" w:styleId="1010">
    <w:name w:val="toc 6"/>
    <w:basedOn w:val="975"/>
    <w:next w:val="975"/>
    <w:uiPriority w:val="39"/>
    <w:unhideWhenUsed/>
    <w:qFormat/>
    <w:pPr>
      <w:ind w:left="1417"/>
      <w:spacing w:after="57"/>
    </w:pPr>
  </w:style>
  <w:style w:type="paragraph" w:styleId="1011">
    <w:name w:val="Body Text Indent 3"/>
    <w:basedOn w:val="975"/>
    <w:uiPriority w:val="0"/>
    <w:qFormat/>
    <w:pPr>
      <w:ind w:left="645" w:firstLine="645"/>
    </w:pPr>
    <w:rPr>
      <w:rFonts w:ascii="Arial" w:hAnsi="Arial" w:eastAsia="仿宋_GB2312"/>
      <w:color w:val="ffff00"/>
      <w:sz w:val="32"/>
      <w:szCs w:val="32"/>
    </w:rPr>
  </w:style>
  <w:style w:type="paragraph" w:styleId="1012">
    <w:name w:val="table of figures"/>
    <w:basedOn w:val="975"/>
    <w:next w:val="975"/>
    <w:uiPriority w:val="99"/>
    <w:unhideWhenUsed/>
    <w:qFormat/>
  </w:style>
  <w:style w:type="paragraph" w:styleId="1013">
    <w:name w:val="toc 2"/>
    <w:basedOn w:val="975"/>
    <w:next w:val="975"/>
    <w:uiPriority w:val="39"/>
    <w:unhideWhenUsed/>
    <w:qFormat/>
    <w:pPr>
      <w:ind w:left="283"/>
      <w:spacing w:after="57"/>
    </w:pPr>
  </w:style>
  <w:style w:type="paragraph" w:styleId="1014">
    <w:name w:val="toc 9"/>
    <w:basedOn w:val="975"/>
    <w:next w:val="975"/>
    <w:uiPriority w:val="39"/>
    <w:unhideWhenUsed/>
    <w:qFormat/>
    <w:pPr>
      <w:ind w:left="2268"/>
      <w:spacing w:after="57"/>
    </w:pPr>
  </w:style>
  <w:style w:type="paragraph" w:styleId="1015">
    <w:name w:val="Normal (Web)"/>
    <w:basedOn w:val="975"/>
    <w:uiPriority w:val="99"/>
    <w:semiHidden/>
    <w:unhideWhenUsed/>
    <w:qFormat/>
    <w:rPr>
      <w:rFonts w:ascii="Times New Roman" w:hAnsi="Times New Roman"/>
      <w:sz w:val="24"/>
      <w:szCs w:val="24"/>
    </w:rPr>
  </w:style>
  <w:style w:type="paragraph" w:styleId="1016">
    <w:name w:val="Title"/>
    <w:basedOn w:val="975"/>
    <w:next w:val="975"/>
    <w:link w:val="1128"/>
    <w:uiPriority w:val="10"/>
    <w:qFormat/>
    <w:pPr>
      <w:contextualSpacing/>
      <w:spacing w:before="300" w:after="200"/>
    </w:pPr>
    <w:rPr>
      <w:sz w:val="48"/>
      <w:szCs w:val="48"/>
    </w:rPr>
  </w:style>
  <w:style w:type="paragraph" w:styleId="1017">
    <w:name w:val="annotation subject"/>
    <w:basedOn w:val="993"/>
    <w:next w:val="993"/>
    <w:link w:val="1378"/>
    <w:uiPriority w:val="0"/>
    <w:qFormat/>
    <w:rPr>
      <w:rFonts w:ascii="Times New Roman" w:hAnsi="Times New Roman"/>
      <w:b/>
      <w:bCs/>
      <w:sz w:val="24"/>
      <w:szCs w:val="24"/>
    </w:rPr>
  </w:style>
  <w:style w:type="paragraph" w:styleId="1018">
    <w:name w:val="Body Text First Indent"/>
    <w:basedOn w:val="994"/>
    <w:next w:val="1019"/>
    <w:uiPriority w:val="99"/>
    <w:qFormat/>
    <w:pPr>
      <w:ind w:firstLine="420"/>
      <w:spacing w:after="120" w:line="440" w:lineRule="exact"/>
    </w:pPr>
    <w:rPr>
      <w:rFonts w:ascii="宋体"/>
    </w:rPr>
  </w:style>
  <w:style w:type="paragraph" w:styleId="1019">
    <w:name w:val="Body Text First Indent 2"/>
    <w:basedOn w:val="995"/>
    <w:next w:val="975"/>
    <w:uiPriority w:val="0"/>
    <w:qFormat/>
    <w:pPr>
      <w:ind w:firstLine="420"/>
      <w:spacing w:line="360" w:lineRule="auto"/>
    </w:pPr>
    <w:rPr>
      <w:color w:val="000000"/>
    </w:rPr>
  </w:style>
  <w:style w:type="table" w:styleId="102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1">
    <w:name w:val="Strong"/>
    <w:basedOn w:val="985"/>
    <w:uiPriority w:val="22"/>
    <w:qFormat/>
    <w:rPr>
      <w:b/>
    </w:rPr>
  </w:style>
  <w:style w:type="character" w:styleId="1022">
    <w:name w:val="endnote reference"/>
    <w:uiPriority w:val="99"/>
    <w:semiHidden/>
    <w:unhideWhenUsed/>
    <w:qFormat/>
    <w:rPr>
      <w:vertAlign w:val="superscript"/>
    </w:rPr>
  </w:style>
  <w:style w:type="character" w:styleId="1023">
    <w:name w:val="page number"/>
    <w:basedOn w:val="985"/>
    <w:uiPriority w:val="0"/>
    <w:qFormat/>
  </w:style>
  <w:style w:type="character" w:styleId="1024">
    <w:name w:val="Emphasis"/>
    <w:basedOn w:val="985"/>
    <w:uiPriority w:val="20"/>
    <w:qFormat/>
    <w:rPr>
      <w:i/>
    </w:rPr>
  </w:style>
  <w:style w:type="character" w:styleId="1025">
    <w:name w:val="Hyperlink"/>
    <w:basedOn w:val="985"/>
    <w:uiPriority w:val="99"/>
    <w:unhideWhenUsed/>
    <w:qFormat/>
    <w:rPr>
      <w:color w:val="0000ff"/>
      <w:u w:val="single"/>
    </w:rPr>
  </w:style>
  <w:style w:type="character" w:styleId="1026">
    <w:name w:val="annotation reference"/>
    <w:basedOn w:val="985"/>
    <w:uiPriority w:val="99"/>
    <w:semiHidden/>
    <w:unhideWhenUsed/>
    <w:qFormat/>
    <w:rPr>
      <w:sz w:val="21"/>
      <w:szCs w:val="21"/>
    </w:rPr>
  </w:style>
  <w:style w:type="character" w:styleId="1027">
    <w:name w:val="footnote reference"/>
    <w:uiPriority w:val="99"/>
    <w:unhideWhenUsed/>
    <w:qFormat/>
    <w:rPr>
      <w:vertAlign w:val="superscript"/>
    </w:rPr>
  </w:style>
  <w:style w:type="paragraph" w:styleId="1028" w:customStyle="1">
    <w:name w:val="一级条标题"/>
    <w:basedOn w:val="1029"/>
    <w:next w:val="10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9" w:customStyle="1">
    <w:name w:val="章标题"/>
    <w:basedOn w:val="1030"/>
    <w:next w:val="10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0" w:customStyle="1">
    <w:name w:val="正文1"/>
    <w:basedOn w:val="1031"/>
    <w:next w:val="1039"/>
    <w:link w:val="1277"/>
    <w:uiPriority w:val="0"/>
    <w:qFormat/>
    <w:pPr>
      <w:jc w:val="left"/>
      <w:spacing w:line="360" w:lineRule="atLeast"/>
    </w:pPr>
    <w:rPr>
      <w:rFonts w:ascii="宋体"/>
      <w:sz w:val="24"/>
    </w:rPr>
  </w:style>
  <w:style w:type="paragraph" w:styleId="1031" w:customStyle="1">
    <w:name w:val="正文11"/>
    <w:next w:val="1032"/>
    <w:link w:val="1360"/>
    <w:uiPriority w:val="0"/>
    <w:qFormat/>
    <w:pPr>
      <w:jc w:val="both"/>
    </w:pPr>
    <w:rPr>
      <w:rFonts w:hint="default" w:ascii="Times New Roman" w:hAnsi="Times New Roman" w:eastAsia="宋体" w:cs="Times New Roman"/>
      <w:lang w:val="en-US" w:eastAsia="zh-CN" w:bidi="ar-SA"/>
    </w:rPr>
  </w:style>
  <w:style w:type="paragraph" w:styleId="1032" w:customStyle="1">
    <w:name w:val="文本块1"/>
    <w:basedOn w:val="1033"/>
    <w:next w:val="1036"/>
    <w:uiPriority w:val="0"/>
    <w:qFormat/>
    <w:pPr>
      <w:ind w:left="256" w:right="6" w:firstLine="624"/>
    </w:pPr>
    <w:rPr>
      <w:rFonts w:eastAsia="仿宋_GB2312"/>
      <w:sz w:val="28"/>
    </w:rPr>
  </w:style>
  <w:style w:type="paragraph" w:styleId="1033" w:customStyle="1">
    <w:name w:val="正文111"/>
    <w:next w:val="1034"/>
    <w:uiPriority w:val="0"/>
    <w:qFormat/>
    <w:pPr>
      <w:jc w:val="both"/>
      <w:widowControl w:val="off"/>
    </w:pPr>
    <w:rPr>
      <w:rFonts w:hint="default" w:ascii="Calibri" w:hAnsi="Calibri" w:eastAsia="宋体" w:cs="Calibri"/>
      <w:color w:val="000000"/>
      <w:sz w:val="22"/>
      <w:szCs w:val="22"/>
      <w:lang w:val="en-US" w:eastAsia="zh-CN" w:bidi="ar-SA"/>
    </w:rPr>
  </w:style>
  <w:style w:type="paragraph" w:styleId="1034" w:customStyle="1">
    <w:name w:val="正文文本缩进1"/>
    <w:basedOn w:val="1030"/>
    <w:next w:val="1035"/>
    <w:uiPriority w:val="0"/>
    <w:qFormat/>
    <w:pPr>
      <w:ind w:left="420"/>
      <w:spacing w:after="120"/>
    </w:pPr>
  </w:style>
  <w:style w:type="paragraph" w:styleId="1035" w:customStyle="1">
    <w:name w:val="寄信人地址1"/>
    <w:basedOn w:val="1031"/>
    <w:uiPriority w:val="0"/>
    <w:qFormat/>
    <w:rPr>
      <w:rFonts w:ascii="Arial" w:hAnsi="Arial"/>
    </w:rPr>
  </w:style>
  <w:style w:type="paragraph" w:styleId="1036" w:customStyle="1">
    <w:name w:val="标题 41"/>
    <w:basedOn w:val="1037"/>
    <w:next w:val="1031"/>
    <w:uiPriority w:val="0"/>
    <w:qFormat/>
    <w:pPr>
      <w:keepLines/>
      <w:keepNext/>
      <w:spacing w:line="360" w:lineRule="auto"/>
      <w:outlineLvl w:val="3"/>
    </w:pPr>
    <w:rPr>
      <w:rFonts w:ascii="Arial" w:hAnsi="Arial"/>
      <w:b/>
      <w:bCs/>
      <w:sz w:val="21"/>
      <w:szCs w:val="28"/>
    </w:rPr>
  </w:style>
  <w:style w:type="paragraph" w:styleId="1037" w:customStyle="1">
    <w:name w:val="正文12"/>
    <w:next w:val="1038"/>
    <w:uiPriority w:val="0"/>
    <w:qFormat/>
    <w:pPr>
      <w:jc w:val="both"/>
      <w:widowControl w:val="off"/>
    </w:pPr>
    <w:rPr>
      <w:rFonts w:hint="default" w:ascii="Calibri" w:hAnsi="Calibri" w:eastAsia="Calibri" w:cs="Times New Roman"/>
      <w:sz w:val="21"/>
      <w:szCs w:val="24"/>
      <w:lang w:val="en-US" w:eastAsia="zh-CN" w:bidi="ar-SA"/>
    </w:rPr>
  </w:style>
  <w:style w:type="paragraph" w:styleId="1038" w:customStyle="1">
    <w:name w:val="标题 21"/>
    <w:basedOn w:val="1033"/>
    <w:next w:val="103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39" w:customStyle="1">
    <w:name w:val="目录 11"/>
    <w:basedOn w:val="1040"/>
    <w:next w:val="1037"/>
    <w:uiPriority w:val="0"/>
    <w:qFormat/>
  </w:style>
  <w:style w:type="paragraph" w:styleId="1040" w:customStyle="1">
    <w:name w:val="正文112"/>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首行缩进1"/>
    <w:basedOn w:val="1042"/>
    <w:next w:val="1043"/>
    <w:link w:val="1270"/>
    <w:uiPriority w:val="0"/>
    <w:qFormat/>
    <w:pPr>
      <w:ind w:firstLine="420"/>
      <w:widowControl w:val="off"/>
    </w:pPr>
    <w:rPr>
      <w:sz w:val="21"/>
    </w:rPr>
  </w:style>
  <w:style w:type="paragraph" w:styleId="1042" w:customStyle="1">
    <w:name w:val="正文文本11"/>
    <w:basedOn w:val="1037"/>
    <w:next w:val="1033"/>
    <w:link w:val="1256"/>
    <w:uiPriority w:val="0"/>
    <w:qFormat/>
    <w:pPr>
      <w:spacing w:after="120"/>
    </w:pPr>
  </w:style>
  <w:style w:type="paragraph" w:styleId="1043" w:customStyle="1">
    <w:name w:val="正文首行缩进 211"/>
    <w:basedOn w:val="1044"/>
    <w:next w:val="1040"/>
    <w:uiPriority w:val="99"/>
    <w:qFormat/>
    <w:pPr>
      <w:ind w:left="0" w:firstLine="420"/>
      <w:spacing w:after="0" w:line="360" w:lineRule="auto"/>
    </w:pPr>
    <w:rPr>
      <w:rFonts w:ascii="宋体" w:hAnsi="宋体"/>
    </w:rPr>
  </w:style>
  <w:style w:type="paragraph" w:styleId="1044" w:customStyle="1">
    <w:name w:val="正文文本缩进11"/>
    <w:basedOn w:val="1037"/>
    <w:next w:val="1040"/>
    <w:uiPriority w:val="0"/>
    <w:qFormat/>
    <w:pPr>
      <w:ind w:left="420"/>
      <w:spacing w:after="120"/>
    </w:pPr>
  </w:style>
  <w:style w:type="paragraph" w:styleId="1045" w:customStyle="1">
    <w:name w:val="段"/>
    <w:basedOn w:val="1046"/>
    <w:next w:val="1037"/>
    <w:uiPriority w:val="0"/>
    <w:qFormat/>
    <w:pPr>
      <w:ind w:firstLine="200"/>
    </w:pPr>
  </w:style>
  <w:style w:type="paragraph" w:styleId="1046" w:customStyle="1">
    <w:name w:val="正文13"/>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正文文本 21"/>
    <w:basedOn w:val="975"/>
    <w:uiPriority w:val="0"/>
    <w:qFormat/>
    <w:pPr>
      <w:jc w:val="center"/>
      <w:widowControl/>
    </w:pPr>
    <w:rPr>
      <w:rFonts w:ascii="楷体_GB2312" w:eastAsia="楷体_GB2312"/>
      <w:sz w:val="28"/>
      <w:szCs w:val="28"/>
    </w:rPr>
  </w:style>
  <w:style w:type="paragraph" w:styleId="1048" w:customStyle="1">
    <w:name w:val="正文首行缩进 21"/>
    <w:basedOn w:val="1034"/>
    <w:next w:val="1037"/>
    <w:uiPriority w:val="0"/>
    <w:qFormat/>
    <w:pPr>
      <w:ind w:firstLine="420"/>
    </w:pPr>
    <w:rPr>
      <w:rFonts w:ascii="仿宋_GB2312" w:eastAsia="仿宋_GB2312"/>
      <w:color w:val="ff6600"/>
      <w:sz w:val="21"/>
    </w:rPr>
  </w:style>
  <w:style w:type="paragraph" w:styleId="1049" w:customStyle="1">
    <w:name w:val="正文文本1"/>
    <w:basedOn w:val="1031"/>
    <w:next w:val="975"/>
    <w:uiPriority w:val="0"/>
    <w:qFormat/>
    <w:rPr>
      <w:rFonts w:eastAsia="黑体"/>
      <w:b/>
      <w:bCs/>
      <w:spacing w:val="20"/>
      <w:sz w:val="56"/>
    </w:rPr>
  </w:style>
  <w:style w:type="paragraph" w:styleId="1050" w:customStyle="1">
    <w:name w:val="正文1111"/>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无间隔1"/>
    <w:uiPriority w:val="0"/>
    <w:qFormat/>
    <w:rPr>
      <w:rFonts w:hint="default" w:ascii="Times New Roman" w:hAnsi="Times New Roman" w:eastAsia="宋体" w:cs="Times New Roman"/>
      <w:sz w:val="22"/>
      <w:szCs w:val="22"/>
      <w:lang w:val="en-US" w:eastAsia="en-US" w:bidi="ar-SA"/>
    </w:rPr>
  </w:style>
  <w:style w:type="paragraph" w:styleId="1052" w:customStyle="1">
    <w:name w:val="寄信人地址11"/>
    <w:basedOn w:val="975"/>
    <w:uiPriority w:val="0"/>
    <w:qFormat/>
    <w:rPr>
      <w:rFonts w:ascii="Arial" w:hAnsi="Arial"/>
    </w:rPr>
  </w:style>
  <w:style w:type="paragraph" w:styleId="1053" w:customStyle="1">
    <w:name w:val="脚注文本1"/>
    <w:basedOn w:val="1030"/>
    <w:next w:val="1054"/>
    <w:uiPriority w:val="0"/>
    <w:qFormat/>
    <w:rPr>
      <w:rFonts w:ascii="宋体" w:eastAsia="Times New Roman"/>
      <w:sz w:val="18"/>
      <w:szCs w:val="18"/>
    </w:rPr>
  </w:style>
  <w:style w:type="paragraph" w:styleId="1054" w:customStyle="1">
    <w:name w:val="索引 51"/>
    <w:basedOn w:val="1030"/>
    <w:next w:val="1030"/>
    <w:uiPriority w:val="0"/>
    <w:qFormat/>
    <w:pPr>
      <w:ind w:left="798"/>
    </w:pPr>
    <w:rPr>
      <w:rFonts w:ascii="Calibri" w:hAnsi="Calibri"/>
    </w:rPr>
  </w:style>
  <w:style w:type="paragraph" w:styleId="1055" w:customStyle="1">
    <w:name w:val="文本块12"/>
    <w:basedOn w:val="975"/>
    <w:uiPriority w:val="6"/>
    <w:qFormat/>
    <w:pPr>
      <w:ind w:left="256" w:right="6" w:firstLine="624"/>
    </w:pPr>
    <w:rPr>
      <w:rFonts w:ascii="Times New Roman" w:hAnsi="Times New Roman" w:eastAsia="仿宋" w:cs="Times New Roman"/>
      <w:sz w:val="28"/>
      <w:szCs w:val="20"/>
    </w:rPr>
  </w:style>
  <w:style w:type="paragraph" w:styleId="1056" w:customStyle="1">
    <w:name w:val="正文文本111"/>
    <w:basedOn w:val="1037"/>
    <w:next w:val="1037"/>
    <w:uiPriority w:val="0"/>
    <w:qFormat/>
  </w:style>
  <w:style w:type="paragraph" w:styleId="1057" w:customStyle="1">
    <w:name w:val="正文首行缩进11"/>
    <w:basedOn w:val="1042"/>
    <w:next w:val="1043"/>
    <w:uiPriority w:val="0"/>
    <w:qFormat/>
    <w:pPr>
      <w:ind w:firstLine="420"/>
    </w:pPr>
    <w:rPr>
      <w:rFonts w:ascii="仿宋_GB2312" w:eastAsia="仿宋_GB2312"/>
      <w:sz w:val="30"/>
      <w:szCs w:val="30"/>
    </w:rPr>
  </w:style>
  <w:style w:type="paragraph" w:styleId="1058" w:customStyle="1">
    <w:name w:val="目录 111"/>
    <w:basedOn w:val="1046"/>
    <w:next w:val="1037"/>
    <w:uiPriority w:val="0"/>
    <w:qFormat/>
    <w:pPr>
      <w:spacing w:after="57"/>
    </w:pPr>
  </w:style>
  <w:style w:type="table" w:styleId="1059" w:customStyle="1">
    <w:name w:val="Plain Table 1"/>
    <w:basedOn w:val="9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Plain Table 2"/>
    <w:basedOn w:val="9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Plain Table 3"/>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Plain Table 4"/>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Plain Table 5"/>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Grid Table 1 Light"/>
    <w:basedOn w:val="9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Grid Table 2"/>
    <w:basedOn w:val="9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3"/>
    <w:basedOn w:val="9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4"/>
    <w:basedOn w:val="9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8" w:customStyle="1">
    <w:name w:val="Grid Table 5 Dark"/>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9" w:customStyle="1">
    <w:name w:val="Grid Table 6 Colorful"/>
    <w:basedOn w:val="9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0" w:customStyle="1">
    <w:name w:val="Grid Table 7 Colorful"/>
    <w:basedOn w:val="9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List Table 1 Light"/>
    <w:basedOn w:val="9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2"/>
    <w:basedOn w:val="9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3"/>
    <w:basedOn w:val="9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4"/>
    <w:basedOn w:val="9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5 Dark"/>
    <w:basedOn w:val="9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6 Colorful"/>
    <w:basedOn w:val="9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List Table 7 Colorful"/>
    <w:basedOn w:val="9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78" w:customStyle="1">
    <w:name w:val="TOC Heading"/>
    <w:uiPriority w:val="39"/>
    <w:unhideWhenUsed/>
    <w:qFormat/>
    <w:rPr>
      <w:rFonts w:hint="default" w:ascii="Times New Roman" w:hAnsi="Times New Roman" w:eastAsia="宋体" w:cs="Times New Roman"/>
    </w:rPr>
  </w:style>
  <w:style w:type="paragraph" w:styleId="1079"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080" w:customStyle="1">
    <w:name w:val="索引 41"/>
    <w:basedOn w:val="1030"/>
    <w:next w:val="1030"/>
    <w:uiPriority w:val="0"/>
    <w:unhideWhenUsed/>
    <w:qFormat/>
    <w:pPr>
      <w:ind w:left="600"/>
      <w:jc w:val="both"/>
    </w:pPr>
    <w:rPr>
      <w:rFonts w:ascii="Calibri"/>
      <w:sz w:val="22"/>
    </w:rPr>
  </w:style>
  <w:style w:type="character" w:styleId="1081" w:customStyle="1">
    <w:name w:val="Heading 1 Char"/>
    <w:uiPriority w:val="9"/>
    <w:qFormat/>
    <w:rPr>
      <w:rFonts w:ascii="Arial" w:hAnsi="Arial" w:eastAsia="Arial" w:cs="Arial"/>
      <w:sz w:val="40"/>
      <w:szCs w:val="40"/>
    </w:rPr>
  </w:style>
  <w:style w:type="character" w:styleId="1082" w:customStyle="1">
    <w:name w:val="Heading 2 Char"/>
    <w:uiPriority w:val="9"/>
    <w:qFormat/>
    <w:rPr>
      <w:rFonts w:ascii="Arial" w:hAnsi="Arial" w:eastAsia="Arial" w:cs="Arial"/>
      <w:sz w:val="34"/>
    </w:rPr>
  </w:style>
  <w:style w:type="character" w:styleId="1083" w:customStyle="1">
    <w:name w:val="Heading 3 Char"/>
    <w:uiPriority w:val="9"/>
    <w:qFormat/>
    <w:rPr>
      <w:rFonts w:ascii="Arial" w:hAnsi="Arial" w:eastAsia="Arial" w:cs="Arial"/>
      <w:sz w:val="30"/>
      <w:szCs w:val="30"/>
    </w:rPr>
  </w:style>
  <w:style w:type="character" w:styleId="1084" w:customStyle="1">
    <w:name w:val="Heading 4 Char"/>
    <w:uiPriority w:val="9"/>
    <w:qFormat/>
    <w:rPr>
      <w:rFonts w:ascii="Arial" w:hAnsi="Arial" w:eastAsia="Arial" w:cs="Arial"/>
      <w:b/>
      <w:bCs/>
      <w:sz w:val="26"/>
      <w:szCs w:val="26"/>
    </w:rPr>
  </w:style>
  <w:style w:type="character" w:styleId="1085" w:customStyle="1">
    <w:name w:val="Heading 5 Char"/>
    <w:uiPriority w:val="9"/>
    <w:qFormat/>
    <w:rPr>
      <w:rFonts w:ascii="Arial" w:hAnsi="Arial" w:eastAsia="Arial" w:cs="Arial"/>
      <w:b/>
      <w:bCs/>
      <w:sz w:val="24"/>
      <w:szCs w:val="24"/>
    </w:rPr>
  </w:style>
  <w:style w:type="character" w:styleId="1086" w:customStyle="1">
    <w:name w:val="Heading 6 Char"/>
    <w:uiPriority w:val="9"/>
    <w:qFormat/>
    <w:rPr>
      <w:rFonts w:ascii="Arial" w:hAnsi="Arial" w:eastAsia="Arial" w:cs="Arial"/>
      <w:b/>
      <w:bCs/>
      <w:sz w:val="22"/>
      <w:szCs w:val="22"/>
    </w:rPr>
  </w:style>
  <w:style w:type="character" w:styleId="1087" w:customStyle="1">
    <w:name w:val="Heading 7 Char"/>
    <w:uiPriority w:val="9"/>
    <w:qFormat/>
    <w:rPr>
      <w:rFonts w:ascii="Arial" w:hAnsi="Arial" w:eastAsia="Arial" w:cs="Arial"/>
      <w:b/>
      <w:bCs/>
      <w:i/>
      <w:iCs/>
      <w:sz w:val="22"/>
      <w:szCs w:val="22"/>
    </w:rPr>
  </w:style>
  <w:style w:type="character" w:styleId="1088" w:customStyle="1">
    <w:name w:val="Heading 8 Char"/>
    <w:uiPriority w:val="9"/>
    <w:qFormat/>
    <w:rPr>
      <w:rFonts w:ascii="Arial" w:hAnsi="Arial" w:eastAsia="Arial" w:cs="Arial"/>
      <w:i/>
      <w:iCs/>
      <w:sz w:val="22"/>
      <w:szCs w:val="22"/>
    </w:rPr>
  </w:style>
  <w:style w:type="character" w:styleId="1089" w:customStyle="1">
    <w:name w:val="Heading 9 Char"/>
    <w:uiPriority w:val="9"/>
    <w:qFormat/>
    <w:rPr>
      <w:rFonts w:ascii="Arial" w:hAnsi="Arial" w:eastAsia="Arial" w:cs="Arial"/>
      <w:i/>
      <w:iCs/>
      <w:sz w:val="21"/>
      <w:szCs w:val="21"/>
    </w:rPr>
  </w:style>
  <w:style w:type="character" w:styleId="1090" w:customStyle="1">
    <w:name w:val="Title Char"/>
    <w:uiPriority w:val="10"/>
    <w:qFormat/>
    <w:rPr>
      <w:sz w:val="48"/>
      <w:szCs w:val="48"/>
    </w:rPr>
  </w:style>
  <w:style w:type="character" w:styleId="1091" w:customStyle="1">
    <w:name w:val="Subtitle Char"/>
    <w:uiPriority w:val="11"/>
    <w:qFormat/>
    <w:rPr>
      <w:sz w:val="24"/>
      <w:szCs w:val="24"/>
    </w:rPr>
  </w:style>
  <w:style w:type="character" w:styleId="1092" w:customStyle="1">
    <w:name w:val="Quote Char"/>
    <w:uiPriority w:val="29"/>
    <w:qFormat/>
    <w:rPr>
      <w:i/>
    </w:rPr>
  </w:style>
  <w:style w:type="character" w:styleId="1093" w:customStyle="1">
    <w:name w:val="Intense Quote Char"/>
    <w:uiPriority w:val="30"/>
    <w:qFormat/>
    <w:rPr>
      <w:i/>
    </w:rPr>
  </w:style>
  <w:style w:type="character" w:styleId="1094" w:customStyle="1">
    <w:name w:val="Header Char"/>
    <w:basedOn w:val="985"/>
    <w:uiPriority w:val="99"/>
    <w:qFormat/>
  </w:style>
  <w:style w:type="character" w:styleId="1095" w:customStyle="1">
    <w:name w:val="Caption Char"/>
    <w:uiPriority w:val="99"/>
    <w:qFormat/>
  </w:style>
  <w:style w:type="table" w:styleId="1096" w:customStyle="1">
    <w:name w:val="无格式表格 11"/>
    <w:basedOn w:val="98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无格式表格 21"/>
    <w:basedOn w:val="986"/>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8" w:customStyle="1">
    <w:name w:val="无格式表格 31"/>
    <w:basedOn w:val="98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9" w:customStyle="1">
    <w:name w:val="无格式表格 41"/>
    <w:basedOn w:val="98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0" w:customStyle="1">
    <w:name w:val="无格式表格 51"/>
    <w:basedOn w:val="98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1" w:customStyle="1">
    <w:name w:val="网格表 1 浅色1"/>
    <w:basedOn w:val="98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2" w:customStyle="1">
    <w:name w:val="网格表 21"/>
    <w:basedOn w:val="98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3" w:customStyle="1">
    <w:name w:val="网格表 31"/>
    <w:basedOn w:val="98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网格表 41"/>
    <w:basedOn w:val="98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5" w:customStyle="1">
    <w:name w:val="网格表 5 深色1"/>
    <w:basedOn w:val="98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06" w:customStyle="1">
    <w:name w:val="网格表 6 彩色1"/>
    <w:basedOn w:val="98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07" w:customStyle="1">
    <w:name w:val="网格表 7 彩色1"/>
    <w:basedOn w:val="986"/>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08" w:customStyle="1">
    <w:name w:val="清单表 1 浅色1"/>
    <w:basedOn w:val="986"/>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09" w:customStyle="1">
    <w:name w:val="清单表 21"/>
    <w:basedOn w:val="986"/>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0" w:customStyle="1">
    <w:name w:val="清单表 31"/>
    <w:basedOn w:val="98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1" w:customStyle="1">
    <w:name w:val="清单表 41"/>
    <w:basedOn w:val="98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2" w:customStyle="1">
    <w:name w:val="清单表 5 深色1"/>
    <w:basedOn w:val="986"/>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3" w:customStyle="1">
    <w:name w:val="清单表 6 彩色1"/>
    <w:basedOn w:val="986"/>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14" w:customStyle="1">
    <w:name w:val="清单表 7 彩色1"/>
    <w:basedOn w:val="986"/>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115" w:customStyle="1">
    <w:name w:val="Footnote Text Char"/>
    <w:uiPriority w:val="99"/>
    <w:qFormat/>
    <w:rPr>
      <w:sz w:val="18"/>
    </w:rPr>
  </w:style>
  <w:style w:type="character" w:styleId="1116" w:customStyle="1">
    <w:name w:val="Endnote Text Char"/>
    <w:uiPriority w:val="99"/>
    <w:qFormat/>
    <w:rPr>
      <w:sz w:val="20"/>
    </w:rPr>
  </w:style>
  <w:style w:type="paragraph" w:styleId="1117" w:customStyle="1">
    <w:name w:val="TOC 标题1"/>
    <w:uiPriority w:val="39"/>
    <w:unhideWhenUsed/>
    <w:qFormat/>
    <w:rPr>
      <w:rFonts w:hint="default" w:ascii="Times New Roman" w:hAnsi="Times New Roman" w:eastAsia="宋体" w:cs="Times New Roman"/>
      <w:lang w:val="en-US" w:eastAsia="zh-CN" w:bidi="ar-SA"/>
    </w:rPr>
  </w:style>
  <w:style w:type="character" w:styleId="1118" w:customStyle="1">
    <w:name w:val="标题 1 Char1"/>
    <w:link w:val="976"/>
    <w:uiPriority w:val="9"/>
    <w:qFormat/>
    <w:rPr>
      <w:rFonts w:ascii="Arial" w:hAnsi="Arial" w:eastAsia="Arial" w:cs="Arial"/>
      <w:sz w:val="40"/>
      <w:szCs w:val="40"/>
    </w:rPr>
  </w:style>
  <w:style w:type="character" w:styleId="1119" w:customStyle="1">
    <w:name w:val="标题 2 Char1"/>
    <w:link w:val="977"/>
    <w:uiPriority w:val="9"/>
    <w:qFormat/>
    <w:rPr>
      <w:rFonts w:ascii="Arial" w:hAnsi="Arial" w:eastAsia="Arial" w:cs="Arial"/>
      <w:sz w:val="34"/>
    </w:rPr>
  </w:style>
  <w:style w:type="character" w:styleId="1120" w:customStyle="1">
    <w:name w:val="标题 3 Char"/>
    <w:link w:val="978"/>
    <w:uiPriority w:val="9"/>
    <w:qFormat/>
    <w:rPr>
      <w:rFonts w:ascii="Arial" w:hAnsi="Arial" w:eastAsia="Arial" w:cs="Arial"/>
      <w:sz w:val="30"/>
      <w:szCs w:val="30"/>
    </w:rPr>
  </w:style>
  <w:style w:type="character" w:styleId="1121" w:customStyle="1">
    <w:name w:val="标题 4 Char"/>
    <w:link w:val="979"/>
    <w:uiPriority w:val="9"/>
    <w:qFormat/>
    <w:rPr>
      <w:rFonts w:ascii="Arial" w:hAnsi="Arial" w:eastAsia="Arial" w:cs="Arial"/>
      <w:b/>
      <w:bCs/>
      <w:sz w:val="26"/>
      <w:szCs w:val="26"/>
    </w:rPr>
  </w:style>
  <w:style w:type="character" w:styleId="1122" w:customStyle="1">
    <w:name w:val="标题 5 Char"/>
    <w:link w:val="980"/>
    <w:uiPriority w:val="9"/>
    <w:qFormat/>
    <w:rPr>
      <w:rFonts w:ascii="Arial" w:hAnsi="Arial" w:eastAsia="Arial" w:cs="Arial"/>
      <w:b/>
      <w:bCs/>
      <w:sz w:val="24"/>
      <w:szCs w:val="24"/>
    </w:rPr>
  </w:style>
  <w:style w:type="character" w:styleId="1123" w:customStyle="1">
    <w:name w:val="标题 6 Char"/>
    <w:link w:val="981"/>
    <w:uiPriority w:val="9"/>
    <w:qFormat/>
    <w:rPr>
      <w:rFonts w:ascii="Arial" w:hAnsi="Arial" w:eastAsia="Arial" w:cs="Arial"/>
      <w:b/>
      <w:bCs/>
      <w:sz w:val="22"/>
      <w:szCs w:val="22"/>
    </w:rPr>
  </w:style>
  <w:style w:type="character" w:styleId="1124" w:customStyle="1">
    <w:name w:val="标题 7 Char"/>
    <w:link w:val="982"/>
    <w:uiPriority w:val="9"/>
    <w:qFormat/>
    <w:rPr>
      <w:rFonts w:ascii="Arial" w:hAnsi="Arial" w:eastAsia="Arial" w:cs="Arial"/>
      <w:b/>
      <w:bCs/>
      <w:i/>
      <w:iCs/>
      <w:sz w:val="22"/>
      <w:szCs w:val="22"/>
    </w:rPr>
  </w:style>
  <w:style w:type="character" w:styleId="1125" w:customStyle="1">
    <w:name w:val="标题 8 Char"/>
    <w:link w:val="983"/>
    <w:uiPriority w:val="9"/>
    <w:qFormat/>
    <w:rPr>
      <w:rFonts w:ascii="Arial" w:hAnsi="Arial" w:eastAsia="Arial" w:cs="Arial"/>
      <w:i/>
      <w:iCs/>
      <w:sz w:val="22"/>
      <w:szCs w:val="22"/>
    </w:rPr>
  </w:style>
  <w:style w:type="character" w:styleId="1126" w:customStyle="1">
    <w:name w:val="标题 9 Char"/>
    <w:link w:val="984"/>
    <w:uiPriority w:val="9"/>
    <w:qFormat/>
    <w:rPr>
      <w:rFonts w:ascii="Arial" w:hAnsi="Arial" w:eastAsia="Arial" w:cs="Arial"/>
      <w:i/>
      <w:iCs/>
      <w:sz w:val="21"/>
      <w:szCs w:val="21"/>
    </w:rPr>
  </w:style>
  <w:style w:type="paragraph" w:styleId="1127">
    <w:name w:val="No Spacing"/>
    <w:uiPriority w:val="1"/>
    <w:qFormat/>
    <w:rPr>
      <w:rFonts w:hint="default" w:ascii="Times New Roman" w:hAnsi="Times New Roman" w:eastAsia="宋体" w:cs="Times New Roman"/>
      <w:lang w:val="en-US" w:eastAsia="zh-CN" w:bidi="ar-SA"/>
    </w:rPr>
  </w:style>
  <w:style w:type="character" w:styleId="1128" w:customStyle="1">
    <w:name w:val="标题 Char"/>
    <w:link w:val="1016"/>
    <w:uiPriority w:val="10"/>
    <w:qFormat/>
    <w:rPr>
      <w:sz w:val="48"/>
      <w:szCs w:val="48"/>
    </w:rPr>
  </w:style>
  <w:style w:type="character" w:styleId="1129" w:customStyle="1">
    <w:name w:val="副标题 Char"/>
    <w:link w:val="1008"/>
    <w:uiPriority w:val="11"/>
    <w:qFormat/>
    <w:rPr>
      <w:sz w:val="24"/>
      <w:szCs w:val="24"/>
    </w:rPr>
  </w:style>
  <w:style w:type="paragraph" w:styleId="1130">
    <w:name w:val="Quote"/>
    <w:basedOn w:val="975"/>
    <w:next w:val="975"/>
    <w:link w:val="1131"/>
    <w:uiPriority w:val="29"/>
    <w:qFormat/>
    <w:pPr>
      <w:ind w:left="720" w:right="720"/>
    </w:pPr>
    <w:rPr>
      <w:i/>
    </w:rPr>
  </w:style>
  <w:style w:type="character" w:styleId="1131" w:customStyle="1">
    <w:name w:val="引用 Char"/>
    <w:link w:val="1130"/>
    <w:uiPriority w:val="29"/>
    <w:qFormat/>
    <w:rPr>
      <w:i/>
    </w:rPr>
  </w:style>
  <w:style w:type="paragraph" w:styleId="1132">
    <w:name w:val="Intense Quote"/>
    <w:basedOn w:val="975"/>
    <w:next w:val="975"/>
    <w:link w:val="11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3" w:customStyle="1">
    <w:name w:val="明显引用 Char"/>
    <w:link w:val="1132"/>
    <w:uiPriority w:val="30"/>
    <w:qFormat/>
    <w:rPr>
      <w:i/>
    </w:rPr>
  </w:style>
  <w:style w:type="character" w:styleId="1134" w:customStyle="1">
    <w:name w:val="页眉 Char1"/>
    <w:link w:val="1005"/>
    <w:uiPriority w:val="99"/>
    <w:qFormat/>
  </w:style>
  <w:style w:type="character" w:styleId="1135" w:customStyle="1">
    <w:name w:val="Footer Char"/>
    <w:uiPriority w:val="99"/>
    <w:qFormat/>
  </w:style>
  <w:style w:type="character" w:styleId="1136" w:customStyle="1">
    <w:name w:val="页脚 Char1"/>
    <w:link w:val="1004"/>
    <w:uiPriority w:val="99"/>
    <w:qFormat/>
  </w:style>
  <w:style w:type="table" w:styleId="11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4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4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6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0" w:customStyle="1">
    <w:name w:val="List Table 1 Light - Accent 1"/>
    <w:uiPriority w:val="99"/>
    <w:qFormat/>
    <w:tblPr>
      <w:tblCellMar>
        <w:left w:w="0" w:type="dxa"/>
        <w:top w:w="0" w:type="dxa"/>
        <w:right w:w="0" w:type="dxa"/>
        <w:bottom w:w="0" w:type="dxa"/>
      </w:tblCellMar>
    </w:tblPr>
  </w:style>
  <w:style w:type="table" w:styleId="1181" w:customStyle="1">
    <w:name w:val="List Table 1 Light - Accent 2"/>
    <w:uiPriority w:val="99"/>
    <w:qFormat/>
    <w:tblPr>
      <w:tblCellMar>
        <w:left w:w="0" w:type="dxa"/>
        <w:top w:w="0" w:type="dxa"/>
        <w:right w:w="0" w:type="dxa"/>
        <w:bottom w:w="0" w:type="dxa"/>
      </w:tblCellMar>
    </w:tblPr>
  </w:style>
  <w:style w:type="table" w:styleId="1182" w:customStyle="1">
    <w:name w:val="List Table 1 Light - Accent 3"/>
    <w:uiPriority w:val="99"/>
    <w:qFormat/>
    <w:tblPr>
      <w:tblCellMar>
        <w:left w:w="0" w:type="dxa"/>
        <w:top w:w="0" w:type="dxa"/>
        <w:right w:w="0" w:type="dxa"/>
        <w:bottom w:w="0" w:type="dxa"/>
      </w:tblCellMar>
    </w:tblPr>
  </w:style>
  <w:style w:type="table" w:styleId="1183" w:customStyle="1">
    <w:name w:val="List Table 1 Light - Accent 4"/>
    <w:uiPriority w:val="99"/>
    <w:qFormat/>
    <w:tblPr>
      <w:tblCellMar>
        <w:left w:w="0" w:type="dxa"/>
        <w:top w:w="0" w:type="dxa"/>
        <w:right w:w="0" w:type="dxa"/>
        <w:bottom w:w="0" w:type="dxa"/>
      </w:tblCellMar>
    </w:tblPr>
  </w:style>
  <w:style w:type="table" w:styleId="1184" w:customStyle="1">
    <w:name w:val="List Table 1 Light - Accent 5"/>
    <w:uiPriority w:val="99"/>
    <w:qFormat/>
    <w:tblPr>
      <w:tblCellMar>
        <w:left w:w="0" w:type="dxa"/>
        <w:top w:w="0" w:type="dxa"/>
        <w:right w:w="0" w:type="dxa"/>
        <w:bottom w:w="0" w:type="dxa"/>
      </w:tblCellMar>
    </w:tblPr>
  </w:style>
  <w:style w:type="table" w:styleId="1185" w:customStyle="1">
    <w:name w:val="List Table 1 Light - Accent 6"/>
    <w:uiPriority w:val="99"/>
    <w:qFormat/>
    <w:tblPr>
      <w:tblCellMar>
        <w:left w:w="0" w:type="dxa"/>
        <w:top w:w="0" w:type="dxa"/>
        <w:right w:w="0" w:type="dxa"/>
        <w:bottom w:w="0" w:type="dxa"/>
      </w:tblCellMar>
    </w:tblPr>
  </w:style>
  <w:style w:type="table" w:styleId="11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22" w:customStyle="1">
    <w:name w:val="Lined - Accent"/>
    <w:uiPriority w:val="99"/>
    <w:qFormat/>
    <w:rPr>
      <w:color w:val="404040"/>
    </w:rPr>
    <w:tblPr>
      <w:tblCellMar>
        <w:left w:w="0" w:type="dxa"/>
        <w:top w:w="0" w:type="dxa"/>
        <w:right w:w="0" w:type="dxa"/>
        <w:bottom w:w="0" w:type="dxa"/>
      </w:tblCellMar>
    </w:tblPr>
  </w:style>
  <w:style w:type="table" w:styleId="1223" w:customStyle="1">
    <w:name w:val="Lined - Accent 1"/>
    <w:uiPriority w:val="99"/>
    <w:qFormat/>
    <w:rPr>
      <w:color w:val="404040"/>
    </w:rPr>
    <w:tblPr>
      <w:tblCellMar>
        <w:left w:w="0" w:type="dxa"/>
        <w:top w:w="0" w:type="dxa"/>
        <w:right w:w="0" w:type="dxa"/>
        <w:bottom w:w="0" w:type="dxa"/>
      </w:tblCellMar>
    </w:tblPr>
  </w:style>
  <w:style w:type="table" w:styleId="1224" w:customStyle="1">
    <w:name w:val="Lined - Accent 2"/>
    <w:uiPriority w:val="99"/>
    <w:qFormat/>
    <w:rPr>
      <w:color w:val="404040"/>
    </w:rPr>
    <w:tblPr>
      <w:tblCellMar>
        <w:left w:w="0" w:type="dxa"/>
        <w:top w:w="0" w:type="dxa"/>
        <w:right w:w="0" w:type="dxa"/>
        <w:bottom w:w="0" w:type="dxa"/>
      </w:tblCellMar>
    </w:tblPr>
  </w:style>
  <w:style w:type="table" w:styleId="1225" w:customStyle="1">
    <w:name w:val="Lined - Accent 3"/>
    <w:uiPriority w:val="99"/>
    <w:qFormat/>
    <w:rPr>
      <w:color w:val="404040"/>
    </w:rPr>
    <w:tblPr>
      <w:tblCellMar>
        <w:left w:w="0" w:type="dxa"/>
        <w:top w:w="0" w:type="dxa"/>
        <w:right w:w="0" w:type="dxa"/>
        <w:bottom w:w="0" w:type="dxa"/>
      </w:tblCellMar>
    </w:tblPr>
  </w:style>
  <w:style w:type="table" w:styleId="1226" w:customStyle="1">
    <w:name w:val="Lined - Accent 4"/>
    <w:uiPriority w:val="99"/>
    <w:qFormat/>
    <w:rPr>
      <w:color w:val="404040"/>
    </w:rPr>
    <w:tblPr>
      <w:tblCellMar>
        <w:left w:w="0" w:type="dxa"/>
        <w:top w:w="0" w:type="dxa"/>
        <w:right w:w="0" w:type="dxa"/>
        <w:bottom w:w="0" w:type="dxa"/>
      </w:tblCellMar>
    </w:tblPr>
  </w:style>
  <w:style w:type="table" w:styleId="1227" w:customStyle="1">
    <w:name w:val="Lined - Accent 5"/>
    <w:uiPriority w:val="99"/>
    <w:qFormat/>
    <w:rPr>
      <w:color w:val="404040"/>
    </w:rPr>
    <w:tblPr>
      <w:tblCellMar>
        <w:left w:w="0" w:type="dxa"/>
        <w:top w:w="0" w:type="dxa"/>
        <w:right w:w="0" w:type="dxa"/>
        <w:bottom w:w="0" w:type="dxa"/>
      </w:tblCellMar>
    </w:tblPr>
  </w:style>
  <w:style w:type="table" w:styleId="1228" w:customStyle="1">
    <w:name w:val="Lined - Accent 6"/>
    <w:uiPriority w:val="99"/>
    <w:qFormat/>
    <w:rPr>
      <w:color w:val="404040"/>
    </w:rPr>
    <w:tblPr>
      <w:tblCellMar>
        <w:left w:w="0" w:type="dxa"/>
        <w:top w:w="0" w:type="dxa"/>
        <w:right w:w="0" w:type="dxa"/>
        <w:bottom w:w="0" w:type="dxa"/>
      </w:tblCellMar>
    </w:tblPr>
  </w:style>
  <w:style w:type="table" w:styleId="12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30"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43" w:customStyle="1">
    <w:name w:val="脚注文本 Char"/>
    <w:link w:val="1009"/>
    <w:uiPriority w:val="99"/>
    <w:qFormat/>
    <w:rPr>
      <w:sz w:val="18"/>
    </w:rPr>
  </w:style>
  <w:style w:type="character" w:styleId="1244" w:customStyle="1">
    <w:name w:val="尾注文本 Char"/>
    <w:link w:val="1002"/>
    <w:uiPriority w:val="99"/>
    <w:qFormat/>
    <w:rPr>
      <w:sz w:val="20"/>
    </w:rPr>
  </w:style>
  <w:style w:type="paragraph" w:styleId="1245" w:customStyle="1">
    <w:name w:val="TOC 标题11"/>
    <w:uiPriority w:val="39"/>
    <w:unhideWhenUsed/>
    <w:qFormat/>
    <w:rPr>
      <w:rFonts w:hint="default" w:ascii="Times New Roman" w:hAnsi="Times New Roman" w:eastAsia="宋体" w:cs="Times New Roman"/>
      <w:lang w:val="en-US" w:eastAsia="zh-CN" w:bidi="ar-SA"/>
    </w:rPr>
  </w:style>
  <w:style w:type="paragraph" w:styleId="1246" w:customStyle="1">
    <w:name w:val="标题 11"/>
    <w:basedOn w:val="1031"/>
    <w:next w:val="1031"/>
    <w:link w:val="1251"/>
    <w:uiPriority w:val="0"/>
    <w:qFormat/>
    <w:pPr>
      <w:keepLines/>
      <w:keepNext/>
      <w:spacing w:before="340" w:after="330" w:line="578" w:lineRule="auto"/>
      <w:outlineLvl w:val="0"/>
    </w:pPr>
    <w:rPr>
      <w:b/>
      <w:bCs/>
      <w:sz w:val="44"/>
      <w:szCs w:val="44"/>
    </w:rPr>
  </w:style>
  <w:style w:type="paragraph" w:styleId="1247" w:customStyle="1">
    <w:name w:val="标题 211"/>
    <w:basedOn w:val="1031"/>
    <w:next w:val="1031"/>
    <w:link w:val="1252"/>
    <w:uiPriority w:val="0"/>
    <w:qFormat/>
    <w:pPr>
      <w:keepLines/>
      <w:keepNext/>
      <w:spacing w:before="260" w:after="260" w:line="416" w:lineRule="auto"/>
      <w:outlineLvl w:val="1"/>
    </w:pPr>
    <w:rPr>
      <w:rFonts w:ascii="Calibri Light" w:hAnsi="Calibri Light"/>
      <w:b/>
      <w:bCs/>
      <w:sz w:val="32"/>
      <w:szCs w:val="32"/>
    </w:rPr>
  </w:style>
  <w:style w:type="paragraph" w:styleId="1248" w:customStyle="1">
    <w:name w:val="标题 31"/>
    <w:basedOn w:val="1031"/>
    <w:next w:val="1031"/>
    <w:uiPriority w:val="0"/>
    <w:qFormat/>
    <w:pPr>
      <w:keepLines/>
      <w:keepNext/>
      <w:spacing w:line="360" w:lineRule="auto"/>
      <w:outlineLvl w:val="2"/>
    </w:pPr>
    <w:rPr>
      <w:rFonts w:eastAsia="黑体"/>
      <w:b/>
      <w:bCs/>
      <w:sz w:val="21"/>
      <w:szCs w:val="32"/>
    </w:rPr>
  </w:style>
  <w:style w:type="character" w:styleId="1249" w:customStyle="1">
    <w:name w:val="默认段落字体1"/>
    <w:link w:val="975"/>
    <w:uiPriority w:val="0"/>
    <w:qFormat/>
  </w:style>
  <w:style w:type="table" w:styleId="1250" w:customStyle="1">
    <w:name w:val="普通表格1"/>
    <w:uiPriority w:val="0"/>
    <w:qFormat/>
    <w:tblPr>
      <w:tblCellMar>
        <w:left w:w="0" w:type="dxa"/>
        <w:top w:w="0" w:type="dxa"/>
        <w:right w:w="0" w:type="dxa"/>
        <w:bottom w:w="0" w:type="dxa"/>
      </w:tblCellMar>
    </w:tblPr>
  </w:style>
  <w:style w:type="character" w:styleId="1251" w:customStyle="1">
    <w:name w:val="标题 1 Char"/>
    <w:link w:val="1246"/>
    <w:uiPriority w:val="0"/>
    <w:qFormat/>
    <w:rPr>
      <w:b/>
      <w:bCs/>
      <w:sz w:val="44"/>
      <w:szCs w:val="44"/>
    </w:rPr>
  </w:style>
  <w:style w:type="character" w:styleId="1252" w:customStyle="1">
    <w:name w:val="标题 2 Char"/>
    <w:link w:val="1247"/>
    <w:uiPriority w:val="0"/>
    <w:qFormat/>
    <w:rPr>
      <w:rFonts w:ascii="Calibri Light" w:hAnsi="Calibri Light" w:eastAsia="宋体"/>
      <w:b/>
      <w:bCs/>
      <w:sz w:val="32"/>
      <w:szCs w:val="32"/>
    </w:rPr>
  </w:style>
  <w:style w:type="paragraph" w:styleId="1253" w:customStyle="1">
    <w:name w:val="正文缩进1"/>
    <w:basedOn w:val="1033"/>
    <w:uiPriority w:val="0"/>
    <w:qFormat/>
    <w:pPr>
      <w:ind w:firstLine="420"/>
    </w:pPr>
    <w:rPr>
      <w:sz w:val="21"/>
      <w:szCs w:val="21"/>
    </w:rPr>
  </w:style>
  <w:style w:type="paragraph" w:styleId="1254" w:customStyle="1">
    <w:name w:val="批注文字1"/>
    <w:basedOn w:val="1031"/>
    <w:link w:val="1255"/>
    <w:uiPriority w:val="0"/>
    <w:semiHidden/>
    <w:qFormat/>
    <w:pPr>
      <w:jc w:val="left"/>
    </w:pPr>
    <w:rPr>
      <w:sz w:val="21"/>
    </w:rPr>
  </w:style>
  <w:style w:type="character" w:styleId="1255" w:customStyle="1">
    <w:name w:val="批注文字 Char"/>
    <w:link w:val="1254"/>
    <w:uiPriority w:val="0"/>
    <w:semiHidden/>
    <w:qFormat/>
    <w:rPr>
      <w:sz w:val="21"/>
    </w:rPr>
  </w:style>
  <w:style w:type="character" w:styleId="1256" w:customStyle="1">
    <w:name w:val="正文文本 Char"/>
    <w:link w:val="1042"/>
    <w:uiPriority w:val="0"/>
    <w:qFormat/>
  </w:style>
  <w:style w:type="paragraph" w:styleId="1257" w:customStyle="1">
    <w:name w:val="日期1"/>
    <w:basedOn w:val="1031"/>
    <w:next w:val="1031"/>
    <w:link w:val="1258"/>
    <w:uiPriority w:val="0"/>
    <w:qFormat/>
    <w:pPr>
      <w:ind w:left="100"/>
    </w:pPr>
  </w:style>
  <w:style w:type="character" w:styleId="1258" w:customStyle="1">
    <w:name w:val="日期 Char"/>
    <w:link w:val="1257"/>
    <w:uiPriority w:val="0"/>
    <w:semiHidden/>
    <w:qFormat/>
    <w:rPr>
      <w:sz w:val="20"/>
    </w:rPr>
  </w:style>
  <w:style w:type="paragraph" w:styleId="1259" w:customStyle="1">
    <w:name w:val="批注框文本1"/>
    <w:basedOn w:val="1031"/>
    <w:link w:val="1260"/>
    <w:uiPriority w:val="0"/>
    <w:qFormat/>
    <w:rPr>
      <w:sz w:val="18"/>
      <w:szCs w:val="18"/>
    </w:rPr>
  </w:style>
  <w:style w:type="character" w:styleId="1260" w:customStyle="1">
    <w:name w:val="批注框文本 Char"/>
    <w:link w:val="1259"/>
    <w:uiPriority w:val="0"/>
    <w:semiHidden/>
    <w:qFormat/>
    <w:rPr>
      <w:sz w:val="18"/>
      <w:szCs w:val="18"/>
    </w:rPr>
  </w:style>
  <w:style w:type="paragraph" w:styleId="1261" w:customStyle="1">
    <w:name w:val="页脚1"/>
    <w:basedOn w:val="1031"/>
    <w:link w:val="1262"/>
    <w:uiPriority w:val="0"/>
    <w:qFormat/>
    <w:pPr>
      <w:jc w:val="left"/>
      <w:tabs>
        <w:tab w:val="right" w:pos="4153" w:leader="none"/>
        <w:tab w:val="left" w:pos="8306" w:leader="underscore"/>
      </w:tabs>
    </w:pPr>
    <w:rPr>
      <w:sz w:val="18"/>
    </w:rPr>
  </w:style>
  <w:style w:type="character" w:styleId="1262" w:customStyle="1">
    <w:name w:val="页脚 Char"/>
    <w:link w:val="1261"/>
    <w:uiPriority w:val="0"/>
    <w:qFormat/>
    <w:rPr>
      <w:sz w:val="18"/>
    </w:rPr>
  </w:style>
  <w:style w:type="paragraph" w:styleId="1263" w:customStyle="1">
    <w:name w:val="页眉1"/>
    <w:basedOn w:val="1031"/>
    <w:link w:val="1264"/>
    <w:uiPriority w:val="0"/>
    <w:qFormat/>
    <w:pPr>
      <w:jc w:val="center"/>
      <w:tabs>
        <w:tab w:val="right" w:pos="4153" w:leader="none"/>
        <w:tab w:val="left" w:pos="8306" w:leader="underscore"/>
      </w:tabs>
      <w:pBdr>
        <w:bottom w:val="single" w:color="000000" w:sz="6" w:space="1"/>
      </w:pBdr>
    </w:pPr>
    <w:rPr>
      <w:sz w:val="18"/>
      <w:szCs w:val="18"/>
    </w:rPr>
  </w:style>
  <w:style w:type="character" w:styleId="1264" w:customStyle="1">
    <w:name w:val="页眉 Char"/>
    <w:link w:val="1263"/>
    <w:uiPriority w:val="0"/>
    <w:qFormat/>
    <w:rPr>
      <w:sz w:val="18"/>
      <w:szCs w:val="18"/>
    </w:rPr>
  </w:style>
  <w:style w:type="paragraph" w:styleId="1265" w:customStyle="1">
    <w:name w:val="副标题1"/>
    <w:basedOn w:val="1031"/>
    <w:next w:val="1031"/>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66" w:customStyle="1">
    <w:name w:val="目录 21"/>
    <w:basedOn w:val="1031"/>
    <w:next w:val="1031"/>
    <w:uiPriority w:val="0"/>
    <w:qFormat/>
    <w:pPr>
      <w:ind w:left="420"/>
    </w:pPr>
  </w:style>
  <w:style w:type="paragraph" w:styleId="1267" w:customStyle="1">
    <w:name w:val="普通(网站)1"/>
    <w:basedOn w:val="1031"/>
    <w:uiPriority w:val="0"/>
    <w:qFormat/>
    <w:pPr>
      <w:jc w:val="left"/>
      <w:spacing w:before="100" w:beforeAutospacing="1" w:after="100" w:afterAutospacing="1"/>
    </w:pPr>
    <w:rPr>
      <w:rFonts w:ascii="宋体" w:hAnsi="宋体"/>
      <w:sz w:val="24"/>
      <w:szCs w:val="24"/>
    </w:rPr>
  </w:style>
  <w:style w:type="paragraph" w:styleId="1268" w:customStyle="1">
    <w:name w:val="批注主题1"/>
    <w:basedOn w:val="1254"/>
    <w:next w:val="1254"/>
    <w:link w:val="1269"/>
    <w:uiPriority w:val="0"/>
    <w:qFormat/>
    <w:rPr>
      <w:b/>
      <w:bCs/>
    </w:rPr>
  </w:style>
  <w:style w:type="character" w:styleId="1269" w:customStyle="1">
    <w:name w:val="批注主题 Char"/>
    <w:link w:val="1268"/>
    <w:uiPriority w:val="0"/>
    <w:semiHidden/>
    <w:qFormat/>
    <w:rPr>
      <w:b/>
      <w:bCs/>
      <w:sz w:val="21"/>
    </w:rPr>
  </w:style>
  <w:style w:type="character" w:styleId="1270" w:customStyle="1">
    <w:name w:val="正文首行缩进 Char"/>
    <w:link w:val="1041"/>
    <w:uiPriority w:val="0"/>
    <w:qFormat/>
    <w:rPr>
      <w:sz w:val="21"/>
    </w:rPr>
  </w:style>
  <w:style w:type="table" w:styleId="1271" w:customStyle="1">
    <w:name w:val="网格型1"/>
    <w:basedOn w:val="1250"/>
    <w:uiPriority w:val="0"/>
    <w:qFormat/>
    <w:pPr>
      <w:jc w:val="both"/>
      <w:widowControl w:val="off"/>
    </w:pPr>
    <w:tblPr>
      <w:tblCellMar>
        <w:left w:w="0" w:type="dxa"/>
        <w:top w:w="0" w:type="dxa"/>
        <w:right w:w="0" w:type="dxa"/>
        <w:bottom w:w="0" w:type="dxa"/>
      </w:tblCellMar>
    </w:tblPr>
  </w:style>
  <w:style w:type="character" w:styleId="1272" w:customStyle="1">
    <w:name w:val="要点1"/>
    <w:uiPriority w:val="0"/>
    <w:qFormat/>
    <w:rPr>
      <w:b/>
      <w:sz w:val="21"/>
    </w:rPr>
  </w:style>
  <w:style w:type="character" w:styleId="1273" w:customStyle="1">
    <w:name w:val="页码1"/>
    <w:basedOn w:val="1249"/>
    <w:link w:val="975"/>
    <w:uiPriority w:val="0"/>
    <w:qFormat/>
    <w:rPr>
      <w:rFonts w:hint="default" w:ascii="Calibri" w:hAnsi="Calibri" w:eastAsia="宋体" w:cs="Times New Roman"/>
      <w:sz w:val="21"/>
      <w:szCs w:val="21"/>
      <w:lang w:val="en-US" w:eastAsia="zh-CN" w:bidi="ar-SA"/>
    </w:rPr>
  </w:style>
  <w:style w:type="character" w:styleId="1274" w:customStyle="1">
    <w:name w:val="强调1"/>
    <w:uiPriority w:val="0"/>
    <w:qFormat/>
    <w:rPr>
      <w:i/>
      <w:sz w:val="20"/>
    </w:rPr>
  </w:style>
  <w:style w:type="character" w:styleId="1275" w:customStyle="1">
    <w:name w:val="超链接1"/>
    <w:uiPriority w:val="0"/>
    <w:qFormat/>
    <w:rPr>
      <w:color w:val="0000ff"/>
      <w:sz w:val="20"/>
      <w:u w:val="single"/>
    </w:rPr>
  </w:style>
  <w:style w:type="character" w:styleId="1276" w:customStyle="1">
    <w:name w:val="批注引用1"/>
    <w:uiPriority w:val="0"/>
    <w:qFormat/>
    <w:rPr>
      <w:sz w:val="21"/>
      <w:szCs w:val="21"/>
    </w:rPr>
  </w:style>
  <w:style w:type="character" w:styleId="1277" w:customStyle="1">
    <w:name w:val="NormalCharacter"/>
    <w:link w:val="1030"/>
    <w:uiPriority w:val="0"/>
    <w:semiHidden/>
    <w:qFormat/>
    <w:rPr>
      <w:rFonts w:ascii="宋体"/>
      <w:sz w:val="24"/>
    </w:rPr>
  </w:style>
  <w:style w:type="character" w:styleId="1278" w:customStyle="1">
    <w:name w:val="UserStyle_19"/>
    <w:uiPriority w:val="0"/>
    <w:qFormat/>
    <w:rPr>
      <w:b/>
      <w:sz w:val="20"/>
    </w:rPr>
  </w:style>
  <w:style w:type="character" w:styleId="1279" w:customStyle="1">
    <w:name w:val="263"/>
    <w:uiPriority w:val="0"/>
    <w:qFormat/>
    <w:rPr>
      <w:b/>
      <w:color w:val="c0504d"/>
      <w:sz w:val="20"/>
      <w:u w:val="single"/>
    </w:rPr>
  </w:style>
  <w:style w:type="character" w:styleId="1280" w:customStyle="1">
    <w:name w:val="UserStyle_47"/>
    <w:uiPriority w:val="0"/>
    <w:qFormat/>
    <w:rPr>
      <w:sz w:val="20"/>
    </w:rPr>
  </w:style>
  <w:style w:type="character" w:styleId="1281" w:customStyle="1">
    <w:name w:val="UserStyle_43"/>
    <w:uiPriority w:val="0"/>
    <w:qFormat/>
    <w:rPr>
      <w:sz w:val="20"/>
    </w:rPr>
  </w:style>
  <w:style w:type="character" w:styleId="1282" w:customStyle="1">
    <w:name w:val="UserStyle_37"/>
    <w:uiPriority w:val="0"/>
    <w:qFormat/>
    <w:rPr>
      <w:b/>
      <w:sz w:val="20"/>
    </w:rPr>
  </w:style>
  <w:style w:type="character" w:styleId="1283" w:customStyle="1">
    <w:name w:val="UserStyle_70"/>
    <w:uiPriority w:val="0"/>
    <w:qFormat/>
    <w:rPr>
      <w:sz w:val="20"/>
    </w:rPr>
  </w:style>
  <w:style w:type="character" w:styleId="1284" w:customStyle="1">
    <w:name w:val="UserStyle_55"/>
    <w:uiPriority w:val="0"/>
    <w:qFormat/>
    <w:rPr>
      <w:sz w:val="20"/>
    </w:rPr>
  </w:style>
  <w:style w:type="character" w:styleId="1285" w:customStyle="1">
    <w:name w:val="UserStyle_0"/>
    <w:link w:val="1286"/>
    <w:uiPriority w:val="0"/>
    <w:semiHidden/>
    <w:qFormat/>
    <w:rPr>
      <w:rFonts w:ascii="Courier New" w:hAnsi="Courier New"/>
      <w:sz w:val="20"/>
    </w:rPr>
  </w:style>
  <w:style w:type="paragraph" w:styleId="1286" w:customStyle="1">
    <w:name w:val="HtmlPre"/>
    <w:basedOn w:val="1031"/>
    <w:link w:val="1285"/>
    <w:uiPriority w:val="0"/>
    <w:qFormat/>
    <w:rPr>
      <w:rFonts w:ascii="Courier New" w:hAnsi="Courier New"/>
    </w:rPr>
  </w:style>
  <w:style w:type="character" w:styleId="1287" w:customStyle="1">
    <w:name w:val="UserStyle_18"/>
    <w:uiPriority w:val="0"/>
    <w:semiHidden/>
    <w:qFormat/>
    <w:rPr>
      <w:sz w:val="20"/>
    </w:rPr>
  </w:style>
  <w:style w:type="character" w:styleId="1288" w:customStyle="1">
    <w:name w:val="UserStyle_56"/>
    <w:uiPriority w:val="0"/>
    <w:qFormat/>
    <w:rPr>
      <w:sz w:val="20"/>
    </w:rPr>
  </w:style>
  <w:style w:type="character" w:styleId="1289" w:customStyle="1">
    <w:name w:val="262"/>
    <w:uiPriority w:val="0"/>
    <w:qFormat/>
    <w:rPr>
      <w:color w:val="c0504d"/>
      <w:sz w:val="20"/>
      <w:u w:val="single"/>
    </w:rPr>
  </w:style>
  <w:style w:type="character" w:styleId="1290" w:customStyle="1">
    <w:name w:val="UserStyle_46"/>
    <w:uiPriority w:val="0"/>
    <w:qFormat/>
    <w:rPr>
      <w:sz w:val="20"/>
    </w:rPr>
  </w:style>
  <w:style w:type="character" w:styleId="1291" w:customStyle="1">
    <w:name w:val="UserStyle_74"/>
    <w:uiPriority w:val="0"/>
    <w:qFormat/>
    <w:rPr>
      <w:b/>
      <w:sz w:val="20"/>
    </w:rPr>
  </w:style>
  <w:style w:type="character" w:styleId="1292" w:customStyle="1">
    <w:name w:val="UserStyle_71"/>
    <w:uiPriority w:val="0"/>
    <w:qFormat/>
    <w:rPr>
      <w:sz w:val="20"/>
    </w:rPr>
  </w:style>
  <w:style w:type="character" w:styleId="1293" w:customStyle="1">
    <w:name w:val="UserStyle_72"/>
    <w:uiPriority w:val="0"/>
    <w:qFormat/>
    <w:rPr>
      <w:sz w:val="20"/>
    </w:rPr>
  </w:style>
  <w:style w:type="character" w:styleId="1294" w:customStyle="1">
    <w:name w:val="UserStyle_7"/>
    <w:uiPriority w:val="0"/>
    <w:qFormat/>
    <w:rPr>
      <w:i/>
      <w:sz w:val="20"/>
    </w:rPr>
  </w:style>
  <w:style w:type="character" w:styleId="1295" w:customStyle="1">
    <w:name w:val="UserStyle_68"/>
    <w:uiPriority w:val="0"/>
    <w:qFormat/>
    <w:rPr>
      <w:sz w:val="20"/>
    </w:rPr>
  </w:style>
  <w:style w:type="character" w:styleId="1296" w:customStyle="1">
    <w:name w:val="UserStyle_25"/>
    <w:uiPriority w:val="0"/>
    <w:qFormat/>
    <w:rPr>
      <w:sz w:val="20"/>
    </w:rPr>
  </w:style>
  <w:style w:type="character" w:styleId="1297" w:customStyle="1">
    <w:name w:val="UserStyle_66"/>
    <w:uiPriority w:val="0"/>
    <w:qFormat/>
    <w:rPr>
      <w:sz w:val="20"/>
    </w:rPr>
  </w:style>
  <w:style w:type="character" w:styleId="1298" w:customStyle="1">
    <w:name w:val="UserStyle_38"/>
    <w:uiPriority w:val="0"/>
    <w:qFormat/>
    <w:rPr>
      <w:sz w:val="20"/>
    </w:rPr>
  </w:style>
  <w:style w:type="character" w:styleId="1299" w:customStyle="1">
    <w:name w:val="UserStyle_17"/>
    <w:uiPriority w:val="0"/>
    <w:qFormat/>
    <w:rPr>
      <w:sz w:val="20"/>
    </w:rPr>
  </w:style>
  <w:style w:type="character" w:styleId="1300" w:customStyle="1">
    <w:name w:val="UserStyle_33"/>
    <w:uiPriority w:val="0"/>
    <w:qFormat/>
    <w:rPr>
      <w:sz w:val="20"/>
    </w:rPr>
  </w:style>
  <w:style w:type="character" w:styleId="1301" w:customStyle="1">
    <w:name w:val="UserStyle_45"/>
    <w:uiPriority w:val="0"/>
    <w:qFormat/>
    <w:rPr>
      <w:b/>
      <w:sz w:val="20"/>
    </w:rPr>
  </w:style>
  <w:style w:type="character" w:styleId="1302" w:customStyle="1">
    <w:name w:val="UserStyle_57"/>
    <w:uiPriority w:val="0"/>
    <w:qFormat/>
    <w:rPr>
      <w:sz w:val="20"/>
    </w:rPr>
  </w:style>
  <w:style w:type="character" w:styleId="1303" w:customStyle="1">
    <w:name w:val="UserStyle_63"/>
    <w:uiPriority w:val="0"/>
    <w:qFormat/>
    <w:rPr>
      <w:sz w:val="20"/>
    </w:rPr>
  </w:style>
  <w:style w:type="character" w:styleId="1304" w:customStyle="1">
    <w:name w:val="UserStyle_75"/>
    <w:uiPriority w:val="0"/>
    <w:qFormat/>
    <w:rPr>
      <w:sz w:val="20"/>
    </w:rPr>
  </w:style>
  <w:style w:type="character" w:styleId="1305" w:customStyle="1">
    <w:name w:val="UserStyle_23"/>
    <w:uiPriority w:val="0"/>
    <w:qFormat/>
    <w:rPr>
      <w:color w:val="000000"/>
      <w:sz w:val="20"/>
    </w:rPr>
  </w:style>
  <w:style w:type="character" w:styleId="1306" w:customStyle="1">
    <w:name w:val="UserStyle_65"/>
    <w:uiPriority w:val="0"/>
    <w:qFormat/>
    <w:rPr>
      <w:sz w:val="20"/>
    </w:rPr>
  </w:style>
  <w:style w:type="character" w:styleId="1307" w:customStyle="1">
    <w:name w:val="UserStyle_24"/>
    <w:uiPriority w:val="0"/>
    <w:qFormat/>
    <w:rPr>
      <w:sz w:val="20"/>
    </w:rPr>
  </w:style>
  <w:style w:type="character" w:styleId="1308" w:customStyle="1">
    <w:name w:val="UserStyle_50"/>
    <w:uiPriority w:val="0"/>
    <w:qFormat/>
    <w:rPr>
      <w:sz w:val="20"/>
    </w:rPr>
  </w:style>
  <w:style w:type="character" w:styleId="1309" w:customStyle="1">
    <w:name w:val="UserStyle_44"/>
    <w:uiPriority w:val="0"/>
    <w:qFormat/>
    <w:rPr>
      <w:b/>
      <w:sz w:val="20"/>
    </w:rPr>
  </w:style>
  <w:style w:type="character" w:styleId="1310" w:customStyle="1">
    <w:name w:val="UserStyle_51"/>
    <w:uiPriority w:val="0"/>
    <w:qFormat/>
    <w:rPr>
      <w:sz w:val="20"/>
    </w:rPr>
  </w:style>
  <w:style w:type="character" w:styleId="1311" w:customStyle="1">
    <w:name w:val="UserStyle_4"/>
    <w:uiPriority w:val="0"/>
    <w:qFormat/>
    <w:rPr>
      <w:sz w:val="20"/>
    </w:rPr>
  </w:style>
  <w:style w:type="character" w:styleId="1312" w:customStyle="1">
    <w:name w:val="UserStyle_52"/>
    <w:uiPriority w:val="0"/>
    <w:semiHidden/>
    <w:qFormat/>
    <w:rPr>
      <w:sz w:val="20"/>
    </w:rPr>
  </w:style>
  <w:style w:type="character" w:styleId="1313" w:customStyle="1">
    <w:name w:val="UserStyle_3"/>
    <w:uiPriority w:val="0"/>
    <w:qFormat/>
    <w:rPr>
      <w:sz w:val="20"/>
    </w:rPr>
  </w:style>
  <w:style w:type="character" w:styleId="1314" w:customStyle="1">
    <w:name w:val="UserStyle_67"/>
    <w:uiPriority w:val="0"/>
    <w:qFormat/>
    <w:rPr>
      <w:b/>
      <w:sz w:val="20"/>
    </w:rPr>
  </w:style>
  <w:style w:type="character" w:styleId="1315" w:customStyle="1">
    <w:name w:val="UserStyle_61"/>
    <w:uiPriority w:val="0"/>
    <w:qFormat/>
    <w:rPr>
      <w:b/>
      <w:sz w:val="20"/>
    </w:rPr>
  </w:style>
  <w:style w:type="character" w:styleId="1316" w:customStyle="1">
    <w:name w:val="UserStyle_36"/>
    <w:uiPriority w:val="0"/>
    <w:qFormat/>
    <w:rPr>
      <w:b/>
      <w:sz w:val="20"/>
    </w:rPr>
  </w:style>
  <w:style w:type="character" w:styleId="1317" w:customStyle="1">
    <w:name w:val="260"/>
    <w:uiPriority w:val="0"/>
    <w:qFormat/>
    <w:rPr>
      <w:i/>
      <w:color w:val="000000"/>
      <w:sz w:val="21"/>
    </w:rPr>
  </w:style>
  <w:style w:type="character" w:styleId="1318" w:customStyle="1">
    <w:name w:val="PageNumber"/>
    <w:uiPriority w:val="0"/>
    <w:qFormat/>
    <w:rPr>
      <w:sz w:val="20"/>
    </w:rPr>
  </w:style>
  <w:style w:type="character" w:styleId="1319" w:customStyle="1">
    <w:name w:val="UserStyle_1"/>
    <w:uiPriority w:val="0"/>
    <w:qFormat/>
    <w:rPr>
      <w:sz w:val="20"/>
    </w:rPr>
  </w:style>
  <w:style w:type="character" w:styleId="1320" w:customStyle="1">
    <w:name w:val="UserStyle_64"/>
    <w:uiPriority w:val="0"/>
    <w:qFormat/>
    <w:rPr>
      <w:sz w:val="20"/>
    </w:rPr>
  </w:style>
  <w:style w:type="character" w:styleId="1321" w:customStyle="1">
    <w:name w:val="UserStyle_21"/>
    <w:uiPriority w:val="0"/>
    <w:qFormat/>
    <w:rPr>
      <w:sz w:val="20"/>
    </w:rPr>
  </w:style>
  <w:style w:type="character" w:styleId="1322" w:customStyle="1">
    <w:name w:val="UserStyle_9"/>
    <w:uiPriority w:val="0"/>
    <w:qFormat/>
    <w:rPr>
      <w:sz w:val="20"/>
    </w:rPr>
  </w:style>
  <w:style w:type="character" w:styleId="1323" w:customStyle="1">
    <w:name w:val="UserStyle_40"/>
    <w:uiPriority w:val="0"/>
    <w:qFormat/>
    <w:rPr>
      <w:b/>
      <w:sz w:val="20"/>
    </w:rPr>
  </w:style>
  <w:style w:type="character" w:styleId="1324" w:customStyle="1">
    <w:name w:val="UserStyle_73"/>
    <w:uiPriority w:val="0"/>
    <w:qFormat/>
    <w:rPr>
      <w:sz w:val="20"/>
    </w:rPr>
  </w:style>
  <w:style w:type="character" w:styleId="1325" w:customStyle="1">
    <w:name w:val="UserStyle_30"/>
    <w:uiPriority w:val="0"/>
    <w:qFormat/>
    <w:rPr>
      <w:sz w:val="20"/>
    </w:rPr>
  </w:style>
  <w:style w:type="character" w:styleId="1326" w:customStyle="1">
    <w:name w:val="UserStyle_69"/>
    <w:uiPriority w:val="0"/>
    <w:qFormat/>
    <w:rPr>
      <w:b/>
      <w:sz w:val="20"/>
    </w:rPr>
  </w:style>
  <w:style w:type="character" w:styleId="1327" w:customStyle="1">
    <w:name w:val="UserStyle_13"/>
    <w:uiPriority w:val="0"/>
    <w:qFormat/>
    <w:rPr>
      <w:b/>
      <w:sz w:val="20"/>
    </w:rPr>
  </w:style>
  <w:style w:type="character" w:styleId="1328" w:customStyle="1">
    <w:name w:val="UserStyle_14"/>
    <w:uiPriority w:val="0"/>
    <w:semiHidden/>
    <w:qFormat/>
    <w:rPr>
      <w:sz w:val="20"/>
    </w:rPr>
  </w:style>
  <w:style w:type="character" w:styleId="1329" w:customStyle="1">
    <w:name w:val="UserStyle_22"/>
    <w:uiPriority w:val="0"/>
    <w:qFormat/>
    <w:rPr>
      <w:color w:val="0000ff"/>
      <w:sz w:val="20"/>
      <w:u w:val="single"/>
    </w:rPr>
  </w:style>
  <w:style w:type="character" w:styleId="1330" w:customStyle="1">
    <w:name w:val="UserStyle_8"/>
    <w:uiPriority w:val="0"/>
    <w:qFormat/>
    <w:rPr>
      <w:sz w:val="20"/>
    </w:rPr>
  </w:style>
  <w:style w:type="character" w:styleId="1331" w:customStyle="1">
    <w:name w:val="UserStyle_6"/>
    <w:uiPriority w:val="0"/>
    <w:qFormat/>
    <w:rPr>
      <w:b/>
      <w:sz w:val="20"/>
    </w:rPr>
  </w:style>
  <w:style w:type="character" w:styleId="1332" w:customStyle="1">
    <w:name w:val="UserStyle_62"/>
    <w:uiPriority w:val="0"/>
    <w:qFormat/>
    <w:rPr>
      <w:color w:val="ffff00"/>
      <w:sz w:val="20"/>
    </w:rPr>
  </w:style>
  <w:style w:type="character" w:styleId="1333" w:customStyle="1">
    <w:name w:val="UserStyle_48"/>
    <w:uiPriority w:val="0"/>
    <w:qFormat/>
    <w:rPr>
      <w:sz w:val="20"/>
    </w:rPr>
  </w:style>
  <w:style w:type="character" w:styleId="1334" w:customStyle="1">
    <w:name w:val="UserStyle_15"/>
    <w:uiPriority w:val="0"/>
    <w:qFormat/>
    <w:rPr>
      <w:b/>
      <w:sz w:val="20"/>
    </w:rPr>
  </w:style>
  <w:style w:type="character" w:styleId="1335" w:customStyle="1">
    <w:name w:val="UserStyle_49"/>
    <w:uiPriority w:val="0"/>
    <w:qFormat/>
    <w:rPr>
      <w:sz w:val="20"/>
    </w:rPr>
  </w:style>
  <w:style w:type="character" w:styleId="1336" w:customStyle="1">
    <w:name w:val="UserStyle_11"/>
    <w:uiPriority w:val="0"/>
    <w:qFormat/>
    <w:rPr>
      <w:sz w:val="20"/>
    </w:rPr>
  </w:style>
  <w:style w:type="character" w:styleId="1337" w:customStyle="1">
    <w:name w:val="UserStyle_34"/>
    <w:uiPriority w:val="0"/>
    <w:qFormat/>
    <w:rPr>
      <w:b/>
      <w:sz w:val="20"/>
    </w:rPr>
  </w:style>
  <w:style w:type="character" w:styleId="1338" w:customStyle="1">
    <w:name w:val="UserStyle_29"/>
    <w:uiPriority w:val="0"/>
    <w:qFormat/>
    <w:rPr>
      <w:sz w:val="20"/>
    </w:rPr>
  </w:style>
  <w:style w:type="character" w:styleId="1339" w:customStyle="1">
    <w:name w:val="UserStyle_42"/>
    <w:uiPriority w:val="0"/>
    <w:qFormat/>
    <w:rPr>
      <w:sz w:val="20"/>
    </w:rPr>
  </w:style>
  <w:style w:type="character" w:styleId="1340" w:customStyle="1">
    <w:name w:val="UserStyle_39"/>
    <w:uiPriority w:val="0"/>
    <w:qFormat/>
    <w:rPr>
      <w:sz w:val="20"/>
    </w:rPr>
  </w:style>
  <w:style w:type="character" w:styleId="1341" w:customStyle="1">
    <w:name w:val="UserStyle_35"/>
    <w:uiPriority w:val="0"/>
    <w:qFormat/>
    <w:rPr>
      <w:sz w:val="20"/>
    </w:rPr>
  </w:style>
  <w:style w:type="character" w:styleId="1342" w:customStyle="1">
    <w:name w:val="UserStyle_5"/>
    <w:uiPriority w:val="0"/>
    <w:qFormat/>
    <w:rPr>
      <w:sz w:val="20"/>
    </w:rPr>
  </w:style>
  <w:style w:type="character" w:styleId="1343" w:customStyle="1">
    <w:name w:val="UserStyle_26"/>
    <w:uiPriority w:val="0"/>
    <w:qFormat/>
    <w:rPr>
      <w:sz w:val="20"/>
    </w:rPr>
  </w:style>
  <w:style w:type="character" w:styleId="1344" w:customStyle="1">
    <w:name w:val="264"/>
    <w:uiPriority w:val="0"/>
    <w:qFormat/>
    <w:rPr>
      <w:b/>
      <w:i/>
      <w:sz w:val="21"/>
    </w:rPr>
  </w:style>
  <w:style w:type="character" w:styleId="1345" w:customStyle="1">
    <w:name w:val="UserStyle_76"/>
    <w:uiPriority w:val="0"/>
    <w:qFormat/>
    <w:rPr>
      <w:b/>
      <w:sz w:val="20"/>
    </w:rPr>
  </w:style>
  <w:style w:type="character" w:styleId="1346" w:customStyle="1">
    <w:name w:val="UserStyle_10"/>
    <w:uiPriority w:val="0"/>
    <w:qFormat/>
    <w:rPr>
      <w:b/>
      <w:sz w:val="20"/>
    </w:rPr>
  </w:style>
  <w:style w:type="character" w:styleId="1347" w:customStyle="1">
    <w:name w:val="UserStyle_32"/>
    <w:uiPriority w:val="0"/>
    <w:qFormat/>
    <w:rPr>
      <w:i/>
      <w:sz w:val="20"/>
    </w:rPr>
  </w:style>
  <w:style w:type="character" w:styleId="1348" w:customStyle="1">
    <w:name w:val="UserStyle_53"/>
    <w:uiPriority w:val="0"/>
    <w:qFormat/>
    <w:rPr>
      <w:sz w:val="20"/>
    </w:rPr>
  </w:style>
  <w:style w:type="character" w:styleId="1349" w:customStyle="1">
    <w:name w:val="UserStyle_2"/>
    <w:uiPriority w:val="0"/>
    <w:qFormat/>
    <w:rPr>
      <w:sz w:val="20"/>
    </w:rPr>
  </w:style>
  <w:style w:type="character" w:styleId="1350" w:customStyle="1">
    <w:name w:val="UserStyle_58"/>
    <w:uiPriority w:val="0"/>
    <w:qFormat/>
    <w:rPr>
      <w:sz w:val="20"/>
    </w:rPr>
  </w:style>
  <w:style w:type="character" w:styleId="1351" w:customStyle="1">
    <w:name w:val="UserStyle_60"/>
    <w:uiPriority w:val="0"/>
    <w:qFormat/>
    <w:rPr>
      <w:sz w:val="20"/>
    </w:rPr>
  </w:style>
  <w:style w:type="character" w:styleId="1352" w:customStyle="1">
    <w:name w:val="UserStyle_54"/>
    <w:uiPriority w:val="0"/>
    <w:qFormat/>
    <w:rPr>
      <w:b/>
      <w:sz w:val="20"/>
    </w:rPr>
  </w:style>
  <w:style w:type="character" w:styleId="1353" w:customStyle="1">
    <w:name w:val="UserStyle_16"/>
    <w:uiPriority w:val="0"/>
    <w:qFormat/>
    <w:rPr>
      <w:sz w:val="20"/>
    </w:rPr>
  </w:style>
  <w:style w:type="character" w:styleId="1354" w:customStyle="1">
    <w:name w:val="UserStyle_59"/>
    <w:uiPriority w:val="0"/>
    <w:qFormat/>
    <w:rPr>
      <w:b/>
      <w:sz w:val="20"/>
    </w:rPr>
  </w:style>
  <w:style w:type="character" w:styleId="1355" w:customStyle="1">
    <w:name w:val="UserStyle_20"/>
    <w:uiPriority w:val="0"/>
    <w:semiHidden/>
    <w:qFormat/>
    <w:rPr>
      <w:sz w:val="20"/>
    </w:rPr>
  </w:style>
  <w:style w:type="character" w:styleId="1356" w:customStyle="1">
    <w:name w:val="UserStyle_31"/>
    <w:uiPriority w:val="0"/>
    <w:qFormat/>
    <w:rPr>
      <w:b/>
      <w:sz w:val="20"/>
    </w:rPr>
  </w:style>
  <w:style w:type="character" w:styleId="1357" w:customStyle="1">
    <w:name w:val="AnnotationReference"/>
    <w:uiPriority w:val="0"/>
    <w:qFormat/>
    <w:rPr>
      <w:sz w:val="20"/>
    </w:rPr>
  </w:style>
  <w:style w:type="character" w:styleId="1358" w:customStyle="1">
    <w:name w:val="UserStyle_12"/>
    <w:uiPriority w:val="0"/>
    <w:qFormat/>
    <w:rPr>
      <w:sz w:val="20"/>
    </w:rPr>
  </w:style>
  <w:style w:type="character" w:styleId="1359" w:customStyle="1">
    <w:name w:val="261"/>
    <w:uiPriority w:val="0"/>
    <w:qFormat/>
    <w:rPr>
      <w:i/>
      <w:color w:val="000000"/>
      <w:sz w:val="21"/>
    </w:rPr>
  </w:style>
  <w:style w:type="character" w:styleId="1360" w:customStyle="1">
    <w:name w:val="UserStyle_41"/>
    <w:link w:val="1031"/>
    <w:uiPriority w:val="0"/>
    <w:qFormat/>
    <w:rPr>
      <w:sz w:val="20"/>
    </w:rPr>
  </w:style>
  <w:style w:type="paragraph" w:styleId="1361">
    <w:name w:val="List Paragraph"/>
    <w:basedOn w:val="975"/>
    <w:uiPriority w:val="0"/>
    <w:qFormat/>
    <w:pPr>
      <w:ind w:left="533" w:firstLine="600"/>
      <w:jc w:val="left"/>
      <w:spacing w:before="136"/>
      <w:widowControl w:val="off"/>
    </w:pPr>
    <w:rPr>
      <w:rFonts w:ascii="仿宋" w:hAnsi="仿宋" w:eastAsia="仿宋"/>
      <w:sz w:val="22"/>
      <w:szCs w:val="22"/>
    </w:rPr>
  </w:style>
  <w:style w:type="paragraph" w:styleId="1362" w:customStyle="1">
    <w:name w:val="179"/>
    <w:basedOn w:val="1031"/>
    <w:uiPriority w:val="0"/>
    <w:qFormat/>
    <w:pPr>
      <w:ind w:firstLine="420"/>
    </w:pPr>
    <w:rPr>
      <w:sz w:val="21"/>
      <w:szCs w:val="22"/>
    </w:rPr>
  </w:style>
  <w:style w:type="paragraph" w:styleId="1363" w:customStyle="1">
    <w:name w:val="列出段落1"/>
    <w:basedOn w:val="1031"/>
    <w:uiPriority w:val="0"/>
    <w:qFormat/>
    <w:pPr>
      <w:ind w:firstLine="420"/>
      <w:widowControl w:val="off"/>
    </w:pPr>
    <w:rPr>
      <w:sz w:val="21"/>
      <w:szCs w:val="24"/>
    </w:rPr>
  </w:style>
  <w:style w:type="paragraph" w:styleId="1364"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65" w:customStyle="1">
    <w:name w:val="UserStyle_77"/>
    <w:basedOn w:val="1031"/>
    <w:uiPriority w:val="0"/>
    <w:qFormat/>
    <w:pPr>
      <w:ind w:firstLine="420"/>
      <w:spacing w:line="520" w:lineRule="exact"/>
    </w:pPr>
    <w:rPr>
      <w:color w:val="000000"/>
      <w:sz w:val="24"/>
      <w:szCs w:val="24"/>
    </w:rPr>
  </w:style>
  <w:style w:type="paragraph" w:styleId="1366"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67" w:customStyle="1">
    <w:name w:val="HtmlNormal"/>
    <w:basedOn w:val="1031"/>
    <w:uiPriority w:val="0"/>
    <w:qFormat/>
    <w:rPr>
      <w:sz w:val="24"/>
      <w:szCs w:val="24"/>
    </w:rPr>
  </w:style>
  <w:style w:type="paragraph" w:styleId="1368" w:customStyle="1">
    <w:name w:val="Table Paragraph"/>
    <w:basedOn w:val="1031"/>
    <w:uiPriority w:val="0"/>
    <w:qFormat/>
    <w:pPr>
      <w:jc w:val="left"/>
      <w:widowControl w:val="off"/>
    </w:pPr>
    <w:rPr>
      <w:rFonts w:ascii="仿宋" w:hAnsi="仿宋" w:eastAsia="仿宋"/>
      <w:sz w:val="22"/>
      <w:szCs w:val="22"/>
    </w:rPr>
  </w:style>
  <w:style w:type="paragraph" w:styleId="1369" w:customStyle="1">
    <w:name w:val="BlockQuote"/>
    <w:basedOn w:val="1031"/>
    <w:uiPriority w:val="0"/>
    <w:qFormat/>
    <w:pPr>
      <w:ind w:left="256" w:right="6" w:firstLine="624"/>
    </w:pPr>
    <w:rPr>
      <w:rFonts w:eastAsia="仿宋_GB2312"/>
      <w:sz w:val="28"/>
    </w:rPr>
  </w:style>
  <w:style w:type="table" w:styleId="1370" w:customStyle="1">
    <w:name w:val="TableNormal"/>
    <w:uiPriority w:val="0"/>
    <w:semiHidden/>
    <w:qFormat/>
    <w:tblPr>
      <w:tblCellMar>
        <w:left w:w="0" w:type="dxa"/>
        <w:top w:w="0" w:type="dxa"/>
        <w:right w:w="0" w:type="dxa"/>
        <w:bottom w:w="0" w:type="dxa"/>
      </w:tblCellMar>
    </w:tblPr>
  </w:style>
  <w:style w:type="paragraph" w:styleId="1371" w:customStyle="1">
    <w:name w:val="TOC 标题2"/>
    <w:basedOn w:val="1246"/>
    <w:next w:val="1031"/>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7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3" w:customStyle="1">
    <w:name w:val="小标题 1"/>
    <w:basedOn w:val="1031"/>
    <w:uiPriority w:val="0"/>
    <w:qFormat/>
    <w:pPr>
      <w:spacing w:line="360" w:lineRule="atLeast"/>
      <w:widowControl w:val="off"/>
    </w:pPr>
    <w:rPr>
      <w:rFonts w:ascii="文鼎粗黑" w:eastAsia="文鼎粗黑"/>
      <w:sz w:val="22"/>
    </w:rPr>
  </w:style>
  <w:style w:type="paragraph" w:styleId="1374" w:customStyle="1">
    <w:name w:val="文档正文"/>
    <w:basedOn w:val="1031"/>
    <w:uiPriority w:val="0"/>
    <w:qFormat/>
    <w:pPr>
      <w:ind w:firstLine="567"/>
      <w:spacing w:line="312" w:lineRule="atLeast"/>
      <w:widowControl w:val="off"/>
    </w:pPr>
    <w:rPr>
      <w:rFonts w:ascii="长城仿宋" w:eastAsia="长城仿宋"/>
      <w:sz w:val="28"/>
    </w:rPr>
  </w:style>
  <w:style w:type="paragraph" w:styleId="1375"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376" w:customStyle="1">
    <w:name w:val="Body text|1"/>
    <w:basedOn w:val="1031"/>
    <w:uiPriority w:val="0"/>
    <w:qFormat/>
    <w:pPr>
      <w:ind w:firstLine="360"/>
      <w:spacing w:line="425" w:lineRule="auto"/>
      <w:widowControl w:val="off"/>
    </w:pPr>
    <w:rPr>
      <w:rFonts w:ascii="宋体" w:hAnsi="宋体"/>
      <w:sz w:val="18"/>
      <w:szCs w:val="18"/>
      <w:lang w:val="zh-TW" w:eastAsia="zh-TW" w:bidi="zh-TW"/>
    </w:rPr>
  </w:style>
  <w:style w:type="character" w:styleId="1377" w:customStyle="1">
    <w:name w:val="未处理的提及1"/>
    <w:uiPriority w:val="99"/>
    <w:semiHidden/>
    <w:unhideWhenUsed/>
    <w:qFormat/>
    <w:rPr>
      <w:color w:val="605e5c"/>
      <w:shd w:val="clear" w:color="auto" w:fill="e1dfdd"/>
    </w:rPr>
  </w:style>
  <w:style w:type="character" w:styleId="1378" w:customStyle="1">
    <w:name w:val="批注主题 Char1"/>
    <w:link w:val="1017"/>
    <w:uiPriority w:val="0"/>
    <w:qFormat/>
    <w:rPr>
      <w:b/>
      <w:bCs/>
      <w:sz w:val="21"/>
      <w:szCs w:val="24"/>
    </w:rPr>
  </w:style>
  <w:style w:type="character" w:styleId="1379" w:customStyle="1">
    <w:name w:val="批注文字 Char1"/>
    <w:link w:val="993"/>
    <w:uiPriority w:val="99"/>
    <w:semiHidden/>
    <w:qFormat/>
    <w:rPr>
      <w:rFonts w:ascii="Calibri" w:hAnsi="Calibri"/>
      <w:sz w:val="21"/>
      <w:szCs w:val="21"/>
    </w:rPr>
  </w:style>
  <w:style w:type="character" w:styleId="1380" w:customStyle="1">
    <w:name w:val="批注主题 字符1"/>
    <w:uiPriority w:val="99"/>
    <w:semiHidden/>
    <w:qFormat/>
    <w:rPr>
      <w:rFonts w:ascii="Calibri" w:hAnsi="Calibri"/>
      <w:b/>
      <w:bCs/>
      <w:sz w:val="21"/>
      <w:szCs w:val="21"/>
    </w:rPr>
  </w:style>
  <w:style w:type="character" w:styleId="1381" w:customStyle="1">
    <w:name w:val="正文文本 Char1"/>
    <w:basedOn w:val="985"/>
    <w:link w:val="994"/>
    <w:uiPriority w:val="0"/>
    <w:qFormat/>
  </w:style>
  <w:style w:type="character" w:styleId="1382" w:customStyle="1">
    <w:name w:val="批注框文本 Char1"/>
    <w:link w:val="1003"/>
    <w:uiPriority w:val="99"/>
    <w:semiHidden/>
    <w:qFormat/>
    <w:rPr>
      <w:rFonts w:ascii="Calibri" w:hAnsi="Calibri"/>
      <w:sz w:val="18"/>
      <w:szCs w:val="18"/>
    </w:rPr>
  </w:style>
  <w:style w:type="paragraph" w:styleId="1383" w:customStyle="1">
    <w:name w:val="标题 212"/>
    <w:basedOn w:val="1030"/>
    <w:next w:val="1030"/>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84" w:customStyle="1">
    <w:name w:val="正文文本缩进 Char"/>
    <w:link w:val="995"/>
    <w:uiPriority w:val="0"/>
    <w:qFormat/>
    <w:rPr>
      <w:rFonts w:ascii="Calibri" w:hAnsi="Calibri"/>
      <w:sz w:val="21"/>
      <w:szCs w:val="21"/>
    </w:rPr>
  </w:style>
  <w:style w:type="table" w:styleId="1385"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86"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87"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88"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89" w:customStyle="1">
    <w:name w:val="无格式表格 311"/>
    <w:uiPriority w:val="99"/>
    <w:qFormat/>
    <w:tblPr>
      <w:tblCellMar>
        <w:left w:w="0" w:type="dxa"/>
        <w:top w:w="0" w:type="dxa"/>
        <w:right w:w="0" w:type="dxa"/>
        <w:bottom w:w="0" w:type="dxa"/>
      </w:tblCellMar>
    </w:tblPr>
  </w:style>
  <w:style w:type="table" w:styleId="1390" w:customStyle="1">
    <w:name w:val="无格式表格 411"/>
    <w:uiPriority w:val="99"/>
    <w:qFormat/>
    <w:tblPr>
      <w:tblCellMar>
        <w:left w:w="0" w:type="dxa"/>
        <w:top w:w="0" w:type="dxa"/>
        <w:right w:w="0" w:type="dxa"/>
        <w:bottom w:w="0" w:type="dxa"/>
      </w:tblCellMar>
    </w:tblPr>
  </w:style>
  <w:style w:type="table" w:styleId="1391" w:customStyle="1">
    <w:name w:val="无格式表格 511"/>
    <w:uiPriority w:val="99"/>
    <w:qFormat/>
    <w:tblPr>
      <w:tblCellMar>
        <w:left w:w="0" w:type="dxa"/>
        <w:top w:w="0" w:type="dxa"/>
        <w:right w:w="0" w:type="dxa"/>
        <w:bottom w:w="0" w:type="dxa"/>
      </w:tblCellMar>
    </w:tblPr>
  </w:style>
  <w:style w:type="table" w:styleId="1392"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93"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94"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95"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96"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97"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98"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99"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00"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01"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02"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03"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04"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05"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06"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07"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08"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09"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10"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11"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12"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13"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14"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15"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16"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17"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18"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19"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20"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1"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2"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3"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4"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5"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6"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7"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28"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29"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0"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1"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2"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3"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4"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35"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36"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7"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8"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9"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0"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1" w:customStyle="1">
    <w:name w:val="清单表 1 浅色11"/>
    <w:uiPriority w:val="99"/>
    <w:qFormat/>
    <w:tblPr>
      <w:tblCellMar>
        <w:left w:w="0" w:type="dxa"/>
        <w:top w:w="0" w:type="dxa"/>
        <w:right w:w="0" w:type="dxa"/>
        <w:bottom w:w="0" w:type="dxa"/>
      </w:tblCellMar>
    </w:tblPr>
  </w:style>
  <w:style w:type="table" w:styleId="1442" w:customStyle="1">
    <w:name w:val="List Table 1 Light - Accent 11"/>
    <w:uiPriority w:val="99"/>
    <w:qFormat/>
    <w:tblPr>
      <w:tblCellMar>
        <w:left w:w="0" w:type="dxa"/>
        <w:top w:w="0" w:type="dxa"/>
        <w:right w:w="0" w:type="dxa"/>
        <w:bottom w:w="0" w:type="dxa"/>
      </w:tblCellMar>
    </w:tblPr>
  </w:style>
  <w:style w:type="table" w:styleId="1443" w:customStyle="1">
    <w:name w:val="List Table 1 Light - Accent 21"/>
    <w:uiPriority w:val="99"/>
    <w:qFormat/>
    <w:tblPr>
      <w:tblCellMar>
        <w:left w:w="0" w:type="dxa"/>
        <w:top w:w="0" w:type="dxa"/>
        <w:right w:w="0" w:type="dxa"/>
        <w:bottom w:w="0" w:type="dxa"/>
      </w:tblCellMar>
    </w:tblPr>
  </w:style>
  <w:style w:type="table" w:styleId="1444" w:customStyle="1">
    <w:name w:val="List Table 1 Light - Accent 31"/>
    <w:uiPriority w:val="99"/>
    <w:qFormat/>
    <w:tblPr>
      <w:tblCellMar>
        <w:left w:w="0" w:type="dxa"/>
        <w:top w:w="0" w:type="dxa"/>
        <w:right w:w="0" w:type="dxa"/>
        <w:bottom w:w="0" w:type="dxa"/>
      </w:tblCellMar>
    </w:tblPr>
  </w:style>
  <w:style w:type="table" w:styleId="1445" w:customStyle="1">
    <w:name w:val="List Table 1 Light - Accent 41"/>
    <w:uiPriority w:val="99"/>
    <w:qFormat/>
    <w:tblPr>
      <w:tblCellMar>
        <w:left w:w="0" w:type="dxa"/>
        <w:top w:w="0" w:type="dxa"/>
        <w:right w:w="0" w:type="dxa"/>
        <w:bottom w:w="0" w:type="dxa"/>
      </w:tblCellMar>
    </w:tblPr>
  </w:style>
  <w:style w:type="table" w:styleId="1446" w:customStyle="1">
    <w:name w:val="List Table 1 Light - Accent 51"/>
    <w:uiPriority w:val="99"/>
    <w:qFormat/>
    <w:tblPr>
      <w:tblCellMar>
        <w:left w:w="0" w:type="dxa"/>
        <w:top w:w="0" w:type="dxa"/>
        <w:right w:w="0" w:type="dxa"/>
        <w:bottom w:w="0" w:type="dxa"/>
      </w:tblCellMar>
    </w:tblPr>
  </w:style>
  <w:style w:type="table" w:styleId="1447" w:customStyle="1">
    <w:name w:val="List Table 1 Light - Accent 61"/>
    <w:uiPriority w:val="99"/>
    <w:qFormat/>
    <w:tblPr>
      <w:tblCellMar>
        <w:left w:w="0" w:type="dxa"/>
        <w:top w:w="0" w:type="dxa"/>
        <w:right w:w="0" w:type="dxa"/>
        <w:bottom w:w="0" w:type="dxa"/>
      </w:tblCellMar>
    </w:tblPr>
  </w:style>
  <w:style w:type="table" w:styleId="1448"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49"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50"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51"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52"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53"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54"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55"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56"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57"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58"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59"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60"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61"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62"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63"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64"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65"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66"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67"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68"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69"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70"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71"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72"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73"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74"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75"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76"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77"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78"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79"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80"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81"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82"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83"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84"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85"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86"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87"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88"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89"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90" w:customStyle="1">
    <w:name w:val="Lined - Accent 11"/>
    <w:uiPriority w:val="99"/>
    <w:qFormat/>
    <w:rPr>
      <w:color w:val="404040"/>
    </w:rPr>
    <w:tblPr>
      <w:tblCellMar>
        <w:left w:w="0" w:type="dxa"/>
        <w:top w:w="0" w:type="dxa"/>
        <w:right w:w="0" w:type="dxa"/>
        <w:bottom w:w="0" w:type="dxa"/>
      </w:tblCellMar>
    </w:tblPr>
  </w:style>
  <w:style w:type="table" w:styleId="1491" w:customStyle="1">
    <w:name w:val="Lined - Accent 21"/>
    <w:uiPriority w:val="99"/>
    <w:qFormat/>
    <w:rPr>
      <w:color w:val="404040"/>
    </w:rPr>
    <w:tblPr>
      <w:tblCellMar>
        <w:left w:w="0" w:type="dxa"/>
        <w:top w:w="0" w:type="dxa"/>
        <w:right w:w="0" w:type="dxa"/>
        <w:bottom w:w="0" w:type="dxa"/>
      </w:tblCellMar>
    </w:tblPr>
  </w:style>
  <w:style w:type="table" w:styleId="1492" w:customStyle="1">
    <w:name w:val="Lined - Accent 31"/>
    <w:uiPriority w:val="99"/>
    <w:qFormat/>
    <w:rPr>
      <w:color w:val="404040"/>
    </w:rPr>
    <w:tblPr>
      <w:tblCellMar>
        <w:left w:w="0" w:type="dxa"/>
        <w:top w:w="0" w:type="dxa"/>
        <w:right w:w="0" w:type="dxa"/>
        <w:bottom w:w="0" w:type="dxa"/>
      </w:tblCellMar>
    </w:tblPr>
  </w:style>
  <w:style w:type="table" w:styleId="1493" w:customStyle="1">
    <w:name w:val="Lined - Accent 41"/>
    <w:uiPriority w:val="99"/>
    <w:qFormat/>
    <w:rPr>
      <w:color w:val="404040"/>
    </w:rPr>
    <w:tblPr>
      <w:tblCellMar>
        <w:left w:w="0" w:type="dxa"/>
        <w:top w:w="0" w:type="dxa"/>
        <w:right w:w="0" w:type="dxa"/>
        <w:bottom w:w="0" w:type="dxa"/>
      </w:tblCellMar>
    </w:tblPr>
  </w:style>
  <w:style w:type="table" w:styleId="1494" w:customStyle="1">
    <w:name w:val="Lined - Accent 51"/>
    <w:uiPriority w:val="99"/>
    <w:qFormat/>
    <w:rPr>
      <w:color w:val="404040"/>
    </w:rPr>
    <w:tblPr>
      <w:tblCellMar>
        <w:left w:w="0" w:type="dxa"/>
        <w:top w:w="0" w:type="dxa"/>
        <w:right w:w="0" w:type="dxa"/>
        <w:bottom w:w="0" w:type="dxa"/>
      </w:tblCellMar>
    </w:tblPr>
  </w:style>
  <w:style w:type="table" w:styleId="1495" w:customStyle="1">
    <w:name w:val="Lined - Accent 61"/>
    <w:uiPriority w:val="99"/>
    <w:qFormat/>
    <w:rPr>
      <w:color w:val="404040"/>
    </w:rPr>
    <w:tblPr>
      <w:tblCellMar>
        <w:left w:w="0" w:type="dxa"/>
        <w:top w:w="0" w:type="dxa"/>
        <w:right w:w="0" w:type="dxa"/>
        <w:bottom w:w="0" w:type="dxa"/>
      </w:tblCellMar>
    </w:tblPr>
  </w:style>
  <w:style w:type="table" w:styleId="149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9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9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99"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00"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0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0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0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0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05"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06"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07"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0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09" w:customStyle="1">
    <w:name w:val="普通表格11"/>
    <w:uiPriority w:val="0"/>
    <w:qFormat/>
    <w:tblPr>
      <w:tblCellMar>
        <w:left w:w="0" w:type="dxa"/>
        <w:top w:w="0" w:type="dxa"/>
        <w:right w:w="0" w:type="dxa"/>
        <w:bottom w:w="0" w:type="dxa"/>
      </w:tblCellMar>
    </w:tblPr>
  </w:style>
  <w:style w:type="table" w:styleId="1510" w:customStyle="1">
    <w:name w:val="网格型11"/>
    <w:basedOn w:val="1250"/>
    <w:uiPriority w:val="0"/>
    <w:qFormat/>
    <w:pPr>
      <w:jc w:val="both"/>
      <w:widowControl w:val="off"/>
    </w:pPr>
    <w:tblPr>
      <w:tblCellMar>
        <w:left w:w="0" w:type="dxa"/>
        <w:top w:w="0" w:type="dxa"/>
        <w:right w:w="0" w:type="dxa"/>
        <w:bottom w:w="0" w:type="dxa"/>
      </w:tblCellMar>
    </w:tblPr>
  </w:style>
  <w:style w:type="paragraph" w:styleId="1511" w:customStyle="1">
    <w:name w:val="列出段落2"/>
    <w:basedOn w:val="1031"/>
    <w:uiPriority w:val="0"/>
    <w:qFormat/>
    <w:pPr>
      <w:ind w:firstLine="420"/>
      <w:widowControl w:val="off"/>
    </w:pPr>
    <w:rPr>
      <w:sz w:val="21"/>
      <w:szCs w:val="24"/>
    </w:rPr>
  </w:style>
  <w:style w:type="table" w:styleId="1512" w:customStyle="1">
    <w:name w:val="TableNormal1"/>
    <w:uiPriority w:val="0"/>
    <w:semiHidden/>
    <w:qFormat/>
    <w:tblPr>
      <w:tblCellMar>
        <w:left w:w="0" w:type="dxa"/>
        <w:top w:w="0" w:type="dxa"/>
        <w:right w:w="0" w:type="dxa"/>
        <w:bottom w:w="0" w:type="dxa"/>
      </w:tblCellMar>
    </w:tblPr>
  </w:style>
  <w:style w:type="paragraph" w:styleId="1513" w:customStyle="1">
    <w:name w:val="_Style 9"/>
    <w:basedOn w:val="976"/>
    <w:next w:val="975"/>
    <w:uiPriority w:val="0"/>
    <w:qFormat/>
    <w:pPr>
      <w:spacing w:before="340" w:after="330" w:line="576" w:lineRule="auto"/>
      <w:outlineLvl w:val="9"/>
    </w:pPr>
    <w:rPr>
      <w:rFonts w:ascii="Calibri" w:hAnsi="Calibri"/>
      <w:sz w:val="44"/>
    </w:rPr>
  </w:style>
  <w:style w:type="paragraph" w:styleId="1514" w:customStyle="1">
    <w:name w:val="WPSOffice手动目录 1"/>
    <w:uiPriority w:val="0"/>
    <w:qFormat/>
    <w:rPr>
      <w:rFonts w:hint="default" w:ascii="Times New Roman" w:hAnsi="Times New Roman" w:eastAsia="宋体" w:cs="Times New Roman"/>
      <w:lang w:val="en-US" w:eastAsia="zh-CN" w:bidi="ar-SA"/>
    </w:rPr>
  </w:style>
  <w:style w:type="paragraph" w:styleId="151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16"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517" w:customStyle="1">
    <w:name w:val="彩色列表 - 强调文字颜色 11"/>
    <w:basedOn w:val="975"/>
    <w:uiPriority w:val="34"/>
    <w:qFormat/>
    <w:pPr>
      <w:ind w:firstLine="420"/>
    </w:pPr>
    <w:rPr>
      <w:szCs w:val="22"/>
    </w:rPr>
  </w:style>
  <w:style w:type="paragraph" w:styleId="1518" w:customStyle="1">
    <w:name w:val="标题 111"/>
    <w:basedOn w:val="1031"/>
    <w:next w:val="1031"/>
    <w:uiPriority w:val="0"/>
    <w:qFormat/>
    <w:pPr>
      <w:jc w:val="center"/>
      <w:keepLines/>
      <w:keepNext/>
      <w:spacing w:line="578" w:lineRule="auto"/>
      <w:outlineLvl w:val="0"/>
    </w:pPr>
    <w:rPr>
      <w:rFonts w:eastAsia="新宋体"/>
      <w:b/>
      <w:bCs/>
      <w:sz w:val="30"/>
      <w:szCs w:val="44"/>
    </w:rPr>
  </w:style>
  <w:style w:type="paragraph" w:styleId="1519"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520" w:customStyle="1">
    <w:name w:val="文本块111"/>
    <w:basedOn w:val="975"/>
    <w:uiPriority w:val="0"/>
    <w:qFormat/>
    <w:pPr>
      <w:ind w:left="256" w:right="6" w:firstLine="624"/>
    </w:pPr>
    <w:rPr>
      <w:rFonts w:eastAsia="仿宋_GB2312"/>
      <w:sz w:val="28"/>
      <w:szCs w:val="20"/>
    </w:rPr>
  </w:style>
  <w:style w:type="character" w:styleId="1521" w:customStyle="1">
    <w:name w:val="NormalCharacter1"/>
    <w:link w:val="975"/>
    <w:uiPriority w:val="0"/>
    <w:qFormat/>
    <w:rPr>
      <w:lang w:val="en-US" w:eastAsia="zh-CN" w:bidi="ar-SA"/>
    </w:rPr>
  </w:style>
  <w:style w:type="table" w:styleId="1522" w:customStyle="1">
    <w:name w:val="网格型111"/>
    <w:uiPriority w:val="0"/>
    <w:qFormat/>
    <w:rPr>
      <w:lang w:val="en-US" w:eastAsia="zh-CN" w:bidi="ar-SA"/>
    </w:rPr>
    <w:tblPr/>
  </w:style>
  <w:style w:type="paragraph" w:styleId="1523" w:customStyle="1">
    <w:name w:val="正文_0_0"/>
    <w:uiPriority w:val="99"/>
    <w:unhideWhenUsed/>
    <w:qFormat/>
    <w:rPr>
      <w:rFonts w:hint="default" w:ascii="Calibri" w:hAnsi="Calibri" w:eastAsia="宋体" w:cs="Times New Roman"/>
      <w:sz w:val="21"/>
    </w:rPr>
  </w:style>
  <w:style w:type="paragraph" w:styleId="1524" w:customStyle="1">
    <w:name w:val="纯文本1"/>
    <w:basedOn w:val="1037"/>
    <w:uiPriority w:val="0"/>
    <w:qFormat/>
    <w:rPr>
      <w:rFonts w:ascii="宋体" w:hAnsi="Courier New"/>
      <w:sz w:val="20"/>
      <w:szCs w:val="20"/>
    </w:rPr>
  </w:style>
  <w:style w:type="paragraph" w:styleId="1525" w:customStyle="1">
    <w:name w:val="脚注文本12"/>
    <w:basedOn w:val="975"/>
    <w:next w:val="1526"/>
    <w:uiPriority w:val="99"/>
    <w:unhideWhenUsed/>
    <w:qFormat/>
    <w:pPr>
      <w:spacing w:after="40" w:line="240" w:lineRule="auto"/>
    </w:pPr>
    <w:rPr>
      <w:sz w:val="18"/>
    </w:rPr>
  </w:style>
  <w:style w:type="paragraph" w:styleId="1526" w:customStyle="1">
    <w:name w:val="索引 512"/>
    <w:basedOn w:val="975"/>
    <w:next w:val="975"/>
    <w:uiPriority w:val="0"/>
    <w:qFormat/>
    <w:pPr>
      <w:ind w:left="798"/>
    </w:pPr>
    <w:rPr>
      <w:rFonts w:ascii="Calibri" w:hAnsi="Calibri" w:eastAsia="Times New Roman"/>
      <w:szCs w:val="24"/>
    </w:rPr>
  </w:style>
  <w:style w:type="paragraph" w:styleId="1527" w:customStyle="1">
    <w:name w:val="普通(网站)11"/>
    <w:basedOn w:val="975"/>
    <w:uiPriority w:val="0"/>
    <w:qFormat/>
    <w:pPr>
      <w:jc w:val="left"/>
      <w:spacing w:before="100" w:beforeAutospacing="1" w:after="100" w:afterAutospacing="1"/>
      <w:widowControl/>
    </w:pPr>
    <w:rPr>
      <w:rFonts w:ascii="宋体" w:hAnsi="宋体"/>
      <w:sz w:val="24"/>
    </w:rPr>
  </w:style>
  <w:style w:type="paragraph" w:styleId="1528" w:customStyle="1">
    <w:name w:val="HtmlNormal1"/>
    <w:basedOn w:val="975"/>
    <w:uiPriority w:val="0"/>
    <w:qFormat/>
    <w:pPr>
      <w:jc w:val="left"/>
      <w:spacing w:before="100" w:beforeAutospacing="1" w:after="100" w:afterAutospacing="1"/>
    </w:pPr>
    <w:rPr>
      <w:rFonts w:ascii="宋体" w:hAnsi="宋体"/>
      <w:sz w:val="24"/>
    </w:rPr>
  </w:style>
  <w:style w:type="character" w:styleId="1529" w:customStyle="1">
    <w:name w:val="NormalCharacter11"/>
    <w:link w:val="975"/>
    <w:uiPriority w:val="0"/>
    <w:semiHidden/>
    <w:qFormat/>
    <w:rPr>
      <w:rFonts w:ascii="Times New Roman" w:hAnsi="Times New Roman" w:eastAsia="宋体" w:cs="Times New Roman"/>
      <w:sz w:val="21"/>
      <w:szCs w:val="24"/>
    </w:rPr>
  </w:style>
  <w:style w:type="paragraph" w:styleId="1530" w:customStyle="1">
    <w:name w:val="目录 112"/>
    <w:basedOn w:val="975"/>
    <w:next w:val="975"/>
    <w:uiPriority w:val="39"/>
    <w:unhideWhenUsed/>
    <w:qFormat/>
    <w:pPr>
      <w:ind w:left="0" w:right="0" w:firstLine="0"/>
      <w:spacing w:after="57"/>
    </w:pPr>
  </w:style>
  <w:style w:type="paragraph" w:styleId="1531" w:customStyle="1">
    <w:name w:val="p0"/>
    <w:basedOn w:val="975"/>
    <w:uiPriority w:val="0"/>
    <w:qFormat/>
    <w:pPr>
      <w:widowControl/>
    </w:pPr>
    <w:rPr>
      <w:szCs w:val="21"/>
    </w:rPr>
  </w:style>
  <w:style w:type="paragraph" w:styleId="1532" w:customStyle="1">
    <w:name w:val="页脚11"/>
    <w:basedOn w:val="975"/>
    <w:uiPriority w:val="99"/>
    <w:unhideWhenUsed/>
    <w:qFormat/>
    <w:pPr>
      <w:spacing w:after="0" w:line="240" w:lineRule="auto"/>
      <w:tabs>
        <w:tab w:val="center" w:pos="7143" w:leader="none"/>
        <w:tab w:val="right" w:pos="14287" w:leader="none"/>
      </w:tabs>
    </w:pPr>
  </w:style>
  <w:style w:type="paragraph" w:styleId="1533" w:customStyle="1">
    <w:name w:val="正文_0_0_0"/>
    <w:uiPriority w:val="99"/>
    <w:unhideWhenUsed/>
    <w:qFormat/>
    <w:rPr>
      <w:rFonts w:hint="eastAsia" w:ascii="Times New Roman" w:hAnsi="Times New Roman" w:eastAsia="宋体" w:cs="Times New Roman"/>
      <w:sz w:val="21"/>
    </w:rPr>
  </w:style>
  <w:style w:type="paragraph" w:styleId="1534" w:customStyle="1">
    <w:name w:val="表格2"/>
    <w:basedOn w:val="975"/>
    <w:uiPriority w:val="0"/>
    <w:qFormat/>
    <w:pPr>
      <w:ind w:firstLine="0"/>
      <w:jc w:val="left"/>
      <w:keepLines/>
    </w:pPr>
    <w:rPr>
      <w:rFonts w:hint="eastAsia" w:cs="宋体"/>
      <w:sz w:val="21"/>
    </w:rPr>
  </w:style>
  <w:style w:type="numbering" w:styleId="15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image" Target="media/image3.jpg"/><Relationship Id="rId2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夏海燕</cp:lastModifiedBy>
  <cp:revision>73</cp:revision>
  <dcterms:created xsi:type="dcterms:W3CDTF">2022-12-08T06:37:00Z</dcterms:created>
  <dcterms:modified xsi:type="dcterms:W3CDTF">2026-04-30T07:37:04Z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DA911C19037D4D0DB48B8FA371CE0E12_13</vt:lpwstr>
  </property>
  <property fmtid="{D5CDD505-2E9C-101B-9397-08002B2CF9AE}" pid="4" name="KSOTemplateDocerSaveRecord">
    <vt:lpwstr>eyJoZGlkIjoiNGE3NTRiNjhkNzA3NzAwMzE5Mjk4NWQ4ZGU1MjM4NDEiLCJ1c2VySWQiOiI0ODkyMzMxMDQifQ==</vt:lpwstr>
  </property>
</Properties>
</file>