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cs="Times New Roman"/>
          <w:b/>
          <w:bCs/>
          <w:sz w:val="48"/>
          <w:szCs w:val="48"/>
          <w:lang w:val="en-US" w:bidi="ar-SA"/>
        </w:rPr>
      </w:pPr>
      <w:r>
        <w:rPr>
          <w:rFonts w:hint="eastAsia" w:cs="Times New Roman"/>
          <w:b/>
          <w:bCs/>
          <w:sz w:val="48"/>
          <w:szCs w:val="48"/>
          <w:lang w:val="en-US" w:bidi="ar-SA"/>
        </w:rPr>
        <w:t xml:space="preserve">江苏开放大学</w:t>
      </w:r>
      <w:r/>
    </w:p>
    <w:p>
      <w:pPr>
        <w:pStyle w:val="961"/>
        <w:jc w:val="center"/>
        <w:rPr>
          <w:rFonts w:cs="Times New Roman"/>
          <w:b/>
          <w:bCs/>
          <w:sz w:val="48"/>
          <w:szCs w:val="48"/>
          <w:lang w:val="en-US" w:bidi="ar-SA"/>
        </w:rPr>
      </w:pPr>
      <w:r>
        <w:rPr>
          <w:rFonts w:cs="Times New Roman"/>
          <w:b/>
          <w:bCs/>
          <w:sz w:val="48"/>
          <w:szCs w:val="48"/>
          <w:lang w:val="en-US" w:bidi="ar-SA"/>
        </w:rPr>
      </w:r>
      <w:r/>
    </w:p>
    <w:p>
      <w:pPr>
        <w:pStyle w:val="961"/>
        <w:jc w:val="center"/>
        <w:rPr>
          <w:rFonts w:cs="Times New Roman"/>
          <w:b/>
          <w:bCs/>
          <w:sz w:val="48"/>
          <w:szCs w:val="48"/>
          <w:lang w:val="en-US" w:bidi="ar-SA"/>
        </w:rPr>
      </w:pPr>
      <w:r>
        <w:rPr>
          <w:rFonts w:cs="Times New Roman"/>
          <w:b/>
          <w:bCs/>
          <w:sz w:val="48"/>
          <w:szCs w:val="48"/>
          <w:lang w:val="en-US" w:bidi="ar-SA"/>
        </w:rPr>
      </w:r>
      <w:r/>
    </w:p>
    <w:p>
      <w:pPr>
        <w:pStyle w:val="961"/>
        <w:jc w:val="center"/>
        <w:rPr>
          <w:rFonts w:cs="Times New Roman"/>
          <w:b/>
          <w:bCs/>
          <w:sz w:val="48"/>
          <w:szCs w:val="48"/>
          <w:lang w:val="en-US" w:bidi="ar-SA"/>
        </w:rPr>
      </w:pPr>
      <w:r>
        <w:rPr>
          <w:rFonts w:hint="eastAsia" w:cs="Times New Roman"/>
          <w:b/>
          <w:bCs/>
          <w:sz w:val="48"/>
          <w:szCs w:val="48"/>
          <w:lang w:val="en-US" w:bidi="ar-SA"/>
        </w:rPr>
        <w:t xml:space="preserve">江苏开放大学（江苏城市职业学院）桥林校区医务室托管服务项目</w:t>
      </w:r>
      <w:r/>
    </w:p>
    <w:p>
      <w:pPr>
        <w:pStyle w:val="961"/>
        <w:rPr>
          <w:rFonts w:cs="Times New Roman"/>
          <w:b/>
          <w:bCs/>
          <w:sz w:val="48"/>
          <w:szCs w:val="48"/>
          <w:lang w:val="en-US" w:bidi="ar-SA"/>
        </w:rPr>
      </w:pPr>
      <w:r>
        <w:rPr>
          <w:rFonts w:cs="Times New Roman"/>
          <w:b/>
          <w:bCs/>
          <w:sz w:val="48"/>
          <w:szCs w:val="48"/>
          <w:lang w:val="en-US" w:bidi="ar-SA"/>
        </w:rPr>
      </w:r>
      <w:r/>
    </w:p>
    <w:p>
      <w:pPr>
        <w:pStyle w:val="961"/>
        <w:rPr>
          <w:rFonts w:cs="Times New Roman"/>
          <w:b/>
          <w:bCs/>
          <w:sz w:val="48"/>
          <w:szCs w:val="48"/>
          <w:lang w:val="en-US" w:bidi="ar-SA"/>
        </w:rPr>
      </w:pPr>
      <w:r>
        <w:rPr>
          <w:rFonts w:cs="Times New Roman"/>
          <w:b/>
          <w:bCs/>
          <w:sz w:val="48"/>
          <w:szCs w:val="48"/>
          <w:lang w:val="en-US" w:bidi="ar-SA"/>
        </w:rPr>
      </w:r>
      <w:r/>
    </w:p>
    <w:p>
      <w:pPr>
        <w:jc w:val="center"/>
        <w:spacing w:line="360" w:lineRule="auto"/>
        <w:widowControl/>
        <w:rPr>
          <w:rFonts w:hAnsi="Times New Roman" w:cs="Times New Roman"/>
          <w:b/>
          <w:bCs/>
          <w:sz w:val="48"/>
          <w:szCs w:val="48"/>
          <w:lang w:val="en-US" w:bidi="ar-SA"/>
        </w:rPr>
      </w:pPr>
      <w:r>
        <w:rPr>
          <w:rFonts w:hAnsi="Times New Roman" w:cs="Times New Roman"/>
          <w:b/>
          <w:bCs/>
          <w:sz w:val="48"/>
          <w:szCs w:val="48"/>
          <w:lang w:val="en-US" w:bidi="ar-SA"/>
        </w:rPr>
        <mc:AlternateContent>
          <mc:Choice Requires="wpg">
            <w:drawing>
              <wp:inline xmlns:wp="http://schemas.openxmlformats.org/drawingml/2006/wordprocessingDrawing" distT="0" distB="0" distL="0" distR="0">
                <wp:extent cx="1717675" cy="2131695"/>
                <wp:effectExtent l="0" t="0" r="15875" b="1905"/>
                <wp:docPr id="4" name="图片 1"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我的插图-1"/>
                        <pic:cNvPicPr>
                          <a:picLocks noChangeAspect="1"/>
                        </pic:cNvPicPr>
                        <pic:nvPr/>
                      </pic:nvPicPr>
                      <pic:blipFill>
                        <a:blip r:embed="rId13"/>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5.2pt;height:167.8pt;mso-wrap-distance-left:0.0pt;mso-wrap-distance-top:0.0pt;mso-wrap-distance-right:0.0pt;mso-wrap-distance-bottom:0.0pt;" stroked="f">
                <v:path textboxrect="0,0,0,0"/>
                <v:imagedata r:id="rId13" o:title=""/>
              </v:shape>
            </w:pict>
          </mc:Fallback>
        </mc:AlternateContent>
      </w:r>
      <w:r/>
    </w:p>
    <w:p>
      <w:pPr>
        <w:jc w:val="center"/>
        <w:spacing w:line="360" w:lineRule="auto"/>
        <w:widowControl/>
        <w:rPr>
          <w:rFonts w:hAnsi="Times New Roman" w:cs="Times New Roman"/>
          <w:b/>
          <w:bCs/>
          <w:sz w:val="72"/>
          <w:szCs w:val="72"/>
          <w:lang w:val="en-US" w:bidi="ar-SA"/>
        </w:rPr>
      </w:pPr>
      <w:r>
        <w:rPr>
          <w:rFonts w:hint="eastAsia" w:cs="Times New Roman"/>
          <w:b/>
          <w:bCs/>
          <w:sz w:val="72"/>
          <w:szCs w:val="72"/>
          <w:lang w:val="en-US" w:bidi="ar-SA"/>
        </w:rPr>
        <w:t xml:space="preserve">招标文件</w:t>
      </w:r>
      <w:r/>
    </w:p>
    <w:p>
      <w:pPr>
        <w:jc w:val="center"/>
        <w:spacing w:line="360" w:lineRule="auto"/>
        <w:widowControl/>
        <w:rPr>
          <w:rFonts w:hint="eastAsia" w:hAnsi="Times New Roman" w:eastAsia="宋体" w:cs="Times New Roman"/>
          <w:b/>
          <w:bCs/>
          <w:sz w:val="28"/>
          <w:szCs w:val="28"/>
          <w:lang w:val="en-US" w:eastAsia="zh-CN" w:bidi="ar-SA"/>
        </w:rPr>
      </w:pPr>
      <w:r>
        <w:rPr>
          <w:rFonts w:hint="eastAsia" w:cs="Times New Roman"/>
          <w:b/>
          <w:sz w:val="36"/>
          <w:szCs w:val="36"/>
          <w:lang w:val="en-US" w:bidi="ar-SA"/>
        </w:rPr>
        <w:t xml:space="preserve">项目编号：</w:t>
      </w:r>
      <w:r>
        <w:rPr>
          <w:rFonts w:hint="eastAsia" w:cs="Times New Roman"/>
          <w:b/>
          <w:sz w:val="36"/>
          <w:szCs w:val="36"/>
          <w:lang w:val="en-US" w:eastAsia="zh-CN" w:bidi="ar-SA"/>
        </w:rPr>
        <w:t xml:space="preserve">JSZC-320000-SNZX-G2026-0032</w:t>
      </w:r>
      <w:r/>
    </w:p>
    <w:p>
      <w:pPr>
        <w:jc w:val="both"/>
        <w:spacing w:line="360" w:lineRule="auto"/>
        <w:widowControl/>
        <w:rPr>
          <w:rFonts w:hAnsi="Times New Roman" w:cs="Times New Roman"/>
          <w:sz w:val="21"/>
          <w:szCs w:val="21"/>
          <w:lang w:val="en-US" w:bidi="ar-SA"/>
        </w:rPr>
      </w:pPr>
      <w:r>
        <w:rPr>
          <w:rFonts w:hAnsi="Times New Roman" w:cs="Times New Roman"/>
          <w:sz w:val="21"/>
          <w:szCs w:val="21"/>
          <w:lang w:val="en-US" w:bidi="ar-SA"/>
        </w:rPr>
      </w:r>
      <w:r/>
    </w:p>
    <w:p>
      <w:pPr>
        <w:jc w:val="both"/>
        <w:spacing w:line="360" w:lineRule="auto"/>
        <w:widowControl/>
        <w:rPr>
          <w:rFonts w:hAnsi="Times New Roman" w:cs="Times New Roman"/>
          <w:sz w:val="21"/>
          <w:szCs w:val="21"/>
          <w:lang w:val="en-US" w:bidi="ar-SA"/>
        </w:rPr>
      </w:pPr>
      <w:r>
        <w:rPr>
          <w:rFonts w:hAnsi="Times New Roman" w:cs="Times New Roman"/>
          <w:sz w:val="21"/>
          <w:szCs w:val="21"/>
          <w:lang w:val="en-US" w:bidi="ar-SA"/>
        </w:rPr>
      </w:r>
      <w:r/>
    </w:p>
    <w:p>
      <w:pPr>
        <w:jc w:val="both"/>
        <w:spacing w:line="360" w:lineRule="auto"/>
        <w:widowControl/>
        <w:rPr>
          <w:rFonts w:hAnsi="Times New Roman" w:cs="Times New Roman"/>
          <w:sz w:val="21"/>
          <w:szCs w:val="21"/>
          <w:lang w:val="en-US" w:bidi="ar-SA"/>
        </w:rPr>
      </w:pPr>
      <w:r>
        <w:rPr>
          <w:rFonts w:hAnsi="Times New Roman" w:cs="Times New Roman"/>
          <w:sz w:val="21"/>
          <w:szCs w:val="21"/>
          <w:lang w:val="en-US" w:bidi="ar-SA"/>
        </w:rPr>
      </w:r>
      <w:r/>
    </w:p>
    <w:p>
      <w:pPr>
        <w:jc w:val="both"/>
        <w:spacing w:line="360" w:lineRule="auto"/>
        <w:widowControl/>
        <w:rPr>
          <w:rFonts w:hAnsi="Times New Roman" w:cs="Times New Roman"/>
          <w:sz w:val="21"/>
          <w:szCs w:val="21"/>
          <w:lang w:val="en-US" w:bidi="ar-SA"/>
        </w:rPr>
      </w:pPr>
      <w:r>
        <w:rPr>
          <w:rFonts w:hAnsi="Times New Roman" w:cs="Times New Roman"/>
          <w:sz w:val="21"/>
          <w:szCs w:val="21"/>
          <w:lang w:val="en-US" w:bidi="ar-SA"/>
        </w:rPr>
      </w:r>
      <w:r/>
    </w:p>
    <w:p>
      <w:pPr>
        <w:ind w:left="660" w:firstLine="723"/>
        <w:spacing w:line="360" w:lineRule="auto"/>
        <w:widowControl/>
        <w:rPr>
          <w:rFonts w:cs="Times New Roman"/>
          <w:b/>
          <w:sz w:val="36"/>
          <w:szCs w:val="36"/>
          <w:lang w:val="en-US" w:bidi="ar-SA"/>
        </w:rPr>
      </w:pPr>
      <w:r>
        <w:rPr>
          <w:rFonts w:hint="eastAsia" w:cs="Times New Roman"/>
          <w:b/>
          <w:sz w:val="36"/>
          <w:szCs w:val="36"/>
          <w:lang w:val="en-US" w:bidi="ar-SA"/>
        </w:rPr>
        <w:t xml:space="preserve">采购人：江苏开放大学</w:t>
      </w:r>
      <w:r/>
    </w:p>
    <w:p>
      <w:pPr>
        <w:ind w:left="660" w:firstLine="723"/>
        <w:spacing w:line="360" w:lineRule="auto"/>
        <w:widowControl/>
        <w:rPr>
          <w:rFonts w:hAnsi="Times New Roman" w:cs="Times New Roman"/>
          <w:b/>
          <w:sz w:val="36"/>
          <w:szCs w:val="36"/>
          <w:lang w:val="en-US" w:bidi="ar-SA"/>
        </w:rPr>
      </w:pPr>
      <w:r>
        <w:rPr>
          <w:rFonts w:hint="eastAsia" w:cs="Times New Roman"/>
          <w:b/>
          <w:sz w:val="36"/>
          <w:szCs w:val="36"/>
          <w:lang w:val="en-US" w:bidi="ar-SA"/>
        </w:rPr>
        <w:t xml:space="preserve">招标代理机构：南京苏宁工程咨询有限公司</w:t>
      </w:r>
      <w:r/>
    </w:p>
    <w:p>
      <w:pPr>
        <w:ind w:left="660" w:firstLine="723"/>
        <w:spacing w:line="360" w:lineRule="auto"/>
        <w:widowControl/>
        <w:rPr>
          <w:rFonts w:cs="Times New Roman"/>
          <w:b/>
          <w:sz w:val="36"/>
          <w:szCs w:val="36"/>
          <w:lang w:val="en-US" w:bidi="ar-SA"/>
        </w:rPr>
      </w:pPr>
      <w:r>
        <w:rPr>
          <w:rFonts w:hint="eastAsia" w:cs="Times New Roman"/>
          <w:b/>
          <w:sz w:val="36"/>
          <w:szCs w:val="36"/>
          <w:lang w:val="en-US" w:bidi="ar-SA"/>
        </w:rPr>
        <w:t xml:space="preserve">日期：二〇二六年三月</w:t>
      </w:r>
      <w:r>
        <w:rPr>
          <w:rFonts w:hint="eastAsia" w:cs="Times New Roman"/>
          <w:b/>
          <w:sz w:val="36"/>
          <w:szCs w:val="36"/>
          <w:lang w:val="en-US" w:bidi="ar-SA"/>
        </w:rPr>
        <w:br w:type="page" w:clear="all"/>
      </w:r>
      <w:r/>
    </w:p>
    <w:sdt>
      <w:sdtPr>
        <w15:appearance w15:val="boundingBox"/>
        <w:id w:val="147453953"/>
        <w:docPartObj>
          <w:docPartGallery w:val="Table of Contents"/>
          <w:docPartUnique w:val="true"/>
        </w:docPartObj>
        <w:rPr>
          <w:rFonts w:hint="eastAsia"/>
          <w:sz w:val="28"/>
          <w:szCs w:val="28"/>
        </w:rPr>
      </w:sdtPr>
      <w:sdtContent>
        <w:p>
          <w:pPr>
            <w:jc w:val="center"/>
            <w:rPr>
              <w:rFonts w:ascii="黑体" w:hAnsi="黑体" w:eastAsia="黑体" w:cs="黑体"/>
              <w:sz w:val="44"/>
              <w:szCs w:val="44"/>
            </w:rPr>
          </w:pPr>
          <w:r>
            <w:rPr>
              <w:rFonts w:hint="eastAsia" w:ascii="黑体" w:hAnsi="黑体" w:eastAsia="黑体" w:cs="黑体"/>
              <w:sz w:val="44"/>
              <w:szCs w:val="44"/>
            </w:rPr>
            <w:t xml:space="preserve">目录</w:t>
          </w:r>
          <w:r/>
        </w:p>
        <w:p>
          <w:pPr>
            <w:pStyle w:val="795"/>
            <w:spacing w:line="480" w:lineRule="auto"/>
            <w:tabs>
              <w:tab w:val="right" w:pos="9638" w:leader="dot"/>
            </w:tabs>
            <w:rPr>
              <w:sz w:val="28"/>
              <w:szCs w:val="28"/>
            </w:rPr>
          </w:pPr>
          <w:r>
            <w:rPr>
              <w:rFonts w:hint="eastAsia"/>
              <w:sz w:val="28"/>
              <w:szCs w:val="28"/>
              <w:lang w:val="en-US"/>
            </w:rPr>
            <w:fldChar w:fldCharType="begin"/>
          </w:r>
          <w:r>
            <w:rPr>
              <w:rFonts w:hint="eastAsia"/>
              <w:sz w:val="28"/>
              <w:szCs w:val="28"/>
              <w:lang w:val="en-US"/>
            </w:rPr>
            <w:instrText xml:space="preserve">TOC \o "1-1" \h \u </w:instrText>
          </w:r>
          <w:r>
            <w:rPr>
              <w:rFonts w:hint="eastAsia"/>
              <w:sz w:val="28"/>
              <w:szCs w:val="28"/>
              <w:lang w:val="en-US"/>
            </w:rPr>
            <w:fldChar w:fldCharType="separate"/>
          </w:r>
          <w:r>
            <w:fldChar w:fldCharType="begin"/>
          </w:r>
          <w:r>
            <w:instrText xml:space="preserve"> HYPERLINK \l "_Toc10358" </w:instrText>
          </w:r>
          <w:r>
            <w:fldChar w:fldCharType="separate"/>
          </w:r>
          <w:r>
            <w:rPr>
              <w:rFonts w:hint="eastAsia"/>
              <w:sz w:val="28"/>
              <w:szCs w:val="28"/>
            </w:rPr>
            <w:t xml:space="preserve">第一章招标公告</w:t>
          </w:r>
          <w:r>
            <w:rPr>
              <w:rFonts w:hint="eastAsia"/>
              <w:sz w:val="28"/>
              <w:szCs w:val="28"/>
            </w:rPr>
            <w:tab/>
          </w:r>
          <w:r>
            <w:rPr>
              <w:rFonts w:hint="eastAsia"/>
              <w:sz w:val="28"/>
              <w:szCs w:val="28"/>
            </w:rPr>
            <w:fldChar w:fldCharType="begin"/>
          </w:r>
          <w:r>
            <w:rPr>
              <w:rFonts w:hint="eastAsia"/>
              <w:sz w:val="28"/>
              <w:szCs w:val="28"/>
            </w:rPr>
            <w:instrText xml:space="preserve"> PAGEREF _Toc10358 \h </w:instrText>
          </w:r>
          <w:r>
            <w:rPr>
              <w:rFonts w:hint="eastAsia"/>
              <w:sz w:val="28"/>
              <w:szCs w:val="28"/>
            </w:rPr>
            <w:fldChar w:fldCharType="separate"/>
          </w:r>
          <w:r>
            <w:rPr>
              <w:rFonts w:hint="eastAsia"/>
              <w:sz w:val="28"/>
              <w:szCs w:val="28"/>
            </w:rPr>
            <w:t xml:space="preserve">3</w:t>
          </w:r>
          <w:r>
            <w:rPr>
              <w:rFonts w:hint="eastAsia"/>
              <w:sz w:val="28"/>
              <w:szCs w:val="28"/>
            </w:rPr>
            <w:fldChar w:fldCharType="end"/>
          </w:r>
          <w:r>
            <w:rPr>
              <w:rFonts w:hint="eastAsia"/>
              <w:sz w:val="28"/>
              <w:szCs w:val="28"/>
            </w:rPr>
            <w:fldChar w:fldCharType="end"/>
          </w:r>
          <w:r/>
        </w:p>
        <w:p>
          <w:pPr>
            <w:pStyle w:val="795"/>
            <w:spacing w:line="480" w:lineRule="auto"/>
            <w:tabs>
              <w:tab w:val="right" w:pos="9638" w:leader="dot"/>
            </w:tabs>
            <w:rPr>
              <w:sz w:val="28"/>
              <w:szCs w:val="28"/>
            </w:rPr>
          </w:pPr>
          <w:r>
            <w:fldChar w:fldCharType="begin"/>
          </w:r>
          <w:r>
            <w:instrText xml:space="preserve"> HYPERLINK \l "_Toc15993" </w:instrText>
          </w:r>
          <w:r>
            <w:fldChar w:fldCharType="separate"/>
          </w:r>
          <w:r>
            <w:rPr>
              <w:rFonts w:hint="eastAsia"/>
              <w:sz w:val="28"/>
              <w:szCs w:val="28"/>
            </w:rPr>
            <w:t xml:space="preserve">第二章供应商须知</w:t>
          </w:r>
          <w:r>
            <w:rPr>
              <w:rFonts w:hint="eastAsia"/>
              <w:sz w:val="28"/>
              <w:szCs w:val="28"/>
            </w:rPr>
            <w:tab/>
          </w:r>
          <w:r>
            <w:rPr>
              <w:rFonts w:hint="eastAsia"/>
              <w:sz w:val="28"/>
              <w:szCs w:val="28"/>
              <w:lang w:val="en-US"/>
            </w:rPr>
            <w:t xml:space="preserve">6</w:t>
          </w:r>
          <w:r>
            <w:rPr>
              <w:rFonts w:hint="eastAsia"/>
              <w:sz w:val="28"/>
              <w:szCs w:val="28"/>
              <w:lang w:val="en-US"/>
            </w:rPr>
            <w:fldChar w:fldCharType="end"/>
          </w:r>
          <w:r/>
        </w:p>
        <w:p>
          <w:pPr>
            <w:pStyle w:val="795"/>
            <w:spacing w:line="480" w:lineRule="auto"/>
            <w:tabs>
              <w:tab w:val="right" w:pos="9638" w:leader="dot"/>
            </w:tabs>
            <w:rPr>
              <w:sz w:val="28"/>
              <w:szCs w:val="28"/>
            </w:rPr>
          </w:pPr>
          <w:r>
            <w:fldChar w:fldCharType="begin"/>
          </w:r>
          <w:r>
            <w:instrText xml:space="preserve"> HYPERLINK \l "_Toc9832" </w:instrText>
          </w:r>
          <w:r>
            <w:fldChar w:fldCharType="separate"/>
          </w:r>
          <w:r>
            <w:rPr>
              <w:rFonts w:hint="eastAsia"/>
              <w:sz w:val="28"/>
              <w:szCs w:val="28"/>
            </w:rPr>
            <w:t xml:space="preserve">第三章 评标标准</w:t>
          </w:r>
          <w:r>
            <w:rPr>
              <w:rFonts w:hint="eastAsia"/>
              <w:sz w:val="28"/>
              <w:szCs w:val="28"/>
            </w:rPr>
            <w:tab/>
          </w:r>
          <w:r>
            <w:rPr>
              <w:rFonts w:hint="eastAsia"/>
              <w:sz w:val="28"/>
              <w:szCs w:val="28"/>
            </w:rPr>
            <w:fldChar w:fldCharType="begin"/>
          </w:r>
          <w:r>
            <w:rPr>
              <w:rFonts w:hint="eastAsia"/>
              <w:sz w:val="28"/>
              <w:szCs w:val="28"/>
            </w:rPr>
            <w:instrText xml:space="preserve"> PAGEREF _Toc9832 \h </w:instrText>
          </w:r>
          <w:r>
            <w:rPr>
              <w:rFonts w:hint="eastAsia"/>
              <w:sz w:val="28"/>
              <w:szCs w:val="28"/>
            </w:rPr>
            <w:fldChar w:fldCharType="separate"/>
          </w:r>
          <w:r>
            <w:rPr>
              <w:rFonts w:hint="eastAsia"/>
              <w:sz w:val="28"/>
              <w:szCs w:val="28"/>
            </w:rPr>
            <w:t xml:space="preserve">1</w:t>
          </w:r>
          <w:r>
            <w:rPr>
              <w:sz w:val="28"/>
              <w:szCs w:val="28"/>
            </w:rPr>
            <w:t xml:space="preserve">6</w:t>
          </w:r>
          <w:r>
            <w:rPr>
              <w:rFonts w:hint="eastAsia"/>
              <w:sz w:val="28"/>
              <w:szCs w:val="28"/>
            </w:rPr>
            <w:fldChar w:fldCharType="end"/>
          </w:r>
          <w:r>
            <w:rPr>
              <w:rFonts w:hint="eastAsia"/>
              <w:sz w:val="28"/>
              <w:szCs w:val="28"/>
            </w:rPr>
            <w:fldChar w:fldCharType="end"/>
          </w:r>
          <w:r/>
        </w:p>
        <w:p>
          <w:pPr>
            <w:pStyle w:val="795"/>
            <w:spacing w:line="480" w:lineRule="auto"/>
            <w:tabs>
              <w:tab w:val="right" w:pos="9638" w:leader="dot"/>
            </w:tabs>
            <w:rPr>
              <w:sz w:val="28"/>
              <w:szCs w:val="28"/>
            </w:rPr>
          </w:pPr>
          <w:r>
            <w:fldChar w:fldCharType="begin"/>
          </w:r>
          <w:r>
            <w:instrText xml:space="preserve"> HYPERLINK \l "_Toc12644" </w:instrText>
          </w:r>
          <w:r>
            <w:fldChar w:fldCharType="separate"/>
          </w:r>
          <w:r>
            <w:rPr>
              <w:rFonts w:hint="eastAsia"/>
              <w:sz w:val="28"/>
              <w:szCs w:val="28"/>
            </w:rPr>
            <w:t xml:space="preserve">第四章 招标项目的技术规格、要求和数量等</w:t>
          </w:r>
          <w:r>
            <w:rPr>
              <w:rFonts w:hint="eastAsia"/>
              <w:sz w:val="28"/>
              <w:szCs w:val="28"/>
            </w:rPr>
            <w:tab/>
          </w:r>
          <w:r>
            <w:rPr>
              <w:sz w:val="28"/>
              <w:szCs w:val="28"/>
            </w:rPr>
            <w:t xml:space="preserve">20</w:t>
          </w:r>
          <w:r>
            <w:rPr>
              <w:sz w:val="28"/>
              <w:szCs w:val="28"/>
            </w:rPr>
            <w:fldChar w:fldCharType="end"/>
          </w:r>
          <w:r/>
        </w:p>
        <w:p>
          <w:pPr>
            <w:pStyle w:val="795"/>
            <w:spacing w:line="480" w:lineRule="auto"/>
            <w:tabs>
              <w:tab w:val="right" w:pos="2400" w:leader="none"/>
              <w:tab w:val="right" w:pos="9638" w:leader="dot"/>
            </w:tabs>
            <w:rPr>
              <w:sz w:val="28"/>
              <w:szCs w:val="28"/>
            </w:rPr>
          </w:pPr>
          <w:r>
            <w:fldChar w:fldCharType="begin"/>
          </w:r>
          <w:r>
            <w:instrText xml:space="preserve"> HYPERLINK \l "_Toc17931" </w:instrText>
          </w:r>
          <w:r>
            <w:fldChar w:fldCharType="separate"/>
          </w:r>
          <w:r>
            <w:rPr>
              <w:rFonts w:hint="eastAsia"/>
              <w:sz w:val="28"/>
              <w:szCs w:val="28"/>
            </w:rPr>
            <w:t xml:space="preserve">第五章</w:t>
          </w:r>
          <w:r>
            <w:rPr>
              <w:rFonts w:hint="eastAsia"/>
              <w:sz w:val="28"/>
              <w:szCs w:val="28"/>
            </w:rPr>
            <w:tab/>
          </w:r>
          <w:r>
            <w:rPr>
              <w:rFonts w:hint="eastAsia"/>
              <w:sz w:val="28"/>
              <w:szCs w:val="28"/>
            </w:rPr>
            <w:t xml:space="preserve">合同主要条款及格式</w:t>
          </w:r>
          <w:r>
            <w:rPr>
              <w:rFonts w:hint="eastAsia"/>
              <w:sz w:val="28"/>
              <w:szCs w:val="28"/>
            </w:rPr>
            <w:tab/>
          </w:r>
          <w:r>
            <w:rPr>
              <w:sz w:val="28"/>
              <w:szCs w:val="28"/>
            </w:rPr>
            <w:t xml:space="preserve">27</w:t>
          </w:r>
          <w:r>
            <w:rPr>
              <w:sz w:val="28"/>
              <w:szCs w:val="28"/>
            </w:rPr>
            <w:fldChar w:fldCharType="end"/>
          </w:r>
          <w:r/>
        </w:p>
        <w:p>
          <w:pPr>
            <w:pStyle w:val="795"/>
            <w:spacing w:line="480" w:lineRule="auto"/>
            <w:tabs>
              <w:tab w:val="right" w:pos="9638" w:leader="dot"/>
            </w:tabs>
            <w:rPr>
              <w:sz w:val="28"/>
              <w:szCs w:val="28"/>
            </w:rPr>
          </w:pPr>
          <w:r>
            <w:fldChar w:fldCharType="begin"/>
          </w:r>
          <w:r>
            <w:instrText xml:space="preserve"> HYPERLINK \l "_Toc11634" </w:instrText>
          </w:r>
          <w:r>
            <w:fldChar w:fldCharType="separate"/>
          </w:r>
          <w:r>
            <w:rPr>
              <w:rFonts w:hint="eastAsia"/>
              <w:sz w:val="28"/>
              <w:szCs w:val="28"/>
            </w:rPr>
            <w:t xml:space="preserve">第六章投标文件格式及附件</w:t>
          </w:r>
          <w:r>
            <w:rPr>
              <w:rFonts w:hint="eastAsia"/>
              <w:sz w:val="28"/>
              <w:szCs w:val="28"/>
            </w:rPr>
            <w:tab/>
          </w:r>
          <w:r>
            <w:rPr>
              <w:sz w:val="28"/>
              <w:szCs w:val="28"/>
            </w:rPr>
            <w:t xml:space="preserve">31</w:t>
          </w:r>
          <w:r>
            <w:rPr>
              <w:sz w:val="28"/>
              <w:szCs w:val="28"/>
            </w:rPr>
            <w:fldChar w:fldCharType="end"/>
          </w:r>
          <w:r/>
        </w:p>
        <w:p>
          <w:pPr>
            <w:pStyle w:val="961"/>
            <w:ind w:left="0" w:firstLine="0"/>
            <w:spacing w:line="480" w:lineRule="auto"/>
            <w:rPr>
              <w:lang w:val="en-US"/>
            </w:rPr>
          </w:pPr>
          <w:r>
            <w:rPr>
              <w:rFonts w:hint="eastAsia"/>
              <w:sz w:val="28"/>
              <w:szCs w:val="28"/>
              <w:lang w:val="en-US"/>
            </w:rPr>
            <w:fldChar w:fldCharType="end"/>
          </w:r>
          <w:r/>
        </w:p>
      </w:sdtContent>
    </w:sdt>
    <w:p>
      <w:pPr>
        <w:rPr>
          <w:rFonts w:ascii="黑体" w:eastAsia="黑体"/>
          <w:b/>
          <w:sz w:val="36"/>
        </w:rPr>
      </w:pPr>
      <w:r>
        <w:rPr>
          <w:rFonts w:hint="eastAsia" w:ascii="黑体" w:eastAsia="黑体"/>
          <w:b/>
          <w:sz w:val="36"/>
        </w:rPr>
        <w:br w:type="page" w:clear="all"/>
      </w:r>
      <w:r/>
    </w:p>
    <w:p>
      <w:pPr>
        <w:jc w:val="center"/>
        <w:spacing w:line="360" w:lineRule="auto"/>
        <w:rPr>
          <w:rFonts w:ascii="黑体" w:eastAsia="黑体"/>
          <w:b/>
          <w:sz w:val="36"/>
        </w:rPr>
        <w:outlineLvl w:val="0"/>
      </w:pPr>
      <w:r/>
      <w:bookmarkStart w:id="0" w:name="_Toc10358"/>
      <w:r>
        <w:rPr>
          <w:rFonts w:hint="eastAsia" w:ascii="黑体" w:eastAsia="黑体"/>
          <w:b/>
          <w:sz w:val="36"/>
        </w:rPr>
        <w:t xml:space="preserve">第一章</w:t>
      </w:r>
      <w:bookmarkEnd w:id="0"/>
      <w:r>
        <w:rPr>
          <w:rFonts w:hint="eastAsia" w:ascii="黑体" w:eastAsia="黑体"/>
          <w:b/>
          <w:sz w:val="36"/>
        </w:rPr>
        <w:t xml:space="preserve">投标邀请</w:t>
      </w:r>
      <w:r/>
    </w:p>
    <w:p>
      <w:pPr>
        <w:ind w:firstLine="482"/>
        <w:jc w:val="both"/>
        <w:spacing w:line="360" w:lineRule="auto"/>
        <w:rPr>
          <w:b/>
          <w:bCs/>
          <w:sz w:val="24"/>
          <w:szCs w:val="24"/>
          <w:lang w:val="en-US" w:bidi="ar-SA"/>
        </w:rPr>
        <w:pBdr>
          <w:top w:val="single" w:color="auto" w:sz="4" w:space="1"/>
          <w:left w:val="single" w:color="auto" w:sz="4" w:space="4"/>
          <w:bottom w:val="single" w:color="auto" w:sz="4" w:space="1"/>
          <w:right w:val="single" w:color="auto" w:sz="4" w:space="4"/>
        </w:pBdr>
      </w:pPr>
      <w:r>
        <w:rPr>
          <w:rFonts w:hint="eastAsia"/>
          <w:b/>
          <w:bCs/>
          <w:sz w:val="24"/>
          <w:szCs w:val="24"/>
          <w:lang w:val="en-US" w:bidi="ar-SA"/>
        </w:rPr>
        <w:t xml:space="preserve">项目概况</w:t>
      </w:r>
      <w:r/>
    </w:p>
    <w:p>
      <w:pPr>
        <w:ind w:firstLine="480"/>
        <w:spacing w:line="360" w:lineRule="auto"/>
        <w:rPr>
          <w:sz w:val="24"/>
          <w:szCs w:val="24"/>
          <w:lang w:val="en-US" w:bidi="ar-SA"/>
        </w:rPr>
        <w:pBdr>
          <w:top w:val="single" w:color="auto" w:sz="4" w:space="1"/>
          <w:left w:val="single" w:color="auto" w:sz="4" w:space="4"/>
          <w:bottom w:val="single" w:color="auto" w:sz="4" w:space="1"/>
          <w:right w:val="single" w:color="auto" w:sz="4" w:space="4"/>
        </w:pBdr>
      </w:pPr>
      <w:r>
        <w:rPr>
          <w:rFonts w:hint="eastAsia"/>
          <w:sz w:val="24"/>
          <w:szCs w:val="24"/>
          <w:u w:val="single"/>
          <w:lang w:val="en-US" w:bidi="ar-SA"/>
        </w:rPr>
        <w:t xml:space="preserve">江苏开放大学（江苏城市职业学院）桥林校区医务室托管服务项目</w:t>
      </w:r>
      <w:r>
        <w:rPr>
          <w:rFonts w:hint="eastAsia"/>
          <w:sz w:val="24"/>
          <w:szCs w:val="24"/>
          <w:lang w:val="en-US" w:bidi="ar-SA"/>
        </w:rPr>
        <w:t xml:space="preserve">的潜在供应商应在</w:t>
      </w:r>
      <w:r>
        <w:rPr>
          <w:rFonts w:hint="eastAsia"/>
          <w:sz w:val="24"/>
          <w:szCs w:val="24"/>
          <w:u w:val="single"/>
          <w:lang w:val="en-US" w:bidi="ar-SA"/>
        </w:rPr>
        <w:t xml:space="preserve">南京市中山路99号12楼1212室</w:t>
      </w:r>
      <w:r>
        <w:rPr>
          <w:rFonts w:hint="eastAsia"/>
          <w:sz w:val="24"/>
          <w:szCs w:val="24"/>
          <w:lang w:val="en-US" w:bidi="ar-SA"/>
        </w:rPr>
        <w:t xml:space="preserve">获取招标文件，并于</w:t>
      </w:r>
      <w:r>
        <w:rPr>
          <w:rFonts w:hint="eastAsia"/>
          <w:sz w:val="24"/>
          <w:szCs w:val="24"/>
          <w:u w:val="single"/>
          <w:lang w:val="en-US" w:bidi="ar-SA"/>
        </w:rPr>
        <w:t xml:space="preserve">20</w:t>
      </w:r>
      <w:r>
        <w:rPr>
          <w:sz w:val="24"/>
          <w:szCs w:val="24"/>
          <w:u w:val="single"/>
          <w:lang w:val="en-US" w:bidi="ar-SA"/>
        </w:rPr>
        <w:t xml:space="preserve">26</w:t>
      </w:r>
      <w:r>
        <w:rPr>
          <w:rFonts w:hint="eastAsia"/>
          <w:sz w:val="24"/>
          <w:szCs w:val="24"/>
          <w:u w:val="single"/>
          <w:lang w:val="en-US" w:bidi="ar-SA"/>
        </w:rPr>
        <w:t xml:space="preserve">年</w:t>
      </w:r>
      <w:r>
        <w:rPr>
          <w:rFonts w:hint="eastAsia"/>
          <w:sz w:val="24"/>
          <w:szCs w:val="24"/>
          <w:u w:val="single"/>
          <w:lang w:val="en-US" w:eastAsia="zh-CN" w:bidi="ar-SA"/>
        </w:rPr>
        <w:t xml:space="preserve">4</w:t>
      </w:r>
      <w:r>
        <w:rPr>
          <w:rFonts w:hint="eastAsia"/>
          <w:sz w:val="24"/>
          <w:szCs w:val="24"/>
          <w:u w:val="single"/>
          <w:lang w:val="en-US" w:bidi="ar-SA"/>
        </w:rPr>
        <w:t xml:space="preserve">月14日</w:t>
      </w:r>
      <w:r>
        <w:rPr>
          <w:rFonts w:hint="eastAsia"/>
          <w:sz w:val="24"/>
          <w:szCs w:val="24"/>
          <w:u w:val="single"/>
          <w:lang w:val="en-US" w:eastAsia="zh-CN" w:bidi="ar-SA"/>
        </w:rPr>
        <w:t xml:space="preserve">14</w:t>
      </w:r>
      <w:r>
        <w:rPr>
          <w:rFonts w:hint="eastAsia"/>
          <w:sz w:val="24"/>
          <w:szCs w:val="24"/>
          <w:u w:val="single"/>
          <w:lang w:val="en-US" w:bidi="ar-SA"/>
        </w:rPr>
        <w:t xml:space="preserve">点30分</w:t>
      </w:r>
      <w:r>
        <w:rPr>
          <w:rFonts w:hint="eastAsia"/>
          <w:bCs/>
          <w:sz w:val="24"/>
          <w:szCs w:val="24"/>
          <w:lang w:val="en-US" w:bidi="ar-SA"/>
        </w:rPr>
        <w:t xml:space="preserve">（北京时间）前递交投标文件</w:t>
      </w:r>
      <w:r>
        <w:rPr>
          <w:rFonts w:hint="eastAsia"/>
          <w:sz w:val="24"/>
          <w:szCs w:val="24"/>
          <w:lang w:val="en-US" w:bidi="ar-SA"/>
        </w:rPr>
        <w:t xml:space="preserve">。</w:t>
      </w:r>
      <w:r/>
    </w:p>
    <w:p>
      <w:pPr>
        <w:ind w:firstLine="482"/>
        <w:spacing w:line="360" w:lineRule="auto"/>
        <w:rPr>
          <w:sz w:val="24"/>
          <w:szCs w:val="24"/>
        </w:rPr>
      </w:pPr>
      <w:r>
        <w:rPr>
          <w:rFonts w:hint="eastAsia"/>
          <w:b/>
          <w:bCs/>
          <w:sz w:val="24"/>
          <w:szCs w:val="24"/>
        </w:rPr>
        <w:t xml:space="preserve">一、项目基本情况</w:t>
      </w:r>
      <w:r/>
    </w:p>
    <w:p>
      <w:pPr>
        <w:ind w:firstLine="480"/>
        <w:spacing w:line="360" w:lineRule="auto"/>
        <w:rPr>
          <w:rFonts w:hint="eastAsia" w:eastAsia="宋体"/>
          <w:sz w:val="24"/>
          <w:szCs w:val="24"/>
          <w:lang w:eastAsia="zh-CN"/>
        </w:rPr>
      </w:pPr>
      <w:r>
        <w:rPr>
          <w:rFonts w:hint="eastAsia"/>
          <w:sz w:val="24"/>
          <w:szCs w:val="24"/>
        </w:rPr>
        <w:t xml:space="preserve">项目编号：</w:t>
      </w:r>
      <w:r>
        <w:rPr>
          <w:rFonts w:hint="eastAsia"/>
          <w:sz w:val="24"/>
          <w:szCs w:val="24"/>
          <w:lang w:val="en-US" w:eastAsia="zh-CN"/>
        </w:rPr>
        <w:t xml:space="preserve">JSZC-320000-SNZX-G2026-0032</w:t>
      </w:r>
      <w:r/>
    </w:p>
    <w:p>
      <w:pPr>
        <w:ind w:firstLine="480"/>
        <w:spacing w:line="360" w:lineRule="auto"/>
        <w:rPr>
          <w:sz w:val="24"/>
          <w:szCs w:val="24"/>
        </w:rPr>
      </w:pPr>
      <w:r>
        <w:rPr>
          <w:rFonts w:hint="eastAsia"/>
          <w:sz w:val="24"/>
          <w:szCs w:val="24"/>
        </w:rPr>
        <w:t xml:space="preserve">项目名称：江苏开放大学（江苏城市职业学院）桥林校区医务室托管服务项目</w:t>
      </w:r>
      <w:r>
        <w:rPr>
          <w:rFonts w:hint="eastAsia"/>
          <w:sz w:val="24"/>
          <w:szCs w:val="24"/>
          <w:lang w:val="en-US"/>
        </w:rPr>
        <w:t xml:space="preserve"> </w:t>
      </w:r>
      <w:r/>
    </w:p>
    <w:p>
      <w:pPr>
        <w:ind w:firstLine="480"/>
        <w:spacing w:line="360" w:lineRule="auto"/>
        <w:rPr>
          <w:sz w:val="24"/>
          <w:szCs w:val="24"/>
        </w:rPr>
      </w:pPr>
      <w:r>
        <w:rPr>
          <w:rFonts w:hint="eastAsia"/>
          <w:sz w:val="24"/>
          <w:szCs w:val="24"/>
        </w:rPr>
        <w:t xml:space="preserve">采购方式：公开招标</w:t>
      </w:r>
      <w:r/>
    </w:p>
    <w:p>
      <w:pPr>
        <w:ind w:firstLine="480"/>
        <w:spacing w:line="360" w:lineRule="auto"/>
        <w:rPr>
          <w:sz w:val="24"/>
          <w:szCs w:val="24"/>
          <w:lang w:val="en-US"/>
        </w:rPr>
      </w:pPr>
      <w:r>
        <w:rPr>
          <w:rFonts w:hint="eastAsia"/>
          <w:sz w:val="24"/>
          <w:szCs w:val="24"/>
        </w:rPr>
        <w:t xml:space="preserve">预算金额：人民币</w:t>
      </w:r>
      <w:r>
        <w:rPr>
          <w:rFonts w:hint="eastAsia"/>
          <w:sz w:val="24"/>
          <w:szCs w:val="24"/>
          <w:lang w:val="en-US"/>
        </w:rPr>
        <w:t xml:space="preserve">160</w:t>
      </w:r>
      <w:r>
        <w:rPr>
          <w:rFonts w:hint="eastAsia"/>
          <w:sz w:val="24"/>
          <w:szCs w:val="24"/>
        </w:rPr>
        <w:t xml:space="preserve">万元</w:t>
      </w:r>
      <w:r/>
    </w:p>
    <w:p>
      <w:pPr>
        <w:ind w:firstLine="480"/>
        <w:spacing w:line="360" w:lineRule="auto"/>
        <w:rPr>
          <w:sz w:val="24"/>
          <w:szCs w:val="24"/>
          <w:lang w:val="en-US"/>
        </w:rPr>
      </w:pPr>
      <w:r>
        <w:rPr>
          <w:rFonts w:hint="eastAsia"/>
          <w:sz w:val="24"/>
          <w:szCs w:val="24"/>
        </w:rPr>
        <w:t xml:space="preserve">最高限价：80万元/年。</w:t>
      </w:r>
      <w:r>
        <w:rPr>
          <w:rFonts w:hint="eastAsia"/>
          <w:sz w:val="24"/>
          <w:szCs w:val="24"/>
          <w:lang w:val="en-US"/>
        </w:rPr>
        <w:t xml:space="preserve">   </w:t>
      </w:r>
      <w:r/>
    </w:p>
    <w:p>
      <w:pPr>
        <w:ind w:firstLine="480"/>
        <w:spacing w:line="360" w:lineRule="auto"/>
        <w:rPr>
          <w:sz w:val="24"/>
          <w:szCs w:val="24"/>
        </w:rPr>
      </w:pPr>
      <w:r>
        <w:rPr>
          <w:rFonts w:hint="eastAsia"/>
          <w:sz w:val="24"/>
          <w:szCs w:val="24"/>
        </w:rPr>
        <w:t xml:space="preserve">采购需求：江苏开放大学（江苏城市职业学院）桥林校区医务室托管服务项目，详见招标文件第四章。</w:t>
      </w:r>
      <w:r/>
    </w:p>
    <w:p>
      <w:pPr>
        <w:pStyle w:val="784"/>
        <w:ind w:firstLine="480"/>
        <w:spacing w:line="360" w:lineRule="auto"/>
        <w:rPr>
          <w:sz w:val="24"/>
          <w:szCs w:val="24"/>
        </w:rPr>
      </w:pPr>
      <w:r>
        <w:rPr>
          <w:rFonts w:hint="eastAsia"/>
          <w:sz w:val="24"/>
          <w:szCs w:val="24"/>
        </w:rPr>
        <w:t xml:space="preserve">合同履行期限:本项目服务期为</w:t>
      </w:r>
      <w:r>
        <w:rPr>
          <w:rFonts w:hint="eastAsia"/>
          <w:sz w:val="24"/>
          <w:szCs w:val="24"/>
          <w:lang w:val="en-US"/>
        </w:rPr>
        <w:t xml:space="preserve">两</w:t>
      </w:r>
      <w:r>
        <w:rPr>
          <w:rFonts w:hint="eastAsia"/>
          <w:sz w:val="24"/>
          <w:szCs w:val="24"/>
        </w:rPr>
        <w:t xml:space="preserve">年。</w:t>
      </w:r>
      <w:r/>
    </w:p>
    <w:p>
      <w:pPr>
        <w:ind w:firstLine="480"/>
        <w:spacing w:line="360" w:lineRule="auto"/>
        <w:rPr>
          <w:sz w:val="24"/>
          <w:szCs w:val="24"/>
        </w:rPr>
      </w:pPr>
      <w:r>
        <w:rPr>
          <w:rFonts w:hint="eastAsia"/>
          <w:sz w:val="24"/>
          <w:szCs w:val="24"/>
        </w:rPr>
        <w:t xml:space="preserve">本项目</w:t>
      </w:r>
      <w:r>
        <w:rPr>
          <w:rFonts w:hint="eastAsia"/>
          <w:b/>
          <w:bCs/>
          <w:sz w:val="24"/>
          <w:szCs w:val="24"/>
        </w:rPr>
        <w:t xml:space="preserve">不接受</w:t>
      </w:r>
      <w:r>
        <w:rPr>
          <w:rFonts w:hint="eastAsia"/>
          <w:sz w:val="24"/>
          <w:szCs w:val="24"/>
        </w:rPr>
        <w:t xml:space="preserve">联合体投标。</w:t>
      </w:r>
      <w:r/>
    </w:p>
    <w:p>
      <w:pPr>
        <w:contextualSpacing/>
        <w:ind w:firstLine="482"/>
        <w:spacing w:line="360" w:lineRule="auto"/>
        <w:rPr>
          <w:b/>
          <w:bCs/>
          <w:sz w:val="24"/>
          <w:szCs w:val="24"/>
        </w:rPr>
      </w:pPr>
      <w:r/>
      <w:bookmarkStart w:id="1" w:name="二、申请人的资格要求："/>
      <w:r/>
      <w:bookmarkEnd w:id="1"/>
      <w:r>
        <w:rPr>
          <w:rFonts w:hint="eastAsia"/>
          <w:b/>
          <w:bCs/>
          <w:sz w:val="24"/>
          <w:szCs w:val="24"/>
        </w:rPr>
        <w:t xml:space="preserve">二、申请人的资格要求：</w:t>
      </w:r>
      <w:r/>
    </w:p>
    <w:p>
      <w:pPr>
        <w:pStyle w:val="961"/>
        <w:contextualSpacing/>
        <w:ind w:left="0" w:firstLine="480"/>
        <w:spacing w:line="360" w:lineRule="auto"/>
        <w:tabs>
          <w:tab w:val="left" w:pos="1061" w:leader="none"/>
        </w:tabs>
        <w:rPr>
          <w:sz w:val="24"/>
          <w:szCs w:val="24"/>
        </w:rPr>
      </w:pPr>
      <w:r>
        <w:rPr>
          <w:rFonts w:hint="eastAsia"/>
          <w:sz w:val="24"/>
          <w:szCs w:val="24"/>
        </w:rPr>
        <w:t xml:space="preserve">（一）满足《中华人民共和国政府采购法》第二十二条规定：</w:t>
      </w:r>
      <w:r/>
    </w:p>
    <w:p>
      <w:pPr>
        <w:pStyle w:val="961"/>
        <w:contextualSpacing/>
        <w:ind w:firstLine="480"/>
        <w:spacing w:line="360" w:lineRule="auto"/>
        <w:tabs>
          <w:tab w:val="left" w:pos="1061" w:leader="none"/>
        </w:tabs>
        <w:rPr>
          <w:sz w:val="24"/>
          <w:szCs w:val="24"/>
        </w:rPr>
      </w:pPr>
      <w:r>
        <w:rPr>
          <w:rFonts w:hint="eastAsia"/>
          <w:sz w:val="24"/>
          <w:szCs w:val="24"/>
        </w:rPr>
        <w:t xml:space="preserve">（1）具有独立承担民事责任的能力（提供法人或者其他组织的营业执照等证明材料，自然人的身份证明）。</w:t>
      </w:r>
      <w:r/>
    </w:p>
    <w:p>
      <w:pPr>
        <w:pStyle w:val="961"/>
        <w:contextualSpacing/>
        <w:ind w:firstLine="480"/>
        <w:spacing w:line="360" w:lineRule="auto"/>
        <w:tabs>
          <w:tab w:val="left" w:pos="1061" w:leader="none"/>
        </w:tabs>
        <w:rPr>
          <w:color w:val="000000" w:themeColor="text1"/>
          <w:sz w:val="24"/>
          <w:szCs w:val="24"/>
          <w14:textFill>
            <w14:solidFill>
              <w14:schemeClr w14:val="tx1"/>
            </w14:solidFill>
          </w14:textFill>
        </w:rPr>
      </w:pPr>
      <w:r>
        <w:rPr>
          <w:rFonts w:hint="eastAsia"/>
          <w:sz w:val="24"/>
          <w:szCs w:val="24"/>
        </w:rPr>
        <w:t xml:space="preserve">（2）具有</w:t>
      </w:r>
      <w:r>
        <w:rPr>
          <w:rFonts w:hint="eastAsia"/>
          <w:color w:val="000000" w:themeColor="text1"/>
          <w:sz w:val="24"/>
          <w:szCs w:val="24"/>
          <w14:textFill>
            <w14:solidFill>
              <w14:schemeClr w14:val="tx1"/>
            </w14:solidFill>
          </w14:textFill>
        </w:rPr>
        <w:t xml:space="preserve">良好的商业信誉和健全的财务会计制度（提供2024年度或者2</w:t>
      </w:r>
      <w:r>
        <w:rPr>
          <w:color w:val="000000" w:themeColor="text1"/>
          <w:sz w:val="24"/>
          <w:szCs w:val="24"/>
          <w14:textFill>
            <w14:solidFill>
              <w14:schemeClr w14:val="tx1"/>
            </w14:solidFill>
          </w14:textFill>
        </w:rPr>
        <w:t xml:space="preserve">025</w:t>
      </w:r>
      <w:r>
        <w:rPr>
          <w:rFonts w:hint="eastAsia"/>
          <w:color w:val="000000" w:themeColor="text1"/>
          <w:sz w:val="24"/>
          <w:szCs w:val="24"/>
          <w14:textFill>
            <w14:solidFill>
              <w14:schemeClr w14:val="tx1"/>
            </w14:solidFill>
          </w14:textFill>
        </w:rPr>
        <w:t xml:space="preserve">年度审计报告，或2025年任意一个月的资产负债表和利润表，或银行出具的资信证明，新成立不满一年的供应商不提供）。</w:t>
      </w:r>
      <w:r/>
    </w:p>
    <w:p>
      <w:pPr>
        <w:pStyle w:val="961"/>
        <w:contextualSpacing/>
        <w:ind w:firstLine="480"/>
        <w:spacing w:line="360" w:lineRule="auto"/>
        <w:tabs>
          <w:tab w:val="left" w:pos="1061"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（3）具有履行合同所必需的设备和专业技术能力（提供相关证明材料复印件加盖公章或书面声明的原件）。</w:t>
      </w:r>
      <w:r/>
    </w:p>
    <w:p>
      <w:pPr>
        <w:pStyle w:val="961"/>
        <w:contextualSpacing/>
        <w:ind w:firstLine="480"/>
        <w:spacing w:line="360" w:lineRule="auto"/>
        <w:tabs>
          <w:tab w:val="left" w:pos="1061" w:leader="none"/>
        </w:tabs>
        <w:rPr>
          <w:sz w:val="24"/>
          <w:szCs w:val="24"/>
        </w:rPr>
      </w:pPr>
      <w:r>
        <w:rPr>
          <w:rFonts w:hint="eastAsia"/>
          <w:color w:val="000000" w:themeColor="text1"/>
          <w:sz w:val="24"/>
          <w:szCs w:val="24"/>
          <w14:textFill>
            <w14:solidFill>
              <w14:schemeClr w14:val="tx1"/>
            </w14:solidFill>
          </w14:textFill>
        </w:rPr>
        <w:t xml:space="preserve">（4）有依法缴纳税收和社会保障资金的良好记录（提供参加本次政府采购活动前半年内（至少一个月）依法缴纳税收和社会保障资</w:t>
      </w:r>
      <w:r>
        <w:rPr>
          <w:rFonts w:hint="eastAsia"/>
          <w:sz w:val="24"/>
          <w:szCs w:val="24"/>
        </w:rPr>
        <w:t xml:space="preserve">金的相关资料，复印件加盖公章）。</w:t>
      </w:r>
      <w:r/>
    </w:p>
    <w:p>
      <w:pPr>
        <w:pStyle w:val="961"/>
        <w:contextualSpacing/>
        <w:ind w:firstLine="480"/>
        <w:spacing w:line="360" w:lineRule="auto"/>
        <w:tabs>
          <w:tab w:val="left" w:pos="1061" w:leader="none"/>
        </w:tabs>
        <w:rPr>
          <w:sz w:val="24"/>
          <w:szCs w:val="24"/>
        </w:rPr>
      </w:pPr>
      <w:r>
        <w:rPr>
          <w:rFonts w:hint="eastAsia"/>
          <w:sz w:val="24"/>
          <w:szCs w:val="24"/>
        </w:rPr>
        <w:t xml:space="preserve">（5）参加政府采购活动前三年内，在经营活动中没有重大违法记录（提供参加本次政府采购活动前3年内在经营活动中没有重大违法记录的书面声明的原件）。</w:t>
      </w:r>
      <w:r/>
    </w:p>
    <w:p>
      <w:pPr>
        <w:pStyle w:val="961"/>
        <w:contextualSpacing/>
        <w:ind w:firstLine="480"/>
        <w:spacing w:line="360" w:lineRule="auto"/>
        <w:tabs>
          <w:tab w:val="left" w:pos="1061" w:leader="none"/>
        </w:tabs>
        <w:rPr>
          <w:sz w:val="24"/>
          <w:szCs w:val="24"/>
        </w:rPr>
      </w:pPr>
      <w:r>
        <w:rPr>
          <w:rFonts w:hint="eastAsia"/>
          <w:sz w:val="24"/>
          <w:szCs w:val="24"/>
        </w:rPr>
        <w:t xml:space="preserve">（6）法律、行政法规规定的其他条件。</w:t>
      </w:r>
      <w:r/>
    </w:p>
    <w:p>
      <w:pPr>
        <w:pStyle w:val="961"/>
        <w:contextualSpacing/>
        <w:ind w:left="0" w:firstLine="480"/>
        <w:spacing w:line="360" w:lineRule="auto"/>
        <w:tabs>
          <w:tab w:val="left" w:pos="1061" w:leader="none"/>
        </w:tabs>
        <w:rPr>
          <w:sz w:val="24"/>
          <w:szCs w:val="24"/>
        </w:rPr>
      </w:pPr>
      <w:r>
        <w:rPr>
          <w:rFonts w:hint="eastAsia"/>
          <w:sz w:val="24"/>
          <w:szCs w:val="24"/>
        </w:rPr>
        <w:t xml:space="preserve">（二）落实政府采购政策需满足的资格要求：</w:t>
      </w:r>
      <w:r>
        <w:t xml:space="preserve">/</w:t>
      </w:r>
      <w:r/>
    </w:p>
    <w:p>
      <w:pPr>
        <w:pStyle w:val="961"/>
        <w:ind w:left="0" w:firstLine="480"/>
        <w:spacing w:line="360" w:lineRule="auto"/>
        <w:tabs>
          <w:tab w:val="left" w:pos="1061"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（三）本项目的特定资格要求：</w:t>
      </w:r>
      <w:bookmarkStart w:id="2" w:name="三、获取招标文件"/>
      <w:r/>
      <w:bookmarkEnd w:id="2"/>
      <w:r/>
      <w:r/>
    </w:p>
    <w:p>
      <w:pPr>
        <w:pStyle w:val="961"/>
        <w:ind w:left="0" w:firstLine="480"/>
        <w:spacing w:line="360" w:lineRule="auto"/>
        <w:tabs>
          <w:tab w:val="left" w:pos="1061"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供应商须为一级及以上医疗机构（提供医疗机构执业许可证、医院等级证明材料复印件加盖公章）。</w:t>
      </w:r>
      <w:r/>
    </w:p>
    <w:p>
      <w:pPr>
        <w:pStyle w:val="961"/>
        <w:ind w:left="0" w:firstLine="482"/>
        <w:spacing w:line="360" w:lineRule="auto"/>
        <w:tabs>
          <w:tab w:val="left" w:pos="1061" w:leader="none"/>
        </w:tabs>
        <w:rPr>
          <w:b/>
          <w:bCs/>
          <w:sz w:val="24"/>
          <w:szCs w:val="24"/>
        </w:rPr>
      </w:pPr>
      <w:r>
        <w:rPr>
          <w:rFonts w:hint="eastAsia"/>
          <w:b/>
          <w:bCs/>
          <w:sz w:val="24"/>
          <w:szCs w:val="24"/>
        </w:rPr>
        <w:t xml:space="preserve">三、获取招标文件</w:t>
      </w:r>
      <w:r/>
    </w:p>
    <w:p>
      <w:pPr>
        <w:ind w:firstLine="482"/>
        <w:spacing w:line="360" w:lineRule="auto"/>
        <w:rPr>
          <w:rFonts w:asciiTheme="minorEastAsia" w:hAnsiTheme="minorEastAsia" w:eastAsiaTheme="minorEastAsia"/>
          <w:sz w:val="24"/>
          <w:szCs w:val="24"/>
        </w:rPr>
      </w:pPr>
      <w:r/>
      <w:bookmarkStart w:id="3" w:name="四、提交投标文件截止时间、开标时间和地点"/>
      <w:r/>
      <w:bookmarkEnd w:id="3"/>
      <w:r>
        <w:rPr>
          <w:rFonts w:hint="eastAsia" w:asciiTheme="minorEastAsia" w:hAnsiTheme="minorEastAsia" w:eastAsiaTheme="minorEastAsia"/>
          <w:sz w:val="24"/>
          <w:szCs w:val="24"/>
        </w:rPr>
        <w:t xml:space="preserve">时间：</w:t>
      </w:r>
      <w:r>
        <w:rPr>
          <w:rFonts w:asciiTheme="minorEastAsia" w:hAnsiTheme="minorEastAsia" w:eastAsiaTheme="minorEastAsia"/>
          <w:sz w:val="24"/>
          <w:szCs w:val="24"/>
        </w:rPr>
        <w:t xml:space="preserve">2026年</w:t>
      </w:r>
      <w:r>
        <w:rPr>
          <w:rFonts w:hint="eastAsia" w:asciiTheme="minorEastAsia" w:hAnsiTheme="minorEastAsia" w:eastAsiaTheme="minorEastAsia"/>
          <w:sz w:val="24"/>
          <w:szCs w:val="24"/>
          <w:lang w:val="en-US" w:eastAsia="zh-CN"/>
        </w:rPr>
        <w:t xml:space="preserve">3</w:t>
      </w:r>
      <w:r>
        <w:rPr>
          <w:rFonts w:asciiTheme="minorEastAsia" w:hAnsiTheme="minorEastAsia" w:eastAsiaTheme="minorEastAsia"/>
          <w:sz w:val="24"/>
          <w:szCs w:val="24"/>
        </w:rPr>
        <w:t xml:space="preserve">月</w:t>
      </w:r>
      <w:r>
        <w:rPr>
          <w:rFonts w:hint="eastAsia" w:asciiTheme="minorEastAsia" w:hAnsiTheme="minorEastAsia" w:eastAsiaTheme="minorEastAsia"/>
          <w:sz w:val="24"/>
          <w:szCs w:val="24"/>
          <w:lang w:val="en-US" w:eastAsia="zh-CN"/>
        </w:rPr>
        <w:t xml:space="preserve">25</w:t>
      </w:r>
      <w:r>
        <w:rPr>
          <w:rFonts w:asciiTheme="minorEastAsia" w:hAnsiTheme="minorEastAsia" w:eastAsiaTheme="minorEastAsia"/>
          <w:sz w:val="24"/>
          <w:szCs w:val="24"/>
        </w:rPr>
        <w:t xml:space="preserve">日上午9：00至2026年</w:t>
      </w:r>
      <w:r>
        <w:rPr>
          <w:rFonts w:hint="eastAsia" w:asciiTheme="minorEastAsia" w:hAnsiTheme="minorEastAsia" w:eastAsiaTheme="minorEastAsia"/>
          <w:sz w:val="24"/>
          <w:szCs w:val="24"/>
          <w:lang w:val="en-US" w:eastAsia="zh-CN"/>
        </w:rPr>
        <w:t xml:space="preserve">3</w:t>
      </w:r>
      <w:r>
        <w:rPr>
          <w:rFonts w:asciiTheme="minorEastAsia" w:hAnsiTheme="minorEastAsia" w:eastAsiaTheme="minorEastAsia"/>
          <w:sz w:val="24"/>
          <w:szCs w:val="24"/>
        </w:rPr>
        <w:t xml:space="preserve">月</w:t>
      </w:r>
      <w:r>
        <w:rPr>
          <w:rFonts w:hint="eastAsia" w:asciiTheme="minorEastAsia" w:hAnsiTheme="minorEastAsia" w:eastAsiaTheme="minorEastAsia"/>
          <w:sz w:val="24"/>
          <w:szCs w:val="24"/>
          <w:lang w:val="en-US" w:eastAsia="zh-CN"/>
        </w:rPr>
        <w:t xml:space="preserve">31</w:t>
      </w:r>
      <w:r>
        <w:rPr>
          <w:rFonts w:asciiTheme="minorEastAsia" w:hAnsiTheme="minorEastAsia" w:eastAsiaTheme="minorEastAsia"/>
          <w:sz w:val="24"/>
          <w:szCs w:val="24"/>
        </w:rPr>
        <w:t xml:space="preserve">日下午17：00（北京时间，法定节假日除外）获取方式：</w:t>
      </w:r>
      <w:r/>
    </w:p>
    <w:p>
      <w:pPr>
        <w:ind w:firstLine="48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1）线上支付：获取网址为：</w:t>
      </w:r>
      <w:r>
        <w:rPr>
          <w:rFonts w:hint="eastAsia" w:asciiTheme="minorEastAsia" w:hAnsiTheme="minorEastAsia" w:eastAsiaTheme="minorEastAsia"/>
          <w:sz w:val="24"/>
          <w:szCs w:val="24"/>
        </w:rPr>
        <w:t xml:space="preserve">https://njsnzx.cn/#/detail?id=2892</w:t>
      </w:r>
      <w:bookmarkStart w:id="31" w:name="_GoBack"/>
      <w:r/>
      <w:bookmarkEnd w:id="31"/>
      <w:r>
        <w:rPr>
          <w:rFonts w:asciiTheme="minorEastAsia" w:hAnsiTheme="minorEastAsia" w:eastAsiaTheme="minorEastAsia"/>
          <w:sz w:val="24"/>
          <w:szCs w:val="24"/>
        </w:rPr>
        <w:t xml:space="preserve">；凡有意参加者，请于上述时间内登录网址（免费注册）根据平台提示完成招标（采购）文件线上支付事宜。获取者应充分考虑所需时间，获取招标（采购）文件时间截止后不再接受提交的支付购买。平台提交为一次性工作请确认信息后再提交，若有需要查询支付状态可用注册手机号登录网址：https://njsnzx.cn/查询。支付状态成功后，与采购代理机构联系至南京市鼓楼区中山路99号12楼1212室领取纸质盖章版招标（采购）文件，电子版招标（采</w:t>
      </w:r>
      <w:r>
        <w:rPr>
          <w:rFonts w:hint="eastAsia" w:asciiTheme="minorEastAsia" w:hAnsiTheme="minorEastAsia" w:eastAsiaTheme="minorEastAsia"/>
          <w:sz w:val="24"/>
          <w:szCs w:val="24"/>
        </w:rPr>
        <w:t xml:space="preserve">购）文件可在平台获取（电子版招标（采购）文件与纸质盖章版招标文件具有同等法律效力）。</w:t>
      </w:r>
      <w:r/>
    </w:p>
    <w:p>
      <w:pPr>
        <w:ind w:firstLine="48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2）未按照上述要求合法获取招标（采购）文件的，招标（采购）人将不予受理其投标（响应）。</w:t>
      </w:r>
      <w:r/>
    </w:p>
    <w:p>
      <w:pPr>
        <w:ind w:firstLine="48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3）售价：￥500元，本公告包含的招标文件售价总和。</w:t>
      </w:r>
      <w:r/>
    </w:p>
    <w:p>
      <w:pPr>
        <w:ind w:firstLine="482"/>
        <w:spacing w:line="360" w:lineRule="auto"/>
        <w:rPr>
          <w:b/>
          <w:bCs/>
          <w:sz w:val="24"/>
          <w:szCs w:val="24"/>
        </w:rPr>
      </w:pPr>
      <w:r>
        <w:rPr>
          <w:rFonts w:hint="eastAsia"/>
          <w:b/>
          <w:bCs/>
          <w:sz w:val="24"/>
          <w:szCs w:val="24"/>
        </w:rPr>
        <w:t xml:space="preserve">四、提交投标文件截止时间、开标时间和地点</w:t>
      </w:r>
      <w:r/>
    </w:p>
    <w:p>
      <w:pPr>
        <w:ind w:firstLine="480"/>
        <w:spacing w:line="360" w:lineRule="auto"/>
        <w:rPr>
          <w:sz w:val="24"/>
          <w:szCs w:val="24"/>
        </w:rPr>
      </w:pPr>
      <w:r>
        <w:rPr>
          <w:rFonts w:hint="eastAsia"/>
          <w:sz w:val="24"/>
          <w:szCs w:val="24"/>
        </w:rPr>
        <w:t xml:space="preserve">时间：</w:t>
      </w:r>
      <w:r>
        <w:rPr>
          <w:rFonts w:hint="eastAsia"/>
          <w:sz w:val="24"/>
          <w:szCs w:val="24"/>
          <w:u w:val="single"/>
        </w:rPr>
        <w:t xml:space="preserve">20</w:t>
      </w:r>
      <w:r>
        <w:rPr>
          <w:sz w:val="24"/>
          <w:szCs w:val="24"/>
          <w:u w:val="single"/>
        </w:rPr>
        <w:t xml:space="preserve">26</w:t>
      </w:r>
      <w:r>
        <w:rPr>
          <w:rFonts w:hint="eastAsia"/>
          <w:sz w:val="24"/>
          <w:szCs w:val="24"/>
          <w:u w:val="single"/>
        </w:rPr>
        <w:t xml:space="preserve">年</w:t>
      </w:r>
      <w:r>
        <w:rPr>
          <w:rFonts w:hint="eastAsia"/>
          <w:sz w:val="24"/>
          <w:szCs w:val="24"/>
          <w:u w:val="single"/>
          <w:lang w:val="en-US" w:eastAsia="zh-CN"/>
        </w:rPr>
        <w:t xml:space="preserve">4</w:t>
      </w:r>
      <w:r>
        <w:rPr>
          <w:rFonts w:hint="eastAsia"/>
          <w:sz w:val="24"/>
          <w:szCs w:val="24"/>
          <w:u w:val="single"/>
        </w:rPr>
        <w:t xml:space="preserve">月</w:t>
      </w:r>
      <w:r>
        <w:rPr>
          <w:rFonts w:hint="eastAsia"/>
          <w:sz w:val="24"/>
          <w:szCs w:val="24"/>
          <w:u w:val="single"/>
          <w:lang w:val="en-US" w:eastAsia="zh-CN"/>
        </w:rPr>
        <w:t xml:space="preserve">14</w:t>
      </w:r>
      <w:r>
        <w:rPr>
          <w:rFonts w:hint="eastAsia"/>
          <w:sz w:val="24"/>
          <w:szCs w:val="24"/>
          <w:u w:val="single"/>
        </w:rPr>
        <w:t xml:space="preserve">日</w:t>
      </w:r>
      <w:r>
        <w:rPr>
          <w:rFonts w:hint="eastAsia"/>
          <w:sz w:val="24"/>
          <w:szCs w:val="24"/>
          <w:u w:val="single"/>
          <w:lang w:val="en-US" w:eastAsia="zh-CN"/>
        </w:rPr>
        <w:t xml:space="preserve">14</w:t>
      </w:r>
      <w:r>
        <w:rPr>
          <w:rFonts w:hint="eastAsia"/>
          <w:sz w:val="24"/>
          <w:szCs w:val="24"/>
          <w:u w:val="single"/>
        </w:rPr>
        <w:t xml:space="preserve">点</w:t>
      </w:r>
      <w:r>
        <w:rPr>
          <w:rFonts w:hint="eastAsia"/>
          <w:sz w:val="24"/>
          <w:szCs w:val="24"/>
          <w:u w:val="single"/>
          <w:lang w:val="en-US"/>
        </w:rPr>
        <w:t xml:space="preserve">30</w:t>
      </w:r>
      <w:r>
        <w:rPr>
          <w:rFonts w:hint="eastAsia"/>
          <w:sz w:val="24"/>
          <w:szCs w:val="24"/>
          <w:u w:val="single"/>
        </w:rPr>
        <w:t xml:space="preserve">分</w:t>
      </w:r>
      <w:r>
        <w:rPr>
          <w:rFonts w:hint="eastAsia"/>
          <w:sz w:val="24"/>
          <w:szCs w:val="24"/>
        </w:rPr>
        <w:t xml:space="preserve">（北京时间）</w:t>
      </w:r>
      <w:r/>
    </w:p>
    <w:p>
      <w:pPr>
        <w:ind w:firstLine="480"/>
        <w:spacing w:line="360" w:lineRule="auto"/>
        <w:rPr>
          <w:sz w:val="24"/>
          <w:szCs w:val="24"/>
          <w:lang w:val="en-US"/>
        </w:rPr>
      </w:pPr>
      <w:r>
        <w:rPr>
          <w:rFonts w:hint="eastAsia"/>
          <w:sz w:val="24"/>
          <w:szCs w:val="24"/>
        </w:rPr>
        <w:t xml:space="preserve">地点：</w:t>
      </w:r>
      <w:r>
        <w:rPr>
          <w:rFonts w:hint="eastAsia"/>
          <w:sz w:val="24"/>
          <w:szCs w:val="24"/>
          <w:u w:val="single"/>
          <w:lang w:val="en-US"/>
        </w:rPr>
        <w:t xml:space="preserve">南京市中山路99号12楼1212室</w:t>
      </w:r>
      <w:r/>
    </w:p>
    <w:p>
      <w:pPr>
        <w:ind w:firstLine="482"/>
        <w:spacing w:line="360" w:lineRule="auto"/>
        <w:rPr>
          <w:b/>
          <w:bCs/>
          <w:sz w:val="24"/>
          <w:szCs w:val="24"/>
        </w:rPr>
      </w:pPr>
      <w:r>
        <w:rPr>
          <w:rFonts w:hint="eastAsia"/>
          <w:b/>
          <w:bCs/>
          <w:sz w:val="24"/>
          <w:szCs w:val="24"/>
        </w:rPr>
        <w:t xml:space="preserve">五、公告期限</w:t>
      </w:r>
      <w:r/>
    </w:p>
    <w:p>
      <w:pPr>
        <w:ind w:firstLine="480"/>
        <w:spacing w:line="360" w:lineRule="auto"/>
        <w:rPr>
          <w:sz w:val="28"/>
          <w:szCs w:val="28"/>
        </w:rPr>
      </w:pPr>
      <w:r>
        <w:rPr>
          <w:rFonts w:hint="eastAsia"/>
          <w:sz w:val="24"/>
          <w:szCs w:val="24"/>
        </w:rPr>
        <w:t xml:space="preserve">自本公告发布之日起5个工作日。</w:t>
      </w:r>
      <w:r/>
    </w:p>
    <w:p>
      <w:pPr>
        <w:ind w:firstLine="482"/>
        <w:spacing w:line="360" w:lineRule="auto"/>
        <w:rPr>
          <w:b/>
          <w:bCs/>
          <w:sz w:val="24"/>
          <w:szCs w:val="24"/>
        </w:rPr>
      </w:pPr>
      <w:r>
        <w:rPr>
          <w:rFonts w:hint="eastAsia"/>
          <w:b/>
          <w:bCs/>
          <w:sz w:val="24"/>
          <w:szCs w:val="24"/>
        </w:rPr>
        <w:t xml:space="preserve">六、其他补充事宜</w:t>
      </w:r>
      <w:r/>
    </w:p>
    <w:p>
      <w:pPr>
        <w:ind w:firstLine="480"/>
        <w:spacing w:line="360" w:lineRule="auto"/>
        <w:rPr>
          <w:sz w:val="24"/>
          <w:szCs w:val="24"/>
          <w:lang w:val="en-US"/>
        </w:rPr>
      </w:pPr>
      <w:r/>
      <w:bookmarkStart w:id="4" w:name="七、对本次招标提出询问，请按以下方式联系。"/>
      <w:r/>
      <w:bookmarkEnd w:id="4"/>
      <w:r>
        <w:rPr>
          <w:rFonts w:hint="eastAsia"/>
          <w:sz w:val="24"/>
          <w:szCs w:val="24"/>
          <w:lang w:val="en-US"/>
        </w:rPr>
        <w:t xml:space="preserve">1、拒绝下述供应商参加本次采购活动：</w:t>
      </w:r>
      <w:r/>
    </w:p>
    <w:p>
      <w:pPr>
        <w:ind w:firstLine="480"/>
        <w:spacing w:line="360" w:lineRule="auto"/>
        <w:rPr>
          <w:sz w:val="24"/>
          <w:szCs w:val="24"/>
          <w:lang w:val="en-US"/>
        </w:rPr>
      </w:pPr>
      <w:r>
        <w:rPr>
          <w:rFonts w:hint="eastAsia"/>
          <w:sz w:val="24"/>
          <w:szCs w:val="24"/>
          <w:lang w:val="en-US"/>
        </w:rPr>
        <w:t xml:space="preserve">（1）供应商单位负责人为同一人或者存在直接控股、管理关系的不同供应商，不得参加同一合同项下的采购活动。</w:t>
      </w:r>
      <w:r/>
    </w:p>
    <w:p>
      <w:pPr>
        <w:ind w:firstLine="480"/>
        <w:spacing w:line="360" w:lineRule="auto"/>
        <w:rPr>
          <w:sz w:val="24"/>
          <w:szCs w:val="24"/>
          <w:lang w:val="en-US"/>
        </w:rPr>
      </w:pPr>
      <w:r>
        <w:rPr>
          <w:rFonts w:hint="eastAsia"/>
          <w:sz w:val="24"/>
          <w:szCs w:val="24"/>
          <w:lang w:val="en-US"/>
        </w:rPr>
        <w:t xml:space="preserve">（2）凡为采购项目提供整体设计、规范编制或者项目管理、监理、检测等服务的供应商，不得再参加本项目的采购活动。</w:t>
      </w:r>
      <w:r/>
    </w:p>
    <w:p>
      <w:pPr>
        <w:ind w:firstLine="480"/>
        <w:spacing w:line="360" w:lineRule="auto"/>
        <w:rPr>
          <w:sz w:val="24"/>
          <w:szCs w:val="24"/>
          <w:lang w:val="en-US"/>
        </w:rPr>
      </w:pPr>
      <w:r>
        <w:rPr>
          <w:rFonts w:hint="eastAsia"/>
          <w:sz w:val="24"/>
          <w:szCs w:val="24"/>
          <w:lang w:val="en-US"/>
        </w:rPr>
        <w:t xml:space="preserve">（3）拒绝列入失信被执行人、重大税收违法案件当事人名单、政府采购严重违法失信行为记录名单中的供应商参加本项目的采购活动。</w:t>
      </w:r>
      <w:r/>
    </w:p>
    <w:p>
      <w:pPr>
        <w:ind w:firstLine="480"/>
        <w:spacing w:line="360" w:lineRule="auto"/>
        <w:rPr>
          <w:sz w:val="24"/>
          <w:szCs w:val="24"/>
          <w:lang w:val="en-US"/>
        </w:rPr>
      </w:pPr>
      <w:r>
        <w:rPr>
          <w:rFonts w:hint="eastAsia"/>
          <w:sz w:val="24"/>
          <w:szCs w:val="24"/>
          <w:lang w:val="en-US"/>
        </w:rPr>
        <w:t xml:space="preserve">2、集中考察或答疑：采购人不组织，供应商可自行联系采购人。</w:t>
      </w:r>
      <w:r/>
    </w:p>
    <w:p>
      <w:pPr>
        <w:ind w:firstLine="480"/>
        <w:spacing w:line="360" w:lineRule="auto"/>
        <w:rPr>
          <w:sz w:val="24"/>
          <w:szCs w:val="24"/>
          <w:lang w:val="en-US"/>
        </w:rPr>
      </w:pPr>
      <w:r>
        <w:rPr>
          <w:rFonts w:hint="eastAsia"/>
          <w:sz w:val="24"/>
          <w:szCs w:val="24"/>
          <w:lang w:val="en-US"/>
        </w:rPr>
        <w:t xml:space="preserve">3、投标文件分数：每个标段一式伍份（壹份正本、肆份副本），电子版投标文件壹份（一般应为</w:t>
      </w:r>
      <w:r>
        <w:rPr>
          <w:sz w:val="24"/>
          <w:szCs w:val="24"/>
          <w:lang w:val="en-US"/>
        </w:rPr>
        <w:t xml:space="preserve">PDF格式、U盘形式或光盘形式，随纸质正本文件一并提交）。当纸质正本文件和电子版文件不一致时，以纸质正本文件为准。电子版文件用于存档，投标供应商需承担前述不一致造成的不利后果。每份纸质文件须清楚标明“正本”或“副本”字样。一旦正本和副本不符，以正本为准。</w:t>
      </w:r>
      <w:r/>
    </w:p>
    <w:p>
      <w:pPr>
        <w:ind w:firstLine="480"/>
        <w:spacing w:line="360" w:lineRule="auto"/>
        <w:rPr>
          <w:sz w:val="24"/>
          <w:szCs w:val="24"/>
          <w:lang w:val="en-US"/>
        </w:rPr>
      </w:pPr>
      <w:r>
        <w:rPr>
          <w:rFonts w:hint="eastAsia"/>
          <w:sz w:val="24"/>
          <w:szCs w:val="24"/>
          <w:lang w:val="en-US"/>
        </w:rPr>
        <w:t xml:space="preserve">4、公告媒体</w:t>
      </w:r>
      <w:r/>
    </w:p>
    <w:p>
      <w:pPr>
        <w:ind w:firstLine="480"/>
        <w:spacing w:line="360" w:lineRule="auto"/>
        <w:rPr>
          <w:sz w:val="24"/>
          <w:szCs w:val="24"/>
          <w:lang w:val="en-US"/>
        </w:rPr>
      </w:pPr>
      <w:r>
        <w:rPr>
          <w:rFonts w:hint="eastAsia"/>
          <w:sz w:val="24"/>
          <w:szCs w:val="24"/>
          <w:lang w:val="en-US"/>
        </w:rPr>
        <w:t xml:space="preserve">（1）本招标公告在江苏政府采购网公示发布，敬请各供应商关注；</w:t>
      </w:r>
      <w:r/>
    </w:p>
    <w:p>
      <w:pPr>
        <w:pStyle w:val="784"/>
        <w:contextualSpacing/>
        <w:ind w:firstLine="480"/>
        <w:spacing w:line="360" w:lineRule="auto"/>
        <w:rPr>
          <w:sz w:val="24"/>
          <w:szCs w:val="24"/>
          <w:lang w:val="en-US"/>
        </w:rPr>
      </w:pPr>
      <w:r>
        <w:rPr>
          <w:rFonts w:hint="eastAsia"/>
          <w:sz w:val="24"/>
          <w:szCs w:val="24"/>
          <w:lang w:val="en-US"/>
        </w:rPr>
        <w:t xml:space="preserve">（2）若有关本次招标存在变动或修改，敬请各供应商及时关注江苏政府采购网发布的关于本项目的信息更正公告。</w:t>
      </w:r>
      <w:r/>
    </w:p>
    <w:p>
      <w:pPr>
        <w:pStyle w:val="784"/>
        <w:contextualSpacing/>
        <w:ind w:firstLine="480"/>
        <w:spacing w:line="360" w:lineRule="auto"/>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 xml:space="preserve">5</w:t>
      </w:r>
      <w:r>
        <w:rPr>
          <w:rFonts w:hint="eastAsia"/>
          <w:color w:val="000000" w:themeColor="text1"/>
          <w:sz w:val="24"/>
          <w:szCs w:val="24"/>
          <w:lang w:val="en-US"/>
          <w14:textFill>
            <w14:solidFill>
              <w14:schemeClr w14:val="tx1"/>
            </w14:solidFill>
          </w14:textFill>
        </w:rPr>
        <w:t xml:space="preserve">、本项目采购标的所属行业为：其他未列明行业。</w:t>
      </w:r>
      <w:r/>
    </w:p>
    <w:p>
      <w:pPr>
        <w:pStyle w:val="784"/>
        <w:contextualSpacing/>
        <w:ind w:firstLine="480"/>
        <w:spacing w:line="360" w:lineRule="auto"/>
        <w:rPr>
          <w:sz w:val="24"/>
          <w:szCs w:val="24"/>
          <w:lang w:val="en-US"/>
        </w:rPr>
      </w:pPr>
      <w:r>
        <w:rPr>
          <w:sz w:val="24"/>
          <w:szCs w:val="24"/>
          <w:lang w:val="en-US"/>
        </w:rPr>
        <w:t xml:space="preserve">6、本项目成交后不允许转包、分包。</w:t>
      </w:r>
      <w:r/>
    </w:p>
    <w:p>
      <w:pPr>
        <w:ind w:firstLine="482"/>
        <w:spacing w:line="360" w:lineRule="auto"/>
        <w:rPr>
          <w:b/>
          <w:bCs/>
          <w:sz w:val="24"/>
          <w:szCs w:val="24"/>
        </w:rPr>
      </w:pPr>
      <w:r>
        <w:rPr>
          <w:rFonts w:hint="eastAsia"/>
          <w:b/>
          <w:bCs/>
          <w:sz w:val="24"/>
          <w:szCs w:val="24"/>
        </w:rPr>
        <w:t xml:space="preserve">七、凡对本次采购提出询问，请按以下方式联系。</w:t>
      </w:r>
      <w:r/>
    </w:p>
    <w:p>
      <w:pPr>
        <w:ind w:firstLine="480"/>
        <w:spacing w:line="360" w:lineRule="auto"/>
        <w:rPr>
          <w:sz w:val="24"/>
          <w:szCs w:val="24"/>
        </w:rPr>
      </w:pPr>
      <w:r>
        <w:rPr>
          <w:rFonts w:hint="eastAsia"/>
          <w:sz w:val="24"/>
          <w:szCs w:val="24"/>
          <w:lang w:val="en-US"/>
        </w:rPr>
        <w:t xml:space="preserve">1、</w:t>
      </w:r>
      <w:r>
        <w:rPr>
          <w:rFonts w:hint="eastAsia"/>
          <w:sz w:val="24"/>
          <w:szCs w:val="24"/>
        </w:rPr>
        <w:t xml:space="preserve">采购人信息</w:t>
      </w:r>
      <w:r/>
    </w:p>
    <w:p>
      <w:pPr>
        <w:ind w:firstLine="480"/>
        <w:spacing w:line="360" w:lineRule="auto"/>
        <w:tabs>
          <w:tab w:val="left" w:pos="2116" w:leader="none"/>
          <w:tab w:val="left" w:pos="4635" w:leader="none"/>
          <w:tab w:val="left" w:pos="5615" w:leader="none"/>
        </w:tabs>
        <w:rPr>
          <w:sz w:val="24"/>
          <w:szCs w:val="24"/>
          <w:u w:val="single"/>
        </w:rPr>
      </w:pPr>
      <w:r>
        <w:rPr>
          <w:rFonts w:hint="eastAsia"/>
          <w:sz w:val="24"/>
          <w:szCs w:val="24"/>
        </w:rPr>
        <w:t xml:space="preserve">名 称：</w:t>
      </w:r>
      <w:r>
        <w:rPr>
          <w:rFonts w:hint="eastAsia"/>
          <w:sz w:val="24"/>
          <w:szCs w:val="24"/>
          <w:u w:val="single"/>
        </w:rPr>
        <w:t xml:space="preserve">江苏开放大学</w:t>
      </w:r>
      <w:r/>
    </w:p>
    <w:p>
      <w:pPr>
        <w:contextualSpacing/>
        <w:ind w:firstLine="480"/>
        <w:spacing w:line="360" w:lineRule="auto"/>
        <w:rPr>
          <w:sz w:val="24"/>
          <w:szCs w:val="24"/>
          <w:u w:val="single"/>
        </w:rPr>
      </w:pPr>
      <w:r>
        <w:rPr>
          <w:rFonts w:hint="eastAsia"/>
          <w:sz w:val="24"/>
          <w:szCs w:val="24"/>
        </w:rPr>
        <w:t xml:space="preserve">地 址：</w:t>
      </w:r>
      <w:r>
        <w:rPr>
          <w:rFonts w:hint="eastAsia"/>
          <w:sz w:val="24"/>
          <w:szCs w:val="24"/>
          <w:u w:val="single"/>
        </w:rPr>
        <w:t xml:space="preserve">南京市江东北路399号</w:t>
      </w:r>
      <w:r/>
    </w:p>
    <w:p>
      <w:pPr>
        <w:contextualSpacing/>
        <w:ind w:firstLine="480"/>
        <w:spacing w:line="360" w:lineRule="auto"/>
        <w:rPr>
          <w:sz w:val="24"/>
          <w:szCs w:val="24"/>
        </w:rPr>
      </w:pPr>
      <w:r>
        <w:rPr>
          <w:rFonts w:hint="eastAsia"/>
          <w:sz w:val="24"/>
          <w:szCs w:val="24"/>
        </w:rPr>
        <w:t xml:space="preserve">联系人：</w:t>
      </w:r>
      <w:r>
        <w:rPr>
          <w:rFonts w:hint="eastAsia"/>
          <w:sz w:val="24"/>
          <w:szCs w:val="24"/>
          <w:u w:val="single"/>
          <w:lang w:val="en-US"/>
        </w:rPr>
        <w:t xml:space="preserve">吕</w:t>
      </w:r>
      <w:r>
        <w:rPr>
          <w:rFonts w:hint="eastAsia"/>
          <w:sz w:val="24"/>
          <w:szCs w:val="24"/>
          <w:u w:val="single"/>
        </w:rPr>
        <w:t xml:space="preserve">老师</w:t>
      </w:r>
      <w:r>
        <w:rPr>
          <w:rFonts w:hint="eastAsia"/>
          <w:sz w:val="24"/>
          <w:szCs w:val="24"/>
        </w:rPr>
        <w:t xml:space="preserve"> </w:t>
      </w:r>
      <w:r/>
    </w:p>
    <w:p>
      <w:pPr>
        <w:contextualSpacing/>
        <w:ind w:firstLine="480"/>
        <w:spacing w:line="360" w:lineRule="auto"/>
        <w:rPr>
          <w:sz w:val="24"/>
          <w:szCs w:val="24"/>
          <w:u w:val="single"/>
        </w:rPr>
      </w:pPr>
      <w:r>
        <w:rPr>
          <w:rFonts w:hint="eastAsia"/>
          <w:sz w:val="24"/>
          <w:szCs w:val="24"/>
        </w:rPr>
        <w:t xml:space="preserve">联系电话：</w:t>
      </w:r>
      <w:r>
        <w:rPr>
          <w:rFonts w:hint="eastAsia"/>
          <w:sz w:val="24"/>
          <w:szCs w:val="24"/>
          <w:u w:val="single"/>
        </w:rPr>
        <w:t xml:space="preserve">025-86265605 </w:t>
      </w:r>
      <w:r/>
    </w:p>
    <w:p>
      <w:pPr>
        <w:ind w:firstLine="480"/>
        <w:spacing w:line="360" w:lineRule="auto"/>
        <w:rPr>
          <w:sz w:val="24"/>
          <w:szCs w:val="24"/>
        </w:rPr>
      </w:pPr>
      <w:r>
        <w:rPr>
          <w:rFonts w:hint="eastAsia"/>
          <w:sz w:val="24"/>
          <w:szCs w:val="24"/>
          <w:lang w:val="en-US"/>
        </w:rPr>
        <w:t xml:space="preserve">2、</w:t>
      </w:r>
      <w:r>
        <w:rPr>
          <w:rFonts w:hint="eastAsia"/>
          <w:sz w:val="24"/>
          <w:szCs w:val="24"/>
        </w:rPr>
        <w:t xml:space="preserve">采购代理机构信息</w:t>
      </w:r>
      <w:r/>
    </w:p>
    <w:p>
      <w:pPr>
        <w:ind w:firstLine="480"/>
        <w:spacing w:line="360" w:lineRule="auto"/>
        <w:tabs>
          <w:tab w:val="left" w:pos="2596" w:leader="none"/>
          <w:tab w:val="left" w:pos="6236" w:leader="none"/>
        </w:tabs>
        <w:rPr>
          <w:sz w:val="24"/>
          <w:szCs w:val="24"/>
        </w:rPr>
      </w:pPr>
      <w:r>
        <w:rPr>
          <w:rFonts w:hint="eastAsia"/>
          <w:sz w:val="24"/>
          <w:szCs w:val="24"/>
        </w:rPr>
        <w:t xml:space="preserve">名 称：</w:t>
      </w:r>
      <w:r>
        <w:rPr>
          <w:rFonts w:hint="eastAsia"/>
          <w:sz w:val="24"/>
          <w:szCs w:val="24"/>
          <w:u w:val="single"/>
        </w:rPr>
        <w:t xml:space="preserve">南京苏宁工程咨询有限公司</w:t>
      </w:r>
      <w:r/>
    </w:p>
    <w:p>
      <w:pPr>
        <w:ind w:firstLine="480"/>
        <w:spacing w:line="360" w:lineRule="auto"/>
        <w:tabs>
          <w:tab w:val="left" w:pos="1617" w:leader="none"/>
          <w:tab w:val="left" w:pos="2457" w:leader="none"/>
          <w:tab w:val="left" w:pos="2738" w:leader="none"/>
          <w:tab w:val="left" w:pos="3998" w:leader="none"/>
          <w:tab w:val="left" w:pos="8055" w:leader="none"/>
        </w:tabs>
        <w:rPr>
          <w:sz w:val="24"/>
          <w:szCs w:val="24"/>
          <w:u w:val="single"/>
        </w:rPr>
      </w:pPr>
      <w:r>
        <w:rPr>
          <w:rFonts w:hint="eastAsia"/>
          <w:sz w:val="24"/>
          <w:szCs w:val="24"/>
        </w:rPr>
        <w:t xml:space="preserve">地址：</w:t>
      </w:r>
      <w:r>
        <w:rPr>
          <w:rFonts w:hint="eastAsia"/>
          <w:sz w:val="24"/>
          <w:szCs w:val="24"/>
          <w:u w:val="single"/>
        </w:rPr>
        <w:t xml:space="preserve">南京市中山路99号12楼1212室</w:t>
      </w:r>
      <w:r/>
    </w:p>
    <w:p>
      <w:pPr>
        <w:ind w:firstLine="480"/>
        <w:spacing w:line="360" w:lineRule="auto"/>
        <w:tabs>
          <w:tab w:val="left" w:pos="1617" w:leader="none"/>
          <w:tab w:val="left" w:pos="2457" w:leader="none"/>
          <w:tab w:val="left" w:pos="2738" w:leader="none"/>
          <w:tab w:val="left" w:pos="3998" w:leader="none"/>
          <w:tab w:val="left" w:pos="8055" w:leader="none"/>
        </w:tabs>
        <w:rPr>
          <w:sz w:val="24"/>
          <w:szCs w:val="24"/>
          <w:u w:val="single"/>
        </w:rPr>
      </w:pPr>
      <w:r>
        <w:rPr>
          <w:rFonts w:hint="eastAsia"/>
          <w:sz w:val="24"/>
          <w:szCs w:val="24"/>
        </w:rPr>
        <w:t xml:space="preserve">联系方式：</w:t>
      </w:r>
      <w:r>
        <w:rPr>
          <w:rFonts w:hint="eastAsia"/>
          <w:sz w:val="24"/>
          <w:szCs w:val="24"/>
          <w:u w:val="single"/>
        </w:rPr>
        <w:t xml:space="preserve">江</w:t>
      </w:r>
      <w:r>
        <w:rPr>
          <w:rFonts w:hint="eastAsia"/>
          <w:sz w:val="24"/>
          <w:szCs w:val="24"/>
          <w:u w:val="single"/>
          <w:lang w:val="en-US"/>
        </w:rPr>
        <w:t xml:space="preserve">跃</w:t>
      </w:r>
      <w:r>
        <w:rPr>
          <w:rFonts w:hint="eastAsia"/>
          <w:sz w:val="24"/>
          <w:szCs w:val="24"/>
          <w:u w:val="single"/>
        </w:rPr>
        <w:t xml:space="preserve">025-84200819</w:t>
      </w:r>
      <w:r/>
    </w:p>
    <w:p>
      <w:pPr>
        <w:ind w:firstLine="480"/>
        <w:spacing w:line="360" w:lineRule="auto"/>
        <w:rPr>
          <w:sz w:val="24"/>
          <w:szCs w:val="24"/>
        </w:rPr>
      </w:pPr>
      <w:r>
        <w:rPr>
          <w:rFonts w:hint="eastAsia"/>
          <w:sz w:val="24"/>
          <w:szCs w:val="24"/>
          <w:lang w:val="en-US"/>
        </w:rPr>
        <w:t xml:space="preserve">3、</w:t>
      </w:r>
      <w:r>
        <w:rPr>
          <w:rFonts w:hint="eastAsia"/>
          <w:sz w:val="24"/>
          <w:szCs w:val="24"/>
        </w:rPr>
        <w:t xml:space="preserve">项目联系方式 </w:t>
      </w:r>
      <w:r/>
    </w:p>
    <w:p>
      <w:pPr>
        <w:ind w:firstLine="480"/>
        <w:spacing w:line="360" w:lineRule="auto"/>
        <w:rPr>
          <w:sz w:val="24"/>
          <w:szCs w:val="24"/>
        </w:rPr>
      </w:pPr>
      <w:r>
        <w:rPr>
          <w:rFonts w:hint="eastAsia"/>
          <w:sz w:val="24"/>
          <w:szCs w:val="24"/>
        </w:rPr>
        <w:t xml:space="preserve">项目联系人：</w:t>
      </w:r>
      <w:r>
        <w:rPr>
          <w:rFonts w:hint="eastAsia"/>
          <w:sz w:val="24"/>
          <w:szCs w:val="24"/>
          <w:u w:val="single"/>
        </w:rPr>
        <w:t xml:space="preserve">江</w:t>
      </w:r>
      <w:r>
        <w:rPr>
          <w:rFonts w:hint="eastAsia"/>
          <w:sz w:val="24"/>
          <w:szCs w:val="24"/>
          <w:u w:val="single"/>
          <w:lang w:val="en-US"/>
        </w:rPr>
        <w:t xml:space="preserve">跃</w:t>
      </w:r>
      <w:r/>
    </w:p>
    <w:p>
      <w:pPr>
        <w:ind w:firstLine="480"/>
        <w:spacing w:line="360" w:lineRule="auto"/>
        <w:tabs>
          <w:tab w:val="left" w:pos="1617" w:leader="none"/>
          <w:tab w:val="left" w:pos="2457" w:leader="none"/>
          <w:tab w:val="left" w:pos="7076" w:leader="none"/>
        </w:tabs>
        <w:rPr>
          <w:sz w:val="24"/>
          <w:szCs w:val="24"/>
          <w:u w:val="single"/>
          <w:lang w:val="en-US"/>
        </w:rPr>
      </w:pPr>
      <w:r>
        <w:rPr>
          <w:rFonts w:hint="eastAsia"/>
          <w:sz w:val="24"/>
          <w:szCs w:val="24"/>
        </w:rPr>
        <w:t xml:space="preserve">电话：</w:t>
      </w:r>
      <w:r>
        <w:rPr>
          <w:rFonts w:hint="eastAsia"/>
          <w:sz w:val="24"/>
          <w:szCs w:val="24"/>
          <w:u w:val="single"/>
        </w:rPr>
        <w:t xml:space="preserve">025-84200819</w:t>
      </w:r>
      <w:r/>
    </w:p>
    <w:p>
      <w:pPr>
        <w:rPr>
          <w:rFonts w:ascii="黑体" w:eastAsia="黑体"/>
          <w:sz w:val="36"/>
        </w:rPr>
      </w:pPr>
      <w:r/>
      <w:bookmarkStart w:id="5" w:name="一、项目基本情况"/>
      <w:r/>
      <w:bookmarkEnd w:id="5"/>
      <w:r/>
      <w:bookmarkStart w:id="6" w:name="_Toc15993"/>
      <w:r>
        <w:rPr>
          <w:rFonts w:hint="eastAsia" w:ascii="黑体" w:eastAsia="黑体"/>
          <w:sz w:val="36"/>
        </w:rPr>
        <w:br w:type="page" w:clear="all"/>
      </w:r>
      <w:r/>
    </w:p>
    <w:p>
      <w:pPr>
        <w:ind w:left="2024" w:right="2064"/>
        <w:jc w:val="center"/>
        <w:spacing w:before="49"/>
        <w:rPr>
          <w:rFonts w:ascii="黑体" w:eastAsia="黑体"/>
          <w:sz w:val="36"/>
        </w:rPr>
        <w:outlineLvl w:val="0"/>
      </w:pPr>
      <w:r>
        <w:rPr>
          <w:rFonts w:hint="eastAsia" w:ascii="黑体" w:eastAsia="黑体"/>
          <w:sz w:val="36"/>
        </w:rPr>
        <w:t xml:space="preserve">第二章供应商须知</w:t>
      </w:r>
      <w:bookmarkEnd w:id="6"/>
      <w:r/>
      <w:r/>
    </w:p>
    <w:p>
      <w:pPr>
        <w:ind w:firstLine="422"/>
        <w:spacing w:line="360" w:lineRule="auto"/>
        <w:rPr>
          <w:b/>
          <w:sz w:val="21"/>
          <w:szCs w:val="21"/>
        </w:rPr>
      </w:pPr>
      <w:r>
        <w:rPr>
          <w:rFonts w:hint="eastAsia"/>
          <w:b/>
          <w:sz w:val="21"/>
          <w:szCs w:val="21"/>
        </w:rPr>
        <w:t xml:space="preserve">一、总则</w:t>
      </w:r>
      <w:r/>
    </w:p>
    <w:p>
      <w:pPr>
        <w:pStyle w:val="784"/>
        <w:ind w:firstLine="420"/>
        <w:spacing w:line="360" w:lineRule="auto"/>
      </w:pPr>
      <w:r/>
      <w:bookmarkStart w:id="7" w:name="1、适用法律"/>
      <w:r/>
      <w:bookmarkEnd w:id="7"/>
      <w:r>
        <w:rPr>
          <w:rFonts w:hint="eastAsia"/>
        </w:rPr>
        <w:t xml:space="preserve">1、适用法律</w:t>
      </w:r>
      <w:r/>
    </w:p>
    <w:p>
      <w:pPr>
        <w:pStyle w:val="784"/>
        <w:ind w:firstLine="420"/>
        <w:spacing w:line="360" w:lineRule="auto"/>
      </w:pPr>
      <w:r>
        <w:rPr>
          <w:rFonts w:hint="eastAsia"/>
        </w:rPr>
        <w:t xml:space="preserve">1.1 《中华人民共和国政府采购法》、《中华人民共和国政府采购法实施条例》、《政府采购货物和服务招标投标管理办法》等有关法律、规章和规定等。</w:t>
      </w:r>
      <w:r/>
    </w:p>
    <w:p>
      <w:pPr>
        <w:ind w:firstLine="422"/>
        <w:spacing w:line="360" w:lineRule="auto"/>
        <w:rPr>
          <w:b/>
          <w:sz w:val="21"/>
          <w:szCs w:val="21"/>
        </w:rPr>
      </w:pPr>
      <w:r/>
      <w:bookmarkStart w:id="8" w:name="2、定义"/>
      <w:r/>
      <w:bookmarkEnd w:id="8"/>
      <w:r>
        <w:rPr>
          <w:rFonts w:hint="eastAsia"/>
          <w:b/>
          <w:sz w:val="21"/>
          <w:szCs w:val="21"/>
        </w:rPr>
        <w:t xml:space="preserve">2、定义</w:t>
      </w:r>
      <w:r/>
    </w:p>
    <w:p>
      <w:pPr>
        <w:pStyle w:val="961"/>
        <w:numPr>
          <w:ilvl w:val="1"/>
          <w:numId w:val="1"/>
        </w:numPr>
        <w:ind w:firstLine="420"/>
        <w:spacing w:line="360" w:lineRule="auto"/>
        <w:tabs>
          <w:tab w:val="left" w:pos="1059" w:leader="none"/>
        </w:tabs>
        <w:rPr>
          <w:sz w:val="21"/>
          <w:szCs w:val="21"/>
        </w:rPr>
      </w:pPr>
      <w:r>
        <w:rPr>
          <w:rFonts w:hint="eastAsia"/>
          <w:sz w:val="21"/>
          <w:szCs w:val="21"/>
        </w:rPr>
        <w:t xml:space="preserve">“</w:t>
      </w:r>
      <w:r>
        <w:rPr>
          <w:rFonts w:hint="eastAsia"/>
          <w:bCs/>
          <w:sz w:val="21"/>
          <w:szCs w:val="21"/>
        </w:rPr>
        <w:t xml:space="preserve">供应商</w:t>
      </w:r>
      <w:r>
        <w:rPr>
          <w:rFonts w:hint="eastAsia"/>
          <w:sz w:val="21"/>
          <w:szCs w:val="21"/>
        </w:rPr>
        <w:t xml:space="preserve">”是指参加投标竞争，并符合招标文件规定资格条件的法人、其他组织或者自然人。</w:t>
      </w:r>
      <w:r/>
    </w:p>
    <w:p>
      <w:pPr>
        <w:pStyle w:val="961"/>
        <w:numPr>
          <w:ilvl w:val="1"/>
          <w:numId w:val="1"/>
        </w:numPr>
        <w:ind w:firstLine="420"/>
        <w:spacing w:line="360" w:lineRule="auto"/>
        <w:tabs>
          <w:tab w:val="left" w:pos="1059" w:leader="none"/>
        </w:tabs>
        <w:rPr>
          <w:sz w:val="21"/>
          <w:szCs w:val="21"/>
        </w:rPr>
      </w:pPr>
      <w:r>
        <w:rPr>
          <w:rFonts w:hint="eastAsia"/>
          <w:sz w:val="21"/>
          <w:szCs w:val="21"/>
        </w:rPr>
        <w:t xml:space="preserve">“无”指本招标文件中所述相关服务。</w:t>
      </w:r>
      <w:r/>
    </w:p>
    <w:p>
      <w:pPr>
        <w:pStyle w:val="961"/>
        <w:numPr>
          <w:ilvl w:val="1"/>
          <w:numId w:val="1"/>
        </w:numPr>
        <w:ind w:firstLine="420"/>
        <w:spacing w:line="360" w:lineRule="auto"/>
        <w:tabs>
          <w:tab w:val="left" w:pos="1059" w:leader="none"/>
        </w:tabs>
        <w:rPr>
          <w:b/>
          <w:sz w:val="21"/>
          <w:szCs w:val="21"/>
        </w:rPr>
      </w:pPr>
      <w:r>
        <w:rPr>
          <w:rFonts w:hint="eastAsia"/>
          <w:sz w:val="21"/>
          <w:szCs w:val="21"/>
        </w:rPr>
        <w:t xml:space="preserve">“用户或使用单位”是指使用服务的单位。 </w:t>
      </w:r>
      <w:r/>
    </w:p>
    <w:p>
      <w:pPr>
        <w:pStyle w:val="961"/>
        <w:ind w:left="440" w:firstLine="0"/>
        <w:spacing w:line="360" w:lineRule="auto"/>
        <w:tabs>
          <w:tab w:val="left" w:pos="1059" w:leader="none"/>
        </w:tabs>
        <w:rPr>
          <w:b/>
          <w:sz w:val="21"/>
          <w:szCs w:val="21"/>
        </w:rPr>
      </w:pPr>
      <w:r>
        <w:rPr>
          <w:rFonts w:hint="eastAsia"/>
          <w:b/>
          <w:sz w:val="21"/>
          <w:szCs w:val="21"/>
        </w:rPr>
        <w:t xml:space="preserve">3、政策功能</w:t>
      </w:r>
      <w:r/>
    </w:p>
    <w:p>
      <w:pPr>
        <w:pStyle w:val="961"/>
        <w:numPr>
          <w:ilvl w:val="1"/>
          <w:numId w:val="2"/>
        </w:numPr>
        <w:ind w:firstLine="420"/>
        <w:spacing w:line="360" w:lineRule="auto"/>
        <w:tabs>
          <w:tab w:val="left" w:pos="1109" w:leader="none"/>
        </w:tabs>
        <w:rPr>
          <w:sz w:val="21"/>
          <w:szCs w:val="21"/>
        </w:rPr>
      </w:pPr>
      <w:r>
        <w:rPr>
          <w:rFonts w:hint="eastAsia"/>
          <w:sz w:val="21"/>
          <w:szCs w:val="21"/>
        </w:rPr>
        <w:t xml:space="preserve">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 号及《统计上大中小微型企业划分办法（2017）国统字〔2017〕213号》。</w:t>
      </w:r>
      <w:r/>
    </w:p>
    <w:p>
      <w:pPr>
        <w:pStyle w:val="961"/>
        <w:numPr>
          <w:ilvl w:val="1"/>
          <w:numId w:val="2"/>
        </w:numPr>
        <w:ind w:firstLine="420"/>
        <w:spacing w:line="360" w:lineRule="auto"/>
        <w:tabs>
          <w:tab w:val="left" w:pos="1109" w:leader="none"/>
        </w:tabs>
        <w:rPr>
          <w:sz w:val="21"/>
          <w:szCs w:val="21"/>
        </w:rPr>
      </w:pPr>
      <w:r>
        <w:rPr>
          <w:rFonts w:hint="eastAsia"/>
          <w:sz w:val="21"/>
          <w:szCs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pStyle w:val="961"/>
        <w:numPr>
          <w:ilvl w:val="1"/>
          <w:numId w:val="2"/>
        </w:numPr>
        <w:ind w:firstLine="420"/>
        <w:spacing w:line="360" w:lineRule="auto"/>
        <w:tabs>
          <w:tab w:val="left" w:pos="1109" w:leader="none"/>
        </w:tabs>
        <w:rPr>
          <w:sz w:val="21"/>
          <w:szCs w:val="21"/>
        </w:rPr>
      </w:pPr>
      <w:r>
        <w:rPr>
          <w:rFonts w:hint="eastAsia"/>
          <w:sz w:val="21"/>
          <w:szCs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pStyle w:val="961"/>
        <w:numPr>
          <w:ilvl w:val="1"/>
          <w:numId w:val="2"/>
        </w:numPr>
        <w:ind w:firstLine="420"/>
        <w:spacing w:line="360" w:lineRule="auto"/>
        <w:tabs>
          <w:tab w:val="left" w:pos="1164" w:leader="none"/>
        </w:tabs>
        <w:rPr>
          <w:sz w:val="21"/>
          <w:szCs w:val="21"/>
        </w:rPr>
      </w:pPr>
      <w:r>
        <w:rPr>
          <w:rFonts w:hint="eastAsia"/>
          <w:sz w:val="21"/>
          <w:szCs w:val="21"/>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pStyle w:val="961"/>
        <w:numPr>
          <w:ilvl w:val="1"/>
          <w:numId w:val="2"/>
        </w:numPr>
        <w:ind w:firstLine="420"/>
        <w:spacing w:line="360" w:lineRule="auto"/>
        <w:tabs>
          <w:tab w:val="left" w:pos="1109" w:leader="none"/>
        </w:tabs>
        <w:rPr>
          <w:sz w:val="21"/>
          <w:szCs w:val="21"/>
        </w:rPr>
      </w:pPr>
      <w:r>
        <w:rPr>
          <w:rFonts w:hint="eastAsia"/>
          <w:sz w:val="21"/>
          <w:szCs w:val="21"/>
        </w:rPr>
        <w:t xml:space="preserve">提供的产品属于信息安全产品的，供应商应当选择经国家认证的信息安全产品投标，并提供由中国信息安全认证中心按国家标准认证颁发的有效认证证书复印件。</w:t>
      </w:r>
      <w:r/>
    </w:p>
    <w:p>
      <w:pPr>
        <w:pStyle w:val="961"/>
        <w:numPr>
          <w:ilvl w:val="1"/>
          <w:numId w:val="2"/>
        </w:numPr>
        <w:ind w:firstLine="420"/>
        <w:spacing w:line="360" w:lineRule="auto"/>
        <w:tabs>
          <w:tab w:val="left" w:pos="1109" w:leader="none"/>
        </w:tabs>
        <w:rPr>
          <w:sz w:val="21"/>
          <w:szCs w:val="21"/>
        </w:rPr>
      </w:pPr>
      <w:r>
        <w:rPr>
          <w:rFonts w:hint="eastAsia"/>
          <w:sz w:val="21"/>
          <w:szCs w:val="21"/>
        </w:rPr>
        <w:t xml:space="preserve">提供的产品属于政府强制采购节能产品的，供应商应当选择经过认证的节能产品投标，并提供有效的节能产品认证证书复印件。</w:t>
      </w:r>
      <w:r/>
    </w:p>
    <w:p>
      <w:pPr>
        <w:pStyle w:val="961"/>
        <w:numPr>
          <w:ilvl w:val="1"/>
          <w:numId w:val="2"/>
        </w:numPr>
        <w:ind w:firstLine="420"/>
        <w:spacing w:line="360" w:lineRule="auto"/>
        <w:tabs>
          <w:tab w:val="left" w:pos="1114" w:leader="none"/>
        </w:tabs>
        <w:rPr>
          <w:sz w:val="21"/>
          <w:szCs w:val="21"/>
        </w:rPr>
      </w:pPr>
      <w:r>
        <w:rPr>
          <w:rFonts w:hint="eastAsia"/>
          <w:sz w:val="21"/>
          <w:szCs w:val="21"/>
        </w:rPr>
        <w:t xml:space="preserve">提供的产品属于环境标志产品的，供应商应当选择经过认证的环境标志产品投标，并提供有效的环境标志产品认证证书复印件。</w:t>
      </w:r>
      <w:r/>
    </w:p>
    <w:p>
      <w:pPr>
        <w:ind w:firstLine="422"/>
        <w:spacing w:line="360" w:lineRule="auto"/>
        <w:rPr>
          <w:b/>
          <w:sz w:val="21"/>
          <w:szCs w:val="21"/>
        </w:rPr>
      </w:pPr>
      <w:r>
        <w:rPr>
          <w:rFonts w:hint="eastAsia"/>
          <w:b/>
          <w:sz w:val="21"/>
          <w:szCs w:val="21"/>
        </w:rPr>
        <w:t xml:space="preserve">二、招标文件</w:t>
      </w:r>
      <w:r/>
    </w:p>
    <w:p>
      <w:pPr>
        <w:ind w:firstLine="422"/>
        <w:spacing w:line="360" w:lineRule="auto"/>
        <w:rPr>
          <w:b/>
          <w:sz w:val="21"/>
          <w:szCs w:val="21"/>
        </w:rPr>
      </w:pPr>
      <w:r>
        <w:rPr>
          <w:rFonts w:hint="eastAsia"/>
          <w:b/>
          <w:sz w:val="21"/>
          <w:szCs w:val="21"/>
        </w:rPr>
        <w:t xml:space="preserve">4、招标文件组成</w:t>
      </w:r>
      <w:r/>
    </w:p>
    <w:p>
      <w:pPr>
        <w:pStyle w:val="961"/>
        <w:numPr>
          <w:ilvl w:val="1"/>
          <w:numId w:val="3"/>
        </w:numPr>
        <w:ind w:firstLine="420"/>
        <w:spacing w:line="360" w:lineRule="auto"/>
        <w:tabs>
          <w:tab w:val="left" w:pos="1059" w:leader="none"/>
        </w:tabs>
        <w:rPr>
          <w:sz w:val="21"/>
          <w:szCs w:val="21"/>
        </w:rPr>
      </w:pPr>
      <w:r>
        <w:rPr>
          <w:rFonts w:hint="eastAsia"/>
          <w:sz w:val="21"/>
          <w:szCs w:val="21"/>
        </w:rPr>
        <w:t xml:space="preserve">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pStyle w:val="961"/>
        <w:numPr>
          <w:ilvl w:val="1"/>
          <w:numId w:val="3"/>
        </w:numPr>
        <w:ind w:firstLine="420"/>
        <w:spacing w:line="360" w:lineRule="auto"/>
        <w:tabs>
          <w:tab w:val="left" w:pos="1059" w:leader="none"/>
        </w:tabs>
        <w:rPr>
          <w:sz w:val="21"/>
          <w:szCs w:val="21"/>
        </w:rPr>
      </w:pPr>
      <w:r>
        <w:rPr>
          <w:rFonts w:hint="eastAsia"/>
          <w:sz w:val="21"/>
          <w:szCs w:val="21"/>
        </w:rPr>
        <w:t xml:space="preserve">招标的最小单位是包。招标服务数量及技术要求中未分包的，供应商对要求提供的服务不得部分投标；招标服务数量及技术要求中已经分包的，应当以包为单位投标。</w:t>
      </w:r>
      <w:r/>
    </w:p>
    <w:p>
      <w:pPr>
        <w:pStyle w:val="961"/>
        <w:numPr>
          <w:ilvl w:val="1"/>
          <w:numId w:val="3"/>
        </w:numPr>
        <w:ind w:firstLine="420"/>
        <w:spacing w:line="360" w:lineRule="auto"/>
        <w:tabs>
          <w:tab w:val="left" w:pos="1059" w:leader="none"/>
        </w:tabs>
        <w:rPr>
          <w:sz w:val="21"/>
          <w:szCs w:val="21"/>
        </w:rPr>
      </w:pPr>
      <w:r>
        <w:rPr>
          <w:rFonts w:hint="eastAsia"/>
          <w:sz w:val="21"/>
          <w:szCs w:val="21"/>
        </w:rPr>
        <w:t xml:space="preserve">招标文件如果要求供应商提交备选投标方案的，供应商可以提交备选方案；否则，备选方案将被拒绝。</w:t>
      </w:r>
      <w:r/>
    </w:p>
    <w:p>
      <w:pPr>
        <w:ind w:firstLine="422"/>
        <w:spacing w:line="360" w:lineRule="auto"/>
        <w:rPr>
          <w:b/>
          <w:sz w:val="21"/>
          <w:szCs w:val="21"/>
        </w:rPr>
      </w:pPr>
      <w:r/>
      <w:bookmarkStart w:id="9" w:name="5、招标文件的澄清、修改"/>
      <w:r/>
      <w:bookmarkEnd w:id="9"/>
      <w:r>
        <w:rPr>
          <w:rFonts w:hint="eastAsia"/>
          <w:b/>
          <w:sz w:val="21"/>
          <w:szCs w:val="21"/>
        </w:rPr>
        <w:t xml:space="preserve">5、招标文件的澄清、修改</w:t>
      </w:r>
      <w:r/>
    </w:p>
    <w:p>
      <w:pPr>
        <w:pStyle w:val="961"/>
        <w:numPr>
          <w:ilvl w:val="1"/>
          <w:numId w:val="4"/>
        </w:numPr>
        <w:ind w:firstLine="420"/>
        <w:spacing w:line="360" w:lineRule="auto"/>
        <w:tabs>
          <w:tab w:val="left" w:pos="956" w:leader="none"/>
        </w:tabs>
        <w:rPr>
          <w:sz w:val="21"/>
          <w:szCs w:val="21"/>
        </w:rPr>
      </w:pPr>
      <w:r>
        <w:rPr>
          <w:rFonts w:hint="eastAsia"/>
          <w:sz w:val="21"/>
          <w:szCs w:val="21"/>
        </w:rPr>
        <w:t xml:space="preserve">招标代理机构对已发出的招标文件进行必要澄清或者修改的，将在招标文件要求提交投标文件截止时间</w:t>
      </w:r>
      <w:r>
        <w:rPr>
          <w:rFonts w:hint="eastAsia"/>
          <w:b/>
          <w:sz w:val="21"/>
          <w:szCs w:val="21"/>
          <w:u w:val="single"/>
        </w:rPr>
        <w:t xml:space="preserve">十五日</w:t>
      </w:r>
      <w:r>
        <w:rPr>
          <w:rFonts w:hint="eastAsia"/>
          <w:sz w:val="21"/>
          <w:szCs w:val="21"/>
        </w:rPr>
        <w:t xml:space="preserve">前，在原招标公告媒体发布更正公告，该澄清或者修改的内容为招标文件的组成部分。</w:t>
      </w:r>
      <w:r/>
    </w:p>
    <w:p>
      <w:pPr>
        <w:pStyle w:val="961"/>
        <w:numPr>
          <w:ilvl w:val="1"/>
          <w:numId w:val="4"/>
        </w:numPr>
        <w:ind w:firstLine="420"/>
        <w:spacing w:line="360" w:lineRule="auto"/>
        <w:tabs>
          <w:tab w:val="left" w:pos="1059" w:leader="none"/>
        </w:tabs>
        <w:rPr>
          <w:sz w:val="21"/>
          <w:szCs w:val="21"/>
        </w:rPr>
      </w:pPr>
      <w:r>
        <w:rPr>
          <w:rFonts w:hint="eastAsia"/>
          <w:sz w:val="21"/>
          <w:szCs w:val="21"/>
        </w:rPr>
        <w:t xml:space="preserve">招标代理机构在招标文件要求提交投标文件截止时间</w:t>
      </w:r>
      <w:r>
        <w:rPr>
          <w:rFonts w:hint="eastAsia"/>
          <w:b/>
          <w:sz w:val="21"/>
          <w:szCs w:val="21"/>
          <w:u w:val="single"/>
        </w:rPr>
        <w:t xml:space="preserve">三日</w:t>
      </w:r>
      <w:r>
        <w:rPr>
          <w:rFonts w:hint="eastAsia"/>
          <w:sz w:val="21"/>
          <w:szCs w:val="21"/>
        </w:rPr>
        <w:t xml:space="preserve">前，有权决定延长投标截止时间和开标时间，并在原采购信息发布媒体上发布变更公告。</w:t>
      </w:r>
      <w:r/>
    </w:p>
    <w:p>
      <w:pPr>
        <w:pStyle w:val="961"/>
        <w:numPr>
          <w:ilvl w:val="1"/>
          <w:numId w:val="4"/>
        </w:numPr>
        <w:ind w:firstLine="420"/>
        <w:spacing w:line="360" w:lineRule="auto"/>
        <w:tabs>
          <w:tab w:val="left" w:pos="1059" w:leader="none"/>
        </w:tabs>
        <w:rPr>
          <w:b/>
          <w:sz w:val="21"/>
          <w:szCs w:val="21"/>
        </w:rPr>
      </w:pPr>
      <w:r>
        <w:rPr>
          <w:rFonts w:hint="eastAsia"/>
          <w:sz w:val="21"/>
          <w:szCs w:val="21"/>
        </w:rPr>
        <w:t xml:space="preserve">供应商应在投标截止时间前关注原采购信息发布媒体上有关本招标项目有无变更公告。  </w:t>
      </w:r>
      <w:bookmarkStart w:id="10" w:name="三、投标"/>
      <w:r/>
      <w:bookmarkEnd w:id="10"/>
      <w:r/>
      <w:r/>
    </w:p>
    <w:p>
      <w:pPr>
        <w:pStyle w:val="961"/>
        <w:ind w:left="440" w:firstLine="0"/>
        <w:spacing w:line="360" w:lineRule="auto"/>
        <w:tabs>
          <w:tab w:val="left" w:pos="1059" w:leader="none"/>
        </w:tabs>
        <w:rPr>
          <w:b/>
          <w:sz w:val="21"/>
          <w:szCs w:val="21"/>
        </w:rPr>
      </w:pPr>
      <w:r>
        <w:rPr>
          <w:rFonts w:hint="eastAsia"/>
          <w:b/>
          <w:sz w:val="21"/>
          <w:szCs w:val="21"/>
        </w:rPr>
        <w:t xml:space="preserve">三、投标</w:t>
      </w:r>
      <w:r/>
    </w:p>
    <w:p>
      <w:pPr>
        <w:ind w:firstLine="422"/>
        <w:spacing w:line="360" w:lineRule="auto"/>
        <w:rPr>
          <w:b/>
          <w:sz w:val="21"/>
          <w:szCs w:val="21"/>
        </w:rPr>
      </w:pPr>
      <w:r>
        <w:rPr>
          <w:rFonts w:hint="eastAsia"/>
          <w:b/>
          <w:sz w:val="21"/>
          <w:szCs w:val="21"/>
        </w:rPr>
        <w:t xml:space="preserve">6、投标文件的语言、计量单位、货币和编制</w:t>
      </w:r>
      <w:r/>
    </w:p>
    <w:p>
      <w:pPr>
        <w:pStyle w:val="961"/>
        <w:numPr>
          <w:ilvl w:val="1"/>
          <w:numId w:val="5"/>
        </w:numPr>
        <w:ind w:firstLine="420"/>
        <w:spacing w:line="360" w:lineRule="auto"/>
        <w:tabs>
          <w:tab w:val="left" w:pos="1059" w:leader="none"/>
        </w:tabs>
        <w:rPr>
          <w:sz w:val="21"/>
          <w:szCs w:val="21"/>
        </w:rPr>
      </w:pPr>
      <w:r>
        <w:rPr>
          <w:rFonts w:hint="eastAsia"/>
          <w:sz w:val="21"/>
          <w:szCs w:val="21"/>
        </w:rPr>
        <w:t xml:space="preserve">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pStyle w:val="961"/>
        <w:numPr>
          <w:ilvl w:val="1"/>
          <w:numId w:val="5"/>
        </w:numPr>
        <w:ind w:firstLine="420"/>
        <w:spacing w:line="360" w:lineRule="auto"/>
        <w:tabs>
          <w:tab w:val="left" w:pos="1059" w:leader="none"/>
        </w:tabs>
        <w:rPr>
          <w:sz w:val="21"/>
          <w:szCs w:val="21"/>
        </w:rPr>
      </w:pPr>
      <w:r>
        <w:rPr>
          <w:rFonts w:hint="eastAsia"/>
          <w:sz w:val="21"/>
          <w:szCs w:val="21"/>
        </w:rPr>
        <w:t xml:space="preserve">供应商所使用的计量单位应为国家法定计量单位。</w:t>
      </w:r>
      <w:r/>
    </w:p>
    <w:p>
      <w:pPr>
        <w:pStyle w:val="961"/>
        <w:numPr>
          <w:ilvl w:val="1"/>
          <w:numId w:val="5"/>
        </w:numPr>
        <w:ind w:firstLine="420"/>
        <w:spacing w:line="360" w:lineRule="auto"/>
        <w:tabs>
          <w:tab w:val="left" w:pos="1059" w:leader="none"/>
        </w:tabs>
        <w:rPr>
          <w:sz w:val="21"/>
          <w:szCs w:val="21"/>
        </w:rPr>
      </w:pPr>
      <w:r>
        <w:rPr>
          <w:rFonts w:hint="eastAsia"/>
          <w:sz w:val="21"/>
          <w:szCs w:val="21"/>
        </w:rPr>
        <w:t xml:space="preserve">供应商应用人民币报价。</w:t>
      </w:r>
      <w:r/>
    </w:p>
    <w:p>
      <w:pPr>
        <w:pStyle w:val="961"/>
        <w:numPr>
          <w:ilvl w:val="1"/>
          <w:numId w:val="5"/>
        </w:numPr>
        <w:ind w:firstLine="420"/>
        <w:spacing w:line="360" w:lineRule="auto"/>
        <w:tabs>
          <w:tab w:val="left" w:pos="1059" w:leader="none"/>
        </w:tabs>
        <w:rPr>
          <w:sz w:val="21"/>
          <w:szCs w:val="21"/>
        </w:rPr>
      </w:pPr>
      <w:r>
        <w:rPr>
          <w:rFonts w:hint="eastAsia"/>
          <w:sz w:val="21"/>
          <w:szCs w:val="21"/>
        </w:rPr>
        <w:t xml:space="preserve">投标文件应字迹清楚、内容齐全、不得涂改。如有修改，修改处须有供应商公章和法定代表人或其授权的供应商代表签字。</w:t>
      </w:r>
      <w:r/>
    </w:p>
    <w:p>
      <w:pPr>
        <w:pStyle w:val="961"/>
        <w:numPr>
          <w:ilvl w:val="1"/>
          <w:numId w:val="5"/>
        </w:numPr>
        <w:ind w:firstLine="420"/>
        <w:spacing w:line="360" w:lineRule="auto"/>
        <w:tabs>
          <w:tab w:val="left" w:pos="1059" w:leader="none"/>
        </w:tabs>
        <w:rPr>
          <w:sz w:val="21"/>
          <w:szCs w:val="21"/>
        </w:rPr>
      </w:pPr>
      <w:r>
        <w:rPr>
          <w:rFonts w:hint="eastAsia"/>
          <w:sz w:val="21"/>
          <w:szCs w:val="21"/>
        </w:rPr>
        <w:t xml:space="preserve">投标文件应按照招标文件规定的顺序，统一用A4规格幅面打印、装订成册并编制目录，由于编排混乱导致投标文件被误读或查找不到，责任由供应商承担。</w:t>
      </w:r>
      <w:r/>
    </w:p>
    <w:p>
      <w:pPr>
        <w:pStyle w:val="961"/>
        <w:numPr>
          <w:ilvl w:val="1"/>
          <w:numId w:val="5"/>
        </w:numPr>
        <w:ind w:firstLine="420"/>
        <w:spacing w:line="360" w:lineRule="auto"/>
        <w:tabs>
          <w:tab w:val="left" w:pos="1059" w:leader="none"/>
        </w:tabs>
        <w:rPr>
          <w:b/>
          <w:sz w:val="21"/>
          <w:szCs w:val="21"/>
        </w:rPr>
      </w:pPr>
      <w:r>
        <w:rPr>
          <w:rFonts w:hint="eastAsia"/>
          <w:sz w:val="21"/>
          <w:szCs w:val="21"/>
        </w:rPr>
        <w:t xml:space="preserve">供应商应在投标文件中写清相应的项目编号、项目名称、供应商全称、地址、电话、传真等。   </w:t>
      </w:r>
      <w:r/>
    </w:p>
    <w:p>
      <w:pPr>
        <w:pStyle w:val="961"/>
        <w:ind w:left="440" w:firstLine="0"/>
        <w:spacing w:line="360" w:lineRule="auto"/>
        <w:tabs>
          <w:tab w:val="left" w:pos="1059" w:leader="none"/>
        </w:tabs>
        <w:rPr>
          <w:b/>
          <w:sz w:val="21"/>
          <w:szCs w:val="21"/>
        </w:rPr>
      </w:pPr>
      <w:r>
        <w:rPr>
          <w:rFonts w:hint="eastAsia"/>
          <w:sz w:val="21"/>
          <w:szCs w:val="21"/>
        </w:rPr>
        <w:t xml:space="preserve">7</w:t>
      </w:r>
      <w:r>
        <w:rPr>
          <w:rFonts w:hint="eastAsia"/>
          <w:b/>
          <w:sz w:val="21"/>
          <w:szCs w:val="21"/>
        </w:rPr>
        <w:t xml:space="preserve">、联合投标</w:t>
      </w:r>
      <w:r/>
    </w:p>
    <w:p>
      <w:pPr>
        <w:ind w:firstLine="420"/>
        <w:spacing w:line="360" w:lineRule="auto"/>
        <w:rPr>
          <w:sz w:val="21"/>
          <w:szCs w:val="21"/>
        </w:rPr>
      </w:pPr>
      <w:r>
        <w:rPr>
          <w:rFonts w:hint="eastAsia"/>
          <w:sz w:val="21"/>
          <w:szCs w:val="21"/>
        </w:rPr>
        <w:t xml:space="preserve">本次项目不接受联合体形式投标</w:t>
      </w:r>
      <w:bookmarkStart w:id="11" w:name="8、投标费用"/>
      <w:r/>
      <w:bookmarkEnd w:id="11"/>
      <w:r>
        <w:rPr>
          <w:rFonts w:hint="eastAsia"/>
          <w:sz w:val="21"/>
          <w:szCs w:val="21"/>
        </w:rPr>
        <w:t xml:space="preserve">。</w:t>
      </w:r>
      <w:r/>
    </w:p>
    <w:p>
      <w:pPr>
        <w:ind w:firstLine="422"/>
        <w:spacing w:line="360" w:lineRule="auto"/>
        <w:rPr>
          <w:b/>
          <w:sz w:val="21"/>
          <w:szCs w:val="21"/>
        </w:rPr>
      </w:pPr>
      <w:r>
        <w:rPr>
          <w:rFonts w:hint="eastAsia"/>
          <w:b/>
          <w:sz w:val="21"/>
          <w:szCs w:val="21"/>
        </w:rPr>
        <w:t xml:space="preserve">8、投标费用</w:t>
      </w:r>
      <w:r/>
    </w:p>
    <w:p>
      <w:pPr>
        <w:ind w:firstLine="420"/>
        <w:spacing w:line="360" w:lineRule="auto"/>
        <w:rPr>
          <w:bCs/>
          <w:sz w:val="21"/>
          <w:szCs w:val="21"/>
          <w:lang w:val="en-US"/>
        </w:rPr>
      </w:pPr>
      <w:r>
        <w:rPr>
          <w:rFonts w:hint="eastAsia"/>
          <w:bCs/>
          <w:sz w:val="21"/>
          <w:szCs w:val="21"/>
          <w:lang w:val="en-US"/>
        </w:rPr>
        <w:t xml:space="preserve">8</w:t>
      </w:r>
      <w:r>
        <w:rPr>
          <w:bCs/>
          <w:sz w:val="21"/>
          <w:szCs w:val="21"/>
          <w:lang w:val="en-US"/>
        </w:rPr>
        <w:t xml:space="preserve">.1</w:t>
      </w:r>
      <w:r>
        <w:rPr>
          <w:rFonts w:hint="eastAsia"/>
          <w:bCs/>
          <w:sz w:val="21"/>
          <w:szCs w:val="21"/>
          <w:lang w:val="en-US"/>
        </w:rPr>
        <w:t xml:space="preserve">本次招标，招标代理服务费按《招标代理服务费管理暂行办法》（国家发展计划委员会计价格【</w:t>
      </w:r>
      <w:r>
        <w:rPr>
          <w:bCs/>
          <w:sz w:val="21"/>
          <w:szCs w:val="21"/>
          <w:lang w:val="en-US"/>
        </w:rPr>
        <w:t xml:space="preserve">2002】1980号）收费标准的</w:t>
      </w:r>
      <w:r>
        <w:rPr>
          <w:rFonts w:hint="eastAsia"/>
          <w:bCs/>
          <w:sz w:val="21"/>
          <w:szCs w:val="21"/>
          <w:lang w:val="en-US"/>
        </w:rPr>
        <w:t xml:space="preserve">48</w:t>
      </w:r>
      <w:r>
        <w:rPr>
          <w:bCs/>
          <w:sz w:val="21"/>
          <w:szCs w:val="21"/>
          <w:lang w:val="en-US"/>
        </w:rPr>
        <w:t xml:space="preserve">%计算，由中标单位向招标代理机构支付。该项费用请供应商综合考虑在投标报价中，后期采购人不单独列支，必须在领取中标通知书前向招标代理机构支付招标服务费。  </w:t>
      </w:r>
      <w:r/>
    </w:p>
    <w:p>
      <w:pPr>
        <w:ind w:firstLine="420"/>
        <w:spacing w:line="360" w:lineRule="auto"/>
        <w:rPr>
          <w:bCs/>
          <w:sz w:val="21"/>
          <w:szCs w:val="21"/>
          <w:lang w:val="en-US"/>
        </w:rPr>
      </w:pPr>
      <w:r>
        <w:rPr>
          <w:rFonts w:hint="eastAsia"/>
          <w:bCs/>
          <w:sz w:val="21"/>
          <w:szCs w:val="21"/>
          <w:lang w:val="en-US"/>
        </w:rPr>
        <w:t xml:space="preserve">8.</w:t>
      </w:r>
      <w:r>
        <w:rPr>
          <w:bCs/>
          <w:sz w:val="21"/>
          <w:szCs w:val="21"/>
          <w:lang w:val="en-US"/>
        </w:rPr>
        <w:t xml:space="preserve">2</w:t>
      </w:r>
      <w:r>
        <w:rPr>
          <w:rFonts w:hint="eastAsia"/>
          <w:bCs/>
          <w:sz w:val="21"/>
          <w:szCs w:val="21"/>
          <w:lang w:val="en-US"/>
        </w:rPr>
        <w:t xml:space="preserve">投标保证金：本项目</w:t>
      </w:r>
      <w:r>
        <w:rPr>
          <w:rFonts w:hint="eastAsia"/>
          <w:b/>
          <w:sz w:val="21"/>
          <w:szCs w:val="21"/>
          <w:lang w:val="en-US"/>
        </w:rPr>
        <w:t xml:space="preserve">不收取</w:t>
      </w:r>
      <w:r>
        <w:rPr>
          <w:rFonts w:hint="eastAsia"/>
          <w:bCs/>
          <w:sz w:val="21"/>
          <w:szCs w:val="21"/>
          <w:lang w:val="en-US"/>
        </w:rPr>
        <w:t xml:space="preserve">投标保证金。</w:t>
      </w:r>
      <w:r/>
    </w:p>
    <w:p>
      <w:pPr>
        <w:ind w:firstLine="422"/>
        <w:spacing w:line="360" w:lineRule="auto"/>
        <w:rPr>
          <w:b/>
          <w:sz w:val="21"/>
          <w:szCs w:val="21"/>
        </w:rPr>
      </w:pPr>
      <w:r>
        <w:rPr>
          <w:rFonts w:hint="eastAsia"/>
          <w:b/>
          <w:sz w:val="21"/>
          <w:szCs w:val="21"/>
        </w:rPr>
        <w:t xml:space="preserve">9、投标文件组成</w:t>
      </w:r>
      <w:r/>
    </w:p>
    <w:p>
      <w:pPr>
        <w:pStyle w:val="961"/>
        <w:numPr>
          <w:ilvl w:val="1"/>
          <w:numId w:val="6"/>
        </w:numPr>
        <w:ind w:firstLine="420"/>
        <w:spacing w:line="360" w:lineRule="auto"/>
        <w:tabs>
          <w:tab w:val="left" w:pos="1006" w:leader="none"/>
        </w:tabs>
        <w:rPr>
          <w:sz w:val="21"/>
          <w:szCs w:val="21"/>
        </w:rPr>
      </w:pPr>
      <w:r>
        <w:rPr>
          <w:rFonts w:hint="eastAsia"/>
          <w:sz w:val="21"/>
          <w:szCs w:val="21"/>
        </w:rPr>
        <w:t xml:space="preserve">供应商应当根据招标文件要求编制投标文件，投标文件应对招标文件提出的要求和条件作出实质性响应，并在《商务条款偏离表》和《技术条款偏离表》、《资格性和符合性检查响应对照表》等处逐条标明满足与否。</w:t>
      </w:r>
      <w:r/>
    </w:p>
    <w:p>
      <w:pPr>
        <w:pStyle w:val="961"/>
        <w:numPr>
          <w:ilvl w:val="1"/>
          <w:numId w:val="6"/>
        </w:numPr>
        <w:ind w:firstLine="420"/>
        <w:spacing w:line="360" w:lineRule="auto"/>
        <w:tabs>
          <w:tab w:val="left" w:pos="1049" w:leader="none"/>
        </w:tabs>
        <w:rPr>
          <w:sz w:val="21"/>
          <w:szCs w:val="21"/>
        </w:rPr>
      </w:pPr>
      <w:r>
        <w:rPr>
          <w:rFonts w:hint="eastAsia"/>
          <w:sz w:val="21"/>
          <w:szCs w:val="21"/>
        </w:rPr>
        <w:t xml:space="preserve">供应商根据招标文件载明的标的采购项目实际情况，拟在中标后将中标项目的非主体、非关键性工作交由他人完成的，应当在投标文件中载明。</w:t>
      </w:r>
      <w:r/>
    </w:p>
    <w:p>
      <w:pPr>
        <w:pStyle w:val="961"/>
        <w:numPr>
          <w:ilvl w:val="1"/>
          <w:numId w:val="6"/>
        </w:numPr>
        <w:ind w:firstLine="420"/>
        <w:spacing w:line="360" w:lineRule="auto"/>
        <w:tabs>
          <w:tab w:val="left" w:pos="1059" w:leader="none"/>
        </w:tabs>
        <w:rPr>
          <w:b/>
          <w:sz w:val="21"/>
          <w:szCs w:val="21"/>
        </w:rPr>
      </w:pPr>
      <w:r>
        <w:rPr>
          <w:rFonts w:hint="eastAsia"/>
          <w:sz w:val="21"/>
          <w:szCs w:val="21"/>
        </w:rPr>
        <w:t xml:space="preserve">投标文件由商务部分、技术部分、价格部分，以及其他部分组成。 </w:t>
      </w:r>
      <w:r/>
    </w:p>
    <w:p>
      <w:pPr>
        <w:pStyle w:val="961"/>
        <w:ind w:left="440" w:firstLine="0"/>
        <w:spacing w:line="360" w:lineRule="auto"/>
        <w:tabs>
          <w:tab w:val="left" w:pos="1059" w:leader="none"/>
        </w:tabs>
        <w:rPr>
          <w:b/>
          <w:sz w:val="21"/>
          <w:szCs w:val="21"/>
        </w:rPr>
      </w:pPr>
      <w:r>
        <w:rPr>
          <w:rFonts w:hint="eastAsia"/>
          <w:b/>
          <w:sz w:val="21"/>
          <w:szCs w:val="21"/>
        </w:rPr>
        <w:t xml:space="preserve">10、投标文件的商务部分</w:t>
      </w:r>
      <w:r/>
    </w:p>
    <w:p>
      <w:pPr>
        <w:pStyle w:val="784"/>
        <w:ind w:firstLine="420"/>
        <w:spacing w:line="360" w:lineRule="auto"/>
      </w:pPr>
      <w:r>
        <w:rPr>
          <w:rFonts w:hint="eastAsia"/>
        </w:rPr>
        <w:t xml:space="preserve">10.1 商务部分是证明供应商有资格参加投标和中标后有能力履行合同的文件，这些文件应能满足招标的要求，包括但不限于下列文件，其中加“</w:t>
      </w:r>
      <w:r>
        <w:rPr>
          <w:rFonts w:hint="eastAsia" w:asciiTheme="minorEastAsia" w:hAnsiTheme="minorEastAsia" w:eastAsiaTheme="minorEastAsia"/>
          <w:b/>
        </w:rPr>
        <w:t xml:space="preserve">★</w:t>
      </w:r>
      <w:r>
        <w:rPr>
          <w:rFonts w:hint="eastAsia"/>
        </w:rPr>
        <w:t xml:space="preserve">”项目不得有缺失或无效。</w:t>
      </w:r>
      <w:r/>
    </w:p>
    <w:p>
      <w:pPr>
        <w:pStyle w:val="961"/>
        <w:numPr>
          <w:ilvl w:val="0"/>
          <w:numId w:val="7"/>
        </w:numPr>
        <w:ind w:firstLine="442"/>
        <w:spacing w:line="360" w:lineRule="auto"/>
        <w:tabs>
          <w:tab w:val="left" w:pos="1164" w:leader="none"/>
        </w:tabs>
        <w:rPr>
          <w:sz w:val="21"/>
          <w:szCs w:val="21"/>
        </w:rPr>
      </w:pPr>
      <w:r>
        <w:rPr>
          <w:rFonts w:hint="eastAsia" w:asciiTheme="minorEastAsia" w:hAnsiTheme="minorEastAsia" w:eastAsiaTheme="minorEastAsia"/>
          <w:b/>
          <w:szCs w:val="21"/>
        </w:rPr>
        <w:t xml:space="preserve">★</w:t>
      </w:r>
      <w:r>
        <w:rPr>
          <w:rFonts w:hint="eastAsia"/>
          <w:sz w:val="21"/>
          <w:szCs w:val="21"/>
        </w:rPr>
        <w:t xml:space="preserve">投标申请及声明；</w:t>
      </w:r>
      <w:r/>
    </w:p>
    <w:p>
      <w:pPr>
        <w:pStyle w:val="961"/>
        <w:numPr>
          <w:ilvl w:val="0"/>
          <w:numId w:val="7"/>
        </w:numPr>
        <w:ind w:firstLine="442"/>
        <w:spacing w:line="360" w:lineRule="auto"/>
        <w:tabs>
          <w:tab w:val="left" w:pos="1164" w:leader="none"/>
        </w:tabs>
        <w:rPr>
          <w:sz w:val="21"/>
          <w:szCs w:val="21"/>
        </w:rPr>
      </w:pPr>
      <w:r>
        <w:rPr>
          <w:rFonts w:hint="eastAsia" w:asciiTheme="minorEastAsia" w:hAnsiTheme="minorEastAsia" w:eastAsiaTheme="minorEastAsia"/>
          <w:b/>
          <w:szCs w:val="21"/>
        </w:rPr>
        <w:t xml:space="preserve">★</w:t>
      </w:r>
      <w:r>
        <w:rPr>
          <w:rFonts w:hint="eastAsia"/>
          <w:sz w:val="21"/>
          <w:szCs w:val="21"/>
        </w:rPr>
        <w:t xml:space="preserve">法定代表人授权委托书及委托代理人的身份证复印件；</w:t>
      </w:r>
      <w:r/>
    </w:p>
    <w:p>
      <w:pPr>
        <w:pStyle w:val="961"/>
        <w:numPr>
          <w:ilvl w:val="0"/>
          <w:numId w:val="7"/>
        </w:numPr>
        <w:ind w:firstLine="442"/>
        <w:spacing w:line="360" w:lineRule="auto"/>
        <w:tabs>
          <w:tab w:val="left" w:pos="1169" w:leader="none"/>
        </w:tabs>
        <w:rPr>
          <w:sz w:val="21"/>
          <w:szCs w:val="21"/>
        </w:rPr>
      </w:pPr>
      <w:r>
        <w:rPr>
          <w:rFonts w:hint="eastAsia" w:asciiTheme="minorEastAsia" w:hAnsiTheme="minorEastAsia" w:eastAsiaTheme="minorEastAsia"/>
          <w:b/>
          <w:szCs w:val="21"/>
        </w:rPr>
        <w:t xml:space="preserve">★</w:t>
      </w:r>
      <w:r>
        <w:rPr>
          <w:rFonts w:hint="eastAsia"/>
          <w:b/>
          <w:sz w:val="21"/>
          <w:szCs w:val="21"/>
        </w:rPr>
        <w:t xml:space="preserve">第一章投标邀请中申请人的资格要求规定的资格条件证明文件；</w:t>
      </w:r>
      <w:r/>
    </w:p>
    <w:p>
      <w:pPr>
        <w:pStyle w:val="961"/>
        <w:numPr>
          <w:ilvl w:val="0"/>
          <w:numId w:val="7"/>
        </w:numPr>
        <w:ind w:firstLine="442"/>
        <w:spacing w:line="360" w:lineRule="auto"/>
        <w:tabs>
          <w:tab w:val="left" w:pos="1163" w:leader="none"/>
        </w:tabs>
        <w:rPr>
          <w:sz w:val="21"/>
          <w:szCs w:val="21"/>
        </w:rPr>
      </w:pPr>
      <w:r>
        <w:rPr>
          <w:rFonts w:hint="eastAsia" w:asciiTheme="minorEastAsia" w:hAnsiTheme="minorEastAsia" w:eastAsiaTheme="minorEastAsia"/>
          <w:b/>
          <w:szCs w:val="21"/>
        </w:rPr>
        <w:t xml:space="preserve">★</w:t>
      </w:r>
      <w:r>
        <w:rPr>
          <w:rFonts w:hint="eastAsia"/>
          <w:sz w:val="21"/>
          <w:szCs w:val="21"/>
        </w:rPr>
        <w:t xml:space="preserve">《商务条款偏离表》；</w:t>
      </w:r>
      <w:r/>
    </w:p>
    <w:p>
      <w:pPr>
        <w:pStyle w:val="961"/>
        <w:ind w:left="440" w:firstLine="0"/>
        <w:spacing w:line="360" w:lineRule="auto"/>
        <w:tabs>
          <w:tab w:val="left" w:pos="1163" w:leader="none"/>
        </w:tabs>
        <w:rPr>
          <w:b/>
          <w:sz w:val="21"/>
          <w:szCs w:val="21"/>
        </w:rPr>
      </w:pPr>
      <w:r>
        <w:rPr>
          <w:rFonts w:hint="eastAsia"/>
          <w:sz w:val="21"/>
          <w:szCs w:val="21"/>
        </w:rPr>
        <w:t xml:space="preserve">（</w:t>
      </w:r>
      <w:r>
        <w:rPr>
          <w:rFonts w:hint="eastAsia"/>
          <w:sz w:val="21"/>
          <w:szCs w:val="21"/>
          <w:lang w:val="en-US"/>
        </w:rPr>
        <w:t xml:space="preserve">5</w:t>
      </w:r>
      <w:r>
        <w:rPr>
          <w:rFonts w:hint="eastAsia"/>
          <w:sz w:val="21"/>
          <w:szCs w:val="21"/>
        </w:rPr>
        <w:t xml:space="preserve">）供应商认为需要提供的其他资格证明文件和商务资料等。 </w:t>
      </w:r>
      <w:r/>
    </w:p>
    <w:p>
      <w:pPr>
        <w:pStyle w:val="961"/>
        <w:ind w:left="440" w:firstLine="0"/>
        <w:spacing w:line="360" w:lineRule="auto"/>
        <w:tabs>
          <w:tab w:val="left" w:pos="1163" w:leader="none"/>
        </w:tabs>
        <w:rPr>
          <w:b/>
          <w:sz w:val="21"/>
          <w:szCs w:val="21"/>
        </w:rPr>
      </w:pPr>
      <w:r>
        <w:rPr>
          <w:rFonts w:hint="eastAsia"/>
          <w:b/>
          <w:sz w:val="21"/>
          <w:szCs w:val="21"/>
        </w:rPr>
        <w:t xml:space="preserve">11、投标文件的技术部分</w:t>
      </w:r>
      <w:r/>
    </w:p>
    <w:p>
      <w:pPr>
        <w:pStyle w:val="961"/>
        <w:numPr>
          <w:ilvl w:val="1"/>
          <w:numId w:val="8"/>
        </w:numPr>
        <w:ind w:firstLine="420"/>
        <w:spacing w:line="360" w:lineRule="auto"/>
        <w:tabs>
          <w:tab w:val="left" w:pos="1164" w:leader="none"/>
        </w:tabs>
        <w:rPr>
          <w:sz w:val="21"/>
          <w:szCs w:val="21"/>
        </w:rPr>
      </w:pPr>
      <w:r>
        <w:rPr>
          <w:rFonts w:hint="eastAsia"/>
          <w:sz w:val="21"/>
          <w:szCs w:val="21"/>
        </w:rPr>
        <w:t xml:space="preserve">技术部分是证明供应商提供的产品和服务是合格的、并符合招标文件要求的证明文件，以及对投标报价表中的服务的详细说明，这些文件可以是文字资料、图纸和数据等。</w:t>
      </w:r>
      <w:r/>
    </w:p>
    <w:p>
      <w:pPr>
        <w:pStyle w:val="961"/>
        <w:numPr>
          <w:ilvl w:val="1"/>
          <w:numId w:val="8"/>
        </w:numPr>
        <w:ind w:firstLine="420"/>
        <w:spacing w:line="360" w:lineRule="auto"/>
        <w:tabs>
          <w:tab w:val="left" w:pos="1164" w:leader="none"/>
        </w:tabs>
        <w:rPr>
          <w:sz w:val="21"/>
          <w:szCs w:val="21"/>
        </w:rPr>
      </w:pPr>
      <w:r>
        <w:rPr>
          <w:rFonts w:hint="eastAsia"/>
          <w:sz w:val="21"/>
          <w:szCs w:val="21"/>
        </w:rPr>
        <w:t xml:space="preserve">若技术性能无特殊说明，则按国家有关部门最新颁布的标准及规范为准；</w:t>
      </w:r>
      <w:r/>
    </w:p>
    <w:p>
      <w:pPr>
        <w:pStyle w:val="961"/>
        <w:numPr>
          <w:ilvl w:val="1"/>
          <w:numId w:val="8"/>
        </w:numPr>
        <w:ind w:firstLine="420"/>
        <w:spacing w:line="360" w:lineRule="auto"/>
        <w:tabs>
          <w:tab w:val="left" w:pos="1164" w:leader="none"/>
        </w:tabs>
        <w:rPr>
          <w:sz w:val="21"/>
          <w:szCs w:val="21"/>
        </w:rPr>
      </w:pPr>
      <w:r>
        <w:rPr>
          <w:rFonts w:hint="eastAsia"/>
          <w:sz w:val="21"/>
          <w:szCs w:val="21"/>
        </w:rPr>
        <w:t xml:space="preserve">提供的服务如与招标文件要求有不符之处，应说明其差别之所在，并在《技术条款偏离表》中逐条予以说明。</w:t>
      </w:r>
      <w:r/>
    </w:p>
    <w:p>
      <w:pPr>
        <w:pStyle w:val="961"/>
        <w:numPr>
          <w:ilvl w:val="1"/>
          <w:numId w:val="8"/>
        </w:numPr>
        <w:ind w:firstLine="420"/>
        <w:spacing w:line="360" w:lineRule="auto"/>
        <w:tabs>
          <w:tab w:val="left" w:pos="1164" w:leader="none"/>
        </w:tabs>
        <w:rPr>
          <w:b/>
          <w:sz w:val="21"/>
          <w:szCs w:val="21"/>
        </w:rPr>
      </w:pPr>
      <w:r>
        <w:rPr>
          <w:rFonts w:hint="eastAsia"/>
          <w:sz w:val="21"/>
          <w:szCs w:val="21"/>
        </w:rPr>
        <w:t xml:space="preserve">投标文件应按照招标文件要求提供技术资料、文件和有关证明，包括但不限于</w:t>
      </w:r>
      <w:r>
        <w:rPr>
          <w:rFonts w:hint="eastAsia"/>
          <w:b/>
          <w:sz w:val="21"/>
          <w:szCs w:val="21"/>
        </w:rPr>
        <w:t xml:space="preserve">其中加</w:t>
      </w:r>
      <w:r>
        <w:rPr>
          <w:rFonts w:hint="eastAsia" w:asciiTheme="minorEastAsia" w:hAnsiTheme="minorEastAsia" w:eastAsiaTheme="minorEastAsia"/>
          <w:b/>
          <w:szCs w:val="21"/>
        </w:rPr>
        <w:t xml:space="preserve">★</w:t>
      </w:r>
      <w:r>
        <w:rPr>
          <w:rFonts w:hint="eastAsia"/>
          <w:b/>
          <w:sz w:val="21"/>
          <w:szCs w:val="21"/>
        </w:rPr>
        <w:t xml:space="preserve">项目不得有缺失或无效：</w:t>
      </w:r>
      <w:r/>
    </w:p>
    <w:p>
      <w:pPr>
        <w:pStyle w:val="961"/>
        <w:numPr>
          <w:ilvl w:val="0"/>
          <w:numId w:val="9"/>
        </w:numPr>
        <w:ind w:firstLine="420"/>
        <w:spacing w:line="360" w:lineRule="auto"/>
        <w:tabs>
          <w:tab w:val="left" w:pos="1164" w:leader="none"/>
        </w:tabs>
        <w:rPr>
          <w:bCs/>
          <w:sz w:val="21"/>
          <w:szCs w:val="21"/>
        </w:rPr>
      </w:pPr>
      <w:r>
        <w:rPr>
          <w:rFonts w:hint="eastAsia"/>
          <w:bCs/>
          <w:sz w:val="21"/>
          <w:szCs w:val="21"/>
        </w:rPr>
        <w:t xml:space="preserve">拟投入本项目人员配备表；</w:t>
      </w:r>
      <w:r/>
    </w:p>
    <w:p>
      <w:pPr>
        <w:pStyle w:val="961"/>
        <w:numPr>
          <w:ilvl w:val="0"/>
          <w:numId w:val="9"/>
        </w:numPr>
        <w:ind w:firstLine="420"/>
        <w:spacing w:line="360" w:lineRule="auto"/>
        <w:tabs>
          <w:tab w:val="left" w:pos="1163" w:leader="none"/>
        </w:tabs>
        <w:rPr>
          <w:sz w:val="21"/>
          <w:szCs w:val="21"/>
        </w:rPr>
      </w:pPr>
      <w:r>
        <w:rPr>
          <w:rFonts w:hint="eastAsia"/>
          <w:sz w:val="21"/>
          <w:szCs w:val="21"/>
        </w:rPr>
        <w:t xml:space="preserve">项目实施方案；</w:t>
      </w:r>
      <w:r/>
    </w:p>
    <w:p>
      <w:pPr>
        <w:pStyle w:val="961"/>
        <w:numPr>
          <w:ilvl w:val="0"/>
          <w:numId w:val="9"/>
        </w:numPr>
        <w:ind w:firstLine="420"/>
        <w:spacing w:line="360" w:lineRule="auto"/>
        <w:tabs>
          <w:tab w:val="left" w:pos="1164" w:leader="none"/>
        </w:tabs>
        <w:rPr>
          <w:sz w:val="21"/>
          <w:szCs w:val="21"/>
        </w:rPr>
      </w:pPr>
      <w:r>
        <w:rPr>
          <w:rFonts w:hint="eastAsia"/>
          <w:sz w:val="21"/>
          <w:szCs w:val="21"/>
        </w:rPr>
        <w:t xml:space="preserve">服务承诺；</w:t>
      </w:r>
      <w:r/>
    </w:p>
    <w:p>
      <w:pPr>
        <w:pStyle w:val="961"/>
        <w:numPr>
          <w:ilvl w:val="0"/>
          <w:numId w:val="9"/>
        </w:numPr>
        <w:ind w:firstLine="442"/>
        <w:spacing w:line="360" w:lineRule="auto"/>
        <w:tabs>
          <w:tab w:val="left" w:pos="1163" w:leader="none"/>
        </w:tabs>
        <w:rPr>
          <w:sz w:val="21"/>
          <w:szCs w:val="21"/>
        </w:rPr>
      </w:pPr>
      <w:r>
        <w:rPr>
          <w:rFonts w:hint="eastAsia" w:asciiTheme="minorEastAsia" w:hAnsiTheme="minorEastAsia" w:eastAsiaTheme="minorEastAsia"/>
          <w:b/>
          <w:szCs w:val="21"/>
        </w:rPr>
        <w:t xml:space="preserve">★</w:t>
      </w:r>
      <w:r>
        <w:rPr>
          <w:rFonts w:hint="eastAsia"/>
          <w:sz w:val="21"/>
          <w:szCs w:val="21"/>
        </w:rPr>
        <w:t xml:space="preserve">《技术条款偏离表》；</w:t>
      </w:r>
      <w:r/>
    </w:p>
    <w:p>
      <w:pPr>
        <w:pStyle w:val="961"/>
        <w:numPr>
          <w:ilvl w:val="0"/>
          <w:numId w:val="9"/>
        </w:numPr>
        <w:ind w:firstLine="420"/>
        <w:spacing w:line="360" w:lineRule="auto"/>
        <w:tabs>
          <w:tab w:val="left" w:pos="1163" w:leader="none"/>
        </w:tabs>
        <w:rPr>
          <w:b/>
          <w:sz w:val="21"/>
          <w:szCs w:val="21"/>
        </w:rPr>
      </w:pPr>
      <w:r>
        <w:rPr>
          <w:rFonts w:hint="eastAsia"/>
          <w:sz w:val="21"/>
          <w:szCs w:val="21"/>
        </w:rPr>
        <w:t xml:space="preserve">供应商认为需要提供的其他技术资料。</w:t>
      </w:r>
      <w:r/>
    </w:p>
    <w:p>
      <w:pPr>
        <w:pStyle w:val="961"/>
        <w:ind w:left="440" w:firstLine="0"/>
        <w:spacing w:line="360" w:lineRule="auto"/>
        <w:tabs>
          <w:tab w:val="left" w:pos="1163" w:leader="none"/>
        </w:tabs>
        <w:rPr>
          <w:b/>
          <w:sz w:val="21"/>
          <w:szCs w:val="21"/>
        </w:rPr>
      </w:pPr>
      <w:r>
        <w:rPr>
          <w:rFonts w:hint="eastAsia"/>
          <w:b/>
          <w:sz w:val="21"/>
          <w:szCs w:val="21"/>
        </w:rPr>
        <w:t xml:space="preserve">12、投标文件的价格部分</w:t>
      </w:r>
      <w:r/>
    </w:p>
    <w:p>
      <w:pPr>
        <w:ind w:firstLine="420"/>
        <w:spacing w:line="360" w:lineRule="auto"/>
        <w:tabs>
          <w:tab w:val="left" w:pos="1164" w:leader="none"/>
        </w:tabs>
        <w:rPr>
          <w:sz w:val="21"/>
          <w:szCs w:val="21"/>
        </w:rPr>
      </w:pPr>
      <w:r>
        <w:rPr>
          <w:rFonts w:hint="eastAsia"/>
          <w:sz w:val="21"/>
          <w:szCs w:val="21"/>
        </w:rPr>
        <w:t xml:space="preserve">1</w:t>
      </w:r>
      <w:r>
        <w:rPr>
          <w:sz w:val="21"/>
          <w:szCs w:val="21"/>
        </w:rPr>
        <w:t xml:space="preserve">2.1</w:t>
      </w:r>
      <w:r>
        <w:rPr>
          <w:rFonts w:hint="eastAsia"/>
          <w:sz w:val="21"/>
          <w:szCs w:val="21"/>
        </w:rPr>
        <w:t xml:space="preserve">价格部分是对服务价格构成的说明，招标文件如没有特别说明的话，对每一项服务仅接受一个价格。响应供应商报价是根据招标文件所确定的管理服务范围内的全部工作人员和内容的价格体现，是为完成招标文件规定的服务管理工作所涉及的一切费用。单年报价包括但不仅限于人员费用（</w:t>
      </w:r>
      <w:r>
        <w:rPr>
          <w:sz w:val="21"/>
          <w:szCs w:val="21"/>
        </w:rPr>
        <w:t xml:space="preserve">12个月工资、全年福利、培训、体检、社会保险、加班费等），服务所用设备、工具购置及维护费用，服务所用材料消耗费用、管理费用、利润、税金等支出。</w:t>
      </w:r>
      <w:r/>
    </w:p>
    <w:p>
      <w:pPr>
        <w:ind w:firstLine="420"/>
        <w:spacing w:line="360" w:lineRule="auto"/>
        <w:tabs>
          <w:tab w:val="left" w:pos="1164" w:leader="none"/>
        </w:tabs>
        <w:rPr>
          <w:sz w:val="21"/>
          <w:szCs w:val="21"/>
        </w:rPr>
      </w:pPr>
      <w:r>
        <w:rPr>
          <w:rFonts w:hint="eastAsia"/>
          <w:sz w:val="21"/>
          <w:szCs w:val="21"/>
        </w:rPr>
        <w:t xml:space="preserve">1</w:t>
      </w:r>
      <w:r>
        <w:rPr>
          <w:sz w:val="21"/>
          <w:szCs w:val="21"/>
        </w:rPr>
        <w:t xml:space="preserve">2</w:t>
      </w:r>
      <w:r>
        <w:rPr>
          <w:rFonts w:hint="eastAsia"/>
          <w:sz w:val="21"/>
          <w:szCs w:val="21"/>
        </w:rPr>
        <w:t xml:space="preserve">.</w:t>
      </w:r>
      <w:r>
        <w:rPr>
          <w:sz w:val="21"/>
          <w:szCs w:val="21"/>
        </w:rPr>
        <w:t xml:space="preserve">2</w:t>
      </w:r>
      <w:r>
        <w:rPr>
          <w:rFonts w:hint="eastAsia"/>
          <w:sz w:val="21"/>
          <w:szCs w:val="21"/>
        </w:rPr>
        <w:t xml:space="preserve">招标文件未列明，而响应供应商认为必需的费用也需列入报价。本次报价必须充分考虑所有可能影响报价的价格因素，一旦招标结束最终成交，总价将标定，合同期内一般不予调整。如发生漏、缺、少项，都将被认为是成交供应商的报价让利行为。 </w:t>
      </w:r>
      <w:r>
        <w:rPr>
          <w:sz w:val="21"/>
          <w:szCs w:val="21"/>
        </w:rPr>
        <w:t xml:space="preserve"> </w:t>
      </w:r>
      <w:r/>
    </w:p>
    <w:p>
      <w:pPr>
        <w:ind w:firstLine="420"/>
        <w:spacing w:line="360" w:lineRule="auto"/>
        <w:tabs>
          <w:tab w:val="left" w:pos="1164" w:leader="none"/>
        </w:tabs>
        <w:rPr>
          <w:sz w:val="21"/>
          <w:szCs w:val="21"/>
        </w:rPr>
      </w:pPr>
      <w:r>
        <w:rPr>
          <w:rFonts w:hint="eastAsia"/>
          <w:sz w:val="21"/>
          <w:szCs w:val="21"/>
        </w:rPr>
        <w:t xml:space="preserve">1</w:t>
      </w:r>
      <w:r>
        <w:rPr>
          <w:sz w:val="21"/>
          <w:szCs w:val="21"/>
        </w:rPr>
        <w:t xml:space="preserve">2.3中标服务单位须承担医务室内所有家具及软装设施的购置费用。相关费用应合理分摊至整个服务期内的每一年度。</w:t>
      </w:r>
      <w:r/>
    </w:p>
    <w:p>
      <w:pPr>
        <w:ind w:left="-360"/>
        <w:spacing w:beforeAutospacing="1" w:afterAutospacing="1"/>
        <w:widowControl/>
        <w:rPr>
          <w:sz w:val="21"/>
          <w:szCs w:val="21"/>
        </w:rPr>
      </w:pPr>
      <w:r>
        <w:rPr>
          <w:sz w:val="21"/>
          <w:szCs w:val="21"/>
        </w:rPr>
      </w:r>
      <w:r/>
    </w:p>
    <w:p>
      <w:pPr>
        <w:ind w:left="-360"/>
        <w:spacing w:before="90" w:afterAutospacing="1"/>
        <w:widowControl/>
        <w:rPr>
          <w:sz w:val="21"/>
          <w:szCs w:val="21"/>
        </w:rPr>
      </w:pPr>
      <w:r>
        <w:rPr>
          <w:sz w:val="21"/>
          <w:szCs w:val="21"/>
        </w:rPr>
      </w:r>
      <w:r/>
    </w:p>
    <w:p>
      <w:pPr>
        <w:ind w:firstLine="420"/>
        <w:spacing w:line="360" w:lineRule="auto"/>
        <w:tabs>
          <w:tab w:val="left" w:pos="1164" w:leader="none"/>
        </w:tabs>
        <w:rPr>
          <w:sz w:val="21"/>
          <w:szCs w:val="21"/>
        </w:rPr>
      </w:pPr>
      <w:r>
        <w:rPr>
          <w:rFonts w:hint="eastAsia"/>
          <w:sz w:val="21"/>
          <w:szCs w:val="21"/>
        </w:rPr>
        <w:t xml:space="preserve">1</w:t>
      </w:r>
      <w:r>
        <w:rPr>
          <w:sz w:val="21"/>
          <w:szCs w:val="21"/>
        </w:rPr>
        <w:t xml:space="preserve">2.4资产归属与处置：</w:t>
      </w:r>
      <w:r/>
    </w:p>
    <w:p>
      <w:pPr>
        <w:pStyle w:val="784"/>
        <w:ind w:firstLine="420"/>
        <w:spacing w:line="360" w:lineRule="auto"/>
      </w:pPr>
      <w:r>
        <w:t xml:space="preserve">固定资产（家具及软装）：若服务单位在下一服务期未能中标，其在服务期间投入的所有办公家具及软装设施（包括但不限于桌椅、柜</w:t>
      </w:r>
      <w:r>
        <w:rPr>
          <w:rFonts w:hint="eastAsia"/>
        </w:rPr>
        <w:t xml:space="preserve">子</w:t>
      </w:r>
      <w:r>
        <w:t xml:space="preserve">等）应无偿保留在原医务室，归业主方（或校方/院方）所有，服务单位不得拆除或带走。</w:t>
      </w:r>
      <w:r/>
    </w:p>
    <w:p>
      <w:pPr>
        <w:pStyle w:val="784"/>
        <w:ind w:firstLine="420"/>
        <w:spacing w:line="360" w:lineRule="auto"/>
      </w:pPr>
      <w:r>
        <w:t xml:space="preserve">医疗设备：</w:t>
      </w:r>
      <w:r>
        <w:rPr>
          <w:rFonts w:hint="eastAsia"/>
        </w:rPr>
        <w:t xml:space="preserve">提供详细的医疗设备清单，并按清单配备医疗设备。</w:t>
      </w:r>
      <w:r>
        <w:t xml:space="preserve">在合同终止或未能续签的情况下，服务单位有权收回其投入的专用医疗设备。</w:t>
      </w:r>
      <w:r/>
    </w:p>
    <w:p>
      <w:pPr>
        <w:spacing w:line="360" w:lineRule="auto"/>
        <w:tabs>
          <w:tab w:val="left" w:pos="1164" w:leader="none"/>
        </w:tabs>
        <w:rPr>
          <w:sz w:val="21"/>
          <w:szCs w:val="21"/>
        </w:rPr>
      </w:pPr>
      <w:r>
        <w:rPr>
          <w:rFonts w:hint="eastAsia"/>
          <w:sz w:val="21"/>
          <w:szCs w:val="21"/>
        </w:rPr>
        <w:t xml:space="preserve">1</w:t>
      </w:r>
      <w:r>
        <w:rPr>
          <w:sz w:val="21"/>
          <w:szCs w:val="21"/>
        </w:rPr>
        <w:t xml:space="preserve">2.2</w:t>
      </w:r>
      <w:r>
        <w:rPr>
          <w:rFonts w:hint="eastAsia"/>
          <w:sz w:val="21"/>
          <w:szCs w:val="21"/>
        </w:rPr>
        <w:t xml:space="preserve">供应商应在《开标一览表》、《投标分项报价》等标明提供服务的</w:t>
      </w:r>
      <w:r>
        <w:rPr>
          <w:rFonts w:hint="eastAsia"/>
          <w:b/>
          <w:sz w:val="21"/>
          <w:szCs w:val="21"/>
        </w:rPr>
        <w:t xml:space="preserve">单价、总价以及分项</w:t>
      </w:r>
      <w:r>
        <w:rPr>
          <w:rFonts w:hint="eastAsia"/>
          <w:sz w:val="21"/>
          <w:szCs w:val="21"/>
        </w:rPr>
        <w:t xml:space="preserve">报价。供应商系</w:t>
      </w:r>
      <w:r>
        <w:rPr>
          <w:rFonts w:hint="eastAsia"/>
          <w:b/>
          <w:sz w:val="21"/>
          <w:szCs w:val="21"/>
        </w:rPr>
        <w:t xml:space="preserve">小企业（含小型、微型企业），并提供本企业制造的货物、承担的工程或者服务，</w:t>
      </w:r>
      <w:r>
        <w:rPr>
          <w:rFonts w:hint="eastAsia"/>
          <w:sz w:val="21"/>
          <w:szCs w:val="21"/>
        </w:rPr>
        <w:t xml:space="preserve">或者提供其他小企业制造的货物，须在《开标一览表》、《投标分项报价》中注明。</w:t>
      </w:r>
      <w:r/>
    </w:p>
    <w:p>
      <w:pPr>
        <w:ind w:firstLine="422"/>
        <w:spacing w:line="360" w:lineRule="auto"/>
        <w:rPr>
          <w:b/>
          <w:sz w:val="21"/>
          <w:szCs w:val="21"/>
        </w:rPr>
      </w:pPr>
      <w:r>
        <w:rPr>
          <w:rFonts w:hint="eastAsia"/>
          <w:b/>
          <w:sz w:val="21"/>
          <w:szCs w:val="21"/>
        </w:rPr>
        <w:t xml:space="preserve">13、投标文件的其他部分</w:t>
      </w:r>
      <w:r/>
    </w:p>
    <w:p>
      <w:pPr>
        <w:pStyle w:val="784"/>
        <w:ind w:firstLine="420"/>
        <w:spacing w:line="360" w:lineRule="auto"/>
      </w:pPr>
      <w:r>
        <w:rPr>
          <w:rFonts w:hint="eastAsia"/>
        </w:rPr>
        <w:t xml:space="preserve">13.1 其他部分由供应商根据编制投标文件需要提供的其他相关文件组成。</w:t>
      </w:r>
      <w:r/>
    </w:p>
    <w:p>
      <w:pPr>
        <w:pStyle w:val="784"/>
        <w:ind w:firstLine="422"/>
        <w:spacing w:line="360" w:lineRule="auto"/>
        <w:rPr>
          <w:b/>
        </w:rPr>
      </w:pPr>
      <w:r>
        <w:rPr>
          <w:rFonts w:hint="eastAsia"/>
          <w:b/>
        </w:rPr>
        <w:t xml:space="preserve">14、投标有效期</w:t>
      </w:r>
      <w:r/>
    </w:p>
    <w:p>
      <w:pPr>
        <w:pStyle w:val="961"/>
        <w:numPr>
          <w:ilvl w:val="1"/>
          <w:numId w:val="10"/>
        </w:numPr>
        <w:ind w:firstLine="420"/>
        <w:spacing w:line="360" w:lineRule="auto"/>
        <w:tabs>
          <w:tab w:val="left" w:pos="1164" w:leader="none"/>
        </w:tabs>
        <w:rPr>
          <w:sz w:val="21"/>
          <w:szCs w:val="21"/>
        </w:rPr>
      </w:pPr>
      <w:r>
        <w:rPr>
          <w:rFonts w:hint="eastAsia"/>
          <w:sz w:val="21"/>
          <w:szCs w:val="21"/>
        </w:rPr>
        <w:t xml:space="preserve">自开标之日起</w:t>
      </w:r>
      <w:r>
        <w:rPr>
          <w:rFonts w:hint="eastAsia"/>
          <w:b/>
          <w:sz w:val="21"/>
          <w:szCs w:val="21"/>
        </w:rPr>
        <w:t xml:space="preserve">60天</w:t>
      </w:r>
      <w:r>
        <w:rPr>
          <w:rFonts w:hint="eastAsia"/>
          <w:sz w:val="21"/>
          <w:szCs w:val="21"/>
        </w:rPr>
        <w:t xml:space="preserve">内投标有效。</w:t>
      </w:r>
      <w:r/>
    </w:p>
    <w:p>
      <w:pPr>
        <w:pStyle w:val="961"/>
        <w:numPr>
          <w:ilvl w:val="1"/>
          <w:numId w:val="10"/>
        </w:numPr>
        <w:ind w:firstLine="420"/>
        <w:spacing w:line="360" w:lineRule="auto"/>
        <w:tabs>
          <w:tab w:val="left" w:pos="1164" w:leader="none"/>
        </w:tabs>
        <w:rPr>
          <w:sz w:val="21"/>
          <w:szCs w:val="21"/>
        </w:rPr>
      </w:pPr>
      <w:r>
        <w:rPr>
          <w:rFonts w:hint="eastAsia"/>
          <w:sz w:val="21"/>
          <w:szCs w:val="21"/>
        </w:rPr>
        <w:t xml:space="preserve">在特殊情况下，在原投标有效期截止之前，招标代理可要求供应商同意延长投标有效期，这种要求与答复均以书面形式提交。供应商可拒绝这种要求。接受延长投标有效期的供应商将不会要求和允许修正其投标。</w:t>
      </w:r>
      <w:r/>
    </w:p>
    <w:p>
      <w:pPr>
        <w:ind w:firstLine="422"/>
        <w:spacing w:line="360" w:lineRule="auto"/>
        <w:rPr>
          <w:b/>
          <w:sz w:val="21"/>
          <w:szCs w:val="21"/>
        </w:rPr>
      </w:pPr>
      <w:r>
        <w:rPr>
          <w:rFonts w:hint="eastAsia"/>
          <w:b/>
          <w:sz w:val="21"/>
          <w:szCs w:val="21"/>
        </w:rPr>
        <w:t xml:space="preserve">15、投标文件的份数、签署</w:t>
      </w:r>
      <w:r/>
    </w:p>
    <w:p>
      <w:pPr>
        <w:pStyle w:val="961"/>
        <w:numPr>
          <w:ilvl w:val="1"/>
          <w:numId w:val="11"/>
        </w:numPr>
        <w:ind w:firstLine="420"/>
        <w:spacing w:line="360" w:lineRule="auto"/>
        <w:tabs>
          <w:tab w:val="left" w:pos="1164" w:leader="none"/>
        </w:tabs>
        <w:rPr>
          <w:sz w:val="21"/>
          <w:szCs w:val="21"/>
        </w:rPr>
      </w:pPr>
      <w:r>
        <w:rPr>
          <w:rFonts w:hint="eastAsia"/>
          <w:sz w:val="21"/>
          <w:szCs w:val="21"/>
        </w:rPr>
        <w:t xml:space="preserve">供应商应严格按照招标文件要求的份数准备投标文件，每份投标文件须清楚地标明“正本” 或“副本”字样。一旦正本和副本不符，以正本为准。</w:t>
      </w:r>
      <w:r/>
    </w:p>
    <w:p>
      <w:pPr>
        <w:pStyle w:val="961"/>
        <w:numPr>
          <w:ilvl w:val="1"/>
          <w:numId w:val="11"/>
        </w:numPr>
        <w:ind w:firstLine="420"/>
        <w:spacing w:line="360" w:lineRule="auto"/>
        <w:tabs>
          <w:tab w:val="left" w:pos="1164" w:leader="none"/>
        </w:tabs>
        <w:rPr>
          <w:sz w:val="21"/>
          <w:szCs w:val="21"/>
        </w:rPr>
      </w:pPr>
      <w:r>
        <w:rPr>
          <w:rFonts w:hint="eastAsia"/>
          <w:sz w:val="21"/>
          <w:szCs w:val="21"/>
        </w:rPr>
        <w:t xml:space="preserve">投标文件正本中，除招标文件规定的可提交复印件外，其他文件均须提交原件，文字材料需打印或用不褪色墨水书写。投标文件的正本须经法定代表人或经正式授权并对供应商有约束力的委托代理人签字和加盖供应商公章。本招标文件所表述（指定）的公章是指法定名称章，不包括合同专用章、业务专用章等印章。</w:t>
      </w:r>
      <w:r/>
    </w:p>
    <w:p>
      <w:pPr>
        <w:pStyle w:val="961"/>
        <w:numPr>
          <w:ilvl w:val="1"/>
          <w:numId w:val="11"/>
        </w:numPr>
        <w:ind w:firstLine="420"/>
        <w:spacing w:line="360" w:lineRule="auto"/>
        <w:tabs>
          <w:tab w:val="left" w:pos="1164" w:leader="none"/>
        </w:tabs>
        <w:rPr>
          <w:sz w:val="21"/>
          <w:szCs w:val="21"/>
        </w:rPr>
      </w:pPr>
      <w:r>
        <w:rPr>
          <w:rFonts w:hint="eastAsia"/>
          <w:sz w:val="21"/>
          <w:szCs w:val="21"/>
        </w:rPr>
        <w:t xml:space="preserve">除供应商对错处做必要修改外，投标文件不得行间插字、涂改或增删。如有修改错漏处，必须由投标文件签署人签字或盖章。</w:t>
      </w:r>
      <w:r/>
    </w:p>
    <w:p>
      <w:pPr>
        <w:ind w:firstLine="422"/>
        <w:spacing w:line="360" w:lineRule="auto"/>
        <w:rPr>
          <w:b/>
          <w:sz w:val="21"/>
          <w:szCs w:val="21"/>
        </w:rPr>
      </w:pPr>
      <w:r>
        <w:rPr>
          <w:rFonts w:hint="eastAsia"/>
          <w:b/>
          <w:sz w:val="21"/>
          <w:szCs w:val="21"/>
        </w:rPr>
        <w:t xml:space="preserve">16、投标文件的密封和递交</w:t>
      </w:r>
      <w:r/>
    </w:p>
    <w:p>
      <w:pPr>
        <w:pStyle w:val="961"/>
        <w:numPr>
          <w:ilvl w:val="1"/>
          <w:numId w:val="12"/>
        </w:numPr>
        <w:ind w:firstLine="420"/>
        <w:spacing w:line="360" w:lineRule="auto"/>
        <w:tabs>
          <w:tab w:val="left" w:pos="1164" w:leader="none"/>
        </w:tabs>
        <w:rPr>
          <w:sz w:val="21"/>
          <w:szCs w:val="21"/>
        </w:rPr>
      </w:pPr>
      <w:r>
        <w:rPr>
          <w:rFonts w:hint="eastAsia"/>
          <w:sz w:val="21"/>
          <w:szCs w:val="21"/>
        </w:rPr>
        <w:t xml:space="preserve">供应商应当将投标文件密封；</w:t>
      </w:r>
      <w:r/>
    </w:p>
    <w:p>
      <w:pPr>
        <w:pStyle w:val="961"/>
        <w:numPr>
          <w:ilvl w:val="1"/>
          <w:numId w:val="12"/>
        </w:numPr>
        <w:ind w:firstLine="420"/>
        <w:spacing w:line="360" w:lineRule="auto"/>
        <w:tabs>
          <w:tab w:val="left" w:pos="1164" w:leader="none"/>
        </w:tabs>
        <w:rPr>
          <w:b/>
          <w:sz w:val="21"/>
          <w:szCs w:val="21"/>
        </w:rPr>
      </w:pPr>
      <w:r>
        <w:rPr>
          <w:rFonts w:hint="eastAsia"/>
          <w:sz w:val="21"/>
          <w:szCs w:val="21"/>
        </w:rPr>
        <w:t xml:space="preserve">供应商应当在招标文件要求提交投标文件的截止时间前，将密封的投标文件送达投标地点。   </w:t>
      </w:r>
      <w:r/>
    </w:p>
    <w:p>
      <w:pPr>
        <w:pStyle w:val="961"/>
        <w:ind w:left="440" w:firstLine="0"/>
        <w:spacing w:line="360" w:lineRule="auto"/>
        <w:tabs>
          <w:tab w:val="left" w:pos="1164" w:leader="none"/>
        </w:tabs>
        <w:rPr>
          <w:b/>
          <w:sz w:val="21"/>
          <w:szCs w:val="21"/>
        </w:rPr>
      </w:pPr>
      <w:r>
        <w:rPr>
          <w:rFonts w:hint="eastAsia"/>
          <w:b/>
          <w:sz w:val="21"/>
          <w:szCs w:val="21"/>
        </w:rPr>
        <w:t xml:space="preserve">17、有下列情形之一的投标文件将拒收：</w:t>
      </w:r>
      <w:r/>
    </w:p>
    <w:p>
      <w:pPr>
        <w:ind w:firstLine="420"/>
        <w:spacing w:line="360" w:lineRule="auto"/>
      </w:pPr>
      <w:r>
        <w:rPr>
          <w:rFonts w:hint="eastAsia"/>
          <w:sz w:val="21"/>
          <w:szCs w:val="21"/>
          <w:lang w:val="en-US"/>
        </w:rPr>
        <w:t xml:space="preserve">17.1 </w:t>
      </w:r>
      <w:r>
        <w:rPr>
          <w:rFonts w:hint="eastAsia"/>
          <w:sz w:val="21"/>
          <w:szCs w:val="21"/>
        </w:rPr>
        <w:t xml:space="preserve">在招标文件要求提交投标文件的截止时间之后送达的。</w:t>
      </w:r>
      <w:r/>
    </w:p>
    <w:p>
      <w:pPr>
        <w:ind w:firstLine="422"/>
        <w:spacing w:line="360" w:lineRule="auto"/>
        <w:rPr>
          <w:b/>
          <w:sz w:val="21"/>
          <w:szCs w:val="21"/>
        </w:rPr>
      </w:pPr>
      <w:r>
        <w:rPr>
          <w:rFonts w:hint="eastAsia"/>
          <w:b/>
          <w:sz w:val="21"/>
          <w:szCs w:val="21"/>
        </w:rPr>
        <w:t xml:space="preserve">18、投标文件的修改和撤回</w:t>
      </w:r>
      <w:r/>
    </w:p>
    <w:p>
      <w:pPr>
        <w:pStyle w:val="961"/>
        <w:numPr>
          <w:ilvl w:val="1"/>
          <w:numId w:val="13"/>
        </w:numPr>
        <w:ind w:firstLine="420"/>
        <w:spacing w:line="360" w:lineRule="auto"/>
        <w:tabs>
          <w:tab w:val="left" w:pos="1164" w:leader="none"/>
        </w:tabs>
        <w:rPr>
          <w:sz w:val="21"/>
          <w:szCs w:val="21"/>
        </w:rPr>
      </w:pPr>
      <w:r>
        <w:rPr>
          <w:rFonts w:hint="eastAsia"/>
          <w:sz w:val="21"/>
          <w:szCs w:val="21"/>
        </w:rPr>
        <w:t xml:space="preserve">供应商在投标截止时间前，可以对所递交的投标文件进行补充、修改或撤回，并书面通知招标代理。补充、修改的内容应当按照招标文件要求签署、盖章，并作为投标文件的组成部分。</w:t>
      </w:r>
      <w:r/>
    </w:p>
    <w:p>
      <w:pPr>
        <w:pStyle w:val="961"/>
        <w:numPr>
          <w:ilvl w:val="1"/>
          <w:numId w:val="13"/>
        </w:numPr>
        <w:ind w:firstLine="420"/>
        <w:spacing w:line="360" w:lineRule="auto"/>
        <w:tabs>
          <w:tab w:val="left" w:pos="1164" w:leader="none"/>
        </w:tabs>
        <w:rPr>
          <w:sz w:val="21"/>
          <w:szCs w:val="21"/>
        </w:rPr>
      </w:pPr>
      <w:r>
        <w:rPr>
          <w:rFonts w:hint="eastAsia"/>
          <w:sz w:val="21"/>
          <w:szCs w:val="21"/>
        </w:rPr>
        <w:t xml:space="preserve">投标截止时间之后，投标文件不得撤回。</w:t>
      </w:r>
      <w:r/>
    </w:p>
    <w:p>
      <w:pPr>
        <w:ind w:firstLine="422"/>
        <w:spacing w:line="360" w:lineRule="auto"/>
        <w:rPr>
          <w:b/>
          <w:sz w:val="21"/>
          <w:szCs w:val="21"/>
        </w:rPr>
      </w:pPr>
      <w:r/>
      <w:bookmarkStart w:id="12" w:name="四、开标、评标与确定中标供应商"/>
      <w:r/>
      <w:bookmarkEnd w:id="12"/>
      <w:r>
        <w:rPr>
          <w:rFonts w:hint="eastAsia"/>
          <w:b/>
          <w:sz w:val="21"/>
          <w:szCs w:val="21"/>
        </w:rPr>
        <w:t xml:space="preserve">四、开标、评标与确定中标供应商</w:t>
      </w:r>
      <w:r/>
    </w:p>
    <w:p>
      <w:pPr>
        <w:ind w:firstLine="422"/>
        <w:spacing w:line="360" w:lineRule="auto"/>
        <w:rPr>
          <w:b/>
          <w:sz w:val="21"/>
          <w:szCs w:val="21"/>
        </w:rPr>
      </w:pPr>
      <w:r>
        <w:rPr>
          <w:rFonts w:hint="eastAsia"/>
          <w:b/>
          <w:sz w:val="21"/>
          <w:szCs w:val="21"/>
        </w:rPr>
        <w:t xml:space="preserve">19、开标</w:t>
      </w:r>
      <w:r/>
    </w:p>
    <w:p>
      <w:pPr>
        <w:pStyle w:val="961"/>
        <w:numPr>
          <w:ilvl w:val="1"/>
          <w:numId w:val="14"/>
        </w:numPr>
        <w:ind w:firstLine="420"/>
        <w:spacing w:line="360" w:lineRule="auto"/>
        <w:tabs>
          <w:tab w:val="left" w:pos="1164" w:leader="none"/>
        </w:tabs>
        <w:rPr>
          <w:b/>
          <w:sz w:val="21"/>
          <w:szCs w:val="21"/>
        </w:rPr>
      </w:pPr>
      <w:r>
        <w:rPr>
          <w:rFonts w:hint="eastAsia"/>
          <w:sz w:val="21"/>
          <w:szCs w:val="21"/>
        </w:rPr>
        <w:t xml:space="preserve">招标代理将在招标文件确定的时间和地点进行公开开标。供应商应委派代表准时参加，参加开标的代表须签名报到以证明其出席。</w:t>
      </w:r>
      <w:r>
        <w:rPr>
          <w:rFonts w:hint="eastAsia"/>
          <w:b/>
          <w:sz w:val="21"/>
          <w:szCs w:val="21"/>
        </w:rPr>
        <w:t xml:space="preserve">供应商</w:t>
      </w:r>
      <w:r>
        <w:rPr>
          <w:b/>
          <w:sz w:val="21"/>
          <w:szCs w:val="21"/>
        </w:rPr>
        <w:t xml:space="preserve">授权代表</w:t>
      </w:r>
      <w:r>
        <w:rPr>
          <w:rFonts w:hint="eastAsia"/>
          <w:b/>
          <w:sz w:val="21"/>
          <w:szCs w:val="21"/>
        </w:rPr>
        <w:t xml:space="preserve">须</w:t>
      </w:r>
      <w:r>
        <w:rPr>
          <w:b/>
          <w:sz w:val="21"/>
          <w:szCs w:val="21"/>
        </w:rPr>
        <w:t xml:space="preserve">提供授权委托书（原件）、授权代表本人身份证（复印件加盖投标人公章</w:t>
      </w:r>
      <w:r>
        <w:rPr>
          <w:rFonts w:hint="eastAsia"/>
          <w:b/>
          <w:sz w:val="21"/>
          <w:szCs w:val="21"/>
        </w:rPr>
        <w:t xml:space="preserve">、身份证</w:t>
      </w:r>
      <w:r>
        <w:rPr>
          <w:b/>
          <w:sz w:val="21"/>
          <w:szCs w:val="21"/>
        </w:rPr>
        <w:t xml:space="preserve">原件）和</w:t>
      </w:r>
      <w:r>
        <w:rPr>
          <w:rFonts w:hint="eastAsia"/>
          <w:b/>
          <w:sz w:val="21"/>
          <w:szCs w:val="21"/>
        </w:rPr>
        <w:t xml:space="preserve">供应商</w:t>
      </w:r>
      <w:r>
        <w:rPr>
          <w:b/>
          <w:sz w:val="21"/>
          <w:szCs w:val="21"/>
        </w:rPr>
        <w:t xml:space="preserve">为其缴纳的</w:t>
      </w:r>
      <w:r>
        <w:rPr>
          <w:rFonts w:hint="eastAsia"/>
          <w:b/>
          <w:sz w:val="21"/>
          <w:szCs w:val="21"/>
        </w:rPr>
        <w:t xml:space="preserve">近</w:t>
      </w:r>
      <w:r>
        <w:rPr>
          <w:b/>
          <w:sz w:val="21"/>
          <w:szCs w:val="21"/>
        </w:rPr>
        <w:t xml:space="preserve">半年内任意一个月社保证明或与其签署的劳动合同复印件等可以证明存在劳动关系的材料（复印件加盖投标人公章，原件备查）</w:t>
      </w:r>
      <w:r>
        <w:rPr>
          <w:rFonts w:hint="eastAsia"/>
          <w:b/>
          <w:sz w:val="21"/>
          <w:szCs w:val="21"/>
        </w:rPr>
        <w:t xml:space="preserve">参加开标会</w:t>
      </w:r>
      <w:r>
        <w:rPr>
          <w:b/>
          <w:sz w:val="21"/>
          <w:szCs w:val="21"/>
        </w:rPr>
        <w:t xml:space="preserve">。</w:t>
      </w:r>
      <w:r>
        <w:rPr>
          <w:rFonts w:hint="eastAsia"/>
          <w:b/>
          <w:sz w:val="21"/>
          <w:szCs w:val="21"/>
        </w:rPr>
        <w:t xml:space="preserve">供应商未按要求参加开标会的，采购人有权拒绝其投标。</w:t>
      </w:r>
      <w:r/>
    </w:p>
    <w:p>
      <w:pPr>
        <w:pStyle w:val="961"/>
        <w:numPr>
          <w:ilvl w:val="1"/>
          <w:numId w:val="14"/>
        </w:numPr>
        <w:ind w:firstLine="420"/>
        <w:spacing w:line="360" w:lineRule="auto"/>
        <w:tabs>
          <w:tab w:val="left" w:pos="1164" w:leader="none"/>
        </w:tabs>
        <w:rPr>
          <w:sz w:val="21"/>
          <w:szCs w:val="21"/>
        </w:rPr>
      </w:pPr>
      <w:r>
        <w:rPr>
          <w:rFonts w:hint="eastAsia"/>
          <w:sz w:val="21"/>
          <w:szCs w:val="21"/>
        </w:rPr>
        <w:t xml:space="preserve">开标时，招标代理将邀请所有供应商或供应商代表检查投标文件的密封情况，经确认无误后，由招标代理工作人员当众拆封，宣读供应商名称、投标价格，和招标文件规定的其他主要内容。</w:t>
      </w:r>
      <w:r/>
    </w:p>
    <w:p>
      <w:pPr>
        <w:pStyle w:val="961"/>
        <w:numPr>
          <w:ilvl w:val="1"/>
          <w:numId w:val="14"/>
        </w:numPr>
        <w:ind w:firstLine="420"/>
        <w:spacing w:line="360" w:lineRule="auto"/>
        <w:tabs>
          <w:tab w:val="left" w:pos="1164" w:leader="none"/>
        </w:tabs>
        <w:rPr>
          <w:sz w:val="21"/>
          <w:szCs w:val="21"/>
        </w:rPr>
      </w:pPr>
      <w:r>
        <w:rPr>
          <w:rFonts w:hint="eastAsia"/>
          <w:sz w:val="21"/>
          <w:szCs w:val="21"/>
        </w:rPr>
        <w:t xml:space="preserve">未宣读的投标价格、价格折扣和招标文件允许提供的备选投标方案等实质性内容，评标时不予承认。</w:t>
      </w:r>
      <w:r/>
    </w:p>
    <w:p>
      <w:pPr>
        <w:pStyle w:val="961"/>
        <w:numPr>
          <w:ilvl w:val="1"/>
          <w:numId w:val="14"/>
        </w:numPr>
        <w:ind w:firstLine="420"/>
        <w:spacing w:line="360" w:lineRule="auto"/>
        <w:tabs>
          <w:tab w:val="left" w:pos="1164" w:leader="none"/>
        </w:tabs>
        <w:rPr>
          <w:sz w:val="21"/>
          <w:szCs w:val="21"/>
        </w:rPr>
      </w:pPr>
      <w:r>
        <w:rPr>
          <w:rFonts w:hint="eastAsia"/>
          <w:sz w:val="21"/>
          <w:szCs w:val="21"/>
        </w:rPr>
        <w:t xml:space="preserve">开标时，《开标一览表》（报价表）内容与投标文件中相应内容不一致的，以《开标一览表》（报价表）为准。</w:t>
      </w:r>
      <w:r/>
    </w:p>
    <w:p>
      <w:pPr>
        <w:pStyle w:val="961"/>
        <w:numPr>
          <w:ilvl w:val="1"/>
          <w:numId w:val="14"/>
        </w:numPr>
        <w:ind w:firstLine="420"/>
        <w:spacing w:line="360" w:lineRule="auto"/>
        <w:tabs>
          <w:tab w:val="left" w:pos="1164" w:leader="none"/>
        </w:tabs>
        <w:rPr>
          <w:sz w:val="21"/>
          <w:szCs w:val="21"/>
        </w:rPr>
      </w:pPr>
      <w:r>
        <w:rPr>
          <w:rFonts w:hint="eastAsia"/>
          <w:sz w:val="21"/>
          <w:szCs w:val="21"/>
        </w:rPr>
        <w:t xml:space="preserve">投标文件、《开标一览表》（报价表）中报价的大写金额与小写金额不一致的，以大写金额为</w:t>
      </w:r>
      <w:r/>
    </w:p>
    <w:p>
      <w:pPr>
        <w:pStyle w:val="784"/>
        <w:spacing w:line="360" w:lineRule="auto"/>
      </w:pPr>
      <w:r>
        <w:rPr>
          <w:rFonts w:hint="eastAsia"/>
        </w:rPr>
        <w:t xml:space="preserve">准。</w:t>
      </w:r>
      <w:r/>
    </w:p>
    <w:p>
      <w:pPr>
        <w:pStyle w:val="961"/>
        <w:numPr>
          <w:ilvl w:val="1"/>
          <w:numId w:val="14"/>
        </w:numPr>
        <w:ind w:firstLine="420"/>
        <w:spacing w:line="360" w:lineRule="auto"/>
        <w:tabs>
          <w:tab w:val="left" w:pos="1164" w:leader="none"/>
        </w:tabs>
        <w:rPr>
          <w:sz w:val="21"/>
          <w:szCs w:val="21"/>
        </w:rPr>
      </w:pPr>
      <w:r>
        <w:rPr>
          <w:rFonts w:hint="eastAsia"/>
          <w:sz w:val="21"/>
          <w:szCs w:val="21"/>
        </w:rPr>
        <w:t xml:space="preserve">单价金额小数点或者百分比有明显错位的，以《开标一览表》（报价表）的总价为准，并修改</w:t>
      </w:r>
      <w:r/>
    </w:p>
    <w:p>
      <w:pPr>
        <w:pStyle w:val="784"/>
        <w:spacing w:line="360" w:lineRule="auto"/>
      </w:pPr>
      <w:r>
        <w:rPr>
          <w:rFonts w:hint="eastAsia"/>
        </w:rPr>
        <w:t xml:space="preserve">单价；</w:t>
      </w:r>
      <w:r/>
    </w:p>
    <w:p>
      <w:pPr>
        <w:pStyle w:val="961"/>
        <w:numPr>
          <w:ilvl w:val="1"/>
          <w:numId w:val="14"/>
        </w:numPr>
        <w:ind w:firstLine="420"/>
        <w:spacing w:line="360" w:lineRule="auto"/>
        <w:tabs>
          <w:tab w:val="left" w:pos="1164" w:leader="none"/>
        </w:tabs>
        <w:rPr>
          <w:sz w:val="21"/>
          <w:szCs w:val="21"/>
        </w:rPr>
      </w:pPr>
      <w:r>
        <w:rPr>
          <w:rFonts w:hint="eastAsia"/>
          <w:sz w:val="21"/>
          <w:szCs w:val="21"/>
        </w:rPr>
        <w:t xml:space="preserve">总价金额与按单价汇总金额不一致的，以单价金额计算结果为准；</w:t>
      </w:r>
      <w:r/>
    </w:p>
    <w:p>
      <w:pPr>
        <w:pStyle w:val="961"/>
        <w:numPr>
          <w:ilvl w:val="1"/>
          <w:numId w:val="14"/>
        </w:numPr>
        <w:ind w:firstLine="420"/>
        <w:spacing w:line="360" w:lineRule="auto"/>
        <w:tabs>
          <w:tab w:val="left" w:pos="1164" w:leader="none"/>
        </w:tabs>
        <w:rPr>
          <w:sz w:val="21"/>
          <w:szCs w:val="21"/>
        </w:rPr>
      </w:pPr>
      <w:r>
        <w:rPr>
          <w:rFonts w:hint="eastAsia"/>
          <w:sz w:val="21"/>
          <w:szCs w:val="21"/>
        </w:rPr>
        <w:t xml:space="preserve">同时出现</w:t>
      </w:r>
      <w:r>
        <w:rPr>
          <w:rFonts w:hint="eastAsia"/>
          <w:sz w:val="21"/>
          <w:szCs w:val="21"/>
          <w:lang w:val="en-US"/>
        </w:rPr>
        <w:t xml:space="preserve">19</w:t>
      </w:r>
      <w:r>
        <w:rPr>
          <w:rFonts w:hint="eastAsia"/>
          <w:sz w:val="21"/>
          <w:szCs w:val="21"/>
        </w:rPr>
        <w:t xml:space="preserve">.4-</w:t>
      </w:r>
      <w:r>
        <w:rPr>
          <w:rFonts w:hint="eastAsia"/>
          <w:sz w:val="21"/>
          <w:szCs w:val="21"/>
          <w:lang w:val="en-US"/>
        </w:rPr>
        <w:t xml:space="preserve">19</w:t>
      </w:r>
      <w:r>
        <w:rPr>
          <w:rFonts w:hint="eastAsia"/>
          <w:sz w:val="21"/>
          <w:szCs w:val="21"/>
        </w:rPr>
        <w:t xml:space="preserve">.7中两种以上不一致的，按照</w:t>
      </w:r>
      <w:r>
        <w:rPr>
          <w:rFonts w:hint="eastAsia"/>
          <w:sz w:val="21"/>
          <w:szCs w:val="21"/>
          <w:lang w:val="en-US"/>
        </w:rPr>
        <w:t xml:space="preserve">19</w:t>
      </w:r>
      <w:r>
        <w:rPr>
          <w:rFonts w:hint="eastAsia"/>
          <w:sz w:val="21"/>
          <w:szCs w:val="21"/>
        </w:rPr>
        <w:t xml:space="preserve">.4-</w:t>
      </w:r>
      <w:r>
        <w:rPr>
          <w:rFonts w:hint="eastAsia"/>
          <w:sz w:val="21"/>
          <w:szCs w:val="21"/>
          <w:lang w:val="en-US"/>
        </w:rPr>
        <w:t xml:space="preserve">19</w:t>
      </w:r>
      <w:r>
        <w:rPr>
          <w:rFonts w:hint="eastAsia"/>
          <w:sz w:val="21"/>
          <w:szCs w:val="21"/>
        </w:rPr>
        <w:t xml:space="preserve">.7的顺序修正。修正后的报价由法定代   表人或其授权的代表签字确认后产生约束力，供应商不确认的，投标无效。</w:t>
      </w:r>
      <w:r/>
    </w:p>
    <w:p>
      <w:pPr>
        <w:pStyle w:val="961"/>
        <w:numPr>
          <w:ilvl w:val="1"/>
          <w:numId w:val="14"/>
        </w:numPr>
        <w:ind w:firstLine="420"/>
        <w:spacing w:line="360" w:lineRule="auto"/>
        <w:tabs>
          <w:tab w:val="left" w:pos="1268" w:leader="none"/>
        </w:tabs>
        <w:rPr>
          <w:sz w:val="21"/>
          <w:szCs w:val="21"/>
        </w:rPr>
      </w:pPr>
      <w:r>
        <w:rPr>
          <w:rFonts w:hint="eastAsia"/>
          <w:sz w:val="21"/>
          <w:szCs w:val="21"/>
        </w:rPr>
        <w:t xml:space="preserve">对不同文字文本投标文件的解释发生异议的，以中文文本为准。</w:t>
      </w:r>
      <w:r/>
    </w:p>
    <w:p>
      <w:pPr>
        <w:pStyle w:val="961"/>
        <w:numPr>
          <w:ilvl w:val="1"/>
          <w:numId w:val="14"/>
        </w:numPr>
        <w:ind w:firstLine="420"/>
        <w:spacing w:line="360" w:lineRule="auto"/>
        <w:tabs>
          <w:tab w:val="left" w:pos="1268" w:leader="none"/>
        </w:tabs>
        <w:rPr>
          <w:sz w:val="21"/>
          <w:szCs w:val="21"/>
        </w:rPr>
      </w:pPr>
      <w:r>
        <w:rPr>
          <w:rFonts w:hint="eastAsia"/>
          <w:sz w:val="21"/>
          <w:szCs w:val="21"/>
        </w:rPr>
        <w:t xml:space="preserve">投标截止时间结束后参加投标的供应商不足三家的，除采购任务取消情形外，招标代理报经   监管部门批准后，可变更为竞争性谈判、竞争性磋商或者单一来源方式采购。如果变更为竞争性谈判或   竞争性磋商采购的，招标代理根据招标文件中的采购需求编制竞争性谈判文件或竞争性采购文件，只与   该两家供应商进行竞争性谈判采购或竞争性磋商。</w:t>
      </w:r>
      <w:r/>
    </w:p>
    <w:p>
      <w:pPr>
        <w:ind w:firstLine="422"/>
        <w:spacing w:line="360" w:lineRule="auto"/>
        <w:rPr>
          <w:b/>
          <w:sz w:val="21"/>
          <w:szCs w:val="21"/>
        </w:rPr>
      </w:pPr>
      <w:r>
        <w:rPr>
          <w:rFonts w:hint="eastAsia"/>
          <w:b/>
          <w:sz w:val="21"/>
          <w:szCs w:val="21"/>
        </w:rPr>
        <w:t xml:space="preserve">20、评标</w:t>
      </w:r>
      <w:r/>
    </w:p>
    <w:p>
      <w:pPr>
        <w:pStyle w:val="961"/>
        <w:numPr>
          <w:ilvl w:val="1"/>
          <w:numId w:val="15"/>
        </w:numPr>
        <w:ind w:firstLine="422"/>
        <w:spacing w:line="360" w:lineRule="auto"/>
        <w:tabs>
          <w:tab w:val="left" w:pos="1109" w:leader="none"/>
        </w:tabs>
        <w:rPr>
          <w:b/>
          <w:sz w:val="21"/>
          <w:szCs w:val="21"/>
        </w:rPr>
      </w:pPr>
      <w:r>
        <w:rPr>
          <w:rFonts w:hint="eastAsia"/>
          <w:b/>
          <w:sz w:val="21"/>
          <w:szCs w:val="21"/>
        </w:rPr>
        <w:t xml:space="preserve">评标组织</w:t>
      </w:r>
      <w:r/>
    </w:p>
    <w:p>
      <w:pPr>
        <w:pStyle w:val="961"/>
        <w:numPr>
          <w:ilvl w:val="2"/>
          <w:numId w:val="15"/>
        </w:numPr>
        <w:ind w:firstLine="420"/>
        <w:spacing w:line="360" w:lineRule="auto"/>
        <w:tabs>
          <w:tab w:val="left" w:pos="1320" w:leader="none"/>
        </w:tabs>
        <w:rPr>
          <w:sz w:val="21"/>
          <w:szCs w:val="21"/>
        </w:rPr>
      </w:pPr>
      <w:r>
        <w:rPr>
          <w:rFonts w:hint="eastAsia"/>
          <w:sz w:val="21"/>
          <w:szCs w:val="21"/>
        </w:rPr>
        <w:t xml:space="preserve">评标工作由招标代理负责组织，具体评标事务由依法组建的评标委员会负责，并独立履行下列职责：</w:t>
      </w:r>
      <w:r/>
    </w:p>
    <w:p>
      <w:pPr>
        <w:pStyle w:val="961"/>
        <w:numPr>
          <w:ilvl w:val="0"/>
          <w:numId w:val="16"/>
        </w:numPr>
        <w:ind w:firstLine="420"/>
        <w:spacing w:line="360" w:lineRule="auto"/>
        <w:tabs>
          <w:tab w:val="left" w:pos="1163" w:leader="none"/>
        </w:tabs>
        <w:rPr>
          <w:sz w:val="21"/>
          <w:szCs w:val="21"/>
        </w:rPr>
      </w:pPr>
      <w:r>
        <w:rPr>
          <w:rFonts w:hint="eastAsia"/>
          <w:sz w:val="21"/>
          <w:szCs w:val="21"/>
        </w:rPr>
        <w:t xml:space="preserve">审查、评价投标文件是否符合招标文件的商务、技术等实质性要求；</w:t>
      </w:r>
      <w:r/>
    </w:p>
    <w:p>
      <w:pPr>
        <w:pStyle w:val="961"/>
        <w:numPr>
          <w:ilvl w:val="0"/>
          <w:numId w:val="16"/>
        </w:numPr>
        <w:ind w:firstLine="420"/>
        <w:spacing w:line="360" w:lineRule="auto"/>
        <w:tabs>
          <w:tab w:val="left" w:pos="1163" w:leader="none"/>
        </w:tabs>
        <w:rPr>
          <w:sz w:val="21"/>
          <w:szCs w:val="21"/>
        </w:rPr>
      </w:pPr>
      <w:r>
        <w:rPr>
          <w:rFonts w:hint="eastAsia"/>
          <w:sz w:val="21"/>
          <w:szCs w:val="21"/>
        </w:rPr>
        <w:t xml:space="preserve">要求供应商对投标文件有关事项作出澄清或者说明；</w:t>
      </w:r>
      <w:r/>
    </w:p>
    <w:p>
      <w:pPr>
        <w:pStyle w:val="961"/>
        <w:numPr>
          <w:ilvl w:val="0"/>
          <w:numId w:val="16"/>
        </w:numPr>
        <w:ind w:firstLine="420"/>
        <w:spacing w:line="360" w:lineRule="auto"/>
        <w:tabs>
          <w:tab w:val="left" w:pos="1163" w:leader="none"/>
        </w:tabs>
        <w:rPr>
          <w:sz w:val="21"/>
          <w:szCs w:val="21"/>
        </w:rPr>
      </w:pPr>
      <w:r>
        <w:rPr>
          <w:rFonts w:hint="eastAsia"/>
          <w:sz w:val="21"/>
          <w:szCs w:val="21"/>
        </w:rPr>
        <w:t xml:space="preserve">对投标文件进行比较和评价；</w:t>
      </w:r>
      <w:r/>
    </w:p>
    <w:p>
      <w:pPr>
        <w:pStyle w:val="961"/>
        <w:numPr>
          <w:ilvl w:val="0"/>
          <w:numId w:val="17"/>
        </w:numPr>
        <w:ind w:firstLine="420"/>
        <w:spacing w:line="360" w:lineRule="auto"/>
        <w:tabs>
          <w:tab w:val="left" w:pos="1163" w:leader="none"/>
        </w:tabs>
        <w:rPr>
          <w:sz w:val="21"/>
          <w:szCs w:val="21"/>
        </w:rPr>
      </w:pPr>
      <w:r>
        <w:rPr>
          <w:rFonts w:hint="eastAsia"/>
          <w:sz w:val="21"/>
          <w:szCs w:val="21"/>
        </w:rPr>
        <w:t xml:space="preserve">根据采购人委托协议直接确定中标人；</w:t>
      </w:r>
      <w:r/>
    </w:p>
    <w:p>
      <w:pPr>
        <w:pStyle w:val="961"/>
        <w:numPr>
          <w:ilvl w:val="0"/>
          <w:numId w:val="17"/>
        </w:numPr>
        <w:ind w:firstLine="420"/>
        <w:spacing w:line="360" w:lineRule="auto"/>
        <w:tabs>
          <w:tab w:val="left" w:pos="1163" w:leader="none"/>
        </w:tabs>
        <w:rPr>
          <w:sz w:val="21"/>
          <w:szCs w:val="21"/>
        </w:rPr>
      </w:pPr>
      <w:r>
        <w:rPr>
          <w:rFonts w:hint="eastAsia"/>
          <w:sz w:val="21"/>
          <w:szCs w:val="21"/>
        </w:rPr>
        <w:t xml:space="preserve">向采购人、财政部门报告评标中发现的违法行为。</w:t>
      </w:r>
      <w:r/>
    </w:p>
    <w:p>
      <w:pPr>
        <w:pStyle w:val="961"/>
        <w:numPr>
          <w:ilvl w:val="2"/>
          <w:numId w:val="15"/>
        </w:numPr>
        <w:ind w:firstLine="420"/>
        <w:spacing w:line="360" w:lineRule="auto"/>
        <w:tabs>
          <w:tab w:val="left" w:pos="1378" w:leader="none"/>
        </w:tabs>
        <w:rPr>
          <w:sz w:val="21"/>
          <w:szCs w:val="21"/>
        </w:rPr>
      </w:pPr>
      <w:r>
        <w:rPr>
          <w:rFonts w:hint="eastAsia"/>
          <w:sz w:val="21"/>
          <w:szCs w:val="21"/>
        </w:rPr>
        <w:t xml:space="preserve">评标委员会由采购人代表和有关技术、经济等方面的专家组成，独立开展评审工作。</w:t>
      </w:r>
      <w:r/>
    </w:p>
    <w:p>
      <w:pPr>
        <w:pStyle w:val="961"/>
        <w:numPr>
          <w:ilvl w:val="1"/>
          <w:numId w:val="15"/>
        </w:numPr>
        <w:ind w:firstLine="422"/>
        <w:spacing w:line="360" w:lineRule="auto"/>
        <w:tabs>
          <w:tab w:val="left" w:pos="1167" w:leader="none"/>
        </w:tabs>
        <w:rPr>
          <w:b/>
          <w:sz w:val="21"/>
          <w:szCs w:val="21"/>
        </w:rPr>
      </w:pPr>
      <w:r>
        <w:rPr>
          <w:rFonts w:hint="eastAsia"/>
          <w:b/>
          <w:sz w:val="21"/>
          <w:szCs w:val="21"/>
        </w:rPr>
        <w:t xml:space="preserve">评标程序</w:t>
      </w:r>
      <w:r/>
    </w:p>
    <w:p>
      <w:pPr>
        <w:pStyle w:val="961"/>
        <w:numPr>
          <w:ilvl w:val="2"/>
          <w:numId w:val="15"/>
        </w:numPr>
        <w:ind w:firstLine="422"/>
        <w:spacing w:line="360" w:lineRule="auto"/>
        <w:tabs>
          <w:tab w:val="left" w:pos="1378" w:leader="none"/>
        </w:tabs>
        <w:rPr>
          <w:b/>
          <w:sz w:val="21"/>
          <w:szCs w:val="21"/>
        </w:rPr>
      </w:pPr>
      <w:r>
        <w:rPr>
          <w:rFonts w:hint="eastAsia"/>
          <w:b/>
          <w:sz w:val="21"/>
          <w:szCs w:val="21"/>
        </w:rPr>
        <w:t xml:space="preserve">投标文件的资格审查。</w:t>
      </w:r>
      <w:r/>
    </w:p>
    <w:p>
      <w:pPr>
        <w:pStyle w:val="961"/>
        <w:numPr>
          <w:ilvl w:val="3"/>
          <w:numId w:val="15"/>
        </w:numPr>
        <w:ind w:firstLine="420"/>
        <w:spacing w:line="360" w:lineRule="auto"/>
        <w:tabs>
          <w:tab w:val="left" w:pos="1529" w:leader="none"/>
        </w:tabs>
        <w:rPr>
          <w:sz w:val="21"/>
          <w:szCs w:val="21"/>
        </w:rPr>
      </w:pPr>
      <w:r/>
      <w:bookmarkStart w:id="13" w:name="20.2.1.1采购人代表将依法对投标人的资格进行审查。"/>
      <w:r/>
      <w:bookmarkEnd w:id="13"/>
      <w:r>
        <w:rPr>
          <w:rFonts w:hint="eastAsia"/>
          <w:sz w:val="21"/>
          <w:szCs w:val="21"/>
        </w:rPr>
        <w:t xml:space="preserve">采购人代表将依法对供应商的资格进行审查。</w:t>
      </w:r>
      <w:r/>
    </w:p>
    <w:p>
      <w:pPr>
        <w:pStyle w:val="961"/>
        <w:numPr>
          <w:ilvl w:val="3"/>
          <w:numId w:val="15"/>
        </w:numPr>
        <w:ind w:firstLine="420"/>
        <w:spacing w:line="360" w:lineRule="auto"/>
        <w:tabs>
          <w:tab w:val="left" w:pos="1529" w:leader="none"/>
        </w:tabs>
        <w:rPr>
          <w:sz w:val="21"/>
          <w:szCs w:val="21"/>
        </w:rPr>
      </w:pPr>
      <w:r>
        <w:rPr>
          <w:rFonts w:hint="eastAsia"/>
          <w:sz w:val="21"/>
          <w:szCs w:val="21"/>
        </w:rPr>
        <w:t xml:space="preserve">资格性审查：依据法律法规和招标文件的规定，对投标文件中的资格证明文件等进行审查，   以确定投标供应商是否具备投标资格。</w:t>
      </w:r>
      <w:r/>
    </w:p>
    <w:p>
      <w:pPr>
        <w:pStyle w:val="961"/>
        <w:numPr>
          <w:ilvl w:val="3"/>
          <w:numId w:val="15"/>
        </w:numPr>
        <w:ind w:firstLine="420"/>
        <w:spacing w:line="360" w:lineRule="auto"/>
        <w:tabs>
          <w:tab w:val="left" w:pos="1584" w:leader="none"/>
        </w:tabs>
        <w:rPr>
          <w:sz w:val="21"/>
          <w:szCs w:val="21"/>
        </w:rPr>
      </w:pPr>
      <w:r>
        <w:rPr>
          <w:rFonts w:hint="eastAsia"/>
          <w:sz w:val="21"/>
          <w:szCs w:val="21"/>
        </w:rPr>
        <w:t xml:space="preserve">在进行资格性审查的同时，将在“信用中国”网站、“中国政府采购网"对供应商是否被列入失信被执行人、重大税收违法案件当事人名单、政府采购严重违法失信行为记录名单的情况进行查询，以确定投标供应商是否具备投标资格。查询结果将以网页打印的形式留存并归档。</w:t>
      </w:r>
      <w:r/>
    </w:p>
    <w:p>
      <w:pPr>
        <w:pStyle w:val="961"/>
        <w:numPr>
          <w:ilvl w:val="3"/>
          <w:numId w:val="15"/>
        </w:numPr>
        <w:ind w:firstLine="420"/>
        <w:spacing w:line="360" w:lineRule="auto"/>
        <w:tabs>
          <w:tab w:val="left" w:pos="1584" w:leader="none"/>
        </w:tabs>
        <w:rPr>
          <w:sz w:val="21"/>
          <w:szCs w:val="21"/>
        </w:rPr>
      </w:pPr>
      <w:r>
        <w:rPr>
          <w:rFonts w:hint="eastAsia"/>
          <w:sz w:val="21"/>
          <w:szCs w:val="21"/>
        </w:rPr>
        <w:t xml:space="preserve">投标文件有下列情况之一的，在资格性审查时按照无效投标处理：</w:t>
      </w:r>
      <w:r/>
    </w:p>
    <w:p>
      <w:pPr>
        <w:pStyle w:val="961"/>
        <w:numPr>
          <w:ilvl w:val="0"/>
          <w:numId w:val="18"/>
        </w:numPr>
        <w:ind w:firstLine="420"/>
        <w:spacing w:line="360" w:lineRule="auto"/>
        <w:tabs>
          <w:tab w:val="left" w:pos="1163" w:leader="none"/>
        </w:tabs>
        <w:rPr>
          <w:sz w:val="21"/>
          <w:szCs w:val="21"/>
        </w:rPr>
      </w:pPr>
      <w:r>
        <w:rPr>
          <w:rFonts w:hint="eastAsia"/>
          <w:sz w:val="21"/>
          <w:szCs w:val="21"/>
        </w:rPr>
        <w:t xml:space="preserve">不具备招标文件中规定资格条件的；</w:t>
      </w:r>
      <w:r/>
    </w:p>
    <w:p>
      <w:pPr>
        <w:pStyle w:val="961"/>
        <w:numPr>
          <w:ilvl w:val="0"/>
          <w:numId w:val="18"/>
        </w:numPr>
        <w:ind w:firstLine="420"/>
        <w:spacing w:line="360" w:lineRule="auto"/>
        <w:tabs>
          <w:tab w:val="left" w:pos="1163" w:leader="none"/>
        </w:tabs>
        <w:rPr>
          <w:sz w:val="21"/>
          <w:szCs w:val="21"/>
        </w:rPr>
      </w:pPr>
      <w:r>
        <w:rPr>
          <w:rFonts w:hint="eastAsia"/>
          <w:sz w:val="21"/>
          <w:szCs w:val="21"/>
        </w:rPr>
        <w:t xml:space="preserve">供应商被“信用中国”网站、“中国政府采购网”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961"/>
        <w:numPr>
          <w:ilvl w:val="0"/>
          <w:numId w:val="18"/>
        </w:numPr>
        <w:ind w:firstLine="420"/>
        <w:spacing w:line="360" w:lineRule="auto"/>
        <w:tabs>
          <w:tab w:val="left" w:pos="1163" w:leader="none"/>
        </w:tabs>
        <w:rPr>
          <w:sz w:val="21"/>
          <w:szCs w:val="21"/>
        </w:rPr>
      </w:pPr>
      <w:r>
        <w:rPr>
          <w:rFonts w:hint="eastAsia"/>
          <w:sz w:val="21"/>
          <w:szCs w:val="21"/>
        </w:rPr>
        <w:t xml:space="preserve">未实质性响应招标文件要求的；</w:t>
      </w:r>
      <w:r/>
    </w:p>
    <w:p>
      <w:pPr>
        <w:pStyle w:val="961"/>
        <w:numPr>
          <w:ilvl w:val="0"/>
          <w:numId w:val="18"/>
        </w:numPr>
        <w:ind w:firstLine="420"/>
        <w:spacing w:line="360" w:lineRule="auto"/>
        <w:tabs>
          <w:tab w:val="left" w:pos="1163" w:leader="none"/>
        </w:tabs>
        <w:rPr>
          <w:sz w:val="21"/>
          <w:szCs w:val="21"/>
        </w:rPr>
      </w:pPr>
      <w:r>
        <w:rPr>
          <w:rFonts w:hint="eastAsia"/>
          <w:sz w:val="21"/>
          <w:szCs w:val="21"/>
        </w:rPr>
        <w:t xml:space="preserve">评标委员会认为供应商的报价明显低于其他供应商的报价，有可能影响服务质量或者不能诚信履约的，未在评标现场合理的时间内提供书面说明或相关证明材料，不能证明其报价合理的；</w:t>
      </w:r>
      <w:r/>
    </w:p>
    <w:p>
      <w:pPr>
        <w:pStyle w:val="961"/>
        <w:numPr>
          <w:ilvl w:val="0"/>
          <w:numId w:val="18"/>
        </w:numPr>
        <w:ind w:firstLine="420"/>
        <w:spacing w:line="360" w:lineRule="auto"/>
        <w:tabs>
          <w:tab w:val="left" w:pos="1163" w:leader="none"/>
        </w:tabs>
        <w:rPr>
          <w:sz w:val="21"/>
          <w:szCs w:val="21"/>
        </w:rPr>
      </w:pPr>
      <w:r>
        <w:rPr>
          <w:rFonts w:hint="eastAsia"/>
          <w:sz w:val="21"/>
          <w:szCs w:val="21"/>
        </w:rPr>
        <w:t xml:space="preserve">不符合法律、法规和采购文件规定的其他实质性要求的。</w:t>
      </w:r>
      <w:r/>
    </w:p>
    <w:p>
      <w:pPr>
        <w:pStyle w:val="961"/>
        <w:numPr>
          <w:ilvl w:val="2"/>
          <w:numId w:val="15"/>
        </w:numPr>
        <w:ind w:firstLine="422"/>
        <w:spacing w:line="360" w:lineRule="auto"/>
        <w:tabs>
          <w:tab w:val="left" w:pos="1588" w:leader="none"/>
          <w:tab w:val="left" w:pos="1589" w:leader="none"/>
        </w:tabs>
        <w:rPr>
          <w:b/>
          <w:sz w:val="21"/>
          <w:szCs w:val="21"/>
        </w:rPr>
      </w:pPr>
      <w:r>
        <w:rPr>
          <w:rFonts w:hint="eastAsia"/>
          <w:b/>
          <w:sz w:val="21"/>
          <w:szCs w:val="21"/>
        </w:rPr>
        <w:t xml:space="preserve">投标文件的符合性审查。</w:t>
      </w:r>
      <w:r/>
    </w:p>
    <w:p>
      <w:pPr>
        <w:pStyle w:val="961"/>
        <w:numPr>
          <w:ilvl w:val="3"/>
          <w:numId w:val="15"/>
        </w:numPr>
        <w:ind w:firstLine="420"/>
        <w:spacing w:line="360" w:lineRule="auto"/>
        <w:tabs>
          <w:tab w:val="left" w:pos="1536" w:leader="none"/>
        </w:tabs>
        <w:rPr>
          <w:sz w:val="21"/>
          <w:szCs w:val="21"/>
        </w:rPr>
      </w:pPr>
      <w:r>
        <w:rPr>
          <w:rFonts w:hint="eastAsia"/>
          <w:sz w:val="21"/>
          <w:szCs w:val="21"/>
        </w:rPr>
        <w:t xml:space="preserve">评标委员会将依据法律法规和招标文件的规定，对投标文件的有效性、完整性和对招标文件的响应程度进行审查，以确定是否对招标文件的实质性要求作出响应。</w:t>
      </w:r>
      <w:r/>
    </w:p>
    <w:p>
      <w:pPr>
        <w:pStyle w:val="961"/>
        <w:numPr>
          <w:ilvl w:val="3"/>
          <w:numId w:val="15"/>
        </w:numPr>
        <w:ind w:firstLine="420"/>
        <w:spacing w:line="360" w:lineRule="auto"/>
        <w:tabs>
          <w:tab w:val="left" w:pos="1536" w:leader="none"/>
          <w:tab w:val="left" w:pos="1584" w:leader="none"/>
        </w:tabs>
        <w:rPr>
          <w:sz w:val="21"/>
          <w:szCs w:val="21"/>
        </w:rPr>
      </w:pPr>
      <w:r>
        <w:rPr>
          <w:rFonts w:hint="eastAsia"/>
          <w:sz w:val="21"/>
          <w:szCs w:val="21"/>
        </w:rPr>
        <w:t xml:space="preserve">实质性要求是指本招标文件中 “★”加注的商务和技术要求</w:t>
      </w:r>
      <w:r/>
    </w:p>
    <w:p>
      <w:pPr>
        <w:pStyle w:val="961"/>
        <w:numPr>
          <w:ilvl w:val="3"/>
          <w:numId w:val="15"/>
        </w:numPr>
        <w:ind w:firstLine="420"/>
        <w:spacing w:line="360" w:lineRule="auto"/>
        <w:tabs>
          <w:tab w:val="left" w:pos="1584" w:leader="none"/>
        </w:tabs>
        <w:rPr>
          <w:sz w:val="21"/>
          <w:szCs w:val="21"/>
        </w:rPr>
      </w:pPr>
      <w:r>
        <w:rPr>
          <w:rFonts w:hint="eastAsia"/>
          <w:sz w:val="21"/>
          <w:szCs w:val="21"/>
        </w:rPr>
        <w:t xml:space="preserve">如果投标文件实质上没有响应招标文件的要求，评标委员会将予以拒绝，供应商不得通过修改或撤销不合要求的偏离或保留而使其投标成为实质性响应的投标。</w:t>
      </w:r>
      <w:r/>
    </w:p>
    <w:p>
      <w:pPr>
        <w:pStyle w:val="961"/>
        <w:numPr>
          <w:ilvl w:val="3"/>
          <w:numId w:val="15"/>
        </w:numPr>
        <w:ind w:firstLine="420"/>
        <w:spacing w:line="360" w:lineRule="auto"/>
        <w:tabs>
          <w:tab w:val="left" w:pos="1584" w:leader="none"/>
        </w:tabs>
        <w:rPr>
          <w:sz w:val="21"/>
          <w:szCs w:val="21"/>
        </w:rPr>
      </w:pPr>
      <w:r>
        <w:rPr>
          <w:rFonts w:hint="eastAsia"/>
          <w:sz w:val="21"/>
          <w:szCs w:val="21"/>
        </w:rPr>
        <w:t xml:space="preserve">投标文件有下列情况之一的，在符合性审查时按照</w:t>
      </w:r>
      <w:r>
        <w:rPr>
          <w:rFonts w:hint="eastAsia"/>
          <w:b/>
          <w:sz w:val="21"/>
          <w:szCs w:val="21"/>
        </w:rPr>
        <w:t xml:space="preserve">无效投标处理</w:t>
      </w:r>
      <w:r>
        <w:rPr>
          <w:rFonts w:hint="eastAsia"/>
          <w:sz w:val="21"/>
          <w:szCs w:val="21"/>
        </w:rPr>
        <w:t xml:space="preserve">：</w:t>
      </w:r>
      <w:r/>
    </w:p>
    <w:p>
      <w:pPr>
        <w:pStyle w:val="961"/>
        <w:numPr>
          <w:ilvl w:val="0"/>
          <w:numId w:val="19"/>
        </w:numPr>
        <w:ind w:firstLine="420"/>
        <w:spacing w:line="360" w:lineRule="auto"/>
        <w:tabs>
          <w:tab w:val="left" w:pos="1164" w:leader="none"/>
        </w:tabs>
        <w:rPr>
          <w:sz w:val="21"/>
          <w:szCs w:val="21"/>
        </w:rPr>
      </w:pPr>
      <w:r>
        <w:rPr>
          <w:rFonts w:hint="eastAsia"/>
          <w:sz w:val="21"/>
          <w:szCs w:val="21"/>
        </w:rPr>
        <w:t xml:space="preserve">未按照招标文件规定要求密封、签署、盖章的，以及没有《开标一览表》或《开标一览表》   没有按照招标文件要求盖章的；</w:t>
      </w:r>
      <w:r/>
    </w:p>
    <w:p>
      <w:pPr>
        <w:pStyle w:val="961"/>
        <w:numPr>
          <w:ilvl w:val="0"/>
          <w:numId w:val="19"/>
        </w:numPr>
        <w:ind w:firstLine="420"/>
        <w:spacing w:line="360" w:lineRule="auto"/>
        <w:tabs>
          <w:tab w:val="left" w:pos="1163" w:leader="none"/>
        </w:tabs>
        <w:rPr>
          <w:sz w:val="21"/>
          <w:szCs w:val="21"/>
        </w:rPr>
      </w:pPr>
      <w:r>
        <w:rPr>
          <w:rFonts w:hint="eastAsia"/>
          <w:sz w:val="21"/>
          <w:szCs w:val="21"/>
        </w:rPr>
        <w:t xml:space="preserve">投标总价超出采购预算金额或者最高限价的；</w:t>
      </w:r>
      <w:r/>
    </w:p>
    <w:p>
      <w:pPr>
        <w:pStyle w:val="961"/>
        <w:numPr>
          <w:ilvl w:val="0"/>
          <w:numId w:val="19"/>
        </w:numPr>
        <w:ind w:firstLine="420"/>
        <w:spacing w:line="360" w:lineRule="auto"/>
        <w:tabs>
          <w:tab w:val="left" w:pos="1163" w:leader="none"/>
        </w:tabs>
        <w:rPr>
          <w:sz w:val="21"/>
          <w:szCs w:val="21"/>
        </w:rPr>
      </w:pPr>
      <w:r>
        <w:rPr>
          <w:rFonts w:hint="eastAsia"/>
          <w:sz w:val="21"/>
          <w:szCs w:val="21"/>
        </w:rPr>
        <w:t xml:space="preserve">不同供应商的投标文件由同一单位或者个人编制；</w:t>
      </w:r>
      <w:r/>
    </w:p>
    <w:p>
      <w:pPr>
        <w:pStyle w:val="961"/>
        <w:numPr>
          <w:ilvl w:val="0"/>
          <w:numId w:val="19"/>
        </w:numPr>
        <w:ind w:firstLine="420"/>
        <w:spacing w:line="360" w:lineRule="auto"/>
        <w:tabs>
          <w:tab w:val="left" w:pos="1163" w:leader="none"/>
        </w:tabs>
        <w:rPr>
          <w:sz w:val="21"/>
          <w:szCs w:val="21"/>
        </w:rPr>
      </w:pPr>
      <w:r>
        <w:rPr>
          <w:rFonts w:hint="eastAsia"/>
          <w:sz w:val="21"/>
          <w:szCs w:val="21"/>
        </w:rPr>
        <w:t xml:space="preserve">不同供应商委托同一单位或者个人办理投标事宜；</w:t>
      </w:r>
      <w:r/>
    </w:p>
    <w:p>
      <w:pPr>
        <w:pStyle w:val="961"/>
        <w:numPr>
          <w:ilvl w:val="0"/>
          <w:numId w:val="19"/>
        </w:numPr>
        <w:ind w:firstLine="420"/>
        <w:spacing w:line="360" w:lineRule="auto"/>
        <w:tabs>
          <w:tab w:val="left" w:pos="1163" w:leader="none"/>
        </w:tabs>
        <w:rPr>
          <w:sz w:val="21"/>
          <w:szCs w:val="21"/>
        </w:rPr>
      </w:pPr>
      <w:r>
        <w:rPr>
          <w:rFonts w:hint="eastAsia"/>
          <w:sz w:val="21"/>
          <w:szCs w:val="21"/>
        </w:rPr>
        <w:t xml:space="preserve">不同供应商的投标文件载明的项目管理成员或者联系人员为同一人；</w:t>
      </w:r>
      <w:r/>
    </w:p>
    <w:p>
      <w:pPr>
        <w:pStyle w:val="961"/>
        <w:numPr>
          <w:ilvl w:val="0"/>
          <w:numId w:val="19"/>
        </w:numPr>
        <w:ind w:firstLine="420"/>
        <w:spacing w:line="360" w:lineRule="auto"/>
        <w:tabs>
          <w:tab w:val="left" w:pos="1163" w:leader="none"/>
        </w:tabs>
        <w:rPr>
          <w:sz w:val="21"/>
          <w:szCs w:val="21"/>
        </w:rPr>
      </w:pPr>
      <w:r>
        <w:rPr>
          <w:rFonts w:hint="eastAsia"/>
          <w:sz w:val="21"/>
          <w:szCs w:val="21"/>
        </w:rPr>
        <w:t xml:space="preserve">不同供应商的投标文件异常一致或者投标报价呈规律性差异；</w:t>
      </w:r>
      <w:r/>
    </w:p>
    <w:p>
      <w:pPr>
        <w:pStyle w:val="961"/>
        <w:numPr>
          <w:ilvl w:val="0"/>
          <w:numId w:val="19"/>
        </w:numPr>
        <w:ind w:firstLine="420"/>
        <w:spacing w:line="360" w:lineRule="auto"/>
        <w:tabs>
          <w:tab w:val="left" w:pos="1163" w:leader="none"/>
        </w:tabs>
        <w:rPr>
          <w:sz w:val="21"/>
          <w:szCs w:val="21"/>
        </w:rPr>
      </w:pPr>
      <w:r>
        <w:rPr>
          <w:rFonts w:hint="eastAsia"/>
          <w:sz w:val="21"/>
          <w:szCs w:val="21"/>
        </w:rPr>
        <w:t xml:space="preserve">不同供应商的投标文件相互混装；</w:t>
      </w:r>
      <w:r/>
    </w:p>
    <w:p>
      <w:pPr>
        <w:pStyle w:val="961"/>
        <w:numPr>
          <w:ilvl w:val="0"/>
          <w:numId w:val="19"/>
        </w:numPr>
        <w:ind w:firstLine="420"/>
        <w:spacing w:line="360" w:lineRule="auto"/>
        <w:tabs>
          <w:tab w:val="left" w:pos="1163" w:leader="none"/>
        </w:tabs>
        <w:rPr>
          <w:sz w:val="21"/>
          <w:szCs w:val="21"/>
        </w:rPr>
      </w:pPr>
      <w:r>
        <w:rPr>
          <w:rFonts w:hint="eastAsia"/>
          <w:sz w:val="21"/>
          <w:szCs w:val="21"/>
        </w:rPr>
        <w:t xml:space="preserve">不同供应商的法定代表人或委托代理人有夫妻、直系血亲关系的；</w:t>
      </w:r>
      <w:r/>
    </w:p>
    <w:p>
      <w:pPr>
        <w:pStyle w:val="961"/>
        <w:numPr>
          <w:ilvl w:val="0"/>
          <w:numId w:val="19"/>
        </w:numPr>
        <w:ind w:firstLine="420"/>
        <w:spacing w:line="360" w:lineRule="auto"/>
        <w:tabs>
          <w:tab w:val="left" w:pos="1163" w:leader="none"/>
        </w:tabs>
        <w:rPr>
          <w:sz w:val="21"/>
          <w:szCs w:val="21"/>
        </w:rPr>
      </w:pPr>
      <w:r>
        <w:rPr>
          <w:rFonts w:hint="eastAsia"/>
          <w:sz w:val="21"/>
          <w:szCs w:val="21"/>
        </w:rPr>
        <w:t xml:space="preserve">不同供应商的负责人为同一人或者存在控股、管理关系的；</w:t>
      </w:r>
      <w:r/>
    </w:p>
    <w:p>
      <w:pPr>
        <w:pStyle w:val="961"/>
        <w:numPr>
          <w:ilvl w:val="0"/>
          <w:numId w:val="19"/>
        </w:numPr>
        <w:ind w:firstLine="420"/>
        <w:spacing w:line="360" w:lineRule="auto"/>
        <w:tabs>
          <w:tab w:val="left" w:pos="1269" w:leader="none"/>
        </w:tabs>
        <w:rPr>
          <w:sz w:val="21"/>
          <w:szCs w:val="21"/>
        </w:rPr>
      </w:pPr>
      <w:r>
        <w:rPr>
          <w:rFonts w:hint="eastAsia"/>
          <w:sz w:val="21"/>
          <w:szCs w:val="21"/>
        </w:rPr>
        <w:t xml:space="preserve">没有逐一说明投标产品名称、品牌、规格型号、产地、技术参数和服务响应，而是直接拷贝   招标文件技术要求的；</w:t>
      </w:r>
      <w:r/>
    </w:p>
    <w:p>
      <w:pPr>
        <w:pStyle w:val="961"/>
        <w:numPr>
          <w:ilvl w:val="0"/>
          <w:numId w:val="20"/>
        </w:numPr>
        <w:ind w:firstLine="420"/>
        <w:spacing w:line="360" w:lineRule="auto"/>
        <w:tabs>
          <w:tab w:val="left" w:pos="1269" w:leader="none"/>
        </w:tabs>
        <w:rPr>
          <w:sz w:val="21"/>
          <w:szCs w:val="21"/>
        </w:rPr>
      </w:pPr>
      <w:r>
        <w:rPr>
          <w:rFonts w:hint="eastAsia"/>
          <w:sz w:val="21"/>
          <w:szCs w:val="21"/>
        </w:rPr>
        <w:t xml:space="preserve">不同供应商的委托代理人(或法定代表人、项目经理、项目总监、项目负责人等)在采购文件   发布日上月至投标截止日当月在同一单位缴纳社会保险的；</w:t>
      </w:r>
      <w:r/>
    </w:p>
    <w:p>
      <w:pPr>
        <w:pStyle w:val="961"/>
        <w:numPr>
          <w:ilvl w:val="0"/>
          <w:numId w:val="20"/>
        </w:numPr>
        <w:ind w:firstLine="420"/>
        <w:spacing w:line="360" w:lineRule="auto"/>
        <w:tabs>
          <w:tab w:val="left" w:pos="1269" w:leader="none"/>
        </w:tabs>
        <w:rPr>
          <w:sz w:val="21"/>
          <w:szCs w:val="21"/>
        </w:rPr>
      </w:pPr>
      <w:r>
        <w:rPr>
          <w:rFonts w:hint="eastAsia"/>
          <w:sz w:val="21"/>
          <w:szCs w:val="21"/>
        </w:rPr>
        <w:t xml:space="preserve">服务承诺和付款条件未响应招标要求的；</w:t>
      </w:r>
      <w:r/>
    </w:p>
    <w:p>
      <w:pPr>
        <w:pStyle w:val="961"/>
        <w:numPr>
          <w:ilvl w:val="0"/>
          <w:numId w:val="20"/>
        </w:numPr>
        <w:ind w:firstLine="420"/>
        <w:spacing w:line="360" w:lineRule="auto"/>
        <w:tabs>
          <w:tab w:val="left" w:pos="1269" w:leader="none"/>
        </w:tabs>
        <w:rPr>
          <w:sz w:val="21"/>
          <w:szCs w:val="21"/>
        </w:rPr>
      </w:pPr>
      <w:r>
        <w:rPr>
          <w:rFonts w:hint="eastAsia"/>
          <w:sz w:val="21"/>
          <w:szCs w:val="21"/>
        </w:rPr>
        <w:t xml:space="preserve">投标文件含有采购人不能接受的附加条件的；</w:t>
      </w:r>
      <w:r/>
    </w:p>
    <w:p>
      <w:pPr>
        <w:pStyle w:val="961"/>
        <w:numPr>
          <w:ilvl w:val="0"/>
          <w:numId w:val="20"/>
        </w:numPr>
        <w:ind w:firstLine="420"/>
        <w:spacing w:line="360" w:lineRule="auto"/>
        <w:tabs>
          <w:tab w:val="left" w:pos="1269" w:leader="none"/>
        </w:tabs>
        <w:rPr>
          <w:sz w:val="21"/>
          <w:szCs w:val="21"/>
        </w:rPr>
      </w:pPr>
      <w:r>
        <w:rPr>
          <w:rFonts w:hint="eastAsia"/>
          <w:sz w:val="21"/>
          <w:szCs w:val="21"/>
        </w:rPr>
        <w:t xml:space="preserve">评标委员会认为供应商的报价明显低于其他通过符合性审查供应商的报价，有可能影响产品质量或者不能诚信履约的，未在评标现场合理的时间内提供书面说明或相关证明材料，不能证明其报价合理的；</w:t>
      </w:r>
      <w:r/>
    </w:p>
    <w:p>
      <w:pPr>
        <w:pStyle w:val="961"/>
        <w:numPr>
          <w:ilvl w:val="0"/>
          <w:numId w:val="20"/>
        </w:numPr>
        <w:ind w:firstLine="420"/>
        <w:spacing w:line="360" w:lineRule="auto"/>
        <w:tabs>
          <w:tab w:val="left" w:pos="1269" w:leader="none"/>
        </w:tabs>
        <w:rPr>
          <w:sz w:val="21"/>
          <w:szCs w:val="21"/>
        </w:rPr>
      </w:pPr>
      <w:r>
        <w:rPr>
          <w:rFonts w:hint="eastAsia"/>
          <w:sz w:val="21"/>
          <w:szCs w:val="21"/>
        </w:rPr>
        <w:t xml:space="preserve">不符合法律、法规和招标文件规定的其他无效情形。</w:t>
      </w:r>
      <w:r/>
    </w:p>
    <w:p>
      <w:pPr>
        <w:pStyle w:val="961"/>
        <w:numPr>
          <w:ilvl w:val="3"/>
          <w:numId w:val="21"/>
        </w:numPr>
        <w:ind w:firstLine="420"/>
        <w:spacing w:line="360" w:lineRule="auto"/>
        <w:tabs>
          <w:tab w:val="left" w:pos="1584" w:leader="none"/>
        </w:tabs>
        <w:rPr>
          <w:sz w:val="21"/>
          <w:szCs w:val="21"/>
        </w:rPr>
      </w:pPr>
      <w:r>
        <w:rPr>
          <w:rFonts w:hint="eastAsia"/>
          <w:sz w:val="21"/>
          <w:szCs w:val="21"/>
        </w:rPr>
        <w:t xml:space="preserve">在评标期间，出现符合专业条件的供应商或者对招标文件作出实质性响应的供应商不足三家情形的，比照 </w:t>
      </w:r>
      <w:r>
        <w:rPr>
          <w:rFonts w:hint="eastAsia"/>
          <w:sz w:val="21"/>
          <w:szCs w:val="21"/>
          <w:lang w:val="en-US"/>
        </w:rPr>
        <w:t xml:space="preserve">19</w:t>
      </w:r>
      <w:r>
        <w:rPr>
          <w:rFonts w:hint="eastAsia"/>
          <w:sz w:val="21"/>
          <w:szCs w:val="21"/>
        </w:rPr>
        <w:t xml:space="preserve">.10 款执行。</w:t>
      </w:r>
      <w:r/>
    </w:p>
    <w:p>
      <w:pPr>
        <w:pStyle w:val="961"/>
        <w:numPr>
          <w:ilvl w:val="3"/>
          <w:numId w:val="21"/>
        </w:numPr>
        <w:ind w:firstLine="420"/>
        <w:spacing w:line="360" w:lineRule="auto"/>
        <w:tabs>
          <w:tab w:val="left" w:pos="1584" w:leader="none"/>
        </w:tabs>
        <w:rPr>
          <w:sz w:val="21"/>
          <w:szCs w:val="21"/>
        </w:rPr>
      </w:pPr>
      <w:r>
        <w:rPr>
          <w:rFonts w:hint="eastAsia"/>
          <w:sz w:val="21"/>
          <w:szCs w:val="21"/>
        </w:rPr>
        <w:t xml:space="preserve">有下列情形之一的予以</w:t>
      </w:r>
      <w:r>
        <w:rPr>
          <w:rFonts w:hint="eastAsia"/>
          <w:b/>
          <w:sz w:val="21"/>
          <w:szCs w:val="21"/>
        </w:rPr>
        <w:t xml:space="preserve">废标</w:t>
      </w:r>
      <w:r>
        <w:rPr>
          <w:rFonts w:hint="eastAsia"/>
          <w:sz w:val="21"/>
          <w:szCs w:val="21"/>
        </w:rPr>
        <w:t xml:space="preserve">，同时将废标理由通知所有供应商：</w:t>
      </w:r>
      <w:r/>
    </w:p>
    <w:p>
      <w:pPr>
        <w:pStyle w:val="961"/>
        <w:numPr>
          <w:ilvl w:val="0"/>
          <w:numId w:val="22"/>
        </w:numPr>
        <w:ind w:firstLine="420"/>
        <w:spacing w:line="360" w:lineRule="auto"/>
        <w:tabs>
          <w:tab w:val="left" w:pos="1163" w:leader="none"/>
        </w:tabs>
        <w:rPr>
          <w:sz w:val="21"/>
          <w:szCs w:val="21"/>
        </w:rPr>
      </w:pPr>
      <w:r>
        <w:rPr>
          <w:rFonts w:hint="eastAsia"/>
          <w:sz w:val="21"/>
          <w:szCs w:val="21"/>
        </w:rPr>
        <w:t xml:space="preserve">符合专业条件的供应商或者对招标文件作实质性响应的供应商不足三家的；</w:t>
      </w:r>
      <w:r/>
    </w:p>
    <w:p>
      <w:pPr>
        <w:pStyle w:val="961"/>
        <w:numPr>
          <w:ilvl w:val="0"/>
          <w:numId w:val="22"/>
        </w:numPr>
        <w:ind w:firstLine="420"/>
        <w:spacing w:line="360" w:lineRule="auto"/>
        <w:tabs>
          <w:tab w:val="left" w:pos="1163" w:leader="none"/>
        </w:tabs>
        <w:rPr>
          <w:sz w:val="21"/>
          <w:szCs w:val="21"/>
        </w:rPr>
      </w:pPr>
      <w:r>
        <w:rPr>
          <w:rFonts w:hint="eastAsia"/>
          <w:sz w:val="21"/>
          <w:szCs w:val="21"/>
        </w:rPr>
        <w:t xml:space="preserve">出现影响采购公正的违法、违规行为的；</w:t>
      </w:r>
      <w:r/>
    </w:p>
    <w:p>
      <w:pPr>
        <w:pStyle w:val="961"/>
        <w:numPr>
          <w:ilvl w:val="0"/>
          <w:numId w:val="22"/>
        </w:numPr>
        <w:ind w:firstLine="420"/>
        <w:spacing w:line="360" w:lineRule="auto"/>
        <w:tabs>
          <w:tab w:val="left" w:pos="1163" w:leader="none"/>
        </w:tabs>
        <w:rPr>
          <w:sz w:val="21"/>
          <w:szCs w:val="21"/>
        </w:rPr>
      </w:pPr>
      <w:r>
        <w:rPr>
          <w:rFonts w:hint="eastAsia"/>
          <w:sz w:val="21"/>
          <w:szCs w:val="21"/>
        </w:rPr>
        <w:t xml:space="preserve">供应商的报价均超过了采购预算或最高限价的，采购人不能支付的；</w:t>
      </w:r>
      <w:r/>
    </w:p>
    <w:p>
      <w:pPr>
        <w:pStyle w:val="961"/>
        <w:numPr>
          <w:ilvl w:val="0"/>
          <w:numId w:val="22"/>
        </w:numPr>
        <w:ind w:firstLine="420"/>
        <w:spacing w:line="360" w:lineRule="auto"/>
        <w:tabs>
          <w:tab w:val="left" w:pos="1163" w:leader="none"/>
        </w:tabs>
        <w:rPr>
          <w:sz w:val="21"/>
          <w:szCs w:val="21"/>
        </w:rPr>
      </w:pPr>
      <w:r>
        <w:rPr>
          <w:rFonts w:hint="eastAsia"/>
          <w:sz w:val="21"/>
          <w:szCs w:val="21"/>
        </w:rPr>
        <w:t xml:space="preserve">因重大变故，采购任务取消的；</w:t>
      </w:r>
      <w:r/>
    </w:p>
    <w:p>
      <w:pPr>
        <w:pStyle w:val="961"/>
        <w:numPr>
          <w:ilvl w:val="0"/>
          <w:numId w:val="22"/>
        </w:numPr>
        <w:ind w:firstLine="420"/>
        <w:spacing w:line="360" w:lineRule="auto"/>
        <w:tabs>
          <w:tab w:val="left" w:pos="1163" w:leader="none"/>
        </w:tabs>
        <w:rPr>
          <w:sz w:val="21"/>
          <w:szCs w:val="21"/>
        </w:rPr>
      </w:pPr>
      <w:r>
        <w:rPr>
          <w:rFonts w:hint="eastAsia"/>
          <w:sz w:val="21"/>
          <w:szCs w:val="21"/>
        </w:rPr>
        <w:t xml:space="preserve">招标文件存在歧义、重大缺陷，或者招标文件内容违反国家有关强制性规定的。</w:t>
      </w:r>
      <w:r/>
    </w:p>
    <w:p>
      <w:pPr>
        <w:contextualSpacing/>
        <w:ind w:firstLine="42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20.2.2.6 关于异常低价的审查</w:t>
      </w:r>
      <w:r/>
    </w:p>
    <w:p>
      <w:pPr>
        <w:contextualSpacing/>
        <w:ind w:firstLine="42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20.2.2.6.1 </w:t>
      </w:r>
      <w:r>
        <w:rPr>
          <w:color w:val="000000" w:themeColor="text1"/>
          <w:sz w:val="21"/>
          <w:szCs w:val="21"/>
          <w:lang w:val="en-US"/>
          <w14:textFill>
            <w14:solidFill>
              <w14:schemeClr w14:val="tx1"/>
            </w14:solidFill>
          </w14:textFill>
        </w:rPr>
        <w:t xml:space="preserve">评审过程中出现下列情形之一的，评审委员会应当启动异常低价投标（响应）审查程序：</w:t>
      </w:r>
      <w:r/>
    </w:p>
    <w:p>
      <w:pPr>
        <w:contextualSpacing/>
        <w:ind w:firstLine="42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contextualSpacing/>
        <w:ind w:firstLine="42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contextualSpacing/>
        <w:ind w:firstLine="42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（3）投标（响应）报价低于采购项目最高限价45%的，即投标（响应）报价&lt;采购项目最高限价×45%；</w:t>
      </w:r>
      <w:r/>
    </w:p>
    <w:p>
      <w:pPr>
        <w:contextualSpacing/>
        <w:ind w:firstLine="42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（4）</w:t>
      </w:r>
      <w:r>
        <w:rPr>
          <w:color w:val="000000" w:themeColor="text1"/>
          <w:sz w:val="21"/>
          <w:szCs w:val="21"/>
          <w:lang w:val="en-US"/>
          <w14:textFill>
            <w14:solidFill>
              <w14:schemeClr w14:val="tx1"/>
            </w14:solidFill>
          </w14:textFill>
        </w:rPr>
        <w:t xml:space="preserve">评审委员会认定的供应商报价过低、有可能影响产品质量或者不能诚信履约的其他情形。</w:t>
      </w:r>
      <w:r/>
    </w:p>
    <w:p>
      <w:pPr>
        <w:contextualSpacing/>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20.2.2.6.2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sz w:val="21"/>
          <w:szCs w:val="21"/>
          <w:lang w:val="en-US"/>
          <w14:textFill>
            <w14:solidFill>
              <w14:schemeClr w14:val="tx1"/>
            </w14:solidFill>
          </w14:textFill>
        </w:rPr>
        <w:t xml:space="preserve">投标（响应）供应商不提供书面说明、证明材料，或者提供的书面说明、证明材料不能证明其报价合理性的，评审委员会应当将其作为无效投标（响应）处理。审查相关情况应当在评审报告中进行记录。</w:t>
      </w:r>
      <w:r/>
    </w:p>
    <w:p>
      <w:pPr>
        <w:pStyle w:val="961"/>
        <w:numPr>
          <w:ilvl w:val="2"/>
          <w:numId w:val="15"/>
        </w:numPr>
        <w:ind w:firstLine="422"/>
        <w:spacing w:line="360" w:lineRule="auto"/>
        <w:tabs>
          <w:tab w:val="left" w:pos="1588" w:leader="none"/>
          <w:tab w:val="left" w:pos="1589" w:leader="none"/>
        </w:tabs>
        <w:rPr>
          <w:b/>
          <w:sz w:val="21"/>
          <w:szCs w:val="21"/>
        </w:rPr>
      </w:pPr>
      <w:r>
        <w:rPr>
          <w:rFonts w:hint="eastAsia"/>
          <w:b/>
          <w:sz w:val="21"/>
          <w:szCs w:val="21"/>
        </w:rPr>
        <w:t xml:space="preserve">投标文件的进一步评审。</w:t>
      </w:r>
      <w:r/>
    </w:p>
    <w:p>
      <w:pPr>
        <w:pStyle w:val="961"/>
        <w:numPr>
          <w:ilvl w:val="3"/>
          <w:numId w:val="15"/>
        </w:numPr>
        <w:ind w:firstLine="420"/>
        <w:spacing w:line="360" w:lineRule="auto"/>
        <w:tabs>
          <w:tab w:val="left" w:pos="1529" w:leader="none"/>
        </w:tabs>
        <w:rPr>
          <w:sz w:val="21"/>
          <w:szCs w:val="21"/>
        </w:rPr>
      </w:pPr>
      <w:r>
        <w:rPr>
          <w:rFonts w:hint="eastAsia"/>
          <w:sz w:val="21"/>
          <w:szCs w:val="21"/>
        </w:rPr>
        <w:t xml:space="preserve">评标委员会将对确定为实质性响应的投标文件进行进一步评审，看其是否有计算上或累加上的算术错误，修正错误的原则如下：</w:t>
      </w:r>
      <w:r/>
    </w:p>
    <w:p>
      <w:pPr>
        <w:pStyle w:val="961"/>
        <w:numPr>
          <w:ilvl w:val="0"/>
          <w:numId w:val="23"/>
        </w:numPr>
        <w:ind w:firstLine="420"/>
        <w:spacing w:line="360" w:lineRule="auto"/>
        <w:tabs>
          <w:tab w:val="left" w:pos="1059" w:leader="none"/>
        </w:tabs>
        <w:rPr>
          <w:sz w:val="21"/>
          <w:szCs w:val="21"/>
        </w:rPr>
      </w:pPr>
      <w:r>
        <w:rPr>
          <w:rFonts w:hint="eastAsia"/>
          <w:sz w:val="21"/>
          <w:szCs w:val="21"/>
        </w:rPr>
        <w:t xml:space="preserve">如果用数字表示的金额和用文字表示的金额不一致时，应以文字表示的金额为准进行修正；</w:t>
      </w:r>
      <w:r/>
    </w:p>
    <w:p>
      <w:pPr>
        <w:pStyle w:val="961"/>
        <w:numPr>
          <w:ilvl w:val="0"/>
          <w:numId w:val="23"/>
        </w:numPr>
        <w:ind w:firstLine="420"/>
        <w:spacing w:line="360" w:lineRule="auto"/>
        <w:tabs>
          <w:tab w:val="left" w:pos="1059" w:leader="none"/>
        </w:tabs>
        <w:rPr>
          <w:sz w:val="21"/>
          <w:szCs w:val="21"/>
        </w:rPr>
      </w:pPr>
      <w:r>
        <w:rPr>
          <w:rFonts w:hint="eastAsia"/>
          <w:sz w:val="21"/>
          <w:szCs w:val="21"/>
        </w:rPr>
        <w:t xml:space="preserve">当单价与数量的乘积和总价不一致时，以单价为准进行修正。只有在评委会认为单价有明显的小数点错误时，才能以标出的总价为准，并修改单价。</w:t>
      </w:r>
      <w:r/>
    </w:p>
    <w:p>
      <w:pPr>
        <w:pStyle w:val="961"/>
        <w:numPr>
          <w:ilvl w:val="3"/>
          <w:numId w:val="15"/>
        </w:numPr>
        <w:ind w:firstLine="420"/>
        <w:spacing w:line="360" w:lineRule="auto"/>
        <w:tabs>
          <w:tab w:val="left" w:pos="1529" w:leader="none"/>
        </w:tabs>
        <w:rPr>
          <w:sz w:val="21"/>
          <w:szCs w:val="21"/>
        </w:rPr>
      </w:pPr>
      <w:r>
        <w:rPr>
          <w:rFonts w:hint="eastAsia"/>
          <w:sz w:val="21"/>
          <w:szCs w:val="21"/>
        </w:rPr>
        <w:t xml:space="preserve">评标委员会将按上述修正错误的方法调整投标文件中的投标价，调整后的价格应对供应商具有约束力。如果供应商不接受修正后的价格，则其投标将被拒绝。</w:t>
      </w:r>
      <w:r/>
    </w:p>
    <w:p>
      <w:pPr>
        <w:pStyle w:val="961"/>
        <w:numPr>
          <w:ilvl w:val="3"/>
          <w:numId w:val="15"/>
        </w:numPr>
        <w:ind w:firstLine="420"/>
        <w:spacing w:line="360" w:lineRule="auto"/>
        <w:tabs>
          <w:tab w:val="left" w:pos="1584" w:leader="none"/>
        </w:tabs>
        <w:rPr>
          <w:sz w:val="21"/>
          <w:szCs w:val="21"/>
        </w:rPr>
      </w:pPr>
      <w:r>
        <w:rPr>
          <w:rFonts w:hint="eastAsia"/>
          <w:sz w:val="21"/>
          <w:szCs w:val="21"/>
        </w:rPr>
        <w:t xml:space="preserve">评委会将允许修正投标文件中不构成重大偏离的、微小的、非正规的、不一致的或不规则的地方，但这些修改不能影响任何供应商相应的名次排列。</w:t>
      </w:r>
      <w:r/>
    </w:p>
    <w:p>
      <w:pPr>
        <w:pStyle w:val="961"/>
        <w:numPr>
          <w:ilvl w:val="3"/>
          <w:numId w:val="15"/>
        </w:numPr>
        <w:ind w:firstLine="422"/>
        <w:spacing w:line="360" w:lineRule="auto"/>
        <w:tabs>
          <w:tab w:val="left" w:pos="1584" w:leader="none"/>
        </w:tabs>
        <w:rPr>
          <w:sz w:val="21"/>
          <w:szCs w:val="21"/>
        </w:rPr>
      </w:pPr>
      <w:r>
        <w:rPr>
          <w:rFonts w:hint="eastAsia"/>
          <w:b/>
          <w:sz w:val="21"/>
          <w:szCs w:val="21"/>
        </w:rPr>
        <w:t xml:space="preserve">澄清有关问题</w:t>
      </w:r>
      <w:r>
        <w:rPr>
          <w:rFonts w:hint="eastAsia"/>
          <w:sz w:val="21"/>
          <w:szCs w:val="21"/>
        </w:rPr>
        <w:t xml:space="preserve">。对投标文件中含义不明确、同类问题表述不一致或者明显文字错误的内容，评标委员会可以要求供应商作出必要的澄清、说明或者补正。供应商的澄清、说明、补正应当采用书面形式，由其授权代表签字，但不得超出投标文件的范围或者改变投标文件的实质性内容。</w:t>
      </w:r>
      <w:r/>
    </w:p>
    <w:p>
      <w:pPr>
        <w:pStyle w:val="961"/>
        <w:numPr>
          <w:ilvl w:val="3"/>
          <w:numId w:val="15"/>
        </w:numPr>
        <w:ind w:firstLine="422"/>
        <w:spacing w:line="360" w:lineRule="auto"/>
        <w:tabs>
          <w:tab w:val="left" w:pos="1539" w:leader="none"/>
        </w:tabs>
        <w:rPr>
          <w:sz w:val="21"/>
          <w:szCs w:val="21"/>
        </w:rPr>
      </w:pPr>
      <w:r>
        <w:rPr>
          <w:rFonts w:hint="eastAsia"/>
          <w:b/>
          <w:sz w:val="21"/>
          <w:szCs w:val="21"/>
        </w:rPr>
        <w:t xml:space="preserve">比较与评价。</w:t>
      </w:r>
      <w:r>
        <w:rPr>
          <w:rFonts w:hint="eastAsia"/>
          <w:sz w:val="21"/>
          <w:szCs w:val="21"/>
        </w:rPr>
        <w:t xml:space="preserve">按照招标文件中规定的评标方法和标准，对资格性检查和符合性检查合格的投标文件进行商务和技术评估，综合比较与评价。</w:t>
      </w:r>
      <w:r/>
    </w:p>
    <w:p>
      <w:pPr>
        <w:pStyle w:val="961"/>
        <w:numPr>
          <w:ilvl w:val="1"/>
          <w:numId w:val="24"/>
        </w:numPr>
        <w:ind w:firstLine="422"/>
        <w:spacing w:line="360" w:lineRule="auto"/>
        <w:tabs>
          <w:tab w:val="left" w:pos="1167" w:leader="none"/>
        </w:tabs>
        <w:rPr>
          <w:b/>
          <w:sz w:val="21"/>
          <w:szCs w:val="21"/>
        </w:rPr>
      </w:pPr>
      <w:r>
        <w:rPr>
          <w:rFonts w:hint="eastAsia"/>
          <w:b/>
          <w:sz w:val="21"/>
          <w:szCs w:val="21"/>
        </w:rPr>
        <w:t xml:space="preserve">评标方法和标准</w:t>
      </w:r>
      <w:r/>
    </w:p>
    <w:p>
      <w:pPr>
        <w:pStyle w:val="961"/>
        <w:numPr>
          <w:ilvl w:val="2"/>
          <w:numId w:val="24"/>
        </w:numPr>
        <w:ind w:firstLine="422"/>
        <w:spacing w:line="360" w:lineRule="auto"/>
        <w:tabs>
          <w:tab w:val="left" w:pos="1380" w:leader="none"/>
        </w:tabs>
        <w:rPr>
          <w:sz w:val="21"/>
          <w:szCs w:val="21"/>
        </w:rPr>
      </w:pPr>
      <w:r>
        <w:rPr>
          <w:rFonts w:hint="eastAsia"/>
          <w:b/>
          <w:sz w:val="21"/>
          <w:szCs w:val="21"/>
        </w:rPr>
        <w:t xml:space="preserve">采用综合评分法。</w:t>
      </w:r>
      <w:r>
        <w:rPr>
          <w:rFonts w:hint="eastAsia"/>
          <w:sz w:val="21"/>
          <w:szCs w:val="21"/>
        </w:rPr>
        <w:t xml:space="preserve">即在投标文件满足招标文件全部实质性要求前提下，且按照评审因素的量化指标评审得分最高的供应商为中标人的评标方法。</w:t>
      </w:r>
      <w:r/>
    </w:p>
    <w:p>
      <w:pPr>
        <w:pStyle w:val="961"/>
        <w:numPr>
          <w:ilvl w:val="2"/>
          <w:numId w:val="24"/>
        </w:numPr>
        <w:ind w:firstLine="420"/>
        <w:spacing w:line="360" w:lineRule="auto"/>
        <w:tabs>
          <w:tab w:val="left" w:pos="1373" w:leader="none"/>
        </w:tabs>
        <w:rPr>
          <w:sz w:val="21"/>
          <w:szCs w:val="21"/>
        </w:rPr>
      </w:pPr>
      <w:r>
        <w:rPr>
          <w:rFonts w:hint="eastAsia"/>
          <w:sz w:val="21"/>
          <w:szCs w:val="21"/>
        </w:rPr>
        <w:t xml:space="preserve">综合评分的主要因素是：详见文件第三章。</w:t>
      </w:r>
      <w:r/>
    </w:p>
    <w:p>
      <w:pPr>
        <w:pStyle w:val="961"/>
        <w:numPr>
          <w:ilvl w:val="2"/>
          <w:numId w:val="24"/>
        </w:numPr>
        <w:ind w:firstLine="422"/>
        <w:spacing w:line="360" w:lineRule="auto"/>
        <w:tabs>
          <w:tab w:val="left" w:pos="1270" w:leader="none"/>
        </w:tabs>
        <w:rPr>
          <w:b/>
          <w:sz w:val="21"/>
          <w:szCs w:val="21"/>
        </w:rPr>
      </w:pPr>
      <w:r>
        <w:rPr>
          <w:rFonts w:hint="eastAsia"/>
          <w:b/>
          <w:sz w:val="21"/>
          <w:szCs w:val="21"/>
        </w:rPr>
        <w:t xml:space="preserve">评分标准详见文件第三章。</w:t>
      </w:r>
      <w:r/>
    </w:p>
    <w:p>
      <w:pPr>
        <w:ind w:firstLine="422"/>
        <w:spacing w:line="360" w:lineRule="auto"/>
        <w:rPr>
          <w:b/>
          <w:sz w:val="21"/>
          <w:szCs w:val="21"/>
        </w:rPr>
      </w:pPr>
      <w:r>
        <w:rPr>
          <w:rFonts w:hint="eastAsia"/>
          <w:b/>
          <w:sz w:val="21"/>
          <w:szCs w:val="21"/>
        </w:rPr>
        <w:t xml:space="preserve">21、确定中标供应商</w:t>
      </w:r>
      <w:r/>
    </w:p>
    <w:p>
      <w:pPr>
        <w:pStyle w:val="961"/>
        <w:numPr>
          <w:ilvl w:val="1"/>
          <w:numId w:val="25"/>
        </w:numPr>
        <w:ind w:firstLine="420"/>
        <w:spacing w:line="360" w:lineRule="auto"/>
        <w:tabs>
          <w:tab w:val="left" w:pos="1164" w:leader="none"/>
        </w:tabs>
        <w:rPr>
          <w:sz w:val="21"/>
          <w:szCs w:val="21"/>
        </w:rPr>
      </w:pPr>
      <w:r>
        <w:rPr>
          <w:rFonts w:hint="eastAsia"/>
          <w:sz w:val="21"/>
          <w:szCs w:val="21"/>
        </w:rPr>
        <w:t xml:space="preserve">在综合比较与评价后按照得分由高到低顺序对供应商进行排列。评标委员会将综合排名第一的供应商确定为中标供应商。得分相同的，按投标报价由低到高顺序排列。得分且投标报价相同的并列，先提交投标文件的供应商为中标供应商。</w:t>
      </w:r>
      <w:r/>
    </w:p>
    <w:p>
      <w:pPr>
        <w:pStyle w:val="961"/>
        <w:numPr>
          <w:ilvl w:val="1"/>
          <w:numId w:val="25"/>
        </w:numPr>
        <w:ind w:firstLine="420"/>
        <w:spacing w:line="360" w:lineRule="auto"/>
        <w:tabs>
          <w:tab w:val="left" w:pos="1164" w:leader="none"/>
        </w:tabs>
        <w:rPr>
          <w:sz w:val="21"/>
          <w:szCs w:val="21"/>
        </w:rPr>
      </w:pPr>
      <w:r>
        <w:rPr>
          <w:rFonts w:hint="eastAsia"/>
          <w:sz w:val="21"/>
          <w:szCs w:val="21"/>
        </w:rPr>
        <w:t xml:space="preserve">中标供应商确定之日起2个工作日内，将在财政部门指定的政府采购信息发布媒体上公告，中标供应商及时到招标代理领取《中标通知书》。</w:t>
      </w:r>
      <w:r/>
    </w:p>
    <w:p>
      <w:pPr>
        <w:pStyle w:val="961"/>
        <w:numPr>
          <w:ilvl w:val="1"/>
          <w:numId w:val="25"/>
        </w:numPr>
        <w:ind w:firstLine="420"/>
        <w:spacing w:line="360" w:lineRule="auto"/>
        <w:tabs>
          <w:tab w:val="left" w:pos="1164" w:leader="none"/>
        </w:tabs>
        <w:rPr>
          <w:sz w:val="21"/>
          <w:szCs w:val="21"/>
        </w:rPr>
      </w:pPr>
      <w:r>
        <w:rPr>
          <w:rFonts w:hint="eastAsia"/>
          <w:sz w:val="21"/>
          <w:szCs w:val="21"/>
        </w:rPr>
        <w:t xml:space="preserve">中标通知书对采购人和中标供应商具有同等法律效力。</w:t>
      </w:r>
      <w:r/>
    </w:p>
    <w:p>
      <w:pPr>
        <w:pStyle w:val="961"/>
        <w:numPr>
          <w:ilvl w:val="1"/>
          <w:numId w:val="25"/>
        </w:numPr>
        <w:ind w:firstLine="420"/>
        <w:spacing w:line="360" w:lineRule="auto"/>
        <w:tabs>
          <w:tab w:val="left" w:pos="1164" w:leader="none"/>
        </w:tabs>
        <w:rPr>
          <w:sz w:val="21"/>
          <w:szCs w:val="21"/>
        </w:rPr>
      </w:pPr>
      <w:r>
        <w:rPr>
          <w:rFonts w:hint="eastAsia"/>
          <w:sz w:val="21"/>
          <w:szCs w:val="21"/>
        </w:rPr>
        <w:t xml:space="preserve">中标通知书发出后，中标供应商无正当理由不与采购人签订合同的；情节严重的，由财政部门将其列入不良行为记录名单，在一至三年内禁止参加江苏开放大学政府采购活动，并予以通报。</w:t>
      </w:r>
      <w:r/>
    </w:p>
    <w:p>
      <w:pPr>
        <w:pStyle w:val="961"/>
        <w:numPr>
          <w:ilvl w:val="1"/>
          <w:numId w:val="25"/>
        </w:numPr>
        <w:ind w:firstLine="420"/>
        <w:spacing w:line="360" w:lineRule="auto"/>
        <w:tabs>
          <w:tab w:val="left" w:pos="1164" w:leader="none"/>
        </w:tabs>
        <w:rPr>
          <w:sz w:val="21"/>
          <w:szCs w:val="21"/>
        </w:rPr>
      </w:pPr>
      <w:r>
        <w:rPr>
          <w:rFonts w:hint="eastAsia"/>
          <w:sz w:val="21"/>
          <w:szCs w:val="21"/>
        </w:rPr>
        <w:t xml:space="preserve">招标代理和评标委员会对未中标的供应商不作未中标原因的解释。</w:t>
      </w:r>
      <w:r/>
    </w:p>
    <w:p>
      <w:pPr>
        <w:pStyle w:val="961"/>
        <w:numPr>
          <w:ilvl w:val="1"/>
          <w:numId w:val="25"/>
        </w:numPr>
        <w:ind w:firstLine="420"/>
        <w:spacing w:line="360" w:lineRule="auto"/>
        <w:tabs>
          <w:tab w:val="left" w:pos="1164" w:leader="none"/>
        </w:tabs>
        <w:rPr>
          <w:b/>
          <w:sz w:val="21"/>
          <w:szCs w:val="21"/>
        </w:rPr>
      </w:pPr>
      <w:r>
        <w:rPr>
          <w:rFonts w:hint="eastAsia"/>
          <w:sz w:val="21"/>
          <w:szCs w:val="21"/>
        </w:rPr>
        <w:t xml:space="preserve">所有投标文件都将作为档案保存，不论中标与否，招标代理均不退回。  </w:t>
      </w:r>
      <w:r/>
    </w:p>
    <w:p>
      <w:pPr>
        <w:pStyle w:val="961"/>
        <w:ind w:left="0" w:firstLine="422"/>
        <w:spacing w:line="360" w:lineRule="auto"/>
        <w:tabs>
          <w:tab w:val="left" w:pos="1164" w:leader="none"/>
        </w:tabs>
        <w:rPr>
          <w:b/>
          <w:sz w:val="21"/>
          <w:szCs w:val="21"/>
        </w:rPr>
      </w:pPr>
      <w:r>
        <w:rPr>
          <w:rFonts w:hint="eastAsia"/>
          <w:b/>
          <w:sz w:val="21"/>
          <w:szCs w:val="21"/>
        </w:rPr>
        <w:t xml:space="preserve">22、编写评标报告</w:t>
      </w:r>
      <w:r/>
    </w:p>
    <w:p>
      <w:pPr>
        <w:ind w:firstLine="420"/>
        <w:spacing w:line="360" w:lineRule="auto"/>
        <w:rPr>
          <w:sz w:val="21"/>
          <w:szCs w:val="21"/>
        </w:rPr>
      </w:pPr>
      <w:r>
        <w:rPr>
          <w:rFonts w:hint="eastAsia"/>
          <w:sz w:val="21"/>
          <w:szCs w:val="21"/>
        </w:rPr>
        <w:t xml:space="preserve">22.1 评标委员会根据全体评标成员签字的原始评标记录和评标结果编写评标报告。</w:t>
      </w:r>
      <w:r/>
    </w:p>
    <w:p>
      <w:pPr>
        <w:ind w:firstLine="422"/>
        <w:spacing w:line="360" w:lineRule="auto"/>
        <w:rPr>
          <w:b/>
          <w:sz w:val="21"/>
          <w:szCs w:val="21"/>
        </w:rPr>
      </w:pPr>
      <w:r>
        <w:rPr>
          <w:rFonts w:hint="eastAsia"/>
          <w:b/>
          <w:sz w:val="21"/>
          <w:szCs w:val="21"/>
        </w:rPr>
        <w:t xml:space="preserve">23、评标过程的保密性</w:t>
      </w:r>
      <w:r/>
    </w:p>
    <w:p>
      <w:pPr>
        <w:pStyle w:val="961"/>
        <w:numPr>
          <w:ilvl w:val="1"/>
          <w:numId w:val="26"/>
        </w:numPr>
        <w:ind w:firstLine="420"/>
        <w:spacing w:line="360" w:lineRule="auto"/>
        <w:tabs>
          <w:tab w:val="left" w:pos="1164" w:leader="none"/>
        </w:tabs>
        <w:rPr>
          <w:sz w:val="21"/>
          <w:szCs w:val="21"/>
        </w:rPr>
      </w:pPr>
      <w:r>
        <w:rPr>
          <w:rFonts w:hint="eastAsia"/>
          <w:sz w:val="21"/>
          <w:szCs w:val="21"/>
        </w:rPr>
        <w:t xml:space="preserve">招标代理将采取必要措施，保证评标在严格保密的情况下进行。</w:t>
      </w:r>
      <w:r/>
    </w:p>
    <w:p>
      <w:pPr>
        <w:pStyle w:val="961"/>
        <w:numPr>
          <w:ilvl w:val="1"/>
          <w:numId w:val="26"/>
        </w:numPr>
        <w:ind w:firstLine="420"/>
        <w:spacing w:line="360" w:lineRule="auto"/>
        <w:tabs>
          <w:tab w:val="left" w:pos="1164" w:leader="none"/>
        </w:tabs>
        <w:rPr>
          <w:sz w:val="21"/>
          <w:szCs w:val="21"/>
        </w:rPr>
      </w:pPr>
      <w:r>
        <w:rPr>
          <w:rFonts w:hint="eastAsia"/>
          <w:sz w:val="21"/>
          <w:szCs w:val="21"/>
        </w:rPr>
        <w:t xml:space="preserve">任何单位和个人不得非法干预、影响评标办法的确定，以及评标过程和结果。</w:t>
      </w:r>
      <w:r/>
    </w:p>
    <w:p>
      <w:pPr>
        <w:pStyle w:val="961"/>
        <w:numPr>
          <w:ilvl w:val="1"/>
          <w:numId w:val="26"/>
        </w:numPr>
        <w:ind w:firstLine="420"/>
        <w:spacing w:line="360" w:lineRule="auto"/>
        <w:tabs>
          <w:tab w:val="left" w:pos="1164" w:leader="none"/>
        </w:tabs>
        <w:rPr>
          <w:sz w:val="21"/>
          <w:szCs w:val="21"/>
        </w:rPr>
      </w:pPr>
      <w:r>
        <w:rPr>
          <w:rFonts w:hint="eastAsia"/>
          <w:sz w:val="21"/>
          <w:szCs w:val="21"/>
        </w:rPr>
        <w:t xml:space="preserve">凡是与审查、澄清、评价和比较投标的有关资料等，均不向供应商及与评标无关的其他人员透露。</w:t>
      </w:r>
      <w:r/>
    </w:p>
    <w:p>
      <w:pPr>
        <w:ind w:firstLine="422"/>
        <w:spacing w:line="360" w:lineRule="auto"/>
        <w:rPr>
          <w:b/>
          <w:sz w:val="21"/>
          <w:szCs w:val="21"/>
        </w:rPr>
      </w:pPr>
      <w:r/>
      <w:bookmarkStart w:id="14" w:name="五、签订合同"/>
      <w:r/>
      <w:bookmarkEnd w:id="14"/>
      <w:r>
        <w:rPr>
          <w:rFonts w:hint="eastAsia"/>
          <w:b/>
          <w:sz w:val="21"/>
          <w:szCs w:val="21"/>
        </w:rPr>
        <w:t xml:space="preserve">五、签订合同</w:t>
      </w:r>
      <w:r/>
    </w:p>
    <w:p>
      <w:pPr>
        <w:ind w:firstLine="422"/>
        <w:spacing w:line="360" w:lineRule="auto"/>
        <w:rPr>
          <w:b/>
          <w:sz w:val="21"/>
          <w:szCs w:val="21"/>
        </w:rPr>
      </w:pPr>
      <w:r>
        <w:rPr>
          <w:rFonts w:hint="eastAsia"/>
          <w:b/>
          <w:sz w:val="21"/>
          <w:szCs w:val="21"/>
        </w:rPr>
        <w:t xml:space="preserve">24、签订合同</w:t>
      </w:r>
      <w:r/>
    </w:p>
    <w:p>
      <w:pPr>
        <w:pStyle w:val="961"/>
        <w:numPr>
          <w:ilvl w:val="1"/>
          <w:numId w:val="27"/>
        </w:numPr>
        <w:ind w:firstLine="420"/>
        <w:spacing w:line="360" w:lineRule="auto"/>
        <w:tabs>
          <w:tab w:val="left" w:pos="1164" w:leader="none"/>
        </w:tabs>
        <w:rPr>
          <w:sz w:val="21"/>
          <w:szCs w:val="21"/>
        </w:rPr>
      </w:pPr>
      <w:r>
        <w:rPr>
          <w:rFonts w:hint="eastAsia"/>
          <w:sz w:val="21"/>
          <w:szCs w:val="21"/>
        </w:rPr>
        <w:t xml:space="preserve">采购人应当自中标通知书发出之日起30日内，按照招标文件和中标人投标文件的规定与中标人签订书面合同。所签订的合同不得对招标文件确定事项和中标人投标文件作实质性修改。</w:t>
      </w:r>
      <w:r/>
    </w:p>
    <w:p>
      <w:pPr>
        <w:pStyle w:val="961"/>
        <w:numPr>
          <w:ilvl w:val="1"/>
          <w:numId w:val="27"/>
        </w:numPr>
        <w:ind w:firstLine="420"/>
        <w:spacing w:line="360" w:lineRule="auto"/>
        <w:tabs>
          <w:tab w:val="left" w:pos="1109" w:leader="none"/>
        </w:tabs>
        <w:rPr>
          <w:sz w:val="21"/>
          <w:szCs w:val="21"/>
        </w:rPr>
      </w:pPr>
      <w:r>
        <w:rPr>
          <w:rFonts w:hint="eastAsia"/>
          <w:sz w:val="21"/>
          <w:szCs w:val="21"/>
        </w:rPr>
        <w:t xml:space="preserve">采购人不得向中标人提出任何不合理的要求作为签订合同的条件，不得与中标人私下订立背离合同实质性内容的协议。</w:t>
      </w:r>
      <w:r/>
    </w:p>
    <w:p>
      <w:pPr>
        <w:pStyle w:val="961"/>
        <w:numPr>
          <w:ilvl w:val="1"/>
          <w:numId w:val="27"/>
        </w:numPr>
        <w:ind w:firstLine="420"/>
        <w:spacing w:line="360" w:lineRule="auto"/>
        <w:tabs>
          <w:tab w:val="left" w:pos="1059" w:leader="none"/>
        </w:tabs>
        <w:rPr>
          <w:sz w:val="21"/>
          <w:szCs w:val="21"/>
        </w:rPr>
      </w:pPr>
      <w:r>
        <w:rPr>
          <w:rFonts w:hint="eastAsia"/>
          <w:sz w:val="21"/>
          <w:szCs w:val="21"/>
        </w:rPr>
        <w:t xml:space="preserve">中标人拒绝与采购人签订合同，或因不可抗力或者自身原因不能履行政府采购合同的，采购人可以按照评审报告中的得分高低顺序，确定下一顺序供应商为中标人，也可以重新开展政府采购活动。</w:t>
      </w:r>
      <w:r/>
    </w:p>
    <w:p>
      <w:pPr>
        <w:pStyle w:val="961"/>
        <w:numPr>
          <w:ilvl w:val="1"/>
          <w:numId w:val="27"/>
        </w:numPr>
        <w:ind w:firstLine="420"/>
        <w:spacing w:line="360" w:lineRule="auto"/>
        <w:tabs>
          <w:tab w:val="left" w:pos="1164" w:leader="none"/>
        </w:tabs>
        <w:rPr>
          <w:sz w:val="21"/>
          <w:szCs w:val="21"/>
        </w:rPr>
      </w:pPr>
      <w:r>
        <w:rPr>
          <w:rFonts w:hint="eastAsia"/>
          <w:sz w:val="21"/>
          <w:szCs w:val="21"/>
        </w:rPr>
        <w:t xml:space="preserve">采购合同履行中，采购人需追加与合同标的相同货物或服务的，在不改变合同其他条款的前提下，可以与供应商协商签订补充合同，但所有补充合同的采购金额不得超过原合同采购金额的百分之十。</w:t>
      </w:r>
      <w:r/>
    </w:p>
    <w:p>
      <w:pPr>
        <w:ind w:firstLine="422"/>
        <w:spacing w:line="360" w:lineRule="auto"/>
        <w:rPr>
          <w:b/>
          <w:sz w:val="21"/>
          <w:szCs w:val="21"/>
        </w:rPr>
      </w:pPr>
      <w:r/>
      <w:bookmarkStart w:id="15" w:name="六、询问、质疑、投诉和诚实信用"/>
      <w:r/>
      <w:bookmarkEnd w:id="15"/>
      <w:r>
        <w:rPr>
          <w:rFonts w:hint="eastAsia"/>
          <w:b/>
          <w:sz w:val="21"/>
          <w:szCs w:val="21"/>
        </w:rPr>
        <w:t xml:space="preserve">六、询问、质疑、投诉和诚实信用</w:t>
      </w:r>
      <w:r/>
    </w:p>
    <w:p>
      <w:pPr>
        <w:ind w:firstLine="422"/>
        <w:spacing w:line="360" w:lineRule="auto"/>
        <w:rPr>
          <w:b/>
          <w:sz w:val="21"/>
          <w:szCs w:val="21"/>
        </w:rPr>
      </w:pPr>
      <w:r>
        <w:rPr>
          <w:rFonts w:hint="eastAsia"/>
          <w:b/>
          <w:sz w:val="21"/>
          <w:szCs w:val="21"/>
        </w:rPr>
        <w:t xml:space="preserve">25、询问</w:t>
      </w:r>
      <w:r/>
    </w:p>
    <w:p>
      <w:pPr>
        <w:pStyle w:val="784"/>
        <w:ind w:firstLine="420"/>
        <w:spacing w:line="360" w:lineRule="auto"/>
        <w:rPr>
          <w:b/>
        </w:rPr>
      </w:pPr>
      <w:r>
        <w:rPr>
          <w:rFonts w:hint="eastAsia"/>
        </w:rPr>
        <w:t xml:space="preserve">25.1 供应商对招标活动事项有疑问的，可以向招标代理或采购人提出询问，招标代理或采购人将在两个工作日内作出答复，但答复的内容不涉及商业秘密</w:t>
      </w:r>
      <w:r>
        <w:rPr>
          <w:rFonts w:hint="eastAsia"/>
          <w:bCs/>
        </w:rPr>
        <w:t xml:space="preserve">。</w:t>
      </w:r>
      <w:r/>
    </w:p>
    <w:p>
      <w:pPr>
        <w:ind w:firstLine="422"/>
        <w:spacing w:line="360" w:lineRule="auto"/>
        <w:rPr>
          <w:b/>
          <w:sz w:val="21"/>
          <w:szCs w:val="21"/>
        </w:rPr>
      </w:pPr>
      <w:r>
        <w:rPr>
          <w:rFonts w:hint="eastAsia"/>
          <w:b/>
          <w:sz w:val="21"/>
          <w:szCs w:val="21"/>
        </w:rPr>
        <w:t xml:space="preserve">26、质疑</w:t>
      </w:r>
      <w:r/>
    </w:p>
    <w:p>
      <w:pPr>
        <w:pStyle w:val="961"/>
        <w:numPr>
          <w:ilvl w:val="1"/>
          <w:numId w:val="28"/>
        </w:numPr>
        <w:ind w:firstLine="420"/>
        <w:spacing w:line="360" w:lineRule="auto"/>
        <w:tabs>
          <w:tab w:val="left" w:pos="1164" w:leader="none"/>
        </w:tabs>
        <w:rPr>
          <w:sz w:val="21"/>
          <w:szCs w:val="21"/>
        </w:rPr>
      </w:pPr>
      <w:r>
        <w:rPr>
          <w:rFonts w:hint="eastAsia"/>
          <w:sz w:val="21"/>
          <w:szCs w:val="21"/>
        </w:rPr>
        <w:t xml:space="preserve">供应商认为采购文件、采购过程和中标结果使自己的合法权益受到损害的，可以在知道或者应当知道其权益受到损害之日起七个工作日内，将质疑文件原件以书面形式送达招标代理。</w:t>
      </w:r>
      <w:r/>
    </w:p>
    <w:p>
      <w:pPr>
        <w:pStyle w:val="961"/>
        <w:numPr>
          <w:ilvl w:val="1"/>
          <w:numId w:val="28"/>
        </w:numPr>
        <w:ind w:firstLine="420"/>
        <w:spacing w:line="360" w:lineRule="auto"/>
        <w:tabs>
          <w:tab w:val="left" w:pos="1155" w:leader="none"/>
        </w:tabs>
        <w:rPr>
          <w:sz w:val="21"/>
          <w:szCs w:val="21"/>
        </w:rPr>
      </w:pPr>
      <w:r>
        <w:rPr>
          <w:rFonts w:hint="eastAsia"/>
          <w:sz w:val="21"/>
          <w:szCs w:val="21"/>
        </w:rPr>
        <w:t xml:space="preserve">质疑供应商是指直接参加本次投标活动的供应商，未参加投标活动的供应商或在投标活动中自身权益未受到损害的供应商所提出的质疑不予受理。</w:t>
      </w:r>
      <w:r/>
    </w:p>
    <w:p>
      <w:pPr>
        <w:pStyle w:val="961"/>
        <w:numPr>
          <w:ilvl w:val="1"/>
          <w:numId w:val="28"/>
        </w:numPr>
        <w:ind w:firstLine="420"/>
        <w:spacing w:line="360" w:lineRule="auto"/>
        <w:tabs>
          <w:tab w:val="left" w:pos="1164" w:leader="none"/>
        </w:tabs>
        <w:rPr>
          <w:sz w:val="21"/>
          <w:szCs w:val="21"/>
        </w:rPr>
      </w:pPr>
      <w:r>
        <w:rPr>
          <w:rFonts w:hint="eastAsia"/>
          <w:sz w:val="21"/>
          <w:szCs w:val="21"/>
        </w:rPr>
        <w:t xml:space="preserve">质疑必须以参加投标供应商法定代表人或授权代表（投标文件中所确定的）原件送达的方式提交，否则，招标代理有权不予受理。</w:t>
      </w:r>
      <w:r/>
    </w:p>
    <w:p>
      <w:pPr>
        <w:pStyle w:val="961"/>
        <w:numPr>
          <w:ilvl w:val="1"/>
          <w:numId w:val="28"/>
        </w:numPr>
        <w:ind w:firstLine="420"/>
        <w:spacing w:line="360" w:lineRule="auto"/>
        <w:tabs>
          <w:tab w:val="left" w:pos="1109" w:leader="none"/>
        </w:tabs>
        <w:rPr>
          <w:sz w:val="21"/>
          <w:szCs w:val="21"/>
        </w:rPr>
      </w:pPr>
      <w:r>
        <w:rPr>
          <w:rFonts w:hint="eastAsia"/>
          <w:sz w:val="21"/>
          <w:szCs w:val="21"/>
        </w:rPr>
        <w:t xml:space="preserve">上述应知其权益受到损害之日是指：</w:t>
      </w:r>
      <w:r/>
    </w:p>
    <w:p>
      <w:pPr>
        <w:pStyle w:val="961"/>
        <w:numPr>
          <w:ilvl w:val="0"/>
          <w:numId w:val="29"/>
        </w:numPr>
        <w:ind w:firstLine="420"/>
        <w:spacing w:line="360" w:lineRule="auto"/>
        <w:tabs>
          <w:tab w:val="left" w:pos="1163" w:leader="none"/>
        </w:tabs>
        <w:rPr>
          <w:sz w:val="21"/>
          <w:szCs w:val="21"/>
        </w:rPr>
      </w:pPr>
      <w:r>
        <w:rPr>
          <w:rFonts w:hint="eastAsia"/>
          <w:sz w:val="21"/>
          <w:szCs w:val="21"/>
        </w:rPr>
        <w:t xml:space="preserve">对招标文件提出质疑的，为投标文件公告期限届满之日起计算；</w:t>
      </w:r>
      <w:r/>
    </w:p>
    <w:p>
      <w:pPr>
        <w:pStyle w:val="961"/>
        <w:numPr>
          <w:ilvl w:val="0"/>
          <w:numId w:val="29"/>
        </w:numPr>
        <w:ind w:firstLine="420"/>
        <w:spacing w:line="360" w:lineRule="auto"/>
        <w:tabs>
          <w:tab w:val="left" w:pos="1163" w:leader="none"/>
        </w:tabs>
        <w:rPr>
          <w:sz w:val="21"/>
          <w:szCs w:val="21"/>
        </w:rPr>
      </w:pPr>
      <w:r>
        <w:rPr>
          <w:rFonts w:hint="eastAsia"/>
          <w:sz w:val="21"/>
          <w:szCs w:val="21"/>
        </w:rPr>
        <w:t xml:space="preserve">对采购过程提出质疑的，自采购程序环节结束之日起计算；</w:t>
      </w:r>
      <w:r/>
    </w:p>
    <w:p>
      <w:pPr>
        <w:pStyle w:val="961"/>
        <w:numPr>
          <w:ilvl w:val="0"/>
          <w:numId w:val="29"/>
        </w:numPr>
        <w:ind w:firstLine="420"/>
        <w:spacing w:line="360" w:lineRule="auto"/>
        <w:tabs>
          <w:tab w:val="left" w:pos="1163" w:leader="none"/>
        </w:tabs>
        <w:rPr>
          <w:sz w:val="21"/>
          <w:szCs w:val="21"/>
        </w:rPr>
      </w:pPr>
      <w:r>
        <w:rPr>
          <w:rFonts w:hint="eastAsia"/>
          <w:sz w:val="21"/>
          <w:szCs w:val="21"/>
        </w:rPr>
        <w:t xml:space="preserve">对中标结果提出质疑的，自中标结果公告期限届满之日起计算。</w:t>
      </w:r>
      <w:r/>
    </w:p>
    <w:p>
      <w:pPr>
        <w:pStyle w:val="961"/>
        <w:numPr>
          <w:ilvl w:val="1"/>
          <w:numId w:val="28"/>
        </w:numPr>
        <w:ind w:firstLine="420"/>
        <w:spacing w:line="360" w:lineRule="auto"/>
        <w:tabs>
          <w:tab w:val="left" w:pos="1164" w:leader="none"/>
        </w:tabs>
        <w:rPr>
          <w:sz w:val="21"/>
          <w:szCs w:val="21"/>
        </w:rPr>
      </w:pPr>
      <w:r>
        <w:rPr>
          <w:rFonts w:hint="eastAsia"/>
          <w:sz w:val="21"/>
          <w:szCs w:val="21"/>
        </w:rPr>
        <w:t xml:space="preserve">质疑文件应包括以下主要内容，并按照“谁主张、谁举证”的原则，附上相关证明材料。否则，招标代理或采购人不予受理：</w:t>
      </w:r>
      <w:r/>
    </w:p>
    <w:p>
      <w:pPr>
        <w:pStyle w:val="961"/>
        <w:numPr>
          <w:ilvl w:val="0"/>
          <w:numId w:val="30"/>
        </w:numPr>
        <w:ind w:firstLine="420"/>
        <w:spacing w:line="360" w:lineRule="auto"/>
        <w:tabs>
          <w:tab w:val="left" w:pos="1163" w:leader="none"/>
        </w:tabs>
        <w:rPr>
          <w:sz w:val="21"/>
          <w:szCs w:val="21"/>
        </w:rPr>
      </w:pPr>
      <w:r>
        <w:rPr>
          <w:rFonts w:hint="eastAsia"/>
          <w:sz w:val="21"/>
          <w:szCs w:val="21"/>
        </w:rPr>
        <w:t xml:space="preserve">质疑项目名称、项目编号、包号、招标公告发布时间、开标时间；</w:t>
      </w:r>
      <w:r/>
    </w:p>
    <w:p>
      <w:pPr>
        <w:pStyle w:val="961"/>
        <w:numPr>
          <w:ilvl w:val="0"/>
          <w:numId w:val="30"/>
        </w:numPr>
        <w:ind w:firstLine="420"/>
        <w:spacing w:line="360" w:lineRule="auto"/>
        <w:tabs>
          <w:tab w:val="left" w:pos="1163" w:leader="none"/>
        </w:tabs>
        <w:rPr>
          <w:sz w:val="21"/>
          <w:szCs w:val="21"/>
        </w:rPr>
      </w:pPr>
      <w:r>
        <w:rPr>
          <w:rFonts w:hint="eastAsia"/>
          <w:sz w:val="21"/>
          <w:szCs w:val="21"/>
        </w:rPr>
        <w:t xml:space="preserve">提起质疑的日期、具体的质疑事项及事实根据（具体条款）；</w:t>
      </w:r>
      <w:r/>
    </w:p>
    <w:p>
      <w:pPr>
        <w:pStyle w:val="961"/>
        <w:numPr>
          <w:ilvl w:val="0"/>
          <w:numId w:val="30"/>
        </w:numPr>
        <w:ind w:firstLine="420"/>
        <w:spacing w:line="360" w:lineRule="auto"/>
        <w:tabs>
          <w:tab w:val="left" w:pos="1167" w:leader="none"/>
        </w:tabs>
        <w:rPr>
          <w:sz w:val="21"/>
          <w:szCs w:val="21"/>
        </w:rPr>
      </w:pPr>
      <w:r>
        <w:rPr>
          <w:rFonts w:hint="eastAsia"/>
          <w:sz w:val="21"/>
          <w:szCs w:val="21"/>
        </w:rPr>
        <w:t xml:space="preserve">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961"/>
        <w:numPr>
          <w:ilvl w:val="0"/>
          <w:numId w:val="30"/>
        </w:numPr>
        <w:ind w:firstLine="420"/>
        <w:spacing w:line="360" w:lineRule="auto"/>
        <w:tabs>
          <w:tab w:val="left" w:pos="1163" w:leader="none"/>
        </w:tabs>
        <w:rPr>
          <w:sz w:val="21"/>
          <w:szCs w:val="21"/>
        </w:rPr>
      </w:pPr>
      <w:r>
        <w:rPr>
          <w:rFonts w:hint="eastAsia"/>
          <w:sz w:val="21"/>
          <w:szCs w:val="21"/>
        </w:rPr>
        <w:t xml:space="preserve">质疑供应商名称、地址、邮编、联系人、联系电话（包括座机、手机、传真号码等）；</w:t>
      </w:r>
      <w:r/>
    </w:p>
    <w:p>
      <w:pPr>
        <w:pStyle w:val="961"/>
        <w:numPr>
          <w:ilvl w:val="0"/>
          <w:numId w:val="30"/>
        </w:numPr>
        <w:ind w:firstLine="420"/>
        <w:spacing w:line="360" w:lineRule="auto"/>
        <w:tabs>
          <w:tab w:val="left" w:pos="1167" w:leader="none"/>
        </w:tabs>
        <w:rPr>
          <w:sz w:val="21"/>
          <w:szCs w:val="21"/>
        </w:rPr>
      </w:pPr>
      <w:r>
        <w:rPr>
          <w:rFonts w:hint="eastAsia"/>
          <w:sz w:val="21"/>
          <w:szCs w:val="21"/>
        </w:rPr>
        <w:t xml:space="preserve">质疑文件应当署名，质疑人为自然人的，应当由本人签字并附有效身份证明；质疑人为法人或其他组织的，应当由法定代表人签字并加盖单位公章。</w:t>
      </w:r>
      <w:r/>
    </w:p>
    <w:p>
      <w:pPr>
        <w:pStyle w:val="961"/>
        <w:numPr>
          <w:ilvl w:val="0"/>
          <w:numId w:val="30"/>
        </w:numPr>
        <w:ind w:firstLine="420"/>
        <w:spacing w:line="360" w:lineRule="auto"/>
        <w:tabs>
          <w:tab w:val="left" w:pos="1167" w:leader="none"/>
        </w:tabs>
        <w:rPr>
          <w:sz w:val="21"/>
          <w:szCs w:val="21"/>
        </w:rPr>
      </w:pPr>
      <w:r>
        <w:rPr>
          <w:rFonts w:hint="eastAsia"/>
          <w:sz w:val="21"/>
          <w:szCs w:val="21"/>
        </w:rPr>
        <w:t xml:space="preserve">供应商委托代理质疑的，应当向被质疑人提交授权委托书，并载明委托代理的具体权限和事项。</w:t>
      </w:r>
      <w:r/>
    </w:p>
    <w:p>
      <w:pPr>
        <w:pStyle w:val="961"/>
        <w:numPr>
          <w:ilvl w:val="1"/>
          <w:numId w:val="28"/>
        </w:numPr>
        <w:ind w:firstLine="420"/>
        <w:spacing w:line="360" w:lineRule="auto"/>
        <w:tabs>
          <w:tab w:val="left" w:pos="1164" w:leader="none"/>
        </w:tabs>
        <w:rPr>
          <w:sz w:val="21"/>
          <w:szCs w:val="21"/>
        </w:rPr>
      </w:pPr>
      <w:r>
        <w:rPr>
          <w:rFonts w:hint="eastAsia"/>
          <w:sz w:val="21"/>
          <w:szCs w:val="21"/>
        </w:rPr>
        <w:t xml:space="preserve">招标代理在收到供应商的书面质疑后将及时组织调查核实，在七个工作日内作出答复，并以书面或在网站公告形式通知质疑供应商和其他有关供应商，答复的内容不涉及商业秘密。招标代理遵循“谁过错谁负担”的原则，有过错的一方承担调查论证费用。</w:t>
      </w:r>
      <w:r/>
    </w:p>
    <w:p>
      <w:pPr>
        <w:ind w:firstLine="422"/>
        <w:spacing w:line="360" w:lineRule="auto"/>
        <w:rPr>
          <w:b/>
          <w:sz w:val="21"/>
          <w:szCs w:val="21"/>
        </w:rPr>
      </w:pPr>
      <w:r>
        <w:rPr>
          <w:rFonts w:hint="eastAsia"/>
          <w:b/>
          <w:sz w:val="21"/>
          <w:szCs w:val="21"/>
        </w:rPr>
        <w:t xml:space="preserve">27、投诉</w:t>
      </w:r>
      <w:r/>
    </w:p>
    <w:p>
      <w:pPr>
        <w:pStyle w:val="784"/>
        <w:ind w:firstLine="420"/>
        <w:spacing w:line="360" w:lineRule="auto"/>
      </w:pPr>
      <w:r>
        <w:rPr>
          <w:rFonts w:hint="eastAsia"/>
        </w:rPr>
        <w:t xml:space="preserve">27.1 质疑供应商对招标代理的答复不满意，或招标代理未在规定的时间内作出答复的，可以在答复期满后</w:t>
      </w:r>
      <w:r>
        <w:rPr>
          <w:rFonts w:hint="eastAsia"/>
          <w:b/>
        </w:rPr>
        <w:t xml:space="preserve">十五个工作日内</w:t>
      </w:r>
      <w:r>
        <w:rPr>
          <w:rFonts w:hint="eastAsia"/>
        </w:rPr>
        <w:t xml:space="preserve">向采购项目同级财政部门投诉。</w:t>
      </w:r>
      <w:r/>
    </w:p>
    <w:p>
      <w:pPr>
        <w:ind w:firstLine="422"/>
        <w:spacing w:line="360" w:lineRule="auto"/>
        <w:rPr>
          <w:b/>
          <w:sz w:val="21"/>
          <w:szCs w:val="21"/>
        </w:rPr>
      </w:pPr>
      <w:r>
        <w:rPr>
          <w:rFonts w:hint="eastAsia"/>
          <w:b/>
          <w:sz w:val="21"/>
          <w:szCs w:val="21"/>
        </w:rPr>
        <w:t xml:space="preserve">28、诚实信用</w:t>
      </w:r>
      <w:r/>
    </w:p>
    <w:p>
      <w:pPr>
        <w:pStyle w:val="961"/>
        <w:numPr>
          <w:ilvl w:val="1"/>
          <w:numId w:val="31"/>
        </w:numPr>
        <w:ind w:firstLine="420"/>
        <w:spacing w:line="360" w:lineRule="auto"/>
        <w:tabs>
          <w:tab w:val="left" w:pos="1164" w:leader="none"/>
        </w:tabs>
        <w:rPr>
          <w:sz w:val="21"/>
          <w:szCs w:val="21"/>
        </w:rPr>
      </w:pPr>
      <w:r>
        <w:rPr>
          <w:rFonts w:hint="eastAsia"/>
          <w:sz w:val="21"/>
          <w:szCs w:val="21"/>
        </w:rPr>
        <w:t xml:space="preserve">供应商之间不得相互串通投标报价，不得妨碍其他供应商的公平竞争，不得损害采购人和其他供应商的合法权益。</w:t>
      </w:r>
      <w:r/>
    </w:p>
    <w:p>
      <w:pPr>
        <w:pStyle w:val="961"/>
        <w:numPr>
          <w:ilvl w:val="1"/>
          <w:numId w:val="31"/>
        </w:numPr>
        <w:ind w:firstLine="420"/>
        <w:spacing w:line="360" w:lineRule="auto"/>
        <w:tabs>
          <w:tab w:val="left" w:pos="1164" w:leader="none"/>
        </w:tabs>
        <w:rPr>
          <w:sz w:val="21"/>
          <w:szCs w:val="21"/>
        </w:rPr>
      </w:pPr>
      <w:r>
        <w:rPr>
          <w:rFonts w:hint="eastAsia"/>
          <w:sz w:val="21"/>
          <w:szCs w:val="21"/>
        </w:rPr>
        <w:t xml:space="preserve">供应商不得以向招标代理工作人员、评标委员会成员行贿或者采取其他不正当手段谋取中标。   经查实供应商有此行为的，政府采购管理部门将供应商列入不良行为记录名单，按照《政府采购法》有关规定处理。</w:t>
      </w:r>
      <w:r/>
    </w:p>
    <w:p>
      <w:pPr>
        <w:pStyle w:val="961"/>
        <w:numPr>
          <w:ilvl w:val="1"/>
          <w:numId w:val="31"/>
        </w:numPr>
        <w:ind w:firstLine="420"/>
        <w:spacing w:line="360" w:lineRule="auto"/>
        <w:tabs>
          <w:tab w:val="left" w:pos="1164" w:leader="none"/>
        </w:tabs>
        <w:rPr>
          <w:sz w:val="21"/>
          <w:szCs w:val="21"/>
        </w:rPr>
      </w:pPr>
      <w:r>
        <w:rPr>
          <w:rFonts w:hint="eastAsia"/>
          <w:sz w:val="21"/>
          <w:szCs w:val="21"/>
        </w:rPr>
        <w:t xml:space="preserve">供应商提出书面质疑必须有理、有据，不得虚假质疑和恶意质疑，并对质疑内容的真实性承担责任。一经查实，招标代理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pStyle w:val="961"/>
        <w:numPr>
          <w:ilvl w:val="1"/>
          <w:numId w:val="31"/>
        </w:numPr>
        <w:ind w:firstLine="420"/>
        <w:spacing w:line="360" w:lineRule="auto"/>
        <w:tabs>
          <w:tab w:val="left" w:pos="1164" w:leader="none"/>
        </w:tabs>
        <w:rPr>
          <w:sz w:val="21"/>
          <w:szCs w:val="21"/>
        </w:rPr>
      </w:pPr>
      <w:r>
        <w:rPr>
          <w:rFonts w:hint="eastAsia"/>
          <w:sz w:val="21"/>
          <w:szCs w:val="21"/>
        </w:rPr>
        <w:t xml:space="preserve">供应商不得虚假承诺，否则，按照提供虚假材料谋取中标成交处理。</w:t>
      </w:r>
      <w:r/>
    </w:p>
    <w:p>
      <w:pPr>
        <w:pStyle w:val="961"/>
        <w:ind w:left="0"/>
        <w:spacing w:line="360" w:lineRule="auto"/>
        <w:tabs>
          <w:tab w:val="left" w:pos="1164" w:leader="none"/>
        </w:tabs>
        <w:rPr>
          <w:sz w:val="21"/>
        </w:rPr>
        <w:sectPr>
          <w:footerReference w:type="default" r:id="rId10"/>
          <w:footnotePr/>
          <w:endnotePr/>
          <w:type w:val="nextPage"/>
          <w:pgSz w:w="11910" w:h="16840" w:orient="portrait"/>
          <w:pgMar w:top="1134" w:right="1134" w:bottom="1134" w:left="1134" w:header="567" w:footer="567" w:gutter="0"/>
          <w:cols w:num="1" w:sep="0" w:space="720" w:equalWidth="1"/>
          <w:docGrid w:linePitch="360"/>
        </w:sectPr>
      </w:pPr>
      <w:r>
        <w:rPr>
          <w:rFonts w:hint="eastAsia"/>
          <w:sz w:val="21"/>
          <w:szCs w:val="21"/>
        </w:rPr>
        <w:t xml:space="preserve">供应商应自觉遵守开标、评标纪律，扰乱开标评标现场秩序的，属于失信行为将被记入供应商诚信档案。</w:t>
      </w:r>
      <w:r/>
    </w:p>
    <w:p>
      <w:pPr>
        <w:contextualSpacing/>
        <w:jc w:val="center"/>
        <w:spacing w:line="360" w:lineRule="auto"/>
        <w:rPr>
          <w:rFonts w:ascii="黑体" w:eastAsia="黑体"/>
          <w:b/>
          <w:sz w:val="36"/>
        </w:rPr>
        <w:outlineLvl w:val="0"/>
      </w:pPr>
      <w:r/>
      <w:bookmarkStart w:id="16" w:name="_Toc9832"/>
      <w:r>
        <w:rPr>
          <w:rFonts w:hint="eastAsia" w:ascii="黑体" w:eastAsia="黑体"/>
          <w:b/>
          <w:sz w:val="36"/>
        </w:rPr>
        <w:t xml:space="preserve">第三章 评标标准</w:t>
      </w:r>
      <w:bookmarkEnd w:id="16"/>
      <w:r/>
      <w:r/>
    </w:p>
    <w:p>
      <w:pPr>
        <w:spacing w:line="360" w:lineRule="auto"/>
      </w:pPr>
      <w:r>
        <w:t xml:space="preserve">本项目采用综合打分法确定中标候选人。评标委员会将按下列评分具体办法和标准进行打分，总分值为 100 分，小数点后保留两位。</w:t>
      </w:r>
      <w:r/>
    </w:p>
    <w:tbl>
      <w:tblPr>
        <w:tblStyle w:val="779"/>
        <w:tblW w:w="49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1331"/>
        <w:gridCol w:w="7000"/>
        <w:gridCol w:w="769"/>
      </w:tblGrid>
      <w:tr>
        <w:trPr>
          <w:cantSplit/>
          <w:jc w:val="center"/>
          <w:tblHeader/>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spacing w:line="300" w:lineRule="auto"/>
              <w:rPr>
                <w:b/>
              </w:rPr>
            </w:pPr>
            <w:r>
              <w:rPr>
                <w:b/>
              </w:rPr>
              <w:t xml:space="preserve">序号</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center"/>
              <w:spacing w:line="300" w:lineRule="auto"/>
              <w:rPr>
                <w:b/>
              </w:rPr>
            </w:pPr>
            <w:r>
              <w:rPr>
                <w:b/>
              </w:rPr>
              <w:t xml:space="preserve">评分因素</w:t>
            </w:r>
            <w:r/>
          </w:p>
        </w:tc>
        <w:tc>
          <w:tcPr>
            <w:tcBorders>
              <w:top w:val="single" w:color="auto" w:sz="4" w:space="0"/>
              <w:left w:val="single" w:color="auto" w:sz="4" w:space="0"/>
              <w:bottom w:val="single" w:color="auto" w:sz="4" w:space="0"/>
              <w:right w:val="single" w:color="auto" w:sz="4" w:space="0"/>
            </w:tcBorders>
            <w:tcW w:w="7002" w:type="dxa"/>
            <w:vAlign w:val="center"/>
            <w:textDirection w:val="lrTb"/>
            <w:noWrap w:val="false"/>
          </w:tcPr>
          <w:p>
            <w:pPr>
              <w:jc w:val="center"/>
              <w:spacing w:line="300" w:lineRule="auto"/>
              <w:rPr>
                <w:b/>
              </w:rPr>
            </w:pPr>
            <w:r>
              <w:rPr>
                <w:b/>
              </w:rPr>
              <w:t xml:space="preserve">评审标准</w:t>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spacing w:line="300" w:lineRule="auto"/>
              <w:rPr>
                <w:b/>
              </w:rPr>
            </w:pPr>
            <w:r>
              <w:rPr>
                <w:b/>
              </w:rPr>
              <w:t xml:space="preserve">分值</w:t>
            </w:r>
            <w:r/>
          </w:p>
        </w:tc>
      </w:tr>
      <w:tr>
        <w:trPr>
          <w:cantSplit/>
          <w:jc w:val="center"/>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spacing w:line="300" w:lineRule="auto"/>
              <w:rPr>
                <w:b/>
              </w:rPr>
            </w:pPr>
            <w:r>
              <w:rPr>
                <w:b/>
              </w:rPr>
              <w:t xml:space="preserve">1</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center"/>
              <w:spacing w:line="300" w:lineRule="auto"/>
              <w:rPr>
                <w:b/>
              </w:rPr>
            </w:pPr>
            <w:r>
              <w:rPr>
                <w:b/>
              </w:rPr>
              <w:t xml:space="preserve">价格部分</w:t>
            </w:r>
            <w:r/>
          </w:p>
          <w:p>
            <w:pPr>
              <w:jc w:val="center"/>
              <w:spacing w:line="300" w:lineRule="auto"/>
              <w:rPr>
                <w:b/>
              </w:rPr>
            </w:pPr>
            <w:r>
              <w:rPr>
                <w:b/>
              </w:rPr>
              <w:t xml:space="preserve">（</w:t>
            </w:r>
            <w:r>
              <w:rPr>
                <w:rFonts w:hint="eastAsia"/>
                <w:b/>
                <w:lang w:val="en-US"/>
              </w:rPr>
              <w:t xml:space="preserve">2</w:t>
            </w:r>
            <w:r>
              <w:rPr>
                <w:rFonts w:hint="eastAsia"/>
                <w:b/>
              </w:rPr>
              <w:t xml:space="preserve">0</w:t>
            </w:r>
            <w:r>
              <w:rPr>
                <w:b/>
              </w:rPr>
              <w:t xml:space="preserve">分）</w:t>
            </w:r>
            <w:r/>
          </w:p>
        </w:tc>
        <w:tc>
          <w:tcPr>
            <w:tcBorders>
              <w:top w:val="single" w:color="auto" w:sz="4" w:space="0"/>
              <w:left w:val="single" w:color="auto" w:sz="4" w:space="0"/>
              <w:bottom w:val="single" w:color="auto" w:sz="4" w:space="0"/>
              <w:right w:val="single" w:color="auto" w:sz="4" w:space="0"/>
            </w:tcBorders>
            <w:tcW w:w="7002" w:type="dxa"/>
            <w:vAlign w:val="center"/>
            <w:textDirection w:val="lrTb"/>
            <w:noWrap w:val="false"/>
          </w:tcPr>
          <w:p>
            <w:pPr>
              <w:spacing w:line="30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价格评分：</w:t>
            </w:r>
            <w:r/>
          </w:p>
          <w:p>
            <w:pPr>
              <w:ind w:firstLine="440"/>
              <w:spacing w:line="30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价格分采用低价优先法计算，即满足采购文件要求且投标价格最低的供应商投标报价为评标基准价，其价格分为满分</w:t>
            </w:r>
            <w:r>
              <w:rPr>
                <w:rFonts w:hint="eastAsia"/>
                <w:bCs/>
                <w:color w:val="000000" w:themeColor="text1"/>
                <w:lang w:val="en-US"/>
                <w14:textFill>
                  <w14:solidFill>
                    <w14:schemeClr w14:val="tx1"/>
                  </w14:solidFill>
                </w14:textFill>
              </w:rPr>
              <w:t xml:space="preserve">20</w:t>
            </w:r>
            <w:r>
              <w:rPr>
                <w:rFonts w:hint="eastAsia"/>
                <w:bCs/>
                <w:color w:val="000000" w:themeColor="text1"/>
                <w14:textFill>
                  <w14:solidFill>
                    <w14:schemeClr w14:val="tx1"/>
                  </w14:solidFill>
                </w14:textFill>
              </w:rPr>
              <w:t xml:space="preserve">分，其它投标人的价格分统一按照以下公式计算：投标报价得分=（评标基准价/该投标人的投标报价）×</w:t>
            </w:r>
            <w:r>
              <w:rPr>
                <w:rFonts w:hint="eastAsia"/>
                <w:bCs/>
                <w:color w:val="000000" w:themeColor="text1"/>
                <w:lang w:val="en-US"/>
                <w14:textFill>
                  <w14:solidFill>
                    <w14:schemeClr w14:val="tx1"/>
                  </w14:solidFill>
                </w14:textFill>
              </w:rPr>
              <w:t xml:space="preserve">2</w:t>
            </w:r>
            <w:r>
              <w:rPr>
                <w:rFonts w:hint="eastAsia"/>
                <w:bCs/>
                <w:color w:val="000000" w:themeColor="text1"/>
                <w14:textFill>
                  <w14:solidFill>
                    <w14:schemeClr w14:val="tx1"/>
                  </w14:solidFill>
                </w14:textFill>
              </w:rPr>
              <w:t xml:space="preserve">0分。分值保留小数点后2位。</w:t>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spacing w:line="300" w:lineRule="auto"/>
              <w:rPr>
                <w:b/>
                <w:bCs/>
              </w:rPr>
            </w:pPr>
            <w:r>
              <w:rPr>
                <w:rFonts w:hint="eastAsia"/>
                <w:b/>
                <w:bCs/>
                <w:lang w:val="en-US"/>
              </w:rPr>
              <w:t xml:space="preserve">2</w:t>
            </w:r>
            <w:r>
              <w:rPr>
                <w:rFonts w:hint="eastAsia"/>
                <w:b/>
                <w:bCs/>
              </w:rPr>
              <w:t xml:space="preserve">0</w:t>
            </w:r>
            <w:r/>
          </w:p>
        </w:tc>
      </w:tr>
      <w:tr>
        <w:trPr>
          <w:cantSplit/>
          <w:jc w:val="center"/>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spacing w:line="300" w:lineRule="auto"/>
              <w:rPr>
                <w:b/>
              </w:rPr>
            </w:pPr>
            <w:r>
              <w:rPr>
                <w:rFonts w:hint="eastAsia"/>
                <w:b/>
                <w:lang w:val="en-US"/>
              </w:rPr>
              <w:t xml:space="preserve">2</w:t>
            </w:r>
            <w:r>
              <w:rPr>
                <w:b/>
              </w:rPr>
              <w:t xml:space="preserve">.1</w:t>
            </w:r>
            <w:r/>
          </w:p>
        </w:tc>
        <w:tc>
          <w:tcPr>
            <w:tcBorders>
              <w:top w:val="single" w:color="auto" w:sz="4" w:space="0"/>
              <w:left w:val="single" w:color="auto" w:sz="4" w:space="0"/>
              <w:right w:val="single" w:color="auto" w:sz="4" w:space="0"/>
            </w:tcBorders>
            <w:tcW w:w="1331" w:type="dxa"/>
            <w:vAlign w:val="center"/>
            <w:vMerge w:val="restart"/>
            <w:textDirection w:val="lrTb"/>
            <w:noWrap w:val="false"/>
          </w:tcPr>
          <w:p>
            <w:pPr>
              <w:jc w:val="center"/>
              <w:spacing w:line="300" w:lineRule="auto"/>
              <w:rPr>
                <w:b/>
                <w:bCs/>
              </w:rPr>
            </w:pPr>
            <w:r>
              <w:rPr>
                <w:rFonts w:hint="eastAsia"/>
                <w:b/>
                <w:bCs/>
              </w:rPr>
              <w:t xml:space="preserve">供应商服务方案</w:t>
            </w:r>
            <w:r/>
          </w:p>
          <w:p>
            <w:pPr>
              <w:jc w:val="center"/>
              <w:spacing w:line="300" w:lineRule="auto"/>
              <w:rPr>
                <w:b/>
              </w:rPr>
            </w:pPr>
            <w:r>
              <w:rPr>
                <w:rFonts w:hint="eastAsia"/>
                <w:b/>
                <w:bCs/>
              </w:rPr>
              <w:t xml:space="preserve">（</w:t>
            </w:r>
            <w:r>
              <w:rPr>
                <w:b/>
                <w:bCs/>
              </w:rPr>
              <w:t xml:space="preserve">53</w:t>
            </w:r>
            <w:r>
              <w:rPr>
                <w:rFonts w:hint="eastAsia"/>
                <w:b/>
                <w:bCs/>
              </w:rPr>
              <w:t xml:space="preserve">分）</w:t>
            </w:r>
            <w:r/>
          </w:p>
        </w:tc>
        <w:tc>
          <w:tcPr>
            <w:tcBorders>
              <w:top w:val="single" w:color="auto" w:sz="4" w:space="0"/>
              <w:left w:val="single" w:color="auto" w:sz="4" w:space="0"/>
              <w:bottom w:val="single" w:color="auto" w:sz="4" w:space="0"/>
              <w:right w:val="single" w:color="auto" w:sz="4" w:space="0"/>
            </w:tcBorders>
            <w:tcW w:w="7002" w:type="dxa"/>
            <w:vAlign w:val="center"/>
            <w:textDirection w:val="lrTb"/>
            <w:noWrap w:val="false"/>
          </w:tcPr>
          <w:p>
            <w:pPr>
              <w:spacing w:line="30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总体实施方案</w:t>
            </w:r>
            <w:r>
              <w:rPr>
                <w:b/>
                <w:color w:val="000000" w:themeColor="text1"/>
                <w14:textFill>
                  <w14:solidFill>
                    <w14:schemeClr w14:val="tx1"/>
                  </w14:solidFill>
                </w14:textFill>
              </w:rPr>
              <w:t xml:space="preserve">：</w:t>
            </w:r>
            <w:r/>
          </w:p>
          <w:p>
            <w:pPr>
              <w:ind w:firstLine="440"/>
              <w:spacing w:line="30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投标人应根据招标文件要求提供具体详实的总体实施方案。包括不限于</w:t>
            </w:r>
            <w:r>
              <w:rPr>
                <w:rFonts w:hint="eastAsia"/>
                <w:bCs/>
                <w:color w:val="000000" w:themeColor="text1"/>
                <w:lang w:val="en-US"/>
                <w14:textFill>
                  <w14:solidFill>
                    <w14:schemeClr w14:val="tx1"/>
                  </w14:solidFill>
                </w14:textFill>
              </w:rPr>
              <w:t xml:space="preserve">桥林</w:t>
            </w:r>
            <w:r>
              <w:rPr>
                <w:rFonts w:hint="eastAsia"/>
                <w:bCs/>
                <w:color w:val="000000" w:themeColor="text1"/>
                <w14:textFill>
                  <w14:solidFill>
                    <w14:schemeClr w14:val="tx1"/>
                  </w14:solidFill>
                </w14:textFill>
              </w:rPr>
              <w:t xml:space="preserve">校区医务室管理工作安排、医务室卫生消毒管理、医用废弃物处理等工作的实施。</w:t>
            </w:r>
            <w:r/>
          </w:p>
          <w:p>
            <w:pPr>
              <w:ind w:firstLine="440"/>
              <w:spacing w:line="30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方案全面、科学合理、可行性强的，得10分；</w:t>
            </w:r>
            <w:r/>
          </w:p>
          <w:p>
            <w:pPr>
              <w:ind w:firstLine="440"/>
              <w:spacing w:line="30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方案较为全面、较为科学合理、可行性较强的，得</w:t>
            </w:r>
            <w:r>
              <w:rPr>
                <w:bCs/>
                <w:color w:val="000000" w:themeColor="text1"/>
                <w:lang w:val="en-US"/>
                <w14:textFill>
                  <w14:solidFill>
                    <w14:schemeClr w14:val="tx1"/>
                  </w14:solidFill>
                </w14:textFill>
              </w:rPr>
              <w:t xml:space="preserve">7</w:t>
            </w:r>
            <w:r>
              <w:rPr>
                <w:rFonts w:hint="eastAsia"/>
                <w:bCs/>
                <w:color w:val="000000" w:themeColor="text1"/>
                <w14:textFill>
                  <w14:solidFill>
                    <w14:schemeClr w14:val="tx1"/>
                  </w14:solidFill>
                </w14:textFill>
              </w:rPr>
              <w:t xml:space="preserve">分；</w:t>
            </w:r>
            <w:r/>
          </w:p>
          <w:p>
            <w:pPr>
              <w:ind w:firstLine="440"/>
              <w:spacing w:line="30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方案略有欠缺，可行性还需完善的，得</w:t>
            </w:r>
            <w:r>
              <w:rPr>
                <w:bCs/>
                <w:color w:val="000000" w:themeColor="text1"/>
                <w:lang w:val="en-US"/>
                <w14:textFill>
                  <w14:solidFill>
                    <w14:schemeClr w14:val="tx1"/>
                  </w14:solidFill>
                </w14:textFill>
              </w:rPr>
              <w:t xml:space="preserve">4</w:t>
            </w:r>
            <w:r>
              <w:rPr>
                <w:rFonts w:hint="eastAsia"/>
                <w:bCs/>
                <w:color w:val="000000" w:themeColor="text1"/>
                <w14:textFill>
                  <w14:solidFill>
                    <w14:schemeClr w14:val="tx1"/>
                  </w14:solidFill>
                </w14:textFill>
              </w:rPr>
              <w:t xml:space="preserve">分；</w:t>
            </w:r>
            <w:r/>
          </w:p>
          <w:p>
            <w:pPr>
              <w:ind w:firstLine="440"/>
              <w:spacing w:line="30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不提供不得分。</w:t>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spacing w:line="300" w:lineRule="auto"/>
              <w:rPr>
                <w:b/>
                <w:bCs/>
                <w:lang w:val="en-US"/>
              </w:rPr>
            </w:pPr>
            <w:r>
              <w:rPr>
                <w:rFonts w:hint="eastAsia"/>
                <w:b/>
                <w:bCs/>
                <w:lang w:val="en-US"/>
              </w:rPr>
              <w:t xml:space="preserve">10</w:t>
            </w:r>
            <w:r/>
          </w:p>
        </w:tc>
      </w:tr>
      <w:tr>
        <w:trPr>
          <w:cantSplit/>
          <w:jc w:val="center"/>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spacing w:line="300" w:lineRule="auto"/>
              <w:rPr>
                <w:b/>
              </w:rPr>
            </w:pPr>
            <w:r>
              <w:rPr>
                <w:rFonts w:hint="eastAsia"/>
                <w:b/>
                <w:lang w:val="en-US"/>
              </w:rPr>
              <w:t xml:space="preserve">2</w:t>
            </w:r>
            <w:r>
              <w:rPr>
                <w:rFonts w:hint="eastAsia"/>
                <w:b/>
              </w:rPr>
              <w:t xml:space="preserve">.2</w:t>
            </w:r>
            <w:r/>
          </w:p>
        </w:tc>
        <w:tc>
          <w:tcPr>
            <w:tcBorders>
              <w:left w:val="single" w:color="auto" w:sz="4" w:space="0"/>
              <w:right w:val="single" w:color="auto" w:sz="4" w:space="0"/>
            </w:tcBorders>
            <w:tcW w:w="1331" w:type="dxa"/>
            <w:vAlign w:val="center"/>
            <w:vMerge w:val="continue"/>
            <w:textDirection w:val="lrTb"/>
            <w:noWrap w:val="false"/>
          </w:tcPr>
          <w:p>
            <w:pPr>
              <w:jc w:val="center"/>
              <w:spacing w:line="300" w:lineRule="auto"/>
              <w:rPr>
                <w:b/>
                <w:bCs/>
              </w:rPr>
            </w:pPr>
            <w:r>
              <w:rPr>
                <w:b/>
                <w:bCs/>
              </w:rPr>
            </w:r>
            <w:r/>
          </w:p>
        </w:tc>
        <w:tc>
          <w:tcPr>
            <w:tcBorders>
              <w:top w:val="single" w:color="auto" w:sz="4" w:space="0"/>
              <w:left w:val="single" w:color="auto" w:sz="4" w:space="0"/>
              <w:bottom w:val="single" w:color="auto" w:sz="4" w:space="0"/>
              <w:right w:val="single" w:color="auto" w:sz="4" w:space="0"/>
            </w:tcBorders>
            <w:tcW w:w="7002" w:type="dxa"/>
            <w:vAlign w:val="center"/>
            <w:textDirection w:val="lrTb"/>
            <w:noWrap w:val="false"/>
          </w:tcPr>
          <w:p>
            <w:pPr>
              <w:spacing w:line="300" w:lineRule="auto"/>
              <w:rPr>
                <w:b/>
              </w:rPr>
            </w:pPr>
            <w:r>
              <w:rPr>
                <w:rFonts w:hint="eastAsia"/>
                <w:b/>
              </w:rPr>
              <w:t xml:space="preserve">学生的入学体检工作方案</w:t>
            </w:r>
            <w:r>
              <w:rPr>
                <w:b/>
              </w:rPr>
              <w:t xml:space="preserve">：</w:t>
            </w:r>
            <w:r/>
          </w:p>
          <w:p>
            <w:pPr>
              <w:ind w:firstLine="440"/>
              <w:spacing w:line="300" w:lineRule="auto"/>
              <w:rPr>
                <w:bCs/>
              </w:rPr>
            </w:pPr>
            <w:r>
              <w:rPr>
                <w:rFonts w:hint="eastAsia"/>
                <w:bCs/>
              </w:rPr>
              <w:t xml:space="preserve">投标人应制定学生的入学体检工作方案，包括但不限于体检医务人员组织、医疗咨询、体检所需设备仪器、体检异常数据反馈、体检健康档案建立等。</w:t>
            </w:r>
            <w:r/>
          </w:p>
          <w:p>
            <w:pPr>
              <w:ind w:firstLine="440"/>
              <w:spacing w:line="300" w:lineRule="auto"/>
              <w:rPr>
                <w:bCs/>
              </w:rPr>
            </w:pPr>
            <w:r>
              <w:rPr>
                <w:rFonts w:hint="eastAsia"/>
                <w:bCs/>
              </w:rPr>
              <w:t xml:space="preserve">方案全面、组织安排合理、可行性强的，得</w:t>
            </w:r>
            <w:r>
              <w:rPr>
                <w:rFonts w:hint="eastAsia"/>
                <w:bCs/>
                <w:lang w:val="en-US"/>
              </w:rPr>
              <w:t xml:space="preserve">8</w:t>
            </w:r>
            <w:r>
              <w:rPr>
                <w:rFonts w:hint="eastAsia"/>
                <w:bCs/>
              </w:rPr>
              <w:t xml:space="preserve">分；</w:t>
            </w:r>
            <w:r/>
          </w:p>
          <w:p>
            <w:pPr>
              <w:ind w:firstLine="440"/>
              <w:spacing w:line="300" w:lineRule="auto"/>
              <w:rPr>
                <w:bCs/>
              </w:rPr>
            </w:pPr>
            <w:r>
              <w:rPr>
                <w:rFonts w:hint="eastAsia"/>
                <w:bCs/>
              </w:rPr>
              <w:t xml:space="preserve">方案较为全面、较为组织合理、可行性较强的，得</w:t>
            </w:r>
            <w:r>
              <w:rPr>
                <w:rFonts w:hint="eastAsia"/>
                <w:bCs/>
                <w:lang w:val="en-US"/>
              </w:rPr>
              <w:t xml:space="preserve">5</w:t>
            </w:r>
            <w:r>
              <w:rPr>
                <w:rFonts w:hint="eastAsia"/>
                <w:bCs/>
              </w:rPr>
              <w:t xml:space="preserve">分；</w:t>
            </w:r>
            <w:r/>
          </w:p>
          <w:p>
            <w:pPr>
              <w:ind w:firstLine="440"/>
              <w:spacing w:line="300" w:lineRule="auto"/>
              <w:rPr>
                <w:bCs/>
              </w:rPr>
            </w:pPr>
            <w:r>
              <w:rPr>
                <w:rFonts w:hint="eastAsia"/>
                <w:bCs/>
              </w:rPr>
              <w:t xml:space="preserve">方案略有欠缺，可行性还需完善的，得</w:t>
            </w:r>
            <w:r>
              <w:rPr>
                <w:rFonts w:hint="eastAsia"/>
                <w:bCs/>
                <w:lang w:val="en-US"/>
              </w:rPr>
              <w:t xml:space="preserve">3</w:t>
            </w:r>
            <w:r>
              <w:rPr>
                <w:rFonts w:hint="eastAsia"/>
                <w:bCs/>
              </w:rPr>
              <w:t xml:space="preserve">分；</w:t>
            </w:r>
            <w:r/>
          </w:p>
          <w:p>
            <w:pPr>
              <w:ind w:firstLine="440"/>
              <w:spacing w:line="300" w:lineRule="auto"/>
              <w:rPr>
                <w:bCs/>
              </w:rPr>
            </w:pPr>
            <w:r>
              <w:rPr>
                <w:rFonts w:hint="eastAsia"/>
                <w:bCs/>
              </w:rPr>
              <w:t xml:space="preserve">不提供不得分。</w:t>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spacing w:line="300" w:lineRule="auto"/>
              <w:rPr>
                <w:b/>
                <w:bCs/>
              </w:rPr>
            </w:pPr>
            <w:r>
              <w:rPr>
                <w:rFonts w:hint="eastAsia"/>
                <w:b/>
                <w:bCs/>
                <w:lang w:val="en-US"/>
              </w:rPr>
              <w:t xml:space="preserve">8</w:t>
            </w:r>
            <w:r/>
          </w:p>
        </w:tc>
      </w:tr>
      <w:tr>
        <w:trPr>
          <w:cantSplit/>
          <w:jc w:val="center"/>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spacing w:line="300" w:lineRule="auto"/>
              <w:rPr>
                <w:b/>
              </w:rPr>
            </w:pPr>
            <w:r>
              <w:rPr>
                <w:rFonts w:hint="eastAsia"/>
                <w:b/>
                <w:lang w:val="en-US"/>
              </w:rPr>
              <w:t xml:space="preserve">2</w:t>
            </w:r>
            <w:r>
              <w:rPr>
                <w:b/>
              </w:rPr>
              <w:t xml:space="preserve">.</w:t>
            </w:r>
            <w:r>
              <w:rPr>
                <w:rFonts w:hint="eastAsia"/>
                <w:b/>
              </w:rPr>
              <w:t xml:space="preserve">3</w:t>
            </w:r>
            <w:r/>
          </w:p>
        </w:tc>
        <w:tc>
          <w:tcPr>
            <w:tcBorders>
              <w:left w:val="single" w:color="auto" w:sz="4" w:space="0"/>
              <w:right w:val="single" w:color="auto" w:sz="4" w:space="0"/>
            </w:tcBorders>
            <w:tcW w:w="1331" w:type="dxa"/>
            <w:vAlign w:val="center"/>
            <w:vMerge w:val="continue"/>
            <w:textDirection w:val="lrTb"/>
            <w:noWrap w:val="false"/>
          </w:tcPr>
          <w:p>
            <w:pPr>
              <w:spacing w:line="300" w:lineRule="auto"/>
              <w:rPr>
                <w:b/>
                <w:bCs/>
              </w:rPr>
            </w:pPr>
            <w:r>
              <w:rPr>
                <w:b/>
                <w:bCs/>
              </w:rPr>
            </w:r>
            <w:r/>
          </w:p>
        </w:tc>
        <w:tc>
          <w:tcPr>
            <w:tcBorders>
              <w:top w:val="single" w:color="auto" w:sz="4" w:space="0"/>
              <w:left w:val="single" w:color="auto" w:sz="4" w:space="0"/>
              <w:bottom w:val="single" w:color="auto" w:sz="4" w:space="0"/>
              <w:right w:val="single" w:color="auto" w:sz="4" w:space="0"/>
            </w:tcBorders>
            <w:tcW w:w="7002" w:type="dxa"/>
            <w:vAlign w:val="center"/>
            <w:textDirection w:val="lrTb"/>
            <w:noWrap w:val="false"/>
          </w:tcPr>
          <w:p>
            <w:pPr>
              <w:spacing w:line="300" w:lineRule="auto"/>
              <w:rPr>
                <w:b/>
              </w:rPr>
            </w:pPr>
            <w:r>
              <w:rPr>
                <w:rFonts w:hint="eastAsia"/>
                <w:b/>
              </w:rPr>
              <w:t xml:space="preserve">校内医疗应急服务方案</w:t>
            </w:r>
            <w:r>
              <w:rPr>
                <w:b/>
              </w:rPr>
              <w:t xml:space="preserve">：</w:t>
            </w:r>
            <w:r/>
          </w:p>
          <w:p>
            <w:pPr>
              <w:ind w:firstLine="440"/>
              <w:spacing w:line="300" w:lineRule="auto"/>
              <w:rPr>
                <w:bCs/>
              </w:rPr>
            </w:pPr>
            <w:r>
              <w:rPr>
                <w:rFonts w:hint="eastAsia"/>
                <w:bCs/>
              </w:rPr>
              <w:t xml:space="preserve">投标人应针对本项目特点，制订校内医疗应急服务方案，围绕项目实施全流程，涵盖风险预判、应急响应机制、标准化处置流程及善后保障措施等核心要素。包括但不限于托管服务过程中出现的急、重症病人抢救与转诊、传染病突发、食物中毒、公共卫生突发事件对应措施、医疗事故处理、突发事件人员调动及响应时间、大病就医绿色通道建立等。</w:t>
            </w:r>
            <w:r/>
          </w:p>
          <w:p>
            <w:pPr>
              <w:ind w:firstLine="440"/>
              <w:spacing w:line="300" w:lineRule="auto"/>
              <w:rPr>
                <w:bCs/>
              </w:rPr>
            </w:pPr>
            <w:r>
              <w:rPr>
                <w:rFonts w:hint="eastAsia"/>
                <w:bCs/>
              </w:rPr>
              <w:t xml:space="preserve">方案全面、科学合理、可行性强的，得</w:t>
            </w:r>
            <w:r>
              <w:rPr>
                <w:rFonts w:hint="eastAsia"/>
                <w:bCs/>
                <w:lang w:val="en-US"/>
              </w:rPr>
              <w:t xml:space="preserve">8</w:t>
            </w:r>
            <w:r>
              <w:rPr>
                <w:rFonts w:hint="eastAsia"/>
                <w:bCs/>
              </w:rPr>
              <w:t xml:space="preserve">分；</w:t>
            </w:r>
            <w:r/>
          </w:p>
          <w:p>
            <w:pPr>
              <w:ind w:firstLine="440"/>
              <w:spacing w:line="300" w:lineRule="auto"/>
              <w:rPr>
                <w:bCs/>
              </w:rPr>
            </w:pPr>
            <w:r>
              <w:rPr>
                <w:rFonts w:hint="eastAsia"/>
                <w:bCs/>
              </w:rPr>
              <w:t xml:space="preserve">方案较为全面、较为科学合理、可行性较强的，得</w:t>
            </w:r>
            <w:r>
              <w:rPr>
                <w:rFonts w:hint="eastAsia"/>
                <w:bCs/>
                <w:lang w:val="en-US"/>
              </w:rPr>
              <w:t xml:space="preserve">5</w:t>
            </w:r>
            <w:r>
              <w:rPr>
                <w:rFonts w:hint="eastAsia"/>
                <w:bCs/>
              </w:rPr>
              <w:t xml:space="preserve">分；</w:t>
            </w:r>
            <w:r/>
          </w:p>
          <w:p>
            <w:pPr>
              <w:ind w:firstLine="440"/>
              <w:spacing w:line="300" w:lineRule="auto"/>
              <w:rPr>
                <w:bCs/>
              </w:rPr>
            </w:pPr>
            <w:r>
              <w:rPr>
                <w:rFonts w:hint="eastAsia"/>
                <w:bCs/>
              </w:rPr>
              <w:t xml:space="preserve">方案略有欠缺，可行性还需完善的，得</w:t>
            </w:r>
            <w:r>
              <w:rPr>
                <w:rFonts w:hint="eastAsia"/>
                <w:bCs/>
                <w:lang w:val="en-US"/>
              </w:rPr>
              <w:t xml:space="preserve">3</w:t>
            </w:r>
            <w:r>
              <w:rPr>
                <w:rFonts w:hint="eastAsia"/>
                <w:bCs/>
              </w:rPr>
              <w:t xml:space="preserve">分；</w:t>
            </w:r>
            <w:r/>
          </w:p>
          <w:p>
            <w:pPr>
              <w:ind w:firstLine="440"/>
              <w:spacing w:line="300" w:lineRule="auto"/>
              <w:rPr>
                <w:bCs/>
              </w:rPr>
            </w:pPr>
            <w:r>
              <w:rPr>
                <w:rFonts w:hint="eastAsia"/>
                <w:bCs/>
              </w:rPr>
              <w:t xml:space="preserve">不提供不得分。</w:t>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spacing w:line="300" w:lineRule="auto"/>
              <w:rPr>
                <w:b/>
                <w:bCs/>
              </w:rPr>
            </w:pPr>
            <w:r>
              <w:rPr>
                <w:rFonts w:hint="eastAsia"/>
                <w:b/>
                <w:bCs/>
                <w:lang w:val="en-US"/>
              </w:rPr>
              <w:t xml:space="preserve">8</w:t>
            </w:r>
            <w:r/>
          </w:p>
        </w:tc>
      </w:tr>
      <w:tr>
        <w:trPr>
          <w:cantSplit/>
          <w:jc w:val="center"/>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spacing w:line="300" w:lineRule="auto"/>
              <w:rPr>
                <w:b/>
                <w:lang w:val="en-US"/>
              </w:rPr>
            </w:pPr>
            <w:r>
              <w:rPr>
                <w:rFonts w:hint="eastAsia"/>
                <w:b/>
                <w:lang w:val="en-US"/>
              </w:rPr>
              <w:t xml:space="preserve">2.4</w:t>
            </w:r>
            <w:r/>
          </w:p>
        </w:tc>
        <w:tc>
          <w:tcPr>
            <w:tcBorders>
              <w:left w:val="single" w:color="auto" w:sz="4" w:space="0"/>
              <w:right w:val="single" w:color="auto" w:sz="4" w:space="0"/>
            </w:tcBorders>
            <w:tcW w:w="1331" w:type="dxa"/>
            <w:vAlign w:val="center"/>
            <w:vMerge w:val="continue"/>
            <w:textDirection w:val="lrTb"/>
            <w:noWrap w:val="false"/>
          </w:tcPr>
          <w:p>
            <w:pPr>
              <w:spacing w:line="300" w:lineRule="auto"/>
              <w:rPr>
                <w:b/>
              </w:rPr>
            </w:pPr>
            <w:r>
              <w:rPr>
                <w:b/>
              </w:rPr>
            </w:r>
            <w:r/>
          </w:p>
        </w:tc>
        <w:tc>
          <w:tcPr>
            <w:tcBorders>
              <w:top w:val="single" w:color="auto" w:sz="4" w:space="0"/>
              <w:left w:val="single" w:color="auto" w:sz="4" w:space="0"/>
              <w:bottom w:val="single" w:color="auto" w:sz="4" w:space="0"/>
              <w:right w:val="single" w:color="auto" w:sz="4" w:space="0"/>
            </w:tcBorders>
            <w:tcW w:w="7002" w:type="dxa"/>
            <w:vAlign w:val="center"/>
            <w:textDirection w:val="lrTb"/>
            <w:noWrap w:val="false"/>
          </w:tcPr>
          <w:p>
            <w:pPr>
              <w:spacing w:line="300" w:lineRule="auto"/>
              <w:rPr>
                <w:b/>
              </w:rPr>
            </w:pPr>
            <w:r>
              <w:rPr>
                <w:rFonts w:hint="eastAsia"/>
                <w:b/>
              </w:rPr>
              <w:t xml:space="preserve">内部管理制度：</w:t>
            </w:r>
            <w:r/>
          </w:p>
          <w:p>
            <w:pPr>
              <w:ind w:firstLine="440"/>
              <w:spacing w:line="300" w:lineRule="auto"/>
              <w:rPr>
                <w:bCs/>
              </w:rPr>
            </w:pPr>
            <w:r>
              <w:rPr>
                <w:rFonts w:hint="eastAsia"/>
                <w:bCs/>
              </w:rPr>
              <w:t xml:space="preserve">投标人应根据招标文件要求及本项目特点，制定内部管理制度。包括不限于服务管理制度、岗位制度、人员考核及培训制度等。</w:t>
            </w:r>
            <w:r/>
          </w:p>
          <w:p>
            <w:pPr>
              <w:ind w:firstLine="440"/>
              <w:spacing w:line="300" w:lineRule="auto"/>
              <w:rPr>
                <w:bCs/>
              </w:rPr>
            </w:pPr>
            <w:r>
              <w:rPr>
                <w:rFonts w:hint="eastAsia"/>
                <w:bCs/>
              </w:rPr>
              <w:t xml:space="preserve">方案全面、科学合理、可行性强的，得</w:t>
            </w:r>
            <w:r>
              <w:rPr>
                <w:rFonts w:hint="eastAsia"/>
                <w:bCs/>
                <w:lang w:val="en-US"/>
              </w:rPr>
              <w:t xml:space="preserve">6</w:t>
            </w:r>
            <w:r>
              <w:rPr>
                <w:rFonts w:hint="eastAsia"/>
                <w:bCs/>
              </w:rPr>
              <w:t xml:space="preserve">分；</w:t>
            </w:r>
            <w:r/>
          </w:p>
          <w:p>
            <w:pPr>
              <w:ind w:firstLine="440"/>
              <w:spacing w:line="300" w:lineRule="auto"/>
              <w:rPr>
                <w:bCs/>
              </w:rPr>
            </w:pPr>
            <w:r>
              <w:rPr>
                <w:rFonts w:hint="eastAsia"/>
                <w:bCs/>
              </w:rPr>
              <w:t xml:space="preserve">方案较为全面、较为科学合理、可行性较强的，得</w:t>
            </w:r>
            <w:r>
              <w:rPr>
                <w:rFonts w:hint="eastAsia"/>
                <w:bCs/>
                <w:lang w:val="en-US"/>
              </w:rPr>
              <w:t xml:space="preserve">4</w:t>
            </w:r>
            <w:r>
              <w:rPr>
                <w:rFonts w:hint="eastAsia"/>
                <w:bCs/>
              </w:rPr>
              <w:t xml:space="preserve">分；</w:t>
            </w:r>
            <w:r/>
          </w:p>
          <w:p>
            <w:pPr>
              <w:ind w:firstLine="440"/>
              <w:spacing w:line="300" w:lineRule="auto"/>
              <w:rPr>
                <w:bCs/>
              </w:rPr>
            </w:pPr>
            <w:r>
              <w:rPr>
                <w:rFonts w:hint="eastAsia"/>
                <w:bCs/>
              </w:rPr>
              <w:t xml:space="preserve">方案略有欠缺，可行性还需完善的，得2分；</w:t>
            </w:r>
            <w:r/>
          </w:p>
          <w:p>
            <w:pPr>
              <w:ind w:firstLine="440"/>
              <w:spacing w:line="300" w:lineRule="auto"/>
              <w:rPr>
                <w:b/>
              </w:rPr>
            </w:pPr>
            <w:r>
              <w:rPr>
                <w:rFonts w:hint="eastAsia"/>
                <w:bCs/>
              </w:rPr>
              <w:t xml:space="preserve">不提供不得分。</w:t>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spacing w:line="300" w:lineRule="auto"/>
              <w:rPr>
                <w:b/>
                <w:bCs/>
                <w:lang w:val="en-US"/>
              </w:rPr>
            </w:pPr>
            <w:r>
              <w:rPr>
                <w:rFonts w:hint="eastAsia"/>
                <w:b/>
                <w:bCs/>
                <w:lang w:val="en-US"/>
              </w:rPr>
              <w:t xml:space="preserve">6</w:t>
            </w:r>
            <w:r/>
          </w:p>
        </w:tc>
      </w:tr>
      <w:tr>
        <w:trPr>
          <w:cantSplit/>
          <w:jc w:val="center"/>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spacing w:line="300" w:lineRule="auto"/>
              <w:rPr>
                <w:b/>
                <w:lang w:val="en-US"/>
              </w:rPr>
            </w:pPr>
            <w:r>
              <w:rPr>
                <w:rFonts w:hint="eastAsia"/>
                <w:b/>
                <w:lang w:val="en-US"/>
              </w:rPr>
              <w:t xml:space="preserve">2.5</w:t>
            </w:r>
            <w:r/>
          </w:p>
        </w:tc>
        <w:tc>
          <w:tcPr>
            <w:tcBorders>
              <w:left w:val="single" w:color="auto" w:sz="4" w:space="0"/>
              <w:right w:val="single" w:color="auto" w:sz="4" w:space="0"/>
            </w:tcBorders>
            <w:tcW w:w="1331" w:type="dxa"/>
            <w:vAlign w:val="center"/>
            <w:vMerge w:val="continue"/>
            <w:textDirection w:val="lrTb"/>
            <w:noWrap w:val="false"/>
          </w:tcPr>
          <w:p>
            <w:pPr>
              <w:spacing w:line="300" w:lineRule="auto"/>
              <w:rPr>
                <w:b/>
              </w:rPr>
            </w:pPr>
            <w:r>
              <w:rPr>
                <w:b/>
              </w:rPr>
            </w:r>
            <w:r/>
          </w:p>
        </w:tc>
        <w:tc>
          <w:tcPr>
            <w:tcBorders>
              <w:top w:val="single" w:color="auto" w:sz="4" w:space="0"/>
              <w:left w:val="single" w:color="auto" w:sz="4" w:space="0"/>
              <w:bottom w:val="single" w:color="auto" w:sz="4" w:space="0"/>
              <w:right w:val="single" w:color="auto" w:sz="4" w:space="0"/>
            </w:tcBorders>
            <w:tcW w:w="7002" w:type="dxa"/>
            <w:vAlign w:val="center"/>
            <w:textDirection w:val="lrTb"/>
            <w:noWrap w:val="false"/>
          </w:tcPr>
          <w:p>
            <w:pPr>
              <w:spacing w:line="300" w:lineRule="auto"/>
              <w:rPr>
                <w:b/>
              </w:rPr>
            </w:pPr>
            <w:r>
              <w:rPr>
                <w:rFonts w:hint="eastAsia"/>
                <w:b/>
              </w:rPr>
              <w:t xml:space="preserve">药品与医疗设备保障方案：</w:t>
            </w:r>
            <w:r/>
          </w:p>
          <w:p>
            <w:pPr>
              <w:ind w:firstLine="440"/>
              <w:spacing w:line="300" w:lineRule="auto"/>
              <w:rPr>
                <w:bCs/>
              </w:rPr>
            </w:pPr>
            <w:r>
              <w:rPr>
                <w:rFonts w:hint="eastAsia"/>
                <w:bCs/>
              </w:rPr>
              <w:t xml:space="preserve">投标人应根据招标文件要求及本项目特点，制订药品与医疗设备保障方案。包括不限于①常用药、急救药配备、药品进货渠道、药品保管制度、发药记录等②拟投入设备情况（如血压计、急救箱、氧气袋、AED等）、提供拟投入设备清单、品牌、型号、市场价格等。</w:t>
            </w:r>
            <w:r/>
          </w:p>
          <w:p>
            <w:pPr>
              <w:ind w:firstLine="440"/>
              <w:spacing w:line="300" w:lineRule="auto"/>
              <w:rPr>
                <w:bCs/>
              </w:rPr>
            </w:pPr>
            <w:r>
              <w:rPr>
                <w:rFonts w:hint="eastAsia"/>
                <w:bCs/>
              </w:rPr>
              <w:t xml:space="preserve">方案全面、科学合理、管理规范、保障力强，得</w:t>
            </w:r>
            <w:r>
              <w:rPr>
                <w:rFonts w:hint="eastAsia"/>
                <w:bCs/>
                <w:lang w:val="en-US"/>
              </w:rPr>
              <w:t xml:space="preserve">6</w:t>
            </w:r>
            <w:r>
              <w:rPr>
                <w:rFonts w:hint="eastAsia"/>
                <w:bCs/>
              </w:rPr>
              <w:t xml:space="preserve">分；</w:t>
            </w:r>
            <w:r/>
          </w:p>
          <w:p>
            <w:pPr>
              <w:ind w:firstLine="440"/>
              <w:spacing w:line="300" w:lineRule="auto"/>
              <w:rPr>
                <w:bCs/>
              </w:rPr>
            </w:pPr>
            <w:r>
              <w:rPr>
                <w:rFonts w:hint="eastAsia"/>
                <w:bCs/>
              </w:rPr>
              <w:t xml:space="preserve">方案较为全面、较为科学合理、管理较规范、保障力较强的，得</w:t>
            </w:r>
            <w:r>
              <w:rPr>
                <w:rFonts w:hint="eastAsia"/>
                <w:bCs/>
                <w:lang w:val="en-US"/>
              </w:rPr>
              <w:t xml:space="preserve">4</w:t>
            </w:r>
            <w:r>
              <w:rPr>
                <w:rFonts w:hint="eastAsia"/>
                <w:bCs/>
              </w:rPr>
              <w:t xml:space="preserve">分；</w:t>
            </w:r>
            <w:r/>
          </w:p>
          <w:p>
            <w:pPr>
              <w:ind w:firstLine="440"/>
              <w:spacing w:line="300" w:lineRule="auto"/>
              <w:rPr>
                <w:bCs/>
              </w:rPr>
            </w:pPr>
            <w:r>
              <w:rPr>
                <w:rFonts w:hint="eastAsia"/>
                <w:bCs/>
              </w:rPr>
              <w:t xml:space="preserve">方案略有欠缺，管理及保障力还需完善的，得2分；</w:t>
            </w:r>
            <w:r/>
          </w:p>
          <w:p>
            <w:pPr>
              <w:ind w:firstLine="440"/>
              <w:spacing w:line="300" w:lineRule="auto"/>
              <w:rPr>
                <w:b/>
              </w:rPr>
            </w:pPr>
            <w:r>
              <w:rPr>
                <w:rFonts w:hint="eastAsia"/>
                <w:bCs/>
              </w:rPr>
              <w:t xml:space="preserve">不提供不得分。</w:t>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spacing w:line="300" w:lineRule="auto"/>
              <w:rPr>
                <w:b/>
                <w:bCs/>
                <w:lang w:val="en-US"/>
              </w:rPr>
            </w:pPr>
            <w:r>
              <w:rPr>
                <w:rFonts w:hint="eastAsia"/>
                <w:b/>
                <w:bCs/>
                <w:lang w:val="en-US"/>
              </w:rPr>
              <w:t xml:space="preserve">6</w:t>
            </w:r>
            <w:r/>
          </w:p>
        </w:tc>
      </w:tr>
      <w:tr>
        <w:trPr>
          <w:cantSplit/>
          <w:jc w:val="center"/>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spacing w:line="300" w:lineRule="auto"/>
              <w:rPr>
                <w:b/>
                <w:lang w:val="en-US"/>
              </w:rPr>
            </w:pPr>
            <w:r>
              <w:rPr>
                <w:rFonts w:hint="eastAsia"/>
                <w:b/>
                <w:lang w:val="en-US"/>
              </w:rPr>
              <w:t xml:space="preserve">2.6</w:t>
            </w:r>
            <w:r/>
          </w:p>
        </w:tc>
        <w:tc>
          <w:tcPr>
            <w:tcBorders>
              <w:left w:val="single" w:color="auto" w:sz="4" w:space="0"/>
              <w:right w:val="single" w:color="auto" w:sz="4" w:space="0"/>
            </w:tcBorders>
            <w:tcW w:w="1331" w:type="dxa"/>
            <w:vAlign w:val="center"/>
            <w:vMerge w:val="continue"/>
            <w:textDirection w:val="lrTb"/>
            <w:noWrap w:val="false"/>
          </w:tcPr>
          <w:p>
            <w:pPr>
              <w:spacing w:line="300" w:lineRule="auto"/>
              <w:rPr>
                <w:b/>
              </w:rPr>
            </w:pPr>
            <w:r>
              <w:rPr>
                <w:b/>
              </w:rPr>
            </w:r>
            <w:r/>
          </w:p>
        </w:tc>
        <w:tc>
          <w:tcPr>
            <w:tcBorders>
              <w:top w:val="single" w:color="auto" w:sz="4" w:space="0"/>
              <w:left w:val="single" w:color="auto" w:sz="4" w:space="0"/>
              <w:bottom w:val="single" w:color="auto" w:sz="4" w:space="0"/>
              <w:right w:val="single" w:color="auto" w:sz="4" w:space="0"/>
            </w:tcBorders>
            <w:tcW w:w="7002" w:type="dxa"/>
            <w:vAlign w:val="center"/>
            <w:textDirection w:val="lrTb"/>
            <w:noWrap w:val="false"/>
          </w:tcPr>
          <w:p>
            <w:pPr>
              <w:spacing w:line="300" w:lineRule="auto"/>
              <w:rPr>
                <w:b/>
              </w:rPr>
            </w:pPr>
            <w:r>
              <w:rPr>
                <w:rFonts w:hint="eastAsia"/>
                <w:b/>
              </w:rPr>
              <w:t xml:space="preserve">健康教育、知识培训：</w:t>
            </w:r>
            <w:r/>
          </w:p>
          <w:p>
            <w:pPr>
              <w:ind w:firstLine="440"/>
              <w:spacing w:line="300" w:lineRule="auto"/>
              <w:rPr>
                <w:bCs/>
              </w:rPr>
            </w:pPr>
            <w:r>
              <w:rPr>
                <w:rFonts w:hint="eastAsia"/>
                <w:bCs/>
              </w:rPr>
              <w:t xml:space="preserve">投标人应根据招标文件要求及本项目特点，制订健康教育、知识培训方案。制定宣传及培训计划、组织方式等。每学期开展相关医疗知识宣传活动，活动主题聚焦传染病防治、急救技能普及、健康减重指导等重点领域。</w:t>
            </w:r>
            <w:r/>
          </w:p>
          <w:p>
            <w:pPr>
              <w:ind w:firstLine="440"/>
              <w:spacing w:line="300" w:lineRule="auto"/>
              <w:rPr>
                <w:bCs/>
              </w:rPr>
            </w:pPr>
            <w:r>
              <w:rPr>
                <w:rFonts w:hint="eastAsia"/>
                <w:bCs/>
              </w:rPr>
              <w:t xml:space="preserve">方案全面、科学合理、可行性强的，得</w:t>
            </w:r>
            <w:r>
              <w:rPr>
                <w:rFonts w:hint="eastAsia"/>
                <w:bCs/>
                <w:lang w:val="en-US"/>
              </w:rPr>
              <w:t xml:space="preserve">5</w:t>
            </w:r>
            <w:r>
              <w:rPr>
                <w:rFonts w:hint="eastAsia"/>
                <w:bCs/>
              </w:rPr>
              <w:t xml:space="preserve">分；</w:t>
            </w:r>
            <w:r/>
          </w:p>
          <w:p>
            <w:pPr>
              <w:ind w:firstLine="440"/>
              <w:spacing w:line="300" w:lineRule="auto"/>
              <w:rPr>
                <w:bCs/>
              </w:rPr>
            </w:pPr>
            <w:r>
              <w:rPr>
                <w:rFonts w:hint="eastAsia"/>
                <w:bCs/>
              </w:rPr>
              <w:t xml:space="preserve">方案较为全面、较为科学合理、可行性较强的，得</w:t>
            </w:r>
            <w:r>
              <w:rPr>
                <w:rFonts w:hint="eastAsia"/>
                <w:bCs/>
                <w:lang w:val="en-US"/>
              </w:rPr>
              <w:t xml:space="preserve">3</w:t>
            </w:r>
            <w:r>
              <w:rPr>
                <w:rFonts w:hint="eastAsia"/>
                <w:bCs/>
              </w:rPr>
              <w:t xml:space="preserve">分；</w:t>
            </w:r>
            <w:r/>
          </w:p>
          <w:p>
            <w:pPr>
              <w:ind w:firstLine="440"/>
              <w:spacing w:line="300" w:lineRule="auto"/>
              <w:rPr>
                <w:bCs/>
              </w:rPr>
            </w:pPr>
            <w:r>
              <w:rPr>
                <w:rFonts w:hint="eastAsia"/>
                <w:bCs/>
              </w:rPr>
              <w:t xml:space="preserve">方案略有欠缺，可行性还需完善的，得</w:t>
            </w:r>
            <w:r>
              <w:rPr>
                <w:rFonts w:hint="eastAsia"/>
                <w:bCs/>
                <w:lang w:val="en-US"/>
              </w:rPr>
              <w:t xml:space="preserve">1</w:t>
            </w:r>
            <w:r>
              <w:rPr>
                <w:rFonts w:hint="eastAsia"/>
                <w:bCs/>
              </w:rPr>
              <w:t xml:space="preserve">分；</w:t>
            </w:r>
            <w:r/>
          </w:p>
          <w:p>
            <w:pPr>
              <w:ind w:firstLine="440"/>
              <w:spacing w:line="300" w:lineRule="auto"/>
              <w:rPr>
                <w:b/>
              </w:rPr>
            </w:pPr>
            <w:r>
              <w:rPr>
                <w:rFonts w:hint="eastAsia"/>
                <w:bCs/>
              </w:rPr>
              <w:t xml:space="preserve">不提供不得分。</w:t>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spacing w:line="300" w:lineRule="auto"/>
              <w:rPr>
                <w:b/>
                <w:bCs/>
                <w:lang w:val="en-US"/>
              </w:rPr>
            </w:pPr>
            <w:r>
              <w:rPr>
                <w:rFonts w:hint="eastAsia"/>
                <w:b/>
                <w:bCs/>
                <w:lang w:val="en-US"/>
              </w:rPr>
              <w:t xml:space="preserve">5</w:t>
            </w:r>
            <w:r/>
          </w:p>
        </w:tc>
      </w:tr>
      <w:tr>
        <w:trPr>
          <w:cantSplit/>
          <w:jc w:val="center"/>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spacing w:line="300" w:lineRule="auto"/>
              <w:rPr>
                <w:b/>
                <w:lang w:val="en-US"/>
              </w:rPr>
            </w:pPr>
            <w:r>
              <w:rPr>
                <w:rFonts w:hint="eastAsia"/>
                <w:b/>
                <w:lang w:val="en-US"/>
              </w:rPr>
              <w:t xml:space="preserve">2.7</w:t>
            </w:r>
            <w:r/>
          </w:p>
        </w:tc>
        <w:tc>
          <w:tcPr>
            <w:tcBorders>
              <w:left w:val="single" w:color="auto" w:sz="4" w:space="0"/>
              <w:right w:val="single" w:color="auto" w:sz="4" w:space="0"/>
            </w:tcBorders>
            <w:tcW w:w="1331" w:type="dxa"/>
            <w:vAlign w:val="center"/>
            <w:vMerge w:val="continue"/>
            <w:textDirection w:val="lrTb"/>
            <w:noWrap w:val="false"/>
          </w:tcPr>
          <w:p>
            <w:pPr>
              <w:spacing w:line="300" w:lineRule="auto"/>
              <w:rPr>
                <w:b/>
              </w:rPr>
            </w:pPr>
            <w:r>
              <w:rPr>
                <w:b/>
              </w:rPr>
            </w:r>
            <w:r/>
          </w:p>
        </w:tc>
        <w:tc>
          <w:tcPr>
            <w:tcBorders>
              <w:top w:val="single" w:color="auto" w:sz="4" w:space="0"/>
              <w:left w:val="single" w:color="auto" w:sz="4" w:space="0"/>
              <w:bottom w:val="single" w:color="auto" w:sz="4" w:space="0"/>
              <w:right w:val="single" w:color="auto" w:sz="4" w:space="0"/>
            </w:tcBorders>
            <w:tcW w:w="7002" w:type="dxa"/>
            <w:vAlign w:val="center"/>
            <w:textDirection w:val="lrTb"/>
            <w:noWrap w:val="false"/>
          </w:tcPr>
          <w:p>
            <w:pPr>
              <w:spacing w:line="300" w:lineRule="auto"/>
              <w:rPr>
                <w:b/>
              </w:rPr>
            </w:pPr>
            <w:r>
              <w:rPr>
                <w:rFonts w:hint="eastAsia"/>
                <w:b/>
              </w:rPr>
              <w:t xml:space="preserve">服务承诺方案：</w:t>
            </w:r>
            <w:r/>
          </w:p>
          <w:p>
            <w:pPr>
              <w:ind w:firstLine="440"/>
              <w:spacing w:line="300" w:lineRule="auto"/>
              <w:rPr>
                <w:bCs/>
              </w:rPr>
            </w:pPr>
            <w:r>
              <w:rPr>
                <w:rFonts w:hint="eastAsia"/>
                <w:bCs/>
              </w:rPr>
              <w:t xml:space="preserve">投标人应根据招标文件要求及本项目特点，制订服务承诺方案。包含项目需求响应情况、服务质量承诺、增值服务等。</w:t>
            </w:r>
            <w:r/>
          </w:p>
          <w:p>
            <w:pPr>
              <w:ind w:firstLine="440"/>
              <w:spacing w:line="300" w:lineRule="auto"/>
              <w:rPr>
                <w:bCs/>
              </w:rPr>
            </w:pPr>
            <w:r>
              <w:rPr>
                <w:rFonts w:hint="eastAsia"/>
                <w:bCs/>
              </w:rPr>
              <w:t xml:space="preserve">服务承诺全面、能完全满足项目需求、增值服务较好的，得</w:t>
            </w:r>
            <w:r>
              <w:rPr>
                <w:rFonts w:hint="eastAsia"/>
                <w:bCs/>
                <w:lang w:val="en-US"/>
              </w:rPr>
              <w:t xml:space="preserve">5</w:t>
            </w:r>
            <w:r>
              <w:rPr>
                <w:rFonts w:hint="eastAsia"/>
                <w:bCs/>
              </w:rPr>
              <w:t xml:space="preserve">分；</w:t>
            </w:r>
            <w:r/>
          </w:p>
          <w:p>
            <w:pPr>
              <w:ind w:left="440"/>
              <w:spacing w:line="300" w:lineRule="auto"/>
              <w:rPr>
                <w:bCs/>
              </w:rPr>
            </w:pPr>
            <w:r>
              <w:rPr>
                <w:rFonts w:hint="eastAsia"/>
                <w:bCs/>
              </w:rPr>
              <w:t xml:space="preserve">承诺较为全面、能满足全部项目需求、增值服务一般，得</w:t>
            </w:r>
            <w:r>
              <w:rPr>
                <w:rFonts w:hint="eastAsia"/>
                <w:bCs/>
                <w:lang w:val="en-US"/>
              </w:rPr>
              <w:t xml:space="preserve">3</w:t>
            </w:r>
            <w:r>
              <w:rPr>
                <w:rFonts w:hint="eastAsia"/>
                <w:bCs/>
              </w:rPr>
              <w:t xml:space="preserve">分；承诺略有欠缺，不能全部满足项目需求、增值服务较差，得</w:t>
            </w:r>
            <w:r>
              <w:rPr>
                <w:rFonts w:hint="eastAsia"/>
                <w:bCs/>
                <w:lang w:val="en-US"/>
              </w:rPr>
              <w:t xml:space="preserve">1</w:t>
            </w:r>
            <w:r>
              <w:rPr>
                <w:rFonts w:hint="eastAsia"/>
                <w:bCs/>
              </w:rPr>
              <w:t xml:space="preserve">分；</w:t>
            </w:r>
            <w:r/>
          </w:p>
          <w:p>
            <w:pPr>
              <w:ind w:left="440"/>
              <w:spacing w:line="300" w:lineRule="auto"/>
              <w:rPr>
                <w:b/>
              </w:rPr>
            </w:pPr>
            <w:r>
              <w:rPr>
                <w:rFonts w:hint="eastAsia"/>
                <w:bCs/>
              </w:rPr>
              <w:t xml:space="preserve">不提供不得分。</w:t>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spacing w:line="300" w:lineRule="auto"/>
              <w:rPr>
                <w:b/>
                <w:bCs/>
                <w:lang w:val="en-US"/>
              </w:rPr>
            </w:pPr>
            <w:r>
              <w:rPr>
                <w:rFonts w:hint="eastAsia"/>
                <w:b/>
                <w:bCs/>
                <w:lang w:val="en-US"/>
              </w:rPr>
              <w:t xml:space="preserve">5</w:t>
            </w:r>
            <w:r/>
          </w:p>
        </w:tc>
      </w:tr>
      <w:tr>
        <w:trPr>
          <w:cantSplit/>
          <w:jc w:val="center"/>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spacing w:line="300" w:lineRule="auto"/>
              <w:rPr>
                <w:b/>
                <w:lang w:val="en-US"/>
              </w:rPr>
            </w:pPr>
            <w:r>
              <w:rPr>
                <w:rFonts w:hint="eastAsia"/>
                <w:b/>
                <w:lang w:val="en-US"/>
              </w:rPr>
              <w:t xml:space="preserve">2.8</w:t>
            </w:r>
            <w:r/>
          </w:p>
        </w:tc>
        <w:tc>
          <w:tcPr>
            <w:tcBorders>
              <w:left w:val="single" w:color="auto" w:sz="4" w:space="0"/>
              <w:right w:val="single" w:color="auto" w:sz="4" w:space="0"/>
            </w:tcBorders>
            <w:tcW w:w="1331" w:type="dxa"/>
            <w:vAlign w:val="center"/>
            <w:vMerge w:val="continue"/>
            <w:textDirection w:val="lrTb"/>
            <w:noWrap w:val="false"/>
          </w:tcPr>
          <w:p>
            <w:pPr>
              <w:spacing w:line="300" w:lineRule="auto"/>
              <w:rPr>
                <w:b/>
              </w:rPr>
            </w:pPr>
            <w:r>
              <w:rPr>
                <w:b/>
              </w:rPr>
            </w:r>
            <w:r/>
          </w:p>
        </w:tc>
        <w:tc>
          <w:tcPr>
            <w:tcBorders>
              <w:top w:val="single" w:color="auto" w:sz="4" w:space="0"/>
              <w:left w:val="single" w:color="auto" w:sz="4" w:space="0"/>
              <w:bottom w:val="single" w:color="auto" w:sz="4" w:space="0"/>
              <w:right w:val="single" w:color="auto" w:sz="4" w:space="0"/>
            </w:tcBorders>
            <w:tcW w:w="7002" w:type="dxa"/>
            <w:vAlign w:val="center"/>
            <w:textDirection w:val="lrTb"/>
            <w:noWrap w:val="false"/>
          </w:tcPr>
          <w:p>
            <w:pPr>
              <w:spacing w:line="300" w:lineRule="auto"/>
              <w:rPr>
                <w:b/>
              </w:rPr>
            </w:pPr>
            <w:r>
              <w:rPr>
                <w:rFonts w:hint="eastAsia"/>
                <w:b/>
              </w:rPr>
              <w:t xml:space="preserve">人员配置方案：</w:t>
            </w:r>
            <w:r/>
          </w:p>
          <w:p>
            <w:pPr>
              <w:ind w:firstLine="440"/>
              <w:spacing w:line="300" w:lineRule="auto"/>
              <w:rPr>
                <w:bCs/>
              </w:rPr>
            </w:pPr>
            <w:r/>
            <w:bookmarkStart w:id="17" w:name="OLE_LINK6"/>
            <w:r/>
            <w:bookmarkStart w:id="18" w:name="OLE_LINK8"/>
            <w:r/>
            <w:bookmarkStart w:id="19" w:name="OLE_LINK7"/>
            <w:r>
              <w:rPr>
                <w:rFonts w:hint="eastAsia"/>
                <w:bCs/>
              </w:rPr>
              <w:t xml:space="preserve">投标人</w:t>
            </w:r>
            <w:bookmarkEnd w:id="17"/>
            <w:r>
              <w:rPr>
                <w:rFonts w:hint="eastAsia"/>
                <w:bCs/>
              </w:rPr>
              <w:t xml:space="preserve">应根据招标文件要求</w:t>
            </w:r>
            <w:bookmarkEnd w:id="18"/>
            <w:r/>
            <w:bookmarkEnd w:id="19"/>
            <w:r>
              <w:rPr>
                <w:rFonts w:hint="eastAsia"/>
                <w:bCs/>
              </w:rPr>
              <w:t xml:space="preserve">及本项目特点，制订人员配置方案。医务人员应满足招标文件要求，并根据招标文件要求制定校区人员计划安排、日常24小时白天和夜间人员配置计划等。</w:t>
            </w:r>
            <w:r/>
          </w:p>
          <w:p>
            <w:pPr>
              <w:ind w:firstLine="440"/>
              <w:spacing w:line="300" w:lineRule="auto"/>
              <w:rPr>
                <w:bCs/>
              </w:rPr>
            </w:pPr>
            <w:r>
              <w:rPr>
                <w:rFonts w:hint="eastAsia"/>
                <w:bCs/>
              </w:rPr>
              <w:t xml:space="preserve">方案全面、科学合理、可行性强的，得</w:t>
            </w:r>
            <w:r>
              <w:rPr>
                <w:rFonts w:hint="eastAsia"/>
                <w:bCs/>
                <w:lang w:val="en-US"/>
              </w:rPr>
              <w:t xml:space="preserve">5</w:t>
            </w:r>
            <w:r>
              <w:rPr>
                <w:rFonts w:hint="eastAsia"/>
                <w:bCs/>
              </w:rPr>
              <w:t xml:space="preserve">分；</w:t>
            </w:r>
            <w:r/>
          </w:p>
          <w:p>
            <w:pPr>
              <w:ind w:firstLine="440"/>
              <w:spacing w:line="300" w:lineRule="auto"/>
              <w:rPr>
                <w:bCs/>
              </w:rPr>
            </w:pPr>
            <w:r>
              <w:rPr>
                <w:rFonts w:hint="eastAsia"/>
                <w:bCs/>
              </w:rPr>
              <w:t xml:space="preserve">方案较为全面、较为科学合理、可行性较强的，得</w:t>
            </w:r>
            <w:r>
              <w:rPr>
                <w:rFonts w:hint="eastAsia"/>
                <w:bCs/>
                <w:lang w:val="en-US"/>
              </w:rPr>
              <w:t xml:space="preserve">3</w:t>
            </w:r>
            <w:r>
              <w:rPr>
                <w:rFonts w:hint="eastAsia"/>
                <w:bCs/>
              </w:rPr>
              <w:t xml:space="preserve">分；</w:t>
            </w:r>
            <w:r/>
          </w:p>
          <w:p>
            <w:pPr>
              <w:ind w:firstLine="440"/>
              <w:spacing w:line="300" w:lineRule="auto"/>
              <w:rPr>
                <w:bCs/>
              </w:rPr>
            </w:pPr>
            <w:r>
              <w:rPr>
                <w:rFonts w:hint="eastAsia"/>
                <w:bCs/>
              </w:rPr>
              <w:t xml:space="preserve">方案略有欠缺，可行性还需完善的，得</w:t>
            </w:r>
            <w:r>
              <w:rPr>
                <w:rFonts w:hint="eastAsia"/>
                <w:bCs/>
                <w:lang w:val="en-US"/>
              </w:rPr>
              <w:t xml:space="preserve">1</w:t>
            </w:r>
            <w:r>
              <w:rPr>
                <w:rFonts w:hint="eastAsia"/>
                <w:bCs/>
              </w:rPr>
              <w:t xml:space="preserve">分；</w:t>
            </w:r>
            <w:r/>
          </w:p>
          <w:p>
            <w:pPr>
              <w:ind w:firstLine="440"/>
              <w:spacing w:line="300" w:lineRule="auto"/>
              <w:rPr>
                <w:b/>
              </w:rPr>
            </w:pPr>
            <w:r>
              <w:rPr>
                <w:rFonts w:hint="eastAsia"/>
                <w:bCs/>
              </w:rPr>
              <w:t xml:space="preserve">不提供不得分。</w:t>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spacing w:line="300" w:lineRule="auto"/>
              <w:rPr>
                <w:b/>
                <w:bCs/>
                <w:lang w:val="en-US"/>
              </w:rPr>
            </w:pPr>
            <w:r>
              <w:rPr>
                <w:rFonts w:hint="eastAsia"/>
                <w:b/>
                <w:bCs/>
                <w:lang w:val="en-US"/>
              </w:rPr>
              <w:t xml:space="preserve">5</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spacing w:line="300" w:lineRule="auto"/>
              <w:rPr>
                <w:b/>
              </w:rPr>
            </w:pPr>
            <w:r>
              <w:rPr>
                <w:rFonts w:hint="eastAsia"/>
                <w:b/>
                <w:lang w:val="en-US"/>
              </w:rPr>
              <w:t xml:space="preserve">3</w:t>
            </w:r>
            <w:r>
              <w:rPr>
                <w:b/>
              </w:rPr>
              <w:t xml:space="preserve">.1</w:t>
            </w:r>
            <w:r/>
          </w:p>
        </w:tc>
        <w:tc>
          <w:tcPr>
            <w:tcBorders>
              <w:top w:val="single" w:color="auto" w:sz="4" w:space="0"/>
              <w:left w:val="single" w:color="auto" w:sz="4" w:space="0"/>
              <w:right w:val="single" w:color="auto" w:sz="4" w:space="0"/>
            </w:tcBorders>
            <w:tcW w:w="1331" w:type="dxa"/>
            <w:vAlign w:val="center"/>
            <w:vMerge w:val="restart"/>
            <w:textDirection w:val="lrTb"/>
            <w:noWrap w:val="false"/>
          </w:tcPr>
          <w:p>
            <w:pPr>
              <w:jc w:val="center"/>
              <w:spacing w:line="300" w:lineRule="auto"/>
              <w:rPr>
                <w:b/>
              </w:rPr>
            </w:pPr>
            <w:r>
              <w:rPr>
                <w:rFonts w:hint="eastAsia"/>
                <w:b/>
              </w:rPr>
              <w:t xml:space="preserve">响应供应商履约能力</w:t>
            </w:r>
            <w:r>
              <w:rPr>
                <w:b/>
              </w:rPr>
              <w:t xml:space="preserve">（27分）</w:t>
            </w:r>
            <w:r/>
          </w:p>
        </w:tc>
        <w:tc>
          <w:tcPr>
            <w:tcBorders>
              <w:top w:val="single" w:color="auto" w:sz="4" w:space="0"/>
              <w:left w:val="single" w:color="auto" w:sz="4" w:space="0"/>
              <w:bottom w:val="single" w:color="auto" w:sz="4" w:space="0"/>
              <w:right w:val="single" w:color="auto" w:sz="4" w:space="0"/>
            </w:tcBorders>
            <w:tcW w:w="7002" w:type="dxa"/>
            <w:vAlign w:val="center"/>
            <w:textDirection w:val="lrTb"/>
            <w:noWrap w:val="false"/>
          </w:tcPr>
          <w:p>
            <w:pPr>
              <w:spacing w:before="40" w:after="40" w:line="300" w:lineRule="auto"/>
              <w:rPr>
                <w:b/>
                <w:bCs/>
              </w:rPr>
            </w:pPr>
            <w:r>
              <w:rPr>
                <w:rFonts w:hint="eastAsia"/>
                <w:b/>
                <w:bCs/>
              </w:rPr>
              <w:t xml:space="preserve">拟派校区医务室负责人</w:t>
            </w:r>
            <w:r>
              <w:rPr>
                <w:b/>
                <w:bCs/>
              </w:rPr>
              <w:t xml:space="preserve">：</w:t>
            </w:r>
            <w:r/>
          </w:p>
          <w:p>
            <w:pPr>
              <w:ind w:left="440"/>
              <w:spacing w:line="300" w:lineRule="auto"/>
            </w:pPr>
            <w:r>
              <w:rPr>
                <w:rFonts w:hint="eastAsia"/>
              </w:rPr>
              <w:t xml:space="preserve">（1）拟派负责人要求具有3年及以上相关工作经验，且具有高级及以上职称的得4分，具有中级职称的得2分。</w:t>
            </w:r>
            <w:r/>
          </w:p>
          <w:p>
            <w:pPr>
              <w:spacing w:line="300" w:lineRule="auto"/>
            </w:pPr>
            <w:r>
              <w:rPr>
                <w:rFonts w:hint="eastAsia"/>
              </w:rPr>
              <w:t xml:space="preserve">（提供有效证书复印件以及工作经验证明复印件</w:t>
            </w:r>
            <w:r>
              <w:rPr>
                <w:rFonts w:hint="eastAsia"/>
                <w:bCs/>
              </w:rPr>
              <w:t xml:space="preserve">并加盖公章</w:t>
            </w:r>
            <w:r>
              <w:rPr>
                <w:rFonts w:hint="eastAsia"/>
              </w:rPr>
              <w:t xml:space="preserve">）</w:t>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spacing w:line="300" w:lineRule="auto"/>
              <w:rPr>
                <w:b/>
                <w:bCs/>
              </w:rPr>
            </w:pPr>
            <w:r>
              <w:rPr>
                <w:rFonts w:hint="eastAsia"/>
                <w:b/>
                <w:bCs/>
                <w:lang w:val="en-US"/>
              </w:rPr>
              <w:t xml:space="preserve">4</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spacing w:line="300" w:lineRule="auto"/>
              <w:rPr>
                <w:b/>
              </w:rPr>
            </w:pPr>
            <w:r>
              <w:rPr>
                <w:rFonts w:hint="eastAsia"/>
                <w:b/>
                <w:lang w:val="en-US"/>
              </w:rPr>
              <w:t xml:space="preserve">3</w:t>
            </w:r>
            <w:r>
              <w:rPr>
                <w:rFonts w:hint="eastAsia"/>
                <w:b/>
              </w:rPr>
              <w:t xml:space="preserve">.2</w:t>
            </w:r>
            <w:r/>
          </w:p>
        </w:tc>
        <w:tc>
          <w:tcPr>
            <w:tcBorders>
              <w:left w:val="single" w:color="auto" w:sz="4" w:space="0"/>
              <w:right w:val="single" w:color="auto" w:sz="4" w:space="0"/>
            </w:tcBorders>
            <w:tcW w:w="1331" w:type="dxa"/>
            <w:vAlign w:val="center"/>
            <w:vMerge w:val="continue"/>
            <w:textDirection w:val="lrTb"/>
            <w:noWrap w:val="false"/>
          </w:tcPr>
          <w:p>
            <w:pPr>
              <w:jc w:val="center"/>
              <w:spacing w:line="300" w:lineRule="auto"/>
              <w:rPr>
                <w:b/>
              </w:rPr>
            </w:pPr>
            <w:r>
              <w:rPr>
                <w:b/>
              </w:rPr>
            </w:r>
            <w:r/>
          </w:p>
        </w:tc>
        <w:tc>
          <w:tcPr>
            <w:tcBorders>
              <w:top w:val="single" w:color="auto" w:sz="4" w:space="0"/>
              <w:left w:val="single" w:color="auto" w:sz="4" w:space="0"/>
              <w:bottom w:val="single" w:color="auto" w:sz="4" w:space="0"/>
              <w:right w:val="single" w:color="auto" w:sz="4" w:space="0"/>
            </w:tcBorders>
            <w:tcW w:w="7002" w:type="dxa"/>
            <w:vAlign w:val="center"/>
            <w:textDirection w:val="lrTb"/>
            <w:noWrap w:val="false"/>
          </w:tcPr>
          <w:p>
            <w:pPr>
              <w:spacing w:line="300" w:lineRule="auto"/>
              <w:rPr>
                <w:b/>
              </w:rPr>
            </w:pPr>
            <w:r>
              <w:rPr>
                <w:rFonts w:hint="eastAsia"/>
                <w:b/>
              </w:rPr>
              <w:t xml:space="preserve">拟派医护团队成员状况（医务室负责人除外）：</w:t>
            </w:r>
            <w:r/>
          </w:p>
          <w:p>
            <w:pPr>
              <w:ind w:firstLine="440"/>
              <w:spacing w:line="300" w:lineRule="auto"/>
              <w:rPr>
                <w:bCs/>
              </w:rPr>
            </w:pPr>
            <w:r>
              <w:rPr>
                <w:rFonts w:hint="eastAsia"/>
                <w:bCs/>
              </w:rPr>
              <w:t xml:space="preserve">（1）委派医生具有执业医师证书且有中级（含）以上职称，每提供一人得1分，最多得2分。</w:t>
            </w:r>
            <w:r/>
          </w:p>
          <w:p>
            <w:pPr>
              <w:ind w:firstLine="440"/>
              <w:spacing w:line="300" w:lineRule="auto"/>
              <w:rPr>
                <w:bCs/>
              </w:rPr>
            </w:pPr>
            <w:r>
              <w:rPr>
                <w:rFonts w:hint="eastAsia"/>
                <w:bCs/>
              </w:rPr>
              <w:t xml:space="preserve">（2）委派护士具有护士执业证书且具有护师（含）以上职称,提供一人得1分，最多得3分。</w:t>
            </w:r>
            <w:r/>
          </w:p>
          <w:p>
            <w:pPr>
              <w:ind w:firstLine="440"/>
              <w:spacing w:line="300" w:lineRule="auto"/>
              <w:rPr>
                <w:bCs/>
              </w:rPr>
            </w:pPr>
            <w:r>
              <w:rPr>
                <w:rFonts w:hint="eastAsia"/>
                <w:bCs/>
              </w:rPr>
              <w:t xml:space="preserve">本项最高得5分。（需提供有效证书复印件并加盖公章，同一人不可重复得分）</w:t>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spacing w:line="300" w:lineRule="auto"/>
              <w:rPr>
                <w:b/>
                <w:bCs/>
              </w:rPr>
            </w:pPr>
            <w:r>
              <w:rPr>
                <w:rFonts w:hint="eastAsia"/>
                <w:b/>
                <w:bCs/>
                <w:lang w:val="en-US"/>
              </w:rPr>
              <w:t xml:space="preserve">5</w:t>
            </w:r>
            <w:r/>
          </w:p>
        </w:tc>
      </w:tr>
      <w:tr>
        <w:trPr>
          <w:cantSplit/>
          <w:jc w:val="center"/>
          <w:trHeight w:val="1546"/>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spacing w:line="300" w:lineRule="auto"/>
              <w:rPr>
                <w:b/>
              </w:rPr>
            </w:pPr>
            <w:r>
              <w:rPr>
                <w:rFonts w:hint="eastAsia"/>
                <w:b/>
                <w:lang w:val="en-US"/>
              </w:rPr>
              <w:t xml:space="preserve">3</w:t>
            </w:r>
            <w:r>
              <w:rPr>
                <w:rFonts w:hint="eastAsia"/>
                <w:b/>
              </w:rPr>
              <w:t xml:space="preserve">.3</w:t>
            </w:r>
            <w:r/>
          </w:p>
        </w:tc>
        <w:tc>
          <w:tcPr>
            <w:tcBorders>
              <w:left w:val="single" w:color="auto" w:sz="4" w:space="0"/>
              <w:right w:val="single" w:color="auto" w:sz="4" w:space="0"/>
            </w:tcBorders>
            <w:tcW w:w="1331" w:type="dxa"/>
            <w:vAlign w:val="center"/>
            <w:vMerge w:val="continue"/>
            <w:textDirection w:val="lrTb"/>
            <w:noWrap w:val="false"/>
          </w:tcPr>
          <w:p>
            <w:pPr>
              <w:jc w:val="center"/>
              <w:spacing w:line="300" w:lineRule="auto"/>
              <w:rPr>
                <w:b/>
              </w:rPr>
            </w:pPr>
            <w:r>
              <w:rPr>
                <w:b/>
              </w:rPr>
            </w:r>
            <w:r/>
          </w:p>
        </w:tc>
        <w:tc>
          <w:tcPr>
            <w:tcBorders>
              <w:top w:val="single" w:color="auto" w:sz="4" w:space="0"/>
              <w:left w:val="single" w:color="auto" w:sz="4" w:space="0"/>
              <w:bottom w:val="single" w:color="auto" w:sz="4" w:space="0"/>
              <w:right w:val="single" w:color="auto" w:sz="4" w:space="0"/>
            </w:tcBorders>
            <w:tcW w:w="7002" w:type="dxa"/>
            <w:vAlign w:val="center"/>
            <w:textDirection w:val="lrTb"/>
            <w:noWrap w:val="false"/>
          </w:tcPr>
          <w:p>
            <w:pPr>
              <w:spacing w:line="300" w:lineRule="auto"/>
              <w:rPr>
                <w:b/>
              </w:rPr>
            </w:pPr>
            <w:r>
              <w:rPr>
                <w:rFonts w:hint="eastAsia"/>
                <w:b/>
                <w:lang w:val="en-US"/>
              </w:rPr>
              <w:t xml:space="preserve">类似业绩</w:t>
            </w:r>
            <w:r>
              <w:rPr>
                <w:rFonts w:hint="eastAsia"/>
                <w:b/>
              </w:rPr>
              <w:t xml:space="preserve">：</w:t>
            </w:r>
            <w:r/>
          </w:p>
          <w:p>
            <w:pPr>
              <w:spacing w:line="300" w:lineRule="auto"/>
              <w:rPr>
                <w:bCs/>
              </w:rPr>
            </w:pPr>
            <w:r>
              <w:rPr>
                <w:rFonts w:hint="eastAsia"/>
                <w:bCs/>
              </w:rPr>
              <w:t xml:space="preserve">自2023年1月1日以来（含，以合同签订时间为准）承担过类似本项目医疗托管案例的，每提供一个案例得2分，最多得</w:t>
            </w:r>
            <w:r>
              <w:rPr>
                <w:rFonts w:hint="eastAsia"/>
                <w:bCs/>
                <w:lang w:val="en-US"/>
              </w:rPr>
              <w:t xml:space="preserve">8</w:t>
            </w:r>
            <w:r>
              <w:rPr>
                <w:rFonts w:hint="eastAsia"/>
                <w:bCs/>
              </w:rPr>
              <w:t xml:space="preserve">分，未按要求提供的，不得分。</w:t>
            </w:r>
            <w:r/>
          </w:p>
          <w:p>
            <w:pPr>
              <w:spacing w:line="300" w:lineRule="auto"/>
              <w:rPr>
                <w:bCs/>
              </w:rPr>
            </w:pPr>
            <w:r>
              <w:rPr>
                <w:rFonts w:hint="eastAsia"/>
                <w:bCs/>
              </w:rPr>
              <w:t xml:space="preserve">（需要同时提供</w:t>
            </w:r>
            <w:r>
              <w:rPr>
                <w:rFonts w:hint="eastAsia"/>
                <w:b/>
              </w:rPr>
              <w:t xml:space="preserve">合同复印件和中标通知书加盖供应商公章</w:t>
            </w:r>
            <w:r>
              <w:rPr>
                <w:rFonts w:hint="eastAsia"/>
                <w:bCs/>
              </w:rPr>
              <w:t xml:space="preserve">，合同复印件至少包括合同的甲乙双方、采购内容、双方签章及生效时间，并对真实性负责，提供材料不齐全不予认可）。</w:t>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spacing w:line="300" w:lineRule="auto"/>
              <w:rPr>
                <w:b/>
                <w:bCs/>
                <w:lang w:val="en-US"/>
              </w:rPr>
            </w:pPr>
            <w:r>
              <w:rPr>
                <w:rFonts w:hint="eastAsia"/>
                <w:b/>
                <w:bCs/>
                <w:lang w:val="en-US"/>
              </w:rPr>
              <w:t xml:space="preserve">8</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spacing w:line="300" w:lineRule="auto"/>
              <w:rPr>
                <w:b/>
              </w:rPr>
            </w:pPr>
            <w:r>
              <w:rPr>
                <w:rFonts w:hint="eastAsia"/>
                <w:b/>
                <w:lang w:val="en-US"/>
              </w:rPr>
              <w:t xml:space="preserve">3</w:t>
            </w:r>
            <w:r>
              <w:rPr>
                <w:b/>
              </w:rPr>
              <w:t xml:space="preserve">.</w:t>
            </w:r>
            <w:r>
              <w:rPr>
                <w:rFonts w:hint="eastAsia"/>
                <w:b/>
              </w:rPr>
              <w:t xml:space="preserve">4</w:t>
            </w:r>
            <w:r/>
          </w:p>
        </w:tc>
        <w:tc>
          <w:tcPr>
            <w:tcBorders>
              <w:left w:val="single" w:color="auto" w:sz="4" w:space="0"/>
              <w:right w:val="single" w:color="auto" w:sz="4" w:space="0"/>
            </w:tcBorders>
            <w:tcW w:w="1331" w:type="dxa"/>
            <w:vAlign w:val="center"/>
            <w:vMerge w:val="continue"/>
            <w:textDirection w:val="lrTb"/>
            <w:noWrap w:val="false"/>
          </w:tcPr>
          <w:p>
            <w:pPr>
              <w:spacing w:line="300" w:lineRule="auto"/>
              <w:rPr>
                <w:b/>
              </w:rPr>
            </w:pPr>
            <w:r>
              <w:rPr>
                <w:b/>
              </w:rPr>
            </w:r>
            <w:r/>
          </w:p>
        </w:tc>
        <w:tc>
          <w:tcPr>
            <w:tcBorders>
              <w:top w:val="single" w:color="auto" w:sz="4" w:space="0"/>
              <w:left w:val="single" w:color="auto" w:sz="4" w:space="0"/>
              <w:bottom w:val="single" w:color="auto" w:sz="4" w:space="0"/>
              <w:right w:val="single" w:color="auto" w:sz="4" w:space="0"/>
            </w:tcBorders>
            <w:tcW w:w="7002" w:type="dxa"/>
            <w:vAlign w:val="center"/>
            <w:textDirection w:val="lrTb"/>
            <w:noWrap w:val="false"/>
          </w:tcPr>
          <w:p>
            <w:pPr>
              <w:spacing w:line="300" w:lineRule="auto"/>
              <w:rPr>
                <w:b/>
              </w:rPr>
            </w:pPr>
            <w:r>
              <w:rPr>
                <w:rFonts w:hint="eastAsia"/>
                <w:b/>
              </w:rPr>
              <w:t xml:space="preserve">业主评价：</w:t>
            </w:r>
            <w:r/>
          </w:p>
          <w:p>
            <w:pPr>
              <w:ind w:firstLine="440"/>
              <w:spacing w:line="300" w:lineRule="auto"/>
              <w:rPr>
                <w:bCs/>
              </w:rPr>
            </w:pPr>
            <w:r>
              <w:rPr>
                <w:rFonts w:hint="eastAsia"/>
                <w:bCs/>
              </w:rPr>
              <w:t xml:space="preserve">自2023年1月1日以来（含，以合同签订时间为准），提供业主单位对其表彰或评价，评价优秀或同等次描述的，评价优秀一个得2分，满分</w:t>
            </w:r>
            <w:r>
              <w:rPr>
                <w:rFonts w:hint="eastAsia"/>
                <w:bCs/>
                <w:lang w:val="en-US"/>
              </w:rPr>
              <w:t xml:space="preserve">10</w:t>
            </w:r>
            <w:r>
              <w:rPr>
                <w:rFonts w:hint="eastAsia"/>
                <w:bCs/>
              </w:rPr>
              <w:t xml:space="preserve">分。（需要同时提供合同复印件、中标通知书复印件、复印件业主单位评价证明盖章材料加盖供应商公章，合同复印件至少包括合同的甲乙双方、采购内容、双方签章及生效时间，并对真实性负责，提供材料不齐全不予认可）</w:t>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spacing w:line="300" w:lineRule="auto"/>
              <w:rPr>
                <w:b/>
                <w:bCs/>
                <w:lang w:val="en-US"/>
              </w:rPr>
            </w:pPr>
            <w:r>
              <w:rPr>
                <w:rFonts w:hint="eastAsia"/>
                <w:b/>
                <w:bCs/>
                <w:lang w:val="en-US"/>
              </w:rPr>
              <w:t xml:space="preserve">10</w:t>
            </w:r>
            <w:r/>
          </w:p>
        </w:tc>
      </w:tr>
    </w:tbl>
    <w:p>
      <w:pPr>
        <w:spacing w:line="360" w:lineRule="auto"/>
        <w:rPr>
          <w:b/>
          <w:sz w:val="21"/>
        </w:rPr>
      </w:pPr>
      <w:r>
        <w:rPr>
          <w:b/>
          <w:sz w:val="21"/>
        </w:rPr>
      </w:r>
      <w:r/>
    </w:p>
    <w:p>
      <w:pPr>
        <w:spacing w:line="360" w:lineRule="auto"/>
        <w:rPr>
          <w:b/>
          <w:sz w:val="21"/>
        </w:rPr>
      </w:pPr>
      <w:r>
        <w:rPr>
          <w:b/>
          <w:sz w:val="21"/>
        </w:rPr>
        <w:t xml:space="preserve">说明：</w:t>
      </w:r>
      <w:r/>
    </w:p>
    <w:p>
      <w:pPr>
        <w:ind w:firstLine="420"/>
        <w:spacing w:line="360" w:lineRule="auto"/>
        <w:tabs>
          <w:tab w:val="left" w:pos="850" w:leader="none"/>
        </w:tabs>
        <w:rPr>
          <w:sz w:val="21"/>
          <w:lang w:val="en-US"/>
        </w:rPr>
      </w:pPr>
      <w:r>
        <w:rPr>
          <w:rFonts w:hint="eastAsia"/>
          <w:sz w:val="21"/>
          <w:lang w:val="en-US"/>
        </w:rPr>
        <w:t xml:space="preserve">1.小微企业价格扣除</w:t>
      </w:r>
      <w:r/>
    </w:p>
    <w:p>
      <w:pPr>
        <w:ind w:firstLine="420"/>
        <w:spacing w:line="360" w:lineRule="auto"/>
        <w:tabs>
          <w:tab w:val="left" w:pos="850" w:leader="none"/>
        </w:tabs>
        <w:rPr>
          <w:sz w:val="21"/>
          <w:lang w:val="en-US"/>
        </w:rPr>
      </w:pPr>
      <w:r>
        <w:rPr>
          <w:rFonts w:hint="eastAsia"/>
          <w:sz w:val="21"/>
          <w:lang w:val="en-US"/>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tabs>
          <w:tab w:val="left" w:pos="850" w:leader="none"/>
        </w:tabs>
        <w:rPr>
          <w:sz w:val="21"/>
          <w:lang w:val="en-US"/>
        </w:rPr>
      </w:pPr>
      <w:r>
        <w:rPr>
          <w:rFonts w:hint="eastAsia"/>
          <w:sz w:val="21"/>
          <w:lang w:val="en-US"/>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tabs>
          <w:tab w:val="left" w:pos="850" w:leader="none"/>
        </w:tabs>
        <w:rPr>
          <w:sz w:val="21"/>
          <w:lang w:val="en-US"/>
        </w:rPr>
      </w:pPr>
      <w:r>
        <w:rPr>
          <w:rFonts w:hint="eastAsia"/>
          <w:sz w:val="21"/>
          <w:lang w:val="en-US"/>
        </w:rPr>
        <w:t xml:space="preserve">1.3 小企业（含小型、微型企业）应当提供《中小企业声明函》，且符合《政府采购促进中小企业发展管理办法》（财库〔2020〕46号）的相关规定。</w:t>
      </w:r>
      <w:r/>
    </w:p>
    <w:p>
      <w:pPr>
        <w:ind w:firstLine="420"/>
        <w:spacing w:line="360" w:lineRule="auto"/>
        <w:tabs>
          <w:tab w:val="left" w:pos="850" w:leader="none"/>
        </w:tabs>
        <w:rPr>
          <w:sz w:val="21"/>
          <w:lang w:val="en-US"/>
        </w:rPr>
      </w:pPr>
      <w:r>
        <w:rPr>
          <w:rFonts w:hint="eastAsia"/>
          <w:sz w:val="21"/>
          <w:lang w:val="en-US"/>
        </w:rPr>
        <w:t xml:space="preserve">2.监狱和戒毒企业的价格扣除</w:t>
      </w:r>
      <w:r/>
    </w:p>
    <w:p>
      <w:pPr>
        <w:ind w:firstLine="420"/>
        <w:spacing w:line="360" w:lineRule="auto"/>
        <w:tabs>
          <w:tab w:val="left" w:pos="850" w:leader="none"/>
        </w:tabs>
        <w:rPr>
          <w:sz w:val="21"/>
          <w:lang w:val="en-US"/>
        </w:rPr>
      </w:pPr>
      <w:r>
        <w:rPr>
          <w:rFonts w:hint="eastAsia"/>
          <w:sz w:val="21"/>
          <w:lang w:val="en-US"/>
        </w:rPr>
        <w:t xml:space="preserve">2.1 本项目对监狱和戒毒企业，给予10%的价格扣除，用扣除后的价格参与评审。</w:t>
      </w:r>
      <w:r/>
    </w:p>
    <w:p>
      <w:pPr>
        <w:ind w:firstLine="420"/>
        <w:spacing w:line="360" w:lineRule="auto"/>
        <w:tabs>
          <w:tab w:val="left" w:pos="850" w:leader="none"/>
        </w:tabs>
        <w:rPr>
          <w:sz w:val="21"/>
          <w:lang w:val="en-US"/>
        </w:rPr>
      </w:pPr>
      <w:r>
        <w:rPr>
          <w:rFonts w:hint="eastAsia"/>
          <w:sz w:val="21"/>
          <w:lang w:val="en-US"/>
        </w:rPr>
        <w:t xml:space="preserve">2.2 监狱企业需提供由省级以上监狱管理局、戒毒管理局（含新疆生产建设兵团）出具的属于监狱企业的证明文件。</w:t>
      </w:r>
      <w:r/>
    </w:p>
    <w:p>
      <w:pPr>
        <w:ind w:firstLine="420"/>
        <w:spacing w:line="360" w:lineRule="auto"/>
        <w:tabs>
          <w:tab w:val="left" w:pos="850" w:leader="none"/>
        </w:tabs>
        <w:rPr>
          <w:sz w:val="21"/>
          <w:lang w:val="en-US"/>
        </w:rPr>
      </w:pPr>
      <w:r>
        <w:rPr>
          <w:rFonts w:hint="eastAsia"/>
          <w:sz w:val="21"/>
          <w:lang w:val="en-US"/>
        </w:rPr>
        <w:t xml:space="preserve">2.3 监狱企业标准请参照《关于政府采购支持监狱企业发展有关问题的通知》（财库〔2014〕68号）。</w:t>
      </w:r>
      <w:r/>
    </w:p>
    <w:p>
      <w:pPr>
        <w:ind w:firstLine="420"/>
        <w:spacing w:line="360" w:lineRule="auto"/>
        <w:tabs>
          <w:tab w:val="left" w:pos="850" w:leader="none"/>
        </w:tabs>
        <w:rPr>
          <w:sz w:val="21"/>
          <w:lang w:val="en-US"/>
        </w:rPr>
      </w:pPr>
      <w:r>
        <w:rPr>
          <w:rFonts w:hint="eastAsia"/>
          <w:sz w:val="21"/>
          <w:lang w:val="en-US"/>
        </w:rPr>
        <w:t xml:space="preserve">3.残疾人福利性单位的价格扣除</w:t>
      </w:r>
      <w:r/>
    </w:p>
    <w:p>
      <w:pPr>
        <w:ind w:firstLine="420"/>
        <w:spacing w:line="360" w:lineRule="auto"/>
        <w:tabs>
          <w:tab w:val="left" w:pos="850" w:leader="none"/>
        </w:tabs>
        <w:rPr>
          <w:sz w:val="21"/>
          <w:lang w:val="en-US"/>
        </w:rPr>
      </w:pPr>
      <w:r>
        <w:rPr>
          <w:rFonts w:hint="eastAsia"/>
          <w:sz w:val="21"/>
          <w:lang w:val="en-US"/>
        </w:rPr>
        <w:t xml:space="preserve">3.1 本项目对残疾人福利性单位，给予10%的价格扣除，用扣除后的价格参与评审。</w:t>
      </w:r>
      <w:r/>
    </w:p>
    <w:p>
      <w:pPr>
        <w:ind w:firstLine="420"/>
        <w:spacing w:line="360" w:lineRule="auto"/>
        <w:tabs>
          <w:tab w:val="left" w:pos="850" w:leader="none"/>
        </w:tabs>
        <w:rPr>
          <w:sz w:val="21"/>
          <w:lang w:val="en-US"/>
        </w:rPr>
      </w:pPr>
      <w:r>
        <w:rPr>
          <w:rFonts w:hint="eastAsia"/>
          <w:sz w:val="21"/>
          <w:lang w:val="en-US"/>
        </w:rPr>
        <w:t xml:space="preserve">3.2 残疾人福利性单位需提供《残疾人福利性单位声明函》</w:t>
      </w:r>
      <w:r/>
    </w:p>
    <w:p>
      <w:pPr>
        <w:ind w:firstLine="420"/>
        <w:spacing w:line="360" w:lineRule="auto"/>
        <w:tabs>
          <w:tab w:val="left" w:pos="850" w:leader="none"/>
        </w:tabs>
        <w:rPr>
          <w:sz w:val="21"/>
          <w:lang w:val="en-US"/>
        </w:rPr>
      </w:pPr>
      <w:r>
        <w:rPr>
          <w:rFonts w:hint="eastAsia"/>
          <w:sz w:val="21"/>
          <w:lang w:val="en-US"/>
        </w:rPr>
        <w:t xml:space="preserve">3.3 残疾人福利性单位标准请参照《关于促进残疾人就业政府采购政策的通知》（财库〔2017〕141号）。</w:t>
      </w:r>
      <w:r/>
    </w:p>
    <w:p>
      <w:pPr>
        <w:ind w:firstLine="420"/>
        <w:spacing w:line="360" w:lineRule="auto"/>
        <w:tabs>
          <w:tab w:val="left" w:pos="850" w:leader="none"/>
        </w:tabs>
        <w:rPr>
          <w:sz w:val="21"/>
          <w:lang w:val="en-US"/>
        </w:rPr>
      </w:pPr>
      <w:r>
        <w:rPr>
          <w:rFonts w:hint="eastAsia"/>
          <w:sz w:val="21"/>
          <w:lang w:val="en-US"/>
        </w:rPr>
        <w:t xml:space="preserve">4. 监狱企业、残疾人福利性单位属于小型、微型企业的，不重复享受政策。</w:t>
      </w:r>
      <w:r/>
    </w:p>
    <w:p>
      <w:pPr>
        <w:ind w:firstLine="420"/>
        <w:spacing w:line="360" w:lineRule="auto"/>
        <w:tabs>
          <w:tab w:val="left" w:pos="850" w:leader="none"/>
        </w:tabs>
        <w:rPr>
          <w:sz w:val="21"/>
          <w:lang w:val="en-US"/>
        </w:rPr>
      </w:pPr>
      <w:r>
        <w:rPr>
          <w:rFonts w:hint="eastAsia"/>
          <w:sz w:val="21"/>
          <w:lang w:val="en-US"/>
        </w:rPr>
        <w:t xml:space="preserve">5. 对国家认定的节能产品和环保产品分别给予投标价的5%的价格扣除，用扣除后的价格参与评审（节能、环保产品必须纳入“中国政府采购网http：//www.ccgp.gov.cn/”等官方网站“节能、环保产品查询系统”，且以提供的证书扫描件为准）。</w:t>
      </w:r>
      <w:r/>
    </w:p>
    <w:p>
      <w:pPr>
        <w:pStyle w:val="961"/>
        <w:ind w:left="0"/>
        <w:spacing w:line="360" w:lineRule="auto"/>
        <w:tabs>
          <w:tab w:val="left" w:pos="1167" w:leader="none"/>
        </w:tabs>
        <w:rPr>
          <w:b/>
          <w:sz w:val="21"/>
        </w:rPr>
      </w:pPr>
      <w:r>
        <w:rPr>
          <w:rFonts w:hint="eastAsia"/>
          <w:sz w:val="21"/>
          <w:lang w:val="en-US"/>
        </w:rPr>
        <w:t xml:space="preserve">6. 所有认证、证明和业绩均以有效期内的、清晰的证明文件的复印件为依据。</w:t>
      </w:r>
      <w:r>
        <w:rPr>
          <w:rFonts w:hint="eastAsia"/>
          <w:b/>
          <w:sz w:val="21"/>
          <w:lang w:val="en-US"/>
        </w:rPr>
        <w:t xml:space="preserve">供应商必须在投标文件中逐条响应上述评标办法细则并提供有效证明材料并列明索引，否则将可能导致不得分</w:t>
      </w:r>
      <w:r>
        <w:rPr>
          <w:b/>
          <w:sz w:val="21"/>
        </w:rPr>
        <w:t xml:space="preserve">。</w:t>
      </w:r>
      <w:r/>
    </w:p>
    <w:p>
      <w:pPr>
        <w:contextualSpacing/>
        <w:jc w:val="center"/>
        <w:spacing w:line="360" w:lineRule="auto"/>
        <w:rPr>
          <w:rFonts w:ascii="黑体" w:eastAsia="黑体"/>
          <w:b/>
          <w:sz w:val="36"/>
        </w:rPr>
      </w:pPr>
      <w:r/>
      <w:bookmarkStart w:id="20" w:name="_Toc12644"/>
      <w:r>
        <w:rPr>
          <w:rFonts w:hint="eastAsia" w:ascii="黑体" w:eastAsia="黑体"/>
          <w:b/>
          <w:sz w:val="36"/>
        </w:rPr>
        <w:br w:type="page" w:clear="all"/>
      </w:r>
      <w:bookmarkStart w:id="21" w:name="OLE_LINK4"/>
      <w:r/>
      <w:bookmarkStart w:id="22" w:name="OLE_LINK2"/>
      <w:r>
        <w:rPr>
          <w:rFonts w:hint="eastAsia" w:ascii="黑体" w:eastAsia="黑体"/>
          <w:b/>
          <w:sz w:val="36"/>
        </w:rPr>
        <w:t xml:space="preserve">第四章 招标项目的技术规格、要求和数量等</w:t>
      </w:r>
      <w:bookmarkEnd w:id="20"/>
      <w:r/>
      <w:bookmarkEnd w:id="21"/>
      <w:bookmarkEnd w:id="22"/>
      <w:r/>
    </w:p>
    <w:p>
      <w:pPr>
        <w:numPr>
          <w:ilvl w:val="0"/>
          <w:numId w:val="32"/>
        </w:numPr>
        <w:spacing w:after="5" w:line="480" w:lineRule="auto"/>
        <w:rPr>
          <w:b/>
          <w:sz w:val="24"/>
          <w:szCs w:val="24"/>
        </w:rPr>
        <w:outlineLvl w:val="1"/>
      </w:pPr>
      <w:r/>
      <w:bookmarkStart w:id="23" w:name="_Toc9455"/>
      <w:r>
        <w:rPr>
          <w:b/>
          <w:sz w:val="24"/>
          <w:szCs w:val="24"/>
        </w:rPr>
        <w:t xml:space="preserve">项目概况</w:t>
      </w:r>
      <w:bookmarkEnd w:id="23"/>
      <w:r/>
      <w:r/>
    </w:p>
    <w:p>
      <w:pPr>
        <w:ind w:firstLine="440"/>
        <w:spacing w:line="480" w:lineRule="auto"/>
        <w:rPr>
          <w:rFonts w:ascii="Times New Roman" w:hAnsi="Times New Roman" w:cs="Times New Roman"/>
          <w:bCs/>
          <w:color w:val="000000" w:themeColor="text1"/>
          <w:lang w:bidi="ar-SA"/>
          <w14:textFill>
            <w14:solidFill>
              <w14:schemeClr w14:val="tx1"/>
            </w14:solidFill>
          </w14:textFill>
        </w:rPr>
        <w:outlineLvl w:val="1"/>
      </w:pPr>
      <w:r/>
      <w:bookmarkStart w:id="24" w:name="_Toc29230"/>
      <w:r>
        <w:rPr>
          <w:rFonts w:hint="eastAsia" w:ascii="Times New Roman" w:hAnsi="Times New Roman" w:cs="Times New Roman"/>
          <w:bCs/>
          <w:color w:val="000000" w:themeColor="text1"/>
          <w:lang w:bidi="ar-SA"/>
          <w14:textFill>
            <w14:solidFill>
              <w14:schemeClr w14:val="tx1"/>
            </w14:solidFill>
          </w14:textFill>
        </w:rPr>
        <w:t xml:space="preserve">本项目为江苏开放大学（江苏城市职业学院）桥林校区采购医疗卫生保健服务托管。</w:t>
      </w:r>
      <w:r/>
    </w:p>
    <w:p>
      <w:pPr>
        <w:ind w:firstLine="440"/>
        <w:spacing w:line="480" w:lineRule="auto"/>
        <w:rPr>
          <w:rFonts w:ascii="Times New Roman" w:hAnsi="Times New Roman" w:cs="Times New Roman"/>
          <w:bCs/>
          <w:color w:val="000000" w:themeColor="text1"/>
          <w:lang w:bidi="ar-SA"/>
          <w14:textFill>
            <w14:solidFill>
              <w14:schemeClr w14:val="tx1"/>
            </w14:solidFill>
          </w14:textFill>
        </w:rPr>
        <w:outlineLvl w:val="1"/>
      </w:pPr>
      <w:r>
        <w:rPr>
          <w:rFonts w:hint="eastAsia" w:ascii="Times New Roman" w:hAnsi="Times New Roman" w:cs="Times New Roman"/>
          <w:bCs/>
          <w:color w:val="000000" w:themeColor="text1"/>
          <w:lang w:bidi="ar-SA"/>
          <w14:textFill>
            <w14:solidFill>
              <w14:schemeClr w14:val="tx1"/>
            </w14:solidFill>
          </w14:textFill>
        </w:rPr>
        <w:t xml:space="preserve">医务室总面积：</w:t>
      </w:r>
      <w:r>
        <w:rPr>
          <w:rFonts w:ascii="Times New Roman" w:hAnsi="Times New Roman" w:cs="Times New Roman"/>
          <w:bCs/>
          <w:color w:val="000000" w:themeColor="text1"/>
          <w:lang w:bidi="ar-SA"/>
          <w14:textFill>
            <w14:solidFill>
              <w14:schemeClr w14:val="tx1"/>
            </w14:solidFill>
          </w14:textFill>
        </w:rPr>
        <w:t xml:space="preserve">1051.91平方米。</w:t>
      </w:r>
      <w:r/>
    </w:p>
    <w:p>
      <w:pPr>
        <w:spacing w:line="480" w:lineRule="auto"/>
        <w:rPr>
          <w:b/>
          <w:sz w:val="24"/>
          <w:szCs w:val="24"/>
        </w:rPr>
        <w:outlineLvl w:val="1"/>
      </w:pPr>
      <w:r>
        <w:rPr>
          <w:b/>
          <w:sz w:val="24"/>
          <w:szCs w:val="24"/>
        </w:rPr>
        <w:t xml:space="preserve">二、</w:t>
      </w:r>
      <w:r>
        <w:rPr>
          <w:rFonts w:hint="eastAsia"/>
          <w:b/>
          <w:sz w:val="24"/>
          <w:szCs w:val="24"/>
        </w:rPr>
        <w:t xml:space="preserve">具体服务要求</w:t>
      </w:r>
      <w:r>
        <w:rPr>
          <w:b/>
          <w:sz w:val="24"/>
          <w:szCs w:val="24"/>
        </w:rPr>
        <w:t xml:space="preserve">：</w:t>
      </w:r>
      <w:bookmarkEnd w:id="24"/>
      <w:r/>
      <w:r/>
    </w:p>
    <w:p>
      <w:pPr>
        <w:ind w:firstLine="440"/>
        <w:spacing w:line="480" w:lineRule="auto"/>
        <w:rPr>
          <w:bCs/>
        </w:rPr>
      </w:pPr>
      <w:r>
        <w:rPr>
          <w:rFonts w:hint="eastAsia"/>
          <w:bCs/>
        </w:rPr>
        <w:t xml:space="preserve">（一）采购人的权利和义务：</w:t>
      </w:r>
      <w:r/>
    </w:p>
    <w:p>
      <w:pPr>
        <w:ind w:firstLine="440"/>
        <w:spacing w:line="480" w:lineRule="auto"/>
        <w:rPr>
          <w:bCs/>
        </w:rPr>
      </w:pPr>
      <w:r>
        <w:rPr>
          <w:rFonts w:hint="eastAsia"/>
          <w:bCs/>
        </w:rPr>
        <w:t xml:space="preserve">1、采购人在学校</w:t>
      </w:r>
      <w:r>
        <w:rPr>
          <w:rFonts w:hint="eastAsia"/>
          <w:bCs/>
          <w:lang w:val="en-US"/>
        </w:rPr>
        <w:t xml:space="preserve">桥林</w:t>
      </w:r>
      <w:r>
        <w:rPr>
          <w:rFonts w:hint="eastAsia"/>
          <w:bCs/>
        </w:rPr>
        <w:t xml:space="preserve">校区设立医务室（包括医疗用房，值班用房），供应商协助学校办理医务室所需的医疗机构执业许可证及医保定点的申请。</w:t>
      </w:r>
      <w:r/>
    </w:p>
    <w:p>
      <w:pPr>
        <w:ind w:firstLine="440"/>
        <w:spacing w:line="480" w:lineRule="auto"/>
        <w:rPr>
          <w:bCs/>
        </w:rPr>
      </w:pPr>
      <w:r>
        <w:rPr>
          <w:rFonts w:hint="eastAsia"/>
          <w:bCs/>
        </w:rPr>
        <w:t xml:space="preserve">2、采购人承诺将每年新生的入学和毕业体检全部交由</w:t>
      </w:r>
      <w:r>
        <w:rPr>
          <w:rFonts w:hint="eastAsia"/>
          <w:bCs/>
          <w:lang w:val="en-US"/>
        </w:rPr>
        <w:t xml:space="preserve">中标</w:t>
      </w:r>
      <w:r>
        <w:rPr>
          <w:rFonts w:hint="eastAsia"/>
          <w:bCs/>
        </w:rPr>
        <w:t xml:space="preserve">供应商负责。中标供应商按照国家对高校学生体检的相关规定做好学生的体检工作。新生体检费和体检项目按照《江苏省高等学校服务性收费和代收费管理暂行办法》执行。</w:t>
      </w:r>
      <w:r/>
    </w:p>
    <w:p>
      <w:pPr>
        <w:ind w:firstLine="440"/>
        <w:spacing w:line="480" w:lineRule="auto"/>
        <w:rPr>
          <w:bCs/>
        </w:rPr>
      </w:pPr>
      <w:r>
        <w:rPr>
          <w:rFonts w:hint="eastAsia"/>
          <w:bCs/>
        </w:rPr>
        <w:t xml:space="preserve">3、采购人有权对中标供应商的医疗管理、医疗服务、医疗设备、药品质量、医疗收费等进行例行检查，包括建议中标供应商任用领导和撤换不适合在校工作的医务人员。</w:t>
      </w:r>
      <w:r/>
    </w:p>
    <w:p>
      <w:pPr>
        <w:ind w:firstLine="440"/>
        <w:spacing w:line="480" w:lineRule="auto"/>
        <w:rPr>
          <w:bCs/>
        </w:rPr>
      </w:pPr>
      <w:r>
        <w:rPr>
          <w:rFonts w:hint="eastAsia"/>
          <w:bCs/>
        </w:rPr>
        <w:t xml:space="preserve">4、中标供应商在就诊过程中，由于学生不配合治疗或无理取闹时，采购人有义务协助解决。</w:t>
      </w:r>
      <w:r/>
    </w:p>
    <w:p>
      <w:pPr>
        <w:ind w:firstLine="440"/>
        <w:spacing w:line="480" w:lineRule="auto"/>
        <w:rPr>
          <w:bCs/>
        </w:rPr>
      </w:pPr>
      <w:r>
        <w:rPr>
          <w:rFonts w:hint="eastAsia"/>
          <w:bCs/>
        </w:rPr>
        <w:t xml:space="preserve">5、采购人将建立履约考核机制，对服务质量进行定期评估。若</w:t>
      </w:r>
      <w:r>
        <w:rPr>
          <w:rFonts w:hint="eastAsia"/>
          <w:bCs/>
          <w:lang w:val="en-US"/>
        </w:rPr>
        <w:t xml:space="preserve">中标</w:t>
      </w:r>
      <w:r>
        <w:rPr>
          <w:rFonts w:hint="eastAsia"/>
          <w:bCs/>
        </w:rPr>
        <w:t xml:space="preserve">供应商出现重大医疗事故、引发重大医疗纠纷、不服从监督管理或师生反映强烈经警告无效等情形，采购人有权单方解除合同并追究其违约责任，</w:t>
      </w:r>
      <w:r>
        <w:rPr>
          <w:rFonts w:hint="eastAsia"/>
          <w:bCs/>
          <w:lang w:val="en-US"/>
        </w:rPr>
        <w:t xml:space="preserve">中标</w:t>
      </w:r>
      <w:r>
        <w:rPr>
          <w:rFonts w:hint="eastAsia"/>
          <w:bCs/>
        </w:rPr>
        <w:t xml:space="preserve">供应商须无条件按采购人要求限期撤场。</w:t>
      </w:r>
      <w:r/>
    </w:p>
    <w:p>
      <w:pPr>
        <w:ind w:firstLine="440"/>
        <w:spacing w:line="480" w:lineRule="auto"/>
        <w:rPr>
          <w:bCs/>
        </w:rPr>
      </w:pPr>
      <w:r>
        <w:rPr>
          <w:rFonts w:hint="eastAsia"/>
          <w:bCs/>
        </w:rPr>
        <w:t xml:space="preserve">6、在医疗服务过程中，由于中标供应商原因造成的医疗事故、医疗差错等责任，由中标供应商承担全部法律及经济责任。供应商须在响应文件中就此项责任出具书面承诺书。</w:t>
      </w:r>
      <w:r/>
    </w:p>
    <w:p>
      <w:pPr>
        <w:ind w:firstLine="440"/>
        <w:spacing w:line="480" w:lineRule="auto"/>
        <w:rPr>
          <w:bCs/>
        </w:rPr>
      </w:pPr>
      <w:r>
        <w:rPr>
          <w:rFonts w:hint="eastAsia"/>
          <w:bCs/>
        </w:rPr>
        <w:t xml:space="preserve">7、负责</w:t>
      </w:r>
      <w:r>
        <w:rPr>
          <w:rFonts w:hint="eastAsia"/>
          <w:bCs/>
          <w:lang w:val="en-US"/>
        </w:rPr>
        <w:t xml:space="preserve">学生</w:t>
      </w:r>
      <w:r>
        <w:rPr>
          <w:rFonts w:hint="eastAsia"/>
          <w:bCs/>
        </w:rPr>
        <w:t xml:space="preserve">门诊住院报销，学生参保工作和医保中心的对接等工作，</w:t>
      </w:r>
      <w:r>
        <w:rPr>
          <w:rFonts w:hint="eastAsia"/>
          <w:bCs/>
          <w:lang w:val="en-US"/>
        </w:rPr>
        <w:t xml:space="preserve">安排</w:t>
      </w:r>
      <w:r>
        <w:rPr>
          <w:rFonts w:hint="eastAsia"/>
          <w:bCs/>
        </w:rPr>
        <w:t xml:space="preserve">专人负责。</w:t>
      </w:r>
      <w:r/>
    </w:p>
    <w:p>
      <w:pPr>
        <w:ind w:firstLine="440"/>
        <w:spacing w:line="480" w:lineRule="auto"/>
        <w:rPr>
          <w:bCs/>
        </w:rPr>
      </w:pPr>
      <w:r>
        <w:rPr>
          <w:rFonts w:hint="eastAsia"/>
          <w:bCs/>
        </w:rPr>
        <w:t xml:space="preserve">8、校方负责对中标供应商日常监管和报销台账检查，中标供应商需服从校方管理并及时向校方提供台账记录。在学生报销等事项中出现争执的，由校方负责裁定，中标供应商需按校方裁定结果执行。</w:t>
      </w:r>
      <w:r/>
    </w:p>
    <w:p>
      <w:pPr>
        <w:pStyle w:val="772"/>
        <w:spacing w:line="480" w:lineRule="auto"/>
        <w:rPr>
          <w:rFonts w:ascii="Times New Roman" w:hAnsi="Times New Roman"/>
          <w:bCs/>
          <w:sz w:val="22"/>
          <w:szCs w:val="22"/>
        </w:rPr>
      </w:pPr>
      <w:r>
        <w:rPr>
          <w:rFonts w:hint="eastAsia" w:ascii="Times New Roman" w:hAnsi="Times New Roman"/>
          <w:bCs/>
          <w:sz w:val="22"/>
          <w:szCs w:val="22"/>
        </w:rPr>
        <w:t xml:space="preserve">  9、安排专人负责学校公共卫生和健康宣传工作。</w:t>
      </w:r>
      <w:r/>
    </w:p>
    <w:p>
      <w:pPr>
        <w:ind w:firstLine="440"/>
        <w:spacing w:line="480" w:lineRule="auto"/>
        <w:rPr>
          <w:bCs/>
        </w:rPr>
      </w:pPr>
      <w:r>
        <w:rPr>
          <w:rFonts w:hint="eastAsia"/>
          <w:bCs/>
        </w:rPr>
        <w:t xml:space="preserve">（二）中标供应商权利和义务：</w:t>
      </w:r>
      <w:r/>
    </w:p>
    <w:p>
      <w:pPr>
        <w:ind w:firstLine="440"/>
        <w:spacing w:line="480" w:lineRule="auto"/>
        <w:rPr>
          <w:bCs/>
        </w:rPr>
      </w:pPr>
      <w:r>
        <w:rPr>
          <w:rFonts w:hint="eastAsia"/>
          <w:bCs/>
        </w:rPr>
        <w:t xml:space="preserve">1、中标供应商医疗卫生服务工作必须按照国家对高等学校医疗保健的有关规定和卫生部门对医疗保健管理的相关要求，遵守相关的法律法规，为采购人提供规范化的医疗卫生服务。</w:t>
      </w:r>
      <w:r/>
    </w:p>
    <w:p>
      <w:pPr>
        <w:ind w:firstLine="440"/>
        <w:spacing w:line="480" w:lineRule="auto"/>
        <w:rPr>
          <w:bCs/>
        </w:rPr>
      </w:pPr>
      <w:r>
        <w:rPr>
          <w:rFonts w:hint="eastAsia"/>
          <w:bCs/>
        </w:rPr>
        <w:t xml:space="preserve">2、中标供应商安排在医务室工作的医务人员必须具有相应执业资格，具有3年及以上从医经历和丰富的临床经验，负责人具备中级以上职称，中标供应商安排的医务人员的工资报酬及劳保、保险等一切福利待遇，由中标供应商负责承担。</w:t>
      </w:r>
      <w:r/>
    </w:p>
    <w:p>
      <w:pPr>
        <w:ind w:firstLine="440"/>
        <w:spacing w:line="480" w:lineRule="auto"/>
        <w:rPr>
          <w:bCs/>
        </w:rPr>
      </w:pPr>
      <w:r>
        <w:rPr>
          <w:rFonts w:hint="eastAsia"/>
          <w:bCs/>
        </w:rPr>
        <w:t xml:space="preserve">3、中标供应商提供24小时医疗服务，日间门诊值班人员不少于3名（其中医生不少于1名，护士不少于2名），夜间值班人员不少于2名（其中医生不少于1名），确保基本医疗能力。同时应在响应方案中承诺配备相应的机动医疗力量（建议不少于2名医生、3名护士），以应对突发情况或满足高峰时段服务需求，并提交相应排班预案。寒暑假期间可根据校区实际情况调整值班安排，但须提前报采购人备案。</w:t>
      </w:r>
      <w:r/>
    </w:p>
    <w:p>
      <w:pPr>
        <w:ind w:firstLine="440"/>
        <w:spacing w:line="480" w:lineRule="auto"/>
        <w:rPr>
          <w:bCs/>
        </w:rPr>
      </w:pPr>
      <w:r>
        <w:rPr>
          <w:rFonts w:hint="eastAsia"/>
          <w:bCs/>
        </w:rPr>
        <w:t xml:space="preserve">4、中标供应商主要负责常见病，多发病的诊断、治疗工作。开展常规治疗，对不能救治的急、重症病人应及时转诊，并通知采购人管理部门。</w:t>
      </w:r>
      <w:r/>
    </w:p>
    <w:p>
      <w:pPr>
        <w:ind w:firstLine="440"/>
        <w:spacing w:line="480" w:lineRule="auto"/>
        <w:rPr>
          <w:bCs/>
        </w:rPr>
      </w:pPr>
      <w:r>
        <w:rPr>
          <w:rFonts w:hint="eastAsia"/>
          <w:bCs/>
        </w:rPr>
        <w:t xml:space="preserve">5、中标供应商承担所有医疗相关纠纷责任，采购人可配合处理相关纠纷。</w:t>
      </w:r>
      <w:r/>
    </w:p>
    <w:p>
      <w:pPr>
        <w:ind w:firstLine="440"/>
        <w:spacing w:line="480" w:lineRule="auto"/>
        <w:rPr>
          <w:bCs/>
        </w:rPr>
      </w:pPr>
      <w:r>
        <w:rPr>
          <w:rFonts w:hint="eastAsia"/>
          <w:bCs/>
        </w:rPr>
        <w:t xml:space="preserve">6、建立健全传染病的防控机制和突发共公卫生事件应急预案及时向学校通报传染病信息。负责学校传染病的初级预防、报告工作及配合做好疫情处置工作，适时开展相关疫苗接种。</w:t>
      </w:r>
      <w:r/>
    </w:p>
    <w:p>
      <w:pPr>
        <w:ind w:firstLine="440"/>
        <w:spacing w:line="480" w:lineRule="auto"/>
        <w:rPr>
          <w:bCs/>
        </w:rPr>
      </w:pPr>
      <w:r>
        <w:rPr>
          <w:rFonts w:hint="eastAsia"/>
        </w:rPr>
        <w:t xml:space="preserve">7、协助采购人做好饮食卫生、教</w:t>
      </w:r>
      <w:r>
        <w:rPr>
          <w:rFonts w:hint="eastAsia"/>
          <w:bCs/>
        </w:rPr>
        <w:t xml:space="preserve">学卫生、环境卫生等工作实施业务指导和监督。</w:t>
      </w:r>
      <w:r/>
    </w:p>
    <w:p>
      <w:pPr>
        <w:ind w:firstLine="440"/>
        <w:spacing w:line="480" w:lineRule="auto"/>
        <w:rPr>
          <w:bCs/>
        </w:rPr>
      </w:pPr>
      <w:r>
        <w:rPr>
          <w:rFonts w:hint="eastAsia"/>
          <w:bCs/>
        </w:rPr>
        <w:t xml:space="preserve">8、负责建立大病就医绿色通道，危、急、重、病人由医护人员陪同就诊，先行治疗，确保安全第一。</w:t>
      </w:r>
      <w:r/>
    </w:p>
    <w:p>
      <w:pPr>
        <w:ind w:firstLine="440"/>
        <w:spacing w:line="480" w:lineRule="auto"/>
        <w:rPr>
          <w:bCs/>
        </w:rPr>
      </w:pPr>
      <w:r>
        <w:rPr>
          <w:rFonts w:hint="eastAsia"/>
          <w:bCs/>
        </w:rPr>
        <w:t xml:space="preserve">9、中标供应商保证校医务室所售药品质量符合国家标准，所售药品执行国家医保价。诊疗费按国家规定收取，各项医疗收费、药品价格及管理制度明示上墙。</w:t>
      </w:r>
      <w:r/>
    </w:p>
    <w:p>
      <w:pPr>
        <w:ind w:firstLine="440"/>
        <w:spacing w:line="480" w:lineRule="auto"/>
        <w:rPr>
          <w:bCs/>
        </w:rPr>
      </w:pPr>
      <w:r>
        <w:rPr>
          <w:rFonts w:hint="eastAsia"/>
          <w:bCs/>
        </w:rPr>
        <w:t xml:space="preserve">10、校医务室负责每月出一期健康专栏，指导师生自我保健。</w:t>
      </w:r>
      <w:r/>
    </w:p>
    <w:p>
      <w:pPr>
        <w:ind w:firstLine="440"/>
        <w:spacing w:line="480" w:lineRule="auto"/>
        <w:rPr>
          <w:bCs/>
        </w:rPr>
      </w:pPr>
      <w:r>
        <w:rPr>
          <w:rFonts w:hint="eastAsia"/>
          <w:bCs/>
        </w:rPr>
        <w:t xml:space="preserve">11、中标供应商承诺强化内部管理，制度完善、明确，提高医疗水平，做好各项医疗服务工作。</w:t>
      </w:r>
      <w:r/>
    </w:p>
    <w:p>
      <w:pPr>
        <w:ind w:firstLine="440"/>
        <w:spacing w:line="480" w:lineRule="auto"/>
        <w:rPr>
          <w:bCs/>
        </w:rPr>
      </w:pPr>
      <w:r>
        <w:rPr>
          <w:rFonts w:hint="eastAsia"/>
          <w:bCs/>
        </w:rPr>
        <w:t xml:space="preserve">12、积极为师生提供健康保健及心理卫生咨询、健康教育等良好的医疗保健措施。</w:t>
      </w:r>
      <w:r/>
    </w:p>
    <w:p>
      <w:pPr>
        <w:ind w:firstLine="440"/>
        <w:spacing w:line="480" w:lineRule="auto"/>
        <w:rPr>
          <w:bCs/>
        </w:rPr>
      </w:pPr>
      <w:r>
        <w:rPr>
          <w:rFonts w:hint="eastAsia"/>
          <w:bCs/>
        </w:rPr>
        <w:t xml:space="preserve">13、认真执行国家各种卫生法规，并自觉遵守学校各项规章制度，制定有关工作计划。</w:t>
      </w:r>
      <w:r/>
    </w:p>
    <w:p>
      <w:pPr>
        <w:ind w:firstLine="440"/>
        <w:spacing w:line="480" w:lineRule="auto"/>
        <w:rPr>
          <w:bCs/>
        </w:rPr>
      </w:pPr>
      <w:r>
        <w:rPr>
          <w:rFonts w:hint="eastAsia"/>
          <w:bCs/>
        </w:rPr>
        <w:t xml:space="preserve">14、中标供应商必须在执业许可的范围内开展经营活动，不得超出其经营范围。由一家医疗机构经营，不得将医务室私自转让或委托他人经营,未经校方允许不得对外经营（校外人员），更不能利用校有资产搞不法经营。一经发现，采购人有权取消其承包资格,并追究其违约责任。</w:t>
      </w:r>
      <w:r/>
    </w:p>
    <w:p>
      <w:pPr>
        <w:ind w:firstLine="440"/>
        <w:spacing w:line="480" w:lineRule="auto"/>
        <w:rPr>
          <w:bCs/>
        </w:rPr>
      </w:pPr>
      <w:r>
        <w:rPr>
          <w:rFonts w:hint="eastAsia"/>
          <w:bCs/>
        </w:rPr>
        <w:t xml:space="preserve">15、负责提供涵盖日常诊疗与医院运营的全套设备。包括医疗设备、办公家具及信息化设备等，确保医务室在设施层面完全符合并持续满足卫生局的检查与验收标准。合作期满后，供应商将负责所有设备的清运与处置。</w:t>
      </w:r>
      <w:r/>
    </w:p>
    <w:p>
      <w:pPr>
        <w:ind w:firstLine="440"/>
        <w:spacing w:line="480" w:lineRule="auto"/>
        <w:rPr>
          <w:bCs/>
        </w:rPr>
      </w:pPr>
      <w:r>
        <w:rPr>
          <w:rFonts w:hint="eastAsia"/>
          <w:bCs/>
          <w:lang w:val="en-US"/>
        </w:rPr>
        <w:t xml:space="preserve">16、</w:t>
      </w:r>
      <w:r>
        <w:rPr>
          <w:rFonts w:hint="eastAsia"/>
          <w:bCs/>
        </w:rPr>
        <w:t xml:space="preserve">做好我</w:t>
      </w:r>
      <w:r>
        <w:rPr>
          <w:rFonts w:hint="eastAsia"/>
          <w:bCs/>
          <w:lang w:val="en-US"/>
        </w:rPr>
        <w:t xml:space="preserve">校</w:t>
      </w:r>
      <w:r>
        <w:rPr>
          <w:rFonts w:hint="eastAsia"/>
          <w:bCs/>
        </w:rPr>
        <w:t xml:space="preserve">学生医保</w:t>
      </w:r>
      <w:r>
        <w:rPr>
          <w:rFonts w:hint="eastAsia"/>
          <w:bCs/>
          <w:lang w:val="en-US"/>
        </w:rPr>
        <w:t xml:space="preserve">参保、</w:t>
      </w:r>
      <w:r>
        <w:rPr>
          <w:rFonts w:hint="eastAsia"/>
          <w:bCs/>
        </w:rPr>
        <w:t xml:space="preserve">门诊、住院报销及其他医疗费用审核工作。</w:t>
      </w:r>
      <w:r/>
    </w:p>
    <w:p>
      <w:pPr>
        <w:ind w:firstLine="440"/>
        <w:spacing w:line="480" w:lineRule="auto"/>
        <w:rPr>
          <w:bCs/>
        </w:rPr>
      </w:pPr>
      <w:r/>
      <w:bookmarkStart w:id="25" w:name="OLE_LINK1"/>
      <w:r>
        <w:rPr>
          <w:rFonts w:hint="eastAsia"/>
          <w:bCs/>
          <w:lang w:val="en-US"/>
        </w:rPr>
        <w:t xml:space="preserve">17</w:t>
      </w:r>
      <w:r>
        <w:rPr>
          <w:rFonts w:hint="eastAsia"/>
          <w:bCs/>
        </w:rPr>
        <w:t xml:space="preserve">、</w:t>
      </w:r>
      <w:bookmarkEnd w:id="25"/>
      <w:r>
        <w:rPr>
          <w:rFonts w:hint="eastAsia"/>
          <w:bCs/>
        </w:rPr>
        <w:t xml:space="preserve">义务做好学校大</w:t>
      </w:r>
      <w:bookmarkStart w:id="26" w:name="OLE_LINK3"/>
      <w:r>
        <w:rPr>
          <w:rFonts w:hint="eastAsia"/>
          <w:bCs/>
        </w:rPr>
        <w:t xml:space="preserve">型活动、</w:t>
      </w:r>
      <w:bookmarkEnd w:id="26"/>
      <w:r>
        <w:rPr>
          <w:rFonts w:hint="eastAsia"/>
          <w:bCs/>
        </w:rPr>
        <w:t xml:space="preserve">会议、军训、学生征兵体检初检、社会化监考等医务保障工作。</w:t>
      </w:r>
      <w:r/>
    </w:p>
    <w:p>
      <w:pPr>
        <w:ind w:firstLine="440"/>
        <w:spacing w:line="480" w:lineRule="auto"/>
        <w:rPr>
          <w:bCs/>
        </w:rPr>
      </w:pPr>
      <w:r>
        <w:rPr>
          <w:rFonts w:hint="eastAsia"/>
          <w:bCs/>
        </w:rPr>
        <w:t xml:space="preserve">1</w:t>
      </w:r>
      <w:r>
        <w:rPr>
          <w:rFonts w:hint="eastAsia"/>
          <w:bCs/>
          <w:lang w:val="en-US"/>
        </w:rPr>
        <w:t xml:space="preserve">8</w:t>
      </w:r>
      <w:r>
        <w:rPr>
          <w:rFonts w:hint="eastAsia"/>
          <w:bCs/>
        </w:rPr>
        <w:t xml:space="preserve">、做好学校医疗机构法人变更等相关工作。</w:t>
      </w:r>
      <w:r/>
    </w:p>
    <w:p>
      <w:pPr>
        <w:ind w:firstLine="440"/>
        <w:spacing w:line="480" w:lineRule="auto"/>
      </w:pPr>
      <w:r>
        <w:rPr>
          <w:rFonts w:hint="eastAsia"/>
          <w:bCs/>
          <w:lang w:val="en-US"/>
        </w:rPr>
        <w:t xml:space="preserve">19、</w:t>
      </w:r>
      <w:r>
        <w:rPr>
          <w:rFonts w:hint="eastAsia"/>
          <w:bCs/>
        </w:rPr>
        <w:t xml:space="preserve">完成校方交办的其它任务。</w:t>
      </w:r>
      <w:r/>
    </w:p>
    <w:p>
      <w:pPr>
        <w:spacing w:line="480" w:lineRule="auto"/>
        <w:rPr>
          <w:b/>
          <w:sz w:val="24"/>
          <w:szCs w:val="24"/>
        </w:rPr>
        <w:outlineLvl w:val="1"/>
      </w:pPr>
      <w:r>
        <w:rPr>
          <w:rFonts w:hint="eastAsia"/>
          <w:b/>
          <w:sz w:val="24"/>
          <w:szCs w:val="24"/>
        </w:rPr>
        <w:t xml:space="preserve">三、商务要求：</w:t>
      </w:r>
      <w:r/>
    </w:p>
    <w:p>
      <w:pPr>
        <w:ind w:firstLine="440"/>
        <w:spacing w:line="480" w:lineRule="auto"/>
        <w:rPr>
          <w:bCs/>
        </w:rPr>
      </w:pPr>
      <w:r>
        <w:rPr>
          <w:rFonts w:hint="eastAsia"/>
          <w:bCs/>
        </w:rPr>
        <w:t xml:space="preserve">（</w:t>
      </w:r>
      <w:r>
        <w:rPr>
          <w:rFonts w:hint="eastAsia"/>
          <w:bCs/>
          <w:lang w:val="en-US"/>
        </w:rPr>
        <w:t xml:space="preserve">一</w:t>
      </w:r>
      <w:r>
        <w:rPr>
          <w:rFonts w:hint="eastAsia"/>
          <w:bCs/>
        </w:rPr>
        <w:t xml:space="preserve">）服务期限：</w:t>
      </w:r>
      <w:r/>
    </w:p>
    <w:p>
      <w:pPr>
        <w:ind w:firstLine="440"/>
        <w:spacing w:line="480" w:lineRule="auto"/>
        <w:rPr>
          <w:bCs/>
        </w:rPr>
      </w:pPr>
      <w:r>
        <w:rPr>
          <w:rFonts w:hint="eastAsia"/>
          <w:bCs/>
        </w:rPr>
        <w:t xml:space="preserve">本次托管服务的总期限为：总合同期</w:t>
      </w:r>
      <w:r>
        <w:rPr>
          <w:rFonts w:hint="eastAsia"/>
          <w:bCs/>
          <w:lang w:val="en-US"/>
        </w:rPr>
        <w:t xml:space="preserve">两</w:t>
      </w:r>
      <w:r>
        <w:rPr>
          <w:rFonts w:hint="eastAsia"/>
          <w:bCs/>
        </w:rPr>
        <w:t xml:space="preserve">年</w:t>
      </w:r>
      <w:r/>
    </w:p>
    <w:p>
      <w:pPr>
        <w:ind w:firstLine="440"/>
        <w:spacing w:line="480" w:lineRule="auto"/>
        <w:rPr>
          <w:bCs/>
        </w:rPr>
      </w:pPr>
      <w:r>
        <w:rPr>
          <w:rFonts w:hint="eastAsia"/>
          <w:bCs/>
        </w:rPr>
        <w:t xml:space="preserve">（</w:t>
      </w:r>
      <w:r>
        <w:rPr>
          <w:rFonts w:hint="eastAsia"/>
          <w:bCs/>
          <w:lang w:val="en-US"/>
        </w:rPr>
        <w:t xml:space="preserve">二</w:t>
      </w:r>
      <w:r>
        <w:rPr>
          <w:rFonts w:hint="eastAsia"/>
          <w:bCs/>
        </w:rPr>
        <w:t xml:space="preserve">）采购预算及报价说明：</w:t>
      </w:r>
      <w:r>
        <w:rPr>
          <w:rFonts w:hint="eastAsia"/>
          <w:bCs/>
        </w:rPr>
        <w:tab/>
      </w:r>
      <w:r/>
    </w:p>
    <w:p>
      <w:pPr>
        <w:ind w:firstLine="440"/>
        <w:spacing w:line="480" w:lineRule="auto"/>
        <w:rPr>
          <w:bCs/>
        </w:rPr>
      </w:pPr>
      <w:r>
        <w:rPr>
          <w:rFonts w:hint="eastAsia"/>
          <w:bCs/>
        </w:rPr>
        <w:t xml:space="preserve">1、采购预算每年</w:t>
      </w:r>
      <w:r>
        <w:rPr>
          <w:rFonts w:hint="eastAsia"/>
          <w:bCs/>
          <w:lang w:val="en-US"/>
        </w:rPr>
        <w:t xml:space="preserve">8</w:t>
      </w:r>
      <w:r>
        <w:rPr>
          <w:rFonts w:hint="eastAsia"/>
          <w:bCs/>
        </w:rPr>
        <w:t xml:space="preserve">0万元，</w:t>
      </w:r>
      <w:r>
        <w:rPr>
          <w:rFonts w:hint="eastAsia"/>
          <w:bCs/>
          <w:lang w:val="en-US"/>
        </w:rPr>
        <w:t xml:space="preserve">两</w:t>
      </w:r>
      <w:r>
        <w:rPr>
          <w:rFonts w:hint="eastAsia"/>
          <w:bCs/>
        </w:rPr>
        <w:t xml:space="preserve">年合计预算为</w:t>
      </w:r>
      <w:r>
        <w:rPr>
          <w:rFonts w:hint="eastAsia"/>
          <w:bCs/>
          <w:lang w:val="en-US"/>
        </w:rPr>
        <w:t xml:space="preserve">160</w:t>
      </w:r>
      <w:r>
        <w:rPr>
          <w:rFonts w:hint="eastAsia"/>
          <w:bCs/>
        </w:rPr>
        <w:t xml:space="preserve">万元。医务室家具和软装相关费用由中标服务单位承担，费用摊销到每个年度。</w:t>
      </w:r>
      <w:r/>
    </w:p>
    <w:p>
      <w:pPr>
        <w:ind w:firstLine="440"/>
        <w:spacing w:line="480" w:lineRule="auto"/>
        <w:rPr>
          <w:bCs/>
        </w:rPr>
      </w:pPr>
      <w:r>
        <w:rPr>
          <w:rFonts w:hint="eastAsia"/>
          <w:bCs/>
        </w:rPr>
        <w:t xml:space="preserve">2、投标供应商报价是根据采购文件所确定的管理服务范围内的全部工作人员和内容的价格体现，是为完成采购文件规定的服务管理工作所涉及到的一切费用。包括但不仅限于人员费用（12个月工资、全年福利、培训、体检、社会保险、加班费等），服务所用设备、工具购置及维护费用，服务所用材料消耗费用、管理费用、利润、税金等支出。</w:t>
      </w:r>
      <w:r/>
    </w:p>
    <w:p>
      <w:pPr>
        <w:ind w:firstLine="440"/>
        <w:spacing w:line="480" w:lineRule="auto"/>
        <w:rPr>
          <w:bCs/>
        </w:rPr>
      </w:pPr>
      <w:r>
        <w:rPr>
          <w:rFonts w:hint="eastAsia"/>
          <w:bCs/>
        </w:rPr>
        <w:t xml:space="preserve">4、采购文件未列明，而投标供应商认为必需的费用也需列入报价。本报价必须充分考虑所有可能影响到报价的价格因素，一旦招标结束最终成中标，总价将</w:t>
      </w:r>
      <w:r>
        <w:rPr>
          <w:rFonts w:hint="eastAsia"/>
          <w:bCs/>
          <w:lang w:val="en-US"/>
        </w:rPr>
        <w:t xml:space="preserve">标</w:t>
      </w:r>
      <w:r>
        <w:rPr>
          <w:rFonts w:hint="eastAsia"/>
          <w:bCs/>
        </w:rPr>
        <w:t xml:space="preserve">定，合同期内一般不予调整。如发生漏、缺、少项，都将被认为是中标供应商的报价让利行为。</w:t>
      </w:r>
      <w:r/>
    </w:p>
    <w:p>
      <w:pPr>
        <w:ind w:firstLine="440"/>
        <w:spacing w:line="480" w:lineRule="auto"/>
        <w:rPr>
          <w:bCs/>
        </w:rPr>
      </w:pPr>
      <w:r>
        <w:rPr>
          <w:bCs/>
        </w:rPr>
        <w:t xml:space="preserve">4</w:t>
      </w:r>
      <w:r>
        <w:rPr>
          <w:rFonts w:hint="eastAsia"/>
          <w:bCs/>
        </w:rPr>
        <w:t xml:space="preserve">、</w:t>
      </w:r>
      <w:r>
        <w:rPr>
          <w:bCs/>
        </w:rPr>
        <w:t xml:space="preserve">中标服务单位须承担医务室内所有家具及软装设施的购置费用。相关费用应合理分摊至整个服务期内的每一年度。</w:t>
      </w:r>
      <w:r/>
    </w:p>
    <w:p>
      <w:pPr>
        <w:ind w:firstLine="440"/>
        <w:spacing w:line="480" w:lineRule="auto"/>
        <w:rPr>
          <w:bCs/>
        </w:rPr>
      </w:pPr>
      <w:r>
        <w:rPr>
          <w:bCs/>
        </w:rPr>
        <w:t xml:space="preserve">5</w:t>
      </w:r>
      <w:r>
        <w:rPr>
          <w:rFonts w:hint="eastAsia"/>
          <w:bCs/>
        </w:rPr>
        <w:t xml:space="preserve">、</w:t>
      </w:r>
      <w:r>
        <w:rPr>
          <w:bCs/>
        </w:rPr>
        <w:t xml:space="preserve">资产归属与处置：</w:t>
      </w:r>
      <w:r/>
    </w:p>
    <w:p>
      <w:pPr>
        <w:ind w:firstLine="440"/>
        <w:spacing w:line="480" w:lineRule="auto"/>
        <w:rPr>
          <w:bCs/>
        </w:rPr>
      </w:pPr>
      <w:r>
        <w:rPr>
          <w:rFonts w:hint="eastAsia"/>
          <w:bCs/>
        </w:rPr>
        <w:t xml:space="preserve">固定资产（家具及软装）：若服务单位在下一服务期未能中标，其在服务期间投入的所有办公家具及软装设施（包括但不限于桌椅、柜子等）应无偿保留在原医务室，归业主方（或校方</w:t>
      </w:r>
      <w:r>
        <w:rPr>
          <w:bCs/>
        </w:rPr>
        <w:t xml:space="preserve">/院方）所有，服务单位不得拆除或带走。</w:t>
      </w:r>
      <w:r/>
    </w:p>
    <w:p>
      <w:pPr>
        <w:ind w:firstLine="440"/>
        <w:spacing w:line="480" w:lineRule="auto"/>
        <w:rPr>
          <w:bCs/>
        </w:rPr>
      </w:pPr>
      <w:r>
        <w:rPr>
          <w:rFonts w:hint="eastAsia"/>
          <w:bCs/>
        </w:rPr>
        <w:t xml:space="preserve">医疗设备：提供详细的医疗设备清单，并按清单配备医疗设备。在合同终止或未能续签的情况下，服务单位有权收回其投入的专用医疗设备。</w:t>
      </w:r>
      <w:r/>
    </w:p>
    <w:p>
      <w:pPr>
        <w:ind w:firstLine="440"/>
        <w:spacing w:line="480" w:lineRule="auto"/>
        <w:rPr>
          <w:bCs/>
        </w:rPr>
      </w:pPr>
      <w:r>
        <w:rPr>
          <w:rFonts w:hint="eastAsia"/>
          <w:bCs/>
        </w:rPr>
        <w:t xml:space="preserve">（</w:t>
      </w:r>
      <w:r>
        <w:rPr>
          <w:rFonts w:hint="eastAsia"/>
          <w:bCs/>
          <w:lang w:val="en-US"/>
        </w:rPr>
        <w:t xml:space="preserve">三</w:t>
      </w:r>
      <w:r>
        <w:rPr>
          <w:rFonts w:hint="eastAsia"/>
          <w:bCs/>
        </w:rPr>
        <w:t xml:space="preserve">）付款方式</w:t>
      </w:r>
      <w:r/>
    </w:p>
    <w:p>
      <w:pPr>
        <w:ind w:firstLine="440"/>
        <w:spacing w:line="480" w:lineRule="auto"/>
        <w:rPr>
          <w:bCs/>
        </w:rPr>
      </w:pPr>
      <w:r>
        <w:rPr>
          <w:rFonts w:hint="eastAsia"/>
          <w:bCs/>
        </w:rPr>
        <w:t xml:space="preserve">中标供应商一旦成交，和学校十天内签订服务合同，合同委托服务时间为</w:t>
      </w:r>
      <w:r>
        <w:rPr>
          <w:rFonts w:hint="eastAsia"/>
          <w:bCs/>
          <w:lang w:val="en-US"/>
        </w:rPr>
        <w:t xml:space="preserve">两</w:t>
      </w:r>
      <w:r>
        <w:rPr>
          <w:rFonts w:hint="eastAsia"/>
          <w:bCs/>
        </w:rPr>
        <w:t xml:space="preserve">年，医疗托管服务费每年分两期支付。考核合格后，服务费每年6月和12月支付，在中标供应商前期服务无违约的条件下，采购方支付年费用的50%。</w:t>
      </w:r>
      <w:r/>
    </w:p>
    <w:p>
      <w:pPr>
        <w:ind w:firstLine="440"/>
        <w:spacing w:line="480" w:lineRule="auto"/>
        <w:rPr>
          <w:bCs/>
        </w:rPr>
      </w:pPr>
      <w:r>
        <w:rPr>
          <w:rFonts w:hint="eastAsia"/>
          <w:bCs/>
        </w:rPr>
        <w:t xml:space="preserve">（</w:t>
      </w:r>
      <w:r>
        <w:rPr>
          <w:rFonts w:hint="eastAsia"/>
          <w:bCs/>
          <w:lang w:val="en-US"/>
        </w:rPr>
        <w:t xml:space="preserve">四</w:t>
      </w:r>
      <w:r>
        <w:rPr>
          <w:rFonts w:hint="eastAsia"/>
          <w:bCs/>
        </w:rPr>
        <w:t xml:space="preserve">）江苏开放大学（江苏城市职业学院）</w:t>
      </w:r>
      <w:r>
        <w:rPr>
          <w:rFonts w:hint="eastAsia"/>
          <w:bCs/>
          <w:lang w:val="en-US"/>
        </w:rPr>
        <w:t xml:space="preserve">桥林</w:t>
      </w:r>
      <w:r>
        <w:rPr>
          <w:rFonts w:hint="eastAsia"/>
          <w:bCs/>
        </w:rPr>
        <w:t xml:space="preserve">校区医务室考核办法：</w:t>
      </w:r>
      <w:r/>
    </w:p>
    <w:p>
      <w:pPr>
        <w:ind w:firstLine="440"/>
        <w:spacing w:line="480" w:lineRule="auto"/>
        <w:rPr>
          <w:bCs/>
        </w:rPr>
      </w:pPr>
      <w:r>
        <w:rPr>
          <w:rFonts w:hint="eastAsia"/>
          <w:bCs/>
          <w:lang w:val="en-US"/>
        </w:rPr>
        <w:t xml:space="preserve">1、</w:t>
      </w:r>
      <w:r>
        <w:rPr>
          <w:rFonts w:hint="eastAsia"/>
          <w:bCs/>
        </w:rPr>
        <w:t xml:space="preserve">医务室服务单位及其工作人员必须接受学校后勤管理处的管理和安排。 </w:t>
      </w:r>
      <w:r/>
    </w:p>
    <w:p>
      <w:pPr>
        <w:ind w:firstLine="440"/>
        <w:spacing w:line="480" w:lineRule="auto"/>
        <w:rPr>
          <w:bCs/>
        </w:rPr>
      </w:pPr>
      <w:r>
        <w:rPr>
          <w:rFonts w:hint="eastAsia"/>
          <w:bCs/>
          <w:lang w:val="en-US"/>
        </w:rPr>
        <w:t xml:space="preserve">2、</w:t>
      </w:r>
      <w:r>
        <w:rPr>
          <w:rFonts w:hint="eastAsia"/>
          <w:bCs/>
        </w:rPr>
        <w:t xml:space="preserve">每季度考核巡查一次、对</w:t>
      </w:r>
      <w:r>
        <w:rPr>
          <w:rFonts w:hint="eastAsia"/>
          <w:bCs/>
          <w:lang w:val="en-US"/>
        </w:rPr>
        <w:t xml:space="preserve">中标</w:t>
      </w:r>
      <w:r>
        <w:rPr>
          <w:rFonts w:hint="eastAsia"/>
          <w:bCs/>
        </w:rPr>
        <w:t xml:space="preserve">供应商的服务质量进行动态评估。全年根据学校需要开展不定期巡查，考核标准执行《江苏开放大学（江苏城市职业学院）医务室考核表》（</w:t>
      </w:r>
      <w:r>
        <w:rPr>
          <w:rFonts w:hint="eastAsia"/>
          <w:bCs/>
          <w:lang w:val="en-US"/>
        </w:rPr>
        <w:t xml:space="preserve">附件一）</w:t>
      </w:r>
      <w:r>
        <w:rPr>
          <w:rFonts w:hint="eastAsia"/>
          <w:bCs/>
        </w:rPr>
        <w:t xml:space="preserve">。如考核结果持续不达标，视为</w:t>
      </w:r>
      <w:r>
        <w:rPr>
          <w:rFonts w:hint="eastAsia"/>
          <w:bCs/>
          <w:lang w:val="en-US"/>
        </w:rPr>
        <w:t xml:space="preserve">中标</w:t>
      </w:r>
      <w:r>
        <w:rPr>
          <w:rFonts w:hint="eastAsia"/>
          <w:bCs/>
        </w:rPr>
        <w:t xml:space="preserve">供应商未按约定履行合同义务，采购人有权根据本条款启动退出程序。</w:t>
      </w:r>
      <w:r/>
    </w:p>
    <w:p>
      <w:pPr>
        <w:ind w:firstLine="440"/>
        <w:spacing w:line="480" w:lineRule="auto"/>
        <w:rPr>
          <w:bCs/>
        </w:rPr>
      </w:pPr>
      <w:r>
        <w:rPr>
          <w:rFonts w:hint="eastAsia"/>
          <w:bCs/>
          <w:lang w:val="en-US"/>
        </w:rPr>
        <w:t xml:space="preserve">3、</w:t>
      </w:r>
      <w:r>
        <w:rPr>
          <w:rFonts w:hint="eastAsia"/>
          <w:bCs/>
        </w:rPr>
        <w:t xml:space="preserve">如出现以下任何一种情形，采购人有权单方解除服务合同，并要求</w:t>
      </w:r>
      <w:r>
        <w:rPr>
          <w:rFonts w:hint="eastAsia"/>
          <w:bCs/>
          <w:lang w:val="en-US"/>
        </w:rPr>
        <w:t xml:space="preserve">中标</w:t>
      </w:r>
      <w:r>
        <w:rPr>
          <w:rFonts w:hint="eastAsia"/>
          <w:bCs/>
        </w:rPr>
        <w:t xml:space="preserve">供应商在指定期限内无条件退场，且不承担任何补偿责任：</w:t>
      </w:r>
      <w:r/>
    </w:p>
    <w:p>
      <w:pPr>
        <w:ind w:firstLine="660"/>
        <w:spacing w:line="480" w:lineRule="auto"/>
        <w:rPr>
          <w:bCs/>
        </w:rPr>
      </w:pPr>
      <w:r>
        <w:rPr>
          <w:rFonts w:hint="eastAsia"/>
          <w:bCs/>
        </w:rPr>
        <w:t xml:space="preserve">连续两次季度考核低于85分；发生根本违约行为，包括但不限于：</w:t>
      </w:r>
      <w:r/>
    </w:p>
    <w:p>
      <w:pPr>
        <w:ind w:firstLine="660"/>
        <w:spacing w:line="480" w:lineRule="auto"/>
        <w:rPr>
          <w:bCs/>
        </w:rPr>
      </w:pPr>
      <w:r>
        <w:rPr>
          <w:rFonts w:hint="eastAsia"/>
          <w:bCs/>
        </w:rPr>
        <w:t xml:space="preserve">①　发生重大医疗责任事故；</w:t>
      </w:r>
      <w:r/>
    </w:p>
    <w:p>
      <w:pPr>
        <w:ind w:firstLine="660"/>
        <w:spacing w:line="480" w:lineRule="auto"/>
        <w:rPr>
          <w:bCs/>
        </w:rPr>
      </w:pPr>
      <w:r>
        <w:rPr>
          <w:rFonts w:hint="eastAsia"/>
          <w:bCs/>
        </w:rPr>
        <w:t xml:space="preserve">②　引发重大群体性医疗纠纷或舆情事件；</w:t>
      </w:r>
      <w:r/>
    </w:p>
    <w:p>
      <w:pPr>
        <w:ind w:firstLine="660"/>
        <w:spacing w:line="480" w:lineRule="auto"/>
        <w:rPr>
          <w:bCs/>
        </w:rPr>
      </w:pPr>
      <w:r>
        <w:rPr>
          <w:rFonts w:hint="eastAsia"/>
          <w:bCs/>
        </w:rPr>
        <w:t xml:space="preserve">③　擅自转包、分包或允许他人以本方名义运营；</w:t>
      </w:r>
      <w:r/>
    </w:p>
    <w:p>
      <w:pPr>
        <w:ind w:firstLine="660"/>
        <w:spacing w:line="480" w:lineRule="auto"/>
        <w:rPr>
          <w:bCs/>
        </w:rPr>
      </w:pPr>
      <w:r>
        <w:rPr>
          <w:rFonts w:hint="eastAsia"/>
          <w:bCs/>
        </w:rPr>
        <w:t xml:space="preserve">④　拒不接受采购人的正当监督管理；</w:t>
      </w:r>
      <w:r/>
    </w:p>
    <w:p>
      <w:pPr>
        <w:ind w:firstLine="660"/>
        <w:spacing w:line="480" w:lineRule="auto"/>
        <w:rPr>
          <w:bCs/>
        </w:rPr>
      </w:pPr>
      <w:r>
        <w:rPr>
          <w:rFonts w:hint="eastAsia"/>
          <w:bCs/>
        </w:rPr>
        <w:t xml:space="preserve">⑤　经查实存在严重药品质量或收费违规问题；</w:t>
      </w:r>
      <w:r/>
    </w:p>
    <w:p>
      <w:pPr>
        <w:ind w:firstLine="660"/>
        <w:spacing w:line="480" w:lineRule="auto"/>
        <w:rPr>
          <w:bCs/>
        </w:rPr>
      </w:pPr>
      <w:r>
        <w:rPr>
          <w:rFonts w:hint="eastAsia"/>
          <w:bCs/>
        </w:rPr>
        <w:t xml:space="preserve">⑥　其他严重违反法律法规或合同约定的行为。</w:t>
      </w:r>
      <w:r/>
    </w:p>
    <w:p>
      <w:pPr>
        <w:ind w:firstLine="440"/>
        <w:spacing w:line="480" w:lineRule="auto"/>
        <w:rPr>
          <w:bCs/>
        </w:rPr>
      </w:pPr>
      <w:r>
        <w:rPr>
          <w:rFonts w:hint="eastAsia"/>
          <w:bCs/>
        </w:rPr>
        <w:t xml:space="preserve">合同具体条款及签订事宜，请本项目中标供应商于结果公示结束后，与江苏开放大学后勤处负责人联系协商签订。</w:t>
      </w:r>
      <w:r/>
    </w:p>
    <w:p>
      <w:pPr>
        <w:ind w:firstLine="440"/>
        <w:spacing w:line="480" w:lineRule="auto"/>
        <w:rPr>
          <w:bCs/>
        </w:rPr>
      </w:pPr>
      <w:r>
        <w:rPr>
          <w:rFonts w:hint="eastAsia"/>
          <w:bCs/>
        </w:rPr>
        <w:t xml:space="preserve">（</w:t>
      </w:r>
      <w:r>
        <w:rPr>
          <w:rFonts w:hint="eastAsia"/>
          <w:bCs/>
          <w:lang w:val="en-US"/>
        </w:rPr>
        <w:t xml:space="preserve">四</w:t>
      </w:r>
      <w:r>
        <w:rPr>
          <w:rFonts w:hint="eastAsia"/>
          <w:bCs/>
        </w:rPr>
        <w:t xml:space="preserve">）其他要求：</w:t>
      </w:r>
      <w:r/>
    </w:p>
    <w:p>
      <w:pPr>
        <w:ind w:firstLine="440"/>
        <w:spacing w:line="480" w:lineRule="auto"/>
        <w:rPr>
          <w:bCs/>
        </w:rPr>
      </w:pPr>
      <w:r>
        <w:rPr>
          <w:rFonts w:hint="eastAsia"/>
          <w:bCs/>
        </w:rPr>
        <w:t xml:space="preserve">1、供应商需具有完善的内部管理制度：包括人员管理制度、服务制度。</w:t>
      </w:r>
      <w:r/>
    </w:p>
    <w:p>
      <w:pPr>
        <w:ind w:firstLine="440"/>
        <w:spacing w:line="480" w:lineRule="auto"/>
        <w:rPr>
          <w:bCs/>
        </w:rPr>
      </w:pPr>
      <w:r>
        <w:rPr>
          <w:rFonts w:hint="eastAsia"/>
          <w:bCs/>
        </w:rPr>
        <w:t xml:space="preserve">2、供应商应具有完善的应急管理制度，对于医务室可能出现的紧急情况有相应的应急管理协调方法。</w:t>
      </w:r>
      <w:r/>
    </w:p>
    <w:p>
      <w:pPr>
        <w:ind w:firstLine="440"/>
        <w:spacing w:line="480" w:lineRule="auto"/>
        <w:rPr>
          <w:bCs/>
        </w:rPr>
      </w:pPr>
      <w:r>
        <w:rPr>
          <w:rFonts w:hint="eastAsia"/>
          <w:bCs/>
        </w:rPr>
        <w:t xml:space="preserve">3、供应商需提供投入本项目的设备清单情况。设备清单应详细、具体，能够满足本项目需求。</w:t>
      </w:r>
      <w:r/>
    </w:p>
    <w:p>
      <w:pPr>
        <w:ind w:firstLine="440"/>
        <w:spacing w:line="480" w:lineRule="auto"/>
        <w:rPr>
          <w:bCs/>
        </w:rPr>
      </w:pPr>
      <w:r>
        <w:rPr>
          <w:rFonts w:hint="eastAsia"/>
          <w:bCs/>
        </w:rPr>
        <w:t xml:space="preserve">4、供应商拟派的医务室负责人、团队成员应为资历、经验丰富、医疗服务能力强的医护人员。 </w:t>
      </w:r>
      <w:r/>
    </w:p>
    <w:p>
      <w:pPr>
        <w:ind w:firstLine="440"/>
        <w:spacing w:line="480" w:lineRule="auto"/>
        <w:rPr>
          <w:bCs/>
        </w:rPr>
      </w:pPr>
      <w:r>
        <w:rPr>
          <w:rFonts w:hint="eastAsia"/>
          <w:bCs/>
        </w:rPr>
        <w:t xml:space="preserve">5、供应商需根据采购文件要求提供服务计划方案，包括完善的项目总体服务目标、服务价格标准、相关方法及服务质量保障的方案，服务工作应安排合理、有效，服务模式和方法要有操作性和创新性。</w:t>
      </w:r>
      <w:r/>
    </w:p>
    <w:p>
      <w:pPr>
        <w:ind w:firstLine="440"/>
        <w:spacing w:line="480" w:lineRule="auto"/>
        <w:rPr>
          <w:bCs/>
        </w:rPr>
      </w:pPr>
      <w:r>
        <w:rPr>
          <w:rFonts w:hint="eastAsia"/>
          <w:bCs/>
        </w:rPr>
        <w:t xml:space="preserve">（</w:t>
      </w:r>
      <w:r>
        <w:rPr>
          <w:rFonts w:hint="eastAsia"/>
          <w:bCs/>
          <w:lang w:val="en-US"/>
        </w:rPr>
        <w:t xml:space="preserve">五</w:t>
      </w:r>
      <w:r>
        <w:rPr>
          <w:rFonts w:hint="eastAsia"/>
          <w:bCs/>
        </w:rPr>
        <w:t xml:space="preserve">）违约责任：</w:t>
      </w:r>
      <w:r/>
    </w:p>
    <w:p>
      <w:pPr>
        <w:ind w:firstLine="440"/>
        <w:spacing w:line="480" w:lineRule="auto"/>
        <w:tabs>
          <w:tab w:val="left" w:pos="1050" w:leader="none"/>
        </w:tabs>
      </w:pPr>
      <w:r>
        <w:t xml:space="preserve">1</w:t>
      </w:r>
      <w:r>
        <w:rPr>
          <w:rFonts w:hint="eastAsia"/>
        </w:rPr>
        <w:t xml:space="preserve">、在服务实施过程中，如发现任何工作内容或设备物资的漏项，无论其原因为何，均视为</w:t>
      </w:r>
      <w:r>
        <w:rPr>
          <w:rFonts w:hint="eastAsia"/>
          <w:lang w:val="en-US"/>
        </w:rPr>
        <w:t xml:space="preserve">已</w:t>
      </w:r>
      <w:r>
        <w:rPr>
          <w:rFonts w:hint="eastAsia"/>
        </w:rPr>
        <w:t xml:space="preserve">包含在</w:t>
      </w:r>
      <w:r>
        <w:rPr>
          <w:rFonts w:hint="eastAsia"/>
          <w:lang w:val="en-US"/>
        </w:rPr>
        <w:t xml:space="preserve">中标</w:t>
      </w:r>
      <w:r>
        <w:rPr>
          <w:rFonts w:hint="eastAsia"/>
        </w:rPr>
        <w:t xml:space="preserve">供应商的投标报价及合同总价之中。</w:t>
      </w:r>
      <w:r>
        <w:rPr>
          <w:rFonts w:hint="eastAsia"/>
          <w:lang w:val="en-US"/>
        </w:rPr>
        <w:t xml:space="preserve">中标</w:t>
      </w:r>
      <w:r>
        <w:rPr>
          <w:rFonts w:hint="eastAsia"/>
        </w:rPr>
        <w:t xml:space="preserve">供应商必须无条件、无偿且及时地予以补足，且不得以此为由要求增加费用、延长工期或影响采购方的正常使用。</w:t>
      </w:r>
      <w:r/>
    </w:p>
    <w:p>
      <w:pPr>
        <w:ind w:firstLine="440"/>
        <w:spacing w:line="480" w:lineRule="auto"/>
        <w:tabs>
          <w:tab w:val="left" w:pos="1050" w:leader="none"/>
        </w:tabs>
      </w:pPr>
      <w:r>
        <w:rPr>
          <w:lang w:val="en-US"/>
        </w:rPr>
        <w:t xml:space="preserve">2</w:t>
      </w:r>
      <w:r>
        <w:rPr>
          <w:rFonts w:hint="eastAsia"/>
          <w:lang w:val="en-US"/>
        </w:rPr>
        <w:t xml:space="preserve">、</w:t>
      </w:r>
      <w:r>
        <w:t xml:space="preserve">供应商的任何错漏、优惠、竞争性报价不得作为减轻责任、减少服务、增加收费、降低质量的理由。</w:t>
      </w:r>
      <w:r/>
    </w:p>
    <w:p>
      <w:pPr>
        <w:ind w:firstLine="440"/>
        <w:spacing w:line="480" w:lineRule="auto"/>
        <w:tabs>
          <w:tab w:val="left" w:pos="1050" w:leader="none"/>
        </w:tabs>
      </w:pPr>
      <w:r>
        <w:rPr>
          <w:lang w:val="en-US"/>
        </w:rPr>
        <w:t xml:space="preserve">3</w:t>
      </w:r>
      <w:r>
        <w:rPr>
          <w:rFonts w:hint="eastAsia"/>
          <w:lang w:val="en-US"/>
        </w:rPr>
        <w:t xml:space="preserve">、</w:t>
      </w:r>
      <w:r>
        <w:t xml:space="preserve">供应商报价除包含采购文件中列明的项目外还应包括保障服务正常运行应当具有的物资和服务，对服务正常运行应当具有的物资和服务理解不一致的以采购人理解为准。</w:t>
      </w:r>
      <w:r/>
    </w:p>
    <w:p>
      <w:pPr>
        <w:ind w:firstLine="440"/>
        <w:spacing w:line="480" w:lineRule="auto"/>
        <w:widowControl/>
        <w:rPr>
          <w:sz w:val="24"/>
          <w:szCs w:val="24"/>
        </w:rPr>
      </w:pPr>
      <w:r>
        <w:rPr>
          <w:lang w:val="en-US"/>
        </w:rPr>
        <w:t xml:space="preserve">4</w:t>
      </w:r>
      <w:r>
        <w:rPr>
          <w:rFonts w:hint="eastAsia"/>
          <w:lang w:val="en-US"/>
        </w:rPr>
        <w:t xml:space="preserve">、</w:t>
      </w:r>
      <w:r>
        <w:t xml:space="preserve">中标供应商必须按照采购文件要求、</w:t>
      </w:r>
      <w:r>
        <w:rPr>
          <w:rFonts w:hint="eastAsia"/>
        </w:rPr>
        <w:t xml:space="preserve">投标</w:t>
      </w:r>
      <w:r>
        <w:t xml:space="preserve">文件中的承诺以及采购合同内容严格履行本项目。双方无正当理由不得无故终止和解除合同，</w:t>
      </w:r>
      <w:r>
        <w:rPr>
          <w:rFonts w:hint="eastAsia"/>
        </w:rPr>
        <w:t xml:space="preserve">否则违约方应向对方支付合同总额15%的违约金。</w:t>
      </w:r>
      <w:r/>
    </w:p>
    <w:p>
      <w:pPr>
        <w:pStyle w:val="784"/>
        <w:spacing w:line="360" w:lineRule="auto"/>
      </w:pPr>
      <w:r/>
      <w:r/>
    </w:p>
    <w:p>
      <w:pPr>
        <w:rPr>
          <w:lang w:val="en-US"/>
        </w:rPr>
      </w:pPr>
      <w:r>
        <w:rPr>
          <w:lang w:val="en-US"/>
        </w:rPr>
      </w:r>
      <w:r/>
    </w:p>
    <w:p>
      <w:pPr>
        <w:rPr>
          <w:lang w:val="en-US"/>
        </w:rPr>
      </w:pPr>
      <w:r>
        <w:rPr>
          <w:lang w:val="en-US"/>
        </w:rPr>
      </w:r>
      <w:r/>
    </w:p>
    <w:p>
      <w:pPr>
        <w:rPr>
          <w:lang w:val="en-US"/>
        </w:rPr>
      </w:pPr>
      <w:r>
        <w:rPr>
          <w:lang w:val="en-US"/>
        </w:rPr>
      </w:r>
      <w:r/>
    </w:p>
    <w:p>
      <w:pPr>
        <w:rPr>
          <w:lang w:val="en-US"/>
        </w:rPr>
      </w:pPr>
      <w:r>
        <w:rPr>
          <w:lang w:val="en-US"/>
        </w:rPr>
      </w:r>
      <w:r/>
    </w:p>
    <w:p>
      <w:pPr>
        <w:rPr>
          <w:lang w:val="en-US"/>
        </w:rPr>
      </w:pPr>
      <w:r>
        <w:rPr>
          <w:lang w:val="en-US"/>
        </w:rPr>
      </w:r>
      <w:r/>
    </w:p>
    <w:p>
      <w:pPr>
        <w:rPr>
          <w:lang w:val="en-US"/>
        </w:rPr>
      </w:pPr>
      <w:r>
        <w:rPr>
          <w:lang w:val="en-US"/>
        </w:rPr>
      </w:r>
      <w:r/>
    </w:p>
    <w:p>
      <w:pPr>
        <w:rPr>
          <w:lang w:val="en-US"/>
        </w:rPr>
      </w:pPr>
      <w:r>
        <w:rPr>
          <w:lang w:val="en-US"/>
        </w:rPr>
      </w:r>
      <w:r/>
    </w:p>
    <w:p>
      <w:pPr>
        <w:rPr>
          <w:lang w:val="en-US"/>
        </w:rPr>
      </w:pPr>
      <w:r>
        <w:rPr>
          <w:lang w:val="en-US"/>
        </w:rPr>
      </w:r>
      <w:r/>
    </w:p>
    <w:p>
      <w:pPr>
        <w:rPr>
          <w:lang w:val="en-US"/>
        </w:rPr>
      </w:pPr>
      <w:r>
        <w:rPr>
          <w:lang w:val="en-US"/>
        </w:rPr>
      </w:r>
      <w:r/>
    </w:p>
    <w:p>
      <w:pPr>
        <w:rPr>
          <w:lang w:val="en-US"/>
        </w:rPr>
      </w:pPr>
      <w:r>
        <w:rPr>
          <w:lang w:val="en-US"/>
        </w:rPr>
      </w:r>
      <w:r/>
    </w:p>
    <w:p>
      <w:pPr>
        <w:rPr>
          <w:lang w:val="en-US"/>
        </w:rPr>
      </w:pPr>
      <w:r>
        <w:rPr>
          <w:lang w:val="en-US"/>
        </w:rPr>
      </w:r>
      <w:r/>
    </w:p>
    <w:p>
      <w:pPr>
        <w:rPr>
          <w:lang w:val="en-US"/>
        </w:rPr>
      </w:pPr>
      <w:r>
        <w:rPr>
          <w:lang w:val="en-US"/>
        </w:rPr>
      </w:r>
      <w:r/>
    </w:p>
    <w:p>
      <w:pPr>
        <w:rPr>
          <w:lang w:val="en-US"/>
        </w:rPr>
      </w:pPr>
      <w:r>
        <w:rPr>
          <w:lang w:val="en-US"/>
        </w:rPr>
      </w:r>
      <w:r/>
    </w:p>
    <w:p>
      <w:pPr>
        <w:rPr>
          <w:lang w:val="en-US"/>
        </w:rPr>
      </w:pPr>
      <w:r>
        <w:rPr>
          <w:lang w:val="en-US"/>
        </w:rPr>
      </w:r>
      <w:r/>
    </w:p>
    <w:p>
      <w:pPr>
        <w:rPr>
          <w:lang w:val="en-US"/>
        </w:rPr>
      </w:pPr>
      <w:r>
        <w:rPr>
          <w:lang w:val="en-US"/>
        </w:rPr>
      </w:r>
      <w:r/>
    </w:p>
    <w:p>
      <w:pPr>
        <w:rPr>
          <w:rFonts w:eastAsia="微软雅黑"/>
          <w:lang w:val="en-US"/>
        </w:rPr>
      </w:pPr>
      <w:r>
        <w:rPr>
          <w:rFonts w:hint="eastAsia"/>
          <w:lang w:val="en-US"/>
        </w:rPr>
        <w:t xml:space="preserve">附件一</w:t>
      </w:r>
      <w:r/>
    </w:p>
    <w:tbl>
      <w:tblPr>
        <w:tblStyle w:val="77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37"/>
        <w:gridCol w:w="628"/>
        <w:gridCol w:w="708"/>
        <w:gridCol w:w="2987"/>
        <w:gridCol w:w="549"/>
        <w:gridCol w:w="2682"/>
        <w:gridCol w:w="535"/>
        <w:gridCol w:w="787"/>
        <w:gridCol w:w="545"/>
      </w:tblGrid>
      <w:tr>
        <w:trPr>
          <w:trHeight w:val="600"/>
        </w:trPr>
        <w:tc>
          <w:tcPr>
            <w:gridSpan w:val="9"/>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黑体" w:eastAsia="黑体" w:cs="黑体"/>
                <w:b/>
                <w:bCs/>
                <w:color w:val="000000"/>
                <w:sz w:val="36"/>
                <w:szCs w:val="36"/>
              </w:rPr>
            </w:pPr>
            <w:r>
              <w:rPr>
                <w:rFonts w:hint="eastAsia" w:ascii="黑体" w:eastAsia="黑体" w:cs="黑体"/>
                <w:b/>
                <w:bCs/>
                <w:color w:val="000000"/>
                <w:sz w:val="36"/>
                <w:szCs w:val="36"/>
                <w:lang w:val="en-US" w:bidi="ar"/>
              </w:rPr>
              <w:t xml:space="preserve">江苏开放大学（江苏城市职业学院）医务室考核表</w:t>
            </w:r>
            <w:r/>
          </w:p>
        </w:tc>
      </w:tr>
      <w:tr>
        <w:trPr>
          <w:trHeight w:val="402"/>
        </w:trPr>
        <w:tc>
          <w:tcPr>
            <w:gridSpan w:val="4"/>
            <w:shd w:val="clear" w:color="auto" w:fill="auto"/>
            <w:tcBorders>
              <w:top w:val="none" w:color="000000" w:sz="4" w:space="0"/>
              <w:left w:val="none" w:color="000000" w:sz="4" w:space="0"/>
              <w:bottom w:val="none" w:color="000000" w:sz="4" w:space="0"/>
              <w:right w:val="none" w:color="000000" w:sz="4" w:space="0"/>
            </w:tcBorders>
            <w:tcW w:w="2436" w:type="pct"/>
            <w:vAlign w:val="center"/>
            <w:textDirection w:val="lrTb"/>
            <w:noWrap/>
          </w:tcPr>
          <w:p>
            <w:pPr>
              <w:widowControl/>
              <w:rPr>
                <w:color w:val="000000"/>
              </w:rPr>
            </w:pPr>
            <w:r>
              <w:rPr>
                <w:rFonts w:hint="eastAsia"/>
                <w:color w:val="000000"/>
                <w:lang w:val="en-US" w:bidi="ar"/>
              </w:rPr>
              <w:t xml:space="preserve">考核周期：____年____月至____年____月</w:t>
            </w:r>
            <w:r/>
          </w:p>
        </w:tc>
        <w:tc>
          <w:tcPr>
            <w:gridSpan w:val="5"/>
            <w:shd w:val="clear" w:color="auto" w:fill="auto"/>
            <w:tcBorders>
              <w:top w:val="none" w:color="000000" w:sz="4" w:space="0"/>
              <w:left w:val="none" w:color="000000" w:sz="4" w:space="0"/>
              <w:bottom w:val="none" w:color="000000" w:sz="4" w:space="0"/>
              <w:right w:val="none" w:color="000000" w:sz="4" w:space="0"/>
            </w:tcBorders>
            <w:tcW w:w="2563" w:type="pct"/>
            <w:vAlign w:val="center"/>
            <w:textDirection w:val="lrTb"/>
            <w:noWrap/>
          </w:tcPr>
          <w:p>
            <w:pPr>
              <w:jc w:val="right"/>
              <w:widowControl/>
              <w:rPr>
                <w:color w:val="000000"/>
              </w:rPr>
            </w:pPr>
            <w:r>
              <w:rPr>
                <w:rFonts w:hint="eastAsia"/>
                <w:color w:val="000000"/>
                <w:lang w:val="en-US" w:bidi="ar"/>
              </w:rPr>
              <w:t xml:space="preserve">考核日期：____年____月____日</w:t>
            </w:r>
            <w:r/>
          </w:p>
        </w:tc>
      </w:tr>
      <w:tr>
        <w:trPr>
          <w:trHeight w:val="270"/>
        </w:trPr>
        <w:tc>
          <w:tcPr>
            <w:shd w:val="clear" w:color="auto" w:fill="auto"/>
            <w:tcBorders>
              <w:top w:val="none" w:color="000000" w:sz="4" w:space="0"/>
              <w:left w:val="none" w:color="000000" w:sz="4" w:space="0"/>
              <w:bottom w:val="none" w:color="000000" w:sz="4" w:space="0"/>
              <w:right w:val="none" w:color="000000" w:sz="4" w:space="0"/>
            </w:tcBorders>
            <w:tcW w:w="181" w:type="pct"/>
            <w:vAlign w:val="center"/>
            <w:textDirection w:val="lrTb"/>
            <w:noWrap/>
          </w:tcPr>
          <w:p>
            <w:pPr>
              <w:jc w:val="center"/>
              <w:rPr>
                <w:color w:val="000000"/>
              </w:rPr>
            </w:pPr>
            <w:r>
              <w:rPr>
                <w:color w:val="000000"/>
              </w:rPr>
            </w:r>
            <w:r/>
          </w:p>
        </w:tc>
        <w:tc>
          <w:tcPr>
            <w:shd w:val="clear" w:color="auto" w:fill="auto"/>
            <w:tcBorders>
              <w:top w:val="none" w:color="000000" w:sz="4" w:space="0"/>
              <w:left w:val="none" w:color="000000" w:sz="4" w:space="0"/>
              <w:bottom w:val="none" w:color="000000" w:sz="4" w:space="0"/>
              <w:right w:val="none" w:color="000000" w:sz="4" w:space="0"/>
            </w:tcBorders>
            <w:tcW w:w="340" w:type="pct"/>
            <w:vAlign w:val="center"/>
            <w:textDirection w:val="lrTb"/>
            <w:noWrap/>
          </w:tcPr>
          <w:p>
            <w:pPr>
              <w:jc w:val="center"/>
              <w:rPr>
                <w:color w:val="000000"/>
              </w:rPr>
            </w:pPr>
            <w:r>
              <w:rPr>
                <w:color w:val="000000"/>
              </w:rPr>
            </w:r>
            <w:r/>
          </w:p>
        </w:tc>
        <w:tc>
          <w:tcPr>
            <w:shd w:val="clear" w:color="auto" w:fill="auto"/>
            <w:tcBorders>
              <w:top w:val="none" w:color="000000" w:sz="4" w:space="0"/>
              <w:left w:val="none" w:color="000000" w:sz="4" w:space="0"/>
              <w:bottom w:val="none" w:color="000000" w:sz="4" w:space="0"/>
              <w:right w:val="none" w:color="000000" w:sz="4" w:space="0"/>
            </w:tcBorders>
            <w:tcW w:w="379" w:type="pct"/>
            <w:vAlign w:val="center"/>
            <w:textDirection w:val="lrTb"/>
            <w:noWrap/>
          </w:tcPr>
          <w:p>
            <w:pPr>
              <w:jc w:val="center"/>
              <w:rPr>
                <w:color w:val="000000"/>
              </w:rPr>
            </w:pPr>
            <w:r>
              <w:rPr>
                <w:color w:val="000000"/>
              </w:rPr>
            </w:r>
            <w:r/>
          </w:p>
        </w:tc>
        <w:tc>
          <w:tcPr>
            <w:shd w:val="clear" w:color="auto" w:fill="auto"/>
            <w:tcBorders>
              <w:top w:val="none" w:color="000000" w:sz="4" w:space="0"/>
              <w:left w:val="none" w:color="000000" w:sz="4" w:space="0"/>
              <w:bottom w:val="none" w:color="000000" w:sz="4" w:space="0"/>
              <w:right w:val="none" w:color="000000" w:sz="4" w:space="0"/>
            </w:tcBorders>
            <w:tcW w:w="1535" w:type="pct"/>
            <w:vAlign w:val="center"/>
            <w:textDirection w:val="lrTb"/>
            <w:noWrap/>
          </w:tcPr>
          <w:p>
            <w:pPr>
              <w:jc w:val="center"/>
              <w:rPr>
                <w:color w:val="000000"/>
              </w:rPr>
            </w:pPr>
            <w:r>
              <w:rPr>
                <w:color w:val="000000"/>
              </w:rPr>
            </w:r>
            <w:r/>
          </w:p>
        </w:tc>
        <w:tc>
          <w:tcPr>
            <w:shd w:val="clear" w:color="auto" w:fill="auto"/>
            <w:tcBorders>
              <w:top w:val="none" w:color="000000" w:sz="4" w:space="0"/>
              <w:left w:val="none" w:color="000000" w:sz="4" w:space="0"/>
              <w:bottom w:val="none" w:color="000000" w:sz="4" w:space="0"/>
              <w:right w:val="none" w:color="000000" w:sz="4" w:space="0"/>
            </w:tcBorders>
            <w:tcW w:w="173" w:type="pct"/>
            <w:vAlign w:val="center"/>
            <w:textDirection w:val="lrTb"/>
            <w:noWrap/>
          </w:tcPr>
          <w:p>
            <w:pPr>
              <w:jc w:val="center"/>
              <w:rPr>
                <w:color w:val="000000"/>
              </w:rPr>
            </w:pPr>
            <w:r>
              <w:rPr>
                <w:color w:val="000000"/>
              </w:rPr>
            </w:r>
            <w:r/>
          </w:p>
        </w:tc>
        <w:tc>
          <w:tcPr>
            <w:shd w:val="clear" w:color="auto" w:fill="auto"/>
            <w:tcBorders>
              <w:top w:val="none" w:color="000000" w:sz="4" w:space="0"/>
              <w:left w:val="none" w:color="000000" w:sz="4" w:space="0"/>
              <w:bottom w:val="none" w:color="000000" w:sz="4" w:space="0"/>
              <w:right w:val="none" w:color="000000" w:sz="4" w:space="0"/>
            </w:tcBorders>
            <w:tcW w:w="1381" w:type="pct"/>
            <w:vAlign w:val="center"/>
            <w:textDirection w:val="lrTb"/>
            <w:noWrap/>
          </w:tcPr>
          <w:p>
            <w:pPr>
              <w:jc w:val="center"/>
              <w:rPr>
                <w:color w:val="000000"/>
              </w:rPr>
            </w:pPr>
            <w:r>
              <w:rPr>
                <w:color w:val="000000"/>
              </w:rPr>
            </w:r>
            <w:r/>
          </w:p>
        </w:tc>
        <w:tc>
          <w:tcPr>
            <w:shd w:val="clear" w:color="auto" w:fill="auto"/>
            <w:tcBorders>
              <w:top w:val="none" w:color="000000" w:sz="4" w:space="0"/>
              <w:left w:val="none" w:color="000000" w:sz="4" w:space="0"/>
              <w:bottom w:val="none" w:color="000000" w:sz="4" w:space="0"/>
              <w:right w:val="none" w:color="000000" w:sz="4" w:space="0"/>
            </w:tcBorders>
            <w:tcW w:w="292" w:type="pct"/>
            <w:vAlign w:val="center"/>
            <w:textDirection w:val="lrTb"/>
            <w:noWrap/>
          </w:tcPr>
          <w:p>
            <w:pPr>
              <w:jc w:val="center"/>
              <w:rPr>
                <w:color w:val="000000"/>
              </w:rPr>
            </w:pPr>
            <w:r>
              <w:rPr>
                <w:color w:val="000000"/>
              </w:rPr>
            </w:r>
            <w:r/>
          </w:p>
        </w:tc>
        <w:tc>
          <w:tcPr>
            <w:shd w:val="clear" w:color="auto" w:fill="auto"/>
            <w:tcBorders>
              <w:top w:val="none" w:color="000000" w:sz="4" w:space="0"/>
              <w:left w:val="none" w:color="000000" w:sz="4" w:space="0"/>
              <w:bottom w:val="none" w:color="000000" w:sz="4" w:space="0"/>
              <w:right w:val="none" w:color="000000" w:sz="4" w:space="0"/>
            </w:tcBorders>
            <w:tcW w:w="420" w:type="pct"/>
            <w:vAlign w:val="center"/>
            <w:textDirection w:val="lrTb"/>
            <w:noWrap/>
          </w:tcPr>
          <w:p>
            <w:pPr>
              <w:jc w:val="center"/>
              <w:rPr>
                <w:color w:val="000000"/>
              </w:rPr>
            </w:pPr>
            <w:r>
              <w:rPr>
                <w:color w:val="000000"/>
              </w:rPr>
            </w:r>
            <w:r/>
          </w:p>
        </w:tc>
        <w:tc>
          <w:tcPr>
            <w:shd w:val="clear" w:color="auto" w:fill="auto"/>
            <w:tcBorders>
              <w:top w:val="none" w:color="000000" w:sz="4" w:space="0"/>
              <w:left w:val="none" w:color="000000" w:sz="4" w:space="0"/>
              <w:bottom w:val="none" w:color="000000" w:sz="4" w:space="0"/>
              <w:right w:val="none" w:color="000000" w:sz="4" w:space="0"/>
            </w:tcBorders>
            <w:tcW w:w="294" w:type="pct"/>
            <w:vAlign w:val="center"/>
            <w:textDirection w:val="lrTb"/>
            <w:noWrap/>
          </w:tcPr>
          <w:p>
            <w:pPr>
              <w:jc w:val="center"/>
              <w:rPr>
                <w:color w:val="000000"/>
              </w:rPr>
            </w:pPr>
            <w:r>
              <w:rPr>
                <w:color w:val="000000"/>
              </w:rPr>
            </w:r>
            <w:r/>
          </w:p>
        </w:tc>
      </w:tr>
      <w:tr>
        <w:trPr>
          <w:trHeight w:val="799"/>
        </w:trPr>
        <w:tc>
          <w:tcPr>
            <w:shd w:val="clear" w:color="e6e6fa" w:fill="e6e6fa"/>
            <w:tcBorders>
              <w:top w:val="single" w:color="000000" w:sz="4" w:space="0"/>
              <w:left w:val="single" w:color="000000" w:sz="4" w:space="0"/>
              <w:bottom w:val="single" w:color="000000" w:sz="4" w:space="0"/>
              <w:right w:val="single" w:color="000000" w:sz="4" w:space="0"/>
            </w:tcBorders>
            <w:tcW w:w="181" w:type="pct"/>
            <w:vAlign w:val="center"/>
            <w:textDirection w:val="lrTb"/>
            <w:noWrap w:val="false"/>
          </w:tcPr>
          <w:p>
            <w:pPr>
              <w:jc w:val="center"/>
              <w:widowControl/>
              <w:rPr>
                <w:b/>
                <w:bCs/>
                <w:color w:val="000000"/>
              </w:rPr>
            </w:pPr>
            <w:r>
              <w:rPr>
                <w:rFonts w:hint="eastAsia"/>
                <w:b/>
                <w:bCs/>
                <w:color w:val="000000"/>
                <w:lang w:val="en-US" w:bidi="ar"/>
              </w:rPr>
              <w:t xml:space="preserve">序号</w:t>
            </w:r>
            <w:r/>
          </w:p>
        </w:tc>
        <w:tc>
          <w:tcPr>
            <w:gridSpan w:val="2"/>
            <w:shd w:val="clear" w:color="e6e6fa" w:fill="e6e6fa"/>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widowControl/>
              <w:rPr>
                <w:b/>
                <w:bCs/>
                <w:color w:val="000000"/>
              </w:rPr>
            </w:pPr>
            <w:r>
              <w:rPr>
                <w:rFonts w:hint="eastAsia"/>
                <w:b/>
                <w:bCs/>
                <w:color w:val="000000"/>
                <w:lang w:val="en-US" w:bidi="ar"/>
              </w:rPr>
              <w:t xml:space="preserve">考核名称</w:t>
            </w:r>
            <w:r/>
          </w:p>
        </w:tc>
        <w:tc>
          <w:tcPr>
            <w:shd w:val="clear" w:color="e6e6fa" w:fill="e6e6fa"/>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jc w:val="center"/>
              <w:widowControl/>
              <w:rPr>
                <w:b/>
                <w:bCs/>
                <w:color w:val="000000"/>
              </w:rPr>
            </w:pPr>
            <w:r>
              <w:rPr>
                <w:rFonts w:hint="eastAsia"/>
                <w:b/>
                <w:bCs/>
                <w:color w:val="000000"/>
                <w:lang w:val="en-US" w:bidi="ar"/>
              </w:rPr>
              <w:t xml:space="preserve">考核内容与要求</w:t>
            </w:r>
            <w:r/>
          </w:p>
        </w:tc>
        <w:tc>
          <w:tcPr>
            <w:shd w:val="clear" w:color="e6e6fa" w:fill="e6e6fa"/>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b/>
                <w:bCs/>
                <w:color w:val="000000"/>
              </w:rPr>
            </w:pPr>
            <w:r>
              <w:rPr>
                <w:rFonts w:hint="eastAsia"/>
                <w:b/>
                <w:bCs/>
                <w:color w:val="000000"/>
                <w:lang w:val="en-US" w:bidi="ar"/>
              </w:rPr>
              <w:t xml:space="preserve">分值</w:t>
            </w:r>
            <w:r/>
          </w:p>
        </w:tc>
        <w:tc>
          <w:tcPr>
            <w:shd w:val="clear" w:color="e6e6fa" w:fill="e6e6fa"/>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jc w:val="center"/>
              <w:widowControl/>
              <w:rPr>
                <w:b/>
                <w:bCs/>
                <w:color w:val="000000"/>
              </w:rPr>
            </w:pPr>
            <w:r>
              <w:rPr>
                <w:rFonts w:hint="eastAsia"/>
                <w:b/>
                <w:bCs/>
                <w:color w:val="000000"/>
                <w:lang w:val="en-US" w:bidi="ar"/>
              </w:rPr>
              <w:t xml:space="preserve">评分标准</w:t>
            </w:r>
            <w:r/>
          </w:p>
        </w:tc>
        <w:tc>
          <w:tcPr>
            <w:shd w:val="clear" w:color="e6e6fa" w:fill="e6e6fa"/>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b/>
                <w:bCs/>
                <w:color w:val="000000"/>
              </w:rPr>
            </w:pPr>
            <w:r>
              <w:rPr>
                <w:rFonts w:hint="eastAsia"/>
                <w:b/>
                <w:bCs/>
                <w:color w:val="000000"/>
                <w:lang w:val="en-US" w:bidi="ar"/>
              </w:rPr>
              <w:t xml:space="preserve">得分</w:t>
            </w:r>
            <w:r/>
          </w:p>
        </w:tc>
        <w:tc>
          <w:tcPr>
            <w:shd w:val="clear" w:color="e6e6fa" w:fill="e6e6fa"/>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b/>
                <w:bCs/>
                <w:color w:val="000000"/>
              </w:rPr>
            </w:pPr>
            <w:r>
              <w:rPr>
                <w:rFonts w:hint="eastAsia"/>
                <w:b/>
                <w:bCs/>
                <w:color w:val="000000"/>
                <w:lang w:val="en-US" w:bidi="ar"/>
              </w:rPr>
              <w:t xml:space="preserve">扣分说明</w:t>
            </w:r>
            <w:r/>
          </w:p>
        </w:tc>
        <w:tc>
          <w:tcPr>
            <w:shd w:val="clear" w:color="e6e6fa" w:fill="e6e6fa"/>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b/>
                <w:bCs/>
                <w:color w:val="000000"/>
              </w:rPr>
            </w:pPr>
            <w:r>
              <w:rPr>
                <w:rFonts w:hint="eastAsia"/>
                <w:b/>
                <w:bCs/>
                <w:color w:val="000000"/>
                <w:lang w:val="en-US" w:bidi="ar"/>
              </w:rPr>
              <w:t xml:space="preserve">备注</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restart"/>
            <w:textDirection w:val="lrTb"/>
            <w:noWrap w:val="false"/>
          </w:tcPr>
          <w:p>
            <w:pPr>
              <w:jc w:val="center"/>
              <w:widowControl/>
              <w:rPr>
                <w:color w:val="000000"/>
                <w:sz w:val="20"/>
                <w:szCs w:val="20"/>
              </w:rPr>
            </w:pPr>
            <w:r>
              <w:rPr>
                <w:rFonts w:hint="eastAsia"/>
                <w:color w:val="000000"/>
                <w:sz w:val="20"/>
                <w:szCs w:val="20"/>
                <w:lang w:val="en-US"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restart"/>
            <w:textDirection w:val="lrTb"/>
            <w:noWrap w:val="false"/>
          </w:tcPr>
          <w:p>
            <w:pPr>
              <w:jc w:val="center"/>
              <w:widowControl/>
              <w:rPr>
                <w:color w:val="000000"/>
                <w:sz w:val="20"/>
                <w:szCs w:val="20"/>
              </w:rPr>
            </w:pPr>
            <w:r>
              <w:rPr>
                <w:rFonts w:hint="eastAsia"/>
                <w:color w:val="000000"/>
                <w:sz w:val="20"/>
                <w:szCs w:val="20"/>
                <w:lang w:val="en-US" w:bidi="ar"/>
              </w:rPr>
              <w:t xml:space="preserve">医德医风</w:t>
            </w:r>
            <w:r>
              <w:rPr>
                <w:rFonts w:hint="eastAsia"/>
                <w:color w:val="000000"/>
                <w:sz w:val="20"/>
                <w:szCs w:val="20"/>
                <w:lang w:val="en-US" w:bidi="ar"/>
              </w:rPr>
              <w:br/>
            </w:r>
            <w:r>
              <w:rPr>
                <w:rFonts w:hint="eastAsia"/>
                <w:color w:val="000000"/>
                <w:sz w:val="20"/>
                <w:szCs w:val="20"/>
                <w:lang w:val="en-US" w:bidi="ar"/>
              </w:rPr>
              <w:t xml:space="preserve">与服务规范</w:t>
            </w:r>
            <w:r>
              <w:rPr>
                <w:rFonts w:hint="eastAsia"/>
                <w:color w:val="000000"/>
                <w:sz w:val="20"/>
                <w:szCs w:val="20"/>
                <w:lang w:val="en-US" w:bidi="ar"/>
              </w:rPr>
              <w:br/>
            </w:r>
            <w:r>
              <w:rPr>
                <w:rFonts w:hint="eastAsia"/>
                <w:color w:val="000000"/>
                <w:sz w:val="20"/>
                <w:szCs w:val="20"/>
                <w:lang w:val="en-US" w:bidi="ar"/>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职业道德</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sz w:val="20"/>
                <w:szCs w:val="20"/>
              </w:rPr>
            </w:pPr>
            <w:r>
              <w:rPr>
                <w:rFonts w:hint="eastAsia"/>
                <w:color w:val="000000"/>
                <w:sz w:val="20"/>
                <w:szCs w:val="20"/>
                <w:lang w:val="en-US" w:bidi="ar"/>
              </w:rPr>
              <w:t xml:space="preserve">热爱本职工作，坚守岗位，尽职尽责，树立以师生为中心的服务理念</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sz w:val="20"/>
                <w:szCs w:val="20"/>
              </w:rPr>
            </w:pPr>
            <w:r>
              <w:rPr>
                <w:rFonts w:hint="eastAsia"/>
                <w:color w:val="000000"/>
                <w:sz w:val="20"/>
                <w:szCs w:val="20"/>
                <w:lang w:val="en-US" w:bidi="ar"/>
              </w:rPr>
              <w:t xml:space="preserve">优秀3分，良好2分，一般1分，差0分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sz w:val="20"/>
                <w:szCs w:val="20"/>
              </w:rPr>
            </w:pPr>
            <w:r>
              <w:rPr>
                <w:color w:val="000000"/>
                <w:sz w:val="20"/>
                <w:szCs w:val="20"/>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服务态度</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sz w:val="20"/>
                <w:szCs w:val="20"/>
              </w:rPr>
            </w:pPr>
            <w:r>
              <w:rPr>
                <w:rFonts w:hint="eastAsia"/>
                <w:color w:val="000000"/>
                <w:sz w:val="20"/>
                <w:szCs w:val="20"/>
                <w:lang w:val="en-US" w:bidi="ar"/>
              </w:rPr>
              <w:t xml:space="preserve">服务态度热情周到，耐心解答师生咨询，无服务态度投诉</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sz w:val="20"/>
                <w:szCs w:val="20"/>
              </w:rPr>
            </w:pPr>
            <w:r>
              <w:rPr>
                <w:rFonts w:hint="eastAsia"/>
                <w:color w:val="000000"/>
                <w:sz w:val="20"/>
                <w:szCs w:val="20"/>
                <w:lang w:val="en-US" w:bidi="ar"/>
              </w:rPr>
              <w:t xml:space="preserve">无投诉3分，1次轻微投诉2分，2次及以上投诉0分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sz w:val="20"/>
                <w:szCs w:val="20"/>
              </w:rPr>
            </w:pPr>
            <w:r>
              <w:rPr>
                <w:color w:val="000000"/>
                <w:sz w:val="20"/>
                <w:szCs w:val="20"/>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遵纪守法</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sz w:val="20"/>
                <w:szCs w:val="20"/>
              </w:rPr>
            </w:pPr>
            <w:r>
              <w:rPr>
                <w:rFonts w:hint="eastAsia"/>
                <w:color w:val="000000"/>
                <w:sz w:val="20"/>
                <w:szCs w:val="20"/>
                <w:lang w:val="en-US" w:bidi="ar"/>
              </w:rPr>
              <w:t xml:space="preserve">严格遵守卫生法律法规、医疗规章制度和医学伦理，依法依规执业</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sz w:val="20"/>
                <w:szCs w:val="20"/>
              </w:rPr>
            </w:pPr>
            <w:r>
              <w:rPr>
                <w:rFonts w:hint="eastAsia"/>
                <w:color w:val="000000"/>
                <w:sz w:val="20"/>
                <w:szCs w:val="20"/>
                <w:lang w:val="en-US" w:bidi="ar"/>
              </w:rPr>
              <w:t xml:space="preserve">严格遵守4分，轻微违规2分，严重违规0分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sz w:val="20"/>
                <w:szCs w:val="20"/>
              </w:rPr>
            </w:pPr>
            <w:r>
              <w:rPr>
                <w:color w:val="000000"/>
                <w:sz w:val="20"/>
                <w:szCs w:val="20"/>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restart"/>
            <w:textDirection w:val="lrTb"/>
            <w:noWrap w:val="false"/>
          </w:tcPr>
          <w:p>
            <w:pPr>
              <w:jc w:val="center"/>
              <w:widowControl/>
              <w:rPr>
                <w:color w:val="000000"/>
                <w:sz w:val="20"/>
                <w:szCs w:val="20"/>
              </w:rPr>
            </w:pPr>
            <w:r>
              <w:rPr>
                <w:rFonts w:hint="eastAsia"/>
                <w:color w:val="000000"/>
                <w:sz w:val="20"/>
                <w:szCs w:val="20"/>
                <w:lang w:val="en-US"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restart"/>
            <w:textDirection w:val="lrTb"/>
            <w:noWrap w:val="false"/>
          </w:tcPr>
          <w:p>
            <w:pPr>
              <w:jc w:val="center"/>
              <w:widowControl/>
              <w:rPr>
                <w:color w:val="000000"/>
                <w:sz w:val="20"/>
                <w:szCs w:val="20"/>
              </w:rPr>
            </w:pPr>
            <w:r>
              <w:rPr>
                <w:rFonts w:hint="eastAsia"/>
                <w:color w:val="000000"/>
                <w:sz w:val="20"/>
                <w:szCs w:val="20"/>
                <w:lang w:val="en-US" w:bidi="ar"/>
              </w:rPr>
              <w:t xml:space="preserve">常规管理</w:t>
            </w:r>
            <w:r>
              <w:rPr>
                <w:rFonts w:hint="eastAsia"/>
                <w:color w:val="000000"/>
                <w:sz w:val="20"/>
                <w:szCs w:val="20"/>
                <w:lang w:val="en-US" w:bidi="ar"/>
              </w:rPr>
              <w:br/>
            </w:r>
            <w:r>
              <w:rPr>
                <w:rFonts w:hint="eastAsia"/>
                <w:color w:val="000000"/>
                <w:sz w:val="20"/>
                <w:szCs w:val="20"/>
                <w:lang w:val="en-US" w:bidi="ar"/>
              </w:rPr>
              <w:t xml:space="preserve">（26分）</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证照管理</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sz w:val="20"/>
                <w:szCs w:val="20"/>
              </w:rPr>
            </w:pPr>
            <w:r>
              <w:rPr>
                <w:rFonts w:hint="eastAsia"/>
                <w:color w:val="000000"/>
                <w:sz w:val="20"/>
                <w:szCs w:val="20"/>
                <w:lang w:val="en-US" w:bidi="ar"/>
              </w:rPr>
              <w:t xml:space="preserve">单位医疗许可证和医务人员从业资格证、执业证，证照齐全并在有效期内</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sz w:val="20"/>
                <w:szCs w:val="20"/>
              </w:rPr>
            </w:pPr>
            <w:r>
              <w:rPr>
                <w:rStyle w:val="983"/>
                <w:rFonts w:hint="default"/>
                <w:lang w:val="en-US" w:bidi="ar"/>
              </w:rPr>
              <w:t xml:space="preserve">证照齐全且在有效期内4分，缺失或失效0分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sz w:val="20"/>
                <w:szCs w:val="20"/>
              </w:rPr>
            </w:pPr>
            <w:r>
              <w:rPr>
                <w:color w:val="000000"/>
                <w:sz w:val="20"/>
                <w:szCs w:val="20"/>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人员考勤</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sz w:val="20"/>
                <w:szCs w:val="20"/>
              </w:rPr>
            </w:pPr>
            <w:r>
              <w:rPr>
                <w:rFonts w:hint="eastAsia"/>
                <w:color w:val="000000"/>
                <w:sz w:val="20"/>
                <w:szCs w:val="20"/>
                <w:lang w:val="en-US" w:bidi="ar"/>
              </w:rPr>
              <w:t xml:space="preserve">门诊在岗时间8:00-18:00，其他时间值班室候诊，无迟到早退旷班</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sz w:val="20"/>
                <w:szCs w:val="20"/>
              </w:rPr>
            </w:pPr>
            <w:r>
              <w:rPr>
                <w:rFonts w:hint="eastAsia"/>
                <w:color w:val="000000"/>
                <w:sz w:val="20"/>
                <w:szCs w:val="20"/>
                <w:lang w:val="en-US" w:bidi="ar"/>
              </w:rPr>
              <w:t xml:space="preserve">全勤4分，迟到1次扣0.5分，早退/旷班1次扣1分，扣完为止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sz w:val="20"/>
                <w:szCs w:val="20"/>
              </w:rPr>
            </w:pPr>
            <w:r>
              <w:rPr>
                <w:color w:val="000000"/>
                <w:sz w:val="20"/>
                <w:szCs w:val="20"/>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制度建设</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sz w:val="20"/>
                <w:szCs w:val="20"/>
              </w:rPr>
            </w:pPr>
            <w:r>
              <w:rPr>
                <w:rFonts w:hint="eastAsia"/>
                <w:color w:val="000000"/>
                <w:sz w:val="20"/>
                <w:szCs w:val="20"/>
                <w:lang w:val="en-US" w:bidi="ar"/>
              </w:rPr>
              <w:t xml:space="preserve">建立健全各项管理制度并严格执行，制度台账完善</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sz w:val="20"/>
                <w:szCs w:val="20"/>
              </w:rPr>
            </w:pPr>
            <w:r>
              <w:rPr>
                <w:rStyle w:val="983"/>
                <w:rFonts w:hint="default"/>
                <w:lang w:val="en-US" w:bidi="ar"/>
              </w:rPr>
              <w:t xml:space="preserve">制度完善且执行好4分，制度不完善2</w:t>
            </w:r>
            <w:r>
              <w:rPr>
                <w:rStyle w:val="984"/>
                <w:rFonts w:hint="default"/>
                <w:lang w:val="en-US" w:bidi="ar"/>
              </w:rPr>
              <w:t xml:space="preserve">分，无制度0分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sz w:val="20"/>
                <w:szCs w:val="20"/>
              </w:rPr>
            </w:pPr>
            <w:r>
              <w:rPr>
                <w:color w:val="000000"/>
                <w:sz w:val="20"/>
                <w:szCs w:val="20"/>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环境管理</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sz w:val="20"/>
                <w:szCs w:val="20"/>
              </w:rPr>
            </w:pPr>
            <w:r>
              <w:rPr>
                <w:rFonts w:hint="eastAsia"/>
                <w:color w:val="000000"/>
                <w:sz w:val="20"/>
                <w:szCs w:val="20"/>
                <w:lang w:val="en-US" w:bidi="ar"/>
              </w:rPr>
              <w:t xml:space="preserve">诊疗环境整洁卫生，分区合理，标识清晰，定期消毒</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sz w:val="20"/>
                <w:szCs w:val="20"/>
              </w:rPr>
            </w:pPr>
            <w:r>
              <w:rPr>
                <w:rStyle w:val="983"/>
                <w:rFonts w:hint="default"/>
                <w:lang w:val="en-US" w:bidi="ar"/>
              </w:rPr>
              <w:t xml:space="preserve">环境优良4分，基本达标2</w:t>
            </w:r>
            <w:r>
              <w:rPr>
                <w:rStyle w:val="984"/>
                <w:rFonts w:hint="default"/>
                <w:lang w:val="en-US" w:bidi="ar"/>
              </w:rPr>
              <w:t xml:space="preserve">分，不达标0分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sz w:val="20"/>
                <w:szCs w:val="20"/>
              </w:rPr>
            </w:pPr>
            <w:r>
              <w:rPr>
                <w:color w:val="000000"/>
                <w:sz w:val="20"/>
                <w:szCs w:val="20"/>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药品管理</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sz w:val="20"/>
                <w:szCs w:val="20"/>
              </w:rPr>
            </w:pPr>
            <w:r>
              <w:rPr>
                <w:rFonts w:hint="eastAsia"/>
                <w:color w:val="000000"/>
                <w:sz w:val="20"/>
                <w:szCs w:val="20"/>
                <w:lang w:val="en-US" w:bidi="ar"/>
              </w:rPr>
              <w:t xml:space="preserve">药品管理规范，分类存放，账物相符，无过期变质药品</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sz w:val="20"/>
                <w:szCs w:val="20"/>
              </w:rPr>
            </w:pPr>
            <w:r>
              <w:rPr>
                <w:rFonts w:hint="eastAsia"/>
                <w:color w:val="000000"/>
                <w:sz w:val="20"/>
                <w:szCs w:val="20"/>
                <w:lang w:val="en-US" w:bidi="ar"/>
              </w:rPr>
              <w:t xml:space="preserve">管理规范5分，存在轻微问题3分，严重问题0分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sz w:val="20"/>
                <w:szCs w:val="20"/>
              </w:rPr>
            </w:pPr>
            <w:r>
              <w:rPr>
                <w:color w:val="000000"/>
                <w:sz w:val="20"/>
                <w:szCs w:val="20"/>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设备管理</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sz w:val="20"/>
                <w:szCs w:val="20"/>
              </w:rPr>
            </w:pPr>
            <w:r>
              <w:rPr>
                <w:rFonts w:hint="eastAsia"/>
                <w:color w:val="000000"/>
                <w:sz w:val="20"/>
                <w:szCs w:val="20"/>
                <w:lang w:val="en-US" w:bidi="ar"/>
              </w:rPr>
              <w:t xml:space="preserve">医疗设备定期维护保养，完好率100%，使用记录完整</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sz w:val="20"/>
                <w:szCs w:val="20"/>
              </w:rPr>
            </w:pPr>
            <w:r>
              <w:rPr>
                <w:rFonts w:hint="eastAsia"/>
                <w:color w:val="000000"/>
                <w:sz w:val="20"/>
                <w:szCs w:val="20"/>
                <w:lang w:val="en-US" w:bidi="ar"/>
              </w:rPr>
              <w:t xml:space="preserve">设备完好5分，偶有故障3分，故障频发0分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sz w:val="20"/>
                <w:szCs w:val="20"/>
              </w:rPr>
            </w:pPr>
            <w:r>
              <w:rPr>
                <w:color w:val="000000"/>
                <w:sz w:val="20"/>
                <w:szCs w:val="20"/>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restart"/>
            <w:textDirection w:val="lrTb"/>
            <w:noWrap w:val="false"/>
          </w:tcPr>
          <w:p>
            <w:pPr>
              <w:jc w:val="center"/>
              <w:widowControl/>
              <w:rPr>
                <w:color w:val="000000"/>
                <w:sz w:val="20"/>
                <w:szCs w:val="20"/>
              </w:rPr>
            </w:pPr>
            <w:r>
              <w:rPr>
                <w:rFonts w:hint="eastAsia"/>
                <w:color w:val="000000"/>
                <w:sz w:val="20"/>
                <w:szCs w:val="20"/>
                <w:lang w:val="en-US"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restart"/>
            <w:textDirection w:val="lrTb"/>
            <w:noWrap w:val="false"/>
          </w:tcPr>
          <w:p>
            <w:pPr>
              <w:jc w:val="center"/>
              <w:widowControl/>
              <w:rPr>
                <w:color w:val="000000"/>
                <w:sz w:val="20"/>
                <w:szCs w:val="20"/>
              </w:rPr>
            </w:pPr>
            <w:r>
              <w:rPr>
                <w:rFonts w:hint="eastAsia"/>
                <w:color w:val="000000"/>
                <w:sz w:val="20"/>
                <w:szCs w:val="20"/>
                <w:lang w:val="en-US" w:bidi="ar"/>
              </w:rPr>
              <w:t xml:space="preserve">医疗服务质量</w:t>
            </w:r>
            <w:r>
              <w:rPr>
                <w:rFonts w:hint="eastAsia"/>
                <w:color w:val="000000"/>
                <w:sz w:val="20"/>
                <w:szCs w:val="20"/>
                <w:lang w:val="en-US" w:bidi="ar"/>
              </w:rPr>
              <w:br/>
            </w:r>
            <w:r>
              <w:rPr>
                <w:rFonts w:hint="eastAsia"/>
                <w:color w:val="000000"/>
                <w:sz w:val="20"/>
                <w:szCs w:val="20"/>
                <w:lang w:val="en-US" w:bidi="ar"/>
              </w:rPr>
              <w:t xml:space="preserve">（29分）</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诊疗规范</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sz w:val="20"/>
                <w:szCs w:val="20"/>
              </w:rPr>
            </w:pPr>
            <w:r>
              <w:rPr>
                <w:rFonts w:hint="eastAsia"/>
                <w:color w:val="000000"/>
                <w:sz w:val="20"/>
                <w:szCs w:val="20"/>
                <w:lang w:val="en-US" w:bidi="ar"/>
              </w:rPr>
              <w:t xml:space="preserve">严格按照诊疗规范开展诊疗活动，诊断准确，治疗合理</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sz w:val="20"/>
                <w:szCs w:val="20"/>
              </w:rPr>
            </w:pPr>
            <w:r>
              <w:rPr>
                <w:rFonts w:hint="eastAsia"/>
                <w:color w:val="000000"/>
                <w:sz w:val="20"/>
                <w:szCs w:val="20"/>
                <w:lang w:val="en-US" w:bidi="ar"/>
              </w:rPr>
              <w:t xml:space="preserve">规范5分，基本规范3分，不规范0分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sz w:val="20"/>
                <w:szCs w:val="20"/>
              </w:rPr>
            </w:pPr>
            <w:r>
              <w:rPr>
                <w:color w:val="000000"/>
                <w:sz w:val="20"/>
                <w:szCs w:val="20"/>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病历书写</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sz w:val="20"/>
                <w:szCs w:val="20"/>
              </w:rPr>
            </w:pPr>
            <w:r>
              <w:rPr>
                <w:rFonts w:hint="eastAsia"/>
                <w:color w:val="000000"/>
                <w:sz w:val="20"/>
                <w:szCs w:val="20"/>
                <w:lang w:val="en-US" w:bidi="ar"/>
              </w:rPr>
              <w:t xml:space="preserve">病历书写规范完整，字迹清晰，项目齐全，符合医疗文书要求</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sz w:val="20"/>
                <w:szCs w:val="20"/>
              </w:rPr>
            </w:pPr>
            <w:r>
              <w:rPr>
                <w:rFonts w:hint="eastAsia"/>
                <w:color w:val="000000"/>
                <w:sz w:val="20"/>
                <w:szCs w:val="20"/>
                <w:lang w:val="en-US" w:bidi="ar"/>
              </w:rPr>
              <w:t xml:space="preserve">完整规范4分，基本完整2分，不完整0分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sz w:val="20"/>
                <w:szCs w:val="20"/>
              </w:rPr>
            </w:pPr>
            <w:r>
              <w:rPr>
                <w:color w:val="000000"/>
                <w:sz w:val="20"/>
                <w:szCs w:val="20"/>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处方管理</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sz w:val="20"/>
                <w:szCs w:val="20"/>
              </w:rPr>
            </w:pPr>
            <w:r>
              <w:rPr>
                <w:rFonts w:hint="eastAsia"/>
                <w:color w:val="000000"/>
                <w:sz w:val="20"/>
                <w:szCs w:val="20"/>
                <w:lang w:val="en-US" w:bidi="ar"/>
              </w:rPr>
              <w:t xml:space="preserve">处方开具规范，用药合理，无不合理用药情况</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sz w:val="20"/>
                <w:szCs w:val="20"/>
              </w:rPr>
            </w:pPr>
            <w:r>
              <w:rPr>
                <w:rFonts w:hint="eastAsia"/>
                <w:color w:val="000000"/>
                <w:sz w:val="20"/>
                <w:szCs w:val="20"/>
                <w:lang w:val="en-US" w:bidi="ar"/>
              </w:rPr>
              <w:t xml:space="preserve">规范合理4分，基本合理2分，不合理0分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sz w:val="20"/>
                <w:szCs w:val="20"/>
              </w:rPr>
            </w:pPr>
            <w:r>
              <w:rPr>
                <w:color w:val="000000"/>
                <w:sz w:val="20"/>
                <w:szCs w:val="20"/>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护理操作</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sz w:val="20"/>
                <w:szCs w:val="20"/>
              </w:rPr>
            </w:pPr>
            <w:r>
              <w:rPr>
                <w:rFonts w:hint="eastAsia"/>
                <w:color w:val="000000"/>
                <w:sz w:val="20"/>
                <w:szCs w:val="20"/>
                <w:lang w:val="en-US" w:bidi="ar"/>
              </w:rPr>
              <w:t xml:space="preserve">护理操作严格执行三查八对和无菌技术操作规程</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sz w:val="20"/>
                <w:szCs w:val="20"/>
              </w:rPr>
            </w:pPr>
            <w:r>
              <w:rPr>
                <w:rFonts w:hint="eastAsia"/>
                <w:color w:val="000000"/>
                <w:sz w:val="20"/>
                <w:szCs w:val="20"/>
                <w:lang w:val="en-US" w:bidi="ar"/>
              </w:rPr>
              <w:t xml:space="preserve">严格执行4分，基本执行2分，不执行0分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sz w:val="20"/>
                <w:szCs w:val="20"/>
              </w:rPr>
            </w:pPr>
            <w:r>
              <w:rPr>
                <w:color w:val="000000"/>
                <w:sz w:val="20"/>
                <w:szCs w:val="20"/>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24小时值守</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sz w:val="20"/>
                <w:szCs w:val="20"/>
              </w:rPr>
            </w:pPr>
            <w:r>
              <w:rPr>
                <w:rFonts w:hint="eastAsia"/>
                <w:color w:val="000000"/>
                <w:sz w:val="20"/>
                <w:szCs w:val="20"/>
                <w:lang w:val="en-US" w:bidi="ar"/>
              </w:rPr>
              <w:t xml:space="preserve">保证24小时有执业医师和护士在岗，满足师生就医需求</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sz w:val="20"/>
                <w:szCs w:val="20"/>
              </w:rPr>
            </w:pPr>
            <w:r>
              <w:rPr>
                <w:rFonts w:hint="eastAsia"/>
                <w:color w:val="000000"/>
                <w:sz w:val="20"/>
                <w:szCs w:val="20"/>
                <w:lang w:val="en-US" w:bidi="ar"/>
              </w:rPr>
              <w:t xml:space="preserve">24小时值守4分，偶有脱岗2分，经常脱岗0分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sz w:val="20"/>
                <w:szCs w:val="20"/>
              </w:rPr>
            </w:pPr>
            <w:r>
              <w:rPr>
                <w:color w:val="000000"/>
                <w:sz w:val="20"/>
                <w:szCs w:val="20"/>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健康服务</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sz w:val="20"/>
                <w:szCs w:val="20"/>
              </w:rPr>
            </w:pPr>
            <w:r>
              <w:rPr>
                <w:rFonts w:hint="eastAsia"/>
                <w:color w:val="000000"/>
                <w:sz w:val="20"/>
                <w:szCs w:val="20"/>
                <w:lang w:val="en-US" w:bidi="ar"/>
              </w:rPr>
              <w:t xml:space="preserve">提供健康咨询、健康指导服务，建立师生健康档案</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sz w:val="20"/>
                <w:szCs w:val="20"/>
              </w:rPr>
            </w:pPr>
            <w:r>
              <w:rPr>
                <w:rFonts w:hint="eastAsia"/>
                <w:color w:val="000000"/>
                <w:sz w:val="20"/>
                <w:szCs w:val="20"/>
                <w:lang w:val="en-US" w:bidi="ar"/>
              </w:rPr>
              <w:t xml:space="preserve">服务到位4分，基本到位2分，不到位0分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sz w:val="20"/>
                <w:szCs w:val="20"/>
              </w:rPr>
            </w:pPr>
            <w:r>
              <w:rPr>
                <w:color w:val="000000"/>
                <w:sz w:val="20"/>
                <w:szCs w:val="20"/>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体检与转诊</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sz w:val="20"/>
                <w:szCs w:val="20"/>
              </w:rPr>
            </w:pPr>
            <w:r>
              <w:rPr>
                <w:rFonts w:hint="eastAsia"/>
                <w:color w:val="000000"/>
                <w:sz w:val="20"/>
                <w:szCs w:val="20"/>
                <w:lang w:val="en-US" w:bidi="ar"/>
              </w:rPr>
              <w:t xml:space="preserve">完成新生入学体检，对疑难重症及时规范转诊，并做好登记随访工作</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sz w:val="20"/>
                <w:szCs w:val="20"/>
              </w:rPr>
            </w:pPr>
            <w:r>
              <w:rPr>
                <w:rStyle w:val="983"/>
                <w:rFonts w:hint="default"/>
                <w:lang w:val="en-US" w:bidi="ar"/>
              </w:rPr>
              <w:t xml:space="preserve">圆满完成4</w:t>
            </w:r>
            <w:r>
              <w:rPr>
                <w:rStyle w:val="984"/>
                <w:rFonts w:hint="default"/>
                <w:lang w:val="en-US" w:bidi="ar"/>
              </w:rPr>
              <w:t xml:space="preserve">分，基本完成</w:t>
            </w:r>
            <w:r>
              <w:rPr>
                <w:rStyle w:val="983"/>
                <w:rFonts w:hint="default"/>
                <w:lang w:val="en-US" w:bidi="ar"/>
              </w:rPr>
              <w:t xml:space="preserve">2</w:t>
            </w:r>
            <w:r>
              <w:rPr>
                <w:rStyle w:val="984"/>
                <w:rFonts w:hint="default"/>
                <w:lang w:val="en-US" w:bidi="ar"/>
              </w:rPr>
              <w:t xml:space="preserve">分，未完成0分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sz w:val="20"/>
                <w:szCs w:val="20"/>
              </w:rPr>
            </w:pPr>
            <w:r>
              <w:rPr>
                <w:color w:val="000000"/>
                <w:sz w:val="20"/>
                <w:szCs w:val="20"/>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restart"/>
            <w:textDirection w:val="lrTb"/>
            <w:noWrap w:val="false"/>
          </w:tcPr>
          <w:p>
            <w:pPr>
              <w:jc w:val="center"/>
              <w:widowControl/>
              <w:rPr>
                <w:color w:val="000000"/>
                <w:sz w:val="20"/>
                <w:szCs w:val="20"/>
              </w:rPr>
            </w:pPr>
            <w:r>
              <w:rPr>
                <w:rFonts w:hint="eastAsia"/>
                <w:color w:val="000000"/>
                <w:sz w:val="20"/>
                <w:szCs w:val="20"/>
                <w:lang w:val="en-US"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restart"/>
            <w:textDirection w:val="lrTb"/>
            <w:noWrap w:val="false"/>
          </w:tcPr>
          <w:p>
            <w:pPr>
              <w:jc w:val="center"/>
              <w:widowControl/>
              <w:rPr>
                <w:color w:val="000000"/>
                <w:sz w:val="20"/>
                <w:szCs w:val="20"/>
              </w:rPr>
            </w:pPr>
            <w:r>
              <w:rPr>
                <w:rFonts w:hint="eastAsia"/>
                <w:color w:val="000000"/>
                <w:sz w:val="20"/>
                <w:szCs w:val="20"/>
                <w:lang w:val="en-US" w:bidi="ar"/>
              </w:rPr>
              <w:t xml:space="preserve">传染病防控</w:t>
            </w:r>
            <w:r>
              <w:rPr>
                <w:rFonts w:hint="eastAsia"/>
                <w:color w:val="000000"/>
                <w:sz w:val="20"/>
                <w:szCs w:val="20"/>
                <w:lang w:val="en-US" w:bidi="ar"/>
              </w:rPr>
              <w:br/>
            </w:r>
            <w:r>
              <w:rPr>
                <w:rFonts w:hint="eastAsia"/>
                <w:color w:val="000000"/>
                <w:sz w:val="20"/>
                <w:szCs w:val="20"/>
                <w:lang w:val="en-US" w:bidi="ar"/>
              </w:rPr>
              <w:t xml:space="preserve">（15分）</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防控体系</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sz w:val="20"/>
                <w:szCs w:val="20"/>
              </w:rPr>
            </w:pPr>
            <w:r>
              <w:rPr>
                <w:rFonts w:hint="eastAsia"/>
                <w:color w:val="000000"/>
                <w:sz w:val="20"/>
                <w:szCs w:val="20"/>
                <w:lang w:val="en-US" w:bidi="ar"/>
              </w:rPr>
              <w:t xml:space="preserve">建立传染病防控工作体系，制定防控预案并定期演练</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sz w:val="20"/>
                <w:szCs w:val="20"/>
              </w:rPr>
            </w:pPr>
            <w:r>
              <w:rPr>
                <w:rFonts w:hint="eastAsia"/>
                <w:color w:val="000000"/>
                <w:sz w:val="20"/>
                <w:szCs w:val="20"/>
                <w:lang w:val="en-US" w:bidi="ar"/>
              </w:rPr>
              <w:t xml:space="preserve">体系完善4分，基本完善2分，不完善0分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sz w:val="20"/>
                <w:szCs w:val="20"/>
              </w:rPr>
            </w:pPr>
            <w:r>
              <w:rPr>
                <w:color w:val="000000"/>
                <w:sz w:val="20"/>
                <w:szCs w:val="20"/>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重点人群管理</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sz w:val="20"/>
                <w:szCs w:val="20"/>
              </w:rPr>
            </w:pPr>
            <w:r>
              <w:rPr>
                <w:rFonts w:hint="eastAsia"/>
                <w:color w:val="000000"/>
                <w:sz w:val="20"/>
                <w:szCs w:val="20"/>
                <w:lang w:val="en-US" w:bidi="ar"/>
              </w:rPr>
              <w:t xml:space="preserve">建立结核病、发热患者等重点人群档案，跟踪管理到位</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sz w:val="20"/>
                <w:szCs w:val="20"/>
              </w:rPr>
            </w:pPr>
            <w:r>
              <w:rPr>
                <w:rFonts w:hint="eastAsia"/>
                <w:color w:val="000000"/>
                <w:sz w:val="20"/>
                <w:szCs w:val="20"/>
                <w:lang w:val="en-US" w:bidi="ar"/>
              </w:rPr>
              <w:t xml:space="preserve">管理到位4分，基本到位2分，不到位0分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sz w:val="20"/>
                <w:szCs w:val="20"/>
              </w:rPr>
            </w:pPr>
            <w:r>
              <w:rPr>
                <w:color w:val="000000"/>
                <w:sz w:val="20"/>
                <w:szCs w:val="20"/>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疫情处置</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sz w:val="20"/>
                <w:szCs w:val="20"/>
              </w:rPr>
            </w:pPr>
            <w:r>
              <w:rPr>
                <w:rFonts w:hint="eastAsia"/>
                <w:color w:val="000000"/>
                <w:sz w:val="20"/>
                <w:szCs w:val="20"/>
                <w:lang w:val="en-US" w:bidi="ar"/>
              </w:rPr>
              <w:t xml:space="preserve">发现传染病或疑似病例及时报告，按规定规范处置</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sz w:val="20"/>
                <w:szCs w:val="20"/>
              </w:rPr>
            </w:pPr>
            <w:r>
              <w:rPr>
                <w:rFonts w:hint="eastAsia"/>
                <w:color w:val="000000"/>
                <w:sz w:val="20"/>
                <w:szCs w:val="20"/>
                <w:lang w:val="en-US" w:bidi="ar"/>
              </w:rPr>
              <w:t xml:space="preserve">处置及时4分，处置不及时2分，处置不当0分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sz w:val="20"/>
                <w:szCs w:val="20"/>
              </w:rPr>
            </w:pPr>
            <w:r>
              <w:rPr>
                <w:color w:val="000000"/>
                <w:sz w:val="20"/>
                <w:szCs w:val="20"/>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宣传教育</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sz w:val="20"/>
                <w:szCs w:val="20"/>
              </w:rPr>
            </w:pPr>
            <w:r>
              <w:rPr>
                <w:rFonts w:hint="eastAsia"/>
                <w:color w:val="000000"/>
                <w:sz w:val="20"/>
                <w:szCs w:val="20"/>
                <w:lang w:val="en-US" w:bidi="ar"/>
              </w:rPr>
              <w:t xml:space="preserve">开展传染病防控知识宣传教育，提高师生防控意识</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sz w:val="20"/>
                <w:szCs w:val="20"/>
              </w:rPr>
            </w:pPr>
            <w:r>
              <w:rPr>
                <w:rFonts w:hint="eastAsia"/>
                <w:color w:val="000000"/>
                <w:sz w:val="20"/>
                <w:szCs w:val="20"/>
                <w:lang w:val="en-US" w:bidi="ar"/>
              </w:rPr>
              <w:t xml:space="preserve">宣传到位3分，基本到位2分，不到位0分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sz w:val="20"/>
                <w:szCs w:val="20"/>
              </w:rPr>
            </w:pPr>
            <w:r>
              <w:rPr>
                <w:color w:val="000000"/>
                <w:sz w:val="20"/>
                <w:szCs w:val="20"/>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restart"/>
            <w:textDirection w:val="lrTb"/>
            <w:noWrap w:val="false"/>
          </w:tcPr>
          <w:p>
            <w:pPr>
              <w:jc w:val="center"/>
              <w:widowControl/>
              <w:rPr>
                <w:color w:val="000000"/>
                <w:sz w:val="20"/>
                <w:szCs w:val="20"/>
              </w:rPr>
            </w:pPr>
            <w:r>
              <w:rPr>
                <w:rFonts w:hint="eastAsia"/>
                <w:color w:val="000000"/>
                <w:sz w:val="20"/>
                <w:szCs w:val="20"/>
                <w:lang w:val="en-US"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restart"/>
            <w:textDirection w:val="lrTb"/>
            <w:noWrap w:val="false"/>
          </w:tcPr>
          <w:p>
            <w:pPr>
              <w:jc w:val="center"/>
              <w:widowControl/>
              <w:rPr>
                <w:color w:val="000000"/>
                <w:sz w:val="20"/>
                <w:szCs w:val="20"/>
              </w:rPr>
            </w:pPr>
            <w:r>
              <w:rPr>
                <w:rFonts w:hint="eastAsia"/>
                <w:color w:val="000000"/>
                <w:sz w:val="20"/>
                <w:szCs w:val="20"/>
                <w:lang w:val="en-US" w:bidi="ar"/>
              </w:rPr>
              <w:t xml:space="preserve">安全保障</w:t>
            </w:r>
            <w:r>
              <w:rPr>
                <w:rFonts w:hint="eastAsia"/>
                <w:color w:val="000000"/>
                <w:sz w:val="20"/>
                <w:szCs w:val="20"/>
                <w:lang w:val="en-US" w:bidi="ar"/>
              </w:rPr>
              <w:br/>
            </w:r>
            <w:r>
              <w:rPr>
                <w:rFonts w:hint="eastAsia"/>
                <w:color w:val="000000"/>
                <w:sz w:val="20"/>
                <w:szCs w:val="20"/>
                <w:lang w:val="en-US" w:bidi="ar"/>
              </w:rPr>
              <w:t xml:space="preserve">与应急处置</w:t>
            </w:r>
            <w:r>
              <w:rPr>
                <w:rFonts w:hint="eastAsia"/>
                <w:color w:val="000000"/>
                <w:sz w:val="20"/>
                <w:szCs w:val="20"/>
                <w:lang w:val="en-US" w:bidi="ar"/>
              </w:rPr>
              <w:br/>
            </w:r>
            <w:r>
              <w:rPr>
                <w:rFonts w:hint="eastAsia"/>
                <w:color w:val="000000"/>
                <w:sz w:val="20"/>
                <w:szCs w:val="20"/>
                <w:lang w:val="en-US" w:bidi="ar"/>
              </w:rPr>
              <w:t xml:space="preserve">（15分）</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重大活动保障</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sz w:val="20"/>
                <w:szCs w:val="20"/>
              </w:rPr>
            </w:pPr>
            <w:r>
              <w:rPr>
                <w:rFonts w:hint="eastAsia"/>
                <w:color w:val="000000"/>
                <w:sz w:val="20"/>
                <w:szCs w:val="20"/>
                <w:lang w:val="en-US" w:bidi="ar"/>
              </w:rPr>
              <w:t xml:space="preserve">配合学校完成重大活动、考试等医疗保障工作，保障到位</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sz w:val="20"/>
                <w:szCs w:val="20"/>
              </w:rPr>
            </w:pPr>
            <w:r>
              <w:rPr>
                <w:rFonts w:hint="eastAsia"/>
                <w:color w:val="000000"/>
                <w:sz w:val="20"/>
                <w:szCs w:val="20"/>
                <w:lang w:val="en-US" w:bidi="ar"/>
              </w:rPr>
              <w:t xml:space="preserve">保障到位4分，基本到位2分，不到位0分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sz w:val="20"/>
                <w:szCs w:val="20"/>
              </w:rPr>
            </w:pPr>
            <w:r>
              <w:rPr>
                <w:color w:val="000000"/>
                <w:sz w:val="20"/>
                <w:szCs w:val="20"/>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突发事件处置</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sz w:val="20"/>
                <w:szCs w:val="20"/>
              </w:rPr>
            </w:pPr>
            <w:r>
              <w:rPr>
                <w:rFonts w:hint="eastAsia"/>
                <w:color w:val="000000"/>
                <w:sz w:val="20"/>
                <w:szCs w:val="20"/>
                <w:lang w:val="en-US" w:bidi="ar"/>
              </w:rPr>
              <w:t xml:space="preserve">制定突发事件应急预案，具备应急处置能力，处置及时有效</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sz w:val="20"/>
                <w:szCs w:val="20"/>
              </w:rPr>
            </w:pPr>
            <w:r>
              <w:rPr>
                <w:rFonts w:hint="eastAsia"/>
                <w:color w:val="000000"/>
                <w:sz w:val="20"/>
                <w:szCs w:val="20"/>
                <w:lang w:val="en-US" w:bidi="ar"/>
              </w:rPr>
              <w:t xml:space="preserve">处置得当4分，基本得当2分，处置不当0分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sz w:val="20"/>
                <w:szCs w:val="20"/>
              </w:rPr>
            </w:pPr>
            <w:r>
              <w:rPr>
                <w:color w:val="000000"/>
                <w:sz w:val="20"/>
                <w:szCs w:val="20"/>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医疗安全</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sz w:val="20"/>
                <w:szCs w:val="20"/>
              </w:rPr>
            </w:pPr>
            <w:r>
              <w:rPr>
                <w:rFonts w:hint="eastAsia"/>
                <w:color w:val="000000"/>
                <w:sz w:val="20"/>
                <w:szCs w:val="20"/>
                <w:lang w:val="en-US" w:bidi="ar"/>
              </w:rPr>
              <w:t xml:space="preserve">无医疗差错和医疗事故发生，医疗安全管理制度落实</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sz w:val="20"/>
                <w:szCs w:val="20"/>
              </w:rPr>
            </w:pPr>
            <w:r>
              <w:rPr>
                <w:rFonts w:hint="eastAsia"/>
                <w:color w:val="000000"/>
                <w:sz w:val="20"/>
                <w:szCs w:val="20"/>
                <w:lang w:val="en-US" w:bidi="ar"/>
              </w:rPr>
              <w:t xml:space="preserve">无事故4分，轻微事故2分，严重事故0分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sz w:val="20"/>
                <w:szCs w:val="20"/>
              </w:rPr>
            </w:pPr>
            <w:r>
              <w:rPr>
                <w:color w:val="000000"/>
                <w:sz w:val="20"/>
                <w:szCs w:val="20"/>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消防安全</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sz w:val="20"/>
                <w:szCs w:val="20"/>
              </w:rPr>
            </w:pPr>
            <w:r>
              <w:rPr>
                <w:rFonts w:hint="eastAsia"/>
                <w:color w:val="000000"/>
                <w:sz w:val="20"/>
                <w:szCs w:val="20"/>
                <w:lang w:val="en-US" w:bidi="ar"/>
              </w:rPr>
              <w:t xml:space="preserve">消防安全设施完好，消防通道畅通，定期开展消防安全检查</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sz w:val="20"/>
                <w:szCs w:val="20"/>
              </w:rPr>
            </w:pPr>
            <w:r>
              <w:rPr>
                <w:rFonts w:hint="eastAsia"/>
                <w:color w:val="000000"/>
                <w:sz w:val="20"/>
                <w:szCs w:val="20"/>
                <w:lang w:val="en-US" w:bidi="ar"/>
              </w:rPr>
              <w:t xml:space="preserve">安全达标3分，基本达标2分，不达标0分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sz w:val="20"/>
                <w:szCs w:val="20"/>
              </w:rPr>
            </w:pPr>
            <w:r>
              <w:rPr>
                <w:color w:val="000000"/>
                <w:sz w:val="20"/>
                <w:szCs w:val="20"/>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restart"/>
            <w:textDirection w:val="lrTb"/>
            <w:noWrap w:val="false"/>
          </w:tcPr>
          <w:p>
            <w:pPr>
              <w:jc w:val="center"/>
              <w:widowControl/>
              <w:rPr>
                <w:color w:val="000000"/>
                <w:sz w:val="20"/>
                <w:szCs w:val="20"/>
              </w:rPr>
            </w:pPr>
            <w:r>
              <w:rPr>
                <w:rFonts w:hint="eastAsia"/>
                <w:color w:val="000000"/>
                <w:sz w:val="20"/>
                <w:szCs w:val="20"/>
                <w:lang w:val="en-US"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restart"/>
            <w:textDirection w:val="lrTb"/>
            <w:noWrap w:val="false"/>
          </w:tcPr>
          <w:p>
            <w:pPr>
              <w:jc w:val="center"/>
              <w:widowControl/>
              <w:rPr>
                <w:color w:val="000000"/>
                <w:sz w:val="20"/>
                <w:szCs w:val="20"/>
              </w:rPr>
            </w:pPr>
            <w:r>
              <w:rPr>
                <w:rFonts w:hint="eastAsia"/>
                <w:color w:val="000000"/>
                <w:sz w:val="20"/>
                <w:szCs w:val="20"/>
                <w:lang w:val="en-US" w:bidi="ar"/>
              </w:rPr>
              <w:t xml:space="preserve">师生满意度</w:t>
            </w:r>
            <w:r>
              <w:rPr>
                <w:rFonts w:hint="eastAsia"/>
                <w:color w:val="000000"/>
                <w:sz w:val="20"/>
                <w:szCs w:val="20"/>
                <w:lang w:val="en-US" w:bidi="ar"/>
              </w:rPr>
              <w:br/>
            </w:r>
            <w:r>
              <w:rPr>
                <w:rFonts w:hint="eastAsia"/>
                <w:color w:val="000000"/>
                <w:sz w:val="20"/>
                <w:szCs w:val="20"/>
                <w:lang w:val="en-US" w:bidi="ar"/>
              </w:rPr>
              <w:t xml:space="preserve">与持续改进</w:t>
            </w:r>
            <w:r>
              <w:rPr>
                <w:rFonts w:hint="eastAsia"/>
                <w:color w:val="000000"/>
                <w:sz w:val="20"/>
                <w:szCs w:val="20"/>
                <w:lang w:val="en-US" w:bidi="ar"/>
              </w:rPr>
              <w:br/>
            </w:r>
            <w:r>
              <w:rPr>
                <w:rFonts w:hint="eastAsia"/>
                <w:color w:val="000000"/>
                <w:sz w:val="20"/>
                <w:szCs w:val="20"/>
                <w:lang w:val="en-US"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满意度调查</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sz w:val="20"/>
                <w:szCs w:val="20"/>
              </w:rPr>
            </w:pPr>
            <w:r>
              <w:rPr>
                <w:rFonts w:hint="eastAsia"/>
                <w:color w:val="000000"/>
                <w:sz w:val="20"/>
                <w:szCs w:val="20"/>
                <w:lang w:val="en-US" w:bidi="ar"/>
              </w:rPr>
              <w:t xml:space="preserve">定期开展师生满意度调查，满意度不低于90%</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sz w:val="20"/>
                <w:szCs w:val="20"/>
              </w:rPr>
            </w:pPr>
            <w:r>
              <w:rPr>
                <w:rFonts w:hint="eastAsia"/>
                <w:color w:val="000000"/>
                <w:sz w:val="20"/>
                <w:szCs w:val="20"/>
                <w:lang w:val="en-US" w:bidi="ar"/>
              </w:rPr>
              <w:t xml:space="preserve">≥90%得3分，80-89%得2分，&lt;80%得0分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sz w:val="20"/>
                <w:szCs w:val="20"/>
              </w:rPr>
            </w:pPr>
            <w:r>
              <w:rPr>
                <w:color w:val="000000"/>
                <w:sz w:val="20"/>
                <w:szCs w:val="20"/>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投诉处理</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sz w:val="20"/>
                <w:szCs w:val="20"/>
              </w:rPr>
            </w:pPr>
            <w:r>
              <w:rPr>
                <w:rFonts w:hint="eastAsia"/>
                <w:color w:val="000000"/>
                <w:sz w:val="20"/>
                <w:szCs w:val="20"/>
                <w:lang w:val="en-US" w:bidi="ar"/>
              </w:rPr>
              <w:t xml:space="preserve">及时处理师生投诉，投诉处理率100%，二次投诉率为0</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sz w:val="20"/>
                <w:szCs w:val="20"/>
              </w:rPr>
            </w:pPr>
            <w:r>
              <w:rPr>
                <w:rFonts w:hint="eastAsia"/>
                <w:color w:val="000000"/>
                <w:sz w:val="20"/>
                <w:szCs w:val="20"/>
                <w:lang w:val="en-US"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sz w:val="20"/>
                <w:szCs w:val="20"/>
              </w:rPr>
            </w:pPr>
            <w:r>
              <w:rPr>
                <w:rFonts w:hint="eastAsia"/>
                <w:color w:val="000000"/>
                <w:sz w:val="20"/>
                <w:szCs w:val="20"/>
                <w:lang w:val="en-US" w:bidi="ar"/>
              </w:rPr>
              <w:t xml:space="preserve">及时处理2分，处理不及时1分，未处理0分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sz w:val="20"/>
                <w:szCs w:val="20"/>
              </w:rPr>
            </w:pPr>
            <w:r>
              <w:rPr>
                <w:color w:val="000000"/>
                <w:sz w:val="20"/>
                <w:szCs w:val="20"/>
              </w:rPr>
            </w:r>
            <w:r/>
          </w:p>
        </w:tc>
      </w:tr>
      <w:tr>
        <w:trPr>
          <w:trHeight w:val="702"/>
        </w:trPr>
        <w:tc>
          <w:tcPr>
            <w:gridSpan w:val="4"/>
            <w:shd w:val="clear" w:color="auto" w:fill="auto"/>
            <w:tcBorders>
              <w:top w:val="single" w:color="000000" w:sz="4" w:space="0"/>
              <w:left w:val="single" w:color="000000" w:sz="4" w:space="0"/>
              <w:bottom w:val="single" w:color="000000" w:sz="4" w:space="0"/>
              <w:right w:val="single" w:color="000000" w:sz="4" w:space="0"/>
            </w:tcBorders>
            <w:tcW w:w="2436" w:type="pct"/>
            <w:vAlign w:val="center"/>
            <w:textDirection w:val="lrTb"/>
            <w:noWrap/>
          </w:tcPr>
          <w:p>
            <w:pPr>
              <w:jc w:val="center"/>
              <w:widowControl/>
              <w:rPr>
                <w:b/>
                <w:bCs/>
                <w:color w:val="000000"/>
              </w:rPr>
            </w:pPr>
            <w:r>
              <w:rPr>
                <w:rFonts w:hint="eastAsia"/>
                <w:b/>
                <w:bCs/>
                <w:color w:val="000000"/>
                <w:lang w:val="en-US" w:bidi="ar"/>
              </w:rPr>
              <w:t xml:space="preserve">考 核 总 分</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tcPr>
          <w:p>
            <w:pPr>
              <w:jc w:val="center"/>
              <w:widowControl/>
              <w:rPr>
                <w:b/>
                <w:bCs/>
                <w:color w:val="000000"/>
              </w:rPr>
            </w:pPr>
            <w:r>
              <w:rPr>
                <w:rFonts w:hint="eastAsia"/>
                <w:b/>
                <w:bCs/>
                <w:color w:val="000000"/>
                <w:lang w:val="en-US"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jc w:val="center"/>
              <w:rPr>
                <w:b/>
                <w:bCs/>
                <w:color w:val="000000"/>
              </w:rPr>
            </w:pPr>
            <w:r>
              <w:rPr>
                <w:b/>
                <w:bCs/>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rPr>
                <w:b/>
                <w:bCs/>
                <w:color w:val="000000"/>
              </w:rPr>
            </w:pPr>
            <w:r>
              <w:rPr>
                <w:b/>
                <w:bCs/>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rPr>
                <w:color w:val="000000"/>
              </w:rPr>
            </w:pPr>
            <w:r>
              <w:rPr>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rPr>
                <w:color w:val="000000"/>
              </w:rPr>
            </w:pPr>
            <w:r>
              <w:rPr>
                <w:color w:val="000000"/>
              </w:rPr>
            </w:r>
            <w:r/>
          </w:p>
        </w:tc>
      </w:tr>
      <w:tr>
        <w:trPr>
          <w:trHeight w:val="270"/>
        </w:trPr>
        <w:tc>
          <w:tcPr>
            <w:shd w:val="clear" w:color="auto" w:fill="auto"/>
            <w:tcBorders>
              <w:top w:val="none" w:color="000000" w:sz="4" w:space="0"/>
              <w:left w:val="none" w:color="000000" w:sz="4" w:space="0"/>
              <w:bottom w:val="none" w:color="000000" w:sz="4" w:space="0"/>
              <w:right w:val="none" w:color="000000" w:sz="4" w:space="0"/>
            </w:tcBorders>
            <w:tcW w:w="181" w:type="pct"/>
            <w:vAlign w:val="center"/>
            <w:textDirection w:val="lrTb"/>
            <w:noWrap/>
          </w:tcPr>
          <w:p>
            <w:pPr>
              <w:jc w:val="center"/>
              <w:rPr>
                <w:color w:val="000000"/>
              </w:rPr>
            </w:pPr>
            <w:r>
              <w:rPr>
                <w:color w:val="000000"/>
              </w:rPr>
            </w:r>
            <w:r/>
          </w:p>
        </w:tc>
        <w:tc>
          <w:tcPr>
            <w:shd w:val="clear" w:color="auto" w:fill="auto"/>
            <w:tcBorders>
              <w:top w:val="none" w:color="000000" w:sz="4" w:space="0"/>
              <w:left w:val="none" w:color="000000" w:sz="4" w:space="0"/>
              <w:bottom w:val="none" w:color="000000" w:sz="4" w:space="0"/>
              <w:right w:val="none" w:color="000000" w:sz="4" w:space="0"/>
            </w:tcBorders>
            <w:tcW w:w="340" w:type="pct"/>
            <w:vAlign w:val="center"/>
            <w:textDirection w:val="lrTb"/>
            <w:noWrap/>
          </w:tcPr>
          <w:p>
            <w:pPr>
              <w:jc w:val="center"/>
              <w:rPr>
                <w:color w:val="000000"/>
              </w:rPr>
            </w:pPr>
            <w:r>
              <w:rPr>
                <w:color w:val="000000"/>
              </w:rPr>
            </w:r>
            <w:r/>
          </w:p>
        </w:tc>
        <w:tc>
          <w:tcPr>
            <w:shd w:val="clear" w:color="auto" w:fill="auto"/>
            <w:tcBorders>
              <w:top w:val="none" w:color="000000" w:sz="4" w:space="0"/>
              <w:left w:val="none" w:color="000000" w:sz="4" w:space="0"/>
              <w:bottom w:val="none" w:color="000000" w:sz="4" w:space="0"/>
              <w:right w:val="none" w:color="000000" w:sz="4" w:space="0"/>
            </w:tcBorders>
            <w:tcW w:w="379" w:type="pct"/>
            <w:vAlign w:val="center"/>
            <w:textDirection w:val="lrTb"/>
            <w:noWrap/>
          </w:tcPr>
          <w:p>
            <w:pPr>
              <w:jc w:val="center"/>
              <w:rPr>
                <w:color w:val="000000"/>
              </w:rPr>
            </w:pPr>
            <w:r>
              <w:rPr>
                <w:color w:val="000000"/>
              </w:rPr>
            </w:r>
            <w:r/>
          </w:p>
        </w:tc>
        <w:tc>
          <w:tcPr>
            <w:shd w:val="clear" w:color="auto" w:fill="auto"/>
            <w:tcBorders>
              <w:top w:val="none" w:color="000000" w:sz="4" w:space="0"/>
              <w:left w:val="none" w:color="000000" w:sz="4" w:space="0"/>
              <w:bottom w:val="none" w:color="000000" w:sz="4" w:space="0"/>
              <w:right w:val="none" w:color="000000" w:sz="4" w:space="0"/>
            </w:tcBorders>
            <w:tcW w:w="1535" w:type="pct"/>
            <w:vAlign w:val="center"/>
            <w:textDirection w:val="lrTb"/>
            <w:noWrap/>
          </w:tcPr>
          <w:p>
            <w:pPr>
              <w:jc w:val="center"/>
              <w:rPr>
                <w:color w:val="000000"/>
              </w:rPr>
            </w:pPr>
            <w:r>
              <w:rPr>
                <w:color w:val="000000"/>
              </w:rPr>
            </w:r>
            <w:r/>
          </w:p>
        </w:tc>
        <w:tc>
          <w:tcPr>
            <w:shd w:val="clear" w:color="auto" w:fill="auto"/>
            <w:tcBorders>
              <w:top w:val="none" w:color="000000" w:sz="4" w:space="0"/>
              <w:left w:val="none" w:color="000000" w:sz="4" w:space="0"/>
              <w:bottom w:val="none" w:color="000000" w:sz="4" w:space="0"/>
              <w:right w:val="none" w:color="000000" w:sz="4" w:space="0"/>
            </w:tcBorders>
            <w:tcW w:w="173" w:type="pct"/>
            <w:vAlign w:val="center"/>
            <w:textDirection w:val="lrTb"/>
            <w:noWrap/>
          </w:tcPr>
          <w:p>
            <w:pPr>
              <w:jc w:val="center"/>
              <w:rPr>
                <w:color w:val="000000"/>
              </w:rPr>
            </w:pPr>
            <w:r>
              <w:rPr>
                <w:color w:val="000000"/>
              </w:rPr>
            </w:r>
            <w:r/>
          </w:p>
        </w:tc>
        <w:tc>
          <w:tcPr>
            <w:shd w:val="clear" w:color="auto" w:fill="auto"/>
            <w:tcBorders>
              <w:top w:val="none" w:color="000000" w:sz="4" w:space="0"/>
              <w:left w:val="none" w:color="000000" w:sz="4" w:space="0"/>
              <w:bottom w:val="none" w:color="000000" w:sz="4" w:space="0"/>
              <w:right w:val="none" w:color="000000" w:sz="4" w:space="0"/>
            </w:tcBorders>
            <w:tcW w:w="1381" w:type="pct"/>
            <w:vAlign w:val="center"/>
            <w:textDirection w:val="lrTb"/>
            <w:noWrap/>
          </w:tcPr>
          <w:p>
            <w:pPr>
              <w:jc w:val="center"/>
              <w:rPr>
                <w:color w:val="000000"/>
              </w:rPr>
            </w:pPr>
            <w:r>
              <w:rPr>
                <w:color w:val="000000"/>
              </w:rPr>
            </w:r>
            <w:r/>
          </w:p>
        </w:tc>
        <w:tc>
          <w:tcPr>
            <w:shd w:val="clear" w:color="auto" w:fill="auto"/>
            <w:tcBorders>
              <w:top w:val="none" w:color="000000" w:sz="4" w:space="0"/>
              <w:left w:val="none" w:color="000000" w:sz="4" w:space="0"/>
              <w:bottom w:val="none" w:color="000000" w:sz="4" w:space="0"/>
              <w:right w:val="none" w:color="000000" w:sz="4" w:space="0"/>
            </w:tcBorders>
            <w:tcW w:w="292" w:type="pct"/>
            <w:vAlign w:val="center"/>
            <w:textDirection w:val="lrTb"/>
            <w:noWrap/>
          </w:tcPr>
          <w:p>
            <w:pPr>
              <w:jc w:val="center"/>
              <w:rPr>
                <w:color w:val="000000"/>
              </w:rPr>
            </w:pPr>
            <w:r>
              <w:rPr>
                <w:color w:val="000000"/>
              </w:rPr>
            </w:r>
            <w:r/>
          </w:p>
        </w:tc>
        <w:tc>
          <w:tcPr>
            <w:shd w:val="clear" w:color="auto" w:fill="auto"/>
            <w:tcBorders>
              <w:top w:val="none" w:color="000000" w:sz="4" w:space="0"/>
              <w:left w:val="none" w:color="000000" w:sz="4" w:space="0"/>
              <w:bottom w:val="none" w:color="000000" w:sz="4" w:space="0"/>
              <w:right w:val="none" w:color="000000" w:sz="4" w:space="0"/>
            </w:tcBorders>
            <w:tcW w:w="420" w:type="pct"/>
            <w:vAlign w:val="center"/>
            <w:textDirection w:val="lrTb"/>
            <w:noWrap/>
          </w:tcPr>
          <w:p>
            <w:pPr>
              <w:jc w:val="center"/>
              <w:rPr>
                <w:color w:val="000000"/>
              </w:rPr>
            </w:pPr>
            <w:r>
              <w:rPr>
                <w:color w:val="000000"/>
              </w:rPr>
            </w:r>
            <w:r/>
          </w:p>
        </w:tc>
        <w:tc>
          <w:tcPr>
            <w:shd w:val="clear" w:color="auto" w:fill="auto"/>
            <w:tcBorders>
              <w:top w:val="none" w:color="000000" w:sz="4" w:space="0"/>
              <w:left w:val="none" w:color="000000" w:sz="4" w:space="0"/>
              <w:bottom w:val="none" w:color="000000" w:sz="4" w:space="0"/>
              <w:right w:val="none" w:color="000000" w:sz="4" w:space="0"/>
            </w:tcBorders>
            <w:tcW w:w="294" w:type="pct"/>
            <w:vAlign w:val="center"/>
            <w:textDirection w:val="lrTb"/>
            <w:noWrap/>
          </w:tcPr>
          <w:p>
            <w:pPr>
              <w:jc w:val="center"/>
              <w:rPr>
                <w:color w:val="000000"/>
              </w:rPr>
            </w:pPr>
            <w:r>
              <w:rPr>
                <w:color w:val="000000"/>
              </w:rPr>
            </w:r>
            <w:r/>
          </w:p>
        </w:tc>
      </w:tr>
      <w:tr>
        <w:trPr>
          <w:trHeight w:val="495"/>
        </w:trPr>
        <w:tc>
          <w:tcPr>
            <w:gridSpan w:val="9"/>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widowControl/>
              <w:rPr>
                <w:b/>
                <w:bCs/>
                <w:color w:val="000000"/>
              </w:rPr>
            </w:pPr>
            <w:r>
              <w:rPr>
                <w:rStyle w:val="985"/>
                <w:rFonts w:hint="default"/>
                <w:lang w:val="en-US" w:bidi="ar"/>
              </w:rPr>
              <w:t xml:space="preserve">考核结论：□ 合格（&gt;90分） □ 基本合格（60</w:t>
            </w:r>
            <w:r>
              <w:rPr>
                <w:rStyle w:val="965"/>
                <w:lang w:val="en-US" w:bidi="ar"/>
              </w:rPr>
              <w:t xml:space="preserve">-</w:t>
            </w:r>
            <w:r>
              <w:rPr>
                <w:rStyle w:val="985"/>
                <w:rFonts w:hint="default"/>
                <w:lang w:val="en-US" w:bidi="ar"/>
              </w:rPr>
              <w:t xml:space="preserve">90分）</w:t>
            </w:r>
            <w:r>
              <w:rPr>
                <w:rStyle w:val="965"/>
                <w:lang w:val="en-US" w:bidi="ar"/>
              </w:rPr>
              <w:t xml:space="preserve"> </w:t>
            </w:r>
            <w:r>
              <w:rPr>
                <w:rStyle w:val="985"/>
                <w:rFonts w:hint="default"/>
                <w:lang w:val="en-US" w:bidi="ar"/>
              </w:rPr>
              <w:t xml:space="preserve">□ 不合格（&lt;60分）</w:t>
            </w:r>
            <w:r/>
          </w:p>
        </w:tc>
      </w:tr>
      <w:tr>
        <w:trPr>
          <w:trHeight w:val="690"/>
        </w:trPr>
        <w:tc>
          <w:tcPr>
            <w:gridSpan w:val="4"/>
            <w:shd w:val="clear" w:color="auto" w:fill="auto"/>
            <w:tcBorders>
              <w:top w:val="none" w:color="000000" w:sz="4" w:space="0"/>
              <w:left w:val="none" w:color="000000" w:sz="4" w:space="0"/>
              <w:bottom w:val="none" w:color="000000" w:sz="4" w:space="0"/>
              <w:right w:val="none" w:color="000000" w:sz="4" w:space="0"/>
            </w:tcBorders>
            <w:tcW w:w="2436" w:type="pct"/>
            <w:vAlign w:val="center"/>
            <w:textDirection w:val="lrTb"/>
            <w:noWrap/>
          </w:tcPr>
          <w:p>
            <w:pPr>
              <w:widowControl/>
              <w:rPr>
                <w:color w:val="000000"/>
              </w:rPr>
            </w:pPr>
            <w:r>
              <w:rPr>
                <w:rFonts w:hint="eastAsia"/>
                <w:color w:val="000000"/>
                <w:lang w:val="en-US" w:bidi="ar"/>
              </w:rPr>
              <w:t xml:space="preserve">考核人员签字：__________</w:t>
            </w:r>
            <w:r/>
          </w:p>
        </w:tc>
        <w:tc>
          <w:tcPr>
            <w:gridSpan w:val="5"/>
            <w:shd w:val="clear" w:color="auto" w:fill="auto"/>
            <w:tcBorders>
              <w:top w:val="none" w:color="000000" w:sz="4" w:space="0"/>
              <w:left w:val="none" w:color="000000" w:sz="4" w:space="0"/>
              <w:bottom w:val="none" w:color="000000" w:sz="4" w:space="0"/>
              <w:right w:val="none" w:color="000000" w:sz="4" w:space="0"/>
            </w:tcBorders>
            <w:tcW w:w="2563" w:type="pct"/>
            <w:vAlign w:val="center"/>
            <w:textDirection w:val="lrTb"/>
            <w:noWrap/>
          </w:tcPr>
          <w:p>
            <w:pPr>
              <w:widowControl/>
              <w:rPr>
                <w:color w:val="000000"/>
              </w:rPr>
            </w:pPr>
            <w:r>
              <w:rPr>
                <w:rFonts w:hint="eastAsia"/>
                <w:color w:val="000000"/>
                <w:lang w:val="en-US" w:bidi="ar"/>
              </w:rPr>
              <w:t xml:space="preserve">被考核单位在岗人员签字：__________</w:t>
            </w:r>
            <w:r/>
          </w:p>
        </w:tc>
      </w:tr>
      <w:tr>
        <w:trPr>
          <w:trHeight w:val="765"/>
        </w:trPr>
        <w:tc>
          <w:tcPr>
            <w:gridSpan w:val="4"/>
            <w:shd w:val="clear" w:color="auto" w:fill="auto"/>
            <w:tcBorders>
              <w:top w:val="none" w:color="000000" w:sz="4" w:space="0"/>
              <w:left w:val="none" w:color="000000" w:sz="4" w:space="0"/>
              <w:bottom w:val="none" w:color="000000" w:sz="4" w:space="0"/>
              <w:right w:val="none" w:color="000000" w:sz="4" w:space="0"/>
            </w:tcBorders>
            <w:tcW w:w="2436" w:type="pct"/>
            <w:vAlign w:val="center"/>
            <w:textDirection w:val="lrTb"/>
            <w:noWrap/>
          </w:tcPr>
          <w:p>
            <w:pPr>
              <w:widowControl/>
              <w:rPr>
                <w:color w:val="000000"/>
              </w:rPr>
            </w:pPr>
            <w:r>
              <w:rPr>
                <w:rFonts w:hint="eastAsia"/>
                <w:color w:val="000000"/>
                <w:lang w:val="en-US" w:bidi="ar"/>
              </w:rPr>
              <w:t xml:space="preserve">日期：____年____月____日</w:t>
            </w:r>
            <w:r/>
          </w:p>
        </w:tc>
        <w:tc>
          <w:tcPr>
            <w:gridSpan w:val="5"/>
            <w:shd w:val="clear" w:color="auto" w:fill="auto"/>
            <w:tcBorders>
              <w:top w:val="none" w:color="000000" w:sz="4" w:space="0"/>
              <w:left w:val="none" w:color="000000" w:sz="4" w:space="0"/>
              <w:bottom w:val="none" w:color="000000" w:sz="4" w:space="0"/>
              <w:right w:val="none" w:color="000000" w:sz="4" w:space="0"/>
            </w:tcBorders>
            <w:tcW w:w="2563" w:type="pct"/>
            <w:vAlign w:val="center"/>
            <w:textDirection w:val="lrTb"/>
            <w:noWrap/>
          </w:tcPr>
          <w:p>
            <w:pPr>
              <w:widowControl/>
              <w:rPr>
                <w:color w:val="000000"/>
              </w:rPr>
            </w:pPr>
            <w:r>
              <w:rPr>
                <w:rFonts w:hint="eastAsia"/>
                <w:color w:val="000000"/>
                <w:lang w:val="en-US" w:bidi="ar"/>
              </w:rPr>
              <w:t xml:space="preserve">日期：____年____月____日</w:t>
            </w:r>
            <w:r/>
          </w:p>
        </w:tc>
      </w:tr>
    </w:tbl>
    <w:p>
      <w:r/>
      <w:r/>
    </w:p>
    <w:p>
      <w:pPr>
        <w:spacing w:line="360" w:lineRule="auto"/>
      </w:pPr>
      <w:r/>
      <w:r/>
    </w:p>
    <w:p>
      <w:pPr>
        <w:pStyle w:val="784"/>
      </w:pPr>
      <w:r/>
      <w:r/>
    </w:p>
    <w:p>
      <w:pPr>
        <w:ind w:right="40"/>
        <w:jc w:val="center"/>
        <w:spacing w:before="29"/>
        <w:tabs>
          <w:tab w:val="left" w:pos="1439" w:leader="none"/>
        </w:tabs>
        <w:rPr>
          <w:rFonts w:ascii="黑体" w:eastAsia="黑体"/>
          <w:sz w:val="36"/>
        </w:rPr>
        <w:outlineLvl w:val="0"/>
      </w:pPr>
      <w:r/>
      <w:bookmarkStart w:id="27" w:name="_Toc17931"/>
      <w:r/>
      <w:r/>
    </w:p>
    <w:p>
      <w:pPr>
        <w:ind w:right="40"/>
        <w:jc w:val="center"/>
        <w:spacing w:before="29"/>
        <w:tabs>
          <w:tab w:val="left" w:pos="1439" w:leader="none"/>
        </w:tabs>
        <w:rPr>
          <w:rFonts w:ascii="黑体" w:eastAsia="黑体"/>
          <w:sz w:val="36"/>
        </w:rPr>
        <w:outlineLvl w:val="0"/>
      </w:pPr>
      <w:r>
        <w:rPr>
          <w:rFonts w:ascii="黑体" w:eastAsia="黑体"/>
          <w:sz w:val="36"/>
        </w:rPr>
      </w:r>
      <w:r/>
    </w:p>
    <w:p>
      <w:pPr>
        <w:pStyle w:val="784"/>
      </w:pPr>
      <w:r/>
      <w:r/>
    </w:p>
    <w:p>
      <w:pPr>
        <w:pStyle w:val="784"/>
      </w:pPr>
      <w:r/>
      <w:r/>
    </w:p>
    <w:p>
      <w:pPr>
        <w:pStyle w:val="784"/>
      </w:pPr>
      <w:r/>
      <w:r/>
    </w:p>
    <w:p>
      <w:pPr>
        <w:pStyle w:val="784"/>
      </w:pPr>
      <w:r/>
      <w:r/>
    </w:p>
    <w:p>
      <w:pPr>
        <w:ind w:right="40"/>
        <w:jc w:val="both"/>
        <w:spacing w:before="29"/>
        <w:tabs>
          <w:tab w:val="left" w:pos="1439" w:leader="none"/>
        </w:tabs>
        <w:rPr>
          <w:rFonts w:ascii="黑体" w:eastAsia="黑体"/>
          <w:sz w:val="36"/>
        </w:rPr>
        <w:outlineLvl w:val="0"/>
      </w:pPr>
      <w:r>
        <w:rPr>
          <w:rFonts w:ascii="黑体" w:eastAsia="黑体"/>
          <w:sz w:val="36"/>
        </w:rPr>
      </w:r>
      <w:r/>
    </w:p>
    <w:p>
      <w:pPr>
        <w:ind w:right="40"/>
        <w:jc w:val="center"/>
        <w:spacing w:before="29"/>
        <w:tabs>
          <w:tab w:val="left" w:pos="1439" w:leader="none"/>
        </w:tabs>
        <w:rPr>
          <w:rFonts w:ascii="黑体" w:eastAsia="黑体"/>
          <w:sz w:val="36"/>
        </w:rPr>
        <w:outlineLvl w:val="0"/>
      </w:pPr>
      <w:r>
        <w:rPr>
          <w:rFonts w:hint="eastAsia" w:ascii="黑体" w:eastAsia="黑体"/>
          <w:sz w:val="36"/>
        </w:rPr>
        <w:t xml:space="preserve">第五章</w:t>
      </w:r>
      <w:r>
        <w:rPr>
          <w:rFonts w:hint="eastAsia" w:ascii="黑体" w:eastAsia="黑体"/>
          <w:sz w:val="36"/>
        </w:rPr>
        <w:tab/>
      </w:r>
      <w:bookmarkEnd w:id="27"/>
      <w:r/>
      <w:bookmarkStart w:id="28" w:name="_Toc11634"/>
      <w:r>
        <w:rPr>
          <w:rFonts w:hint="eastAsia" w:ascii="黑体" w:eastAsia="黑体"/>
          <w:sz w:val="36"/>
        </w:rPr>
        <w:t xml:space="preserve">合同主要条款及格式</w:t>
      </w:r>
      <w:r/>
    </w:p>
    <w:p>
      <w:pPr>
        <w:spacing w:line="360" w:lineRule="auto"/>
        <w:rPr>
          <w:rFonts w:cs="仿宋_GB2312" w:asciiTheme="minorEastAsia" w:hAnsiTheme="minorEastAsia" w:eastAsiaTheme="minorEastAsia"/>
          <w:sz w:val="24"/>
          <w:szCs w:val="24"/>
        </w:rPr>
      </w:pPr>
      <w:r>
        <w:rPr>
          <w:rFonts w:ascii="微软雅黑" w:eastAsia="微软雅黑"/>
          <w:b/>
          <w:sz w:val="48"/>
          <w:lang w:val="en-US"/>
        </w:rPr>
        <w:t xml:space="preserve"> </w:t>
      </w:r>
      <w:r/>
    </w:p>
    <w:p>
      <w:pPr>
        <w:spacing w:after="145" w:line="567" w:lineRule="exact"/>
        <w:widowControl/>
        <w:rPr>
          <w:rFonts w:ascii="Calibri" w:hAnsi="Calibri"/>
          <w:sz w:val="32"/>
          <w:szCs w:val="32"/>
        </w:rPr>
      </w:pPr>
      <w:r>
        <w:rPr>
          <w:rFonts w:hint="eastAsia" w:ascii="黑体" w:hAnsi="Calibri" w:eastAsia="黑体"/>
          <w:b/>
          <w:sz w:val="32"/>
          <w:szCs w:val="32"/>
        </w:rPr>
        <w:t xml:space="preserve">合同编号：</w:t>
      </w:r>
      <w:r/>
    </w:p>
    <w:p>
      <w:pPr>
        <w:spacing w:line="567" w:lineRule="exact"/>
        <w:widowControl/>
        <w:rPr>
          <w:rFonts w:ascii="Calibri" w:hAnsi="Calibri"/>
          <w:sz w:val="32"/>
          <w:szCs w:val="32"/>
        </w:rPr>
      </w:pPr>
      <w:r>
        <w:rPr>
          <w:rFonts w:ascii="Calibri" w:hAnsi="Calibri"/>
          <w:sz w:val="32"/>
          <w:szCs w:val="32"/>
        </w:rPr>
      </w:r>
      <w:r/>
    </w:p>
    <w:p>
      <w:pPr>
        <w:spacing w:line="567" w:lineRule="exact"/>
        <w:widowControl/>
        <w:rPr>
          <w:rFonts w:ascii="Calibri" w:hAnsi="Calibri"/>
          <w:sz w:val="32"/>
          <w:szCs w:val="32"/>
        </w:rPr>
      </w:pPr>
      <w:r>
        <w:rPr>
          <w:rFonts w:ascii="Calibri" w:hAnsi="Calibri"/>
          <w:sz w:val="32"/>
          <w:szCs w:val="32"/>
        </w:rPr>
      </w:r>
      <w:r/>
    </w:p>
    <w:p>
      <w:pPr>
        <w:pStyle w:val="784"/>
      </w:pPr>
      <w:r/>
      <w:r/>
    </w:p>
    <w:p>
      <w:pPr>
        <w:pStyle w:val="784"/>
      </w:pPr>
      <w:r/>
      <w:r/>
    </w:p>
    <w:p>
      <w:r/>
      <w:r/>
    </w:p>
    <w:p>
      <w:pPr>
        <w:pStyle w:val="784"/>
      </w:pPr>
      <w:r/>
      <w:r/>
    </w:p>
    <w:p>
      <w:r/>
      <w:r/>
    </w:p>
    <w:p>
      <w:pPr>
        <w:spacing w:line="567" w:lineRule="exact"/>
        <w:widowControl/>
        <w:rPr>
          <w:rFonts w:ascii="Calibri" w:hAnsi="Calibri"/>
          <w:sz w:val="32"/>
          <w:szCs w:val="32"/>
        </w:rPr>
      </w:pPr>
      <w:r>
        <w:rPr>
          <w:rFonts w:ascii="Calibri" w:hAnsi="Calibri"/>
          <w:sz w:val="32"/>
          <w:szCs w:val="32"/>
        </w:rPr>
      </w:r>
      <w:r/>
    </w:p>
    <w:p>
      <w:pPr>
        <w:jc w:val="center"/>
        <w:spacing w:line="567" w:lineRule="exact"/>
        <w:widowControl/>
        <w:tabs>
          <w:tab w:val="left" w:pos="360" w:leader="none"/>
          <w:tab w:val="left" w:pos="540" w:leader="none"/>
        </w:tabs>
        <w:rPr>
          <w:rFonts w:ascii="黑体" w:hAnsi="Calibri" w:eastAsia="黑体"/>
          <w:sz w:val="32"/>
          <w:szCs w:val="32"/>
        </w:rPr>
      </w:pPr>
      <w:r>
        <w:rPr>
          <w:rFonts w:hint="eastAsia" w:ascii="黑体" w:hAnsi="Calibri" w:eastAsia="黑体"/>
          <w:sz w:val="32"/>
          <w:szCs w:val="32"/>
        </w:rPr>
        <w:t xml:space="preserve">政府采购合同（服务类）</w:t>
      </w:r>
      <w:r/>
    </w:p>
    <w:p>
      <w:pPr>
        <w:jc w:val="center"/>
        <w:spacing w:line="567" w:lineRule="exact"/>
        <w:widowControl/>
        <w:rPr>
          <w:rFonts w:ascii="黑体" w:hAnsi="Calibri" w:eastAsia="黑体"/>
          <w:b/>
          <w:sz w:val="32"/>
          <w:szCs w:val="32"/>
        </w:rPr>
      </w:pPr>
      <w:r>
        <w:rPr>
          <w:rFonts w:ascii="黑体" w:hAnsi="Calibri" w:eastAsia="黑体"/>
          <w:b/>
          <w:sz w:val="32"/>
          <w:szCs w:val="32"/>
        </w:rPr>
      </w:r>
      <w:r/>
    </w:p>
    <w:p>
      <w:pPr>
        <w:jc w:val="center"/>
        <w:spacing w:line="567" w:lineRule="exact"/>
        <w:widowControl/>
        <w:rPr>
          <w:rFonts w:ascii="黑体" w:hAnsi="Calibri" w:eastAsia="黑体"/>
          <w:b/>
          <w:sz w:val="32"/>
          <w:szCs w:val="32"/>
        </w:rPr>
      </w:pPr>
      <w:r>
        <w:rPr>
          <w:rFonts w:ascii="黑体" w:hAnsi="Calibri" w:eastAsia="黑体"/>
          <w:b/>
          <w:sz w:val="32"/>
          <w:szCs w:val="32"/>
        </w:rPr>
      </w:r>
      <w:r/>
    </w:p>
    <w:p>
      <w:pPr>
        <w:jc w:val="center"/>
        <w:spacing w:line="567" w:lineRule="exact"/>
        <w:widowControl/>
        <w:rPr>
          <w:rFonts w:ascii="黑体" w:hAnsi="Calibri" w:eastAsia="黑体"/>
          <w:b/>
          <w:sz w:val="32"/>
          <w:szCs w:val="32"/>
        </w:rPr>
      </w:pPr>
      <w:r>
        <w:rPr>
          <w:rFonts w:ascii="黑体" w:hAnsi="Calibri" w:eastAsia="黑体"/>
          <w:b/>
          <w:sz w:val="32"/>
          <w:szCs w:val="32"/>
        </w:rPr>
      </w:r>
      <w:r/>
    </w:p>
    <w:p>
      <w:pPr>
        <w:pStyle w:val="784"/>
      </w:pPr>
      <w:r/>
      <w:r/>
    </w:p>
    <w:p>
      <w:r/>
      <w:r/>
    </w:p>
    <w:p>
      <w:pPr>
        <w:spacing w:line="567" w:lineRule="exact"/>
        <w:widowControl/>
        <w:rPr>
          <w:rFonts w:ascii="黑体" w:hAnsi="Calibri" w:eastAsia="黑体"/>
          <w:b/>
          <w:sz w:val="32"/>
          <w:szCs w:val="32"/>
        </w:rPr>
      </w:pPr>
      <w:r>
        <w:rPr>
          <w:rFonts w:ascii="黑体" w:hAnsi="Calibri" w:eastAsia="黑体"/>
          <w:b/>
          <w:sz w:val="32"/>
          <w:szCs w:val="32"/>
        </w:rPr>
      </w:r>
      <w:r/>
    </w:p>
    <w:p>
      <w:pPr>
        <w:jc w:val="center"/>
        <w:spacing w:line="567" w:lineRule="exact"/>
        <w:widowControl/>
        <w:rPr>
          <w:rFonts w:ascii="黑体" w:hAnsi="Calibri" w:eastAsia="黑体"/>
          <w:b/>
          <w:sz w:val="32"/>
          <w:szCs w:val="32"/>
        </w:rPr>
      </w:pPr>
      <w:r>
        <w:rPr>
          <w:rFonts w:ascii="黑体" w:hAnsi="Calibri" w:eastAsia="黑体"/>
          <w:b/>
          <w:sz w:val="32"/>
          <w:szCs w:val="32"/>
        </w:rPr>
      </w:r>
      <w:r/>
    </w:p>
    <w:p>
      <w:pPr>
        <w:jc w:val="center"/>
        <w:spacing w:line="567" w:lineRule="exact"/>
        <w:widowControl/>
        <w:rPr>
          <w:rFonts w:ascii="黑体" w:hAnsi="Calibri" w:eastAsia="黑体"/>
          <w:b/>
          <w:sz w:val="32"/>
          <w:szCs w:val="32"/>
        </w:rPr>
      </w:pPr>
      <w:r>
        <w:rPr>
          <w:rFonts w:ascii="黑体" w:hAnsi="Calibri" w:eastAsia="黑体"/>
          <w:b/>
          <w:sz w:val="32"/>
          <w:szCs w:val="32"/>
        </w:rPr>
      </w:r>
      <w:r/>
    </w:p>
    <w:p>
      <w:pPr>
        <w:ind w:left="40" w:firstLine="800"/>
        <w:spacing w:line="567" w:lineRule="exact"/>
        <w:widowControl/>
        <w:rPr>
          <w:rFonts w:ascii="黑体" w:eastAsia="黑体"/>
          <w:sz w:val="32"/>
          <w:szCs w:val="32"/>
          <w:u w:val="single"/>
        </w:rPr>
      </w:pPr>
      <w:r>
        <w:rPr>
          <w:rFonts w:hint="eastAsia" w:ascii="黑体" w:eastAsia="黑体"/>
          <w:sz w:val="32"/>
          <w:szCs w:val="32"/>
        </w:rPr>
        <w:t xml:space="preserve">项目名称：</w:t>
      </w:r>
      <w:r>
        <w:rPr>
          <w:rFonts w:hint="eastAsia" w:ascii="黑体" w:eastAsia="黑体"/>
          <w:sz w:val="32"/>
          <w:szCs w:val="32"/>
          <w:u w:val="single"/>
        </w:rPr>
        <w:t xml:space="preserve">                              </w:t>
      </w:r>
      <w:r/>
    </w:p>
    <w:p>
      <w:pPr>
        <w:ind w:left="40" w:firstLine="800"/>
        <w:spacing w:line="567" w:lineRule="exact"/>
        <w:widowControl/>
        <w:rPr>
          <w:rFonts w:ascii="黑体" w:hAnsi="Calibri" w:eastAsia="黑体"/>
          <w:sz w:val="32"/>
          <w:szCs w:val="32"/>
          <w:u w:val="single"/>
        </w:rPr>
      </w:pPr>
      <w:r>
        <w:rPr>
          <w:rFonts w:ascii="黑体" w:hAnsi="Calibri" w:eastAsia="黑体"/>
          <w:sz w:val="32"/>
          <w:szCs w:val="32"/>
          <w:u w:val="single"/>
        </w:rPr>
      </w:r>
      <w:r/>
    </w:p>
    <w:p>
      <w:pPr>
        <w:ind w:left="40" w:firstLine="800"/>
        <w:spacing w:line="567" w:lineRule="exact"/>
        <w:widowControl/>
        <w:rPr>
          <w:rFonts w:ascii="黑体" w:eastAsia="黑体"/>
          <w:sz w:val="32"/>
          <w:szCs w:val="32"/>
          <w:u w:val="single"/>
        </w:rPr>
      </w:pPr>
      <w:r>
        <w:rPr>
          <w:rFonts w:hint="eastAsia" w:ascii="黑体" w:eastAsia="黑体"/>
          <w:sz w:val="32"/>
          <w:szCs w:val="32"/>
        </w:rPr>
        <w:t xml:space="preserve">甲    方：</w:t>
      </w:r>
      <w:r>
        <w:rPr>
          <w:rFonts w:hint="eastAsia" w:ascii="黑体" w:eastAsia="黑体"/>
          <w:sz w:val="32"/>
          <w:szCs w:val="32"/>
          <w:u w:val="single"/>
        </w:rPr>
        <w:t xml:space="preserve">     </w:t>
      </w:r>
      <w:r>
        <w:rPr>
          <w:rFonts w:ascii="黑体" w:eastAsia="黑体"/>
          <w:sz w:val="32"/>
          <w:szCs w:val="32"/>
          <w:u w:val="single"/>
        </w:rPr>
        <w:t xml:space="preserve">   </w:t>
      </w:r>
      <w:r>
        <w:rPr>
          <w:rFonts w:hint="eastAsia" w:ascii="黑体" w:eastAsia="黑体"/>
          <w:sz w:val="32"/>
          <w:szCs w:val="32"/>
          <w:u w:val="single"/>
        </w:rPr>
        <w:t xml:space="preserve">江苏开放大学</w:t>
      </w:r>
      <w:r>
        <w:rPr>
          <w:rFonts w:ascii="黑体" w:eastAsia="黑体"/>
          <w:sz w:val="32"/>
          <w:szCs w:val="32"/>
          <w:u w:val="single"/>
        </w:rPr>
        <w:t xml:space="preserve">       </w:t>
      </w:r>
      <w:r>
        <w:rPr>
          <w:rFonts w:hint="eastAsia" w:ascii="黑体" w:eastAsia="黑体"/>
          <w:sz w:val="32"/>
          <w:szCs w:val="32"/>
          <w:u w:val="single"/>
        </w:rPr>
        <w:t xml:space="preserve">   </w:t>
      </w:r>
      <w:r/>
    </w:p>
    <w:p>
      <w:pPr>
        <w:ind w:left="40" w:firstLine="800"/>
        <w:spacing w:line="567" w:lineRule="exact"/>
        <w:widowControl/>
        <w:rPr>
          <w:rFonts w:ascii="黑体" w:hAnsi="Calibri" w:eastAsia="黑体"/>
          <w:sz w:val="32"/>
          <w:szCs w:val="32"/>
          <w:u w:val="single"/>
        </w:rPr>
      </w:pPr>
      <w:r>
        <w:rPr>
          <w:rFonts w:ascii="黑体" w:hAnsi="Calibri" w:eastAsia="黑体"/>
          <w:sz w:val="32"/>
          <w:szCs w:val="32"/>
          <w:u w:val="single"/>
        </w:rPr>
      </w:r>
      <w:r/>
    </w:p>
    <w:p>
      <w:pPr>
        <w:spacing w:line="567" w:lineRule="exact"/>
        <w:widowControl/>
        <w:rPr>
          <w:rFonts w:ascii="黑体" w:eastAsia="黑体"/>
          <w:sz w:val="32"/>
          <w:szCs w:val="32"/>
          <w:u w:val="single"/>
        </w:rPr>
      </w:pPr>
      <w:r>
        <w:rPr>
          <w:rFonts w:hint="eastAsia" w:ascii="黑体" w:hAnsi="Calibri" w:eastAsia="黑体"/>
          <w:sz w:val="32"/>
          <w:szCs w:val="32"/>
        </w:rPr>
        <w:tab/>
      </w:r>
      <w:r>
        <w:rPr>
          <w:rFonts w:hint="eastAsia" w:ascii="黑体" w:eastAsia="黑体"/>
          <w:sz w:val="32"/>
          <w:szCs w:val="32"/>
        </w:rPr>
        <w:t xml:space="preserve">乙    方：</w:t>
      </w:r>
      <w:r>
        <w:rPr>
          <w:rFonts w:hint="eastAsia" w:ascii="黑体" w:eastAsia="黑体"/>
          <w:sz w:val="32"/>
          <w:szCs w:val="32"/>
          <w:u w:val="single"/>
        </w:rPr>
        <w:t xml:space="preserve">                              </w:t>
      </w:r>
      <w:r/>
    </w:p>
    <w:p>
      <w:pPr>
        <w:spacing w:line="567" w:lineRule="exact"/>
        <w:widowControl/>
        <w:rPr>
          <w:rFonts w:ascii="黑体" w:hAnsi="Calibri" w:eastAsia="黑体"/>
          <w:sz w:val="32"/>
          <w:szCs w:val="32"/>
          <w:u w:val="single"/>
        </w:rPr>
      </w:pPr>
      <w:r>
        <w:rPr>
          <w:rFonts w:ascii="黑体" w:hAnsi="Calibri" w:eastAsia="黑体"/>
          <w:sz w:val="32"/>
          <w:szCs w:val="32"/>
          <w:u w:val="single"/>
        </w:rPr>
      </w:r>
      <w:r/>
    </w:p>
    <w:p>
      <w:pPr>
        <w:spacing w:line="567" w:lineRule="exact"/>
        <w:widowControl/>
        <w:rPr>
          <w:rFonts w:ascii="黑体" w:hAnsi="Calibri" w:eastAsia="黑体"/>
          <w:sz w:val="32"/>
          <w:szCs w:val="32"/>
          <w:u w:val="single"/>
        </w:rPr>
      </w:pPr>
      <w:r>
        <w:rPr>
          <w:rFonts w:hint="eastAsia" w:ascii="黑体" w:hAnsi="Calibri" w:eastAsia="黑体"/>
          <w:sz w:val="32"/>
          <w:szCs w:val="32"/>
        </w:rPr>
        <w:tab/>
      </w:r>
      <w:r>
        <w:rPr>
          <w:rFonts w:hint="eastAsia" w:ascii="黑体" w:eastAsia="黑体"/>
          <w:sz w:val="32"/>
          <w:szCs w:val="32"/>
        </w:rPr>
        <w:t xml:space="preserve">签订时间：</w:t>
      </w:r>
      <w:r>
        <w:rPr>
          <w:rFonts w:hint="eastAsia" w:ascii="黑体" w:eastAsia="黑体"/>
          <w:sz w:val="32"/>
          <w:szCs w:val="32"/>
          <w:u w:val="single"/>
        </w:rPr>
        <w:t xml:space="preserve">                              </w:t>
      </w:r>
      <w:r/>
    </w:p>
    <w:p>
      <w:pPr>
        <w:pStyle w:val="789"/>
        <w:contextualSpacing/>
        <w:ind w:firstLine="442"/>
        <w:jc w:val="center"/>
        <w:spacing w:line="360" w:lineRule="auto"/>
        <w:rPr>
          <w:rFonts w:hAnsi="宋体"/>
          <w:b/>
        </w:rPr>
      </w:pPr>
      <w:r>
        <w:rPr>
          <w:rFonts w:hAnsi="宋体"/>
          <w:b/>
        </w:rPr>
      </w:r>
      <w:r/>
    </w:p>
    <w:p>
      <w:pPr>
        <w:pStyle w:val="789"/>
        <w:contextualSpacing/>
        <w:ind w:firstLine="442"/>
        <w:jc w:val="center"/>
        <w:spacing w:line="360" w:lineRule="auto"/>
        <w:rPr>
          <w:rFonts w:hAnsi="宋体"/>
          <w:b/>
        </w:rPr>
      </w:pPr>
      <w:r>
        <w:rPr>
          <w:rFonts w:hAnsi="宋体"/>
          <w:b/>
        </w:rPr>
      </w:r>
      <w:r/>
    </w:p>
    <w:p>
      <w:pPr>
        <w:pStyle w:val="789"/>
        <w:contextualSpacing/>
        <w:ind w:firstLine="442"/>
        <w:jc w:val="center"/>
        <w:spacing w:line="360" w:lineRule="auto"/>
        <w:rPr>
          <w:rFonts w:hAnsi="宋体"/>
          <w:b/>
        </w:rPr>
      </w:pPr>
      <w:r>
        <w:rPr>
          <w:rFonts w:hAnsi="宋体"/>
          <w:b/>
        </w:rPr>
      </w:r>
      <w:r/>
    </w:p>
    <w:p>
      <w:pPr>
        <w:pStyle w:val="789"/>
        <w:contextualSpacing/>
        <w:ind w:firstLine="440"/>
        <w:spacing w:line="360" w:lineRule="auto"/>
        <w:rPr>
          <w:rFonts w:cs="Courier New" w:asciiTheme="minorEastAsia" w:hAnsiTheme="minorEastAsia" w:eastAsiaTheme="minorEastAsia"/>
          <w:b/>
        </w:rPr>
      </w:pPr>
      <w:r>
        <w:rPr>
          <w:rFonts w:hint="eastAsia" w:hAnsi="宋体"/>
        </w:rPr>
        <w:t xml:space="preserve">根据《中华人民共和国民法典》《中华人民共和国政府采购法》等法律、法规规定，按照</w:t>
      </w:r>
      <w:r>
        <w:rPr>
          <w:rFonts w:hAnsi="宋体"/>
          <w:u w:val="single"/>
        </w:rPr>
        <w:tab/>
      </w:r>
      <w:r>
        <w:rPr>
          <w:rFonts w:hAnsi="宋体"/>
          <w:u w:val="single"/>
        </w:rPr>
        <w:t xml:space="preserve">    </w:t>
      </w:r>
      <w:r>
        <w:rPr>
          <w:rFonts w:hint="eastAsia" w:hAnsi="宋体"/>
          <w:u w:val="single"/>
        </w:rPr>
        <w:t xml:space="preserve"> </w:t>
      </w:r>
      <w:r>
        <w:rPr>
          <w:rFonts w:hAnsi="宋体"/>
          <w:u w:val="single"/>
        </w:rPr>
        <w:t xml:space="preserve">    </w:t>
      </w:r>
      <w:r>
        <w:rPr>
          <w:rFonts w:hint="eastAsia" w:hAnsi="宋体"/>
        </w:rPr>
        <w:t xml:space="preserve">招标（采购）文件、乙方的投标（响应）文件和中标（成交）通知书等，甲方向乙方购买相关服务，</w:t>
      </w:r>
      <w:r>
        <w:rPr>
          <w:rFonts w:cs="Courier New" w:asciiTheme="minorEastAsia" w:hAnsiTheme="minorEastAsia" w:eastAsiaTheme="minorEastAsia"/>
        </w:rPr>
        <w:t xml:space="preserve">双方</w:t>
      </w:r>
      <w:r>
        <w:rPr>
          <w:rFonts w:hint="eastAsia" w:cs="Courier New" w:asciiTheme="minorEastAsia" w:hAnsiTheme="minorEastAsia" w:eastAsiaTheme="minorEastAsia"/>
        </w:rPr>
        <w:t xml:space="preserve">同意按下述条款</w:t>
      </w:r>
      <w:r>
        <w:rPr>
          <w:rFonts w:cs="Courier New" w:asciiTheme="minorEastAsia" w:hAnsiTheme="minorEastAsia" w:eastAsiaTheme="minorEastAsia"/>
        </w:rPr>
        <w:t xml:space="preserve">签</w:t>
      </w:r>
      <w:r>
        <w:rPr>
          <w:rFonts w:hint="eastAsia" w:cs="Courier New" w:asciiTheme="minorEastAsia" w:hAnsiTheme="minorEastAsia" w:eastAsiaTheme="minorEastAsia"/>
        </w:rPr>
        <w:t xml:space="preserve">订</w:t>
      </w:r>
      <w:r>
        <w:rPr>
          <w:rFonts w:cs="Courier New" w:asciiTheme="minorEastAsia" w:hAnsiTheme="minorEastAsia" w:eastAsiaTheme="minorEastAsia"/>
        </w:rPr>
        <w:t xml:space="preserve">本合同</w:t>
      </w:r>
      <w:r>
        <w:rPr>
          <w:rFonts w:hint="eastAsia" w:cs="Courier New" w:asciiTheme="minorEastAsia" w:hAnsiTheme="minorEastAsia" w:eastAsiaTheme="minorEastAsia"/>
        </w:rPr>
        <w:t xml:space="preserve">，并共同遵守</w:t>
      </w:r>
      <w:r>
        <w:rPr>
          <w:rFonts w:cs="Courier New" w:asciiTheme="minorEastAsia" w:hAnsiTheme="minorEastAsia" w:eastAsiaTheme="minorEastAsia"/>
        </w:rPr>
        <w:t xml:space="preserve">。</w:t>
      </w:r>
      <w:r/>
    </w:p>
    <w:p>
      <w:pPr>
        <w:pStyle w:val="789"/>
        <w:contextualSpacing/>
        <w:ind w:firstLine="442"/>
        <w:spacing w:line="360" w:lineRule="auto"/>
        <w:rPr>
          <w:rFonts w:hAnsi="宋体"/>
          <w:b/>
        </w:rPr>
      </w:pPr>
      <w:r>
        <w:rPr>
          <w:rFonts w:hint="eastAsia" w:hAnsi="宋体"/>
          <w:b/>
        </w:rPr>
        <w:t xml:space="preserve">一、服务内容</w:t>
      </w:r>
      <w:r/>
    </w:p>
    <w:p>
      <w:pPr>
        <w:pStyle w:val="789"/>
        <w:contextualSpacing/>
        <w:ind w:firstLine="440"/>
        <w:spacing w:line="360" w:lineRule="auto"/>
        <w:rPr>
          <w:rFonts w:hAnsi="宋体"/>
        </w:rPr>
      </w:pPr>
      <w:r>
        <w:rPr>
          <w:rFonts w:hint="eastAsia" w:hAnsi="宋体"/>
        </w:rPr>
        <w:t xml:space="preserve">乙方向甲方提供</w:t>
      </w:r>
      <w:r>
        <w:rPr>
          <w:rFonts w:hAnsi="宋体"/>
          <w:u w:val="single"/>
        </w:rPr>
        <w:t xml:space="preserve"> </w:t>
      </w:r>
      <w:r>
        <w:rPr>
          <w:rFonts w:hint="eastAsia" w:hAnsi="宋体"/>
          <w:u w:val="single"/>
          <w:lang w:val="en-US"/>
        </w:rPr>
        <w:t xml:space="preserve">                         </w:t>
      </w:r>
      <w:r>
        <w:rPr>
          <w:rFonts w:hint="eastAsia" w:hAnsi="宋体"/>
        </w:rPr>
        <w:t xml:space="preserve">，详见乙方的投标（响应）文件。</w:t>
      </w:r>
      <w:r/>
    </w:p>
    <w:p>
      <w:pPr>
        <w:pStyle w:val="789"/>
        <w:contextualSpacing/>
        <w:ind w:firstLine="442"/>
        <w:spacing w:line="360" w:lineRule="auto"/>
        <w:rPr>
          <w:rFonts w:hAnsi="宋体"/>
          <w:b/>
        </w:rPr>
      </w:pPr>
      <w:r>
        <w:rPr>
          <w:rFonts w:hint="eastAsia" w:hAnsi="宋体"/>
          <w:b/>
        </w:rPr>
        <w:t xml:space="preserve">二、服务费与支付</w:t>
      </w:r>
      <w:r/>
    </w:p>
    <w:p>
      <w:pPr>
        <w:contextualSpacing/>
        <w:ind w:firstLine="440"/>
        <w:spacing w:line="360" w:lineRule="auto"/>
        <w:rPr>
          <w:u w:val="single"/>
          <w:lang w:val="en-US"/>
        </w:rPr>
      </w:pPr>
      <w:r>
        <w:rPr>
          <w:rFonts w:hint="eastAsia"/>
          <w:lang w:val="en-US"/>
        </w:rPr>
        <w:t xml:space="preserve">合同总价款为：</w:t>
      </w:r>
      <w:r>
        <w:rPr>
          <w:rFonts w:hint="eastAsia"/>
          <w:u w:val="single"/>
          <w:lang w:val="en-US"/>
        </w:rPr>
        <w:t xml:space="preserve">            元/年（小写）                   /年（大写）</w:t>
      </w:r>
      <w:r/>
    </w:p>
    <w:p>
      <w:pPr>
        <w:contextualSpacing/>
        <w:ind w:firstLine="440"/>
        <w:spacing w:line="360" w:lineRule="auto"/>
        <w:rPr>
          <w:lang w:val="en-US"/>
        </w:rPr>
      </w:pPr>
      <w:r>
        <w:rPr>
          <w:rFonts w:hint="eastAsia"/>
          <w:lang w:val="en-US"/>
        </w:rPr>
        <w:t xml:space="preserve">完成采购文件规定的服务管理工作所涉及到的一切费用。包括但不仅限于人员费用（</w:t>
      </w:r>
      <w:r>
        <w:rPr>
          <w:lang w:val="en-US"/>
        </w:rPr>
        <w:t xml:space="preserve">12个月工资、全年福利、培训、体检、社会保险、加班费等），服务所用设备、工具购置及维护费用，服务所用材料消耗费用、管理费用、利润、税金等支出。</w:t>
      </w:r>
      <w:r>
        <w:rPr>
          <w:rFonts w:hint="eastAsia"/>
          <w:lang w:val="en-US"/>
        </w:rPr>
        <w:t xml:space="preserve">医务室家具和软装相关费用由乙方承担，费用摊销到每个年度。</w:t>
      </w:r>
      <w:r/>
    </w:p>
    <w:p>
      <w:pPr>
        <w:ind w:firstLine="660"/>
        <w:spacing w:line="360" w:lineRule="auto"/>
        <w:rPr>
          <w:lang w:val="en-US"/>
        </w:rPr>
      </w:pPr>
      <w:r>
        <w:rPr>
          <w:rFonts w:hint="eastAsia"/>
          <w:lang w:val="en-US"/>
        </w:rPr>
        <w:t xml:space="preserve">付款方式：考核合格后，服务费每年</w:t>
      </w:r>
      <w:r>
        <w:rPr>
          <w:lang w:val="en-US"/>
        </w:rPr>
        <w:t xml:space="preserve">6月和12月支付，在</w:t>
      </w:r>
      <w:r>
        <w:rPr>
          <w:rFonts w:hint="eastAsia"/>
          <w:lang w:val="en-US"/>
        </w:rPr>
        <w:t xml:space="preserve">乙方</w:t>
      </w:r>
      <w:r>
        <w:rPr>
          <w:lang w:val="en-US"/>
        </w:rPr>
        <w:t xml:space="preserve">前期服务无违约的条件下，</w:t>
      </w:r>
      <w:r>
        <w:rPr>
          <w:rFonts w:hint="eastAsia"/>
          <w:lang w:val="en-US"/>
        </w:rPr>
        <w:t xml:space="preserve">甲方</w:t>
      </w:r>
      <w:r>
        <w:rPr>
          <w:lang w:val="en-US"/>
        </w:rPr>
        <w:t xml:space="preserve">支付年费用的50%。</w:t>
      </w:r>
      <w:r/>
    </w:p>
    <w:p>
      <w:pPr>
        <w:ind w:firstLine="660"/>
        <w:spacing w:line="360" w:lineRule="auto"/>
        <w:rPr>
          <w:b/>
        </w:rPr>
      </w:pPr>
      <w:r>
        <w:rPr>
          <w:rFonts w:hint="eastAsia"/>
          <w:b/>
          <w:lang w:val="en-US"/>
        </w:rPr>
        <w:t xml:space="preserve">三</w:t>
      </w:r>
      <w:r>
        <w:rPr>
          <w:rFonts w:hint="eastAsia"/>
          <w:b/>
        </w:rPr>
        <w:t xml:space="preserve">、项目实施</w:t>
      </w:r>
      <w:r/>
    </w:p>
    <w:p>
      <w:pPr>
        <w:contextualSpacing/>
        <w:ind w:firstLine="440"/>
        <w:spacing w:line="360" w:lineRule="auto"/>
      </w:pPr>
      <w:r>
        <w:rPr>
          <w:rFonts w:hint="eastAsia"/>
        </w:rPr>
        <w:t xml:space="preserve">1.服务期限：</w:t>
      </w:r>
      <w:r>
        <w:rPr>
          <w:rFonts w:hint="eastAsia"/>
          <w:lang w:val="en-US"/>
        </w:rPr>
        <w:t xml:space="preserve">2年</w:t>
      </w:r>
      <w:r>
        <w:tab/>
      </w:r>
      <w:r>
        <w:tab/>
      </w:r>
      <w:r>
        <w:tab/>
      </w:r>
      <w:r>
        <w:tab/>
      </w:r>
      <w:r/>
    </w:p>
    <w:p>
      <w:pPr>
        <w:contextualSpacing/>
        <w:ind w:firstLine="440"/>
        <w:spacing w:line="360" w:lineRule="auto"/>
      </w:pPr>
      <w:r>
        <w:rPr>
          <w:rFonts w:hint="eastAsia"/>
        </w:rPr>
        <w:t xml:space="preserve">2.服务地点：</w:t>
      </w:r>
      <w:r>
        <w:tab/>
      </w:r>
      <w:r>
        <w:tab/>
      </w:r>
      <w:r>
        <w:tab/>
      </w:r>
      <w:r>
        <w:tab/>
      </w:r>
      <w:r>
        <w:t xml:space="preserve">  </w:t>
      </w:r>
      <w:r/>
    </w:p>
    <w:p>
      <w:pPr>
        <w:contextualSpacing/>
        <w:ind w:firstLine="440"/>
        <w:spacing w:line="360" w:lineRule="auto"/>
      </w:pPr>
      <w:r>
        <w:rPr>
          <w:rFonts w:hint="eastAsia"/>
        </w:rPr>
        <w:t xml:space="preserve">3.甲方联系人： </w:t>
      </w:r>
      <w:r>
        <w:t xml:space="preserve">       </w:t>
      </w:r>
      <w:r>
        <w:rPr>
          <w:rFonts w:hint="eastAsia"/>
        </w:rPr>
        <w:t xml:space="preserve"> </w:t>
      </w:r>
      <w:r>
        <w:t xml:space="preserve">     </w:t>
      </w:r>
      <w:r>
        <w:rPr>
          <w:rFonts w:hint="eastAsia"/>
        </w:rPr>
        <w:t xml:space="preserve">电话：</w:t>
      </w:r>
      <w:r>
        <w:t xml:space="preserve">           </w:t>
      </w:r>
      <w:r/>
    </w:p>
    <w:p>
      <w:pPr>
        <w:contextualSpacing/>
        <w:ind w:firstLine="440"/>
        <w:spacing w:line="360" w:lineRule="auto"/>
      </w:pPr>
      <w:r>
        <w:t xml:space="preserve">  </w:t>
      </w:r>
      <w:r>
        <w:rPr>
          <w:rFonts w:hint="eastAsia"/>
        </w:rPr>
        <w:t xml:space="preserve">乙方联系人： </w:t>
      </w:r>
      <w:r>
        <w:t xml:space="preserve">       </w:t>
      </w:r>
      <w:r>
        <w:rPr>
          <w:rFonts w:hint="eastAsia"/>
        </w:rPr>
        <w:t xml:space="preserve"> </w:t>
      </w:r>
      <w:r>
        <w:t xml:space="preserve">     </w:t>
      </w:r>
      <w:r>
        <w:rPr>
          <w:rFonts w:hint="eastAsia"/>
        </w:rPr>
        <w:t xml:space="preserve">电话： </w:t>
      </w:r>
      <w:r>
        <w:t xml:space="preserve">                             </w:t>
      </w:r>
      <w:r/>
    </w:p>
    <w:p>
      <w:pPr>
        <w:pStyle w:val="789"/>
        <w:contextualSpacing/>
        <w:ind w:firstLine="442"/>
        <w:spacing w:line="360" w:lineRule="auto"/>
        <w:rPr>
          <w:rFonts w:hAnsi="宋体"/>
          <w:b/>
        </w:rPr>
      </w:pPr>
      <w:r>
        <w:rPr>
          <w:rFonts w:hint="eastAsia" w:hAnsi="宋体"/>
          <w:b/>
          <w:lang w:val="en-US"/>
        </w:rPr>
        <w:t xml:space="preserve">四</w:t>
      </w:r>
      <w:r>
        <w:rPr>
          <w:rFonts w:hint="eastAsia" w:hAnsi="宋体"/>
          <w:b/>
        </w:rPr>
        <w:t xml:space="preserve">、甲方权利和义务</w:t>
      </w:r>
      <w:r/>
    </w:p>
    <w:p>
      <w:pPr>
        <w:contextualSpacing/>
        <w:ind w:firstLine="440"/>
        <w:spacing w:line="360" w:lineRule="auto"/>
      </w:pPr>
      <w:r>
        <w:rPr>
          <w:rFonts w:hint="eastAsia"/>
        </w:rPr>
        <w:t xml:space="preserve">1.根据甲方服务管理要求及乙方的相关承诺，对乙方提供的服务及履行本合同情况实行验收考核。</w:t>
      </w:r>
      <w:r>
        <w:t xml:space="preserve">                         </w:t>
      </w:r>
      <w:r/>
    </w:p>
    <w:p>
      <w:pPr>
        <w:contextualSpacing/>
        <w:ind w:firstLine="440"/>
        <w:spacing w:line="360" w:lineRule="auto"/>
      </w:pPr>
      <w:r>
        <w:rPr>
          <w:rFonts w:hint="eastAsia"/>
        </w:rPr>
        <w:t xml:space="preserve">2.甲方有义务在适当的范围内公开考核结果。</w:t>
      </w:r>
      <w:r/>
    </w:p>
    <w:p>
      <w:pPr>
        <w:contextualSpacing/>
        <w:ind w:firstLine="440"/>
        <w:spacing w:line="360" w:lineRule="auto"/>
      </w:pPr>
      <w:r>
        <w:rPr>
          <w:rFonts w:hint="eastAsia"/>
        </w:rPr>
        <w:t xml:space="preserve">3.因突发情况，甲方需调动乙方人员和器材设备时，乙方应服从安排,予以配合。</w:t>
      </w:r>
      <w:r/>
    </w:p>
    <w:p>
      <w:pPr>
        <w:contextualSpacing/>
        <w:ind w:firstLine="440"/>
        <w:spacing w:line="360" w:lineRule="auto"/>
      </w:pPr>
      <w:r>
        <w:rPr>
          <w:rFonts w:hint="eastAsia"/>
        </w:rPr>
        <w:t xml:space="preserve">4.甲方有权根据国家政策或法律法规的变动对服务的需求标准和质量做出合理变动。</w:t>
      </w:r>
      <w:r/>
    </w:p>
    <w:p>
      <w:pPr>
        <w:contextualSpacing/>
        <w:ind w:firstLine="442"/>
        <w:spacing w:line="360" w:lineRule="auto"/>
        <w:rPr>
          <w:b/>
        </w:rPr>
      </w:pPr>
      <w:r>
        <w:rPr>
          <w:rFonts w:hint="eastAsia"/>
          <w:b/>
          <w:lang w:val="en-US"/>
        </w:rPr>
        <w:t xml:space="preserve">五</w:t>
      </w:r>
      <w:r>
        <w:rPr>
          <w:rFonts w:hint="eastAsia"/>
          <w:b/>
        </w:rPr>
        <w:t xml:space="preserve">、乙方权利和义务</w:t>
      </w:r>
      <w:r/>
    </w:p>
    <w:p>
      <w:pPr>
        <w:contextualSpacing/>
        <w:ind w:firstLine="440"/>
        <w:spacing w:line="360" w:lineRule="auto"/>
      </w:pPr>
      <w:r>
        <w:rPr>
          <w:rFonts w:hint="eastAsia"/>
        </w:rPr>
        <w:t xml:space="preserve">1.乙方根据国家标准、行业标准和规范要求、招标（采购）文件规定的服务质量标准和有关要求及投标（响应）文件所作的承诺，积极主动保质保量地完成服务工作。</w:t>
      </w:r>
      <w:r/>
    </w:p>
    <w:p>
      <w:pPr>
        <w:contextualSpacing/>
        <w:ind w:firstLine="440"/>
        <w:spacing w:line="360" w:lineRule="auto"/>
      </w:pPr>
      <w:r>
        <w:rPr>
          <w:rFonts w:hint="eastAsia"/>
        </w:rPr>
        <w:t xml:space="preserve">2.乙方应配备具有相应资质、特定经验的工作人员负责项目实施，按照合同约定的标准、要求和时间完成项目。</w:t>
      </w:r>
      <w:r/>
    </w:p>
    <w:p>
      <w:pPr>
        <w:contextualSpacing/>
        <w:ind w:firstLine="440"/>
        <w:spacing w:line="360" w:lineRule="auto"/>
      </w:pPr>
      <w:r>
        <w:rPr>
          <w:rFonts w:hint="eastAsia"/>
        </w:rPr>
        <w:t xml:space="preserve">3.乙方接受并主动配合甲方及行业主管部门的检查，对甲方指出的问题，应及时做出合理解释或予以纠正。</w:t>
      </w:r>
      <w:r/>
    </w:p>
    <w:p>
      <w:pPr>
        <w:contextualSpacing/>
        <w:ind w:firstLine="440"/>
        <w:spacing w:line="360" w:lineRule="auto"/>
      </w:pPr>
      <w:r>
        <w:rPr>
          <w:rFonts w:hint="eastAsia"/>
        </w:rPr>
        <w:t xml:space="preserve">4.对服务范围之外的突击性、突发性工作，乙方须服从甲方的安排，不得无故拖延。</w:t>
      </w:r>
      <w:r/>
    </w:p>
    <w:p>
      <w:pPr>
        <w:contextualSpacing/>
        <w:ind w:firstLine="440"/>
        <w:spacing w:line="360" w:lineRule="auto"/>
      </w:pPr>
      <w:r>
        <w:rPr>
          <w:rFonts w:hint="eastAsia"/>
        </w:rPr>
        <w:t xml:space="preserve">5.对因乙方管理不善而损坏的硬件设施，乙方应负责及时修复，或照价赔偿。</w:t>
      </w:r>
      <w:r/>
    </w:p>
    <w:p>
      <w:pPr>
        <w:contextualSpacing/>
        <w:ind w:firstLine="440"/>
        <w:spacing w:line="360" w:lineRule="auto"/>
      </w:pPr>
      <w:r>
        <w:rPr>
          <w:rFonts w:hint="eastAsia"/>
        </w:rPr>
        <w:t xml:space="preserve">6.乙方承诺，根据本合同提供的服务及相关的软件和技术资料，均已取得有关知识产权的权利人的合法授权，如发生侵权等争议，乙方负责处理并承担由此引发的全部责任。</w:t>
      </w:r>
      <w:r/>
    </w:p>
    <w:p>
      <w:pPr>
        <w:contextualSpacing/>
        <w:ind w:firstLine="442"/>
        <w:spacing w:line="360" w:lineRule="auto"/>
        <w:rPr>
          <w:b/>
        </w:rPr>
      </w:pPr>
      <w:r>
        <w:rPr>
          <w:rFonts w:hint="eastAsia"/>
          <w:b/>
          <w:lang w:val="en-US"/>
        </w:rPr>
        <w:t xml:space="preserve">六</w:t>
      </w:r>
      <w:r>
        <w:rPr>
          <w:rFonts w:hint="eastAsia"/>
          <w:b/>
        </w:rPr>
        <w:t xml:space="preserve">、服务管理基本要求</w:t>
      </w:r>
      <w:r/>
    </w:p>
    <w:p>
      <w:pPr>
        <w:contextualSpacing/>
        <w:ind w:firstLine="440"/>
        <w:spacing w:line="360" w:lineRule="auto"/>
      </w:pPr>
      <w:r>
        <w:rPr>
          <w:rFonts w:hint="eastAsia"/>
        </w:rPr>
        <w:t xml:space="preserve">1.为确保服务质量，乙方须安排管理人员进行监督管理。</w:t>
      </w:r>
      <w:r/>
    </w:p>
    <w:p>
      <w:pPr>
        <w:contextualSpacing/>
        <w:ind w:firstLine="440"/>
        <w:spacing w:line="360" w:lineRule="auto"/>
      </w:pPr>
      <w:r>
        <w:rPr>
          <w:rFonts w:hint="eastAsia"/>
        </w:rPr>
        <w:t xml:space="preserve">2.服务过程中，乙方必须采取周密的安全措施，以避免对人身和财产的损害。如因乙方原因而造成人身伤害或财产损失的，由乙方承担全部责任。</w:t>
      </w:r>
      <w:r/>
    </w:p>
    <w:p>
      <w:pPr>
        <w:contextualSpacing/>
        <w:ind w:firstLine="440"/>
        <w:spacing w:line="360" w:lineRule="auto"/>
      </w:pPr>
      <w:r>
        <w:rPr>
          <w:rFonts w:hint="eastAsia"/>
        </w:rPr>
        <w:t xml:space="preserve">3.乙方服务期间由于服务工作不能及时完成，且造成较大影响的，或乙方拒绝配合甲方工作检查或不予以改正的，甲方有权酌情扣除服务费用。</w:t>
      </w:r>
      <w:r/>
    </w:p>
    <w:p>
      <w:pPr>
        <w:contextualSpacing/>
        <w:ind w:firstLine="442"/>
        <w:spacing w:line="360" w:lineRule="auto"/>
        <w:rPr>
          <w:b/>
        </w:rPr>
      </w:pPr>
      <w:r>
        <w:rPr>
          <w:rFonts w:hint="eastAsia"/>
          <w:b/>
          <w:lang w:val="en-US"/>
        </w:rPr>
        <w:t xml:space="preserve">七</w:t>
      </w:r>
      <w:r>
        <w:rPr>
          <w:rFonts w:hint="eastAsia"/>
          <w:b/>
        </w:rPr>
        <w:t xml:space="preserve">、违约责任</w:t>
      </w:r>
      <w:r/>
    </w:p>
    <w:p>
      <w:pPr>
        <w:contextualSpacing/>
        <w:ind w:firstLine="440"/>
        <w:spacing w:line="360" w:lineRule="auto"/>
      </w:pPr>
      <w:r>
        <w:rPr>
          <w:rFonts w:hint="eastAsia"/>
        </w:rPr>
        <w:t xml:space="preserve">合同一方不履行合同义务或者履行合同义务不符合约定的，应当承担继续履行、采取补救措施或者赔偿损失等违约责任。</w:t>
      </w:r>
      <w:r/>
    </w:p>
    <w:p>
      <w:pPr>
        <w:contextualSpacing/>
        <w:ind w:firstLine="440"/>
        <w:spacing w:line="360" w:lineRule="auto"/>
      </w:pPr>
      <w:r>
        <w:rPr>
          <w:rFonts w:hint="eastAsia"/>
        </w:rPr>
        <w:t xml:space="preserve">1.在合同生效后，甲方要求取消服务的，应按合同总价款的</w:t>
      </w:r>
      <w:r>
        <w:rPr>
          <w:rFonts w:hint="eastAsia"/>
          <w:u w:val="single"/>
        </w:rPr>
        <w:t xml:space="preserve"> </w:t>
      </w:r>
      <w:r>
        <w:rPr>
          <w:u w:val="single"/>
        </w:rPr>
        <w:t xml:space="preserve">   </w:t>
      </w:r>
      <w:r>
        <w:rPr>
          <w:rFonts w:hint="eastAsia"/>
        </w:rPr>
        <w:t xml:space="preserve">%向乙方偿付违约金，违约金不足以补偿损失的，乙方有权要求甲方补足。</w:t>
      </w:r>
      <w:r/>
    </w:p>
    <w:p>
      <w:pPr>
        <w:contextualSpacing/>
        <w:ind w:firstLine="440"/>
        <w:spacing w:line="360" w:lineRule="auto"/>
      </w:pPr>
      <w:r>
        <w:rPr>
          <w:rFonts w:hint="eastAsia"/>
        </w:rPr>
        <w:t xml:space="preserve">2.乙方不能按时、按质提供服务的，甲方有权解除合同，乙方应按合同总价款的</w:t>
      </w:r>
      <w:r>
        <w:rPr>
          <w:u w:val="single"/>
        </w:rPr>
        <w:t xml:space="preserve">     </w:t>
      </w:r>
      <w:r>
        <w:rPr>
          <w:rFonts w:hint="eastAsia"/>
        </w:rPr>
        <w:t xml:space="preserve">%向甲方偿付违约金，违约金不足以补偿损失的，甲方有权要求乙方补足。</w:t>
      </w:r>
      <w:r/>
    </w:p>
    <w:p>
      <w:pPr>
        <w:contextualSpacing/>
        <w:ind w:firstLine="440"/>
        <w:spacing w:line="360" w:lineRule="auto"/>
      </w:pPr>
      <w:r>
        <w:rPr>
          <w:rFonts w:hint="eastAsia"/>
        </w:rPr>
        <w:t xml:space="preserve">3.乙方提供的服务不符合本合同规定内容的，甲方有权拒收，且乙方须向甲方支付本合同金额</w:t>
      </w:r>
      <w:r>
        <w:rPr>
          <w:u w:val="single"/>
        </w:rPr>
        <w:t xml:space="preserve">      </w:t>
      </w:r>
      <w:r>
        <w:rPr>
          <w:rFonts w:hint="eastAsia"/>
        </w:rPr>
        <w:t xml:space="preserve">%的违约金（违约金不超过实际损失的30%</w:t>
      </w:r>
      <w:r>
        <w:t xml:space="preserve">）</w:t>
      </w:r>
      <w:r>
        <w:rPr>
          <w:rFonts w:hint="eastAsia"/>
        </w:rPr>
        <w:t xml:space="preserve">。</w:t>
      </w:r>
      <w:r/>
    </w:p>
    <w:p>
      <w:pPr>
        <w:contextualSpacing/>
        <w:ind w:firstLine="442"/>
        <w:spacing w:line="360" w:lineRule="auto"/>
        <w:rPr>
          <w:b/>
        </w:rPr>
      </w:pPr>
      <w:r>
        <w:rPr>
          <w:rFonts w:hint="eastAsia"/>
          <w:b/>
          <w:lang w:val="en-US"/>
        </w:rPr>
        <w:t xml:space="preserve">八</w:t>
      </w:r>
      <w:r>
        <w:rPr>
          <w:rFonts w:hint="eastAsia"/>
          <w:b/>
        </w:rPr>
        <w:t xml:space="preserve">、不可抗力事件处理</w:t>
      </w:r>
      <w:r/>
    </w:p>
    <w:p>
      <w:pPr>
        <w:contextualSpacing/>
        <w:ind w:firstLine="440"/>
        <w:spacing w:line="360" w:lineRule="auto"/>
      </w:pPr>
      <w:r>
        <w:rPr>
          <w:rFonts w:hint="eastAsia"/>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contextualSpacing/>
        <w:ind w:firstLine="440"/>
        <w:spacing w:line="360" w:lineRule="auto"/>
      </w:pPr>
      <w:r>
        <w:rPr>
          <w:rFonts w:hint="eastAsia"/>
        </w:rPr>
        <w:t xml:space="preserve">2.因不可抗力不能履行合同的，根据不可抗力的影响，双方协商合同是否继续履行与责任承担。但合同一方迟延履行后发生严重后果的，不能免除责任。</w:t>
      </w:r>
      <w:r/>
    </w:p>
    <w:p>
      <w:pPr>
        <w:contextualSpacing/>
        <w:ind w:firstLine="440"/>
        <w:spacing w:line="360" w:lineRule="auto"/>
      </w:pPr>
      <w:r>
        <w:rPr>
          <w:rFonts w:hint="eastAsia"/>
        </w:rPr>
        <w:t xml:space="preserve">3.合同一方因不可抗力不能履行合同的，应当及时通知对方，以减轻可能给对方造成的损失，并应当在合理期限内提供证明，按事件对本合同的影响程度，双方协商是否终止本合同，或部分免除本合同的义务。</w:t>
      </w:r>
      <w:r/>
    </w:p>
    <w:p>
      <w:pPr>
        <w:contextualSpacing/>
        <w:ind w:firstLine="442"/>
        <w:spacing w:line="360" w:lineRule="auto"/>
        <w:rPr>
          <w:b/>
        </w:rPr>
      </w:pPr>
      <w:r>
        <w:rPr>
          <w:rFonts w:hint="eastAsia"/>
          <w:b/>
        </w:rPr>
        <w:t xml:space="preserve">九、争议解决</w:t>
      </w:r>
      <w:r/>
    </w:p>
    <w:p>
      <w:pPr>
        <w:contextualSpacing/>
        <w:ind w:firstLine="440"/>
        <w:spacing w:line="360" w:lineRule="auto"/>
      </w:pPr>
      <w:r>
        <w:rPr>
          <w:rFonts w:hint="eastAsia"/>
        </w:rPr>
        <w:t xml:space="preserve">甲乙双方因合同发生争议，签约双方应友好协商解决。协商不成，任何一方可以向合同签订地有管辖权的法院提起诉讼，合同签订地在此约定为</w:t>
      </w:r>
      <w:r>
        <w:rPr>
          <w:rFonts w:hint="eastAsia"/>
          <w:u w:val="single"/>
        </w:rPr>
        <w:t xml:space="preserve">南京市</w:t>
      </w:r>
      <w:r>
        <w:rPr>
          <w:rFonts w:hint="eastAsia"/>
        </w:rPr>
        <w:t xml:space="preserve">。</w:t>
      </w:r>
      <w:r/>
    </w:p>
    <w:p>
      <w:pPr>
        <w:contextualSpacing/>
        <w:ind w:firstLine="442"/>
        <w:spacing w:line="360" w:lineRule="auto"/>
        <w:rPr>
          <w:b/>
        </w:rPr>
      </w:pPr>
      <w:r>
        <w:rPr>
          <w:rFonts w:hint="eastAsia"/>
          <w:b/>
        </w:rPr>
        <w:t xml:space="preserve">十、组成本合同的文件</w:t>
      </w:r>
      <w:r/>
    </w:p>
    <w:p>
      <w:pPr>
        <w:contextualSpacing/>
        <w:ind w:firstLine="440"/>
        <w:spacing w:line="360" w:lineRule="auto"/>
      </w:pPr>
      <w:r>
        <w:rPr>
          <w:rFonts w:hint="eastAsia"/>
        </w:rPr>
        <w:t xml:space="preserve">下列文件为本合同不可分割部分，与本合同具有同等法律效力：</w:t>
      </w:r>
      <w:r/>
    </w:p>
    <w:p>
      <w:pPr>
        <w:contextualSpacing/>
        <w:ind w:firstLine="440"/>
        <w:spacing w:line="360" w:lineRule="auto"/>
      </w:pPr>
      <w:r>
        <w:rPr>
          <w:rFonts w:hint="eastAsia"/>
        </w:rPr>
        <w:t xml:space="preserve">    （1）中标（成交）通知书；</w:t>
      </w:r>
      <w:r/>
    </w:p>
    <w:p>
      <w:pPr>
        <w:contextualSpacing/>
        <w:ind w:firstLine="440"/>
        <w:spacing w:line="360" w:lineRule="auto"/>
      </w:pPr>
      <w:r>
        <w:rPr>
          <w:rFonts w:hint="eastAsia"/>
        </w:rPr>
        <w:t xml:space="preserve">    （2）甲方的招标（采购）文件及其它补充文件；</w:t>
      </w:r>
      <w:r/>
    </w:p>
    <w:p>
      <w:pPr>
        <w:contextualSpacing/>
        <w:ind w:firstLine="440"/>
        <w:spacing w:line="360" w:lineRule="auto"/>
      </w:pPr>
      <w:r>
        <w:rPr>
          <w:rFonts w:hint="eastAsia"/>
        </w:rPr>
        <w:t xml:space="preserve">    （3）乙方投标（响应）文件及其它补充文件；</w:t>
      </w:r>
      <w:r/>
    </w:p>
    <w:p>
      <w:pPr>
        <w:contextualSpacing/>
        <w:ind w:firstLine="440"/>
        <w:spacing w:line="360" w:lineRule="auto"/>
      </w:pPr>
      <w:r>
        <w:rPr>
          <w:rFonts w:hint="eastAsia"/>
        </w:rPr>
        <w:t xml:space="preserve">    （4）乙方在采购过程中所作的其它书面承诺、声明、澄清等。</w:t>
      </w:r>
      <w:r/>
    </w:p>
    <w:p>
      <w:pPr>
        <w:contextualSpacing/>
        <w:ind w:firstLine="442"/>
        <w:spacing w:line="360" w:lineRule="auto"/>
        <w:rPr>
          <w:b/>
        </w:rPr>
      </w:pPr>
      <w:r>
        <w:rPr>
          <w:rFonts w:hint="eastAsia"/>
          <w:b/>
        </w:rPr>
        <w:t xml:space="preserve">十一、合同生效及其它</w:t>
      </w:r>
      <w:r/>
    </w:p>
    <w:p>
      <w:pPr>
        <w:contextualSpacing/>
        <w:ind w:firstLine="440"/>
        <w:spacing w:line="360" w:lineRule="auto"/>
      </w:pPr>
      <w:r>
        <w:rPr>
          <w:rFonts w:hint="eastAsia"/>
        </w:rPr>
        <w:t xml:space="preserve">1.合同经双方法定代表人或授权代表人签字并加盖单位公章（合同专用章）后生效。</w:t>
      </w:r>
      <w:r/>
    </w:p>
    <w:p>
      <w:pPr>
        <w:contextualSpacing/>
        <w:ind w:firstLine="440"/>
        <w:spacing w:line="360" w:lineRule="auto"/>
      </w:pPr>
      <w:r>
        <w:rPr>
          <w:rFonts w:hint="eastAsia"/>
        </w:rPr>
        <w:t xml:space="preserve">2.本合同未尽事宜，遵照《中华人民共和国民法典》有关条文执行。对本合同内容的任何修改和变更须由甲乙双方协商后达成书面补充协议，并经双方签字并加盖单位公章或合同专用章后生效。补充协议与本合同具有同等法律效力。</w:t>
      </w:r>
      <w:r/>
    </w:p>
    <w:p>
      <w:pPr>
        <w:contextualSpacing/>
        <w:ind w:firstLine="440"/>
        <w:spacing w:line="360" w:lineRule="auto"/>
      </w:pPr>
      <w:r>
        <w:t xml:space="preserve">3</w:t>
      </w:r>
      <w:r>
        <w:rPr>
          <w:rFonts w:hint="eastAsia"/>
        </w:rPr>
        <w:t xml:space="preserve">.合同份数：本合同一式</w:t>
      </w:r>
      <w:r>
        <w:rPr>
          <w:u w:val="single"/>
        </w:rPr>
        <w:tab/>
      </w:r>
      <w:r>
        <w:rPr>
          <w:u w:val="single"/>
        </w:rPr>
        <w:tab/>
      </w:r>
      <w:r>
        <w:rPr>
          <w:rFonts w:hint="eastAsia"/>
        </w:rPr>
        <w:t xml:space="preserve">份，具备同等法律效力。甲方执</w:t>
      </w:r>
      <w:r>
        <w:rPr>
          <w:u w:val="single"/>
        </w:rPr>
        <w:tab/>
      </w:r>
      <w:r>
        <w:rPr>
          <w:u w:val="single"/>
        </w:rPr>
        <w:tab/>
      </w:r>
      <w:r>
        <w:rPr>
          <w:rFonts w:hint="eastAsia"/>
        </w:rPr>
        <w:t xml:space="preserve">份，乙方执</w:t>
      </w:r>
      <w:r>
        <w:rPr>
          <w:u w:val="single"/>
        </w:rPr>
        <w:tab/>
      </w:r>
      <w:r>
        <w:rPr>
          <w:u w:val="single"/>
        </w:rPr>
        <w:tab/>
      </w:r>
      <w:r>
        <w:rPr>
          <w:rFonts w:hint="eastAsia"/>
        </w:rPr>
        <w:t xml:space="preserve">份。</w:t>
      </w:r>
      <w:r/>
    </w:p>
    <w:p>
      <w:pPr>
        <w:contextualSpacing/>
        <w:ind w:firstLine="440"/>
        <w:spacing w:line="360" w:lineRule="auto"/>
      </w:pPr>
      <w:r>
        <w:rPr>
          <w:rFonts w:hint="eastAsia"/>
        </w:rPr>
        <w:t xml:space="preserve">4.其它约定：</w:t>
      </w:r>
      <w:r/>
    </w:p>
    <w:p>
      <w:pPr>
        <w:ind w:firstLine="440"/>
        <w:spacing w:line="567" w:lineRule="exact"/>
      </w:pPr>
      <w:r/>
      <w:r/>
    </w:p>
    <w:p>
      <w:pPr>
        <w:spacing w:line="567" w:lineRule="exact"/>
      </w:pPr>
      <w:r>
        <w:rPr>
          <w:rFonts w:hint="eastAsia"/>
        </w:rPr>
        <w:t xml:space="preserve">甲方（盖章）：江苏开放大学 </w:t>
      </w:r>
      <w:r>
        <w:t xml:space="preserve">                  </w:t>
      </w:r>
      <w:r>
        <w:rPr>
          <w:rFonts w:hint="eastAsia"/>
        </w:rPr>
        <w:t xml:space="preserve">乙方（盖章）：</w:t>
      </w:r>
      <w:r/>
    </w:p>
    <w:p>
      <w:pPr>
        <w:spacing w:line="567" w:lineRule="exact"/>
      </w:pPr>
      <w:r>
        <w:rPr>
          <w:rFonts w:hint="eastAsia"/>
        </w:rPr>
        <w:t xml:space="preserve">地址：南京市鼓楼区江东北路399号 </w:t>
      </w:r>
      <w:r>
        <w:t xml:space="preserve">           </w:t>
      </w:r>
      <w:r>
        <w:rPr>
          <w:rFonts w:hint="eastAsia"/>
        </w:rPr>
        <w:t xml:space="preserve">地址：</w:t>
      </w:r>
      <w:r/>
    </w:p>
    <w:p>
      <w:pPr>
        <w:spacing w:line="567" w:lineRule="exact"/>
      </w:pPr>
      <w:r/>
      <w:r/>
    </w:p>
    <w:p>
      <w:pPr>
        <w:spacing w:line="567" w:lineRule="exact"/>
      </w:pPr>
      <w:r>
        <w:t xml:space="preserve">法定</w:t>
      </w:r>
      <w:r>
        <w:rPr>
          <w:rFonts w:hint="eastAsia"/>
        </w:rPr>
        <w:t xml:space="preserve">（授权）</w:t>
      </w:r>
      <w:r>
        <w:t xml:space="preserve">代表人</w:t>
      </w:r>
      <w:r>
        <w:rPr>
          <w:rFonts w:hint="eastAsia"/>
        </w:rPr>
        <w:t xml:space="preserve">：            </w:t>
      </w:r>
      <w:r>
        <w:t xml:space="preserve">           </w:t>
      </w:r>
      <w:r>
        <w:rPr>
          <w:rFonts w:hint="eastAsia"/>
        </w:rPr>
        <w:t xml:space="preserve"> 法定（授权）代表</w:t>
      </w:r>
      <w:r>
        <w:t xml:space="preserve">人 ：</w:t>
      </w:r>
      <w:r>
        <w:rPr>
          <w:rFonts w:hint="eastAsia"/>
        </w:rPr>
        <w:t xml:space="preserve">  </w:t>
      </w:r>
      <w:r>
        <w:t xml:space="preserve"> </w:t>
      </w:r>
      <w:r/>
    </w:p>
    <w:p>
      <w:pPr>
        <w:ind w:firstLine="440"/>
        <w:spacing w:line="567" w:lineRule="exact"/>
      </w:pPr>
      <w:r>
        <w:rPr>
          <w:rFonts w:hint="eastAsia"/>
        </w:rPr>
        <w:t xml:space="preserve">             </w:t>
      </w:r>
      <w:r>
        <w:t xml:space="preserve">                           </w:t>
      </w:r>
      <w:r>
        <w:rPr>
          <w:rFonts w:hint="eastAsia"/>
        </w:rPr>
        <w:t xml:space="preserve">开户银行：</w:t>
      </w:r>
      <w:r/>
    </w:p>
    <w:p>
      <w:pPr>
        <w:ind w:firstLine="440"/>
        <w:spacing w:line="567" w:lineRule="exact"/>
      </w:pPr>
      <w:r>
        <w:rPr>
          <w:rFonts w:hint="eastAsia"/>
        </w:rPr>
        <w:t xml:space="preserve">                             </w:t>
      </w:r>
      <w:r>
        <w:t xml:space="preserve">           </w:t>
      </w:r>
      <w:r>
        <w:rPr>
          <w:rFonts w:hint="eastAsia"/>
        </w:rPr>
        <w:t xml:space="preserve">账    号：</w:t>
      </w:r>
      <w:r/>
    </w:p>
    <w:p>
      <w:pPr>
        <w:spacing w:line="567" w:lineRule="exact"/>
        <w:rPr>
          <w:rFonts w:ascii="黑体" w:hAnsi="Calibri" w:eastAsia="黑体"/>
          <w:b/>
          <w:sz w:val="24"/>
          <w:szCs w:val="24"/>
        </w:rPr>
      </w:pPr>
      <w:r>
        <w:rPr>
          <w:rFonts w:hint="eastAsia"/>
        </w:rPr>
        <w:t xml:space="preserve">签约时间：  年   月   日       </w:t>
      </w:r>
      <w:r>
        <w:t xml:space="preserve">             </w:t>
      </w:r>
      <w:r>
        <w:rPr>
          <w:rFonts w:hint="eastAsia"/>
        </w:rPr>
        <w:t xml:space="preserve">签约时间：年   月   日</w:t>
      </w:r>
      <w:r/>
    </w:p>
    <w:p>
      <w:pPr>
        <w:pStyle w:val="784"/>
      </w:pPr>
      <w:r/>
      <w:r/>
    </w:p>
    <w:p>
      <w:pPr>
        <w:ind w:right="85"/>
        <w:jc w:val="center"/>
        <w:spacing w:line="360" w:lineRule="auto"/>
        <w:rPr>
          <w:rFonts w:ascii="黑体" w:eastAsia="黑体"/>
          <w:sz w:val="36"/>
        </w:rPr>
        <w:outlineLvl w:val="0"/>
      </w:pPr>
      <w:r>
        <w:rPr>
          <w:rFonts w:ascii="黑体" w:eastAsia="黑体"/>
          <w:sz w:val="36"/>
        </w:rPr>
      </w:r>
      <w:r/>
    </w:p>
    <w:p>
      <w:pPr>
        <w:ind w:right="85"/>
        <w:jc w:val="center"/>
        <w:spacing w:line="360" w:lineRule="auto"/>
        <w:rPr>
          <w:rFonts w:ascii="黑体" w:eastAsia="黑体"/>
          <w:sz w:val="36"/>
        </w:rPr>
        <w:outlineLvl w:val="0"/>
      </w:pPr>
      <w:r>
        <w:rPr>
          <w:rFonts w:ascii="黑体" w:eastAsia="黑体"/>
          <w:sz w:val="36"/>
        </w:rPr>
      </w:r>
      <w:r/>
    </w:p>
    <w:p>
      <w:pPr>
        <w:ind w:right="85"/>
        <w:jc w:val="center"/>
        <w:spacing w:line="360" w:lineRule="auto"/>
        <w:rPr>
          <w:rFonts w:ascii="黑体" w:eastAsia="黑体"/>
          <w:sz w:val="36"/>
        </w:rPr>
        <w:outlineLvl w:val="0"/>
      </w:pPr>
      <w:r>
        <w:rPr>
          <w:rFonts w:ascii="黑体" w:eastAsia="黑体"/>
          <w:sz w:val="36"/>
        </w:rPr>
      </w:r>
      <w:r/>
    </w:p>
    <w:p>
      <w:pPr>
        <w:ind w:right="85"/>
        <w:jc w:val="center"/>
        <w:spacing w:line="360" w:lineRule="auto"/>
        <w:rPr>
          <w:rFonts w:ascii="黑体" w:eastAsia="黑体"/>
          <w:sz w:val="36"/>
        </w:rPr>
        <w:outlineLvl w:val="0"/>
      </w:pPr>
      <w:r>
        <w:rPr>
          <w:rFonts w:ascii="黑体" w:eastAsia="黑体"/>
          <w:sz w:val="36"/>
        </w:rPr>
      </w:r>
      <w:r/>
    </w:p>
    <w:p>
      <w:pPr>
        <w:pStyle w:val="784"/>
      </w:pPr>
      <w:r/>
      <w:r/>
    </w:p>
    <w:p>
      <w:r/>
      <w:r/>
    </w:p>
    <w:p>
      <w:pPr>
        <w:pStyle w:val="784"/>
      </w:pPr>
      <w:r/>
      <w:r/>
    </w:p>
    <w:p>
      <w:r/>
      <w:r/>
    </w:p>
    <w:p>
      <w:pPr>
        <w:pStyle w:val="784"/>
      </w:pPr>
      <w:r/>
      <w:r/>
    </w:p>
    <w:p>
      <w:r/>
      <w:r/>
    </w:p>
    <w:p>
      <w:pPr>
        <w:pStyle w:val="784"/>
      </w:pPr>
      <w:r/>
      <w:r/>
    </w:p>
    <w:p>
      <w:r/>
      <w:r/>
    </w:p>
    <w:p>
      <w:pPr>
        <w:pStyle w:val="784"/>
      </w:pPr>
      <w:r/>
      <w:r/>
    </w:p>
    <w:p>
      <w:pPr>
        <w:pStyle w:val="784"/>
      </w:pPr>
      <w:r/>
      <w:r/>
    </w:p>
    <w:p>
      <w:r/>
      <w:r/>
    </w:p>
    <w:p>
      <w:pPr>
        <w:pStyle w:val="784"/>
      </w:pPr>
      <w:r/>
      <w:r/>
    </w:p>
    <w:p>
      <w:r/>
      <w:r/>
    </w:p>
    <w:p>
      <w:pPr>
        <w:ind w:right="85"/>
        <w:jc w:val="center"/>
        <w:spacing w:line="360" w:lineRule="auto"/>
        <w:rPr>
          <w:rFonts w:ascii="黑体" w:eastAsia="黑体"/>
          <w:sz w:val="36"/>
        </w:rPr>
        <w:outlineLvl w:val="0"/>
      </w:pPr>
      <w:r>
        <w:rPr>
          <w:rFonts w:hint="eastAsia" w:ascii="黑体" w:eastAsia="黑体"/>
          <w:sz w:val="36"/>
        </w:rPr>
        <w:t xml:space="preserve">第六章投标文件格式及附件</w:t>
      </w:r>
      <w:bookmarkEnd w:id="28"/>
      <w:r/>
      <w:r/>
    </w:p>
    <w:p>
      <w:pPr>
        <w:spacing w:line="360" w:lineRule="auto"/>
        <w:rPr>
          <w:rFonts w:ascii="黑体"/>
          <w:sz w:val="36"/>
          <w:szCs w:val="21"/>
        </w:rPr>
      </w:pPr>
      <w:r>
        <w:rPr>
          <w:rFonts w:ascii="黑体"/>
          <w:sz w:val="36"/>
          <w:szCs w:val="21"/>
        </w:rPr>
      </w:r>
      <w:r/>
    </w:p>
    <w:p>
      <w:pPr>
        <w:spacing w:line="360" w:lineRule="auto"/>
        <w:rPr>
          <w:rFonts w:ascii="黑体"/>
          <w:sz w:val="36"/>
          <w:szCs w:val="21"/>
        </w:rPr>
      </w:pPr>
      <w:r>
        <w:rPr>
          <w:rFonts w:ascii="黑体"/>
          <w:sz w:val="36"/>
          <w:szCs w:val="21"/>
        </w:rPr>
      </w:r>
      <w:r/>
    </w:p>
    <w:p>
      <w:pPr>
        <w:spacing w:line="360" w:lineRule="auto"/>
        <w:rPr>
          <w:rFonts w:ascii="黑体"/>
          <w:sz w:val="36"/>
          <w:szCs w:val="21"/>
        </w:rPr>
      </w:pPr>
      <w:r>
        <w:rPr>
          <w:rFonts w:ascii="黑体"/>
          <w:sz w:val="36"/>
          <w:szCs w:val="21"/>
        </w:rPr>
      </w:r>
      <w:r/>
    </w:p>
    <w:p>
      <w:pPr>
        <w:ind w:right="87"/>
        <w:jc w:val="center"/>
        <w:spacing w:line="360" w:lineRule="auto"/>
        <w:rPr>
          <w:b/>
          <w:sz w:val="72"/>
        </w:rPr>
      </w:pPr>
      <w:r>
        <w:rPr>
          <w:b/>
          <w:sz w:val="72"/>
        </w:rPr>
        <w:t xml:space="preserve">投标文件</w:t>
      </w:r>
      <w:r/>
    </w:p>
    <w:p>
      <w:pPr>
        <w:spacing w:line="360" w:lineRule="auto"/>
        <w:rPr>
          <w:b/>
          <w:sz w:val="72"/>
          <w:szCs w:val="21"/>
        </w:rPr>
      </w:pPr>
      <w:r>
        <w:rPr>
          <w:b/>
          <w:sz w:val="72"/>
          <w:szCs w:val="21"/>
        </w:rPr>
      </w:r>
      <w:r/>
    </w:p>
    <w:p>
      <w:pPr>
        <w:spacing w:line="360" w:lineRule="auto"/>
        <w:rPr>
          <w:b/>
          <w:sz w:val="72"/>
          <w:szCs w:val="21"/>
        </w:rPr>
      </w:pPr>
      <w:r>
        <w:rPr>
          <w:b/>
          <w:sz w:val="72"/>
          <w:szCs w:val="21"/>
        </w:rPr>
      </w:r>
      <w:r/>
    </w:p>
    <w:p>
      <w:pPr>
        <w:ind w:left="1308" w:right="52"/>
        <w:spacing w:line="360" w:lineRule="auto"/>
        <w:rPr>
          <w:b/>
          <w:sz w:val="36"/>
        </w:rPr>
      </w:pPr>
      <w:r>
        <w:rPr>
          <w:b/>
          <w:sz w:val="36"/>
        </w:rPr>
        <w:t xml:space="preserve">项目编号： </w:t>
      </w:r>
      <w:r/>
    </w:p>
    <w:p>
      <w:pPr>
        <w:ind w:left="1308" w:right="52"/>
        <w:spacing w:line="360" w:lineRule="auto"/>
        <w:rPr>
          <w:b/>
          <w:sz w:val="36"/>
        </w:rPr>
      </w:pPr>
      <w:r>
        <w:rPr>
          <w:b/>
          <w:sz w:val="36"/>
        </w:rPr>
        <w:t xml:space="preserve">项目名称：</w:t>
      </w:r>
      <w:r/>
    </w:p>
    <w:p>
      <w:pPr>
        <w:ind w:left="223" w:right="52" w:firstLine="1084"/>
        <w:spacing w:line="360" w:lineRule="auto"/>
        <w:rPr>
          <w:b/>
          <w:sz w:val="36"/>
        </w:rPr>
      </w:pPr>
      <w:r>
        <w:rPr>
          <w:b/>
          <w:sz w:val="36"/>
        </w:rPr>
        <w:t xml:space="preserve">供应商名称： </w:t>
      </w:r>
      <w:r/>
    </w:p>
    <w:p>
      <w:pPr>
        <w:ind w:left="223" w:right="52" w:firstLine="1084"/>
        <w:spacing w:line="360" w:lineRule="auto"/>
        <w:rPr>
          <w:sz w:val="36"/>
        </w:rPr>
        <w:sectPr>
          <w:headerReference w:type="default" r:id="rId9"/>
          <w:footerReference w:type="default" r:id="rId11"/>
          <w:footnotePr/>
          <w:endnotePr/>
          <w:type w:val="nextPage"/>
          <w:pgSz w:w="11910" w:h="16840" w:orient="portrait"/>
          <w:pgMar w:top="1134" w:right="1134" w:bottom="1134" w:left="1134" w:header="567" w:footer="567" w:gutter="0"/>
          <w:cols w:num="1" w:sep="0" w:space="720" w:equalWidth="1"/>
          <w:docGrid w:linePitch="360"/>
        </w:sectPr>
      </w:pPr>
      <w:r>
        <w:rPr>
          <w:b/>
          <w:sz w:val="36"/>
        </w:rPr>
        <w:t xml:space="preserve">日期：</w:t>
      </w:r>
      <w:r/>
    </w:p>
    <w:p>
      <w:pPr>
        <w:spacing w:line="360" w:lineRule="auto"/>
        <w:rPr>
          <w:b/>
          <w:sz w:val="17"/>
          <w:szCs w:val="21"/>
        </w:rPr>
      </w:pPr>
      <w:r>
        <w:rPr>
          <w:b/>
          <w:sz w:val="17"/>
          <w:szCs w:val="21"/>
        </w:rPr>
      </w:r>
      <w:r/>
    </w:p>
    <w:p>
      <w:pPr>
        <w:jc w:val="center"/>
        <w:spacing w:line="360" w:lineRule="auto"/>
        <w:rPr>
          <w:b/>
          <w:sz w:val="48"/>
          <w:szCs w:val="48"/>
        </w:rPr>
      </w:pPr>
      <w:r>
        <w:rPr>
          <w:rFonts w:hint="eastAsia"/>
          <w:b/>
          <w:sz w:val="48"/>
          <w:szCs w:val="48"/>
        </w:rPr>
        <w:t xml:space="preserve">目录</w:t>
      </w:r>
      <w:r/>
    </w:p>
    <w:p>
      <w:pPr>
        <w:ind w:firstLine="301"/>
        <w:jc w:val="both"/>
        <w:spacing w:line="200" w:lineRule="exact"/>
        <w:rPr>
          <w:rFonts w:hAnsi="Courier New"/>
          <w:b/>
          <w:sz w:val="48"/>
          <w:szCs w:val="48"/>
        </w:rPr>
      </w:pPr>
      <w:r>
        <w:rPr>
          <w:rFonts w:hAnsi="Courier New"/>
          <w:b/>
          <w:sz w:val="48"/>
          <w:szCs w:val="48"/>
        </w:rPr>
      </w:r>
      <w:r/>
    </w:p>
    <w:p>
      <w:pPr>
        <w:jc w:val="both"/>
        <w:rPr>
          <w:rFonts w:ascii="Arial" w:hAnsi="Arial"/>
          <w:b/>
          <w:sz w:val="48"/>
          <w:szCs w:val="48"/>
        </w:rPr>
      </w:pPr>
      <w:r>
        <w:rPr>
          <w:rFonts w:ascii="Arial" w:hAnsi="Arial"/>
          <w:b/>
          <w:sz w:val="48"/>
          <w:szCs w:val="48"/>
        </w:rPr>
      </w:r>
      <w:r/>
    </w:p>
    <w:p>
      <w:pPr>
        <w:jc w:val="both"/>
        <w:rPr>
          <w:rFonts w:ascii="Arial" w:hAnsi="Arial"/>
          <w:b/>
          <w:sz w:val="48"/>
          <w:szCs w:val="48"/>
        </w:rPr>
      </w:pPr>
      <w:r>
        <w:rPr>
          <w:rFonts w:ascii="Arial" w:hAnsi="Arial"/>
          <w:b/>
          <w:sz w:val="48"/>
          <w:szCs w:val="48"/>
        </w:rPr>
      </w:r>
      <w:r/>
    </w:p>
    <w:p>
      <w:pPr>
        <w:spacing w:line="360" w:lineRule="auto"/>
        <w:rPr>
          <w:rFonts w:ascii="Times New Roman"/>
          <w:sz w:val="20"/>
        </w:rPr>
        <w:sectPr>
          <w:footnotePr/>
          <w:endnotePr/>
          <w:type w:val="nextPage"/>
          <w:pgSz w:w="11910" w:h="16840" w:orient="portrait"/>
          <w:pgMar w:top="1134" w:right="1134" w:bottom="1134" w:left="1134" w:header="567" w:footer="720" w:gutter="0"/>
          <w:cols w:num="1" w:sep="0" w:space="720" w:equalWidth="1"/>
          <w:docGrid w:linePitch="360"/>
        </w:sectPr>
      </w:pPr>
      <w:r>
        <w:rPr>
          <w:rFonts w:hint="eastAsia"/>
          <w:b/>
          <w:sz w:val="24"/>
          <w:szCs w:val="24"/>
          <w:lang w:val="en-US"/>
        </w:rPr>
        <w:t xml:space="preserve">（供应商应按照招标文件要求编制投标文件，投标文件封面上显著位置标明正本、副本，目录、页码、索引准确，印刷清晰，并在投标文件中提供评分页码索引表以供查阅）</w:t>
      </w:r>
      <w:r/>
    </w:p>
    <w:p>
      <w:pPr>
        <w:spacing w:line="360" w:lineRule="auto"/>
        <w:rPr>
          <w:b/>
          <w:sz w:val="21"/>
        </w:rPr>
      </w:pPr>
      <w:r>
        <w:rPr>
          <w:b/>
          <w:sz w:val="21"/>
        </w:rPr>
      </w:r>
      <w:r/>
    </w:p>
    <w:p>
      <w:pPr>
        <w:spacing w:line="360" w:lineRule="auto"/>
        <w:rPr>
          <w:b/>
          <w:sz w:val="21"/>
        </w:rPr>
      </w:pPr>
      <w:r>
        <w:rPr>
          <w:b/>
          <w:sz w:val="21"/>
        </w:rPr>
      </w:r>
      <w:r/>
    </w:p>
    <w:p>
      <w:pPr>
        <w:spacing w:line="360" w:lineRule="auto"/>
        <w:rPr>
          <w:b/>
          <w:sz w:val="21"/>
        </w:rPr>
      </w:pPr>
      <w:r>
        <w:rPr>
          <w:b/>
          <w:sz w:val="21"/>
        </w:rPr>
      </w:r>
      <w:r/>
    </w:p>
    <w:p>
      <w:pPr>
        <w:spacing w:line="360" w:lineRule="auto"/>
        <w:rPr>
          <w:b/>
          <w:sz w:val="21"/>
        </w:rPr>
      </w:pPr>
      <w:r>
        <w:rPr>
          <w:b/>
          <w:sz w:val="21"/>
        </w:rPr>
      </w:r>
      <w:r/>
    </w:p>
    <w:p>
      <w:pPr>
        <w:spacing w:line="360" w:lineRule="auto"/>
        <w:rPr>
          <w:b/>
          <w:sz w:val="21"/>
        </w:rPr>
      </w:pPr>
      <w:r>
        <w:rPr>
          <w:b/>
          <w:sz w:val="21"/>
        </w:rPr>
      </w:r>
      <w:r/>
    </w:p>
    <w:p>
      <w:pPr>
        <w:spacing w:line="360" w:lineRule="auto"/>
        <w:rPr>
          <w:b/>
          <w:sz w:val="21"/>
        </w:rPr>
      </w:pPr>
      <w:r>
        <w:rPr>
          <w:b/>
          <w:sz w:val="21"/>
        </w:rPr>
      </w:r>
      <w:r/>
    </w:p>
    <w:p>
      <w:pPr>
        <w:spacing w:line="360" w:lineRule="auto"/>
        <w:rPr>
          <w:b/>
          <w:sz w:val="21"/>
        </w:rPr>
      </w:pPr>
      <w:r>
        <w:rPr>
          <w:b/>
          <w:sz w:val="21"/>
        </w:rPr>
      </w:r>
      <w:r/>
    </w:p>
    <w:p>
      <w:pPr>
        <w:spacing w:line="360" w:lineRule="auto"/>
        <w:rPr>
          <w:b/>
          <w:sz w:val="21"/>
        </w:rPr>
      </w:pPr>
      <w:r>
        <w:rPr>
          <w:b/>
          <w:sz w:val="21"/>
        </w:rPr>
      </w:r>
      <w:r/>
    </w:p>
    <w:p>
      <w:pPr>
        <w:spacing w:line="360" w:lineRule="auto"/>
        <w:rPr>
          <w:b/>
          <w:sz w:val="21"/>
        </w:rPr>
      </w:pPr>
      <w:r>
        <w:rPr>
          <w:b/>
          <w:sz w:val="21"/>
        </w:rPr>
      </w:r>
      <w:r/>
    </w:p>
    <w:p>
      <w:pPr>
        <w:spacing w:line="360" w:lineRule="auto"/>
        <w:rPr>
          <w:b/>
          <w:sz w:val="21"/>
        </w:rPr>
      </w:pPr>
      <w:r>
        <w:rPr>
          <w:b/>
          <w:sz w:val="21"/>
        </w:rPr>
      </w:r>
      <w:r/>
    </w:p>
    <w:p>
      <w:pPr>
        <w:spacing w:line="360" w:lineRule="auto"/>
        <w:rPr>
          <w:b/>
          <w:sz w:val="21"/>
        </w:rPr>
      </w:pPr>
      <w:r>
        <w:rPr>
          <w:b/>
          <w:sz w:val="21"/>
        </w:rPr>
      </w:r>
      <w:r/>
    </w:p>
    <w:p>
      <w:pPr>
        <w:spacing w:line="360" w:lineRule="auto"/>
        <w:rPr>
          <w:b/>
          <w:sz w:val="21"/>
        </w:rPr>
      </w:pPr>
      <w:r>
        <w:rPr>
          <w:b/>
          <w:sz w:val="21"/>
        </w:rPr>
      </w:r>
      <w:r/>
    </w:p>
    <w:p>
      <w:pPr>
        <w:spacing w:line="360" w:lineRule="auto"/>
        <w:rPr>
          <w:b/>
          <w:sz w:val="21"/>
        </w:rPr>
      </w:pPr>
      <w:r>
        <w:rPr>
          <w:b/>
          <w:sz w:val="21"/>
        </w:rPr>
      </w:r>
      <w:r/>
    </w:p>
    <w:p>
      <w:pPr>
        <w:spacing w:line="360" w:lineRule="auto"/>
        <w:rPr>
          <w:b/>
          <w:sz w:val="21"/>
        </w:rPr>
      </w:pPr>
      <w:r>
        <w:rPr>
          <w:b/>
          <w:sz w:val="21"/>
        </w:rPr>
      </w:r>
      <w:r/>
    </w:p>
    <w:p>
      <w:pPr>
        <w:spacing w:line="360" w:lineRule="auto"/>
        <w:rPr>
          <w:b/>
          <w:sz w:val="21"/>
        </w:rPr>
      </w:pPr>
      <w:r>
        <w:rPr>
          <w:b/>
          <w:sz w:val="21"/>
        </w:rPr>
      </w:r>
      <w:r/>
    </w:p>
    <w:p>
      <w:pPr>
        <w:spacing w:line="360" w:lineRule="auto"/>
        <w:rPr>
          <w:b/>
          <w:sz w:val="21"/>
        </w:rPr>
      </w:pPr>
      <w:r>
        <w:rPr>
          <w:b/>
          <w:sz w:val="21"/>
        </w:rPr>
      </w:r>
      <w:r/>
    </w:p>
    <w:p>
      <w:pPr>
        <w:spacing w:line="360" w:lineRule="auto"/>
        <w:rPr>
          <w:b/>
          <w:sz w:val="21"/>
        </w:rPr>
      </w:pPr>
      <w:r>
        <w:rPr>
          <w:b/>
          <w:sz w:val="21"/>
        </w:rPr>
      </w:r>
      <w:r/>
    </w:p>
    <w:p>
      <w:pPr>
        <w:spacing w:line="360" w:lineRule="auto"/>
        <w:rPr>
          <w:b/>
          <w:sz w:val="21"/>
        </w:rPr>
      </w:pPr>
      <w:r>
        <w:rPr>
          <w:b/>
          <w:sz w:val="21"/>
        </w:rPr>
      </w:r>
      <w:r/>
    </w:p>
    <w:p>
      <w:pPr>
        <w:spacing w:line="360" w:lineRule="auto"/>
        <w:rPr>
          <w:b/>
          <w:sz w:val="21"/>
        </w:rPr>
      </w:pPr>
      <w:r>
        <w:rPr>
          <w:b/>
          <w:sz w:val="21"/>
        </w:rPr>
      </w:r>
      <w:r/>
    </w:p>
    <w:p>
      <w:pPr>
        <w:spacing w:line="360" w:lineRule="auto"/>
        <w:rPr>
          <w:b/>
          <w:sz w:val="21"/>
        </w:rPr>
      </w:pPr>
      <w:r>
        <w:rPr>
          <w:b/>
          <w:sz w:val="21"/>
        </w:rPr>
      </w:r>
      <w:r/>
    </w:p>
    <w:p>
      <w:pPr>
        <w:spacing w:line="360" w:lineRule="auto"/>
        <w:rPr>
          <w:b/>
          <w:sz w:val="21"/>
        </w:rPr>
      </w:pPr>
      <w:r>
        <w:rPr>
          <w:b/>
          <w:sz w:val="21"/>
        </w:rPr>
      </w:r>
      <w:r/>
    </w:p>
    <w:p>
      <w:pPr>
        <w:spacing w:line="360" w:lineRule="auto"/>
        <w:rPr>
          <w:b/>
          <w:sz w:val="21"/>
        </w:rPr>
      </w:pPr>
      <w:r>
        <w:rPr>
          <w:b/>
          <w:sz w:val="21"/>
        </w:rPr>
      </w:r>
      <w:r/>
    </w:p>
    <w:p>
      <w:pPr>
        <w:spacing w:line="360" w:lineRule="auto"/>
        <w:rPr>
          <w:b/>
          <w:sz w:val="21"/>
        </w:rPr>
      </w:pPr>
      <w:r>
        <w:rPr>
          <w:b/>
          <w:sz w:val="21"/>
        </w:rPr>
      </w:r>
      <w:r/>
    </w:p>
    <w:p>
      <w:pPr>
        <w:spacing w:line="360" w:lineRule="auto"/>
        <w:rPr>
          <w:b/>
          <w:sz w:val="21"/>
        </w:rPr>
      </w:pPr>
      <w:r>
        <w:rPr>
          <w:b/>
          <w:sz w:val="21"/>
        </w:rPr>
      </w:r>
      <w:r/>
    </w:p>
    <w:p>
      <w:pPr>
        <w:spacing w:line="360" w:lineRule="auto"/>
        <w:rPr>
          <w:b/>
          <w:sz w:val="21"/>
        </w:rPr>
      </w:pPr>
      <w:r>
        <w:rPr>
          <w:b/>
          <w:sz w:val="21"/>
        </w:rPr>
      </w:r>
      <w:r/>
    </w:p>
    <w:p>
      <w:pPr>
        <w:spacing w:line="360" w:lineRule="auto"/>
        <w:rPr>
          <w:b/>
          <w:sz w:val="21"/>
        </w:rPr>
      </w:pPr>
      <w:r>
        <w:rPr>
          <w:b/>
          <w:sz w:val="21"/>
        </w:rPr>
      </w:r>
      <w:r/>
    </w:p>
    <w:p>
      <w:pPr>
        <w:spacing w:line="360" w:lineRule="auto"/>
        <w:rPr>
          <w:b/>
          <w:sz w:val="21"/>
        </w:rPr>
      </w:pPr>
      <w:r>
        <w:rPr>
          <w:b/>
          <w:sz w:val="21"/>
        </w:rPr>
      </w:r>
      <w:r/>
    </w:p>
    <w:p>
      <w:pPr>
        <w:spacing w:line="360" w:lineRule="auto"/>
        <w:rPr>
          <w:b/>
          <w:sz w:val="39"/>
        </w:rPr>
      </w:pPr>
      <w:r>
        <w:rPr>
          <w:b/>
          <w:sz w:val="21"/>
        </w:rPr>
        <w:t xml:space="preserve">目录一、投标申请及声明格式</w:t>
      </w:r>
      <w:r/>
    </w:p>
    <w:p>
      <w:pPr>
        <w:jc w:val="center"/>
        <w:spacing w:line="360" w:lineRule="auto"/>
        <w:rPr>
          <w:rFonts w:asciiTheme="minorEastAsia" w:hAnsiTheme="minorEastAsia" w:eastAsiaTheme="minorEastAsia"/>
          <w:b/>
          <w:sz w:val="36"/>
        </w:rPr>
      </w:pPr>
      <w:r>
        <w:rPr>
          <w:rFonts w:hint="eastAsia" w:asciiTheme="minorEastAsia" w:hAnsiTheme="minorEastAsia" w:eastAsiaTheme="minorEastAsia"/>
          <w:b/>
          <w:sz w:val="36"/>
        </w:rPr>
        <w:t xml:space="preserve">投标申请及声明</w:t>
      </w:r>
      <w:r/>
    </w:p>
    <w:p>
      <w:pPr>
        <w:spacing w:line="360" w:lineRule="auto"/>
        <w:rPr>
          <w:rFonts w:ascii="黑体" w:eastAsia="黑体"/>
          <w:sz w:val="36"/>
        </w:rPr>
        <w:sectPr>
          <w:footnotePr/>
          <w:endnotePr/>
          <w:type w:val="continuous"/>
          <w:pgSz w:w="11910" w:h="16840" w:orient="portrait"/>
          <w:pgMar w:top="1134" w:right="1134" w:bottom="1134" w:left="1134" w:header="567" w:footer="720" w:gutter="0"/>
          <w:cols w:num="1" w:sep="0" w:space="425" w:equalWidth="1"/>
          <w:docGrid w:linePitch="360"/>
        </w:sectPr>
      </w:pPr>
      <w:r>
        <w:rPr>
          <w:rFonts w:ascii="黑体" w:eastAsia="黑体"/>
          <w:sz w:val="36"/>
        </w:rPr>
      </w:r>
      <w:r/>
    </w:p>
    <w:p>
      <w:pPr>
        <w:spacing w:line="360" w:lineRule="auto"/>
        <w:rPr>
          <w:rFonts w:ascii="黑体"/>
          <w:sz w:val="8"/>
          <w:szCs w:val="21"/>
        </w:rPr>
      </w:pPr>
      <w:r>
        <w:rPr>
          <w:rFonts w:ascii="黑体"/>
          <w:sz w:val="8"/>
          <w:szCs w:val="21"/>
        </w:rPr>
      </w:r>
      <w:r/>
    </w:p>
    <w:p>
      <w:pPr>
        <w:spacing w:line="360" w:lineRule="auto"/>
        <w:rPr>
          <w:sz w:val="21"/>
          <w:szCs w:val="21"/>
        </w:rPr>
      </w:pPr>
      <w:r>
        <w:rPr>
          <w:sz w:val="21"/>
          <w:szCs w:val="21"/>
        </w:rPr>
        <w:t xml:space="preserve">致：</w:t>
      </w:r>
      <w:r>
        <w:rPr>
          <w:rFonts w:hint="eastAsia"/>
          <w:sz w:val="21"/>
          <w:szCs w:val="21"/>
        </w:rPr>
        <w:t xml:space="preserve">江苏开放大学</w:t>
      </w:r>
      <w:r/>
    </w:p>
    <w:p>
      <w:pPr>
        <w:ind w:firstLine="420"/>
        <w:spacing w:line="360" w:lineRule="auto"/>
        <w:rPr>
          <w:sz w:val="21"/>
          <w:szCs w:val="21"/>
        </w:rPr>
      </w:pPr>
      <w:r>
        <w:rPr>
          <w:sz w:val="21"/>
          <w:szCs w:val="21"/>
        </w:rPr>
        <w:t xml:space="preserve">根据贵方</w:t>
      </w:r>
      <w:r>
        <w:rPr>
          <w:sz w:val="21"/>
          <w:szCs w:val="21"/>
          <w:u w:val="single"/>
        </w:rPr>
        <w:t xml:space="preserve">（项目名称）（项目编号）</w:t>
      </w:r>
      <w:r>
        <w:rPr>
          <w:sz w:val="21"/>
          <w:szCs w:val="21"/>
        </w:rPr>
        <w:t xml:space="preserve">投标邀请，正式授权下述签字人</w:t>
      </w:r>
      <w:r>
        <w:rPr>
          <w:sz w:val="21"/>
          <w:szCs w:val="21"/>
          <w:u w:val="single"/>
        </w:rPr>
        <w:t xml:space="preserve">(姓名和职务)</w:t>
      </w:r>
      <w:r>
        <w:rPr>
          <w:sz w:val="21"/>
          <w:szCs w:val="21"/>
        </w:rPr>
        <w:t xml:space="preserve">代表供应商</w:t>
      </w:r>
      <w:r>
        <w:rPr>
          <w:sz w:val="21"/>
          <w:szCs w:val="21"/>
          <w:u w:val="single"/>
        </w:rPr>
        <w:t xml:space="preserve">（供应商名称）</w:t>
      </w:r>
      <w:r>
        <w:rPr>
          <w:sz w:val="21"/>
          <w:szCs w:val="21"/>
        </w:rPr>
        <w:t xml:space="preserve">，提交投标文件。</w:t>
      </w:r>
      <w:r/>
    </w:p>
    <w:p>
      <w:pPr>
        <w:ind w:firstLine="420"/>
        <w:spacing w:line="360" w:lineRule="auto"/>
        <w:rPr>
          <w:sz w:val="21"/>
          <w:szCs w:val="21"/>
        </w:rPr>
      </w:pPr>
      <w:r>
        <w:rPr>
          <w:sz w:val="21"/>
          <w:szCs w:val="21"/>
        </w:rPr>
        <w:t xml:space="preserve">据此函，签字人兹宣布声明和承诺如下：</w:t>
      </w:r>
      <w:r/>
    </w:p>
    <w:p>
      <w:pPr>
        <w:ind w:firstLine="420"/>
        <w:spacing w:line="360" w:lineRule="auto"/>
        <w:rPr>
          <w:sz w:val="21"/>
        </w:rPr>
      </w:pPr>
      <w:r>
        <w:rPr>
          <w:rFonts w:hint="eastAsia"/>
          <w:sz w:val="21"/>
        </w:rPr>
        <w:t xml:space="preserve">1、</w:t>
      </w:r>
      <w:r>
        <w:rPr>
          <w:sz w:val="21"/>
        </w:rPr>
        <w:t xml:space="preserve">我方针对本项目的报价</w:t>
      </w:r>
      <w:r>
        <w:rPr>
          <w:rFonts w:hint="eastAsia"/>
          <w:sz w:val="21"/>
        </w:rPr>
        <w:t xml:space="preserve">总</w:t>
      </w:r>
      <w:r>
        <w:rPr>
          <w:sz w:val="21"/>
        </w:rPr>
        <w:t xml:space="preserve">价为</w:t>
      </w:r>
      <w:r>
        <w:rPr>
          <w:rFonts w:hint="eastAsia"/>
          <w:sz w:val="21"/>
        </w:rPr>
        <w:t xml:space="preserve">人民币</w:t>
      </w:r>
      <w:r>
        <w:rPr>
          <w:sz w:val="21"/>
          <w:u w:val="single"/>
        </w:rPr>
        <w:t xml:space="preserve">（</w:t>
      </w:r>
      <w:r>
        <w:rPr>
          <w:rFonts w:hint="eastAsia"/>
          <w:sz w:val="21"/>
          <w:u w:val="single"/>
        </w:rPr>
        <w:t xml:space="preserve">大写：</w:t>
      </w:r>
      <w:r>
        <w:rPr>
          <w:rFonts w:hint="eastAsia"/>
          <w:sz w:val="21"/>
          <w:u w:val="single"/>
          <w:lang w:val="en-US"/>
        </w:rPr>
        <w:t xml:space="preserve">元/年，元/两年</w:t>
      </w:r>
      <w:r>
        <w:rPr>
          <w:sz w:val="21"/>
          <w:u w:val="single"/>
        </w:rPr>
        <w:t xml:space="preserve">）</w:t>
      </w:r>
      <w:r>
        <w:rPr>
          <w:rFonts w:hint="eastAsia"/>
          <w:sz w:val="21"/>
        </w:rPr>
        <w:t xml:space="preserve">（¥</w:t>
      </w:r>
      <w:r>
        <w:rPr>
          <w:rFonts w:hint="eastAsia"/>
          <w:sz w:val="21"/>
          <w:u w:val="single"/>
        </w:rPr>
        <w:t xml:space="preserve">（小写：</w:t>
      </w:r>
      <w:r>
        <w:rPr>
          <w:rFonts w:hint="eastAsia"/>
          <w:sz w:val="21"/>
          <w:u w:val="single"/>
          <w:lang w:val="en-US"/>
        </w:rPr>
        <w:t xml:space="preserve">元/年，元/两年</w:t>
      </w:r>
      <w:r>
        <w:rPr>
          <w:rFonts w:hint="eastAsia"/>
          <w:sz w:val="21"/>
          <w:u w:val="single"/>
        </w:rPr>
        <w:t xml:space="preserve">）</w:t>
      </w:r>
      <w:r>
        <w:rPr>
          <w:rFonts w:hint="eastAsia"/>
          <w:sz w:val="21"/>
        </w:rPr>
        <w:t xml:space="preserve">）。</w:t>
      </w:r>
      <w:r/>
    </w:p>
    <w:p>
      <w:pPr>
        <w:ind w:firstLine="420"/>
        <w:spacing w:line="360" w:lineRule="auto"/>
        <w:rPr>
          <w:sz w:val="21"/>
        </w:rPr>
      </w:pPr>
      <w:r>
        <w:rPr>
          <w:rFonts w:hint="eastAsia"/>
          <w:sz w:val="21"/>
        </w:rPr>
        <w:t xml:space="preserve">2、</w:t>
      </w:r>
      <w:r>
        <w:rPr>
          <w:sz w:val="21"/>
        </w:rPr>
        <w:t xml:space="preserve">我方拟派项目负责人为</w:t>
      </w:r>
      <w:r>
        <w:rPr>
          <w:rFonts w:hint="eastAsia"/>
          <w:sz w:val="21"/>
          <w:u w:val="single"/>
        </w:rPr>
        <w:t xml:space="preserve"> </w:t>
      </w:r>
      <w:r>
        <w:rPr>
          <w:sz w:val="21"/>
          <w:u w:val="single"/>
        </w:rPr>
        <w:t xml:space="preserve">    </w:t>
      </w:r>
      <w:r>
        <w:rPr>
          <w:sz w:val="21"/>
        </w:rPr>
        <w:t xml:space="preserve"> </w:t>
      </w:r>
      <w:r>
        <w:rPr>
          <w:rFonts w:hint="eastAsia"/>
          <w:sz w:val="21"/>
        </w:rPr>
        <w:t xml:space="preserve">。</w:t>
      </w:r>
      <w:r/>
    </w:p>
    <w:p>
      <w:pPr>
        <w:ind w:firstLine="420"/>
        <w:spacing w:line="360" w:lineRule="auto"/>
        <w:rPr>
          <w:sz w:val="21"/>
        </w:rPr>
      </w:pPr>
      <w:r>
        <w:rPr>
          <w:rFonts w:hint="eastAsia"/>
          <w:sz w:val="21"/>
        </w:rPr>
        <w:t xml:space="preserve">3、</w:t>
      </w:r>
      <w:r>
        <w:rPr>
          <w:sz w:val="21"/>
        </w:rPr>
        <w:t xml:space="preserve">我方服务期为</w:t>
      </w:r>
      <w:r>
        <w:rPr>
          <w:rFonts w:hint="eastAsia"/>
          <w:sz w:val="21"/>
          <w:u w:val="single"/>
        </w:rPr>
        <w:t xml:space="preserve">满足招标文件要求</w:t>
      </w:r>
      <w:r>
        <w:rPr>
          <w:rFonts w:hint="eastAsia"/>
          <w:sz w:val="21"/>
        </w:rPr>
        <w:t xml:space="preserve">。</w:t>
      </w:r>
      <w:r/>
    </w:p>
    <w:p>
      <w:pPr>
        <w:ind w:firstLine="420"/>
        <w:spacing w:line="360" w:lineRule="auto"/>
        <w:rPr>
          <w:sz w:val="21"/>
        </w:rPr>
      </w:pPr>
      <w:r>
        <w:rPr>
          <w:sz w:val="21"/>
        </w:rPr>
        <w:t xml:space="preserve">4</w:t>
      </w:r>
      <w:r>
        <w:rPr>
          <w:rFonts w:hint="eastAsia"/>
          <w:sz w:val="21"/>
        </w:rPr>
        <w:t xml:space="preserve">、</w:t>
      </w:r>
      <w:r>
        <w:rPr>
          <w:sz w:val="21"/>
        </w:rPr>
        <w:t xml:space="preserve">我们的资格条件完全符合</w:t>
      </w:r>
      <w:r>
        <w:rPr>
          <w:rFonts w:hint="eastAsia"/>
          <w:sz w:val="21"/>
        </w:rPr>
        <w:t xml:space="preserve">有关法律</w:t>
      </w:r>
      <w:r>
        <w:rPr>
          <w:sz w:val="21"/>
        </w:rPr>
        <w:t xml:space="preserve">法规规定和本次招标要求，我们同意并向贵方提供了与本次招标活动有关的所有证据和资料。    </w:t>
      </w:r>
      <w:r/>
    </w:p>
    <w:p>
      <w:pPr>
        <w:ind w:firstLine="420"/>
        <w:spacing w:line="360" w:lineRule="auto"/>
        <w:rPr>
          <w:sz w:val="21"/>
        </w:rPr>
      </w:pPr>
      <w:r>
        <w:rPr>
          <w:sz w:val="21"/>
        </w:rPr>
        <w:t xml:space="preserve">5</w:t>
      </w:r>
      <w:r>
        <w:rPr>
          <w:rFonts w:hint="eastAsia"/>
          <w:sz w:val="21"/>
        </w:rPr>
        <w:t xml:space="preserve">、</w:t>
      </w:r>
      <w:r>
        <w:rPr>
          <w:sz w:val="21"/>
        </w:rPr>
        <w:t xml:space="preserve">我们已详细审核全部招标文件及其有效补充文件，我们放弃对招标文件任何误解的权利，提交投标文件后，不对招标文件本身提出质疑。否则，属于不诚信和故意扰乱采购活动行为，我们将无条件接受处罚。</w:t>
      </w:r>
      <w:r/>
    </w:p>
    <w:p>
      <w:pPr>
        <w:ind w:firstLine="420"/>
        <w:spacing w:line="360" w:lineRule="auto"/>
        <w:rPr>
          <w:sz w:val="21"/>
        </w:rPr>
      </w:pPr>
      <w:r>
        <w:rPr>
          <w:sz w:val="21"/>
        </w:rPr>
        <w:t xml:space="preserve">6</w:t>
      </w:r>
      <w:r>
        <w:rPr>
          <w:rFonts w:hint="eastAsia"/>
          <w:sz w:val="21"/>
        </w:rPr>
        <w:t xml:space="preserve">、</w:t>
      </w:r>
      <w:r>
        <w:rPr>
          <w:sz w:val="21"/>
        </w:rPr>
        <w:t xml:space="preserve">我们同意在本项目招标文件中规定的开标之日起</w:t>
      </w:r>
      <w:r>
        <w:rPr>
          <w:rFonts w:hint="eastAsia"/>
          <w:sz w:val="21"/>
        </w:rPr>
        <w:t xml:space="preserve">6</w:t>
      </w:r>
      <w:r>
        <w:rPr>
          <w:sz w:val="21"/>
        </w:rPr>
        <w:t xml:space="preserve">0天内遵守本投标文件中的承诺且在此期限期满之前均具有约束力。</w:t>
      </w:r>
      <w:r/>
    </w:p>
    <w:p>
      <w:pPr>
        <w:ind w:firstLine="420"/>
        <w:spacing w:line="360" w:lineRule="auto"/>
        <w:rPr>
          <w:sz w:val="21"/>
        </w:rPr>
      </w:pPr>
      <w:r>
        <w:rPr>
          <w:sz w:val="21"/>
        </w:rPr>
        <w:t xml:space="preserve">7</w:t>
      </w:r>
      <w:r>
        <w:rPr>
          <w:rFonts w:hint="eastAsia"/>
          <w:sz w:val="21"/>
        </w:rPr>
        <w:t xml:space="preserve">、</w:t>
      </w:r>
      <w:r>
        <w:rPr>
          <w:sz w:val="21"/>
        </w:rPr>
        <w:t xml:space="preserve">我们愿意向采购代理机构提供任何与本次招标有关的其他资料，并保证已提供和将要提供的文件是真实的、准确的。</w:t>
      </w:r>
      <w:r/>
    </w:p>
    <w:p>
      <w:pPr>
        <w:ind w:firstLine="420"/>
        <w:spacing w:line="360" w:lineRule="auto"/>
        <w:rPr>
          <w:sz w:val="21"/>
        </w:rPr>
      </w:pPr>
      <w:r>
        <w:rPr>
          <w:sz w:val="21"/>
        </w:rPr>
        <w:t xml:space="preserve">8</w:t>
      </w:r>
      <w:r>
        <w:rPr>
          <w:rFonts w:hint="eastAsia"/>
          <w:sz w:val="21"/>
        </w:rPr>
        <w:t xml:space="preserve">、</w:t>
      </w:r>
      <w:r>
        <w:rPr>
          <w:sz w:val="21"/>
        </w:rPr>
        <w:t xml:space="preserve">我们理解，你们无义务必须接受投标价最低的投标，并有权拒绝所有的投标。</w:t>
      </w:r>
      <w:r/>
    </w:p>
    <w:p>
      <w:pPr>
        <w:ind w:firstLine="420"/>
        <w:spacing w:line="360" w:lineRule="auto"/>
        <w:rPr>
          <w:sz w:val="21"/>
        </w:rPr>
      </w:pPr>
      <w:r>
        <w:rPr>
          <w:sz w:val="21"/>
        </w:rPr>
        <w:t xml:space="preserve">9</w:t>
      </w:r>
      <w:r>
        <w:rPr>
          <w:rFonts w:hint="eastAsia"/>
          <w:sz w:val="21"/>
        </w:rPr>
        <w:t xml:space="preserve">、</w:t>
      </w:r>
      <w:r>
        <w:rPr>
          <w:sz w:val="21"/>
        </w:rPr>
        <w:t xml:space="preserve">如果我们中标，本次招标文件和本投标文件（含承诺书）将作为采购合同的附件。我们将根据招标文件的规定严格履行合同，履行自己在投标文件中的全部承诺和责任。</w:t>
      </w:r>
      <w:r/>
    </w:p>
    <w:p>
      <w:pPr>
        <w:ind w:firstLine="420"/>
        <w:spacing w:line="360" w:lineRule="auto"/>
        <w:rPr>
          <w:sz w:val="21"/>
          <w:szCs w:val="21"/>
        </w:rPr>
      </w:pPr>
      <w:r>
        <w:rPr>
          <w:sz w:val="21"/>
        </w:rPr>
        <w:t xml:space="preserve">10</w:t>
      </w:r>
      <w:r>
        <w:rPr>
          <w:rFonts w:hint="eastAsia"/>
          <w:sz w:val="21"/>
        </w:rPr>
        <w:t xml:space="preserve">、</w:t>
      </w:r>
      <w:r>
        <w:rPr>
          <w:sz w:val="21"/>
        </w:rPr>
        <w:t xml:space="preserve">其它说明：</w:t>
      </w:r>
      <w:r/>
    </w:p>
    <w:p>
      <w:pPr>
        <w:ind w:firstLine="420"/>
        <w:spacing w:line="360" w:lineRule="auto"/>
        <w:rPr>
          <w:sz w:val="21"/>
          <w:szCs w:val="21"/>
        </w:rPr>
      </w:pPr>
      <w:r>
        <w:rPr>
          <w:sz w:val="21"/>
          <w:szCs w:val="21"/>
        </w:rPr>
        <w:t xml:space="preserve">11、与本投标有关的正式联系方式为： </w:t>
      </w:r>
      <w:r/>
    </w:p>
    <w:p>
      <w:pPr>
        <w:ind w:firstLine="420"/>
        <w:spacing w:line="360" w:lineRule="auto"/>
        <w:rPr>
          <w:sz w:val="21"/>
          <w:szCs w:val="21"/>
        </w:rPr>
      </w:pPr>
      <w:r>
        <w:rPr>
          <w:sz w:val="21"/>
          <w:szCs w:val="21"/>
        </w:rPr>
        <w:t xml:space="preserve">地址：</w:t>
      </w:r>
      <w:r/>
    </w:p>
    <w:p>
      <w:pPr>
        <w:ind w:firstLine="420"/>
        <w:spacing w:line="360" w:lineRule="auto"/>
        <w:rPr>
          <w:sz w:val="21"/>
          <w:szCs w:val="21"/>
        </w:rPr>
      </w:pPr>
      <w:r>
        <w:rPr>
          <w:sz w:val="21"/>
          <w:szCs w:val="21"/>
        </w:rPr>
        <w:t xml:space="preserve">电话： </w:t>
      </w:r>
      <w:r/>
    </w:p>
    <w:p>
      <w:pPr>
        <w:ind w:firstLine="420"/>
        <w:spacing w:line="360" w:lineRule="auto"/>
        <w:rPr>
          <w:sz w:val="21"/>
          <w:szCs w:val="21"/>
        </w:rPr>
      </w:pPr>
      <w:r>
        <w:rPr>
          <w:sz w:val="21"/>
          <w:szCs w:val="21"/>
        </w:rPr>
        <w:t xml:space="preserve">传真：</w:t>
      </w:r>
      <w:r/>
    </w:p>
    <w:p>
      <w:pPr>
        <w:ind w:firstLine="420"/>
        <w:spacing w:line="360" w:lineRule="auto"/>
        <w:rPr>
          <w:sz w:val="21"/>
          <w:szCs w:val="21"/>
        </w:rPr>
      </w:pPr>
      <w:r>
        <w:rPr>
          <w:sz w:val="21"/>
          <w:szCs w:val="21"/>
        </w:rPr>
        <w:t xml:space="preserve">开户银行： </w:t>
      </w:r>
      <w:r/>
    </w:p>
    <w:p>
      <w:pPr>
        <w:ind w:firstLine="420"/>
        <w:spacing w:line="360" w:lineRule="auto"/>
        <w:rPr>
          <w:sz w:val="21"/>
          <w:szCs w:val="21"/>
        </w:rPr>
      </w:pPr>
      <w:r>
        <w:rPr>
          <w:sz w:val="21"/>
          <w:szCs w:val="21"/>
        </w:rPr>
        <w:t xml:space="preserve">银行账号：</w:t>
      </w:r>
      <w:r/>
    </w:p>
    <w:p>
      <w:pPr>
        <w:ind w:firstLine="420"/>
        <w:spacing w:line="360" w:lineRule="auto"/>
        <w:tabs>
          <w:tab w:val="left" w:pos="9680" w:leader="none"/>
        </w:tabs>
        <w:rPr>
          <w:sz w:val="21"/>
          <w:szCs w:val="21"/>
        </w:rPr>
      </w:pPr>
      <w:r>
        <w:rPr>
          <w:sz w:val="21"/>
          <w:szCs w:val="21"/>
        </w:rPr>
        <w:t xml:space="preserve">供应商授权代表姓名（签</w:t>
      </w:r>
      <w:r>
        <w:rPr>
          <w:rFonts w:hint="eastAsia"/>
          <w:sz w:val="21"/>
          <w:szCs w:val="21"/>
        </w:rPr>
        <w:t xml:space="preserve">字</w:t>
      </w:r>
      <w:r>
        <w:rPr>
          <w:sz w:val="21"/>
          <w:szCs w:val="21"/>
        </w:rPr>
        <w:t xml:space="preserve">）：</w:t>
      </w:r>
      <w:r/>
    </w:p>
    <w:p>
      <w:pPr>
        <w:ind w:firstLine="420"/>
        <w:spacing w:line="360" w:lineRule="auto"/>
        <w:tabs>
          <w:tab w:val="left" w:pos="3520" w:leader="none"/>
        </w:tabs>
        <w:rPr>
          <w:sz w:val="21"/>
          <w:szCs w:val="21"/>
        </w:rPr>
      </w:pPr>
      <w:r>
        <w:rPr>
          <w:sz w:val="21"/>
          <w:szCs w:val="21"/>
        </w:rPr>
        <w:t xml:space="preserve">供应商名称（盖章）：</w:t>
      </w:r>
      <w:r/>
    </w:p>
    <w:p>
      <w:pPr>
        <w:ind w:firstLine="420"/>
        <w:spacing w:line="360" w:lineRule="auto"/>
        <w:sectPr>
          <w:footnotePr/>
          <w:endnotePr/>
          <w:type w:val="continuous"/>
          <w:pgSz w:w="11910" w:h="16840" w:orient="portrait"/>
          <w:pgMar w:top="1134" w:right="1134" w:bottom="1134" w:left="1134" w:header="720" w:footer="720" w:gutter="0"/>
          <w:cols w:num="1" w:sep="0" w:space="720" w:equalWidth="1"/>
          <w:docGrid w:linePitch="360"/>
        </w:sectPr>
      </w:pPr>
      <w:r>
        <w:rPr>
          <w:sz w:val="21"/>
          <w:szCs w:val="21"/>
        </w:rPr>
        <w:t xml:space="preserve">日期：年月日</w:t>
      </w:r>
      <w:r/>
    </w:p>
    <w:p>
      <w:pPr>
        <w:spacing w:line="360" w:lineRule="auto"/>
        <w:rPr>
          <w:b/>
          <w:sz w:val="21"/>
        </w:rPr>
      </w:pPr>
      <w:r>
        <w:rPr>
          <w:b/>
          <w:sz w:val="21"/>
        </w:rPr>
        <w:t xml:space="preserve">目录二、法定代表人授权书格</w:t>
      </w:r>
      <w:r/>
    </w:p>
    <w:p>
      <w:pPr>
        <w:jc w:val="center"/>
        <w:spacing w:line="360" w:lineRule="auto"/>
        <w:rPr>
          <w:rFonts w:asciiTheme="minorEastAsia" w:hAnsiTheme="minorEastAsia" w:eastAsiaTheme="minorEastAsia"/>
          <w:b/>
          <w:sz w:val="36"/>
        </w:rPr>
      </w:pPr>
      <w:r>
        <w:rPr>
          <w:rFonts w:hint="eastAsia" w:asciiTheme="minorEastAsia" w:hAnsiTheme="minorEastAsia" w:eastAsiaTheme="minorEastAsia"/>
          <w:b/>
          <w:sz w:val="36"/>
        </w:rPr>
        <w:t xml:space="preserve">法定代表人授权委托书</w:t>
      </w:r>
      <w:r/>
    </w:p>
    <w:p>
      <w:pPr>
        <w:spacing w:line="360" w:lineRule="auto"/>
        <w:rPr>
          <w:rFonts w:ascii="黑体" w:eastAsia="黑体"/>
          <w:sz w:val="36"/>
        </w:rPr>
        <w:sectPr>
          <w:footnotePr/>
          <w:endnotePr/>
          <w:type w:val="nextPage"/>
          <w:pgSz w:w="11910" w:h="16840" w:orient="portrait"/>
          <w:pgMar w:top="1134" w:right="1134" w:bottom="1134" w:left="1134" w:header="567" w:footer="720" w:gutter="0"/>
          <w:cols w:num="1" w:sep="0" w:space="425" w:equalWidth="1"/>
          <w:docGrid w:linePitch="360"/>
        </w:sectPr>
      </w:pPr>
      <w:r>
        <w:rPr>
          <w:rFonts w:ascii="黑体" w:eastAsia="黑体"/>
          <w:sz w:val="36"/>
        </w:rPr>
      </w:r>
      <w:r/>
    </w:p>
    <w:p>
      <w:pPr>
        <w:spacing w:line="360" w:lineRule="auto"/>
        <w:rPr>
          <w:sz w:val="21"/>
          <w:szCs w:val="21"/>
        </w:rPr>
      </w:pPr>
      <w:r>
        <w:rPr>
          <w:rFonts w:hint="eastAsia"/>
          <w:sz w:val="21"/>
          <w:szCs w:val="21"/>
        </w:rPr>
        <w:t xml:space="preserve">江苏开放大学</w:t>
      </w:r>
      <w:r>
        <w:rPr>
          <w:sz w:val="21"/>
          <w:szCs w:val="21"/>
        </w:rPr>
        <w:t xml:space="preserve">：</w:t>
      </w:r>
      <w:r/>
    </w:p>
    <w:p>
      <w:pPr>
        <w:ind w:firstLine="420"/>
        <w:jc w:val="both"/>
        <w:spacing w:line="360" w:lineRule="auto"/>
        <w:rPr>
          <w:rFonts w:hAnsi="Times New Roman" w:cs="Times New Roman"/>
          <w:sz w:val="21"/>
          <w:szCs w:val="21"/>
          <w:lang w:bidi="ar-SA"/>
        </w:rPr>
      </w:pPr>
      <w:r>
        <w:rPr>
          <w:rFonts w:hint="eastAsia" w:hAnsi="Times New Roman" w:cs="Times New Roman"/>
          <w:sz w:val="21"/>
          <w:szCs w:val="21"/>
          <w:lang w:bidi="ar-SA"/>
        </w:rPr>
        <w:t xml:space="preserve">本授权书声明：注册于（供应商住址）的（供应商名称）法定代表人（法定代表人姓名、职务）代表本公司授权在下面签字的（供应商代表姓名、职务）为本公司的合法代理人，就贵方组织的（项目名称）（项目编号）公开招标，以本公司名义处理一切与之有关的事务。</w:t>
      </w:r>
      <w:r/>
    </w:p>
    <w:p>
      <w:pPr>
        <w:ind w:firstLine="420"/>
        <w:jc w:val="both"/>
        <w:spacing w:line="360" w:lineRule="auto"/>
        <w:rPr>
          <w:rFonts w:hAnsi="Times New Roman" w:cs="Times New Roman"/>
          <w:sz w:val="21"/>
          <w:szCs w:val="21"/>
          <w:lang w:bidi="ar-SA"/>
        </w:rPr>
      </w:pPr>
      <w:r>
        <w:rPr>
          <w:rFonts w:hint="eastAsia" w:hAnsi="Times New Roman" w:cs="Times New Roman"/>
          <w:sz w:val="21"/>
          <w:szCs w:val="21"/>
          <w:lang w:bidi="ar-SA"/>
        </w:rPr>
        <w:t xml:space="preserve">本授权书于年月 日签字生效，特此声明。</w:t>
      </w:r>
      <w:r/>
    </w:p>
    <w:p>
      <w:pPr>
        <w:ind w:firstLine="420"/>
        <w:jc w:val="both"/>
        <w:spacing w:line="360" w:lineRule="auto"/>
        <w:rPr>
          <w:rFonts w:hAnsi="Times New Roman" w:cs="Times New Roman"/>
          <w:sz w:val="21"/>
          <w:szCs w:val="21"/>
          <w:lang w:bidi="ar-SA"/>
        </w:rPr>
      </w:pPr>
      <w:r>
        <w:rPr>
          <w:rFonts w:hint="eastAsia" w:hAnsi="Times New Roman" w:cs="Times New Roman"/>
          <w:sz w:val="21"/>
          <w:szCs w:val="21"/>
          <w:lang w:bidi="ar-SA"/>
        </w:rPr>
        <w:t xml:space="preserve">供应商名称（公章）：</w:t>
      </w:r>
      <w:r/>
    </w:p>
    <w:p>
      <w:pPr>
        <w:ind w:firstLine="420"/>
        <w:jc w:val="both"/>
        <w:spacing w:line="360" w:lineRule="auto"/>
        <w:rPr>
          <w:rFonts w:hAnsi="Times New Roman" w:cs="Times New Roman"/>
          <w:sz w:val="21"/>
          <w:szCs w:val="21"/>
          <w:lang w:bidi="ar-SA"/>
        </w:rPr>
      </w:pPr>
      <w:r>
        <w:rPr>
          <w:rFonts w:hint="eastAsia" w:hAnsi="Times New Roman" w:cs="Times New Roman"/>
          <w:sz w:val="21"/>
          <w:szCs w:val="21"/>
          <w:lang w:bidi="ar-SA"/>
        </w:rPr>
        <w:t xml:space="preserve">法定代表人：（签字）</w:t>
      </w:r>
      <w:r/>
    </w:p>
    <w:p>
      <w:pPr>
        <w:ind w:firstLine="420"/>
        <w:jc w:val="both"/>
        <w:spacing w:line="360" w:lineRule="auto"/>
        <w:rPr>
          <w:rFonts w:hAnsi="Times New Roman" w:cs="Times New Roman"/>
          <w:sz w:val="21"/>
          <w:szCs w:val="21"/>
          <w:lang w:bidi="ar-SA"/>
        </w:rPr>
      </w:pPr>
      <w:r>
        <w:rPr>
          <w:rFonts w:hint="eastAsia" w:hAnsi="Times New Roman" w:cs="Times New Roman"/>
          <w:sz w:val="21"/>
          <w:szCs w:val="21"/>
          <w:lang w:bidi="ar-SA"/>
        </w:rPr>
        <w:t xml:space="preserve">被授权人：（签字）</w:t>
      </w:r>
      <w:r/>
    </w:p>
    <w:p>
      <w:pPr>
        <w:ind w:firstLine="420"/>
        <w:jc w:val="both"/>
        <w:spacing w:line="360" w:lineRule="auto"/>
        <w:tabs>
          <w:tab w:val="left" w:pos="1440" w:leader="none"/>
        </w:tabs>
        <w:rPr>
          <w:rFonts w:hAnsi="Times New Roman" w:cs="Times New Roman"/>
          <w:sz w:val="21"/>
          <w:szCs w:val="21"/>
          <w:lang w:bidi="ar-SA"/>
        </w:rPr>
      </w:pPr>
      <w:r>
        <w:rPr>
          <w:rFonts w:hint="eastAsia" w:hAnsi="Times New Roman" w:cs="Times New Roman"/>
          <w:sz w:val="21"/>
          <w:szCs w:val="21"/>
          <w:lang w:bidi="ar-SA"/>
        </w:rPr>
        <w:t xml:space="preserve">日期：年月 日</w:t>
      </w:r>
      <w:r/>
    </w:p>
    <w:p>
      <w:pPr>
        <w:ind w:firstLine="420"/>
        <w:jc w:val="both"/>
        <w:spacing w:line="360" w:lineRule="auto"/>
        <w:tabs>
          <w:tab w:val="left" w:pos="1440" w:leader="none"/>
        </w:tabs>
        <w:rPr>
          <w:rFonts w:hAnsi="Times New Roman" w:cs="Times New Roman"/>
          <w:sz w:val="21"/>
          <w:szCs w:val="21"/>
          <w:lang w:bidi="ar-SA"/>
        </w:rPr>
      </w:pPr>
      <w:r>
        <w:rPr>
          <w:rFonts w:hAnsi="Times New Roman" w:cs="Times New Roman"/>
          <w:sz w:val="21"/>
          <w:szCs w:val="21"/>
          <w:lang w:bidi="ar-SA"/>
        </w:rPr>
      </w:r>
      <w:r/>
    </w:p>
    <w:p>
      <w:pPr>
        <w:ind w:firstLine="420"/>
        <w:spacing w:line="360" w:lineRule="auto"/>
        <w:rPr>
          <w:sz w:val="21"/>
          <w:szCs w:val="21"/>
        </w:rPr>
      </w:pPr>
      <w:r>
        <w:rPr>
          <w:rFonts w:hint="eastAsia" w:hAnsi="Times New Roman" w:cs="Times New Roman"/>
          <w:sz w:val="21"/>
          <w:szCs w:val="21"/>
          <w:lang w:bidi="ar-SA"/>
        </w:rPr>
        <w:t xml:space="preserve">被授权人身份证正反面：</w:t>
      </w:r>
      <w:r/>
    </w:p>
    <w:p>
      <w:pPr>
        <w:ind w:firstLine="440"/>
        <w:spacing w:line="360" w:lineRule="auto"/>
      </w:pPr>
      <w:r/>
      <w:r/>
    </w:p>
    <w:p>
      <w:pPr>
        <w:pStyle w:val="772"/>
      </w:pPr>
      <w:r/>
      <w:r/>
    </w:p>
    <w:p>
      <w:r/>
      <w:r/>
    </w:p>
    <w:p>
      <w:pPr>
        <w:pStyle w:val="772"/>
      </w:pPr>
      <w:r/>
      <w:r/>
    </w:p>
    <w:p>
      <w:pPr>
        <w:ind w:firstLine="440"/>
        <w:spacing w:line="360" w:lineRule="auto"/>
      </w:pPr>
      <w:r/>
      <w:r/>
    </w:p>
    <w:p>
      <w:pPr>
        <w:ind w:firstLine="420"/>
        <w:spacing w:line="360" w:lineRule="auto"/>
        <w:rPr>
          <w:rFonts w:hAnsi="Times New Roman" w:cs="Times New Roman"/>
          <w:sz w:val="21"/>
          <w:szCs w:val="21"/>
          <w:lang w:bidi="ar-SA"/>
        </w:rPr>
        <w:sectPr>
          <w:footnotePr/>
          <w:endnotePr/>
          <w:type w:val="continuous"/>
          <w:pgSz w:w="11910" w:h="16840" w:orient="portrait"/>
          <w:pgMar w:top="1134" w:right="1134" w:bottom="1134" w:left="1134" w:header="720" w:footer="720" w:gutter="0"/>
          <w:cols w:num="1" w:sep="0" w:space="720" w:equalWidth="1"/>
          <w:docGrid w:linePitch="360"/>
        </w:sectPr>
      </w:pPr>
      <w:r>
        <w:rPr>
          <w:rFonts w:hint="eastAsia" w:hAnsi="Times New Roman" w:cs="Times New Roman"/>
          <w:sz w:val="21"/>
          <w:szCs w:val="21"/>
          <w:lang w:bidi="ar-SA"/>
        </w:rPr>
        <w:t xml:space="preserve"> </w:t>
      </w:r>
      <w:r/>
    </w:p>
    <w:p>
      <w:pPr>
        <w:sectPr>
          <w:footnotePr/>
          <w:endnotePr/>
          <w:type w:val="continuous"/>
          <w:pgSz w:w="11910" w:h="16840" w:orient="portrait"/>
          <w:pgMar w:top="1134" w:right="1134" w:bottom="1134" w:left="1134" w:header="720" w:footer="720" w:gutter="0"/>
          <w:cols w:num="1" w:sep="0" w:space="720" w:equalWidth="1"/>
          <w:docGrid w:linePitch="360"/>
        </w:sectPr>
      </w:pPr>
      <w:r/>
      <w:r/>
    </w:p>
    <w:p>
      <w:pPr>
        <w:rPr>
          <w:b/>
          <w:sz w:val="21"/>
        </w:rPr>
      </w:pPr>
      <w:r>
        <w:rPr>
          <w:b/>
          <w:sz w:val="21"/>
        </w:rPr>
        <w:br w:type="page" w:clear="all"/>
      </w:r>
      <w:r/>
    </w:p>
    <w:p>
      <w:pPr>
        <w:spacing w:line="360" w:lineRule="auto"/>
        <w:rPr>
          <w:b/>
          <w:sz w:val="21"/>
        </w:rPr>
      </w:pPr>
      <w:r>
        <w:rPr>
          <w:b/>
          <w:sz w:val="21"/>
        </w:rPr>
        <w:t xml:space="preserve">目录三、开标一览表格式</w:t>
      </w:r>
      <w:r/>
    </w:p>
    <w:p>
      <w:pPr>
        <w:jc w:val="center"/>
        <w:spacing w:line="360" w:lineRule="auto"/>
        <w:rPr>
          <w:rFonts w:cs="黑体"/>
          <w:sz w:val="36"/>
        </w:rPr>
      </w:pPr>
      <w:r>
        <w:rPr>
          <w:rFonts w:cs="黑体"/>
          <w:sz w:val="36"/>
        </w:rPr>
        <w:t xml:space="preserve">开标一览表</w:t>
      </w:r>
      <w:r/>
    </w:p>
    <w:tbl>
      <w:tblPr>
        <w:tblStyle w:val="779"/>
        <w:tblW w:w="9385" w:type="dxa"/>
        <w:tblInd w:w="8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1155"/>
        <w:gridCol w:w="1947"/>
        <w:gridCol w:w="179"/>
        <w:gridCol w:w="2839"/>
      </w:tblGrid>
      <w:tr>
        <w:trPr>
          <w:trHeight w:val="284"/>
        </w:trPr>
        <w:tc>
          <w:tcPr>
            <w:gridSpan w:val="4"/>
            <w:tcBorders>
              <w:top w:val="none" w:color="000000" w:sz="4" w:space="0"/>
              <w:left w:val="none" w:color="000000" w:sz="4" w:space="0"/>
              <w:right w:val="none" w:color="000000" w:sz="4" w:space="0"/>
            </w:tcBorders>
            <w:tcW w:w="6367" w:type="dxa"/>
            <w:textDirection w:val="lrTb"/>
            <w:noWrap w:val="false"/>
          </w:tcPr>
          <w:p>
            <w:pPr>
              <w:spacing w:line="360" w:lineRule="auto"/>
              <w:widowControl/>
              <w:rPr>
                <w:szCs w:val="21"/>
              </w:rPr>
            </w:pPr>
            <w:r>
              <w:rPr>
                <w:rFonts w:hint="eastAsia"/>
              </w:rPr>
              <w:t xml:space="preserve">（项目名称）（项目编号）</w:t>
            </w:r>
            <w:r/>
          </w:p>
        </w:tc>
        <w:tc>
          <w:tcPr>
            <w:gridSpan w:val="2"/>
            <w:tcBorders>
              <w:top w:val="none" w:color="000000" w:sz="4" w:space="0"/>
              <w:left w:val="none" w:color="000000" w:sz="4" w:space="0"/>
              <w:right w:val="none" w:color="000000" w:sz="4" w:space="0"/>
            </w:tcBorders>
            <w:tcW w:w="3018" w:type="dxa"/>
            <w:textDirection w:val="lrTb"/>
            <w:noWrap w:val="false"/>
          </w:tcPr>
          <w:p>
            <w:pPr>
              <w:spacing w:line="360" w:lineRule="auto"/>
              <w:widowControl/>
              <w:rPr>
                <w:szCs w:val="21"/>
              </w:rPr>
            </w:pPr>
            <w:r>
              <w:rPr>
                <w:szCs w:val="21"/>
              </w:rPr>
            </w:r>
            <w:r/>
          </w:p>
        </w:tc>
      </w:tr>
      <w:tr>
        <w:trPr>
          <w:trHeight w:val="284"/>
        </w:trPr>
        <w:tc>
          <w:tcPr>
            <w:tcW w:w="734" w:type="dxa"/>
            <w:vAlign w:val="center"/>
            <w:textDirection w:val="lrTb"/>
            <w:noWrap w:val="false"/>
          </w:tcPr>
          <w:p>
            <w:pPr>
              <w:jc w:val="center"/>
              <w:spacing w:line="360" w:lineRule="auto"/>
              <w:rPr>
                <w:szCs w:val="21"/>
              </w:rPr>
            </w:pPr>
            <w:r>
              <w:rPr>
                <w:rFonts w:hint="eastAsia"/>
                <w:szCs w:val="21"/>
              </w:rPr>
              <w:t xml:space="preserve">序号</w:t>
            </w:r>
            <w:r/>
          </w:p>
        </w:tc>
        <w:tc>
          <w:tcPr>
            <w:gridSpan w:val="2"/>
            <w:tcW w:w="3686" w:type="dxa"/>
            <w:vAlign w:val="center"/>
            <w:textDirection w:val="lrTb"/>
            <w:noWrap w:val="false"/>
          </w:tcPr>
          <w:p>
            <w:pPr>
              <w:jc w:val="center"/>
              <w:spacing w:line="360" w:lineRule="auto"/>
              <w:rPr>
                <w:szCs w:val="21"/>
              </w:rPr>
            </w:pPr>
            <w:r>
              <w:rPr>
                <w:rFonts w:hint="eastAsia"/>
                <w:szCs w:val="21"/>
              </w:rPr>
              <w:t xml:space="preserve">名               称</w:t>
            </w:r>
            <w:r/>
          </w:p>
        </w:tc>
        <w:tc>
          <w:tcPr>
            <w:gridSpan w:val="2"/>
            <w:tcW w:w="2126" w:type="dxa"/>
            <w:vAlign w:val="center"/>
            <w:textDirection w:val="lrTb"/>
            <w:noWrap w:val="false"/>
          </w:tcPr>
          <w:p>
            <w:pPr>
              <w:jc w:val="center"/>
              <w:spacing w:line="360" w:lineRule="auto"/>
              <w:rPr>
                <w:szCs w:val="21"/>
              </w:rPr>
            </w:pPr>
            <w:r>
              <w:rPr>
                <w:rFonts w:hint="eastAsia"/>
                <w:szCs w:val="21"/>
              </w:rPr>
              <w:t xml:space="preserve">报价（元）</w:t>
            </w:r>
            <w:r/>
          </w:p>
        </w:tc>
        <w:tc>
          <w:tcPr>
            <w:tcW w:w="2839" w:type="dxa"/>
            <w:vAlign w:val="center"/>
            <w:textDirection w:val="lrTb"/>
            <w:noWrap w:val="false"/>
          </w:tcPr>
          <w:p>
            <w:pPr>
              <w:jc w:val="center"/>
              <w:spacing w:line="360" w:lineRule="auto"/>
              <w:rPr>
                <w:szCs w:val="21"/>
              </w:rPr>
            </w:pPr>
            <w:r>
              <w:rPr>
                <w:rFonts w:hint="eastAsia"/>
                <w:szCs w:val="21"/>
              </w:rPr>
              <w:t xml:space="preserve">其中，</w:t>
            </w:r>
            <w:r>
              <w:rPr>
                <w:rFonts w:hint="eastAsia"/>
                <w:b/>
                <w:szCs w:val="21"/>
              </w:rPr>
              <w:t xml:space="preserve">小、微型企业报价（元）</w:t>
            </w:r>
            <w:r/>
          </w:p>
        </w:tc>
      </w:tr>
      <w:tr>
        <w:trPr>
          <w:trHeight w:val="284"/>
        </w:trPr>
        <w:tc>
          <w:tcPr>
            <w:tcW w:w="734" w:type="dxa"/>
            <w:vAlign w:val="center"/>
            <w:textDirection w:val="lrTb"/>
            <w:noWrap w:val="false"/>
          </w:tcPr>
          <w:p>
            <w:pPr>
              <w:jc w:val="center"/>
              <w:spacing w:line="360" w:lineRule="auto"/>
              <w:rPr>
                <w:spacing w:val="-2"/>
                <w:szCs w:val="21"/>
              </w:rPr>
            </w:pPr>
            <w:r>
              <w:rPr>
                <w:rFonts w:hint="eastAsia"/>
                <w:spacing w:val="-2"/>
                <w:szCs w:val="21"/>
              </w:rPr>
              <w:t xml:space="preserve">1</w:t>
            </w:r>
            <w:r/>
          </w:p>
        </w:tc>
        <w:tc>
          <w:tcPr>
            <w:gridSpan w:val="2"/>
            <w:tcW w:w="3686" w:type="dxa"/>
            <w:vAlign w:val="center"/>
            <w:textDirection w:val="lrTb"/>
            <w:noWrap w:val="false"/>
          </w:tcPr>
          <w:p>
            <w:pPr>
              <w:jc w:val="center"/>
              <w:spacing w:line="360" w:lineRule="exact"/>
              <w:rPr>
                <w:szCs w:val="21"/>
              </w:rPr>
            </w:pPr>
            <w:r>
              <w:rPr>
                <w:rFonts w:hint="eastAsia"/>
                <w:szCs w:val="21"/>
              </w:rPr>
              <w:t xml:space="preserve"> </w:t>
            </w:r>
            <w:r/>
          </w:p>
        </w:tc>
        <w:tc>
          <w:tcPr>
            <w:gridSpan w:val="2"/>
            <w:tcW w:w="2126" w:type="dxa"/>
            <w:vAlign w:val="center"/>
            <w:textDirection w:val="lrTb"/>
            <w:noWrap w:val="false"/>
          </w:tcPr>
          <w:p>
            <w:pPr>
              <w:jc w:val="center"/>
              <w:spacing w:line="360" w:lineRule="auto"/>
              <w:widowControl/>
              <w:rPr>
                <w:szCs w:val="21"/>
              </w:rPr>
            </w:pPr>
            <w:r>
              <w:rPr>
                <w:rFonts w:hint="eastAsia"/>
                <w:sz w:val="21"/>
                <w:u w:val="single"/>
                <w:lang w:val="en-US"/>
              </w:rPr>
              <w:t xml:space="preserve">元/年，元/两年</w:t>
            </w:r>
            <w:r/>
          </w:p>
        </w:tc>
        <w:tc>
          <w:tcPr>
            <w:tcW w:w="2839" w:type="dxa"/>
            <w:vAlign w:val="center"/>
            <w:textDirection w:val="lrTb"/>
            <w:noWrap w:val="false"/>
          </w:tcPr>
          <w:p>
            <w:pPr>
              <w:jc w:val="center"/>
              <w:spacing w:line="360" w:lineRule="auto"/>
              <w:rPr>
                <w:szCs w:val="21"/>
              </w:rPr>
            </w:pPr>
            <w:r>
              <w:rPr>
                <w:szCs w:val="21"/>
              </w:rPr>
            </w:r>
            <w:r/>
          </w:p>
        </w:tc>
      </w:tr>
      <w:tr>
        <w:trPr>
          <w:trHeight w:val="284"/>
        </w:trPr>
        <w:tc>
          <w:tcPr>
            <w:tcW w:w="734" w:type="dxa"/>
            <w:vAlign w:val="center"/>
            <w:textDirection w:val="lrTb"/>
            <w:noWrap w:val="false"/>
          </w:tcPr>
          <w:p>
            <w:pPr>
              <w:jc w:val="center"/>
              <w:spacing w:line="360" w:lineRule="auto"/>
              <w:rPr>
                <w:spacing w:val="-2"/>
                <w:szCs w:val="21"/>
              </w:rPr>
            </w:pPr>
            <w:r>
              <w:rPr>
                <w:rFonts w:hint="eastAsia"/>
                <w:spacing w:val="-2"/>
                <w:szCs w:val="21"/>
              </w:rPr>
              <w:t xml:space="preserve">2</w:t>
            </w:r>
            <w:r/>
          </w:p>
        </w:tc>
        <w:tc>
          <w:tcPr>
            <w:gridSpan w:val="2"/>
            <w:tcW w:w="3686" w:type="dxa"/>
            <w:vAlign w:val="center"/>
            <w:textDirection w:val="lrTb"/>
            <w:noWrap w:val="false"/>
          </w:tcPr>
          <w:p>
            <w:pPr>
              <w:jc w:val="center"/>
              <w:spacing w:line="360" w:lineRule="auto"/>
              <w:rPr>
                <w:spacing w:val="-2"/>
                <w:szCs w:val="21"/>
              </w:rPr>
            </w:pPr>
            <w:r>
              <w:rPr>
                <w:rFonts w:hint="eastAsia"/>
                <w:spacing w:val="-2"/>
                <w:szCs w:val="21"/>
              </w:rPr>
              <w:t xml:space="preserve">服务期</w:t>
            </w:r>
            <w:r/>
          </w:p>
        </w:tc>
        <w:tc>
          <w:tcPr>
            <w:gridSpan w:val="3"/>
            <w:shd w:val="clear" w:color="auto" w:fill="auto"/>
            <w:tcW w:w="4965" w:type="dxa"/>
            <w:vAlign w:val="center"/>
            <w:textDirection w:val="lrTb"/>
            <w:noWrap w:val="false"/>
          </w:tcPr>
          <w:p>
            <w:pPr>
              <w:jc w:val="center"/>
              <w:spacing w:line="360" w:lineRule="auto"/>
              <w:rPr>
                <w:szCs w:val="21"/>
              </w:rPr>
            </w:pPr>
            <w:r>
              <w:rPr>
                <w:rFonts w:hint="eastAsia"/>
                <w:szCs w:val="21"/>
              </w:rPr>
              <w:t xml:space="preserve">满足招标</w:t>
            </w:r>
            <w:r>
              <w:rPr>
                <w:szCs w:val="21"/>
              </w:rPr>
              <w:t xml:space="preserve">文件要求</w:t>
            </w:r>
            <w:r/>
          </w:p>
        </w:tc>
      </w:tr>
      <w:tr>
        <w:trPr>
          <w:trHeight w:val="284"/>
        </w:trPr>
        <w:tc>
          <w:tcPr>
            <w:tcW w:w="734" w:type="dxa"/>
            <w:vAlign w:val="center"/>
            <w:textDirection w:val="lrTb"/>
            <w:noWrap w:val="false"/>
          </w:tcPr>
          <w:p>
            <w:pPr>
              <w:jc w:val="center"/>
              <w:spacing w:line="360" w:lineRule="auto"/>
              <w:rPr>
                <w:spacing w:val="-2"/>
                <w:szCs w:val="21"/>
              </w:rPr>
            </w:pPr>
            <w:r>
              <w:rPr>
                <w:rFonts w:hint="eastAsia"/>
                <w:spacing w:val="-2"/>
                <w:szCs w:val="21"/>
              </w:rPr>
              <w:t xml:space="preserve">3</w:t>
            </w:r>
            <w:r/>
          </w:p>
        </w:tc>
        <w:tc>
          <w:tcPr>
            <w:gridSpan w:val="2"/>
            <w:tcW w:w="3686" w:type="dxa"/>
            <w:vAlign w:val="center"/>
            <w:textDirection w:val="lrTb"/>
            <w:noWrap w:val="false"/>
          </w:tcPr>
          <w:p>
            <w:pPr>
              <w:jc w:val="center"/>
              <w:spacing w:line="360" w:lineRule="auto"/>
              <w:rPr>
                <w:spacing w:val="-2"/>
                <w:szCs w:val="21"/>
              </w:rPr>
            </w:pPr>
            <w:r>
              <w:rPr>
                <w:rFonts w:hint="eastAsia"/>
                <w:spacing w:val="-2"/>
                <w:szCs w:val="21"/>
              </w:rPr>
              <w:t xml:space="preserve">项目负责人</w:t>
            </w:r>
            <w:r/>
          </w:p>
        </w:tc>
        <w:tc>
          <w:tcPr>
            <w:gridSpan w:val="3"/>
            <w:tcW w:w="4965" w:type="dxa"/>
            <w:vAlign w:val="center"/>
            <w:textDirection w:val="lrTb"/>
            <w:noWrap w:val="false"/>
          </w:tcPr>
          <w:p>
            <w:pPr>
              <w:jc w:val="center"/>
              <w:spacing w:line="360" w:lineRule="auto"/>
              <w:rPr>
                <w:szCs w:val="21"/>
              </w:rPr>
            </w:pPr>
            <w:r>
              <w:rPr>
                <w:szCs w:val="21"/>
              </w:rPr>
            </w:r>
            <w:r/>
          </w:p>
        </w:tc>
      </w:tr>
      <w:tr>
        <w:trPr>
          <w:trHeight w:val="284"/>
        </w:trPr>
        <w:tc>
          <w:tcPr>
            <w:gridSpan w:val="2"/>
            <w:tcW w:w="3265" w:type="dxa"/>
            <w:vAlign w:val="center"/>
            <w:textDirection w:val="lrTb"/>
            <w:noWrap w:val="false"/>
          </w:tcPr>
          <w:p>
            <w:pPr>
              <w:jc w:val="center"/>
              <w:spacing w:line="360" w:lineRule="auto"/>
              <w:widowControl/>
              <w:rPr>
                <w:szCs w:val="21"/>
              </w:rPr>
            </w:pPr>
            <w:r>
              <w:rPr>
                <w:rFonts w:hint="eastAsia"/>
                <w:szCs w:val="21"/>
              </w:rPr>
              <w:t xml:space="preserve">供应商是否属于小微型企业</w:t>
            </w:r>
            <w:r/>
          </w:p>
        </w:tc>
        <w:tc>
          <w:tcPr>
            <w:gridSpan w:val="4"/>
            <w:tcW w:w="6120" w:type="dxa"/>
            <w:vAlign w:val="center"/>
            <w:textDirection w:val="lrTb"/>
            <w:noWrap w:val="false"/>
          </w:tcPr>
          <w:p>
            <w:pPr>
              <w:spacing w:line="360" w:lineRule="auto"/>
              <w:widowControl/>
              <w:rPr>
                <w:szCs w:val="21"/>
              </w:rPr>
            </w:pPr>
            <w:r>
              <w:rPr>
                <w:rFonts w:hint="eastAsia"/>
                <w:szCs w:val="21"/>
              </w:rPr>
              <w:t xml:space="preserve">是       否</w:t>
            </w:r>
            <w:r/>
          </w:p>
        </w:tc>
      </w:tr>
    </w:tbl>
    <w:p>
      <w:pPr>
        <w:spacing w:line="360" w:lineRule="auto"/>
      </w:pPr>
      <w:r>
        <w:t xml:space="preserve">供应商名称:（盖章）</w:t>
      </w:r>
      <w:r/>
    </w:p>
    <w:p>
      <w:pPr>
        <w:spacing w:line="300" w:lineRule="auto"/>
      </w:pPr>
      <w:r>
        <w:t xml:space="preserve">说明：</w:t>
      </w:r>
      <w:r/>
    </w:p>
    <w:p>
      <w:pPr>
        <w:ind w:firstLine="420"/>
        <w:spacing w:line="300" w:lineRule="auto"/>
        <w:rPr>
          <w:b/>
        </w:rPr>
      </w:pPr>
      <w:r>
        <w:t xml:space="preserve">1、</w:t>
      </w:r>
      <w:r>
        <w:rPr>
          <w:b/>
        </w:rPr>
        <w:t xml:space="preserve">《开标一览表》一份，要求单独封装并标明“开标一览表”字样，随投标文件一并递交，以便唱标时使用。</w:t>
      </w:r>
      <w:r/>
    </w:p>
    <w:p>
      <w:pPr>
        <w:ind w:firstLine="420"/>
        <w:spacing w:line="300" w:lineRule="auto"/>
        <w:rPr>
          <w:rFonts w:cs="黑体"/>
          <w:b/>
          <w:sz w:val="36"/>
        </w:rPr>
      </w:pPr>
      <w:r>
        <w:rPr>
          <w:rFonts w:hint="eastAsia"/>
        </w:rPr>
        <w:t xml:space="preserve">2</w:t>
      </w:r>
      <w:r>
        <w:t xml:space="preserve">、在“供应商是否属于小和微型企业”栏后“是”或“否”上打“√”。</w:t>
      </w:r>
      <w:r/>
    </w:p>
    <w:p>
      <w:pPr>
        <w:ind w:firstLine="420"/>
        <w:spacing w:line="360" w:lineRule="auto"/>
        <w:rPr>
          <w:sz w:val="21"/>
          <w:szCs w:val="21"/>
        </w:rPr>
      </w:pPr>
      <w:r>
        <w:rPr>
          <w:sz w:val="21"/>
          <w:szCs w:val="21"/>
        </w:rPr>
      </w:r>
      <w:r/>
    </w:p>
    <w:p>
      <w:pPr>
        <w:ind w:firstLine="440"/>
        <w:spacing w:line="360" w:lineRule="auto"/>
        <w:rPr>
          <w:lang w:val="en-US"/>
        </w:rPr>
        <w:sectPr>
          <w:footnotePr/>
          <w:endnotePr/>
          <w:type w:val="continuous"/>
          <w:pgSz w:w="11910" w:h="16840" w:orient="portrait"/>
          <w:pgMar w:top="1134" w:right="1134" w:bottom="1134" w:left="1134" w:header="720" w:footer="720" w:gutter="0"/>
          <w:cols w:num="1" w:sep="0" w:space="720" w:equalWidth="1"/>
          <w:docGrid w:linePitch="360"/>
        </w:sectPr>
      </w:pPr>
      <w:r>
        <w:rPr>
          <w:lang w:val="en-US"/>
        </w:rPr>
      </w:r>
      <w:r/>
    </w:p>
    <w:p>
      <w:pPr>
        <w:ind w:firstLine="422"/>
        <w:spacing w:line="360" w:lineRule="auto"/>
        <w:rPr>
          <w:b/>
          <w:sz w:val="21"/>
        </w:rPr>
        <w:sectPr>
          <w:footnotePr/>
          <w:endnotePr/>
          <w:type w:val="continuous"/>
          <w:pgSz w:w="11910" w:h="16840" w:orient="portrait"/>
          <w:pgMar w:top="1134" w:right="1134" w:bottom="1134" w:left="1134" w:header="567" w:footer="567" w:gutter="0"/>
          <w:cols w:num="1" w:sep="0" w:space="720" w:equalWidth="1"/>
          <w:docGrid w:linePitch="360"/>
        </w:sectPr>
      </w:pPr>
      <w:r>
        <w:rPr>
          <w:b/>
          <w:sz w:val="21"/>
        </w:rPr>
        <w:br w:type="page" w:clear="all"/>
      </w:r>
      <w:r/>
    </w:p>
    <w:p>
      <w:pPr>
        <w:spacing w:line="360" w:lineRule="auto"/>
        <w:rPr>
          <w:b/>
          <w:sz w:val="21"/>
        </w:rPr>
      </w:pPr>
      <w:r>
        <w:rPr>
          <w:b/>
          <w:sz w:val="21"/>
        </w:rPr>
        <w:t xml:space="preserve">目录四、分项报价表格式</w:t>
      </w:r>
      <w:r/>
    </w:p>
    <w:p>
      <w:pPr>
        <w:jc w:val="center"/>
        <w:spacing w:line="240" w:lineRule="atLeast"/>
        <w:widowControl/>
        <w:rPr>
          <w:rFonts w:asciiTheme="minorEastAsia" w:hAnsiTheme="minorEastAsia"/>
          <w:b/>
          <w:szCs w:val="21"/>
        </w:rPr>
      </w:pPr>
      <w:r>
        <w:rPr>
          <w:rFonts w:hint="eastAsia" w:asciiTheme="minorEastAsia" w:hAnsiTheme="minorEastAsia"/>
          <w:b/>
          <w:szCs w:val="21"/>
        </w:rPr>
        <w:t xml:space="preserve">分项报价表</w:t>
      </w:r>
      <w:r/>
    </w:p>
    <w:tbl>
      <w:tblPr>
        <w:tblStyle w:val="779"/>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996"/>
        <w:gridCol w:w="2921"/>
        <w:gridCol w:w="865"/>
        <w:gridCol w:w="313"/>
        <w:gridCol w:w="887"/>
        <w:gridCol w:w="1665"/>
      </w:tblGrid>
      <w:tr>
        <w:trPr>
          <w:jc w:val="center"/>
        </w:trPr>
        <w:tc>
          <w:tcPr>
            <w:gridSpan w:val="5"/>
            <w:tcBorders>
              <w:top w:val="none" w:color="000000" w:sz="4" w:space="0"/>
              <w:left w:val="none" w:color="000000" w:sz="4" w:space="0"/>
              <w:bottom w:val="single" w:color="auto" w:sz="4" w:space="0"/>
              <w:right w:val="none" w:color="000000" w:sz="4" w:space="0"/>
            </w:tcBorders>
            <w:tcW w:w="6734" w:type="dxa"/>
            <w:vAlign w:val="center"/>
            <w:textDirection w:val="lrTb"/>
            <w:noWrap w:val="false"/>
          </w:tcPr>
          <w:p>
            <w:pPr>
              <w:widowControl/>
              <w:rPr>
                <w:rFonts w:asciiTheme="minorEastAsia" w:hAnsiTheme="minorEastAsia"/>
                <w:szCs w:val="21"/>
              </w:rPr>
            </w:pPr>
            <w:r>
              <w:rPr>
                <w:rFonts w:hint="eastAsia" w:asciiTheme="minorEastAsia" w:hAnsiTheme="minorEastAsia"/>
                <w:szCs w:val="21"/>
              </w:rPr>
              <w:t xml:space="preserve">项目名称：</w:t>
            </w:r>
            <w:r/>
          </w:p>
        </w:tc>
        <w:tc>
          <w:tcPr>
            <w:gridSpan w:val="2"/>
            <w:tcBorders>
              <w:top w:val="none" w:color="000000" w:sz="4" w:space="0"/>
              <w:left w:val="none" w:color="000000" w:sz="4" w:space="0"/>
              <w:bottom w:val="single" w:color="auto" w:sz="4" w:space="0"/>
              <w:right w:val="none" w:color="000000" w:sz="4" w:space="0"/>
            </w:tcBorders>
            <w:tcW w:w="2552" w:type="dxa"/>
            <w:vAlign w:val="center"/>
            <w:textDirection w:val="lrTb"/>
            <w:noWrap w:val="false"/>
          </w:tcPr>
          <w:p>
            <w:pPr>
              <w:widowControl/>
              <w:rPr>
                <w:rFonts w:asciiTheme="minorEastAsia" w:hAnsiTheme="minorEastAsia"/>
                <w:szCs w:val="21"/>
              </w:rPr>
            </w:pPr>
            <w:r>
              <w:rPr>
                <w:rFonts w:hint="eastAsia" w:asciiTheme="minorEastAsia" w:hAnsiTheme="minorEastAsia"/>
                <w:szCs w:val="21"/>
              </w:rPr>
              <w:t xml:space="preserve">项目编号：</w:t>
            </w:r>
            <w:r/>
          </w:p>
        </w:tc>
      </w:tr>
      <w:tr>
        <w:trPr>
          <w:jc w:val="center"/>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widowControl/>
              <w:rPr>
                <w:rFonts w:asciiTheme="minorEastAsia" w:hAnsiTheme="minorEastAsia"/>
                <w:szCs w:val="21"/>
              </w:rPr>
            </w:pPr>
            <w:r>
              <w:rPr>
                <w:rFonts w:hint="eastAsia" w:asciiTheme="minorEastAsia" w:hAnsiTheme="minorEastAsia"/>
                <w:szCs w:val="21"/>
              </w:rPr>
              <w:t xml:space="preserve">序号</w:t>
            </w:r>
            <w:r/>
          </w:p>
        </w:tc>
        <w:tc>
          <w:tcPr>
            <w:tcBorders>
              <w:top w:val="single" w:color="auto" w:sz="4" w:space="0"/>
              <w:left w:val="single" w:color="auto" w:sz="4" w:space="0"/>
              <w:right w:val="single" w:color="auto" w:sz="4" w:space="0"/>
            </w:tcBorders>
            <w:tcW w:w="1996" w:type="dxa"/>
            <w:vAlign w:val="center"/>
            <w:textDirection w:val="lrTb"/>
            <w:noWrap w:val="false"/>
          </w:tcPr>
          <w:p>
            <w:pPr>
              <w:jc w:val="center"/>
              <w:widowControl/>
              <w:rPr>
                <w:rFonts w:asciiTheme="minorEastAsia" w:hAnsiTheme="minorEastAsia"/>
                <w:szCs w:val="21"/>
              </w:rPr>
            </w:pPr>
            <w:r>
              <w:rPr>
                <w:rFonts w:hint="eastAsia" w:asciiTheme="minorEastAsia" w:hAnsiTheme="minorEastAsia"/>
                <w:szCs w:val="21"/>
              </w:rPr>
              <w:t xml:space="preserve">名称</w:t>
            </w:r>
            <w:r/>
          </w:p>
        </w:tc>
        <w:tc>
          <w:tcPr>
            <w:tcBorders>
              <w:top w:val="single" w:color="auto" w:sz="4" w:space="0"/>
              <w:left w:val="single" w:color="auto" w:sz="4" w:space="0"/>
              <w:right w:val="single" w:color="auto" w:sz="4" w:space="0"/>
            </w:tcBorders>
            <w:tcW w:w="2921" w:type="dxa"/>
            <w:vAlign w:val="center"/>
            <w:textDirection w:val="lrTb"/>
            <w:noWrap w:val="false"/>
          </w:tcPr>
          <w:p>
            <w:pPr>
              <w:jc w:val="center"/>
              <w:widowControl/>
              <w:rPr>
                <w:rFonts w:asciiTheme="minorEastAsia" w:hAnsiTheme="minorEastAsia"/>
                <w:szCs w:val="21"/>
              </w:rPr>
            </w:pPr>
            <w:r>
              <w:rPr>
                <w:rFonts w:hint="eastAsia" w:asciiTheme="minorEastAsia" w:hAnsiTheme="minorEastAsia"/>
                <w:szCs w:val="21"/>
              </w:rPr>
              <w:t xml:space="preserve">服务分项</w:t>
            </w:r>
            <w:r/>
          </w:p>
        </w:tc>
        <w:tc>
          <w:tcPr>
            <w:tcBorders>
              <w:top w:val="single" w:color="auto" w:sz="4" w:space="0"/>
              <w:left w:val="single" w:color="auto" w:sz="4" w:space="0"/>
              <w:right w:val="single" w:color="auto" w:sz="4" w:space="0"/>
            </w:tcBorders>
            <w:tcW w:w="865" w:type="dxa"/>
            <w:vAlign w:val="center"/>
            <w:textDirection w:val="lrTb"/>
            <w:noWrap w:val="false"/>
          </w:tcPr>
          <w:p>
            <w:pPr>
              <w:jc w:val="center"/>
              <w:widowControl/>
              <w:rPr>
                <w:rFonts w:asciiTheme="minorEastAsia" w:hAnsiTheme="minorEastAsia"/>
                <w:szCs w:val="21"/>
              </w:rPr>
            </w:pPr>
            <w:r>
              <w:rPr>
                <w:rFonts w:hint="eastAsia" w:asciiTheme="minorEastAsia" w:hAnsiTheme="minorEastAsia"/>
                <w:szCs w:val="21"/>
              </w:rPr>
              <w:t xml:space="preserve">单价（元）</w:t>
            </w:r>
            <w:r/>
          </w:p>
        </w:tc>
        <w:tc>
          <w:tcPr>
            <w:gridSpan w:val="2"/>
            <w:tcBorders>
              <w:top w:val="single" w:color="auto" w:sz="4" w:space="0"/>
              <w:left w:val="single" w:color="auto" w:sz="4" w:space="0"/>
              <w:right w:val="single" w:color="auto" w:sz="4" w:space="0"/>
            </w:tcBorders>
            <w:tcW w:w="1200" w:type="dxa"/>
            <w:vAlign w:val="center"/>
            <w:textDirection w:val="lrTb"/>
            <w:noWrap w:val="false"/>
          </w:tcPr>
          <w:p>
            <w:pPr>
              <w:jc w:val="center"/>
              <w:widowControl/>
              <w:rPr>
                <w:rFonts w:asciiTheme="minorEastAsia" w:hAnsiTheme="minorEastAsia"/>
                <w:szCs w:val="21"/>
              </w:rPr>
            </w:pPr>
            <w:r>
              <w:rPr>
                <w:rFonts w:hint="eastAsia" w:asciiTheme="minorEastAsia" w:hAnsiTheme="minorEastAsia"/>
                <w:szCs w:val="21"/>
              </w:rPr>
              <w:t xml:space="preserve">数量</w:t>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widowControl/>
              <w:rPr>
                <w:rFonts w:asciiTheme="minorEastAsia" w:hAnsiTheme="minorEastAsia"/>
                <w:szCs w:val="21"/>
              </w:rPr>
            </w:pPr>
            <w:r>
              <w:rPr>
                <w:rFonts w:hint="eastAsia" w:asciiTheme="minorEastAsia" w:hAnsiTheme="minorEastAsia"/>
                <w:b/>
                <w:szCs w:val="21"/>
              </w:rPr>
              <w:t xml:space="preserve">是否属于小、微型企业的报价</w:t>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widowControl/>
              <w:rPr>
                <w:rFonts w:asciiTheme="minorEastAsia" w:hAnsiTheme="minorEastAsia"/>
                <w:szCs w:val="21"/>
              </w:rPr>
            </w:pPr>
            <w:r>
              <w:rPr>
                <w:rFonts w:asciiTheme="minorEastAsia" w:hAnsiTheme="minorEastAsia"/>
                <w:szCs w:val="21"/>
              </w:rPr>
            </w:r>
            <w:r/>
          </w:p>
        </w:tc>
        <w:tc>
          <w:tcPr>
            <w:tcBorders>
              <w:left w:val="single" w:color="auto" w:sz="4" w:space="0"/>
              <w:right w:val="single" w:color="auto" w:sz="4" w:space="0"/>
            </w:tcBorders>
            <w:tcW w:w="1996" w:type="dxa"/>
            <w:textDirection w:val="lrTb"/>
            <w:noWrap w:val="false"/>
          </w:tcPr>
          <w:p>
            <w:pPr>
              <w:widowControl/>
              <w:rPr>
                <w:rFonts w:asciiTheme="minorEastAsia" w:hAnsiTheme="minorEastAsia"/>
                <w:szCs w:val="21"/>
              </w:rPr>
            </w:pPr>
            <w:r>
              <w:rPr>
                <w:rFonts w:asciiTheme="minorEastAsia" w:hAnsiTheme="minorEastAsia"/>
                <w:szCs w:val="21"/>
              </w:rPr>
            </w:r>
            <w:r/>
          </w:p>
        </w:tc>
        <w:tc>
          <w:tcPr>
            <w:tcBorders>
              <w:left w:val="single" w:color="auto" w:sz="4" w:space="0"/>
              <w:right w:val="single" w:color="auto" w:sz="4" w:space="0"/>
            </w:tcBorders>
            <w:tcW w:w="2921" w:type="dxa"/>
            <w:textDirection w:val="lrTb"/>
            <w:noWrap w:val="false"/>
          </w:tcPr>
          <w:p>
            <w:pPr>
              <w:widowControl/>
              <w:rPr>
                <w:rFonts w:asciiTheme="minorEastAsia" w:hAnsiTheme="minorEastAsia"/>
                <w:szCs w:val="21"/>
              </w:rPr>
            </w:pPr>
            <w:r>
              <w:rPr>
                <w:rFonts w:asciiTheme="minorEastAsia" w:hAnsiTheme="minorEastAsia"/>
                <w:szCs w:val="21"/>
              </w:rPr>
            </w:r>
            <w:r/>
          </w:p>
        </w:tc>
        <w:tc>
          <w:tcPr>
            <w:tcBorders>
              <w:left w:val="single" w:color="auto" w:sz="4" w:space="0"/>
              <w:right w:val="single" w:color="auto" w:sz="4" w:space="0"/>
            </w:tcBorders>
            <w:tcW w:w="865" w:type="dxa"/>
            <w:textDirection w:val="lrTb"/>
            <w:noWrap w:val="false"/>
          </w:tcPr>
          <w:p>
            <w:pPr>
              <w:widowControl/>
              <w:rPr>
                <w:rFonts w:asciiTheme="minorEastAsia" w:hAnsiTheme="minorEastAsia"/>
                <w:szCs w:val="21"/>
              </w:rPr>
            </w:pPr>
            <w:r>
              <w:rPr>
                <w:rFonts w:asciiTheme="minorEastAsia" w:hAnsiTheme="minorEastAsia"/>
                <w:szCs w:val="21"/>
              </w:rPr>
            </w:r>
            <w:r/>
          </w:p>
        </w:tc>
        <w:tc>
          <w:tcPr>
            <w:gridSpan w:val="2"/>
            <w:tcBorders>
              <w:left w:val="single" w:color="auto" w:sz="4" w:space="0"/>
              <w:right w:val="single" w:color="auto" w:sz="4" w:space="0"/>
            </w:tcBorders>
            <w:tcW w:w="1200" w:type="dxa"/>
            <w:textDirection w:val="lrTb"/>
            <w:noWrap w:val="false"/>
          </w:tcPr>
          <w:p>
            <w:pPr>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widowControl/>
              <w:rPr>
                <w:rFonts w:asciiTheme="minorEastAsia" w:hAnsiTheme="minorEastAsia"/>
                <w:szCs w:val="21"/>
              </w:rPr>
            </w:pPr>
            <w:r>
              <w:rPr>
                <w:rFonts w:asciiTheme="minorEastAsia" w:hAnsi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widowControl/>
              <w:rPr>
                <w:rFonts w:asciiTheme="minorEastAsia" w:hAnsiTheme="minorEastAsia"/>
                <w:szCs w:val="21"/>
              </w:rPr>
            </w:pPr>
            <w:r>
              <w:rPr>
                <w:rFonts w:asciiTheme="minorEastAsia" w:hAnsiTheme="minorEastAsia"/>
                <w:szCs w:val="21"/>
              </w:rPr>
            </w:r>
            <w:r/>
          </w:p>
        </w:tc>
        <w:tc>
          <w:tcPr>
            <w:tcBorders>
              <w:left w:val="single" w:color="auto" w:sz="4" w:space="0"/>
              <w:right w:val="single" w:color="auto" w:sz="4" w:space="0"/>
            </w:tcBorders>
            <w:tcW w:w="1996" w:type="dxa"/>
            <w:textDirection w:val="lrTb"/>
            <w:noWrap w:val="false"/>
          </w:tcPr>
          <w:p>
            <w:pPr>
              <w:widowControl/>
              <w:rPr>
                <w:rFonts w:asciiTheme="minorEastAsia" w:hAnsiTheme="minorEastAsia"/>
                <w:szCs w:val="21"/>
              </w:rPr>
            </w:pPr>
            <w:r>
              <w:rPr>
                <w:rFonts w:asciiTheme="minorEastAsia" w:hAnsiTheme="minorEastAsia"/>
                <w:szCs w:val="21"/>
              </w:rPr>
            </w:r>
            <w:r/>
          </w:p>
        </w:tc>
        <w:tc>
          <w:tcPr>
            <w:tcBorders>
              <w:left w:val="single" w:color="auto" w:sz="4" w:space="0"/>
              <w:right w:val="single" w:color="auto" w:sz="4" w:space="0"/>
            </w:tcBorders>
            <w:tcW w:w="2921" w:type="dxa"/>
            <w:textDirection w:val="lrTb"/>
            <w:noWrap w:val="false"/>
          </w:tcPr>
          <w:p>
            <w:pPr>
              <w:widowControl/>
              <w:rPr>
                <w:rFonts w:asciiTheme="minorEastAsia" w:hAnsiTheme="minorEastAsia"/>
                <w:szCs w:val="21"/>
              </w:rPr>
            </w:pPr>
            <w:r>
              <w:rPr>
                <w:rFonts w:asciiTheme="minorEastAsia" w:hAnsiTheme="minorEastAsia"/>
                <w:szCs w:val="21"/>
              </w:rPr>
            </w:r>
            <w:r/>
          </w:p>
        </w:tc>
        <w:tc>
          <w:tcPr>
            <w:tcBorders>
              <w:left w:val="single" w:color="auto" w:sz="4" w:space="0"/>
              <w:right w:val="single" w:color="auto" w:sz="4" w:space="0"/>
            </w:tcBorders>
            <w:tcW w:w="865" w:type="dxa"/>
            <w:textDirection w:val="lrTb"/>
            <w:noWrap w:val="false"/>
          </w:tcPr>
          <w:p>
            <w:pPr>
              <w:widowControl/>
              <w:rPr>
                <w:rFonts w:asciiTheme="minorEastAsia" w:hAnsiTheme="minorEastAsia"/>
                <w:szCs w:val="21"/>
              </w:rPr>
            </w:pPr>
            <w:r>
              <w:rPr>
                <w:rFonts w:asciiTheme="minorEastAsia" w:hAnsiTheme="minorEastAsia"/>
                <w:szCs w:val="21"/>
              </w:rPr>
            </w:r>
            <w:r/>
          </w:p>
        </w:tc>
        <w:tc>
          <w:tcPr>
            <w:gridSpan w:val="2"/>
            <w:tcBorders>
              <w:left w:val="single" w:color="auto" w:sz="4" w:space="0"/>
              <w:right w:val="single" w:color="auto" w:sz="4" w:space="0"/>
            </w:tcBorders>
            <w:tcW w:w="1200" w:type="dxa"/>
            <w:textDirection w:val="lrTb"/>
            <w:noWrap w:val="false"/>
          </w:tcPr>
          <w:p>
            <w:pPr>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widowControl/>
              <w:rPr>
                <w:rFonts w:asciiTheme="minorEastAsia" w:hAnsiTheme="minorEastAsia"/>
                <w:szCs w:val="21"/>
              </w:rPr>
            </w:pPr>
            <w:r>
              <w:rPr>
                <w:rFonts w:asciiTheme="minorEastAsia" w:hAnsi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widowControl/>
              <w:rPr>
                <w:rFonts w:asciiTheme="minorEastAsia" w:hAnsiTheme="minorEastAsia"/>
                <w:szCs w:val="21"/>
              </w:rPr>
            </w:pPr>
            <w:r>
              <w:rPr>
                <w:rFonts w:asciiTheme="minorEastAsia" w:hAnsiTheme="minorEastAsia"/>
                <w:szCs w:val="21"/>
              </w:rPr>
            </w:r>
            <w:r/>
          </w:p>
        </w:tc>
        <w:tc>
          <w:tcPr>
            <w:tcBorders>
              <w:left w:val="single" w:color="auto" w:sz="4" w:space="0"/>
              <w:right w:val="single" w:color="auto" w:sz="4" w:space="0"/>
            </w:tcBorders>
            <w:tcW w:w="1996" w:type="dxa"/>
            <w:textDirection w:val="lrTb"/>
            <w:noWrap w:val="false"/>
          </w:tcPr>
          <w:p>
            <w:pPr>
              <w:widowControl/>
              <w:rPr>
                <w:rFonts w:asciiTheme="minorEastAsia" w:hAnsiTheme="minorEastAsia"/>
                <w:szCs w:val="21"/>
              </w:rPr>
            </w:pPr>
            <w:r>
              <w:rPr>
                <w:rFonts w:asciiTheme="minorEastAsia" w:hAnsiTheme="minorEastAsia"/>
                <w:szCs w:val="21"/>
              </w:rPr>
            </w:r>
            <w:r/>
          </w:p>
        </w:tc>
        <w:tc>
          <w:tcPr>
            <w:tcBorders>
              <w:left w:val="single" w:color="auto" w:sz="4" w:space="0"/>
              <w:right w:val="single" w:color="auto" w:sz="4" w:space="0"/>
            </w:tcBorders>
            <w:tcW w:w="2921" w:type="dxa"/>
            <w:textDirection w:val="lrTb"/>
            <w:noWrap w:val="false"/>
          </w:tcPr>
          <w:p>
            <w:pPr>
              <w:widowControl/>
              <w:rPr>
                <w:rFonts w:asciiTheme="minorEastAsia" w:hAnsiTheme="minorEastAsia"/>
                <w:szCs w:val="21"/>
              </w:rPr>
            </w:pPr>
            <w:r>
              <w:rPr>
                <w:rFonts w:asciiTheme="minorEastAsia" w:hAnsiTheme="minorEastAsia"/>
                <w:szCs w:val="21"/>
              </w:rPr>
            </w:r>
            <w:r/>
          </w:p>
        </w:tc>
        <w:tc>
          <w:tcPr>
            <w:tcBorders>
              <w:left w:val="single" w:color="auto" w:sz="4" w:space="0"/>
              <w:right w:val="single" w:color="auto" w:sz="4" w:space="0"/>
            </w:tcBorders>
            <w:tcW w:w="865" w:type="dxa"/>
            <w:textDirection w:val="lrTb"/>
            <w:noWrap w:val="false"/>
          </w:tcPr>
          <w:p>
            <w:pPr>
              <w:widowControl/>
              <w:rPr>
                <w:rFonts w:asciiTheme="minorEastAsia" w:hAnsiTheme="minorEastAsia"/>
                <w:szCs w:val="21"/>
              </w:rPr>
            </w:pPr>
            <w:r>
              <w:rPr>
                <w:rFonts w:asciiTheme="minorEastAsia" w:hAnsiTheme="minorEastAsia"/>
                <w:szCs w:val="21"/>
              </w:rPr>
            </w:r>
            <w:r/>
          </w:p>
        </w:tc>
        <w:tc>
          <w:tcPr>
            <w:gridSpan w:val="2"/>
            <w:tcBorders>
              <w:left w:val="single" w:color="auto" w:sz="4" w:space="0"/>
              <w:right w:val="single" w:color="auto" w:sz="4" w:space="0"/>
            </w:tcBorders>
            <w:tcW w:w="1200" w:type="dxa"/>
            <w:textDirection w:val="lrTb"/>
            <w:noWrap w:val="false"/>
          </w:tcPr>
          <w:p>
            <w:pPr>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widowControl/>
              <w:rPr>
                <w:rFonts w:asciiTheme="minorEastAsia" w:hAnsiTheme="minorEastAsia"/>
                <w:szCs w:val="21"/>
              </w:rPr>
            </w:pPr>
            <w:r>
              <w:rPr>
                <w:rFonts w:asciiTheme="minorEastAsia" w:hAnsi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widowControl/>
              <w:rPr>
                <w:rFonts w:asciiTheme="minorEastAsia" w:hAnsiTheme="minorEastAsia"/>
                <w:szCs w:val="21"/>
              </w:rPr>
            </w:pPr>
            <w:r>
              <w:rPr>
                <w:rFonts w:asciiTheme="minorEastAsia" w:hAnsiTheme="minorEastAsia"/>
                <w:szCs w:val="21"/>
              </w:rPr>
            </w:r>
            <w:r/>
          </w:p>
        </w:tc>
        <w:tc>
          <w:tcPr>
            <w:tcBorders>
              <w:left w:val="single" w:color="auto" w:sz="4" w:space="0"/>
              <w:right w:val="single" w:color="auto" w:sz="4" w:space="0"/>
            </w:tcBorders>
            <w:tcW w:w="1996" w:type="dxa"/>
            <w:textDirection w:val="lrTb"/>
            <w:noWrap w:val="false"/>
          </w:tcPr>
          <w:p>
            <w:pPr>
              <w:widowControl/>
              <w:rPr>
                <w:rFonts w:asciiTheme="minorEastAsia" w:hAnsiTheme="minorEastAsia"/>
                <w:szCs w:val="21"/>
              </w:rPr>
            </w:pPr>
            <w:r>
              <w:rPr>
                <w:rFonts w:asciiTheme="minorEastAsia" w:hAnsiTheme="minorEastAsia"/>
                <w:szCs w:val="21"/>
              </w:rPr>
            </w:r>
            <w:r/>
          </w:p>
        </w:tc>
        <w:tc>
          <w:tcPr>
            <w:tcBorders>
              <w:left w:val="single" w:color="auto" w:sz="4" w:space="0"/>
              <w:right w:val="single" w:color="auto" w:sz="4" w:space="0"/>
            </w:tcBorders>
            <w:tcW w:w="2921" w:type="dxa"/>
            <w:textDirection w:val="lrTb"/>
            <w:noWrap w:val="false"/>
          </w:tcPr>
          <w:p>
            <w:pPr>
              <w:widowControl/>
              <w:rPr>
                <w:rFonts w:asciiTheme="minorEastAsia" w:hAnsiTheme="minorEastAsia"/>
                <w:szCs w:val="21"/>
              </w:rPr>
            </w:pPr>
            <w:r>
              <w:rPr>
                <w:rFonts w:asciiTheme="minorEastAsia" w:hAnsiTheme="minorEastAsia"/>
                <w:szCs w:val="21"/>
              </w:rPr>
            </w:r>
            <w:r/>
          </w:p>
        </w:tc>
        <w:tc>
          <w:tcPr>
            <w:tcBorders>
              <w:left w:val="single" w:color="auto" w:sz="4" w:space="0"/>
              <w:right w:val="single" w:color="auto" w:sz="4" w:space="0"/>
            </w:tcBorders>
            <w:tcW w:w="865" w:type="dxa"/>
            <w:textDirection w:val="lrTb"/>
            <w:noWrap w:val="false"/>
          </w:tcPr>
          <w:p>
            <w:pPr>
              <w:widowControl/>
              <w:rPr>
                <w:rFonts w:asciiTheme="minorEastAsia" w:hAnsiTheme="minorEastAsia"/>
                <w:szCs w:val="21"/>
              </w:rPr>
            </w:pPr>
            <w:r>
              <w:rPr>
                <w:rFonts w:asciiTheme="minorEastAsia" w:hAnsiTheme="minorEastAsia"/>
                <w:szCs w:val="21"/>
              </w:rPr>
            </w:r>
            <w:r/>
          </w:p>
        </w:tc>
        <w:tc>
          <w:tcPr>
            <w:gridSpan w:val="2"/>
            <w:tcBorders>
              <w:left w:val="single" w:color="auto" w:sz="4" w:space="0"/>
              <w:right w:val="single" w:color="auto" w:sz="4" w:space="0"/>
            </w:tcBorders>
            <w:tcW w:w="1200" w:type="dxa"/>
            <w:textDirection w:val="lrTb"/>
            <w:noWrap w:val="false"/>
          </w:tcPr>
          <w:p>
            <w:pPr>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widowControl/>
              <w:rPr>
                <w:rFonts w:asciiTheme="minorEastAsia" w:hAnsiTheme="minorEastAsia"/>
                <w:szCs w:val="21"/>
              </w:rPr>
            </w:pPr>
            <w:r>
              <w:rPr>
                <w:rFonts w:asciiTheme="minorEastAsia" w:hAnsi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widowControl/>
              <w:rPr>
                <w:rFonts w:asciiTheme="minorEastAsia" w:hAnsiTheme="minorEastAsia"/>
                <w:szCs w:val="21"/>
              </w:rPr>
            </w:pPr>
            <w:r>
              <w:rPr>
                <w:rFonts w:asciiTheme="minorEastAsia" w:hAnsiTheme="minorEastAsia"/>
                <w:szCs w:val="21"/>
              </w:rPr>
            </w:r>
            <w:r/>
          </w:p>
        </w:tc>
        <w:tc>
          <w:tcPr>
            <w:tcBorders>
              <w:left w:val="single" w:color="auto" w:sz="4" w:space="0"/>
              <w:right w:val="single" w:color="auto" w:sz="4" w:space="0"/>
            </w:tcBorders>
            <w:tcW w:w="1996" w:type="dxa"/>
            <w:textDirection w:val="lrTb"/>
            <w:noWrap w:val="false"/>
          </w:tcPr>
          <w:p>
            <w:pPr>
              <w:widowControl/>
              <w:rPr>
                <w:rFonts w:asciiTheme="minorEastAsia" w:hAnsiTheme="minorEastAsia"/>
                <w:szCs w:val="21"/>
              </w:rPr>
            </w:pPr>
            <w:r>
              <w:rPr>
                <w:rFonts w:asciiTheme="minorEastAsia" w:hAnsiTheme="minorEastAsia"/>
                <w:szCs w:val="21"/>
              </w:rPr>
            </w:r>
            <w:r/>
          </w:p>
        </w:tc>
        <w:tc>
          <w:tcPr>
            <w:tcBorders>
              <w:left w:val="single" w:color="auto" w:sz="4" w:space="0"/>
              <w:right w:val="single" w:color="auto" w:sz="4" w:space="0"/>
            </w:tcBorders>
            <w:tcW w:w="2921" w:type="dxa"/>
            <w:textDirection w:val="lrTb"/>
            <w:noWrap w:val="false"/>
          </w:tcPr>
          <w:p>
            <w:pPr>
              <w:widowControl/>
              <w:rPr>
                <w:rFonts w:asciiTheme="minorEastAsia" w:hAnsiTheme="minorEastAsia"/>
                <w:szCs w:val="21"/>
              </w:rPr>
            </w:pPr>
            <w:r>
              <w:rPr>
                <w:rFonts w:asciiTheme="minorEastAsia" w:hAnsiTheme="minorEastAsia"/>
                <w:szCs w:val="21"/>
              </w:rPr>
            </w:r>
            <w:r/>
          </w:p>
        </w:tc>
        <w:tc>
          <w:tcPr>
            <w:tcBorders>
              <w:left w:val="single" w:color="auto" w:sz="4" w:space="0"/>
              <w:right w:val="single" w:color="auto" w:sz="4" w:space="0"/>
            </w:tcBorders>
            <w:tcW w:w="865" w:type="dxa"/>
            <w:textDirection w:val="lrTb"/>
            <w:noWrap w:val="false"/>
          </w:tcPr>
          <w:p>
            <w:pPr>
              <w:widowControl/>
              <w:rPr>
                <w:rFonts w:asciiTheme="minorEastAsia" w:hAnsiTheme="minorEastAsia"/>
                <w:szCs w:val="21"/>
              </w:rPr>
            </w:pPr>
            <w:r>
              <w:rPr>
                <w:rFonts w:asciiTheme="minorEastAsia" w:hAnsiTheme="minorEastAsia"/>
                <w:szCs w:val="21"/>
              </w:rPr>
            </w:r>
            <w:r/>
          </w:p>
        </w:tc>
        <w:tc>
          <w:tcPr>
            <w:gridSpan w:val="2"/>
            <w:tcBorders>
              <w:left w:val="single" w:color="auto" w:sz="4" w:space="0"/>
              <w:right w:val="single" w:color="auto" w:sz="4" w:space="0"/>
            </w:tcBorders>
            <w:tcW w:w="1200" w:type="dxa"/>
            <w:textDirection w:val="lrTb"/>
            <w:noWrap w:val="false"/>
          </w:tcPr>
          <w:p>
            <w:pPr>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widowControl/>
              <w:rPr>
                <w:rFonts w:asciiTheme="minorEastAsia" w:hAnsiTheme="minorEastAsia"/>
                <w:szCs w:val="21"/>
              </w:rPr>
            </w:pPr>
            <w:r>
              <w:rPr>
                <w:rFonts w:asciiTheme="minorEastAsia" w:hAnsi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widowControl/>
              <w:rPr>
                <w:rFonts w:asciiTheme="minorEastAsia" w:hAnsiTheme="minorEastAsia"/>
                <w:szCs w:val="21"/>
              </w:rPr>
            </w:pPr>
            <w:r>
              <w:rPr>
                <w:rFonts w:asciiTheme="minorEastAsia" w:hAnsiTheme="minorEastAsia"/>
                <w:szCs w:val="21"/>
              </w:rPr>
            </w:r>
            <w:r/>
          </w:p>
        </w:tc>
        <w:tc>
          <w:tcPr>
            <w:tcBorders>
              <w:left w:val="single" w:color="auto" w:sz="4" w:space="0"/>
              <w:right w:val="single" w:color="auto" w:sz="4" w:space="0"/>
            </w:tcBorders>
            <w:tcW w:w="1996" w:type="dxa"/>
            <w:textDirection w:val="lrTb"/>
            <w:noWrap w:val="false"/>
          </w:tcPr>
          <w:p>
            <w:pPr>
              <w:widowControl/>
              <w:rPr>
                <w:rFonts w:asciiTheme="minorEastAsia" w:hAnsiTheme="minorEastAsia"/>
                <w:szCs w:val="21"/>
              </w:rPr>
            </w:pPr>
            <w:r>
              <w:rPr>
                <w:rFonts w:asciiTheme="minorEastAsia" w:hAnsiTheme="minorEastAsia"/>
                <w:szCs w:val="21"/>
              </w:rPr>
            </w:r>
            <w:r/>
          </w:p>
        </w:tc>
        <w:tc>
          <w:tcPr>
            <w:tcBorders>
              <w:left w:val="single" w:color="auto" w:sz="4" w:space="0"/>
              <w:right w:val="single" w:color="auto" w:sz="4" w:space="0"/>
            </w:tcBorders>
            <w:tcW w:w="2921" w:type="dxa"/>
            <w:textDirection w:val="lrTb"/>
            <w:noWrap w:val="false"/>
          </w:tcPr>
          <w:p>
            <w:pPr>
              <w:widowControl/>
              <w:rPr>
                <w:rFonts w:asciiTheme="minorEastAsia" w:hAnsiTheme="minorEastAsia"/>
                <w:szCs w:val="21"/>
              </w:rPr>
            </w:pPr>
            <w:r>
              <w:rPr>
                <w:rFonts w:asciiTheme="minorEastAsia" w:hAnsiTheme="minorEastAsia"/>
                <w:szCs w:val="21"/>
              </w:rPr>
            </w:r>
            <w:r/>
          </w:p>
        </w:tc>
        <w:tc>
          <w:tcPr>
            <w:tcBorders>
              <w:left w:val="single" w:color="auto" w:sz="4" w:space="0"/>
              <w:right w:val="single" w:color="auto" w:sz="4" w:space="0"/>
            </w:tcBorders>
            <w:tcW w:w="865" w:type="dxa"/>
            <w:textDirection w:val="lrTb"/>
            <w:noWrap w:val="false"/>
          </w:tcPr>
          <w:p>
            <w:pPr>
              <w:widowControl/>
              <w:rPr>
                <w:rFonts w:asciiTheme="minorEastAsia" w:hAnsiTheme="minorEastAsia"/>
                <w:szCs w:val="21"/>
              </w:rPr>
            </w:pPr>
            <w:r>
              <w:rPr>
                <w:rFonts w:asciiTheme="minorEastAsia" w:hAnsiTheme="minorEastAsia"/>
                <w:szCs w:val="21"/>
              </w:rPr>
            </w:r>
            <w:r/>
          </w:p>
        </w:tc>
        <w:tc>
          <w:tcPr>
            <w:gridSpan w:val="2"/>
            <w:tcBorders>
              <w:left w:val="single" w:color="auto" w:sz="4" w:space="0"/>
              <w:right w:val="single" w:color="auto" w:sz="4" w:space="0"/>
            </w:tcBorders>
            <w:tcW w:w="1200" w:type="dxa"/>
            <w:textDirection w:val="lrTb"/>
            <w:noWrap w:val="false"/>
          </w:tcPr>
          <w:p>
            <w:pPr>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widowControl/>
              <w:rPr>
                <w:rFonts w:asciiTheme="minorEastAsia" w:hAnsiTheme="minorEastAsia"/>
                <w:szCs w:val="21"/>
              </w:rPr>
            </w:pPr>
            <w:r>
              <w:rPr>
                <w:rFonts w:asciiTheme="minorEastAsia" w:hAnsi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widowControl/>
              <w:rPr>
                <w:rFonts w:asciiTheme="minorEastAsia" w:hAnsiTheme="minorEastAsia"/>
                <w:szCs w:val="21"/>
              </w:rPr>
            </w:pPr>
            <w:r>
              <w:rPr>
                <w:rFonts w:asciiTheme="minorEastAsia" w:hAnsiTheme="minorEastAsia"/>
                <w:szCs w:val="21"/>
              </w:rPr>
            </w:r>
            <w:r/>
          </w:p>
        </w:tc>
        <w:tc>
          <w:tcPr>
            <w:tcBorders>
              <w:left w:val="single" w:color="auto" w:sz="4" w:space="0"/>
              <w:right w:val="single" w:color="auto" w:sz="4" w:space="0"/>
            </w:tcBorders>
            <w:tcW w:w="1996" w:type="dxa"/>
            <w:textDirection w:val="lrTb"/>
            <w:noWrap w:val="false"/>
          </w:tcPr>
          <w:p>
            <w:pPr>
              <w:widowControl/>
              <w:rPr>
                <w:rFonts w:asciiTheme="minorEastAsia" w:hAnsiTheme="minorEastAsia"/>
                <w:szCs w:val="21"/>
              </w:rPr>
            </w:pPr>
            <w:r>
              <w:rPr>
                <w:rFonts w:asciiTheme="minorEastAsia" w:hAnsiTheme="minorEastAsia"/>
                <w:szCs w:val="21"/>
              </w:rPr>
            </w:r>
            <w:r/>
          </w:p>
        </w:tc>
        <w:tc>
          <w:tcPr>
            <w:tcBorders>
              <w:left w:val="single" w:color="auto" w:sz="4" w:space="0"/>
              <w:right w:val="single" w:color="auto" w:sz="4" w:space="0"/>
            </w:tcBorders>
            <w:tcW w:w="2921" w:type="dxa"/>
            <w:textDirection w:val="lrTb"/>
            <w:noWrap w:val="false"/>
          </w:tcPr>
          <w:p>
            <w:pPr>
              <w:widowControl/>
              <w:rPr>
                <w:rFonts w:asciiTheme="minorEastAsia" w:hAnsiTheme="minorEastAsia"/>
                <w:szCs w:val="21"/>
              </w:rPr>
            </w:pPr>
            <w:r>
              <w:rPr>
                <w:rFonts w:asciiTheme="minorEastAsia" w:hAnsiTheme="minorEastAsia"/>
                <w:szCs w:val="21"/>
              </w:rPr>
            </w:r>
            <w:r/>
          </w:p>
        </w:tc>
        <w:tc>
          <w:tcPr>
            <w:tcBorders>
              <w:left w:val="single" w:color="auto" w:sz="4" w:space="0"/>
              <w:right w:val="single" w:color="auto" w:sz="4" w:space="0"/>
            </w:tcBorders>
            <w:tcW w:w="865" w:type="dxa"/>
            <w:textDirection w:val="lrTb"/>
            <w:noWrap w:val="false"/>
          </w:tcPr>
          <w:p>
            <w:pPr>
              <w:widowControl/>
              <w:rPr>
                <w:rFonts w:asciiTheme="minorEastAsia" w:hAnsiTheme="minorEastAsia"/>
                <w:szCs w:val="21"/>
              </w:rPr>
            </w:pPr>
            <w:r>
              <w:rPr>
                <w:rFonts w:asciiTheme="minorEastAsia" w:hAnsiTheme="minorEastAsia"/>
                <w:szCs w:val="21"/>
              </w:rPr>
            </w:r>
            <w:r/>
          </w:p>
        </w:tc>
        <w:tc>
          <w:tcPr>
            <w:gridSpan w:val="2"/>
            <w:tcBorders>
              <w:left w:val="single" w:color="auto" w:sz="4" w:space="0"/>
              <w:right w:val="single" w:color="auto" w:sz="4" w:space="0"/>
            </w:tcBorders>
            <w:tcW w:w="1200" w:type="dxa"/>
            <w:textDirection w:val="lrTb"/>
            <w:noWrap w:val="false"/>
          </w:tcPr>
          <w:p>
            <w:pPr>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widowControl/>
              <w:rPr>
                <w:rFonts w:asciiTheme="minorEastAsia" w:hAnsiTheme="minorEastAsia"/>
                <w:szCs w:val="21"/>
              </w:rPr>
            </w:pPr>
            <w:r>
              <w:rPr>
                <w:rFonts w:asciiTheme="minorEastAsia" w:hAnsiTheme="minorEastAsia"/>
                <w:szCs w:val="21"/>
              </w:rPr>
            </w:r>
            <w:r/>
          </w:p>
        </w:tc>
      </w:tr>
    </w:tbl>
    <w:p>
      <w:pPr>
        <w:spacing w:line="240" w:lineRule="atLeast"/>
        <w:widowControl/>
        <w:rPr>
          <w:rFonts w:asciiTheme="minorEastAsia" w:hAnsiTheme="minorEastAsia"/>
          <w:szCs w:val="21"/>
        </w:rPr>
      </w:pPr>
      <w:r>
        <w:rPr>
          <w:rFonts w:hint="eastAsia" w:asciiTheme="minorEastAsia" w:hAnsiTheme="minorEastAsia"/>
          <w:szCs w:val="21"/>
        </w:rPr>
        <w:t xml:space="preserve">供应商名称：（盖章）</w:t>
      </w:r>
      <w:r/>
    </w:p>
    <w:p>
      <w:pPr>
        <w:spacing w:line="240" w:lineRule="atLeast"/>
        <w:widowControl/>
        <w:rPr>
          <w:rFonts w:asciiTheme="minorEastAsia" w:hAnsiTheme="minorEastAsia"/>
          <w:szCs w:val="21"/>
        </w:rPr>
      </w:pPr>
      <w:r>
        <w:rPr>
          <w:rFonts w:hint="eastAsia" w:asciiTheme="minorEastAsia" w:hAnsiTheme="minorEastAsia"/>
          <w:szCs w:val="21"/>
        </w:rPr>
        <w:t xml:space="preserve">说明：1、如果行数不够，请自行增加。</w:t>
      </w:r>
      <w:r/>
    </w:p>
    <w:p>
      <w:pPr>
        <w:ind w:firstLine="440"/>
        <w:widowControl/>
        <w:rPr>
          <w:rFonts w:asciiTheme="minorEastAsia" w:hAnsiTheme="minorEastAsia"/>
          <w:szCs w:val="21"/>
        </w:rPr>
      </w:pPr>
      <w:r>
        <w:rPr>
          <w:rFonts w:hint="eastAsia" w:asciiTheme="minorEastAsia" w:hAnsiTheme="minorEastAsia"/>
          <w:szCs w:val="21"/>
        </w:rPr>
        <w:t xml:space="preserve">  2、在“是否属于小、微型企业的报价”栏内，填写“是”或“否”，评审时，如果小微型企业报价无法划分计算的，将不予认可。</w:t>
      </w:r>
      <w:r/>
    </w:p>
    <w:p>
      <w:pPr>
        <w:ind w:firstLine="420"/>
        <w:spacing w:line="360" w:lineRule="auto"/>
        <w:rPr>
          <w:sz w:val="21"/>
          <w:szCs w:val="21"/>
        </w:rPr>
      </w:pPr>
      <w:r>
        <w:rPr>
          <w:sz w:val="21"/>
          <w:szCs w:val="21"/>
        </w:rPr>
      </w:r>
      <w:r/>
    </w:p>
    <w:p>
      <w:pPr>
        <w:ind w:firstLine="420"/>
        <w:spacing w:line="360" w:lineRule="auto"/>
        <w:rPr>
          <w:sz w:val="21"/>
          <w:szCs w:val="21"/>
        </w:rPr>
      </w:pPr>
      <w:r>
        <w:rPr>
          <w:sz w:val="21"/>
          <w:szCs w:val="21"/>
        </w:rPr>
      </w:r>
      <w:r/>
    </w:p>
    <w:p>
      <w:pPr>
        <w:ind w:firstLine="420"/>
        <w:spacing w:line="360" w:lineRule="auto"/>
        <w:rPr>
          <w:sz w:val="21"/>
          <w:szCs w:val="21"/>
        </w:rPr>
      </w:pPr>
      <w:r>
        <w:rPr>
          <w:sz w:val="21"/>
          <w:szCs w:val="21"/>
        </w:rPr>
      </w:r>
      <w:r/>
    </w:p>
    <w:p>
      <w:pPr>
        <w:ind w:firstLine="420"/>
        <w:spacing w:line="360" w:lineRule="auto"/>
        <w:rPr>
          <w:sz w:val="21"/>
          <w:szCs w:val="21"/>
          <w:lang w:val="en-US"/>
        </w:rPr>
        <w:sectPr>
          <w:footnotePr/>
          <w:endnotePr/>
          <w:type w:val="continuous"/>
          <w:pgSz w:w="11910" w:h="16840" w:orient="portrait"/>
          <w:pgMar w:top="1134" w:right="1134" w:bottom="1134" w:left="1134" w:header="567" w:footer="567" w:gutter="0"/>
          <w:cols w:num="1" w:sep="0" w:space="720" w:equalWidth="1"/>
          <w:docGrid w:linePitch="360"/>
        </w:sectPr>
      </w:pPr>
      <w:r>
        <w:rPr>
          <w:sz w:val="21"/>
          <w:szCs w:val="21"/>
          <w:lang w:val="en-US"/>
        </w:rPr>
      </w:r>
      <w:r/>
    </w:p>
    <w:p>
      <w:pPr>
        <w:spacing w:line="360" w:lineRule="auto"/>
        <w:rPr>
          <w:sz w:val="19"/>
          <w:szCs w:val="21"/>
        </w:rPr>
      </w:pPr>
      <w:r>
        <w:rPr>
          <w:sz w:val="19"/>
          <w:szCs w:val="21"/>
        </w:rPr>
      </w:r>
      <w:r/>
    </w:p>
    <w:p>
      <w:pPr>
        <w:spacing w:line="360" w:lineRule="auto"/>
        <w:rPr>
          <w:b/>
          <w:sz w:val="21"/>
        </w:rPr>
      </w:pPr>
      <w:r>
        <w:rPr>
          <w:b/>
          <w:sz w:val="21"/>
        </w:rPr>
        <w:br w:type="page" w:clear="all"/>
      </w:r>
      <w:r>
        <w:rPr>
          <w:b/>
          <w:sz w:val="21"/>
        </w:rPr>
        <w:t xml:space="preserve">目录</w:t>
      </w:r>
      <w:r>
        <w:rPr>
          <w:rFonts w:hint="eastAsia"/>
          <w:b/>
          <w:sz w:val="21"/>
        </w:rPr>
        <w:t xml:space="preserve">五</w:t>
      </w:r>
      <w:r>
        <w:rPr>
          <w:b/>
          <w:sz w:val="21"/>
        </w:rPr>
        <w:t xml:space="preserve">、技术条款偏离表格式</w:t>
      </w:r>
      <w:r/>
    </w:p>
    <w:p>
      <w:pPr>
        <w:jc w:val="center"/>
        <w:spacing w:line="360" w:lineRule="auto"/>
        <w:rPr>
          <w:rFonts w:asciiTheme="minorEastAsia" w:hAnsiTheme="minorEastAsia" w:eastAsiaTheme="minorEastAsia"/>
          <w:b/>
          <w:sz w:val="36"/>
        </w:rPr>
      </w:pPr>
      <w:r>
        <w:rPr>
          <w:rFonts w:asciiTheme="minorEastAsia" w:hAnsiTheme="minorEastAsia" w:eastAsiaTheme="minorEastAsia"/>
          <w:b/>
          <w:sz w:val="36"/>
        </w:rPr>
        <w:t xml:space="preserve">技术条款偏离表</w:t>
      </w:r>
      <w:r/>
    </w:p>
    <w:p>
      <w:pPr>
        <w:jc w:val="center"/>
        <w:spacing w:line="360" w:lineRule="auto"/>
        <w:rPr>
          <w:rFonts w:asciiTheme="minorEastAsia" w:hAnsiTheme="minorEastAsia" w:eastAsiaTheme="minorEastAsia"/>
          <w:b/>
          <w:sz w:val="36"/>
        </w:rPr>
        <w:sectPr>
          <w:footnotePr/>
          <w:endnotePr/>
          <w:type w:val="continuous"/>
          <w:pgSz w:w="11910" w:h="16840" w:orient="portrait"/>
          <w:pgMar w:top="1134" w:right="1134" w:bottom="1134" w:left="1134" w:header="567" w:footer="567" w:gutter="0"/>
          <w:cols w:num="1" w:sep="0" w:space="425" w:equalWidth="1"/>
          <w:docGrid w:linePitch="360"/>
        </w:sectPr>
      </w:pPr>
      <w:r>
        <w:rPr>
          <w:rFonts w:asciiTheme="minorEastAsia" w:hAnsiTheme="minorEastAsia" w:eastAsiaTheme="minorEastAsia"/>
          <w:b/>
          <w:sz w:val="36"/>
        </w:rPr>
      </w:r>
      <w:r/>
    </w:p>
    <w:p>
      <w:pPr>
        <w:ind w:left="240"/>
        <w:spacing w:line="360" w:lineRule="auto"/>
        <w:tabs>
          <w:tab w:val="left" w:pos="6736" w:leader="none"/>
        </w:tabs>
        <w:rPr>
          <w:sz w:val="21"/>
          <w:szCs w:val="21"/>
        </w:rPr>
      </w:pPr>
      <w:r>
        <w:rPr>
          <w:sz w:val="21"/>
          <w:szCs w:val="21"/>
        </w:rPr>
        <w:t xml:space="preserve">项目名称：</w:t>
      </w:r>
      <w:r>
        <w:rPr>
          <w:sz w:val="21"/>
          <w:szCs w:val="21"/>
        </w:rPr>
        <w:tab/>
      </w:r>
      <w:r>
        <w:rPr>
          <w:sz w:val="21"/>
          <w:szCs w:val="21"/>
        </w:rPr>
        <w:t xml:space="preserve">项目编号：</w:t>
      </w:r>
      <w:r/>
    </w:p>
    <w:tbl>
      <w:tblPr>
        <w:tblStyle w:val="77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3240"/>
        <w:gridCol w:w="1110"/>
        <w:gridCol w:w="1110"/>
      </w:tblGrid>
      <w:tr>
        <w:trPr>
          <w:jc w:val="center"/>
          <w:trHeight w:val="407"/>
        </w:trPr>
        <w:tc>
          <w:tcPr>
            <w:tcW w:w="765" w:type="dxa"/>
            <w:vAlign w:val="center"/>
            <w:textDirection w:val="lrTb"/>
            <w:noWrap w:val="false"/>
          </w:tcPr>
          <w:p>
            <w:pPr>
              <w:jc w:val="center"/>
              <w:rPr>
                <w:sz w:val="21"/>
              </w:rPr>
            </w:pPr>
            <w:r>
              <w:rPr>
                <w:sz w:val="21"/>
              </w:rPr>
              <w:t xml:space="preserve">序号</w:t>
            </w:r>
            <w:r/>
          </w:p>
        </w:tc>
        <w:tc>
          <w:tcPr>
            <w:tcW w:w="1620" w:type="dxa"/>
            <w:vAlign w:val="center"/>
            <w:textDirection w:val="lrTb"/>
            <w:noWrap w:val="false"/>
          </w:tcPr>
          <w:p>
            <w:pPr>
              <w:jc w:val="center"/>
              <w:rPr>
                <w:sz w:val="21"/>
              </w:rPr>
            </w:pPr>
            <w:r>
              <w:rPr>
                <w:sz w:val="21"/>
              </w:rPr>
              <w:t xml:space="preserve">招标文件条目号</w:t>
            </w:r>
            <w:r/>
          </w:p>
        </w:tc>
        <w:tc>
          <w:tcPr>
            <w:tcW w:w="2700" w:type="dxa"/>
            <w:vAlign w:val="center"/>
            <w:textDirection w:val="lrTb"/>
            <w:noWrap w:val="false"/>
          </w:tcPr>
          <w:p>
            <w:pPr>
              <w:jc w:val="center"/>
              <w:rPr>
                <w:sz w:val="21"/>
              </w:rPr>
            </w:pPr>
            <w:r>
              <w:rPr>
                <w:rFonts w:hint="eastAsia"/>
                <w:sz w:val="21"/>
              </w:rPr>
              <w:t xml:space="preserve">招标要求条款</w:t>
            </w:r>
            <w:r/>
          </w:p>
        </w:tc>
        <w:tc>
          <w:tcPr>
            <w:tcW w:w="3240" w:type="dxa"/>
            <w:vAlign w:val="center"/>
            <w:textDirection w:val="lrTb"/>
            <w:noWrap w:val="false"/>
          </w:tcPr>
          <w:p>
            <w:pPr>
              <w:jc w:val="center"/>
              <w:rPr>
                <w:sz w:val="21"/>
              </w:rPr>
            </w:pPr>
            <w:r>
              <w:rPr>
                <w:sz w:val="21"/>
              </w:rPr>
              <w:t xml:space="preserve">投标响应</w:t>
            </w:r>
            <w:r/>
          </w:p>
        </w:tc>
        <w:tc>
          <w:tcPr>
            <w:tcW w:w="1110" w:type="dxa"/>
            <w:vAlign w:val="center"/>
            <w:textDirection w:val="lrTb"/>
            <w:noWrap w:val="false"/>
          </w:tcPr>
          <w:p>
            <w:pPr>
              <w:jc w:val="center"/>
              <w:rPr>
                <w:sz w:val="21"/>
              </w:rPr>
            </w:pPr>
            <w:r>
              <w:rPr>
                <w:rFonts w:hint="eastAsia"/>
                <w:sz w:val="21"/>
              </w:rPr>
              <w:t xml:space="preserve">是否</w:t>
            </w:r>
            <w:r>
              <w:rPr>
                <w:sz w:val="21"/>
              </w:rPr>
              <w:t xml:space="preserve">偏离</w:t>
            </w:r>
            <w:r/>
          </w:p>
        </w:tc>
        <w:tc>
          <w:tcPr>
            <w:tcW w:w="1110" w:type="dxa"/>
            <w:textDirection w:val="lrTb"/>
            <w:noWrap w:val="false"/>
          </w:tcPr>
          <w:p>
            <w:pPr>
              <w:jc w:val="center"/>
              <w:rPr>
                <w:sz w:val="21"/>
              </w:rPr>
            </w:pPr>
            <w:r>
              <w:rPr>
                <w:rFonts w:hint="eastAsia"/>
                <w:sz w:val="21"/>
              </w:rPr>
              <w:t xml:space="preserve">页码</w:t>
            </w:r>
            <w:r/>
          </w:p>
        </w:tc>
      </w:tr>
      <w:tr>
        <w:trPr>
          <w:jc w:val="center"/>
          <w:trHeight w:val="427"/>
        </w:trPr>
        <w:tc>
          <w:tcPr>
            <w:tcW w:w="765" w:type="dxa"/>
            <w:vAlign w:val="center"/>
            <w:textDirection w:val="lrTb"/>
            <w:noWrap w:val="false"/>
          </w:tcPr>
          <w:p>
            <w:pPr>
              <w:jc w:val="center"/>
              <w:rPr>
                <w:rFonts w:ascii="Times New Roman"/>
                <w:sz w:val="20"/>
              </w:rPr>
            </w:pPr>
            <w:r>
              <w:rPr>
                <w:rFonts w:ascii="Times New Roman"/>
                <w:sz w:val="20"/>
              </w:rPr>
            </w:r>
            <w:r/>
          </w:p>
        </w:tc>
        <w:tc>
          <w:tcPr>
            <w:tcW w:w="1620" w:type="dxa"/>
            <w:vAlign w:val="center"/>
            <w:textDirection w:val="lrTb"/>
            <w:noWrap w:val="false"/>
          </w:tcPr>
          <w:p>
            <w:pPr>
              <w:jc w:val="center"/>
              <w:rPr>
                <w:rFonts w:ascii="Times New Roman"/>
                <w:sz w:val="20"/>
              </w:rPr>
            </w:pPr>
            <w:r>
              <w:rPr>
                <w:rFonts w:ascii="Times New Roman"/>
                <w:sz w:val="20"/>
              </w:rPr>
            </w:r>
            <w:r/>
          </w:p>
        </w:tc>
        <w:tc>
          <w:tcPr>
            <w:tcW w:w="2700" w:type="dxa"/>
            <w:vAlign w:val="center"/>
            <w:textDirection w:val="lrTb"/>
            <w:noWrap w:val="false"/>
          </w:tcPr>
          <w:p>
            <w:pPr>
              <w:jc w:val="center"/>
              <w:rPr>
                <w:rFonts w:ascii="Times New Roman"/>
                <w:sz w:val="20"/>
              </w:rPr>
            </w:pPr>
            <w:r>
              <w:rPr>
                <w:rFonts w:ascii="Times New Roman"/>
                <w:sz w:val="20"/>
              </w:rPr>
            </w:r>
            <w:r/>
          </w:p>
        </w:tc>
        <w:tc>
          <w:tcPr>
            <w:tcW w:w="3240" w:type="dxa"/>
            <w:vAlign w:val="center"/>
            <w:textDirection w:val="lrTb"/>
            <w:noWrap w:val="false"/>
          </w:tcPr>
          <w:p>
            <w:pPr>
              <w:jc w:val="center"/>
              <w:rPr>
                <w:rFonts w:ascii="Times New Roman"/>
                <w:sz w:val="20"/>
              </w:rPr>
            </w:pPr>
            <w:r>
              <w:rPr>
                <w:rFonts w:ascii="Times New Roman"/>
                <w:sz w:val="20"/>
              </w:rPr>
            </w:r>
            <w:r/>
          </w:p>
        </w:tc>
        <w:tc>
          <w:tcPr>
            <w:tcW w:w="1110" w:type="dxa"/>
            <w:vAlign w:val="center"/>
            <w:textDirection w:val="lrTb"/>
            <w:noWrap w:val="false"/>
          </w:tcPr>
          <w:p>
            <w:pPr>
              <w:jc w:val="center"/>
              <w:rPr>
                <w:rFonts w:ascii="Times New Roman"/>
                <w:sz w:val="20"/>
              </w:rPr>
            </w:pPr>
            <w:r>
              <w:rPr>
                <w:rFonts w:ascii="Times New Roman"/>
                <w:sz w:val="20"/>
              </w:rPr>
            </w:r>
            <w:r/>
          </w:p>
        </w:tc>
        <w:tc>
          <w:tcPr>
            <w:tcW w:w="1110" w:type="dxa"/>
            <w:textDirection w:val="lrTb"/>
            <w:noWrap w:val="false"/>
          </w:tcPr>
          <w:p>
            <w:pPr>
              <w:jc w:val="center"/>
              <w:rPr>
                <w:rFonts w:ascii="Times New Roman"/>
                <w:sz w:val="20"/>
              </w:rPr>
            </w:pPr>
            <w:r>
              <w:rPr>
                <w:rFonts w:ascii="Times New Roman"/>
                <w:sz w:val="20"/>
              </w:rPr>
            </w:r>
            <w:r/>
          </w:p>
        </w:tc>
      </w:tr>
      <w:tr>
        <w:trPr>
          <w:jc w:val="center"/>
          <w:trHeight w:val="427"/>
        </w:trPr>
        <w:tc>
          <w:tcPr>
            <w:tcW w:w="765" w:type="dxa"/>
            <w:vAlign w:val="center"/>
            <w:textDirection w:val="lrTb"/>
            <w:noWrap w:val="false"/>
          </w:tcPr>
          <w:p>
            <w:pPr>
              <w:jc w:val="center"/>
              <w:rPr>
                <w:rFonts w:ascii="Times New Roman"/>
                <w:sz w:val="20"/>
              </w:rPr>
            </w:pPr>
            <w:r>
              <w:rPr>
                <w:rFonts w:ascii="Times New Roman"/>
                <w:sz w:val="20"/>
              </w:rPr>
            </w:r>
            <w:r/>
          </w:p>
        </w:tc>
        <w:tc>
          <w:tcPr>
            <w:tcW w:w="1620" w:type="dxa"/>
            <w:vAlign w:val="center"/>
            <w:textDirection w:val="lrTb"/>
            <w:noWrap w:val="false"/>
          </w:tcPr>
          <w:p>
            <w:pPr>
              <w:jc w:val="center"/>
              <w:rPr>
                <w:rFonts w:ascii="Times New Roman"/>
                <w:sz w:val="20"/>
              </w:rPr>
            </w:pPr>
            <w:r>
              <w:rPr>
                <w:rFonts w:ascii="Times New Roman"/>
                <w:sz w:val="20"/>
              </w:rPr>
            </w:r>
            <w:r/>
          </w:p>
        </w:tc>
        <w:tc>
          <w:tcPr>
            <w:tcW w:w="2700" w:type="dxa"/>
            <w:vAlign w:val="center"/>
            <w:textDirection w:val="lrTb"/>
            <w:noWrap w:val="false"/>
          </w:tcPr>
          <w:p>
            <w:pPr>
              <w:jc w:val="center"/>
              <w:rPr>
                <w:rFonts w:ascii="Times New Roman"/>
                <w:sz w:val="20"/>
              </w:rPr>
            </w:pPr>
            <w:r>
              <w:rPr>
                <w:rFonts w:ascii="Times New Roman"/>
                <w:sz w:val="20"/>
              </w:rPr>
            </w:r>
            <w:r/>
          </w:p>
        </w:tc>
        <w:tc>
          <w:tcPr>
            <w:tcW w:w="3240" w:type="dxa"/>
            <w:vAlign w:val="center"/>
            <w:textDirection w:val="lrTb"/>
            <w:noWrap w:val="false"/>
          </w:tcPr>
          <w:p>
            <w:pPr>
              <w:jc w:val="center"/>
              <w:rPr>
                <w:rFonts w:ascii="Times New Roman"/>
                <w:sz w:val="20"/>
              </w:rPr>
            </w:pPr>
            <w:r>
              <w:rPr>
                <w:rFonts w:ascii="Times New Roman"/>
                <w:sz w:val="20"/>
              </w:rPr>
            </w:r>
            <w:r/>
          </w:p>
        </w:tc>
        <w:tc>
          <w:tcPr>
            <w:tcW w:w="1110" w:type="dxa"/>
            <w:vAlign w:val="center"/>
            <w:textDirection w:val="lrTb"/>
            <w:noWrap w:val="false"/>
          </w:tcPr>
          <w:p>
            <w:pPr>
              <w:jc w:val="center"/>
              <w:rPr>
                <w:rFonts w:ascii="Times New Roman"/>
                <w:sz w:val="20"/>
              </w:rPr>
            </w:pPr>
            <w:r>
              <w:rPr>
                <w:rFonts w:ascii="Times New Roman"/>
                <w:sz w:val="20"/>
              </w:rPr>
            </w:r>
            <w:r/>
          </w:p>
        </w:tc>
        <w:tc>
          <w:tcPr>
            <w:tcW w:w="1110" w:type="dxa"/>
            <w:textDirection w:val="lrTb"/>
            <w:noWrap w:val="false"/>
          </w:tcPr>
          <w:p>
            <w:pPr>
              <w:jc w:val="center"/>
              <w:rPr>
                <w:rFonts w:ascii="Times New Roman"/>
                <w:sz w:val="20"/>
              </w:rPr>
            </w:pPr>
            <w:r>
              <w:rPr>
                <w:rFonts w:ascii="Times New Roman"/>
                <w:sz w:val="20"/>
              </w:rPr>
            </w:r>
            <w:r/>
          </w:p>
        </w:tc>
      </w:tr>
      <w:tr>
        <w:trPr>
          <w:jc w:val="center"/>
          <w:trHeight w:val="428"/>
        </w:trPr>
        <w:tc>
          <w:tcPr>
            <w:tcW w:w="765" w:type="dxa"/>
            <w:vAlign w:val="center"/>
            <w:textDirection w:val="lrTb"/>
            <w:noWrap w:val="false"/>
          </w:tcPr>
          <w:p>
            <w:pPr>
              <w:jc w:val="center"/>
              <w:rPr>
                <w:rFonts w:ascii="Times New Roman"/>
                <w:sz w:val="20"/>
              </w:rPr>
            </w:pPr>
            <w:r>
              <w:rPr>
                <w:rFonts w:ascii="Times New Roman"/>
                <w:sz w:val="20"/>
              </w:rPr>
            </w:r>
            <w:r/>
          </w:p>
        </w:tc>
        <w:tc>
          <w:tcPr>
            <w:tcW w:w="1620" w:type="dxa"/>
            <w:vAlign w:val="center"/>
            <w:textDirection w:val="lrTb"/>
            <w:noWrap w:val="false"/>
          </w:tcPr>
          <w:p>
            <w:pPr>
              <w:jc w:val="center"/>
              <w:rPr>
                <w:rFonts w:ascii="Times New Roman"/>
                <w:sz w:val="20"/>
              </w:rPr>
            </w:pPr>
            <w:r>
              <w:rPr>
                <w:rFonts w:ascii="Times New Roman"/>
                <w:sz w:val="20"/>
              </w:rPr>
            </w:r>
            <w:r/>
          </w:p>
        </w:tc>
        <w:tc>
          <w:tcPr>
            <w:tcW w:w="2700" w:type="dxa"/>
            <w:vAlign w:val="center"/>
            <w:textDirection w:val="lrTb"/>
            <w:noWrap w:val="false"/>
          </w:tcPr>
          <w:p>
            <w:pPr>
              <w:jc w:val="center"/>
              <w:rPr>
                <w:rFonts w:ascii="Times New Roman"/>
                <w:sz w:val="20"/>
              </w:rPr>
            </w:pPr>
            <w:r>
              <w:rPr>
                <w:rFonts w:ascii="Times New Roman"/>
                <w:sz w:val="20"/>
              </w:rPr>
            </w:r>
            <w:r/>
          </w:p>
        </w:tc>
        <w:tc>
          <w:tcPr>
            <w:tcW w:w="3240" w:type="dxa"/>
            <w:vAlign w:val="center"/>
            <w:textDirection w:val="lrTb"/>
            <w:noWrap w:val="false"/>
          </w:tcPr>
          <w:p>
            <w:pPr>
              <w:jc w:val="center"/>
              <w:rPr>
                <w:rFonts w:ascii="Times New Roman"/>
                <w:sz w:val="20"/>
              </w:rPr>
            </w:pPr>
            <w:r>
              <w:rPr>
                <w:rFonts w:ascii="Times New Roman"/>
                <w:sz w:val="20"/>
              </w:rPr>
            </w:r>
            <w:r/>
          </w:p>
        </w:tc>
        <w:tc>
          <w:tcPr>
            <w:tcW w:w="1110" w:type="dxa"/>
            <w:vAlign w:val="center"/>
            <w:textDirection w:val="lrTb"/>
            <w:noWrap w:val="false"/>
          </w:tcPr>
          <w:p>
            <w:pPr>
              <w:jc w:val="center"/>
              <w:rPr>
                <w:rFonts w:ascii="Times New Roman"/>
                <w:sz w:val="20"/>
              </w:rPr>
            </w:pPr>
            <w:r>
              <w:rPr>
                <w:rFonts w:ascii="Times New Roman"/>
                <w:sz w:val="20"/>
              </w:rPr>
            </w:r>
            <w:r/>
          </w:p>
        </w:tc>
        <w:tc>
          <w:tcPr>
            <w:tcW w:w="1110" w:type="dxa"/>
            <w:textDirection w:val="lrTb"/>
            <w:noWrap w:val="false"/>
          </w:tcPr>
          <w:p>
            <w:pPr>
              <w:jc w:val="center"/>
              <w:rPr>
                <w:rFonts w:ascii="Times New Roman"/>
                <w:sz w:val="20"/>
              </w:rPr>
            </w:pPr>
            <w:r>
              <w:rPr>
                <w:rFonts w:ascii="Times New Roman"/>
                <w:sz w:val="20"/>
              </w:rPr>
            </w:r>
            <w:r/>
          </w:p>
        </w:tc>
      </w:tr>
      <w:tr>
        <w:trPr>
          <w:jc w:val="center"/>
          <w:trHeight w:val="427"/>
        </w:trPr>
        <w:tc>
          <w:tcPr>
            <w:tcW w:w="765" w:type="dxa"/>
            <w:vAlign w:val="center"/>
            <w:textDirection w:val="lrTb"/>
            <w:noWrap w:val="false"/>
          </w:tcPr>
          <w:p>
            <w:pPr>
              <w:jc w:val="center"/>
              <w:rPr>
                <w:rFonts w:ascii="Times New Roman"/>
                <w:sz w:val="20"/>
              </w:rPr>
            </w:pPr>
            <w:r>
              <w:rPr>
                <w:rFonts w:ascii="Times New Roman"/>
                <w:sz w:val="20"/>
              </w:rPr>
            </w:r>
            <w:r/>
          </w:p>
        </w:tc>
        <w:tc>
          <w:tcPr>
            <w:tcW w:w="1620" w:type="dxa"/>
            <w:vAlign w:val="center"/>
            <w:textDirection w:val="lrTb"/>
            <w:noWrap w:val="false"/>
          </w:tcPr>
          <w:p>
            <w:pPr>
              <w:jc w:val="center"/>
              <w:rPr>
                <w:rFonts w:ascii="Times New Roman"/>
                <w:sz w:val="20"/>
              </w:rPr>
            </w:pPr>
            <w:r>
              <w:rPr>
                <w:rFonts w:ascii="Times New Roman"/>
                <w:sz w:val="20"/>
              </w:rPr>
            </w:r>
            <w:r/>
          </w:p>
        </w:tc>
        <w:tc>
          <w:tcPr>
            <w:tcW w:w="2700" w:type="dxa"/>
            <w:vAlign w:val="center"/>
            <w:textDirection w:val="lrTb"/>
            <w:noWrap w:val="false"/>
          </w:tcPr>
          <w:p>
            <w:pPr>
              <w:jc w:val="center"/>
              <w:rPr>
                <w:rFonts w:ascii="Times New Roman"/>
                <w:sz w:val="20"/>
              </w:rPr>
            </w:pPr>
            <w:r>
              <w:rPr>
                <w:rFonts w:ascii="Times New Roman"/>
                <w:sz w:val="20"/>
              </w:rPr>
            </w:r>
            <w:r/>
          </w:p>
        </w:tc>
        <w:tc>
          <w:tcPr>
            <w:tcW w:w="3240" w:type="dxa"/>
            <w:vAlign w:val="center"/>
            <w:textDirection w:val="lrTb"/>
            <w:noWrap w:val="false"/>
          </w:tcPr>
          <w:p>
            <w:pPr>
              <w:jc w:val="center"/>
              <w:rPr>
                <w:rFonts w:ascii="Times New Roman"/>
                <w:sz w:val="20"/>
              </w:rPr>
            </w:pPr>
            <w:r>
              <w:rPr>
                <w:rFonts w:ascii="Times New Roman"/>
                <w:sz w:val="20"/>
              </w:rPr>
            </w:r>
            <w:r/>
          </w:p>
        </w:tc>
        <w:tc>
          <w:tcPr>
            <w:tcW w:w="1110" w:type="dxa"/>
            <w:vAlign w:val="center"/>
            <w:textDirection w:val="lrTb"/>
            <w:noWrap w:val="false"/>
          </w:tcPr>
          <w:p>
            <w:pPr>
              <w:jc w:val="center"/>
              <w:rPr>
                <w:rFonts w:ascii="Times New Roman"/>
                <w:sz w:val="20"/>
              </w:rPr>
            </w:pPr>
            <w:r>
              <w:rPr>
                <w:rFonts w:ascii="Times New Roman"/>
                <w:sz w:val="20"/>
              </w:rPr>
            </w:r>
            <w:r/>
          </w:p>
        </w:tc>
        <w:tc>
          <w:tcPr>
            <w:tcW w:w="1110" w:type="dxa"/>
            <w:textDirection w:val="lrTb"/>
            <w:noWrap w:val="false"/>
          </w:tcPr>
          <w:p>
            <w:pPr>
              <w:jc w:val="center"/>
              <w:rPr>
                <w:rFonts w:ascii="Times New Roman"/>
                <w:sz w:val="20"/>
              </w:rPr>
            </w:pPr>
            <w:r>
              <w:rPr>
                <w:rFonts w:ascii="Times New Roman"/>
                <w:sz w:val="20"/>
              </w:rPr>
            </w:r>
            <w:r/>
          </w:p>
        </w:tc>
      </w:tr>
      <w:tr>
        <w:trPr>
          <w:jc w:val="center"/>
          <w:trHeight w:val="427"/>
        </w:trPr>
        <w:tc>
          <w:tcPr>
            <w:tcW w:w="765" w:type="dxa"/>
            <w:vAlign w:val="center"/>
            <w:textDirection w:val="lrTb"/>
            <w:noWrap w:val="false"/>
          </w:tcPr>
          <w:p>
            <w:pPr>
              <w:jc w:val="center"/>
              <w:rPr>
                <w:rFonts w:ascii="Times New Roman"/>
                <w:sz w:val="20"/>
              </w:rPr>
            </w:pPr>
            <w:r>
              <w:rPr>
                <w:rFonts w:ascii="Times New Roman"/>
                <w:sz w:val="20"/>
              </w:rPr>
            </w:r>
            <w:r/>
          </w:p>
        </w:tc>
        <w:tc>
          <w:tcPr>
            <w:tcW w:w="1620" w:type="dxa"/>
            <w:vAlign w:val="center"/>
            <w:textDirection w:val="lrTb"/>
            <w:noWrap w:val="false"/>
          </w:tcPr>
          <w:p>
            <w:pPr>
              <w:jc w:val="center"/>
              <w:rPr>
                <w:rFonts w:ascii="Times New Roman"/>
                <w:sz w:val="20"/>
              </w:rPr>
            </w:pPr>
            <w:r>
              <w:rPr>
                <w:rFonts w:ascii="Times New Roman"/>
                <w:sz w:val="20"/>
              </w:rPr>
            </w:r>
            <w:r/>
          </w:p>
        </w:tc>
        <w:tc>
          <w:tcPr>
            <w:tcW w:w="2700" w:type="dxa"/>
            <w:vAlign w:val="center"/>
            <w:textDirection w:val="lrTb"/>
            <w:noWrap w:val="false"/>
          </w:tcPr>
          <w:p>
            <w:pPr>
              <w:jc w:val="center"/>
              <w:rPr>
                <w:rFonts w:ascii="Times New Roman"/>
                <w:sz w:val="20"/>
              </w:rPr>
            </w:pPr>
            <w:r>
              <w:rPr>
                <w:rFonts w:ascii="Times New Roman"/>
                <w:sz w:val="20"/>
              </w:rPr>
            </w:r>
            <w:r/>
          </w:p>
        </w:tc>
        <w:tc>
          <w:tcPr>
            <w:tcW w:w="3240" w:type="dxa"/>
            <w:vAlign w:val="center"/>
            <w:textDirection w:val="lrTb"/>
            <w:noWrap w:val="false"/>
          </w:tcPr>
          <w:p>
            <w:pPr>
              <w:jc w:val="center"/>
              <w:rPr>
                <w:rFonts w:ascii="Times New Roman"/>
                <w:sz w:val="20"/>
              </w:rPr>
            </w:pPr>
            <w:r>
              <w:rPr>
                <w:rFonts w:ascii="Times New Roman"/>
                <w:sz w:val="20"/>
              </w:rPr>
            </w:r>
            <w:r/>
          </w:p>
        </w:tc>
        <w:tc>
          <w:tcPr>
            <w:tcW w:w="1110" w:type="dxa"/>
            <w:vAlign w:val="center"/>
            <w:textDirection w:val="lrTb"/>
            <w:noWrap w:val="false"/>
          </w:tcPr>
          <w:p>
            <w:pPr>
              <w:jc w:val="center"/>
              <w:rPr>
                <w:rFonts w:ascii="Times New Roman"/>
                <w:sz w:val="20"/>
              </w:rPr>
            </w:pPr>
            <w:r>
              <w:rPr>
                <w:rFonts w:ascii="Times New Roman"/>
                <w:sz w:val="20"/>
              </w:rPr>
            </w:r>
            <w:r/>
          </w:p>
        </w:tc>
        <w:tc>
          <w:tcPr>
            <w:tcW w:w="1110" w:type="dxa"/>
            <w:textDirection w:val="lrTb"/>
            <w:noWrap w:val="false"/>
          </w:tcPr>
          <w:p>
            <w:pPr>
              <w:jc w:val="center"/>
              <w:rPr>
                <w:rFonts w:ascii="Times New Roman"/>
                <w:sz w:val="20"/>
              </w:rPr>
            </w:pPr>
            <w:r>
              <w:rPr>
                <w:rFonts w:ascii="Times New Roman"/>
                <w:sz w:val="20"/>
              </w:rPr>
            </w:r>
            <w:r/>
          </w:p>
        </w:tc>
      </w:tr>
      <w:tr>
        <w:trPr>
          <w:jc w:val="center"/>
          <w:trHeight w:val="427"/>
        </w:trPr>
        <w:tc>
          <w:tcPr>
            <w:tcW w:w="765" w:type="dxa"/>
            <w:vAlign w:val="center"/>
            <w:textDirection w:val="lrTb"/>
            <w:noWrap w:val="false"/>
          </w:tcPr>
          <w:p>
            <w:pPr>
              <w:jc w:val="center"/>
              <w:rPr>
                <w:rFonts w:ascii="Times New Roman"/>
                <w:sz w:val="20"/>
              </w:rPr>
            </w:pPr>
            <w:r>
              <w:rPr>
                <w:rFonts w:ascii="Times New Roman"/>
                <w:sz w:val="20"/>
              </w:rPr>
            </w:r>
            <w:r/>
          </w:p>
        </w:tc>
        <w:tc>
          <w:tcPr>
            <w:tcW w:w="1620" w:type="dxa"/>
            <w:vAlign w:val="center"/>
            <w:textDirection w:val="lrTb"/>
            <w:noWrap w:val="false"/>
          </w:tcPr>
          <w:p>
            <w:pPr>
              <w:jc w:val="center"/>
              <w:rPr>
                <w:rFonts w:ascii="Times New Roman"/>
                <w:sz w:val="20"/>
              </w:rPr>
            </w:pPr>
            <w:r>
              <w:rPr>
                <w:rFonts w:ascii="Times New Roman"/>
                <w:sz w:val="20"/>
              </w:rPr>
            </w:r>
            <w:r/>
          </w:p>
        </w:tc>
        <w:tc>
          <w:tcPr>
            <w:tcW w:w="2700" w:type="dxa"/>
            <w:vAlign w:val="center"/>
            <w:textDirection w:val="lrTb"/>
            <w:noWrap w:val="false"/>
          </w:tcPr>
          <w:p>
            <w:pPr>
              <w:jc w:val="center"/>
              <w:rPr>
                <w:rFonts w:ascii="Times New Roman"/>
                <w:sz w:val="20"/>
              </w:rPr>
            </w:pPr>
            <w:r>
              <w:rPr>
                <w:rFonts w:ascii="Times New Roman"/>
                <w:sz w:val="20"/>
              </w:rPr>
            </w:r>
            <w:r/>
          </w:p>
        </w:tc>
        <w:tc>
          <w:tcPr>
            <w:tcW w:w="3240" w:type="dxa"/>
            <w:vAlign w:val="center"/>
            <w:textDirection w:val="lrTb"/>
            <w:noWrap w:val="false"/>
          </w:tcPr>
          <w:p>
            <w:pPr>
              <w:jc w:val="center"/>
              <w:rPr>
                <w:rFonts w:ascii="Times New Roman"/>
                <w:sz w:val="20"/>
              </w:rPr>
            </w:pPr>
            <w:r>
              <w:rPr>
                <w:rFonts w:ascii="Times New Roman"/>
                <w:sz w:val="20"/>
              </w:rPr>
            </w:r>
            <w:r/>
          </w:p>
        </w:tc>
        <w:tc>
          <w:tcPr>
            <w:tcW w:w="1110" w:type="dxa"/>
            <w:vAlign w:val="center"/>
            <w:textDirection w:val="lrTb"/>
            <w:noWrap w:val="false"/>
          </w:tcPr>
          <w:p>
            <w:pPr>
              <w:jc w:val="center"/>
              <w:rPr>
                <w:rFonts w:ascii="Times New Roman"/>
                <w:sz w:val="20"/>
              </w:rPr>
            </w:pPr>
            <w:r>
              <w:rPr>
                <w:rFonts w:ascii="Times New Roman"/>
                <w:sz w:val="20"/>
              </w:rPr>
            </w:r>
            <w:r/>
          </w:p>
        </w:tc>
        <w:tc>
          <w:tcPr>
            <w:tcW w:w="1110" w:type="dxa"/>
            <w:textDirection w:val="lrTb"/>
            <w:noWrap w:val="false"/>
          </w:tcPr>
          <w:p>
            <w:pPr>
              <w:jc w:val="center"/>
              <w:rPr>
                <w:rFonts w:ascii="Times New Roman"/>
                <w:sz w:val="20"/>
              </w:rPr>
            </w:pPr>
            <w:r>
              <w:rPr>
                <w:rFonts w:ascii="Times New Roman"/>
                <w:sz w:val="20"/>
              </w:rPr>
            </w:r>
            <w:r/>
          </w:p>
        </w:tc>
      </w:tr>
    </w:tbl>
    <w:p>
      <w:pPr>
        <w:spacing w:line="360" w:lineRule="auto"/>
        <w:rPr>
          <w:sz w:val="10"/>
          <w:szCs w:val="21"/>
        </w:rPr>
      </w:pPr>
      <w:r>
        <w:rPr>
          <w:sz w:val="10"/>
          <w:szCs w:val="21"/>
        </w:rPr>
      </w:r>
      <w:r/>
    </w:p>
    <w:p>
      <w:pPr>
        <w:ind w:left="223"/>
        <w:spacing w:line="360" w:lineRule="auto"/>
        <w:rPr>
          <w:sz w:val="21"/>
          <w:szCs w:val="21"/>
        </w:rPr>
      </w:pPr>
      <w:r>
        <w:rPr>
          <w:sz w:val="21"/>
          <w:szCs w:val="21"/>
        </w:rPr>
        <w:t xml:space="preserve">供应商名称：（盖章）</w:t>
      </w:r>
      <w:r/>
    </w:p>
    <w:p>
      <w:pPr>
        <w:spacing w:line="360" w:lineRule="auto"/>
        <w:rPr>
          <w:sz w:val="15"/>
          <w:szCs w:val="21"/>
        </w:rPr>
      </w:pPr>
      <w:r>
        <w:rPr>
          <w:sz w:val="15"/>
          <w:szCs w:val="21"/>
        </w:rPr>
      </w:r>
      <w:r/>
    </w:p>
    <w:p>
      <w:pPr>
        <w:ind w:left="223"/>
        <w:spacing w:line="360" w:lineRule="auto"/>
        <w:rPr>
          <w:sz w:val="21"/>
          <w:szCs w:val="21"/>
        </w:rPr>
      </w:pPr>
      <w:r>
        <w:rPr>
          <w:sz w:val="21"/>
          <w:szCs w:val="21"/>
        </w:rPr>
        <w:t xml:space="preserve">说明：1、如果行数不够，请自行增加</w:t>
      </w:r>
      <w:r>
        <w:rPr>
          <w:rFonts w:hint="eastAsia"/>
          <w:sz w:val="21"/>
          <w:szCs w:val="21"/>
        </w:rPr>
        <w:t xml:space="preserve">。</w:t>
      </w:r>
      <w:r/>
    </w:p>
    <w:p>
      <w:pPr>
        <w:ind w:left="223"/>
        <w:spacing w:line="360" w:lineRule="auto"/>
        <w:rPr>
          <w:sz w:val="21"/>
          <w:szCs w:val="21"/>
        </w:rPr>
      </w:pPr>
      <w:r>
        <w:rPr>
          <w:sz w:val="21"/>
          <w:szCs w:val="21"/>
        </w:rPr>
      </w:r>
      <w:r/>
    </w:p>
    <w:p>
      <w:pPr>
        <w:ind w:left="223"/>
        <w:spacing w:line="360" w:lineRule="auto"/>
        <w:rPr>
          <w:b/>
          <w:sz w:val="21"/>
        </w:rPr>
      </w:pPr>
      <w:r>
        <w:rPr>
          <w:b/>
          <w:sz w:val="21"/>
        </w:rPr>
      </w:r>
      <w:r/>
    </w:p>
    <w:p>
      <w:pPr>
        <w:spacing w:line="360" w:lineRule="auto"/>
        <w:rPr>
          <w:sz w:val="21"/>
        </w:rPr>
        <w:sectPr>
          <w:footnotePr/>
          <w:endnotePr/>
          <w:type w:val="continuous"/>
          <w:pgSz w:w="11910" w:h="16840" w:orient="portrait"/>
          <w:pgMar w:top="1134" w:right="1134" w:bottom="1134" w:left="1134" w:header="720" w:footer="720" w:gutter="0"/>
          <w:cols w:num="1" w:sep="0" w:space="720" w:equalWidth="1"/>
          <w:docGrid w:linePitch="360"/>
        </w:sectPr>
      </w:pPr>
      <w:r>
        <w:rPr>
          <w:sz w:val="21"/>
        </w:rPr>
      </w:r>
      <w:r/>
    </w:p>
    <w:p>
      <w:pPr>
        <w:spacing w:line="360" w:lineRule="auto"/>
        <w:rPr>
          <w:b/>
          <w:sz w:val="21"/>
        </w:rPr>
      </w:pPr>
      <w:r>
        <w:rPr>
          <w:b/>
          <w:sz w:val="21"/>
        </w:rPr>
        <w:t xml:space="preserve">目录</w:t>
      </w:r>
      <w:r>
        <w:rPr>
          <w:rFonts w:hint="eastAsia"/>
          <w:b/>
          <w:sz w:val="21"/>
        </w:rPr>
        <w:t xml:space="preserve">六</w:t>
      </w:r>
      <w:r>
        <w:rPr>
          <w:b/>
          <w:sz w:val="21"/>
        </w:rPr>
        <w:t xml:space="preserve">、商务条款偏离表</w:t>
      </w:r>
      <w:r>
        <w:rPr>
          <w:rFonts w:hint="eastAsia"/>
          <w:b/>
          <w:sz w:val="21"/>
        </w:rPr>
        <w:t xml:space="preserve">格式</w:t>
      </w:r>
      <w:r/>
    </w:p>
    <w:p>
      <w:pPr>
        <w:jc w:val="center"/>
        <w:spacing w:line="360" w:lineRule="auto"/>
        <w:rPr>
          <w:rFonts w:asciiTheme="minorEastAsia" w:hAnsiTheme="minorEastAsia" w:eastAsiaTheme="minorEastAsia"/>
          <w:b/>
          <w:sz w:val="36"/>
        </w:rPr>
      </w:pPr>
      <w:r>
        <w:rPr>
          <w:rFonts w:asciiTheme="minorEastAsia" w:hAnsiTheme="minorEastAsia" w:eastAsiaTheme="minorEastAsia"/>
          <w:b/>
          <w:sz w:val="36"/>
        </w:rPr>
        <w:t xml:space="preserve">商务条款偏离表</w:t>
      </w:r>
      <w:r/>
    </w:p>
    <w:p>
      <w:pPr>
        <w:spacing w:line="360" w:lineRule="auto"/>
        <w:rPr>
          <w:sz w:val="36"/>
        </w:rPr>
        <w:sectPr>
          <w:footnotePr/>
          <w:endnotePr/>
          <w:type w:val="nextPage"/>
          <w:pgSz w:w="11910" w:h="16840" w:orient="portrait"/>
          <w:pgMar w:top="1134" w:right="1134" w:bottom="1134" w:left="1134" w:header="567" w:footer="720" w:gutter="0"/>
          <w:cols w:num="1" w:sep="0" w:space="720" w:equalWidth="1"/>
          <w:docGrid w:linePitch="360"/>
        </w:sectPr>
      </w:pPr>
      <w:r>
        <w:rPr>
          <w:sz w:val="36"/>
        </w:rPr>
      </w:r>
      <w:r/>
    </w:p>
    <w:p>
      <w:pPr>
        <w:ind w:firstLine="420"/>
        <w:spacing w:line="360" w:lineRule="auto"/>
        <w:rPr>
          <w:sz w:val="6"/>
          <w:szCs w:val="21"/>
        </w:rPr>
      </w:pPr>
      <w:r>
        <w:rPr>
          <w:sz w:val="21"/>
          <w:szCs w:val="21"/>
        </w:rPr>
        <w:t xml:space="preserve">项目名称：项目编号：</w:t>
      </w:r>
      <w:r/>
    </w:p>
    <w:tbl>
      <w:tblPr>
        <w:tblStyle w:val="7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519"/>
        <w:gridCol w:w="1519"/>
      </w:tblGrid>
      <w:tr>
        <w:trPr>
          <w:jc w:val="center"/>
          <w:trHeight w:val="407"/>
        </w:trPr>
        <w:tc>
          <w:tcPr>
            <w:tcW w:w="651" w:type="dxa"/>
            <w:vAlign w:val="center"/>
            <w:textDirection w:val="lrTb"/>
            <w:noWrap w:val="false"/>
          </w:tcPr>
          <w:p>
            <w:pPr>
              <w:jc w:val="center"/>
              <w:spacing w:line="360" w:lineRule="auto"/>
              <w:rPr>
                <w:sz w:val="21"/>
              </w:rPr>
            </w:pPr>
            <w:r>
              <w:rPr>
                <w:sz w:val="21"/>
              </w:rPr>
              <w:t xml:space="preserve">序号</w:t>
            </w:r>
            <w:r/>
          </w:p>
        </w:tc>
        <w:tc>
          <w:tcPr>
            <w:tcW w:w="1620" w:type="dxa"/>
            <w:vAlign w:val="center"/>
            <w:textDirection w:val="lrTb"/>
            <w:noWrap w:val="false"/>
          </w:tcPr>
          <w:p>
            <w:pPr>
              <w:jc w:val="center"/>
              <w:spacing w:line="360" w:lineRule="auto"/>
              <w:rPr>
                <w:sz w:val="21"/>
              </w:rPr>
            </w:pPr>
            <w:r>
              <w:rPr>
                <w:sz w:val="21"/>
              </w:rPr>
              <w:t xml:space="preserve">招标文件条目号</w:t>
            </w:r>
            <w:r/>
          </w:p>
        </w:tc>
        <w:tc>
          <w:tcPr>
            <w:tcW w:w="2700" w:type="dxa"/>
            <w:vAlign w:val="center"/>
            <w:textDirection w:val="lrTb"/>
            <w:noWrap w:val="false"/>
          </w:tcPr>
          <w:p>
            <w:pPr>
              <w:jc w:val="center"/>
              <w:spacing w:line="360" w:lineRule="auto"/>
              <w:rPr>
                <w:sz w:val="21"/>
              </w:rPr>
            </w:pPr>
            <w:r>
              <w:rPr>
                <w:sz w:val="21"/>
              </w:rPr>
              <w:t xml:space="preserve">招标文件要求的商务条款</w:t>
            </w:r>
            <w:r/>
          </w:p>
        </w:tc>
        <w:tc>
          <w:tcPr>
            <w:tcW w:w="2873" w:type="dxa"/>
            <w:vAlign w:val="center"/>
            <w:textDirection w:val="lrTb"/>
            <w:noWrap w:val="false"/>
          </w:tcPr>
          <w:p>
            <w:pPr>
              <w:jc w:val="center"/>
              <w:spacing w:line="360" w:lineRule="auto"/>
              <w:rPr>
                <w:sz w:val="21"/>
              </w:rPr>
            </w:pPr>
            <w:r>
              <w:rPr>
                <w:sz w:val="21"/>
              </w:rPr>
              <w:t xml:space="preserve">投标响应</w:t>
            </w:r>
            <w:r/>
          </w:p>
        </w:tc>
        <w:tc>
          <w:tcPr>
            <w:tcW w:w="1519" w:type="dxa"/>
            <w:vAlign w:val="center"/>
            <w:textDirection w:val="lrTb"/>
            <w:noWrap w:val="false"/>
          </w:tcPr>
          <w:p>
            <w:pPr>
              <w:jc w:val="center"/>
              <w:spacing w:line="360" w:lineRule="auto"/>
              <w:rPr>
                <w:sz w:val="21"/>
              </w:rPr>
            </w:pPr>
            <w:r>
              <w:rPr>
                <w:rFonts w:hint="eastAsia"/>
                <w:sz w:val="21"/>
              </w:rPr>
              <w:t xml:space="preserve">是否</w:t>
            </w:r>
            <w:r>
              <w:rPr>
                <w:sz w:val="21"/>
              </w:rPr>
              <w:t xml:space="preserve">偏离</w:t>
            </w:r>
            <w:r/>
          </w:p>
        </w:tc>
        <w:tc>
          <w:tcPr>
            <w:tcW w:w="1519" w:type="dxa"/>
            <w:textDirection w:val="lrTb"/>
            <w:noWrap w:val="false"/>
          </w:tcPr>
          <w:p>
            <w:pPr>
              <w:jc w:val="center"/>
              <w:spacing w:line="360" w:lineRule="auto"/>
              <w:rPr>
                <w:sz w:val="21"/>
              </w:rPr>
            </w:pPr>
            <w:r>
              <w:rPr>
                <w:rFonts w:hint="eastAsia"/>
                <w:sz w:val="21"/>
              </w:rPr>
              <w:t xml:space="preserve">页码</w:t>
            </w:r>
            <w:r/>
          </w:p>
        </w:tc>
      </w:tr>
      <w:tr>
        <w:trPr>
          <w:jc w:val="center"/>
          <w:trHeight w:val="427"/>
        </w:trPr>
        <w:tc>
          <w:tcPr>
            <w:tcW w:w="651" w:type="dxa"/>
            <w:vAlign w:val="center"/>
            <w:textDirection w:val="lrTb"/>
            <w:noWrap w:val="false"/>
          </w:tcPr>
          <w:p>
            <w:pPr>
              <w:jc w:val="center"/>
              <w:spacing w:line="360" w:lineRule="auto"/>
              <w:rPr>
                <w:rFonts w:ascii="Times New Roman"/>
              </w:rPr>
            </w:pPr>
            <w:r>
              <w:rPr>
                <w:rFonts w:ascii="Times New Roman"/>
              </w:rPr>
            </w:r>
            <w:r/>
          </w:p>
        </w:tc>
        <w:tc>
          <w:tcPr>
            <w:tcW w:w="1620" w:type="dxa"/>
            <w:vAlign w:val="center"/>
            <w:textDirection w:val="lrTb"/>
            <w:noWrap w:val="false"/>
          </w:tcPr>
          <w:p>
            <w:pPr>
              <w:jc w:val="center"/>
              <w:spacing w:line="360" w:lineRule="auto"/>
              <w:rPr>
                <w:rFonts w:ascii="Times New Roman"/>
              </w:rPr>
            </w:pPr>
            <w:r>
              <w:rPr>
                <w:rFonts w:ascii="Times New Roman"/>
              </w:rPr>
            </w:r>
            <w:r/>
          </w:p>
        </w:tc>
        <w:tc>
          <w:tcPr>
            <w:tcW w:w="2700" w:type="dxa"/>
            <w:vAlign w:val="center"/>
            <w:textDirection w:val="lrTb"/>
            <w:noWrap w:val="false"/>
          </w:tcPr>
          <w:p>
            <w:pPr>
              <w:jc w:val="center"/>
              <w:spacing w:line="360" w:lineRule="auto"/>
              <w:rPr>
                <w:rFonts w:ascii="Times New Roman"/>
              </w:rPr>
            </w:pPr>
            <w:r>
              <w:rPr>
                <w:rFonts w:ascii="Times New Roman"/>
              </w:rPr>
            </w:r>
            <w:r/>
          </w:p>
        </w:tc>
        <w:tc>
          <w:tcPr>
            <w:tcW w:w="2873" w:type="dxa"/>
            <w:vAlign w:val="center"/>
            <w:textDirection w:val="lrTb"/>
            <w:noWrap w:val="false"/>
          </w:tcPr>
          <w:p>
            <w:pPr>
              <w:jc w:val="center"/>
              <w:spacing w:line="360" w:lineRule="auto"/>
              <w:rPr>
                <w:rFonts w:ascii="Times New Roman"/>
              </w:rPr>
            </w:pPr>
            <w:r>
              <w:rPr>
                <w:rFonts w:ascii="Times New Roman"/>
              </w:rPr>
            </w:r>
            <w:r/>
          </w:p>
        </w:tc>
        <w:tc>
          <w:tcPr>
            <w:tcW w:w="1519" w:type="dxa"/>
            <w:vAlign w:val="center"/>
            <w:textDirection w:val="lrTb"/>
            <w:noWrap w:val="false"/>
          </w:tcPr>
          <w:p>
            <w:pPr>
              <w:jc w:val="center"/>
              <w:spacing w:line="360" w:lineRule="auto"/>
              <w:rPr>
                <w:rFonts w:ascii="Times New Roman"/>
              </w:rPr>
            </w:pPr>
            <w:r>
              <w:rPr>
                <w:rFonts w:ascii="Times New Roman"/>
              </w:rPr>
            </w:r>
            <w:r/>
          </w:p>
        </w:tc>
        <w:tc>
          <w:tcPr>
            <w:tcW w:w="1519" w:type="dxa"/>
            <w:textDirection w:val="lrTb"/>
            <w:noWrap w:val="false"/>
          </w:tcPr>
          <w:p>
            <w:pPr>
              <w:jc w:val="center"/>
              <w:spacing w:line="360" w:lineRule="auto"/>
              <w:rPr>
                <w:rFonts w:ascii="Times New Roman"/>
              </w:rPr>
            </w:pPr>
            <w:r>
              <w:rPr>
                <w:rFonts w:ascii="Times New Roman"/>
              </w:rPr>
            </w:r>
            <w:r/>
          </w:p>
        </w:tc>
      </w:tr>
      <w:tr>
        <w:trPr>
          <w:jc w:val="center"/>
          <w:trHeight w:val="427"/>
        </w:trPr>
        <w:tc>
          <w:tcPr>
            <w:tcW w:w="651" w:type="dxa"/>
            <w:vAlign w:val="center"/>
            <w:textDirection w:val="lrTb"/>
            <w:noWrap w:val="false"/>
          </w:tcPr>
          <w:p>
            <w:pPr>
              <w:jc w:val="center"/>
              <w:spacing w:line="360" w:lineRule="auto"/>
              <w:rPr>
                <w:rFonts w:ascii="Times New Roman"/>
              </w:rPr>
            </w:pPr>
            <w:r>
              <w:rPr>
                <w:rFonts w:ascii="Times New Roman"/>
              </w:rPr>
            </w:r>
            <w:r/>
          </w:p>
        </w:tc>
        <w:tc>
          <w:tcPr>
            <w:tcW w:w="1620" w:type="dxa"/>
            <w:vAlign w:val="center"/>
            <w:textDirection w:val="lrTb"/>
            <w:noWrap w:val="false"/>
          </w:tcPr>
          <w:p>
            <w:pPr>
              <w:jc w:val="center"/>
              <w:spacing w:line="360" w:lineRule="auto"/>
              <w:rPr>
                <w:rFonts w:ascii="Times New Roman"/>
              </w:rPr>
            </w:pPr>
            <w:r>
              <w:rPr>
                <w:rFonts w:ascii="Times New Roman"/>
              </w:rPr>
            </w:r>
            <w:r/>
          </w:p>
        </w:tc>
        <w:tc>
          <w:tcPr>
            <w:tcW w:w="2700" w:type="dxa"/>
            <w:vAlign w:val="center"/>
            <w:textDirection w:val="lrTb"/>
            <w:noWrap w:val="false"/>
          </w:tcPr>
          <w:p>
            <w:pPr>
              <w:jc w:val="center"/>
              <w:spacing w:line="360" w:lineRule="auto"/>
              <w:rPr>
                <w:rFonts w:ascii="Times New Roman"/>
              </w:rPr>
            </w:pPr>
            <w:r>
              <w:rPr>
                <w:rFonts w:ascii="Times New Roman"/>
              </w:rPr>
            </w:r>
            <w:r/>
          </w:p>
        </w:tc>
        <w:tc>
          <w:tcPr>
            <w:tcW w:w="2873" w:type="dxa"/>
            <w:vAlign w:val="center"/>
            <w:textDirection w:val="lrTb"/>
            <w:noWrap w:val="false"/>
          </w:tcPr>
          <w:p>
            <w:pPr>
              <w:jc w:val="center"/>
              <w:spacing w:line="360" w:lineRule="auto"/>
              <w:rPr>
                <w:rFonts w:ascii="Times New Roman"/>
              </w:rPr>
            </w:pPr>
            <w:r>
              <w:rPr>
                <w:rFonts w:ascii="Times New Roman"/>
              </w:rPr>
            </w:r>
            <w:r/>
          </w:p>
        </w:tc>
        <w:tc>
          <w:tcPr>
            <w:tcW w:w="1519" w:type="dxa"/>
            <w:vAlign w:val="center"/>
            <w:textDirection w:val="lrTb"/>
            <w:noWrap w:val="false"/>
          </w:tcPr>
          <w:p>
            <w:pPr>
              <w:jc w:val="center"/>
              <w:spacing w:line="360" w:lineRule="auto"/>
              <w:rPr>
                <w:rFonts w:ascii="Times New Roman"/>
              </w:rPr>
            </w:pPr>
            <w:r>
              <w:rPr>
                <w:rFonts w:ascii="Times New Roman"/>
              </w:rPr>
            </w:r>
            <w:r/>
          </w:p>
        </w:tc>
        <w:tc>
          <w:tcPr>
            <w:tcW w:w="1519" w:type="dxa"/>
            <w:textDirection w:val="lrTb"/>
            <w:noWrap w:val="false"/>
          </w:tcPr>
          <w:p>
            <w:pPr>
              <w:jc w:val="center"/>
              <w:spacing w:line="360" w:lineRule="auto"/>
              <w:rPr>
                <w:rFonts w:ascii="Times New Roman"/>
              </w:rPr>
            </w:pPr>
            <w:r>
              <w:rPr>
                <w:rFonts w:ascii="Times New Roman"/>
              </w:rPr>
            </w:r>
            <w:r/>
          </w:p>
        </w:tc>
      </w:tr>
      <w:tr>
        <w:trPr>
          <w:jc w:val="center"/>
          <w:trHeight w:val="428"/>
        </w:trPr>
        <w:tc>
          <w:tcPr>
            <w:tcW w:w="651" w:type="dxa"/>
            <w:vAlign w:val="center"/>
            <w:textDirection w:val="lrTb"/>
            <w:noWrap w:val="false"/>
          </w:tcPr>
          <w:p>
            <w:pPr>
              <w:jc w:val="center"/>
              <w:spacing w:line="360" w:lineRule="auto"/>
              <w:rPr>
                <w:rFonts w:ascii="Times New Roman"/>
              </w:rPr>
            </w:pPr>
            <w:r>
              <w:rPr>
                <w:rFonts w:ascii="Times New Roman"/>
              </w:rPr>
            </w:r>
            <w:r/>
          </w:p>
        </w:tc>
        <w:tc>
          <w:tcPr>
            <w:tcW w:w="1620" w:type="dxa"/>
            <w:vAlign w:val="center"/>
            <w:textDirection w:val="lrTb"/>
            <w:noWrap w:val="false"/>
          </w:tcPr>
          <w:p>
            <w:pPr>
              <w:jc w:val="center"/>
              <w:spacing w:line="360" w:lineRule="auto"/>
              <w:rPr>
                <w:rFonts w:ascii="Times New Roman"/>
              </w:rPr>
            </w:pPr>
            <w:r>
              <w:rPr>
                <w:rFonts w:ascii="Times New Roman"/>
              </w:rPr>
            </w:r>
            <w:r/>
          </w:p>
        </w:tc>
        <w:tc>
          <w:tcPr>
            <w:tcW w:w="2700" w:type="dxa"/>
            <w:vAlign w:val="center"/>
            <w:textDirection w:val="lrTb"/>
            <w:noWrap w:val="false"/>
          </w:tcPr>
          <w:p>
            <w:pPr>
              <w:jc w:val="center"/>
              <w:spacing w:line="360" w:lineRule="auto"/>
              <w:rPr>
                <w:rFonts w:ascii="Times New Roman"/>
              </w:rPr>
            </w:pPr>
            <w:r>
              <w:rPr>
                <w:rFonts w:ascii="Times New Roman"/>
              </w:rPr>
            </w:r>
            <w:r/>
          </w:p>
        </w:tc>
        <w:tc>
          <w:tcPr>
            <w:tcW w:w="2873" w:type="dxa"/>
            <w:vAlign w:val="center"/>
            <w:textDirection w:val="lrTb"/>
            <w:noWrap w:val="false"/>
          </w:tcPr>
          <w:p>
            <w:pPr>
              <w:jc w:val="center"/>
              <w:spacing w:line="360" w:lineRule="auto"/>
              <w:rPr>
                <w:rFonts w:ascii="Times New Roman"/>
              </w:rPr>
            </w:pPr>
            <w:r>
              <w:rPr>
                <w:rFonts w:ascii="Times New Roman"/>
              </w:rPr>
            </w:r>
            <w:r/>
          </w:p>
        </w:tc>
        <w:tc>
          <w:tcPr>
            <w:tcW w:w="1519" w:type="dxa"/>
            <w:vAlign w:val="center"/>
            <w:textDirection w:val="lrTb"/>
            <w:noWrap w:val="false"/>
          </w:tcPr>
          <w:p>
            <w:pPr>
              <w:jc w:val="center"/>
              <w:spacing w:line="360" w:lineRule="auto"/>
              <w:rPr>
                <w:rFonts w:ascii="Times New Roman"/>
              </w:rPr>
            </w:pPr>
            <w:r>
              <w:rPr>
                <w:rFonts w:ascii="Times New Roman"/>
              </w:rPr>
            </w:r>
            <w:r/>
          </w:p>
        </w:tc>
        <w:tc>
          <w:tcPr>
            <w:tcW w:w="1519" w:type="dxa"/>
            <w:textDirection w:val="lrTb"/>
            <w:noWrap w:val="false"/>
          </w:tcPr>
          <w:p>
            <w:pPr>
              <w:jc w:val="center"/>
              <w:spacing w:line="360" w:lineRule="auto"/>
              <w:rPr>
                <w:rFonts w:ascii="Times New Roman"/>
              </w:rPr>
            </w:pPr>
            <w:r>
              <w:rPr>
                <w:rFonts w:ascii="Times New Roman"/>
              </w:rPr>
            </w:r>
            <w:r/>
          </w:p>
        </w:tc>
      </w:tr>
      <w:tr>
        <w:trPr>
          <w:jc w:val="center"/>
          <w:trHeight w:val="427"/>
        </w:trPr>
        <w:tc>
          <w:tcPr>
            <w:tcW w:w="651" w:type="dxa"/>
            <w:vAlign w:val="center"/>
            <w:textDirection w:val="lrTb"/>
            <w:noWrap w:val="false"/>
          </w:tcPr>
          <w:p>
            <w:pPr>
              <w:jc w:val="center"/>
              <w:spacing w:line="360" w:lineRule="auto"/>
              <w:rPr>
                <w:rFonts w:ascii="Times New Roman"/>
              </w:rPr>
            </w:pPr>
            <w:r>
              <w:rPr>
                <w:rFonts w:ascii="Times New Roman"/>
              </w:rPr>
            </w:r>
            <w:r/>
          </w:p>
        </w:tc>
        <w:tc>
          <w:tcPr>
            <w:tcW w:w="1620" w:type="dxa"/>
            <w:vAlign w:val="center"/>
            <w:textDirection w:val="lrTb"/>
            <w:noWrap w:val="false"/>
          </w:tcPr>
          <w:p>
            <w:pPr>
              <w:jc w:val="center"/>
              <w:spacing w:line="360" w:lineRule="auto"/>
              <w:rPr>
                <w:rFonts w:ascii="Times New Roman"/>
              </w:rPr>
            </w:pPr>
            <w:r>
              <w:rPr>
                <w:rFonts w:ascii="Times New Roman"/>
              </w:rPr>
            </w:r>
            <w:r/>
          </w:p>
        </w:tc>
        <w:tc>
          <w:tcPr>
            <w:tcW w:w="2700" w:type="dxa"/>
            <w:vAlign w:val="center"/>
            <w:textDirection w:val="lrTb"/>
            <w:noWrap w:val="false"/>
          </w:tcPr>
          <w:p>
            <w:pPr>
              <w:jc w:val="center"/>
              <w:spacing w:line="360" w:lineRule="auto"/>
              <w:rPr>
                <w:rFonts w:ascii="Times New Roman"/>
              </w:rPr>
            </w:pPr>
            <w:r>
              <w:rPr>
                <w:rFonts w:ascii="Times New Roman"/>
              </w:rPr>
            </w:r>
            <w:r/>
          </w:p>
        </w:tc>
        <w:tc>
          <w:tcPr>
            <w:tcW w:w="2873" w:type="dxa"/>
            <w:vAlign w:val="center"/>
            <w:textDirection w:val="lrTb"/>
            <w:noWrap w:val="false"/>
          </w:tcPr>
          <w:p>
            <w:pPr>
              <w:jc w:val="center"/>
              <w:spacing w:line="360" w:lineRule="auto"/>
              <w:rPr>
                <w:rFonts w:ascii="Times New Roman"/>
              </w:rPr>
            </w:pPr>
            <w:r>
              <w:rPr>
                <w:rFonts w:ascii="Times New Roman"/>
              </w:rPr>
            </w:r>
            <w:r/>
          </w:p>
        </w:tc>
        <w:tc>
          <w:tcPr>
            <w:tcW w:w="1519" w:type="dxa"/>
            <w:vAlign w:val="center"/>
            <w:textDirection w:val="lrTb"/>
            <w:noWrap w:val="false"/>
          </w:tcPr>
          <w:p>
            <w:pPr>
              <w:jc w:val="center"/>
              <w:spacing w:line="360" w:lineRule="auto"/>
              <w:rPr>
                <w:rFonts w:ascii="Times New Roman"/>
              </w:rPr>
            </w:pPr>
            <w:r>
              <w:rPr>
                <w:rFonts w:ascii="Times New Roman"/>
              </w:rPr>
            </w:r>
            <w:r/>
          </w:p>
        </w:tc>
        <w:tc>
          <w:tcPr>
            <w:tcW w:w="1519" w:type="dxa"/>
            <w:textDirection w:val="lrTb"/>
            <w:noWrap w:val="false"/>
          </w:tcPr>
          <w:p>
            <w:pPr>
              <w:jc w:val="center"/>
              <w:spacing w:line="360" w:lineRule="auto"/>
              <w:rPr>
                <w:rFonts w:ascii="Times New Roman"/>
              </w:rPr>
            </w:pPr>
            <w:r>
              <w:rPr>
                <w:rFonts w:ascii="Times New Roman"/>
              </w:rPr>
            </w:r>
            <w:r/>
          </w:p>
        </w:tc>
      </w:tr>
      <w:tr>
        <w:trPr>
          <w:jc w:val="center"/>
          <w:trHeight w:val="427"/>
        </w:trPr>
        <w:tc>
          <w:tcPr>
            <w:tcW w:w="651" w:type="dxa"/>
            <w:vAlign w:val="center"/>
            <w:textDirection w:val="lrTb"/>
            <w:noWrap w:val="false"/>
          </w:tcPr>
          <w:p>
            <w:pPr>
              <w:jc w:val="center"/>
              <w:spacing w:line="360" w:lineRule="auto"/>
              <w:rPr>
                <w:rFonts w:ascii="Times New Roman"/>
              </w:rPr>
            </w:pPr>
            <w:r>
              <w:rPr>
                <w:rFonts w:ascii="Times New Roman"/>
              </w:rPr>
            </w:r>
            <w:r/>
          </w:p>
        </w:tc>
        <w:tc>
          <w:tcPr>
            <w:tcW w:w="1620" w:type="dxa"/>
            <w:vAlign w:val="center"/>
            <w:textDirection w:val="lrTb"/>
            <w:noWrap w:val="false"/>
          </w:tcPr>
          <w:p>
            <w:pPr>
              <w:jc w:val="center"/>
              <w:spacing w:line="360" w:lineRule="auto"/>
              <w:rPr>
                <w:rFonts w:ascii="Times New Roman"/>
              </w:rPr>
            </w:pPr>
            <w:r>
              <w:rPr>
                <w:rFonts w:ascii="Times New Roman"/>
              </w:rPr>
            </w:r>
            <w:r/>
          </w:p>
        </w:tc>
        <w:tc>
          <w:tcPr>
            <w:tcW w:w="2700" w:type="dxa"/>
            <w:vAlign w:val="center"/>
            <w:textDirection w:val="lrTb"/>
            <w:noWrap w:val="false"/>
          </w:tcPr>
          <w:p>
            <w:pPr>
              <w:jc w:val="center"/>
              <w:spacing w:line="360" w:lineRule="auto"/>
              <w:rPr>
                <w:rFonts w:ascii="Times New Roman"/>
              </w:rPr>
            </w:pPr>
            <w:r>
              <w:rPr>
                <w:rFonts w:ascii="Times New Roman"/>
              </w:rPr>
            </w:r>
            <w:r/>
          </w:p>
        </w:tc>
        <w:tc>
          <w:tcPr>
            <w:tcW w:w="2873" w:type="dxa"/>
            <w:vAlign w:val="center"/>
            <w:textDirection w:val="lrTb"/>
            <w:noWrap w:val="false"/>
          </w:tcPr>
          <w:p>
            <w:pPr>
              <w:jc w:val="center"/>
              <w:spacing w:line="360" w:lineRule="auto"/>
              <w:rPr>
                <w:rFonts w:ascii="Times New Roman"/>
              </w:rPr>
            </w:pPr>
            <w:r>
              <w:rPr>
                <w:rFonts w:ascii="Times New Roman"/>
              </w:rPr>
            </w:r>
            <w:r/>
          </w:p>
        </w:tc>
        <w:tc>
          <w:tcPr>
            <w:tcW w:w="1519" w:type="dxa"/>
            <w:vAlign w:val="center"/>
            <w:textDirection w:val="lrTb"/>
            <w:noWrap w:val="false"/>
          </w:tcPr>
          <w:p>
            <w:pPr>
              <w:jc w:val="center"/>
              <w:spacing w:line="360" w:lineRule="auto"/>
              <w:rPr>
                <w:rFonts w:ascii="Times New Roman"/>
              </w:rPr>
            </w:pPr>
            <w:r>
              <w:rPr>
                <w:rFonts w:ascii="Times New Roman"/>
              </w:rPr>
            </w:r>
            <w:r/>
          </w:p>
        </w:tc>
        <w:tc>
          <w:tcPr>
            <w:tcW w:w="1519" w:type="dxa"/>
            <w:textDirection w:val="lrTb"/>
            <w:noWrap w:val="false"/>
          </w:tcPr>
          <w:p>
            <w:pPr>
              <w:jc w:val="center"/>
              <w:spacing w:line="360" w:lineRule="auto"/>
              <w:rPr>
                <w:rFonts w:ascii="Times New Roman"/>
              </w:rPr>
            </w:pPr>
            <w:r>
              <w:rPr>
                <w:rFonts w:ascii="Times New Roman"/>
              </w:rPr>
            </w:r>
            <w:r/>
          </w:p>
        </w:tc>
      </w:tr>
      <w:tr>
        <w:trPr>
          <w:jc w:val="center"/>
          <w:trHeight w:val="428"/>
        </w:trPr>
        <w:tc>
          <w:tcPr>
            <w:tcW w:w="651" w:type="dxa"/>
            <w:vAlign w:val="center"/>
            <w:textDirection w:val="lrTb"/>
            <w:noWrap w:val="false"/>
          </w:tcPr>
          <w:p>
            <w:pPr>
              <w:jc w:val="center"/>
              <w:spacing w:line="360" w:lineRule="auto"/>
              <w:rPr>
                <w:rFonts w:ascii="Times New Roman"/>
              </w:rPr>
            </w:pPr>
            <w:r>
              <w:rPr>
                <w:rFonts w:ascii="Times New Roman"/>
              </w:rPr>
            </w:r>
            <w:r/>
          </w:p>
        </w:tc>
        <w:tc>
          <w:tcPr>
            <w:tcW w:w="1620" w:type="dxa"/>
            <w:vAlign w:val="center"/>
            <w:textDirection w:val="lrTb"/>
            <w:noWrap w:val="false"/>
          </w:tcPr>
          <w:p>
            <w:pPr>
              <w:jc w:val="center"/>
              <w:spacing w:line="360" w:lineRule="auto"/>
              <w:rPr>
                <w:rFonts w:ascii="Times New Roman"/>
              </w:rPr>
            </w:pPr>
            <w:r>
              <w:rPr>
                <w:rFonts w:ascii="Times New Roman"/>
              </w:rPr>
            </w:r>
            <w:r/>
          </w:p>
        </w:tc>
        <w:tc>
          <w:tcPr>
            <w:tcW w:w="2700" w:type="dxa"/>
            <w:vAlign w:val="center"/>
            <w:textDirection w:val="lrTb"/>
            <w:noWrap w:val="false"/>
          </w:tcPr>
          <w:p>
            <w:pPr>
              <w:jc w:val="center"/>
              <w:spacing w:line="360" w:lineRule="auto"/>
              <w:rPr>
                <w:rFonts w:ascii="Times New Roman"/>
              </w:rPr>
            </w:pPr>
            <w:r>
              <w:rPr>
                <w:rFonts w:ascii="Times New Roman"/>
              </w:rPr>
            </w:r>
            <w:r/>
          </w:p>
        </w:tc>
        <w:tc>
          <w:tcPr>
            <w:tcW w:w="2873" w:type="dxa"/>
            <w:vAlign w:val="center"/>
            <w:textDirection w:val="lrTb"/>
            <w:noWrap w:val="false"/>
          </w:tcPr>
          <w:p>
            <w:pPr>
              <w:jc w:val="center"/>
              <w:spacing w:line="360" w:lineRule="auto"/>
              <w:rPr>
                <w:rFonts w:ascii="Times New Roman"/>
              </w:rPr>
            </w:pPr>
            <w:r>
              <w:rPr>
                <w:rFonts w:ascii="Times New Roman"/>
              </w:rPr>
            </w:r>
            <w:r/>
          </w:p>
        </w:tc>
        <w:tc>
          <w:tcPr>
            <w:tcW w:w="1519" w:type="dxa"/>
            <w:vAlign w:val="center"/>
            <w:textDirection w:val="lrTb"/>
            <w:noWrap w:val="false"/>
          </w:tcPr>
          <w:p>
            <w:pPr>
              <w:jc w:val="center"/>
              <w:spacing w:line="360" w:lineRule="auto"/>
              <w:rPr>
                <w:rFonts w:ascii="Times New Roman"/>
              </w:rPr>
            </w:pPr>
            <w:r>
              <w:rPr>
                <w:rFonts w:ascii="Times New Roman"/>
              </w:rPr>
            </w:r>
            <w:r/>
          </w:p>
        </w:tc>
        <w:tc>
          <w:tcPr>
            <w:tcW w:w="1519" w:type="dxa"/>
            <w:textDirection w:val="lrTb"/>
            <w:noWrap w:val="false"/>
          </w:tcPr>
          <w:p>
            <w:pPr>
              <w:jc w:val="center"/>
              <w:spacing w:line="360" w:lineRule="auto"/>
              <w:rPr>
                <w:rFonts w:ascii="Times New Roman"/>
              </w:rPr>
            </w:pPr>
            <w:r>
              <w:rPr>
                <w:rFonts w:ascii="Times New Roman"/>
              </w:rPr>
            </w:r>
            <w:r/>
          </w:p>
        </w:tc>
      </w:tr>
      <w:tr>
        <w:trPr>
          <w:jc w:val="center"/>
          <w:trHeight w:val="427"/>
        </w:trPr>
        <w:tc>
          <w:tcPr>
            <w:tcW w:w="651" w:type="dxa"/>
            <w:vAlign w:val="center"/>
            <w:textDirection w:val="lrTb"/>
            <w:noWrap w:val="false"/>
          </w:tcPr>
          <w:p>
            <w:pPr>
              <w:jc w:val="center"/>
              <w:spacing w:line="360" w:lineRule="auto"/>
              <w:rPr>
                <w:rFonts w:ascii="Times New Roman"/>
              </w:rPr>
            </w:pPr>
            <w:r>
              <w:rPr>
                <w:rFonts w:ascii="Times New Roman"/>
              </w:rPr>
            </w:r>
            <w:r/>
          </w:p>
        </w:tc>
        <w:tc>
          <w:tcPr>
            <w:tcW w:w="1620" w:type="dxa"/>
            <w:vAlign w:val="center"/>
            <w:textDirection w:val="lrTb"/>
            <w:noWrap w:val="false"/>
          </w:tcPr>
          <w:p>
            <w:pPr>
              <w:jc w:val="center"/>
              <w:spacing w:line="360" w:lineRule="auto"/>
              <w:rPr>
                <w:rFonts w:ascii="Times New Roman"/>
              </w:rPr>
            </w:pPr>
            <w:r>
              <w:rPr>
                <w:rFonts w:ascii="Times New Roman"/>
              </w:rPr>
            </w:r>
            <w:r/>
          </w:p>
        </w:tc>
        <w:tc>
          <w:tcPr>
            <w:tcW w:w="2700" w:type="dxa"/>
            <w:vAlign w:val="center"/>
            <w:textDirection w:val="lrTb"/>
            <w:noWrap w:val="false"/>
          </w:tcPr>
          <w:p>
            <w:pPr>
              <w:jc w:val="center"/>
              <w:spacing w:line="360" w:lineRule="auto"/>
              <w:rPr>
                <w:rFonts w:ascii="Times New Roman"/>
              </w:rPr>
            </w:pPr>
            <w:r>
              <w:rPr>
                <w:rFonts w:ascii="Times New Roman"/>
              </w:rPr>
            </w:r>
            <w:r/>
          </w:p>
        </w:tc>
        <w:tc>
          <w:tcPr>
            <w:tcW w:w="2873" w:type="dxa"/>
            <w:vAlign w:val="center"/>
            <w:textDirection w:val="lrTb"/>
            <w:noWrap w:val="false"/>
          </w:tcPr>
          <w:p>
            <w:pPr>
              <w:jc w:val="center"/>
              <w:spacing w:line="360" w:lineRule="auto"/>
              <w:rPr>
                <w:rFonts w:ascii="Times New Roman"/>
              </w:rPr>
            </w:pPr>
            <w:r>
              <w:rPr>
                <w:rFonts w:ascii="Times New Roman"/>
              </w:rPr>
            </w:r>
            <w:r/>
          </w:p>
        </w:tc>
        <w:tc>
          <w:tcPr>
            <w:tcW w:w="1519" w:type="dxa"/>
            <w:vAlign w:val="center"/>
            <w:textDirection w:val="lrTb"/>
            <w:noWrap w:val="false"/>
          </w:tcPr>
          <w:p>
            <w:pPr>
              <w:jc w:val="center"/>
              <w:spacing w:line="360" w:lineRule="auto"/>
              <w:rPr>
                <w:rFonts w:ascii="Times New Roman"/>
              </w:rPr>
            </w:pPr>
            <w:r>
              <w:rPr>
                <w:rFonts w:ascii="Times New Roman"/>
              </w:rPr>
            </w:r>
            <w:r/>
          </w:p>
        </w:tc>
        <w:tc>
          <w:tcPr>
            <w:tcW w:w="1519" w:type="dxa"/>
            <w:textDirection w:val="lrTb"/>
            <w:noWrap w:val="false"/>
          </w:tcPr>
          <w:p>
            <w:pPr>
              <w:jc w:val="center"/>
              <w:spacing w:line="360" w:lineRule="auto"/>
              <w:rPr>
                <w:rFonts w:ascii="Times New Roman"/>
              </w:rPr>
            </w:pPr>
            <w:r>
              <w:rPr>
                <w:rFonts w:ascii="Times New Roman"/>
              </w:rPr>
            </w:r>
            <w:r/>
          </w:p>
        </w:tc>
      </w:tr>
    </w:tbl>
    <w:p>
      <w:pPr>
        <w:ind w:firstLine="420"/>
        <w:spacing w:line="360" w:lineRule="auto"/>
        <w:rPr>
          <w:sz w:val="21"/>
          <w:szCs w:val="21"/>
        </w:rPr>
      </w:pPr>
      <w:r>
        <w:rPr>
          <w:sz w:val="21"/>
          <w:szCs w:val="21"/>
        </w:rPr>
        <w:t xml:space="preserve">供应商名称：（盖章）</w:t>
      </w:r>
      <w:r/>
    </w:p>
    <w:p>
      <w:pPr>
        <w:ind w:firstLine="300"/>
        <w:spacing w:line="360" w:lineRule="auto"/>
        <w:rPr>
          <w:sz w:val="15"/>
          <w:szCs w:val="21"/>
        </w:rPr>
      </w:pPr>
      <w:r>
        <w:rPr>
          <w:sz w:val="15"/>
          <w:szCs w:val="21"/>
        </w:rPr>
      </w:r>
      <w:r/>
    </w:p>
    <w:p>
      <w:pPr>
        <w:ind w:firstLine="420"/>
        <w:spacing w:line="360" w:lineRule="auto"/>
        <w:rPr>
          <w:sz w:val="21"/>
          <w:szCs w:val="21"/>
        </w:rPr>
      </w:pPr>
      <w:r>
        <w:rPr>
          <w:sz w:val="21"/>
          <w:szCs w:val="21"/>
        </w:rPr>
        <w:t xml:space="preserve">说明：如果行数不够，请自行增加。</w:t>
      </w:r>
      <w:r/>
    </w:p>
    <w:p>
      <w:pPr>
        <w:ind w:firstLine="440"/>
        <w:spacing w:line="360" w:lineRule="auto"/>
        <w:sectPr>
          <w:footnotePr/>
          <w:endnotePr/>
          <w:type w:val="continuous"/>
          <w:pgSz w:w="11910" w:h="16840" w:orient="portrait"/>
          <w:pgMar w:top="1134" w:right="1134" w:bottom="1134" w:left="1134" w:header="720" w:footer="720" w:gutter="0"/>
          <w:cols w:num="1" w:sep="0" w:space="720" w:equalWidth="1"/>
          <w:docGrid w:linePitch="360"/>
        </w:sectPr>
      </w:pPr>
      <w:r/>
      <w:r/>
    </w:p>
    <w:p>
      <w:pPr>
        <w:contextualSpacing/>
        <w:spacing w:line="360" w:lineRule="auto"/>
        <w:rPr>
          <w:b/>
          <w:sz w:val="21"/>
        </w:rPr>
      </w:pPr>
      <w:r>
        <w:rPr>
          <w:b/>
          <w:sz w:val="21"/>
        </w:rPr>
      </w:r>
      <w:r/>
    </w:p>
    <w:p>
      <w:pPr>
        <w:contextualSpacing/>
        <w:spacing w:line="360" w:lineRule="auto"/>
        <w:rPr>
          <w:b/>
          <w:sz w:val="21"/>
        </w:rPr>
      </w:pPr>
      <w:r>
        <w:rPr>
          <w:b/>
          <w:sz w:val="21"/>
        </w:rPr>
      </w:r>
      <w:r/>
    </w:p>
    <w:p>
      <w:pPr>
        <w:contextualSpacing/>
        <w:spacing w:line="360" w:lineRule="auto"/>
        <w:rPr>
          <w:b/>
          <w:sz w:val="21"/>
        </w:rPr>
      </w:pPr>
      <w:r>
        <w:rPr>
          <w:b/>
          <w:sz w:val="21"/>
        </w:rPr>
      </w:r>
      <w:r/>
    </w:p>
    <w:p>
      <w:pPr>
        <w:contextualSpacing/>
        <w:spacing w:line="360" w:lineRule="auto"/>
        <w:rPr>
          <w:b/>
          <w:sz w:val="21"/>
        </w:rPr>
      </w:pPr>
      <w:r>
        <w:rPr>
          <w:b/>
          <w:sz w:val="21"/>
        </w:rPr>
        <w:t xml:space="preserve">目录</w:t>
      </w:r>
      <w:r>
        <w:rPr>
          <w:rFonts w:hint="eastAsia"/>
          <w:b/>
          <w:sz w:val="21"/>
        </w:rPr>
        <w:t xml:space="preserve">七</w:t>
      </w:r>
      <w:r>
        <w:rPr>
          <w:b/>
          <w:sz w:val="21"/>
        </w:rPr>
        <w:t xml:space="preserve">、</w:t>
      </w:r>
      <w:r>
        <w:rPr>
          <w:rFonts w:hint="eastAsia"/>
          <w:b/>
          <w:sz w:val="21"/>
          <w:lang w:val="en-US"/>
        </w:rPr>
        <w:t xml:space="preserve">服务</w:t>
      </w:r>
      <w:r>
        <w:rPr>
          <w:b/>
          <w:sz w:val="21"/>
        </w:rPr>
        <w:t xml:space="preserve">方案</w:t>
      </w:r>
      <w:r/>
    </w:p>
    <w:p>
      <w:pPr>
        <w:contextualSpacing/>
        <w:jc w:val="center"/>
        <w:spacing w:line="360" w:lineRule="auto"/>
        <w:rPr>
          <w:rFonts w:asciiTheme="minorEastAsia" w:hAnsiTheme="minorEastAsia" w:eastAsiaTheme="minorEastAsia"/>
          <w:b/>
          <w:sz w:val="36"/>
        </w:rPr>
      </w:pPr>
      <w:r>
        <w:rPr>
          <w:rFonts w:hint="eastAsia" w:asciiTheme="minorEastAsia" w:hAnsiTheme="minorEastAsia" w:eastAsiaTheme="minorEastAsia"/>
          <w:b/>
          <w:sz w:val="36"/>
        </w:rPr>
        <w:t xml:space="preserve">服务</w:t>
      </w:r>
      <w:r>
        <w:rPr>
          <w:rFonts w:asciiTheme="minorEastAsia" w:hAnsiTheme="minorEastAsia" w:eastAsiaTheme="minorEastAsia"/>
          <w:b/>
          <w:sz w:val="36"/>
        </w:rPr>
        <w:t xml:space="preserve">方案（</w:t>
      </w:r>
      <w:r>
        <w:rPr>
          <w:rFonts w:hint="eastAsia" w:asciiTheme="minorEastAsia" w:hAnsiTheme="minorEastAsia" w:eastAsiaTheme="minorEastAsia"/>
          <w:b/>
          <w:sz w:val="36"/>
        </w:rPr>
        <w:t xml:space="preserve">内容自拟</w:t>
      </w:r>
      <w:r>
        <w:rPr>
          <w:rFonts w:asciiTheme="minorEastAsia" w:hAnsiTheme="minorEastAsia" w:eastAsiaTheme="minorEastAsia"/>
          <w:b/>
          <w:sz w:val="36"/>
        </w:rPr>
        <w:t xml:space="preserve">）</w:t>
      </w:r>
      <w:r/>
    </w:p>
    <w:p>
      <w:pPr>
        <w:contextualSpacing/>
        <w:spacing w:line="360" w:lineRule="auto"/>
        <w:rPr>
          <w:b/>
          <w:sz w:val="21"/>
        </w:rPr>
      </w:pPr>
      <w:r>
        <w:rPr>
          <w:b/>
          <w:sz w:val="21"/>
        </w:rPr>
      </w:r>
      <w:r/>
    </w:p>
    <w:p>
      <w:pPr>
        <w:jc w:val="both"/>
        <w:rPr>
          <w:b/>
          <w:sz w:val="21"/>
        </w:rPr>
      </w:pPr>
      <w:r>
        <w:rPr>
          <w:b/>
          <w:sz w:val="21"/>
        </w:rPr>
      </w:r>
      <w:r/>
    </w:p>
    <w:p>
      <w:pPr>
        <w:jc w:val="both"/>
        <w:rPr>
          <w:b/>
          <w:sz w:val="21"/>
        </w:rPr>
      </w:pPr>
      <w:r>
        <w:rPr>
          <w:b/>
          <w:sz w:val="21"/>
        </w:rPr>
      </w:r>
      <w:r/>
    </w:p>
    <w:p>
      <w:pPr>
        <w:jc w:val="both"/>
        <w:rPr>
          <w:b/>
          <w:sz w:val="21"/>
        </w:rPr>
      </w:pPr>
      <w:r>
        <w:rPr>
          <w:b/>
          <w:sz w:val="21"/>
        </w:rPr>
      </w:r>
      <w:r/>
    </w:p>
    <w:p>
      <w:pPr>
        <w:pStyle w:val="784"/>
      </w:pPr>
      <w:r/>
      <w:r/>
    </w:p>
    <w:p>
      <w:pPr>
        <w:pStyle w:val="784"/>
      </w:pPr>
      <w:r/>
      <w:r/>
    </w:p>
    <w:p>
      <w:pPr>
        <w:pStyle w:val="784"/>
      </w:pPr>
      <w:r/>
      <w:r/>
    </w:p>
    <w:p>
      <w:pPr>
        <w:pStyle w:val="784"/>
      </w:pPr>
      <w:r/>
      <w:r/>
    </w:p>
    <w:p>
      <w:pPr>
        <w:pStyle w:val="784"/>
      </w:pPr>
      <w:r/>
      <w:r/>
    </w:p>
    <w:p>
      <w:pPr>
        <w:pStyle w:val="784"/>
      </w:pPr>
      <w:r/>
      <w:r/>
    </w:p>
    <w:p>
      <w:pPr>
        <w:pStyle w:val="784"/>
      </w:pPr>
      <w:r/>
      <w:r/>
    </w:p>
    <w:p>
      <w:pPr>
        <w:pStyle w:val="784"/>
      </w:pPr>
      <w:r/>
      <w:r/>
    </w:p>
    <w:p>
      <w:pPr>
        <w:pStyle w:val="784"/>
      </w:pPr>
      <w:r/>
      <w:r/>
    </w:p>
    <w:p>
      <w:pPr>
        <w:pStyle w:val="784"/>
      </w:pPr>
      <w:r/>
      <w:r/>
    </w:p>
    <w:p>
      <w:pPr>
        <w:pStyle w:val="784"/>
      </w:pPr>
      <w:r/>
      <w:r/>
    </w:p>
    <w:p>
      <w:pPr>
        <w:pStyle w:val="784"/>
      </w:pPr>
      <w:r/>
      <w:r/>
    </w:p>
    <w:p>
      <w:pPr>
        <w:pStyle w:val="784"/>
      </w:pPr>
      <w:r/>
      <w:r/>
    </w:p>
    <w:p>
      <w:pPr>
        <w:pStyle w:val="784"/>
      </w:pPr>
      <w:r/>
      <w:r/>
    </w:p>
    <w:p>
      <w:pPr>
        <w:pStyle w:val="784"/>
      </w:pPr>
      <w:r/>
      <w:r/>
    </w:p>
    <w:p>
      <w:pPr>
        <w:pStyle w:val="784"/>
      </w:pPr>
      <w:r/>
      <w:r/>
    </w:p>
    <w:p>
      <w:pPr>
        <w:pStyle w:val="784"/>
      </w:pPr>
      <w:r/>
      <w:r/>
    </w:p>
    <w:p>
      <w:pPr>
        <w:jc w:val="both"/>
        <w:rPr>
          <w:rFonts w:cs="黑体"/>
          <w:sz w:val="36"/>
        </w:rPr>
      </w:pPr>
      <w:r>
        <w:rPr>
          <w:b/>
          <w:sz w:val="21"/>
        </w:rPr>
        <w:t xml:space="preserve">目录</w:t>
      </w:r>
      <w:r>
        <w:rPr>
          <w:rFonts w:hint="eastAsia"/>
          <w:b/>
          <w:sz w:val="21"/>
        </w:rPr>
        <w:t xml:space="preserve">八</w:t>
      </w:r>
      <w:r>
        <w:rPr>
          <w:b/>
          <w:sz w:val="21"/>
        </w:rPr>
        <w:t xml:space="preserve">、</w:t>
      </w:r>
      <w:r>
        <w:rPr>
          <w:rFonts w:hint="eastAsia"/>
          <w:b/>
          <w:sz w:val="21"/>
        </w:rPr>
        <w:t xml:space="preserve">项目组成员一览表</w:t>
      </w:r>
      <w:r/>
    </w:p>
    <w:p>
      <w:pPr>
        <w:pStyle w:val="784"/>
      </w:pPr>
      <w:r/>
      <w:r/>
    </w:p>
    <w:p>
      <w:pPr>
        <w:jc w:val="center"/>
        <w:widowControl/>
        <w:rPr>
          <w:rFonts w:cs="黑体"/>
          <w:sz w:val="36"/>
        </w:rPr>
      </w:pPr>
      <w:r>
        <w:rPr>
          <w:rFonts w:hint="eastAsia" w:cs="黑体"/>
          <w:sz w:val="36"/>
        </w:rPr>
        <w:t xml:space="preserve">项目组成员一览表</w:t>
      </w:r>
      <w:r/>
    </w:p>
    <w:tbl>
      <w:tblPr>
        <w:tblStyle w:val="779"/>
        <w:tblW w:w="0" w:type="auto"/>
        <w:tblInd w:w="140"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108" w:type="dxa"/>
          <w:top w:w="0" w:type="dxa"/>
          <w:right w:w="108" w:type="dxa"/>
          <w:bottom w:w="0" w:type="dxa"/>
        </w:tblCellMar>
        <w:tblLook w:val="04A0" w:firstRow="1" w:lastRow="0" w:firstColumn="1" w:lastColumn="0" w:noHBand="0" w:noVBand="1"/>
      </w:tblPr>
      <w:tblGrid>
        <w:gridCol w:w="1133"/>
        <w:gridCol w:w="1387"/>
        <w:gridCol w:w="900"/>
        <w:gridCol w:w="899"/>
        <w:gridCol w:w="899"/>
        <w:gridCol w:w="1079"/>
        <w:gridCol w:w="899"/>
        <w:gridCol w:w="2296"/>
      </w:tblGrid>
      <w:tr>
        <w:trPr>
          <w:trHeight w:val="798"/>
        </w:trPr>
        <w:tc>
          <w:tcPr>
            <w:tcBorders>
              <w:right w:val="single" w:color="000000" w:sz="4" w:space="0"/>
            </w:tcBorders>
            <w:tcW w:w="1133" w:type="dxa"/>
            <w:textDirection w:val="lrTb"/>
            <w:noWrap w:val="false"/>
          </w:tcPr>
          <w:p>
            <w:pPr>
              <w:pStyle w:val="963"/>
              <w:rPr>
                <w:b/>
                <w:sz w:val="24"/>
              </w:rPr>
            </w:pPr>
            <w:r>
              <w:rPr>
                <w:b/>
                <w:sz w:val="24"/>
              </w:rPr>
            </w:r>
            <w:r/>
          </w:p>
          <w:p>
            <w:pPr>
              <w:pStyle w:val="963"/>
              <w:ind w:left="107"/>
            </w:pPr>
            <w:r>
              <w:t xml:space="preserve">姓名</w:t>
            </w:r>
            <w:r/>
          </w:p>
        </w:tc>
        <w:tc>
          <w:tcPr>
            <w:tcBorders>
              <w:left w:val="single" w:color="000000" w:sz="4" w:space="0"/>
              <w:right w:val="single" w:color="000000" w:sz="4" w:space="0"/>
            </w:tcBorders>
            <w:tcW w:w="1387" w:type="dxa"/>
            <w:textDirection w:val="lrTb"/>
            <w:noWrap w:val="false"/>
          </w:tcPr>
          <w:p>
            <w:pPr>
              <w:pStyle w:val="963"/>
              <w:ind w:left="117"/>
              <w:spacing w:before="109"/>
            </w:pPr>
            <w:r>
              <w:rPr>
                <w:spacing w:val="-1"/>
              </w:rPr>
              <w:t xml:space="preserve">在本</w:t>
            </w:r>
            <w:r>
              <w:rPr>
                <w:rFonts w:hint="eastAsia"/>
                <w:spacing w:val="-1"/>
              </w:rPr>
              <w:t xml:space="preserve">项目</w:t>
            </w:r>
            <w:r/>
          </w:p>
          <w:p>
            <w:pPr>
              <w:pStyle w:val="963"/>
              <w:ind w:left="117"/>
              <w:spacing w:before="131" w:line="269" w:lineRule="exact"/>
            </w:pPr>
            <w:r>
              <w:rPr>
                <w:spacing w:val="-1"/>
              </w:rPr>
              <w:t xml:space="preserve">拟任岗位</w:t>
            </w:r>
            <w:r/>
          </w:p>
        </w:tc>
        <w:tc>
          <w:tcPr>
            <w:tcBorders>
              <w:left w:val="single" w:color="000000" w:sz="4" w:space="0"/>
              <w:right w:val="single" w:color="000000" w:sz="4" w:space="0"/>
            </w:tcBorders>
            <w:tcW w:w="900" w:type="dxa"/>
            <w:textDirection w:val="lrTb"/>
            <w:noWrap w:val="false"/>
          </w:tcPr>
          <w:p>
            <w:pPr>
              <w:pStyle w:val="963"/>
              <w:rPr>
                <w:b/>
                <w:sz w:val="24"/>
              </w:rPr>
            </w:pPr>
            <w:r>
              <w:rPr>
                <w:b/>
                <w:sz w:val="24"/>
              </w:rPr>
            </w:r>
            <w:r/>
          </w:p>
          <w:p>
            <w:pPr>
              <w:pStyle w:val="963"/>
              <w:ind w:left="117"/>
            </w:pPr>
            <w:r>
              <w:t xml:space="preserve">年龄</w:t>
            </w:r>
            <w:r/>
          </w:p>
        </w:tc>
        <w:tc>
          <w:tcPr>
            <w:tcBorders>
              <w:left w:val="single" w:color="000000" w:sz="4" w:space="0"/>
              <w:right w:val="single" w:color="000000" w:sz="4" w:space="0"/>
            </w:tcBorders>
            <w:tcW w:w="899" w:type="dxa"/>
            <w:textDirection w:val="lrTb"/>
            <w:noWrap w:val="false"/>
          </w:tcPr>
          <w:p>
            <w:pPr>
              <w:pStyle w:val="963"/>
              <w:rPr>
                <w:b/>
                <w:sz w:val="24"/>
              </w:rPr>
            </w:pPr>
            <w:r>
              <w:rPr>
                <w:b/>
                <w:sz w:val="24"/>
              </w:rPr>
            </w:r>
            <w:r/>
          </w:p>
          <w:p>
            <w:pPr>
              <w:pStyle w:val="963"/>
              <w:ind w:left="118"/>
            </w:pPr>
            <w:r>
              <w:t xml:space="preserve">性别</w:t>
            </w:r>
            <w:r/>
          </w:p>
        </w:tc>
        <w:tc>
          <w:tcPr>
            <w:tcBorders>
              <w:left w:val="single" w:color="000000" w:sz="4" w:space="0"/>
              <w:right w:val="single" w:color="000000" w:sz="4" w:space="0"/>
            </w:tcBorders>
            <w:tcW w:w="899" w:type="dxa"/>
            <w:textDirection w:val="lrTb"/>
            <w:noWrap w:val="false"/>
          </w:tcPr>
          <w:p>
            <w:pPr>
              <w:pStyle w:val="963"/>
              <w:rPr>
                <w:b/>
                <w:sz w:val="24"/>
              </w:rPr>
            </w:pPr>
            <w:r>
              <w:rPr>
                <w:b/>
                <w:sz w:val="24"/>
              </w:rPr>
            </w:r>
            <w:r/>
          </w:p>
          <w:p>
            <w:pPr>
              <w:pStyle w:val="963"/>
              <w:ind w:left="119"/>
            </w:pPr>
            <w:r>
              <w:t xml:space="preserve">专业</w:t>
            </w:r>
            <w:r/>
          </w:p>
        </w:tc>
        <w:tc>
          <w:tcPr>
            <w:tcBorders>
              <w:left w:val="single" w:color="000000" w:sz="4" w:space="0"/>
              <w:right w:val="single" w:color="000000" w:sz="4" w:space="0"/>
            </w:tcBorders>
            <w:tcW w:w="1079" w:type="dxa"/>
            <w:textDirection w:val="lrTb"/>
            <w:noWrap w:val="false"/>
          </w:tcPr>
          <w:p>
            <w:pPr>
              <w:pStyle w:val="963"/>
              <w:ind w:left="120"/>
              <w:spacing w:before="109"/>
            </w:pPr>
            <w:r>
              <w:t xml:space="preserve">专业</w:t>
            </w:r>
            <w:r/>
          </w:p>
          <w:p>
            <w:pPr>
              <w:pStyle w:val="963"/>
              <w:ind w:left="120"/>
              <w:spacing w:before="131" w:line="269" w:lineRule="exact"/>
            </w:pPr>
            <w:r>
              <w:t xml:space="preserve">年限</w:t>
            </w:r>
            <w:r/>
          </w:p>
        </w:tc>
        <w:tc>
          <w:tcPr>
            <w:tcBorders>
              <w:left w:val="single" w:color="000000" w:sz="4" w:space="0"/>
              <w:right w:val="single" w:color="000000" w:sz="4" w:space="0"/>
            </w:tcBorders>
            <w:tcW w:w="899" w:type="dxa"/>
            <w:textDirection w:val="lrTb"/>
            <w:noWrap w:val="false"/>
          </w:tcPr>
          <w:p>
            <w:pPr>
              <w:pStyle w:val="963"/>
              <w:rPr>
                <w:b/>
                <w:sz w:val="24"/>
              </w:rPr>
            </w:pPr>
            <w:r>
              <w:rPr>
                <w:b/>
                <w:sz w:val="24"/>
              </w:rPr>
            </w:r>
            <w:r/>
          </w:p>
          <w:p>
            <w:pPr>
              <w:pStyle w:val="963"/>
              <w:ind w:left="253"/>
            </w:pPr>
            <w:r>
              <w:t xml:space="preserve">职称</w:t>
            </w:r>
            <w:r/>
          </w:p>
        </w:tc>
        <w:tc>
          <w:tcPr>
            <w:tcBorders>
              <w:left w:val="single" w:color="000000" w:sz="4" w:space="0"/>
            </w:tcBorders>
            <w:tcW w:w="2296" w:type="dxa"/>
            <w:textDirection w:val="lrTb"/>
            <w:noWrap w:val="false"/>
          </w:tcPr>
          <w:p>
            <w:pPr>
              <w:pStyle w:val="963"/>
              <w:ind w:left="744"/>
              <w:spacing w:before="109"/>
            </w:pPr>
            <w:r>
              <w:rPr>
                <w:rFonts w:hint="eastAsia"/>
                <w:spacing w:val="-1"/>
              </w:rPr>
              <w:t xml:space="preserve">专业经验</w:t>
            </w:r>
            <w:r/>
          </w:p>
        </w:tc>
      </w:tr>
      <w:tr>
        <w:trPr>
          <w:trHeight w:val="402"/>
        </w:trPr>
        <w:tc>
          <w:tcPr>
            <w:tcBorders>
              <w:bottom w:val="single" w:color="000000" w:sz="4" w:space="0"/>
              <w:right w:val="single" w:color="000000" w:sz="4" w:space="0"/>
            </w:tcBorders>
            <w:tcW w:w="1133" w:type="dxa"/>
            <w:textDirection w:val="lrTb"/>
            <w:noWrap w:val="false"/>
          </w:tcPr>
          <w:p>
            <w:pPr>
              <w:pStyle w:val="963"/>
              <w:rPr>
                <w:rFonts w:ascii="Times New Roman"/>
                <w:sz w:val="20"/>
              </w:rPr>
            </w:pPr>
            <w:r>
              <w:rPr>
                <w:rFonts w:ascii="Times New Roman"/>
                <w:sz w:val="20"/>
              </w:rPr>
            </w:r>
            <w:r/>
          </w:p>
        </w:tc>
        <w:tc>
          <w:tcPr>
            <w:tcBorders>
              <w:left w:val="single" w:color="000000" w:sz="4" w:space="0"/>
              <w:bottom w:val="single" w:color="000000" w:sz="4" w:space="0"/>
              <w:right w:val="single" w:color="000000" w:sz="4" w:space="0"/>
            </w:tcBorders>
            <w:tcW w:w="1387" w:type="dxa"/>
            <w:textDirection w:val="lrTb"/>
            <w:noWrap w:val="false"/>
          </w:tcPr>
          <w:p>
            <w:pPr>
              <w:pStyle w:val="963"/>
              <w:rPr>
                <w:rFonts w:ascii="Times New Roman"/>
                <w:sz w:val="20"/>
              </w:rPr>
            </w:pPr>
            <w:r>
              <w:rPr>
                <w:rFonts w:ascii="Times New Roman"/>
                <w:sz w:val="20"/>
              </w:rPr>
            </w:r>
            <w:r/>
          </w:p>
        </w:tc>
        <w:tc>
          <w:tcPr>
            <w:tcBorders>
              <w:left w:val="single" w:color="000000" w:sz="4" w:space="0"/>
              <w:bottom w:val="single" w:color="000000" w:sz="4" w:space="0"/>
              <w:right w:val="single" w:color="000000" w:sz="4" w:space="0"/>
            </w:tcBorders>
            <w:tcW w:w="900" w:type="dxa"/>
            <w:textDirection w:val="lrTb"/>
            <w:noWrap w:val="false"/>
          </w:tcPr>
          <w:p>
            <w:pPr>
              <w:pStyle w:val="963"/>
              <w:rPr>
                <w:rFonts w:ascii="Times New Roman"/>
                <w:sz w:val="20"/>
              </w:rPr>
            </w:pPr>
            <w:r>
              <w:rPr>
                <w:rFonts w:ascii="Times New Roman"/>
                <w:sz w:val="20"/>
              </w:rPr>
            </w:r>
            <w:r/>
          </w:p>
        </w:tc>
        <w:tc>
          <w:tcPr>
            <w:tcBorders>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left w:val="single" w:color="000000" w:sz="4" w:space="0"/>
              <w:bottom w:val="single" w:color="000000" w:sz="4" w:space="0"/>
              <w:right w:val="single" w:color="000000" w:sz="4" w:space="0"/>
            </w:tcBorders>
            <w:tcW w:w="1079" w:type="dxa"/>
            <w:textDirection w:val="lrTb"/>
            <w:noWrap w:val="false"/>
          </w:tcPr>
          <w:p>
            <w:pPr>
              <w:pStyle w:val="963"/>
              <w:rPr>
                <w:rFonts w:ascii="Times New Roman"/>
                <w:sz w:val="20"/>
              </w:rPr>
            </w:pPr>
            <w:r>
              <w:rPr>
                <w:rFonts w:ascii="Times New Roman"/>
                <w:sz w:val="20"/>
              </w:rPr>
            </w:r>
            <w:r/>
          </w:p>
        </w:tc>
        <w:tc>
          <w:tcPr>
            <w:tcBorders>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left w:val="single" w:color="000000" w:sz="4" w:space="0"/>
              <w:bottom w:val="single" w:color="000000" w:sz="4" w:space="0"/>
            </w:tcBorders>
            <w:tcW w:w="2296" w:type="dxa"/>
            <w:textDirection w:val="lrTb"/>
            <w:noWrap w:val="false"/>
          </w:tcPr>
          <w:p>
            <w:pPr>
              <w:pStyle w:val="963"/>
              <w:rPr>
                <w:rFonts w:ascii="Times New Roman"/>
                <w:sz w:val="20"/>
              </w:rPr>
            </w:pPr>
            <w:r>
              <w:rPr>
                <w:rFonts w:ascii="Times New Roman"/>
                <w:sz w:val="20"/>
              </w:rPr>
            </w:r>
            <w:r/>
          </w:p>
        </w:tc>
      </w:tr>
      <w:tr>
        <w:trPr>
          <w:trHeight w:val="397"/>
        </w:trPr>
        <w:tc>
          <w:tcPr>
            <w:tcBorders>
              <w:top w:val="single" w:color="000000" w:sz="4" w:space="0"/>
              <w:bottom w:val="single" w:color="000000" w:sz="4" w:space="0"/>
              <w:right w:val="single" w:color="000000" w:sz="4" w:space="0"/>
            </w:tcBorders>
            <w:tcW w:w="1133"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1387"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900"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107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tcBorders>
            <w:tcW w:w="2296" w:type="dxa"/>
            <w:textDirection w:val="lrTb"/>
            <w:noWrap w:val="false"/>
          </w:tcPr>
          <w:p>
            <w:pPr>
              <w:pStyle w:val="963"/>
              <w:rPr>
                <w:rFonts w:ascii="Times New Roman"/>
                <w:sz w:val="20"/>
              </w:rPr>
            </w:pPr>
            <w:r>
              <w:rPr>
                <w:rFonts w:ascii="Times New Roman"/>
                <w:sz w:val="20"/>
              </w:rPr>
            </w:r>
            <w:r/>
          </w:p>
        </w:tc>
      </w:tr>
      <w:tr>
        <w:trPr>
          <w:trHeight w:val="400"/>
        </w:trPr>
        <w:tc>
          <w:tcPr>
            <w:tcBorders>
              <w:top w:val="single" w:color="000000" w:sz="4" w:space="0"/>
              <w:bottom w:val="single" w:color="000000" w:sz="4" w:space="0"/>
              <w:right w:val="single" w:color="000000" w:sz="4" w:space="0"/>
            </w:tcBorders>
            <w:tcW w:w="1133"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1387"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900"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107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tcBorders>
            <w:tcW w:w="2296" w:type="dxa"/>
            <w:textDirection w:val="lrTb"/>
            <w:noWrap w:val="false"/>
          </w:tcPr>
          <w:p>
            <w:pPr>
              <w:pStyle w:val="963"/>
              <w:rPr>
                <w:rFonts w:ascii="Times New Roman"/>
                <w:sz w:val="20"/>
              </w:rPr>
            </w:pPr>
            <w:r>
              <w:rPr>
                <w:rFonts w:ascii="Times New Roman"/>
                <w:sz w:val="20"/>
              </w:rPr>
            </w:r>
            <w:r/>
          </w:p>
        </w:tc>
      </w:tr>
      <w:tr>
        <w:trPr>
          <w:trHeight w:val="400"/>
        </w:trPr>
        <w:tc>
          <w:tcPr>
            <w:tcBorders>
              <w:top w:val="single" w:color="000000" w:sz="4" w:space="0"/>
              <w:bottom w:val="single" w:color="000000" w:sz="4" w:space="0"/>
              <w:right w:val="single" w:color="000000" w:sz="4" w:space="0"/>
            </w:tcBorders>
            <w:tcW w:w="1133"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1387"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900"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107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tcBorders>
            <w:tcW w:w="2296" w:type="dxa"/>
            <w:textDirection w:val="lrTb"/>
            <w:noWrap w:val="false"/>
          </w:tcPr>
          <w:p>
            <w:pPr>
              <w:pStyle w:val="963"/>
              <w:rPr>
                <w:rFonts w:ascii="Times New Roman"/>
                <w:sz w:val="20"/>
              </w:rPr>
            </w:pPr>
            <w:r>
              <w:rPr>
                <w:rFonts w:ascii="Times New Roman"/>
                <w:sz w:val="20"/>
              </w:rPr>
            </w:r>
            <w:r/>
          </w:p>
        </w:tc>
      </w:tr>
      <w:tr>
        <w:trPr>
          <w:trHeight w:val="400"/>
        </w:trPr>
        <w:tc>
          <w:tcPr>
            <w:tcBorders>
              <w:top w:val="single" w:color="000000" w:sz="4" w:space="0"/>
              <w:bottom w:val="single" w:color="000000" w:sz="4" w:space="0"/>
              <w:right w:val="single" w:color="000000" w:sz="4" w:space="0"/>
            </w:tcBorders>
            <w:tcW w:w="1133"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1387"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900"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107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tcBorders>
            <w:tcW w:w="2296" w:type="dxa"/>
            <w:textDirection w:val="lrTb"/>
            <w:noWrap w:val="false"/>
          </w:tcPr>
          <w:p>
            <w:pPr>
              <w:pStyle w:val="963"/>
              <w:rPr>
                <w:rFonts w:ascii="Times New Roman"/>
                <w:sz w:val="20"/>
              </w:rPr>
            </w:pPr>
            <w:r>
              <w:rPr>
                <w:rFonts w:ascii="Times New Roman"/>
                <w:sz w:val="20"/>
              </w:rPr>
            </w:r>
            <w:r/>
          </w:p>
        </w:tc>
      </w:tr>
      <w:tr>
        <w:trPr>
          <w:trHeight w:val="400"/>
        </w:trPr>
        <w:tc>
          <w:tcPr>
            <w:tcBorders>
              <w:top w:val="single" w:color="000000" w:sz="4" w:space="0"/>
              <w:bottom w:val="single" w:color="000000" w:sz="4" w:space="0"/>
              <w:right w:val="single" w:color="000000" w:sz="4" w:space="0"/>
            </w:tcBorders>
            <w:tcW w:w="1133"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1387"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900"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107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tcBorders>
            <w:tcW w:w="2296" w:type="dxa"/>
            <w:textDirection w:val="lrTb"/>
            <w:noWrap w:val="false"/>
          </w:tcPr>
          <w:p>
            <w:pPr>
              <w:pStyle w:val="963"/>
              <w:rPr>
                <w:rFonts w:ascii="Times New Roman"/>
                <w:sz w:val="20"/>
              </w:rPr>
            </w:pPr>
            <w:r>
              <w:rPr>
                <w:rFonts w:ascii="Times New Roman"/>
                <w:sz w:val="20"/>
              </w:rPr>
            </w:r>
            <w:r/>
          </w:p>
        </w:tc>
      </w:tr>
      <w:tr>
        <w:trPr>
          <w:trHeight w:val="400"/>
        </w:trPr>
        <w:tc>
          <w:tcPr>
            <w:tcBorders>
              <w:top w:val="single" w:color="000000" w:sz="4" w:space="0"/>
              <w:bottom w:val="single" w:color="000000" w:sz="4" w:space="0"/>
              <w:right w:val="single" w:color="000000" w:sz="4" w:space="0"/>
            </w:tcBorders>
            <w:tcW w:w="1133"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1387"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900"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107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tcBorders>
            <w:tcW w:w="2296" w:type="dxa"/>
            <w:textDirection w:val="lrTb"/>
            <w:noWrap w:val="false"/>
          </w:tcPr>
          <w:p>
            <w:pPr>
              <w:pStyle w:val="963"/>
              <w:rPr>
                <w:rFonts w:ascii="Times New Roman"/>
                <w:sz w:val="20"/>
              </w:rPr>
            </w:pPr>
            <w:r>
              <w:rPr>
                <w:rFonts w:ascii="Times New Roman"/>
                <w:sz w:val="20"/>
              </w:rPr>
            </w:r>
            <w:r/>
          </w:p>
        </w:tc>
      </w:tr>
      <w:tr>
        <w:trPr>
          <w:trHeight w:val="398"/>
        </w:trPr>
        <w:tc>
          <w:tcPr>
            <w:tcBorders>
              <w:top w:val="single" w:color="000000" w:sz="4" w:space="0"/>
              <w:bottom w:val="single" w:color="000000" w:sz="4" w:space="0"/>
              <w:right w:val="single" w:color="000000" w:sz="4" w:space="0"/>
            </w:tcBorders>
            <w:tcW w:w="1133"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1387"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900"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107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tcBorders>
            <w:tcW w:w="2296" w:type="dxa"/>
            <w:textDirection w:val="lrTb"/>
            <w:noWrap w:val="false"/>
          </w:tcPr>
          <w:p>
            <w:pPr>
              <w:pStyle w:val="963"/>
              <w:rPr>
                <w:rFonts w:ascii="Times New Roman"/>
                <w:sz w:val="20"/>
              </w:rPr>
            </w:pPr>
            <w:r>
              <w:rPr>
                <w:rFonts w:ascii="Times New Roman"/>
                <w:sz w:val="20"/>
              </w:rPr>
            </w:r>
            <w:r/>
          </w:p>
        </w:tc>
      </w:tr>
      <w:tr>
        <w:trPr>
          <w:trHeight w:val="400"/>
        </w:trPr>
        <w:tc>
          <w:tcPr>
            <w:tcBorders>
              <w:top w:val="single" w:color="000000" w:sz="4" w:space="0"/>
              <w:bottom w:val="single" w:color="000000" w:sz="4" w:space="0"/>
              <w:right w:val="single" w:color="000000" w:sz="4" w:space="0"/>
            </w:tcBorders>
            <w:tcW w:w="1133"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1387"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900"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107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tcBorders>
            <w:tcW w:w="2296" w:type="dxa"/>
            <w:textDirection w:val="lrTb"/>
            <w:noWrap w:val="false"/>
          </w:tcPr>
          <w:p>
            <w:pPr>
              <w:pStyle w:val="963"/>
              <w:rPr>
                <w:rFonts w:ascii="Times New Roman"/>
                <w:sz w:val="20"/>
              </w:rPr>
            </w:pPr>
            <w:r>
              <w:rPr>
                <w:rFonts w:ascii="Times New Roman"/>
                <w:sz w:val="20"/>
              </w:rPr>
            </w:r>
            <w:r/>
          </w:p>
        </w:tc>
      </w:tr>
      <w:tr>
        <w:trPr>
          <w:trHeight w:val="400"/>
        </w:trPr>
        <w:tc>
          <w:tcPr>
            <w:tcBorders>
              <w:top w:val="single" w:color="000000" w:sz="4" w:space="0"/>
              <w:bottom w:val="single" w:color="000000" w:sz="4" w:space="0"/>
              <w:right w:val="single" w:color="000000" w:sz="4" w:space="0"/>
            </w:tcBorders>
            <w:tcW w:w="1133"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1387"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900"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107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tcBorders>
            <w:tcW w:w="2296" w:type="dxa"/>
            <w:textDirection w:val="lrTb"/>
            <w:noWrap w:val="false"/>
          </w:tcPr>
          <w:p>
            <w:pPr>
              <w:pStyle w:val="963"/>
              <w:rPr>
                <w:rFonts w:ascii="Times New Roman"/>
                <w:sz w:val="20"/>
              </w:rPr>
            </w:pPr>
            <w:r>
              <w:rPr>
                <w:rFonts w:ascii="Times New Roman"/>
                <w:sz w:val="20"/>
              </w:rPr>
            </w:r>
            <w:r/>
          </w:p>
        </w:tc>
      </w:tr>
      <w:tr>
        <w:trPr>
          <w:trHeight w:val="400"/>
        </w:trPr>
        <w:tc>
          <w:tcPr>
            <w:tcBorders>
              <w:top w:val="single" w:color="000000" w:sz="4" w:space="0"/>
              <w:bottom w:val="single" w:color="000000" w:sz="4" w:space="0"/>
              <w:right w:val="single" w:color="000000" w:sz="4" w:space="0"/>
            </w:tcBorders>
            <w:tcW w:w="1133"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1387"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900"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107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tcBorders>
            <w:tcW w:w="2296" w:type="dxa"/>
            <w:textDirection w:val="lrTb"/>
            <w:noWrap w:val="false"/>
          </w:tcPr>
          <w:p>
            <w:pPr>
              <w:pStyle w:val="963"/>
              <w:rPr>
                <w:rFonts w:ascii="Times New Roman"/>
                <w:sz w:val="20"/>
              </w:rPr>
            </w:pPr>
            <w:r>
              <w:rPr>
                <w:rFonts w:ascii="Times New Roman"/>
                <w:sz w:val="20"/>
              </w:rPr>
            </w:r>
            <w:r/>
          </w:p>
        </w:tc>
      </w:tr>
      <w:tr>
        <w:trPr>
          <w:trHeight w:val="400"/>
        </w:trPr>
        <w:tc>
          <w:tcPr>
            <w:tcBorders>
              <w:top w:val="single" w:color="000000" w:sz="4" w:space="0"/>
              <w:bottom w:val="single" w:color="000000" w:sz="4" w:space="0"/>
              <w:right w:val="single" w:color="000000" w:sz="4" w:space="0"/>
            </w:tcBorders>
            <w:tcW w:w="1133"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1387"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900"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107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tcBorders>
            <w:tcW w:w="2296" w:type="dxa"/>
            <w:textDirection w:val="lrTb"/>
            <w:noWrap w:val="false"/>
          </w:tcPr>
          <w:p>
            <w:pPr>
              <w:pStyle w:val="963"/>
              <w:rPr>
                <w:rFonts w:ascii="Times New Roman"/>
                <w:sz w:val="20"/>
              </w:rPr>
            </w:pPr>
            <w:r>
              <w:rPr>
                <w:rFonts w:ascii="Times New Roman"/>
                <w:sz w:val="20"/>
              </w:rPr>
            </w:r>
            <w:r/>
          </w:p>
        </w:tc>
      </w:tr>
      <w:tr>
        <w:trPr>
          <w:trHeight w:val="400"/>
        </w:trPr>
        <w:tc>
          <w:tcPr>
            <w:tcBorders>
              <w:top w:val="single" w:color="000000" w:sz="4" w:space="0"/>
              <w:bottom w:val="single" w:color="000000" w:sz="4" w:space="0"/>
              <w:right w:val="single" w:color="000000" w:sz="4" w:space="0"/>
            </w:tcBorders>
            <w:tcW w:w="1133"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1387"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900"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107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right w:val="single" w:color="000000" w:sz="4" w:space="0"/>
            </w:tcBorders>
            <w:tcW w:w="899" w:type="dxa"/>
            <w:textDirection w:val="lrTb"/>
            <w:noWrap w:val="false"/>
          </w:tcPr>
          <w:p>
            <w:pPr>
              <w:pStyle w:val="963"/>
              <w:rPr>
                <w:rFonts w:ascii="Times New Roman"/>
                <w:sz w:val="20"/>
              </w:rPr>
            </w:pPr>
            <w:r>
              <w:rPr>
                <w:rFonts w:ascii="Times New Roman"/>
                <w:sz w:val="20"/>
              </w:rPr>
            </w:r>
            <w:r/>
          </w:p>
        </w:tc>
        <w:tc>
          <w:tcPr>
            <w:tcBorders>
              <w:top w:val="single" w:color="000000" w:sz="4" w:space="0"/>
              <w:left w:val="single" w:color="000000" w:sz="4" w:space="0"/>
              <w:bottom w:val="single" w:color="000000" w:sz="4" w:space="0"/>
            </w:tcBorders>
            <w:tcW w:w="2296" w:type="dxa"/>
            <w:textDirection w:val="lrTb"/>
            <w:noWrap w:val="false"/>
          </w:tcPr>
          <w:p>
            <w:pPr>
              <w:pStyle w:val="963"/>
              <w:rPr>
                <w:rFonts w:ascii="Times New Roman"/>
                <w:sz w:val="20"/>
              </w:rPr>
            </w:pPr>
            <w:r>
              <w:rPr>
                <w:rFonts w:ascii="Times New Roman"/>
                <w:sz w:val="20"/>
              </w:rPr>
            </w:r>
            <w:r/>
          </w:p>
        </w:tc>
      </w:tr>
    </w:tbl>
    <w:p>
      <w:pPr>
        <w:widowControl/>
        <w:rPr>
          <w:b/>
        </w:rPr>
      </w:pPr>
      <w:r>
        <w:rPr>
          <w:b/>
        </w:rPr>
      </w:r>
      <w:r/>
    </w:p>
    <w:p>
      <w:pPr>
        <w:widowControl/>
        <w:rPr>
          <w:b/>
        </w:rPr>
      </w:pPr>
      <w:r>
        <w:rPr>
          <w:b/>
        </w:rPr>
      </w:r>
      <w:r/>
    </w:p>
    <w:p>
      <w:pPr>
        <w:widowControl/>
        <w:rPr>
          <w:b/>
        </w:rPr>
      </w:pPr>
      <w:r>
        <w:rPr>
          <w:rFonts w:hint="eastAsia"/>
          <w:b/>
        </w:rPr>
        <w:t xml:space="preserve">注：本表后按顺序附相关证明材料复印件加盖公章。</w:t>
      </w:r>
      <w:r/>
    </w:p>
    <w:p>
      <w:pPr>
        <w:ind w:firstLine="420"/>
        <w:spacing w:line="360" w:lineRule="auto"/>
        <w:rPr>
          <w:bCs/>
          <w:sz w:val="21"/>
        </w:rPr>
      </w:pPr>
      <w:r>
        <w:rPr>
          <w:bCs/>
          <w:sz w:val="21"/>
        </w:rPr>
      </w:r>
      <w:r/>
    </w:p>
    <w:p>
      <w:pPr>
        <w:spacing w:line="360" w:lineRule="auto"/>
        <w:rPr>
          <w:bCs/>
          <w:sz w:val="21"/>
          <w:lang w:val="en-US"/>
        </w:rPr>
      </w:pPr>
      <w:r>
        <w:rPr>
          <w:bCs/>
          <w:sz w:val="21"/>
          <w:lang w:val="en-US"/>
        </w:rPr>
      </w:r>
      <w:r/>
    </w:p>
    <w:p>
      <w:pPr>
        <w:spacing w:line="360" w:lineRule="auto"/>
        <w:rPr>
          <w:b/>
          <w:sz w:val="21"/>
        </w:rPr>
      </w:pPr>
      <w:r>
        <w:rPr>
          <w:b/>
          <w:sz w:val="21"/>
        </w:rPr>
        <w:t xml:space="preserve">目录</w:t>
      </w:r>
      <w:r>
        <w:rPr>
          <w:rFonts w:hint="eastAsia"/>
          <w:b/>
          <w:sz w:val="21"/>
        </w:rPr>
        <w:t xml:space="preserve">九</w:t>
      </w:r>
      <w:r>
        <w:rPr>
          <w:b/>
          <w:sz w:val="21"/>
        </w:rPr>
        <w:t xml:space="preserve">、</w:t>
      </w:r>
      <w:r>
        <w:rPr>
          <w:rFonts w:hint="eastAsia"/>
          <w:b/>
          <w:sz w:val="21"/>
        </w:rPr>
        <w:t xml:space="preserve">相关</w:t>
      </w:r>
      <w:r>
        <w:rPr>
          <w:rFonts w:hint="eastAsia"/>
          <w:b/>
          <w:sz w:val="21"/>
          <w:lang w:val="en-US"/>
        </w:rPr>
        <w:t xml:space="preserve">服务</w:t>
      </w:r>
      <w:r>
        <w:rPr>
          <w:rFonts w:hint="eastAsia"/>
          <w:b/>
          <w:sz w:val="21"/>
        </w:rPr>
        <w:t xml:space="preserve">承诺</w:t>
      </w:r>
      <w:r/>
    </w:p>
    <w:p>
      <w:pPr>
        <w:jc w:val="center"/>
        <w:spacing w:line="360" w:lineRule="auto"/>
        <w:rPr>
          <w:sz w:val="36"/>
        </w:rPr>
      </w:pPr>
      <w:r>
        <w:rPr>
          <w:rFonts w:hint="eastAsia" w:asciiTheme="minorEastAsia" w:hAnsiTheme="minorEastAsia" w:eastAsiaTheme="minorEastAsia"/>
          <w:b/>
          <w:sz w:val="36"/>
        </w:rPr>
        <w:t xml:space="preserve">相关</w:t>
      </w:r>
      <w:r>
        <w:rPr>
          <w:rFonts w:hint="eastAsia" w:asciiTheme="minorEastAsia" w:hAnsiTheme="minorEastAsia" w:eastAsiaTheme="minorEastAsia"/>
          <w:b/>
          <w:sz w:val="36"/>
          <w:lang w:val="en-US"/>
        </w:rPr>
        <w:t xml:space="preserve">服务</w:t>
      </w:r>
      <w:r>
        <w:rPr>
          <w:rFonts w:hint="eastAsia" w:asciiTheme="minorEastAsia" w:hAnsiTheme="minorEastAsia" w:eastAsiaTheme="minorEastAsia"/>
          <w:b/>
          <w:sz w:val="36"/>
        </w:rPr>
        <w:t xml:space="preserve">承诺</w:t>
      </w:r>
      <w:r>
        <w:rPr>
          <w:rFonts w:asciiTheme="minorEastAsia" w:hAnsiTheme="minorEastAsia" w:eastAsiaTheme="minorEastAsia"/>
          <w:b/>
          <w:sz w:val="36"/>
        </w:rPr>
        <w:t xml:space="preserve">（若有</w:t>
      </w:r>
      <w:r>
        <w:rPr>
          <w:sz w:val="36"/>
        </w:rPr>
        <w:t xml:space="preserve">）</w:t>
      </w:r>
      <w:r/>
    </w:p>
    <w:p>
      <w:pPr>
        <w:pStyle w:val="784"/>
      </w:pPr>
      <w:r/>
      <w:r/>
    </w:p>
    <w:p>
      <w:pPr>
        <w:contextualSpacing/>
        <w:spacing w:line="360" w:lineRule="auto"/>
        <w:rPr>
          <w:b/>
          <w:sz w:val="21"/>
        </w:rPr>
      </w:pPr>
      <w:r>
        <w:rPr>
          <w:b/>
          <w:sz w:val="21"/>
        </w:rPr>
      </w:r>
      <w:r/>
    </w:p>
    <w:p>
      <w:pPr>
        <w:contextualSpacing/>
        <w:spacing w:line="360" w:lineRule="auto"/>
        <w:rPr>
          <w:b/>
          <w:sz w:val="21"/>
        </w:rPr>
      </w:pPr>
      <w:r>
        <w:rPr>
          <w:b/>
          <w:sz w:val="21"/>
        </w:rPr>
      </w:r>
      <w:r/>
    </w:p>
    <w:p>
      <w:pPr>
        <w:contextualSpacing/>
        <w:spacing w:line="360" w:lineRule="auto"/>
        <w:rPr>
          <w:b/>
          <w:sz w:val="21"/>
        </w:rPr>
      </w:pPr>
      <w:r>
        <w:rPr>
          <w:b/>
          <w:sz w:val="21"/>
        </w:rPr>
      </w:r>
      <w:r/>
    </w:p>
    <w:p>
      <w:pPr>
        <w:contextualSpacing/>
        <w:spacing w:line="360" w:lineRule="auto"/>
        <w:rPr>
          <w:b/>
          <w:sz w:val="21"/>
        </w:rPr>
      </w:pPr>
      <w:r>
        <w:rPr>
          <w:b/>
          <w:sz w:val="21"/>
        </w:rPr>
        <w:t xml:space="preserve">目录十、投标需要的其他证明文件及材料</w:t>
      </w:r>
      <w:r/>
    </w:p>
    <w:p>
      <w:pPr>
        <w:contextualSpacing/>
        <w:jc w:val="center"/>
        <w:spacing w:line="360" w:lineRule="auto"/>
        <w:rPr>
          <w:rFonts w:asciiTheme="minorEastAsia" w:hAnsiTheme="minorEastAsia" w:eastAsiaTheme="minorEastAsia"/>
          <w:b/>
          <w:sz w:val="36"/>
        </w:rPr>
      </w:pPr>
      <w:r>
        <w:rPr>
          <w:rFonts w:asciiTheme="minorEastAsia" w:hAnsiTheme="minorEastAsia" w:eastAsiaTheme="minorEastAsia"/>
          <w:b/>
          <w:sz w:val="36"/>
        </w:rPr>
        <w:t xml:space="preserve">投标需要的其他证明文件及材料（若有）</w:t>
      </w:r>
      <w:r/>
    </w:p>
    <w:p>
      <w:pPr>
        <w:pStyle w:val="784"/>
        <w:rPr>
          <w:lang w:val="en-US"/>
        </w:rPr>
        <w:sectPr>
          <w:footnotePr/>
          <w:endnotePr/>
          <w:type w:val="continuous"/>
          <w:pgSz w:w="11910" w:h="16840" w:orient="portrait"/>
          <w:pgMar w:top="1134" w:right="1134" w:bottom="1134" w:left="1134" w:header="720" w:footer="720" w:gutter="0"/>
          <w:cols w:num="1" w:sep="0" w:space="720" w:equalWidth="1"/>
          <w:docGrid w:linePitch="360"/>
        </w:sectPr>
      </w:pPr>
      <w:r>
        <w:rPr>
          <w:lang w:val="en-US"/>
        </w:rPr>
      </w:r>
      <w:r/>
    </w:p>
    <w:p>
      <w:pPr>
        <w:spacing w:line="360" w:lineRule="auto"/>
        <w:rPr>
          <w:b/>
          <w:sz w:val="21"/>
        </w:rPr>
      </w:pPr>
      <w:r>
        <w:rPr>
          <w:b/>
          <w:sz w:val="21"/>
        </w:rPr>
        <w:t xml:space="preserve">附件一、中小企业声明函格式</w:t>
      </w:r>
      <w:r/>
    </w:p>
    <w:p>
      <w:pPr>
        <w:jc w:val="center"/>
        <w:spacing w:line="360" w:lineRule="auto"/>
        <w:rPr>
          <w:rFonts w:cs="黑体"/>
          <w:sz w:val="36"/>
        </w:rPr>
      </w:pPr>
      <w:r>
        <w:rPr>
          <w:rFonts w:cs="黑体"/>
          <w:sz w:val="36"/>
        </w:rPr>
        <w:t xml:space="preserve">中小企业声明函</w:t>
      </w:r>
      <w:r/>
    </w:p>
    <w:p>
      <w:pPr>
        <w:ind w:firstLine="420"/>
        <w:spacing w:line="360" w:lineRule="auto"/>
      </w:pPr>
      <w:r>
        <w:rPr>
          <w:rFonts w:hint="eastAsia"/>
        </w:rPr>
        <w:t xml:space="preserve">本公司(联合体)郑重声明，根据《政府采购促进中小企业发展管理办法》(财库(2020)46号)的规定，本公司(联合体)参加</w:t>
      </w:r>
      <w:r>
        <w:rPr>
          <w:rFonts w:hint="eastAsia"/>
          <w:u w:val="single"/>
        </w:rPr>
        <w:t xml:space="preserve"> _ (单位名称)</w:t>
      </w:r>
      <w:r>
        <w:rPr>
          <w:rFonts w:hint="eastAsia"/>
        </w:rPr>
        <w:t xml:space="preserve">的</w:t>
      </w:r>
      <w:r>
        <w:rPr>
          <w:rFonts w:hint="eastAsia"/>
          <w:u w:val="single"/>
        </w:rPr>
        <w:t xml:space="preserve">_   (项目名称)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spacing w:line="360" w:lineRule="auto"/>
        <w:rPr>
          <w:u w:val="single"/>
        </w:rPr>
      </w:pPr>
      <w:r>
        <w:rPr>
          <w:rFonts w:hint="eastAsia"/>
        </w:rPr>
        <w:t xml:space="preserve">1.</w:t>
      </w:r>
      <w:r>
        <w:rPr>
          <w:rFonts w:hint="eastAsia"/>
          <w:u w:val="single"/>
        </w:rPr>
        <w:t xml:space="preserve">_ (标的名称)</w:t>
      </w:r>
      <w:r>
        <w:rPr>
          <w:rFonts w:hint="eastAsia"/>
        </w:rPr>
        <w:t xml:space="preserve"> ,属于</w:t>
      </w:r>
      <w:r>
        <w:rPr>
          <w:rFonts w:hint="eastAsia"/>
          <w:u w:val="single"/>
        </w:rPr>
        <w:t xml:space="preserve">(采购文件中明确的所属行业)</w:t>
      </w:r>
      <w:r>
        <w:rPr>
          <w:rFonts w:hint="eastAsia"/>
        </w:rPr>
        <w:t xml:space="preserve">,承建(承接)企业为</w:t>
      </w:r>
      <w:r>
        <w:rPr>
          <w:rFonts w:hint="eastAsia"/>
          <w:u w:val="single"/>
        </w:rPr>
        <w:t xml:space="preserve">(企业名称)</w:t>
      </w:r>
      <w:r>
        <w:rPr>
          <w:rFonts w:hint="eastAsia"/>
        </w:rPr>
        <w:t xml:space="preserve">,从业人员__人，营业收入为万元，资产总额为万元，属于</w:t>
      </w:r>
      <w:r>
        <w:rPr>
          <w:rFonts w:hint="eastAsia"/>
          <w:u w:val="single"/>
        </w:rPr>
        <w:t xml:space="preserve"> (中型企业、小型企业、微型企业)。</w:t>
      </w:r>
      <w:r/>
    </w:p>
    <w:p>
      <w:pPr>
        <w:spacing w:line="360" w:lineRule="auto"/>
        <w:rPr>
          <w:u w:val="single"/>
        </w:rPr>
      </w:pPr>
      <w:r>
        <w:rPr>
          <w:rFonts w:hint="eastAsia"/>
        </w:rPr>
        <w:t xml:space="preserve">2.</w:t>
      </w:r>
      <w:r>
        <w:rPr>
          <w:rFonts w:hint="eastAsia"/>
          <w:u w:val="single"/>
        </w:rPr>
        <w:t xml:space="preserve">_ (标的名称)</w:t>
      </w:r>
      <w:r>
        <w:rPr>
          <w:rFonts w:hint="eastAsia"/>
        </w:rPr>
        <w:t xml:space="preserve"> ,属于</w:t>
      </w:r>
      <w:r>
        <w:rPr>
          <w:rFonts w:hint="eastAsia"/>
          <w:u w:val="single"/>
        </w:rPr>
        <w:t xml:space="preserve">(采购文件中明确的所属行业)</w:t>
      </w:r>
      <w:r>
        <w:rPr>
          <w:rFonts w:hint="eastAsia"/>
        </w:rPr>
        <w:t xml:space="preserve">,承建(承接)企业为</w:t>
      </w:r>
      <w:r>
        <w:rPr>
          <w:rFonts w:hint="eastAsia"/>
          <w:u w:val="single"/>
        </w:rPr>
        <w:t xml:space="preserve">(企业名称)</w:t>
      </w:r>
      <w:r>
        <w:rPr>
          <w:rFonts w:hint="eastAsia"/>
        </w:rPr>
        <w:t xml:space="preserve">,从业人员__人，营业收入为万元，资产总额为万元，属于</w:t>
      </w:r>
      <w:r>
        <w:rPr>
          <w:rFonts w:hint="eastAsia"/>
          <w:u w:val="single"/>
        </w:rPr>
        <w:t xml:space="preserve"> (中型企业、小型企业、微型企业)。</w:t>
      </w:r>
      <w:r/>
    </w:p>
    <w:p>
      <w:pPr>
        <w:spacing w:line="360" w:lineRule="auto"/>
      </w:pPr>
      <w:r>
        <w:t xml:space="preserve">……</w:t>
      </w:r>
      <w:r/>
    </w:p>
    <w:p>
      <w:pPr>
        <w:spacing w:line="360" w:lineRule="auto"/>
      </w:pPr>
      <w:r>
        <w:rPr>
          <w:rFonts w:hint="eastAsia"/>
        </w:rPr>
        <w:t xml:space="preserve">以上企业，不属于大企业的分支机构，不存在控股股东为大企业的情形，也不存在与大企业的负责人为同一人的情形。</w:t>
      </w:r>
      <w:r/>
    </w:p>
    <w:p>
      <w:pPr>
        <w:spacing w:line="360" w:lineRule="auto"/>
        <w:rPr>
          <w:u w:val="single"/>
        </w:rPr>
      </w:pPr>
      <w:r>
        <w:rPr>
          <w:rFonts w:hint="eastAsia"/>
        </w:rPr>
        <w:t xml:space="preserve">本企业对上述声明内容的真实性负责。如有虚假，将依法承担相应责任。</w:t>
      </w:r>
      <w:r/>
    </w:p>
    <w:p>
      <w:pPr>
        <w:ind w:firstLine="4840"/>
        <w:spacing w:line="360" w:lineRule="auto"/>
      </w:pPr>
      <w:r/>
      <w:r/>
    </w:p>
    <w:p>
      <w:pPr>
        <w:ind w:firstLine="4840"/>
        <w:spacing w:line="360" w:lineRule="auto"/>
      </w:pPr>
      <w:r>
        <w:rPr>
          <w:rFonts w:hint="eastAsia"/>
        </w:rPr>
        <w:t xml:space="preserve">企业名称（盖章）：</w:t>
      </w:r>
      <w:r/>
    </w:p>
    <w:p>
      <w:pPr>
        <w:ind w:firstLine="4840"/>
        <w:spacing w:line="360" w:lineRule="auto"/>
      </w:pPr>
      <w:r>
        <w:rPr>
          <w:rFonts w:hint="eastAsia"/>
        </w:rPr>
        <w:t xml:space="preserve">日　　　　　期：  年  月  日</w:t>
      </w:r>
      <w:r/>
    </w:p>
    <w:p>
      <w:pPr>
        <w:ind w:firstLine="420"/>
        <w:spacing w:line="480" w:lineRule="auto"/>
        <w:tabs>
          <w:tab w:val="left" w:pos="6103" w:leader="none"/>
        </w:tabs>
        <w:rPr>
          <w:sz w:val="21"/>
          <w:szCs w:val="21"/>
        </w:rPr>
      </w:pPr>
      <w:r>
        <w:rPr>
          <w:sz w:val="21"/>
          <w:szCs w:val="21"/>
        </w:rPr>
      </w:r>
      <w:r/>
    </w:p>
    <w:p>
      <w:pPr>
        <w:ind w:firstLine="400"/>
        <w:spacing w:line="480" w:lineRule="auto"/>
        <w:rPr>
          <w:sz w:val="20"/>
          <w:szCs w:val="21"/>
        </w:rPr>
      </w:pPr>
      <w:r>
        <w:rPr>
          <w:sz w:val="20"/>
          <w:szCs w:val="21"/>
        </w:rPr>
      </w:r>
      <w:r/>
    </w:p>
    <w:p>
      <w:pPr>
        <w:ind w:firstLine="400"/>
        <w:spacing w:line="360" w:lineRule="auto"/>
        <w:rPr>
          <w:sz w:val="20"/>
          <w:szCs w:val="21"/>
        </w:rPr>
      </w:pPr>
      <w:r>
        <w:rPr>
          <w:sz w:val="20"/>
          <w:szCs w:val="21"/>
        </w:rPr>
      </w:r>
      <w:r/>
    </w:p>
    <w:p>
      <w:pPr>
        <w:rPr>
          <w:b/>
          <w:sz w:val="21"/>
        </w:rPr>
      </w:pPr>
      <w:r>
        <w:rPr>
          <w:b/>
          <w:sz w:val="21"/>
        </w:rPr>
        <w:br w:type="page" w:clear="all"/>
      </w:r>
      <w:r/>
    </w:p>
    <w:p>
      <w:pPr>
        <w:spacing w:line="360" w:lineRule="auto"/>
        <w:rPr>
          <w:b/>
          <w:sz w:val="21"/>
        </w:rPr>
      </w:pPr>
      <w:r>
        <w:rPr>
          <w:b/>
          <w:sz w:val="21"/>
        </w:rPr>
        <w:t xml:space="preserve">附件二、无重大违法记录声明格式</w:t>
      </w:r>
      <w:r/>
    </w:p>
    <w:p>
      <w:pPr>
        <w:ind w:right="87"/>
        <w:jc w:val="center"/>
        <w:spacing w:line="360" w:lineRule="auto"/>
        <w:rPr>
          <w:b/>
          <w:bCs/>
          <w:sz w:val="36"/>
        </w:rPr>
      </w:pPr>
      <w:r>
        <w:rPr>
          <w:b/>
          <w:bCs/>
          <w:sz w:val="36"/>
        </w:rPr>
        <w:t xml:space="preserve">无重大违法记录声明</w:t>
      </w:r>
      <w:r/>
    </w:p>
    <w:p>
      <w:pPr>
        <w:ind w:left="223"/>
        <w:spacing w:line="360" w:lineRule="auto"/>
        <w:rPr>
          <w:sz w:val="21"/>
          <w:szCs w:val="21"/>
        </w:rPr>
      </w:pPr>
      <w:r>
        <w:rPr>
          <w:rFonts w:hint="eastAsia"/>
          <w:sz w:val="21"/>
          <w:szCs w:val="21"/>
        </w:rPr>
        <w:t xml:space="preserve">江苏开放大学</w:t>
      </w:r>
      <w:r>
        <w:rPr>
          <w:sz w:val="21"/>
          <w:szCs w:val="21"/>
        </w:rPr>
        <w:t xml:space="preserve">：</w:t>
      </w:r>
      <w:r/>
    </w:p>
    <w:p>
      <w:pPr>
        <w:ind w:firstLine="420"/>
        <w:spacing w:line="360" w:lineRule="auto"/>
        <w:rPr>
          <w:sz w:val="21"/>
          <w:szCs w:val="21"/>
        </w:rPr>
      </w:pPr>
      <w:r>
        <w:rPr>
          <w:sz w:val="21"/>
          <w:szCs w:val="21"/>
        </w:rPr>
        <w:t xml:space="preserve">我单位（供应商名称）郑重声明：</w:t>
      </w:r>
      <w:r/>
    </w:p>
    <w:p>
      <w:pPr>
        <w:ind w:firstLine="420"/>
        <w:spacing w:line="360" w:lineRule="auto"/>
        <w:rPr>
          <w:sz w:val="21"/>
          <w:szCs w:val="21"/>
        </w:rPr>
      </w:pPr>
      <w:r>
        <w:rPr>
          <w:sz w:val="21"/>
          <w:szCs w:val="21"/>
        </w:rPr>
        <w:t xml:space="preserve">参加政府采购活动前 3 年内在经营活动中（在下划线上如实填写：有或没有）重大违法记录。</w:t>
      </w:r>
      <w:r/>
    </w:p>
    <w:p>
      <w:pPr>
        <w:ind w:firstLine="420"/>
        <w:spacing w:line="360" w:lineRule="auto"/>
        <w:rPr>
          <w:sz w:val="21"/>
          <w:szCs w:val="21"/>
        </w:rPr>
      </w:pPr>
      <w:r>
        <w:rPr>
          <w:sz w:val="21"/>
          <w:szCs w:val="21"/>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sz w:val="20"/>
          <w:szCs w:val="21"/>
        </w:rPr>
      </w:pPr>
      <w:r>
        <w:rPr>
          <w:sz w:val="20"/>
          <w:szCs w:val="21"/>
        </w:rPr>
      </w:r>
      <w:r/>
    </w:p>
    <w:p>
      <w:pPr>
        <w:ind w:left="5500"/>
        <w:spacing w:line="360" w:lineRule="auto"/>
        <w:rPr>
          <w:sz w:val="21"/>
          <w:szCs w:val="21"/>
        </w:rPr>
      </w:pPr>
      <w:r>
        <w:rPr>
          <w:sz w:val="21"/>
          <w:szCs w:val="21"/>
        </w:rPr>
        <w:t xml:space="preserve">声明人（公章）：</w:t>
      </w:r>
      <w:r/>
    </w:p>
    <w:p>
      <w:pPr>
        <w:ind w:left="5500"/>
        <w:spacing w:line="360" w:lineRule="auto"/>
        <w:tabs>
          <w:tab w:val="left" w:pos="5894" w:leader="none"/>
        </w:tabs>
        <w:rPr>
          <w:sz w:val="21"/>
          <w:szCs w:val="21"/>
        </w:rPr>
      </w:pPr>
      <w:r>
        <w:rPr>
          <w:sz w:val="21"/>
          <w:szCs w:val="21"/>
        </w:rPr>
        <w:t xml:space="preserve">日期：年月日</w:t>
      </w:r>
      <w:r/>
    </w:p>
    <w:p>
      <w:pPr>
        <w:spacing w:line="360" w:lineRule="auto"/>
      </w:pPr>
      <w:r/>
      <w:r/>
    </w:p>
    <w:p>
      <w:pPr>
        <w:spacing w:line="360" w:lineRule="auto"/>
        <w:rPr>
          <w:b/>
          <w:sz w:val="21"/>
        </w:rPr>
      </w:pPr>
      <w:r>
        <w:rPr>
          <w:b/>
          <w:sz w:val="21"/>
        </w:rPr>
        <w:t xml:space="preserve">附件</w:t>
      </w:r>
      <w:r>
        <w:rPr>
          <w:rFonts w:hint="eastAsia"/>
          <w:b/>
          <w:sz w:val="21"/>
        </w:rPr>
        <w:t xml:space="preserve">三</w:t>
      </w:r>
      <w:r>
        <w:rPr>
          <w:b/>
          <w:sz w:val="21"/>
        </w:rPr>
        <w:t xml:space="preserve">、具备履行合同所必需的设备和专业技术能力的声明格式及证明材料</w:t>
      </w:r>
      <w:r/>
    </w:p>
    <w:p>
      <w:pPr>
        <w:jc w:val="center"/>
        <w:spacing w:line="360" w:lineRule="auto"/>
        <w:rPr>
          <w:b/>
          <w:bCs/>
          <w:sz w:val="36"/>
        </w:rPr>
      </w:pPr>
      <w:r>
        <w:rPr>
          <w:b/>
          <w:bCs/>
          <w:sz w:val="36"/>
        </w:rPr>
        <w:t xml:space="preserve">具备履行合同所必需的设备和专业技术能力的声明</w:t>
      </w:r>
      <w:r/>
    </w:p>
    <w:p>
      <w:pPr>
        <w:ind w:left="223"/>
        <w:spacing w:line="360" w:lineRule="auto"/>
        <w:rPr>
          <w:sz w:val="21"/>
          <w:szCs w:val="21"/>
        </w:rPr>
      </w:pPr>
      <w:r>
        <w:rPr>
          <w:rFonts w:hint="eastAsia"/>
          <w:sz w:val="21"/>
          <w:szCs w:val="21"/>
        </w:rPr>
        <w:t xml:space="preserve">江苏开放大学</w:t>
      </w:r>
      <w:r>
        <w:rPr>
          <w:sz w:val="21"/>
          <w:szCs w:val="21"/>
        </w:rPr>
        <w:t xml:space="preserve">：</w:t>
      </w:r>
      <w:r/>
    </w:p>
    <w:p>
      <w:pPr>
        <w:ind w:left="223" w:right="315" w:firstLine="492"/>
        <w:spacing w:line="360" w:lineRule="auto"/>
        <w:rPr>
          <w:sz w:val="21"/>
          <w:szCs w:val="21"/>
        </w:rPr>
      </w:pPr>
      <w:r>
        <w:rPr>
          <w:sz w:val="21"/>
          <w:szCs w:val="21"/>
        </w:rPr>
        <w:t xml:space="preserve">我单位（供应商名称）郑重声明：</w:t>
      </w:r>
      <w:r/>
    </w:p>
    <w:p>
      <w:pPr>
        <w:ind w:left="223" w:right="315" w:firstLine="492"/>
        <w:spacing w:line="360" w:lineRule="auto"/>
        <w:rPr>
          <w:sz w:val="21"/>
          <w:szCs w:val="21"/>
        </w:rPr>
      </w:pPr>
      <w:r>
        <w:rPr>
          <w:sz w:val="21"/>
          <w:szCs w:val="21"/>
        </w:rPr>
        <w:t xml:space="preserve">我公司具备履行本项采购合同所必需的设备和专业技术能力，为履行本项采购合同我单位具备如下主要设备和主要专业技术能力：</w:t>
      </w:r>
      <w:r/>
    </w:p>
    <w:p>
      <w:pPr>
        <w:ind w:left="715"/>
        <w:spacing w:line="360" w:lineRule="auto"/>
        <w:rPr>
          <w:sz w:val="21"/>
          <w:szCs w:val="21"/>
        </w:rPr>
      </w:pPr>
      <w:r>
        <w:rPr>
          <w:sz w:val="21"/>
          <w:szCs w:val="21"/>
        </w:rPr>
        <w:t xml:space="preserve">主要设备有：。(若有)</w:t>
      </w:r>
      <w:r/>
    </w:p>
    <w:p>
      <w:pPr>
        <w:ind w:left="715"/>
        <w:spacing w:line="360" w:lineRule="auto"/>
        <w:rPr>
          <w:sz w:val="21"/>
          <w:szCs w:val="21"/>
        </w:rPr>
      </w:pPr>
      <w:r>
        <w:rPr>
          <w:sz w:val="21"/>
          <w:szCs w:val="21"/>
        </w:rPr>
        <w:t xml:space="preserve">主要专业技术能力有：。(若有)</w:t>
      </w:r>
      <w:r/>
    </w:p>
    <w:p>
      <w:pPr>
        <w:spacing w:line="360" w:lineRule="auto"/>
        <w:rPr>
          <w:sz w:val="20"/>
          <w:szCs w:val="21"/>
        </w:rPr>
      </w:pPr>
      <w:r>
        <w:rPr>
          <w:sz w:val="20"/>
          <w:szCs w:val="21"/>
        </w:rPr>
      </w:r>
      <w:r/>
    </w:p>
    <w:p>
      <w:pPr>
        <w:spacing w:line="360" w:lineRule="auto"/>
        <w:rPr>
          <w:sz w:val="20"/>
          <w:szCs w:val="21"/>
        </w:rPr>
      </w:pPr>
      <w:r>
        <w:rPr>
          <w:sz w:val="20"/>
          <w:szCs w:val="21"/>
        </w:rPr>
      </w:r>
      <w:r/>
    </w:p>
    <w:p>
      <w:pPr>
        <w:spacing w:line="360" w:lineRule="auto"/>
        <w:rPr>
          <w:sz w:val="20"/>
          <w:szCs w:val="21"/>
        </w:rPr>
      </w:pPr>
      <w:r>
        <w:rPr>
          <w:sz w:val="20"/>
          <w:szCs w:val="21"/>
        </w:rPr>
      </w:r>
      <w:r/>
    </w:p>
    <w:p>
      <w:pPr>
        <w:spacing w:line="360" w:lineRule="auto"/>
        <w:rPr>
          <w:sz w:val="20"/>
          <w:szCs w:val="21"/>
        </w:rPr>
      </w:pPr>
      <w:r>
        <w:rPr>
          <w:sz w:val="20"/>
          <w:szCs w:val="21"/>
        </w:rPr>
      </w:r>
      <w:r/>
    </w:p>
    <w:p>
      <w:pPr>
        <w:ind w:left="5500"/>
        <w:spacing w:line="360" w:lineRule="auto"/>
        <w:rPr>
          <w:sz w:val="21"/>
          <w:szCs w:val="21"/>
        </w:rPr>
      </w:pPr>
      <w:r>
        <w:rPr>
          <w:sz w:val="21"/>
          <w:szCs w:val="21"/>
        </w:rPr>
        <w:t xml:space="preserve">声明人（公章）：</w:t>
      </w:r>
      <w:r/>
    </w:p>
    <w:p>
      <w:pPr>
        <w:ind w:left="5500"/>
        <w:spacing w:line="360" w:lineRule="auto"/>
        <w:rPr>
          <w:sz w:val="21"/>
          <w:szCs w:val="21"/>
        </w:rPr>
      </w:pPr>
      <w:r>
        <w:rPr>
          <w:sz w:val="21"/>
          <w:szCs w:val="21"/>
        </w:rPr>
        <w:t xml:space="preserve">日期：年月日</w:t>
      </w:r>
      <w:r/>
    </w:p>
    <w:p>
      <w:pPr>
        <w:spacing w:line="360" w:lineRule="auto"/>
        <w:rPr>
          <w:sz w:val="20"/>
          <w:szCs w:val="21"/>
        </w:rPr>
      </w:pPr>
      <w:r>
        <w:rPr>
          <w:sz w:val="20"/>
          <w:szCs w:val="21"/>
        </w:rPr>
      </w:r>
      <w:r/>
    </w:p>
    <w:p>
      <w:pPr>
        <w:rPr>
          <w:b/>
          <w:sz w:val="21"/>
        </w:rPr>
      </w:pPr>
      <w:r>
        <w:rPr>
          <w:b/>
          <w:sz w:val="21"/>
        </w:rPr>
        <w:br w:type="page" w:clear="all"/>
      </w:r>
      <w:r/>
    </w:p>
    <w:p>
      <w:pPr>
        <w:ind w:right="330"/>
        <w:spacing w:line="360" w:lineRule="auto"/>
        <w:tabs>
          <w:tab w:val="left" w:pos="5940" w:leader="none"/>
        </w:tabs>
        <w:rPr>
          <w:b/>
          <w:sz w:val="21"/>
        </w:rPr>
      </w:pPr>
      <w:r>
        <w:rPr>
          <w:b/>
          <w:sz w:val="21"/>
        </w:rPr>
        <w:t xml:space="preserve">附件</w:t>
      </w:r>
      <w:r>
        <w:rPr>
          <w:rFonts w:hint="eastAsia"/>
          <w:b/>
          <w:sz w:val="21"/>
        </w:rPr>
        <w:t xml:space="preserve">四</w:t>
      </w:r>
      <w:r>
        <w:rPr>
          <w:b/>
          <w:sz w:val="21"/>
        </w:rPr>
        <w:t xml:space="preserve">、残疾人福利性单位声明函格式</w:t>
      </w:r>
      <w:r/>
    </w:p>
    <w:p>
      <w:pPr>
        <w:spacing w:line="360" w:lineRule="auto"/>
        <w:rPr>
          <w:b/>
          <w:sz w:val="20"/>
          <w:szCs w:val="21"/>
        </w:rPr>
      </w:pPr>
      <w:r>
        <w:rPr>
          <w:b/>
          <w:sz w:val="20"/>
          <w:szCs w:val="21"/>
        </w:rPr>
      </w:r>
      <w:r/>
    </w:p>
    <w:p>
      <w:pPr>
        <w:jc w:val="center"/>
        <w:spacing w:line="360" w:lineRule="auto"/>
        <w:rPr>
          <w:b/>
          <w:sz w:val="24"/>
        </w:rPr>
      </w:pPr>
      <w:r/>
      <w:bookmarkStart w:id="29" w:name="残疾人福利性单位声明函"/>
      <w:r/>
      <w:bookmarkEnd w:id="29"/>
      <w:r>
        <w:rPr>
          <w:b/>
          <w:sz w:val="24"/>
        </w:rPr>
        <w:t xml:space="preserve">残疾人福利性单位声明函</w:t>
      </w:r>
      <w:r/>
    </w:p>
    <w:p>
      <w:pPr>
        <w:spacing w:line="360" w:lineRule="auto"/>
        <w:rPr>
          <w:b/>
          <w:sz w:val="24"/>
          <w:szCs w:val="21"/>
        </w:rPr>
      </w:pPr>
      <w:r>
        <w:rPr>
          <w:b/>
          <w:sz w:val="24"/>
          <w:szCs w:val="21"/>
        </w:rPr>
      </w:r>
      <w:r/>
    </w:p>
    <w:p>
      <w:pPr>
        <w:spacing w:line="360" w:lineRule="auto"/>
        <w:rPr>
          <w:b/>
          <w:szCs w:val="21"/>
        </w:rPr>
      </w:pPr>
      <w:r>
        <w:rPr>
          <w:b/>
          <w:szCs w:val="21"/>
        </w:rPr>
      </w:r>
      <w:r/>
    </w:p>
    <w:p>
      <w:pPr>
        <w:ind w:firstLine="420"/>
        <w:spacing w:line="360" w:lineRule="auto"/>
        <w:rPr>
          <w:sz w:val="21"/>
          <w:szCs w:val="21"/>
        </w:rPr>
      </w:pPr>
      <w:r>
        <w:rPr>
          <w:sz w:val="21"/>
          <w:szCs w:val="21"/>
        </w:rPr>
        <w:t xml:space="preserve">本单位郑重声明，根据《财政部民政部中国残疾人联合会关于促进残疾人就业政府采购政策的通  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sz w:val="21"/>
          <w:szCs w:val="21"/>
        </w:rPr>
      </w:pPr>
      <w:r>
        <w:rPr>
          <w:sz w:val="21"/>
          <w:szCs w:val="21"/>
        </w:rPr>
        <w:t xml:space="preserve">本单位对上述声明的真实性负责。如有虚假，将依法承担相应责任。</w:t>
      </w:r>
      <w:r/>
    </w:p>
    <w:p>
      <w:pPr>
        <w:ind w:left="223" w:right="315" w:firstLine="492"/>
        <w:spacing w:line="360" w:lineRule="auto"/>
        <w:rPr>
          <w:sz w:val="21"/>
          <w:szCs w:val="21"/>
        </w:rPr>
      </w:pPr>
      <w:r>
        <w:rPr>
          <w:sz w:val="21"/>
          <w:szCs w:val="21"/>
        </w:rPr>
      </w:r>
      <w:r/>
    </w:p>
    <w:p>
      <w:pPr>
        <w:ind w:left="223" w:right="315" w:firstLine="492"/>
        <w:spacing w:line="360" w:lineRule="auto"/>
        <w:rPr>
          <w:sz w:val="21"/>
          <w:szCs w:val="21"/>
        </w:rPr>
      </w:pPr>
      <w:r>
        <w:rPr>
          <w:sz w:val="21"/>
          <w:szCs w:val="21"/>
        </w:rPr>
      </w:r>
      <w:r/>
    </w:p>
    <w:p>
      <w:pPr>
        <w:ind w:left="5500"/>
        <w:spacing w:line="360" w:lineRule="auto"/>
        <w:rPr>
          <w:sz w:val="21"/>
          <w:szCs w:val="21"/>
        </w:rPr>
      </w:pPr>
      <w:r>
        <w:rPr>
          <w:sz w:val="21"/>
          <w:szCs w:val="21"/>
        </w:rPr>
        <w:t xml:space="preserve">单位名称（盖章）：</w:t>
      </w:r>
      <w:r/>
    </w:p>
    <w:p>
      <w:pPr>
        <w:ind w:left="5500"/>
        <w:spacing w:line="360" w:lineRule="auto"/>
        <w:rPr>
          <w:sz w:val="21"/>
          <w:szCs w:val="21"/>
        </w:rPr>
      </w:pPr>
      <w:r>
        <w:rPr>
          <w:sz w:val="21"/>
          <w:szCs w:val="21"/>
        </w:rPr>
        <w:t xml:space="preserve">日期：年月</w:t>
      </w:r>
      <w:bookmarkStart w:id="30" w:name="附件五、属于监狱企业的证明文件"/>
      <w:r/>
      <w:bookmarkEnd w:id="30"/>
      <w:r/>
      <w:r/>
    </w:p>
    <w:p>
      <w:pPr>
        <w:ind w:right="550"/>
        <w:jc w:val="both"/>
        <w:spacing w:line="360" w:lineRule="auto"/>
        <w:rPr>
          <w:b/>
          <w:sz w:val="21"/>
        </w:rPr>
      </w:pPr>
      <w:r>
        <w:rPr>
          <w:b/>
          <w:sz w:val="21"/>
        </w:rPr>
      </w:r>
      <w:r/>
    </w:p>
    <w:p>
      <w:pPr>
        <w:ind w:right="550"/>
        <w:jc w:val="both"/>
        <w:spacing w:line="360" w:lineRule="auto"/>
        <w:rPr>
          <w:b/>
          <w:sz w:val="21"/>
        </w:rPr>
      </w:pPr>
      <w:r>
        <w:rPr>
          <w:b/>
          <w:sz w:val="21"/>
        </w:rPr>
        <w:t xml:space="preserve">附件</w:t>
      </w:r>
      <w:r>
        <w:rPr>
          <w:rFonts w:hint="eastAsia"/>
          <w:b/>
          <w:sz w:val="21"/>
        </w:rPr>
        <w:t xml:space="preserve">五</w:t>
      </w:r>
      <w:r>
        <w:rPr>
          <w:b/>
          <w:sz w:val="21"/>
        </w:rPr>
        <w:t xml:space="preserve">、属于监狱企业的证明文件</w:t>
      </w:r>
      <w:r/>
    </w:p>
    <w:p>
      <w:pPr>
        <w:spacing w:line="360" w:lineRule="auto"/>
        <w:rPr>
          <w:b/>
          <w:sz w:val="20"/>
          <w:szCs w:val="21"/>
        </w:rPr>
      </w:pPr>
      <w:r>
        <w:rPr>
          <w:b/>
          <w:sz w:val="20"/>
          <w:szCs w:val="21"/>
        </w:rPr>
      </w:r>
      <w:r/>
    </w:p>
    <w:p>
      <w:pPr>
        <w:spacing w:line="360" w:lineRule="auto"/>
        <w:rPr>
          <w:rFonts w:ascii="黑体" w:eastAsia="黑体"/>
          <w:sz w:val="36"/>
        </w:rPr>
      </w:pPr>
      <w:r>
        <w:rPr>
          <w:sz w:val="21"/>
          <w:szCs w:val="21"/>
        </w:rPr>
        <w:t xml:space="preserve">提供由省级以上监狱管理局、戒毒管理局(含新疆生产建设兵团)出具的属于监狱企业的证明文件。</w:t>
      </w:r>
      <w:r/>
    </w:p>
    <w:p>
      <w:pPr>
        <w:spacing w:line="360" w:lineRule="auto"/>
        <w:rPr>
          <w:rFonts w:ascii="黑体" w:eastAsia="黑体"/>
          <w:sz w:val="36"/>
        </w:rPr>
      </w:pPr>
      <w:r>
        <w:rPr>
          <w:rFonts w:ascii="黑体" w:eastAsia="黑体"/>
          <w:sz w:val="36"/>
        </w:rPr>
      </w:r>
      <w:r/>
    </w:p>
    <w:sectPr>
      <w:footnotePr/>
      <w:endnotePr/>
      <w:type w:val="nextPage"/>
      <w:pgSz w:w="11910" w:h="16840" w:orient="portrait"/>
      <w:pgMar w:top="1134" w:right="1134" w:bottom="1134" w:left="1134" w:header="567"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微软雅黑">
    <w:panose1 w:val="020B0503020204020204"/>
  </w:font>
  <w:font w:name="Calibri">
    <w:panose1 w:val="020F0502020204030204"/>
  </w:font>
  <w:font w:name="仿宋_GB2312">
    <w:panose1 w:val="02010609060101010101"/>
  </w:font>
  <w:font w:name="黑体">
    <w:panose1 w:val="02010609060101010101"/>
  </w:font>
  <w:font w:name="方正仿宋简体">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7885" cy="14795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15</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42</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15</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42</w:t>
                    </w:r>
                    <w:r>
                      <w:rPr>
                        <w:sz w:val="18"/>
                        <w:szCs w:val="18"/>
                      </w:rPr>
                      <w:fldChar w:fldCharType="end"/>
                    </w:r>
                    <w:r>
                      <w:rPr>
                        <w:rFonts w:hint="eastAsia"/>
                        <w:sz w:val="18"/>
                        <w:szCs w:val="18"/>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cs="Times New Roman"/>
        <w:sz w:val="18"/>
        <w:lang w:val="en-US" w:bidi="ar-SA"/>
      </w:rPr>
    </w:pPr>
    <w:r>
      <w:rPr>
        <w:sz w:val="18"/>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rPr>
                            <w:t xml:space="preserve">40</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42</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rPr>
                      <w:t xml:space="preserve">40</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42</w:t>
                    </w:r>
                    <w:r>
                      <w:rPr>
                        <w:sz w:val="18"/>
                        <w:szCs w:val="18"/>
                      </w:rPr>
                      <w:fldChar w:fldCharType="end"/>
                    </w:r>
                    <w:r>
                      <w:rPr>
                        <w:rFonts w:hint="eastAsia"/>
                        <w:sz w:val="18"/>
                        <w:szCs w:val="18"/>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rPr>
        <w:rFonts w:ascii="Times New Roman" w:hAnsi="Times New Roman" w:cs="Times New Roman"/>
        <w:sz w:val="21"/>
        <w:szCs w:val="20"/>
        <w:lang w:val="en-US" w:bidi="ar-SA"/>
      </w:rPr>
      <w:pBdr>
        <w:bottom w:val="single" w:color="auto" w:sz="4" w:space="0"/>
      </w:pBdr>
    </w:pPr>
    <w:r>
      <w:rPr>
        <w:rFonts w:ascii="Times New Roman" w:hAnsi="Times New Roman" w:cs="Times New Roman"/>
        <w:sz w:val="21"/>
        <w:szCs w:val="20"/>
        <w:lang w:val="en-US" w:bidi="ar-SA"/>
      </w:rPr>
      <mc:AlternateContent>
        <mc:Choice Requires="wpg">
          <w:drawing>
            <wp:inline xmlns:wp="http://schemas.openxmlformats.org/drawingml/2006/wordprocessingDrawing" distT="0" distB="0" distL="0" distR="0">
              <wp:extent cx="1377315" cy="238760"/>
              <wp:effectExtent l="0" t="0" r="13335" b="8890"/>
              <wp:docPr id="1" name="图片 2"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826bae80687e3a7b3b8bc243736336"/>
                      <pic:cNvPicPr>
                        <a:picLocks noChangeAspect="1"/>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cs="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2"/>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1">
    <w:multiLevelType w:val="hybridMultilevel"/>
    <w:lvl w:ilvl="0">
      <w:start w:val="20"/>
      <w:numFmt w:val="decimal"/>
      <w:isLgl w:val="false"/>
      <w:suff w:val="tab"/>
      <w:lvlText w:val="%1"/>
      <w:lvlJc w:val="left"/>
      <w:pPr>
        <w:ind w:left="1166" w:hanging="528"/>
      </w:pPr>
      <w:rPr>
        <w:rFonts w:hint="default"/>
        <w:lang w:val="zh-CN" w:eastAsia="zh-CN" w:bidi="zh-CN"/>
      </w:rPr>
    </w:lvl>
    <w:lvl w:ilvl="1">
      <w:start w:val="3"/>
      <w:numFmt w:val="decimal"/>
      <w:isLgl w:val="false"/>
      <w:suff w:val="space"/>
      <w:lvlText w:val="%1.%2"/>
      <w:lvlJc w:val="left"/>
      <w:pPr>
        <w:ind w:left="0" w:firstLine="0"/>
      </w:pPr>
      <w:rPr>
        <w:rFonts w:hint="default" w:ascii="宋体" w:hAnsi="宋体" w:eastAsia="宋体" w:cs="宋体"/>
        <w:b/>
        <w:bCs/>
        <w:spacing w:val="0"/>
        <w:sz w:val="21"/>
        <w:szCs w:val="21"/>
        <w:lang w:val="zh-CN" w:eastAsia="zh-CN" w:bidi="zh-CN"/>
      </w:rPr>
    </w:lvl>
    <w:lvl w:ilvl="2">
      <w:start w:val="1"/>
      <w:numFmt w:val="decimal"/>
      <w:isLgl w:val="false"/>
      <w:suff w:val="space"/>
      <w:lvlText w:val="%1.%2.%3"/>
      <w:lvlJc w:val="left"/>
      <w:pPr>
        <w:ind w:left="0" w:firstLine="0"/>
      </w:pPr>
      <w:rPr>
        <w:rFonts w:hint="default"/>
        <w:b w:val="0"/>
        <w:bCs w:val="0"/>
        <w:spacing w:val="0"/>
        <w:lang w:val="zh-CN" w:eastAsia="zh-CN" w:bidi="zh-CN"/>
      </w:rPr>
    </w:lvl>
    <w:lvl w:ilvl="3">
      <w:start w:val="0"/>
      <w:numFmt w:val="bullet"/>
      <w:isLgl w:val="false"/>
      <w:suff w:val="tab"/>
      <w:lvlText w:val="•"/>
      <w:lvlJc w:val="left"/>
      <w:pPr>
        <w:ind w:left="3097" w:hanging="742"/>
      </w:pPr>
      <w:rPr>
        <w:rFonts w:hint="default"/>
        <w:lang w:val="zh-CN" w:eastAsia="zh-CN" w:bidi="zh-CN"/>
      </w:rPr>
    </w:lvl>
    <w:lvl w:ilvl="4">
      <w:start w:val="0"/>
      <w:numFmt w:val="bullet"/>
      <w:isLgl w:val="false"/>
      <w:suff w:val="tab"/>
      <w:lvlText w:val="•"/>
      <w:lvlJc w:val="left"/>
      <w:pPr>
        <w:ind w:left="4066" w:hanging="742"/>
      </w:pPr>
      <w:rPr>
        <w:rFonts w:hint="default"/>
        <w:lang w:val="zh-CN" w:eastAsia="zh-CN" w:bidi="zh-CN"/>
      </w:rPr>
    </w:lvl>
    <w:lvl w:ilvl="5">
      <w:start w:val="0"/>
      <w:numFmt w:val="bullet"/>
      <w:isLgl w:val="false"/>
      <w:suff w:val="tab"/>
      <w:lvlText w:val="•"/>
      <w:lvlJc w:val="left"/>
      <w:pPr>
        <w:ind w:left="5035" w:hanging="742"/>
      </w:pPr>
      <w:rPr>
        <w:rFonts w:hint="default"/>
        <w:lang w:val="zh-CN" w:eastAsia="zh-CN" w:bidi="zh-CN"/>
      </w:rPr>
    </w:lvl>
    <w:lvl w:ilvl="6">
      <w:start w:val="0"/>
      <w:numFmt w:val="bullet"/>
      <w:isLgl w:val="false"/>
      <w:suff w:val="tab"/>
      <w:lvlText w:val="•"/>
      <w:lvlJc w:val="left"/>
      <w:pPr>
        <w:ind w:left="6004" w:hanging="742"/>
      </w:pPr>
      <w:rPr>
        <w:rFonts w:hint="default"/>
        <w:lang w:val="zh-CN" w:eastAsia="zh-CN" w:bidi="zh-CN"/>
      </w:rPr>
    </w:lvl>
    <w:lvl w:ilvl="7">
      <w:start w:val="0"/>
      <w:numFmt w:val="bullet"/>
      <w:isLgl w:val="false"/>
      <w:suff w:val="tab"/>
      <w:lvlText w:val="•"/>
      <w:lvlJc w:val="left"/>
      <w:pPr>
        <w:ind w:left="6973" w:hanging="742"/>
      </w:pPr>
      <w:rPr>
        <w:rFonts w:hint="default"/>
        <w:lang w:val="zh-CN" w:eastAsia="zh-CN" w:bidi="zh-CN"/>
      </w:rPr>
    </w:lvl>
    <w:lvl w:ilvl="8">
      <w:start w:val="0"/>
      <w:numFmt w:val="bullet"/>
      <w:isLgl w:val="false"/>
      <w:suff w:val="tab"/>
      <w:lvlText w:val="•"/>
      <w:lvlJc w:val="left"/>
      <w:pPr>
        <w:ind w:left="7942" w:hanging="742"/>
      </w:pPr>
      <w:rPr>
        <w:rFonts w:hint="default"/>
        <w:lang w:val="zh-CN" w:eastAsia="zh-CN" w:bidi="zh-CN"/>
      </w:rPr>
    </w:lvl>
  </w:abstractNum>
  <w:abstractNum w:abstractNumId="2">
    <w:multiLevelType w:val="hybridMultilevel"/>
    <w:lvl w:ilvl="0">
      <w:start w:val="24"/>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3">
    <w:multiLevelType w:val="hybridMultilevel"/>
    <w:lvl w:ilvl="0">
      <w:start w:val="20"/>
      <w:numFmt w:val="decimal"/>
      <w:isLgl w:val="false"/>
      <w:suff w:val="tab"/>
      <w:lvlText w:val="%1"/>
      <w:lvlJc w:val="left"/>
      <w:pPr>
        <w:ind w:left="218" w:hanging="946"/>
      </w:pPr>
      <w:rPr>
        <w:rFonts w:hint="default"/>
        <w:lang w:val="zh-CN" w:eastAsia="zh-CN" w:bidi="zh-CN"/>
      </w:rPr>
    </w:lvl>
    <w:lvl w:ilvl="1">
      <w:start w:val="2"/>
      <w:numFmt w:val="decimal"/>
      <w:isLgl w:val="false"/>
      <w:suff w:val="tab"/>
      <w:lvlText w:val="%1.%2"/>
      <w:lvlJc w:val="left"/>
      <w:pPr>
        <w:ind w:left="218" w:hanging="946"/>
      </w:pPr>
      <w:rPr>
        <w:rFonts w:hint="default"/>
        <w:lang w:val="zh-CN" w:eastAsia="zh-CN" w:bidi="zh-CN"/>
      </w:rPr>
    </w:lvl>
    <w:lvl w:ilvl="2">
      <w:start w:val="2"/>
      <w:numFmt w:val="decimal"/>
      <w:isLgl w:val="false"/>
      <w:suff w:val="tab"/>
      <w:lvlText w:val="%1.%2.%3"/>
      <w:lvlJc w:val="left"/>
      <w:pPr>
        <w:ind w:left="218" w:hanging="946"/>
      </w:pPr>
      <w:rPr>
        <w:rFonts w:hint="default"/>
        <w:lang w:val="zh-CN" w:eastAsia="zh-CN" w:bidi="zh-CN"/>
      </w:rPr>
    </w:lvl>
    <w:lvl w:ilvl="3">
      <w:start w:val="4"/>
      <w:numFmt w:val="decimal"/>
      <w:isLgl w:val="false"/>
      <w:suff w:val="space"/>
      <w:lvlText w:val="%1.%2.%3.%4"/>
      <w:lvlJc w:val="left"/>
      <w:pPr>
        <w:ind w:left="0" w:firstLine="0"/>
      </w:pPr>
      <w:rPr>
        <w:rFonts w:hint="default" w:ascii="宋体" w:hAnsi="宋体" w:eastAsia="宋体" w:cs="宋体"/>
        <w:spacing w:val="0"/>
        <w:sz w:val="21"/>
        <w:szCs w:val="21"/>
        <w:lang w:val="zh-CN" w:eastAsia="zh-CN" w:bidi="zh-CN"/>
      </w:rPr>
    </w:lvl>
    <w:lvl w:ilvl="4">
      <w:start w:val="0"/>
      <w:numFmt w:val="bullet"/>
      <w:isLgl w:val="false"/>
      <w:suff w:val="tab"/>
      <w:lvlText w:val="•"/>
      <w:lvlJc w:val="left"/>
      <w:pPr>
        <w:ind w:left="4084" w:hanging="946"/>
      </w:pPr>
      <w:rPr>
        <w:rFonts w:hint="default"/>
        <w:lang w:val="zh-CN" w:eastAsia="zh-CN" w:bidi="zh-CN"/>
      </w:rPr>
    </w:lvl>
    <w:lvl w:ilvl="5">
      <w:start w:val="0"/>
      <w:numFmt w:val="bullet"/>
      <w:isLgl w:val="false"/>
      <w:suff w:val="tab"/>
      <w:lvlText w:val="•"/>
      <w:lvlJc w:val="left"/>
      <w:pPr>
        <w:ind w:left="5050" w:hanging="946"/>
      </w:pPr>
      <w:rPr>
        <w:rFonts w:hint="default"/>
        <w:lang w:val="zh-CN" w:eastAsia="zh-CN" w:bidi="zh-CN"/>
      </w:rPr>
    </w:lvl>
    <w:lvl w:ilvl="6">
      <w:start w:val="0"/>
      <w:numFmt w:val="bullet"/>
      <w:isLgl w:val="false"/>
      <w:suff w:val="tab"/>
      <w:lvlText w:val="•"/>
      <w:lvlJc w:val="left"/>
      <w:pPr>
        <w:ind w:left="6016" w:hanging="946"/>
      </w:pPr>
      <w:rPr>
        <w:rFonts w:hint="default"/>
        <w:lang w:val="zh-CN" w:eastAsia="zh-CN" w:bidi="zh-CN"/>
      </w:rPr>
    </w:lvl>
    <w:lvl w:ilvl="7">
      <w:start w:val="0"/>
      <w:numFmt w:val="bullet"/>
      <w:isLgl w:val="false"/>
      <w:suff w:val="tab"/>
      <w:lvlText w:val="•"/>
      <w:lvlJc w:val="left"/>
      <w:pPr>
        <w:ind w:left="6982" w:hanging="946"/>
      </w:pPr>
      <w:rPr>
        <w:rFonts w:hint="default"/>
        <w:lang w:val="zh-CN" w:eastAsia="zh-CN" w:bidi="zh-CN"/>
      </w:rPr>
    </w:lvl>
    <w:lvl w:ilvl="8">
      <w:start w:val="0"/>
      <w:numFmt w:val="bullet"/>
      <w:isLgl w:val="false"/>
      <w:suff w:val="tab"/>
      <w:lvlText w:val="•"/>
      <w:lvlJc w:val="left"/>
      <w:pPr>
        <w:ind w:left="7948" w:hanging="946"/>
      </w:pPr>
      <w:rPr>
        <w:rFonts w:hint="default"/>
        <w:lang w:val="zh-CN" w:eastAsia="zh-CN" w:bidi="zh-CN"/>
      </w:rPr>
    </w:lvl>
  </w:abstractNum>
  <w:abstractNum w:abstractNumId="4">
    <w:multiLevelType w:val="hybridMultilevel"/>
    <w:lvl w:ilvl="0">
      <w:start w:val="21"/>
      <w:numFmt w:val="decimal"/>
      <w:isLgl w:val="false"/>
      <w:suff w:val="tab"/>
      <w:lvlText w:val="%1"/>
      <w:lvlJc w:val="left"/>
      <w:pPr>
        <w:ind w:left="1164"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0"/>
        <w:sz w:val="21"/>
        <w:szCs w:val="21"/>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5">
    <w:multiLevelType w:val="hybridMultilevel"/>
    <w:lvl w:ilvl="0">
      <w:start w:val="14"/>
      <w:numFmt w:val="decimal"/>
      <w:isLgl w:val="false"/>
      <w:suff w:val="tab"/>
      <w:lvlText w:val="%1"/>
      <w:lvlJc w:val="left"/>
      <w:pPr>
        <w:ind w:left="1164"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6">
    <w:multiLevelType w:val="hybridMultilevel"/>
    <w:lvl w:ilvl="0">
      <w:start w:val="4"/>
      <w:numFmt w:val="decimal"/>
      <w:isLgl w:val="false"/>
      <w:suff w:val="tab"/>
      <w:lvlText w:val="%1"/>
      <w:lvlJc w:val="left"/>
      <w:pPr>
        <w:ind w:left="218" w:hanging="420"/>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420"/>
      </w:pPr>
      <w:rPr>
        <w:rFonts w:hint="default"/>
        <w:lang w:val="zh-CN" w:eastAsia="zh-CN" w:bidi="zh-CN"/>
      </w:rPr>
    </w:lvl>
    <w:lvl w:ilvl="3">
      <w:start w:val="0"/>
      <w:numFmt w:val="bullet"/>
      <w:isLgl w:val="false"/>
      <w:suff w:val="tab"/>
      <w:lvlText w:val="•"/>
      <w:lvlJc w:val="left"/>
      <w:pPr>
        <w:ind w:left="3118" w:hanging="420"/>
      </w:pPr>
      <w:rPr>
        <w:rFonts w:hint="default"/>
        <w:lang w:val="zh-CN" w:eastAsia="zh-CN" w:bidi="zh-CN"/>
      </w:rPr>
    </w:lvl>
    <w:lvl w:ilvl="4">
      <w:start w:val="0"/>
      <w:numFmt w:val="bullet"/>
      <w:isLgl w:val="false"/>
      <w:suff w:val="tab"/>
      <w:lvlText w:val="•"/>
      <w:lvlJc w:val="left"/>
      <w:pPr>
        <w:ind w:left="4084" w:hanging="420"/>
      </w:pPr>
      <w:rPr>
        <w:rFonts w:hint="default"/>
        <w:lang w:val="zh-CN" w:eastAsia="zh-CN" w:bidi="zh-CN"/>
      </w:rPr>
    </w:lvl>
    <w:lvl w:ilvl="5">
      <w:start w:val="0"/>
      <w:numFmt w:val="bullet"/>
      <w:isLgl w:val="false"/>
      <w:suff w:val="tab"/>
      <w:lvlText w:val="•"/>
      <w:lvlJc w:val="left"/>
      <w:pPr>
        <w:ind w:left="5050" w:hanging="420"/>
      </w:pPr>
      <w:rPr>
        <w:rFonts w:hint="default"/>
        <w:lang w:val="zh-CN" w:eastAsia="zh-CN" w:bidi="zh-CN"/>
      </w:rPr>
    </w:lvl>
    <w:lvl w:ilvl="6">
      <w:start w:val="0"/>
      <w:numFmt w:val="bullet"/>
      <w:isLgl w:val="false"/>
      <w:suff w:val="tab"/>
      <w:lvlText w:val="•"/>
      <w:lvlJc w:val="left"/>
      <w:pPr>
        <w:ind w:left="6016" w:hanging="420"/>
      </w:pPr>
      <w:rPr>
        <w:rFonts w:hint="default"/>
        <w:lang w:val="zh-CN" w:eastAsia="zh-CN" w:bidi="zh-CN"/>
      </w:rPr>
    </w:lvl>
    <w:lvl w:ilvl="7">
      <w:start w:val="0"/>
      <w:numFmt w:val="bullet"/>
      <w:isLgl w:val="false"/>
      <w:suff w:val="tab"/>
      <w:lvlText w:val="•"/>
      <w:lvlJc w:val="left"/>
      <w:pPr>
        <w:ind w:left="6982" w:hanging="420"/>
      </w:pPr>
      <w:rPr>
        <w:rFonts w:hint="default"/>
        <w:lang w:val="zh-CN" w:eastAsia="zh-CN" w:bidi="zh-CN"/>
      </w:rPr>
    </w:lvl>
    <w:lvl w:ilvl="8">
      <w:start w:val="0"/>
      <w:numFmt w:val="bullet"/>
      <w:isLgl w:val="false"/>
      <w:suff w:val="tab"/>
      <w:lvlText w:val="•"/>
      <w:lvlJc w:val="left"/>
      <w:pPr>
        <w:ind w:left="7948" w:hanging="420"/>
      </w:pPr>
      <w:rPr>
        <w:rFonts w:hint="default"/>
        <w:lang w:val="zh-CN" w:eastAsia="zh-CN" w:bidi="zh-CN"/>
      </w:rPr>
    </w:lvl>
  </w:abstractNum>
  <w:abstractNum w:abstractNumId="7">
    <w:multiLevelType w:val="hybridMultilevel"/>
    <w:lvl w:ilvl="0">
      <w:start w:val="3"/>
      <w:numFmt w:val="decimal"/>
      <w:isLgl w:val="false"/>
      <w:suff w:val="tab"/>
      <w:lvlText w:val="%1"/>
      <w:lvlJc w:val="left"/>
      <w:pPr>
        <w:ind w:left="218" w:hanging="365"/>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365"/>
      </w:pPr>
      <w:rPr>
        <w:rFonts w:hint="default"/>
        <w:lang w:val="zh-CN" w:eastAsia="zh-CN" w:bidi="zh-CN"/>
      </w:rPr>
    </w:lvl>
    <w:lvl w:ilvl="3">
      <w:start w:val="0"/>
      <w:numFmt w:val="bullet"/>
      <w:isLgl w:val="false"/>
      <w:suff w:val="tab"/>
      <w:lvlText w:val="•"/>
      <w:lvlJc w:val="left"/>
      <w:pPr>
        <w:ind w:left="3118" w:hanging="365"/>
      </w:pPr>
      <w:rPr>
        <w:rFonts w:hint="default"/>
        <w:lang w:val="zh-CN" w:eastAsia="zh-CN" w:bidi="zh-CN"/>
      </w:rPr>
    </w:lvl>
    <w:lvl w:ilvl="4">
      <w:start w:val="0"/>
      <w:numFmt w:val="bullet"/>
      <w:isLgl w:val="false"/>
      <w:suff w:val="tab"/>
      <w:lvlText w:val="•"/>
      <w:lvlJc w:val="left"/>
      <w:pPr>
        <w:ind w:left="4084" w:hanging="365"/>
      </w:pPr>
      <w:rPr>
        <w:rFonts w:hint="default"/>
        <w:lang w:val="zh-CN" w:eastAsia="zh-CN" w:bidi="zh-CN"/>
      </w:rPr>
    </w:lvl>
    <w:lvl w:ilvl="5">
      <w:start w:val="0"/>
      <w:numFmt w:val="bullet"/>
      <w:isLgl w:val="false"/>
      <w:suff w:val="tab"/>
      <w:lvlText w:val="•"/>
      <w:lvlJc w:val="left"/>
      <w:pPr>
        <w:ind w:left="5050" w:hanging="365"/>
      </w:pPr>
      <w:rPr>
        <w:rFonts w:hint="default"/>
        <w:lang w:val="zh-CN" w:eastAsia="zh-CN" w:bidi="zh-CN"/>
      </w:rPr>
    </w:lvl>
    <w:lvl w:ilvl="6">
      <w:start w:val="0"/>
      <w:numFmt w:val="bullet"/>
      <w:isLgl w:val="false"/>
      <w:suff w:val="tab"/>
      <w:lvlText w:val="•"/>
      <w:lvlJc w:val="left"/>
      <w:pPr>
        <w:ind w:left="6016" w:hanging="365"/>
      </w:pPr>
      <w:rPr>
        <w:rFonts w:hint="default"/>
        <w:lang w:val="zh-CN" w:eastAsia="zh-CN" w:bidi="zh-CN"/>
      </w:rPr>
    </w:lvl>
    <w:lvl w:ilvl="7">
      <w:start w:val="0"/>
      <w:numFmt w:val="bullet"/>
      <w:isLgl w:val="false"/>
      <w:suff w:val="tab"/>
      <w:lvlText w:val="•"/>
      <w:lvlJc w:val="left"/>
      <w:pPr>
        <w:ind w:left="6982" w:hanging="365"/>
      </w:pPr>
      <w:rPr>
        <w:rFonts w:hint="default"/>
        <w:lang w:val="zh-CN" w:eastAsia="zh-CN" w:bidi="zh-CN"/>
      </w:rPr>
    </w:lvl>
    <w:lvl w:ilvl="8">
      <w:start w:val="0"/>
      <w:numFmt w:val="bullet"/>
      <w:isLgl w:val="false"/>
      <w:suff w:val="tab"/>
      <w:lvlText w:val="•"/>
      <w:lvlJc w:val="left"/>
      <w:pPr>
        <w:ind w:left="7948" w:hanging="365"/>
      </w:pPr>
      <w:rPr>
        <w:rFonts w:hint="default"/>
        <w:lang w:val="zh-CN" w:eastAsia="zh-CN" w:bidi="zh-CN"/>
      </w:rPr>
    </w:lvl>
  </w:abstractNum>
  <w:abstractNum w:abstractNumId="8">
    <w:multiLevelType w:val="hybridMultilevel"/>
    <w:lvl w:ilvl="0">
      <w:start w:val="5"/>
      <w:numFmt w:val="decimal"/>
      <w:isLgl w:val="false"/>
      <w:suff w:val="tab"/>
      <w:lvlText w:val="%1"/>
      <w:lvlJc w:val="left"/>
      <w:pPr>
        <w:ind w:left="218" w:hanging="317"/>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2"/>
        <w:sz w:val="19"/>
        <w:szCs w:val="19"/>
        <w:lang w:val="zh-CN" w:eastAsia="zh-CN" w:bidi="zh-CN"/>
      </w:rPr>
    </w:lvl>
    <w:lvl w:ilvl="2">
      <w:start w:val="0"/>
      <w:numFmt w:val="bullet"/>
      <w:isLgl w:val="false"/>
      <w:suff w:val="tab"/>
      <w:lvlText w:val="•"/>
      <w:lvlJc w:val="left"/>
      <w:pPr>
        <w:ind w:left="2152" w:hanging="317"/>
      </w:pPr>
      <w:rPr>
        <w:rFonts w:hint="default"/>
        <w:lang w:val="zh-CN" w:eastAsia="zh-CN" w:bidi="zh-CN"/>
      </w:rPr>
    </w:lvl>
    <w:lvl w:ilvl="3">
      <w:start w:val="0"/>
      <w:numFmt w:val="bullet"/>
      <w:isLgl w:val="false"/>
      <w:suff w:val="tab"/>
      <w:lvlText w:val="•"/>
      <w:lvlJc w:val="left"/>
      <w:pPr>
        <w:ind w:left="3118" w:hanging="317"/>
      </w:pPr>
      <w:rPr>
        <w:rFonts w:hint="default"/>
        <w:lang w:val="zh-CN" w:eastAsia="zh-CN" w:bidi="zh-CN"/>
      </w:rPr>
    </w:lvl>
    <w:lvl w:ilvl="4">
      <w:start w:val="0"/>
      <w:numFmt w:val="bullet"/>
      <w:isLgl w:val="false"/>
      <w:suff w:val="tab"/>
      <w:lvlText w:val="•"/>
      <w:lvlJc w:val="left"/>
      <w:pPr>
        <w:ind w:left="4084" w:hanging="317"/>
      </w:pPr>
      <w:rPr>
        <w:rFonts w:hint="default"/>
        <w:lang w:val="zh-CN" w:eastAsia="zh-CN" w:bidi="zh-CN"/>
      </w:rPr>
    </w:lvl>
    <w:lvl w:ilvl="5">
      <w:start w:val="0"/>
      <w:numFmt w:val="bullet"/>
      <w:isLgl w:val="false"/>
      <w:suff w:val="tab"/>
      <w:lvlText w:val="•"/>
      <w:lvlJc w:val="left"/>
      <w:pPr>
        <w:ind w:left="5050" w:hanging="317"/>
      </w:pPr>
      <w:rPr>
        <w:rFonts w:hint="default"/>
        <w:lang w:val="zh-CN" w:eastAsia="zh-CN" w:bidi="zh-CN"/>
      </w:rPr>
    </w:lvl>
    <w:lvl w:ilvl="6">
      <w:start w:val="0"/>
      <w:numFmt w:val="bullet"/>
      <w:isLgl w:val="false"/>
      <w:suff w:val="tab"/>
      <w:lvlText w:val="•"/>
      <w:lvlJc w:val="left"/>
      <w:pPr>
        <w:ind w:left="6016" w:hanging="317"/>
      </w:pPr>
      <w:rPr>
        <w:rFonts w:hint="default"/>
        <w:lang w:val="zh-CN" w:eastAsia="zh-CN" w:bidi="zh-CN"/>
      </w:rPr>
    </w:lvl>
    <w:lvl w:ilvl="7">
      <w:start w:val="0"/>
      <w:numFmt w:val="bullet"/>
      <w:isLgl w:val="false"/>
      <w:suff w:val="tab"/>
      <w:lvlText w:val="•"/>
      <w:lvlJc w:val="left"/>
      <w:pPr>
        <w:ind w:left="6982" w:hanging="317"/>
      </w:pPr>
      <w:rPr>
        <w:rFonts w:hint="default"/>
        <w:lang w:val="zh-CN" w:eastAsia="zh-CN" w:bidi="zh-CN"/>
      </w:rPr>
    </w:lvl>
    <w:lvl w:ilvl="8">
      <w:start w:val="0"/>
      <w:numFmt w:val="bullet"/>
      <w:isLgl w:val="false"/>
      <w:suff w:val="tab"/>
      <w:lvlText w:val="•"/>
      <w:lvlJc w:val="left"/>
      <w:pPr>
        <w:ind w:left="7948" w:hanging="317"/>
      </w:pPr>
      <w:rPr>
        <w:rFonts w:hint="default"/>
        <w:lang w:val="zh-CN" w:eastAsia="zh-CN" w:bidi="zh-CN"/>
      </w:rPr>
    </w:lvl>
  </w:abstractNum>
  <w:abstractNum w:abstractNumId="9">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10">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21"/>
        <w:szCs w:val="21"/>
        <w:lang w:val="zh-CN" w:eastAsia="zh-CN" w:bidi="zh-CN"/>
      </w:rPr>
    </w:lvl>
    <w:lvl w:ilvl="1">
      <w:start w:val="0"/>
      <w:numFmt w:val="bullet"/>
      <w:isLgl w:val="false"/>
      <w:suff w:val="tab"/>
      <w:lvlText w:val="•"/>
      <w:lvlJc w:val="left"/>
      <w:pPr>
        <w:ind w:left="1186" w:hanging="526"/>
      </w:pPr>
      <w:rPr>
        <w:rFonts w:hint="default"/>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11">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21"/>
        <w:szCs w:val="21"/>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12">
    <w:multiLevelType w:val="hybridMultilevel"/>
    <w:lvl w:ilvl="0">
      <w:start w:val="18"/>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13">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14">
    <w:multiLevelType w:val="hybridMultilevel"/>
    <w:lvl w:ilvl="0">
      <w:start w:val="1"/>
      <w:numFmt w:val="decimal"/>
      <w:isLgl w:val="false"/>
      <w:suff w:val="space"/>
      <w:lvlText w:val="（%1）"/>
      <w:lvlJc w:val="left"/>
      <w:pPr>
        <w:ind w:left="0" w:firstLine="0"/>
      </w:pPr>
      <w:rPr>
        <w:rFonts w:hint="default" w:ascii="宋体" w:hAnsi="宋体" w:eastAsia="宋体" w:cs="宋体"/>
        <w:b w:val="0"/>
        <w:bCs w:val="0"/>
        <w:spacing w:val="-1"/>
        <w:sz w:val="19"/>
        <w:szCs w:val="19"/>
        <w:lang w:val="zh-CN" w:eastAsia="zh-CN" w:bidi="zh-CN"/>
      </w:rPr>
    </w:lvl>
    <w:lvl w:ilvl="1">
      <w:start w:val="0"/>
      <w:numFmt w:val="bullet"/>
      <w:isLgl w:val="false"/>
      <w:suff w:val="tab"/>
      <w:lvlText w:val="•"/>
      <w:lvlJc w:val="left"/>
      <w:pPr>
        <w:ind w:left="2032" w:hanging="526"/>
      </w:pPr>
      <w:rPr>
        <w:rFonts w:hint="default"/>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15">
    <w:multiLevelType w:val="hybridMultilevel"/>
    <w:lvl w:ilvl="0">
      <w:start w:val="1"/>
      <w:numFmt w:val="decimal"/>
      <w:isLgl w:val="false"/>
      <w:suff w:val="space"/>
      <w:lvlText w:val="（%1）"/>
      <w:lvlJc w:val="left"/>
      <w:pPr>
        <w:ind w:left="0" w:firstLine="0"/>
      </w:pPr>
      <w:rPr>
        <w:rFonts w:hint="default"/>
        <w:spacing w:val="-1"/>
        <w:lang w:val="zh-CN" w:eastAsia="zh-CN" w:bidi="zh-CN"/>
      </w:rPr>
    </w:lvl>
    <w:lvl w:ilvl="1">
      <w:start w:val="0"/>
      <w:numFmt w:val="bullet"/>
      <w:isLgl w:val="false"/>
      <w:suff w:val="tab"/>
      <w:lvlText w:val="•"/>
      <w:lvlJc w:val="left"/>
      <w:pPr>
        <w:ind w:left="2032" w:hanging="526"/>
      </w:pPr>
      <w:rPr>
        <w:rFonts w:hint="default"/>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16">
    <w:multiLevelType w:val="hybridMultilevel"/>
    <w:lvl w:ilvl="0">
      <w:start w:val="3"/>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17">
    <w:multiLevelType w:val="hybridMultilevel"/>
    <w:lvl w:ilvl="0">
      <w:start w:val="23"/>
      <w:numFmt w:val="decimal"/>
      <w:isLgl w:val="false"/>
      <w:suff w:val="tab"/>
      <w:lvlText w:val="%1"/>
      <w:lvlJc w:val="left"/>
      <w:pPr>
        <w:ind w:left="1164"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18">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21"/>
        <w:szCs w:val="21"/>
        <w:lang w:val="zh-CN" w:eastAsia="zh-CN" w:bidi="zh-CN"/>
      </w:rPr>
    </w:lvl>
    <w:lvl w:ilvl="1">
      <w:start w:val="0"/>
      <w:numFmt w:val="bullet"/>
      <w:isLgl w:val="false"/>
      <w:suff w:val="tab"/>
      <w:lvlText w:val="•"/>
      <w:lvlJc w:val="left"/>
      <w:pPr>
        <w:ind w:left="1942" w:hanging="420"/>
      </w:pPr>
      <w:rPr>
        <w:rFonts w:hint="default"/>
        <w:lang w:val="zh-CN" w:eastAsia="zh-CN" w:bidi="zh-CN"/>
      </w:rPr>
    </w:lvl>
    <w:lvl w:ilvl="2">
      <w:start w:val="0"/>
      <w:numFmt w:val="bullet"/>
      <w:isLgl w:val="false"/>
      <w:suff w:val="tab"/>
      <w:lvlText w:val="•"/>
      <w:lvlJc w:val="left"/>
      <w:pPr>
        <w:ind w:left="2824" w:hanging="420"/>
      </w:pPr>
      <w:rPr>
        <w:rFonts w:hint="default"/>
        <w:lang w:val="zh-CN" w:eastAsia="zh-CN" w:bidi="zh-CN"/>
      </w:rPr>
    </w:lvl>
    <w:lvl w:ilvl="3">
      <w:start w:val="0"/>
      <w:numFmt w:val="bullet"/>
      <w:isLgl w:val="false"/>
      <w:suff w:val="tab"/>
      <w:lvlText w:val="•"/>
      <w:lvlJc w:val="left"/>
      <w:pPr>
        <w:ind w:left="3706" w:hanging="420"/>
      </w:pPr>
      <w:rPr>
        <w:rFonts w:hint="default"/>
        <w:lang w:val="zh-CN" w:eastAsia="zh-CN" w:bidi="zh-CN"/>
      </w:rPr>
    </w:lvl>
    <w:lvl w:ilvl="4">
      <w:start w:val="0"/>
      <w:numFmt w:val="bullet"/>
      <w:isLgl w:val="false"/>
      <w:suff w:val="tab"/>
      <w:lvlText w:val="•"/>
      <w:lvlJc w:val="left"/>
      <w:pPr>
        <w:ind w:left="4588" w:hanging="420"/>
      </w:pPr>
      <w:rPr>
        <w:rFonts w:hint="default"/>
        <w:lang w:val="zh-CN" w:eastAsia="zh-CN" w:bidi="zh-CN"/>
      </w:rPr>
    </w:lvl>
    <w:lvl w:ilvl="5">
      <w:start w:val="0"/>
      <w:numFmt w:val="bullet"/>
      <w:isLgl w:val="false"/>
      <w:suff w:val="tab"/>
      <w:lvlText w:val="•"/>
      <w:lvlJc w:val="left"/>
      <w:pPr>
        <w:ind w:left="5470" w:hanging="420"/>
      </w:pPr>
      <w:rPr>
        <w:rFonts w:hint="default"/>
        <w:lang w:val="zh-CN" w:eastAsia="zh-CN" w:bidi="zh-CN"/>
      </w:rPr>
    </w:lvl>
    <w:lvl w:ilvl="6">
      <w:start w:val="0"/>
      <w:numFmt w:val="bullet"/>
      <w:isLgl w:val="false"/>
      <w:suff w:val="tab"/>
      <w:lvlText w:val="•"/>
      <w:lvlJc w:val="left"/>
      <w:pPr>
        <w:ind w:left="6352" w:hanging="420"/>
      </w:pPr>
      <w:rPr>
        <w:rFonts w:hint="default"/>
        <w:lang w:val="zh-CN" w:eastAsia="zh-CN" w:bidi="zh-CN"/>
      </w:rPr>
    </w:lvl>
    <w:lvl w:ilvl="7">
      <w:start w:val="0"/>
      <w:numFmt w:val="bullet"/>
      <w:isLgl w:val="false"/>
      <w:suff w:val="tab"/>
      <w:lvlText w:val="•"/>
      <w:lvlJc w:val="left"/>
      <w:pPr>
        <w:ind w:left="7234" w:hanging="420"/>
      </w:pPr>
      <w:rPr>
        <w:rFonts w:hint="default"/>
        <w:lang w:val="zh-CN" w:eastAsia="zh-CN" w:bidi="zh-CN"/>
      </w:rPr>
    </w:lvl>
    <w:lvl w:ilvl="8">
      <w:start w:val="0"/>
      <w:numFmt w:val="bullet"/>
      <w:isLgl w:val="false"/>
      <w:suff w:val="tab"/>
      <w:lvlText w:val="•"/>
      <w:lvlJc w:val="left"/>
      <w:pPr>
        <w:ind w:left="8116" w:hanging="420"/>
      </w:pPr>
      <w:rPr>
        <w:rFonts w:hint="default"/>
        <w:lang w:val="zh-CN" w:eastAsia="zh-CN" w:bidi="zh-CN"/>
      </w:rPr>
    </w:lvl>
  </w:abstractNum>
  <w:abstractNum w:abstractNumId="19">
    <w:multiLevelType w:val="hybridMultilevel"/>
    <w:lvl w:ilvl="0">
      <w:start w:val="15"/>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20">
    <w:multiLevelType w:val="hybridMultilevel"/>
    <w:lvl w:ilvl="0">
      <w:start w:val="16"/>
      <w:numFmt w:val="decimal"/>
      <w:isLgl w:val="false"/>
      <w:suff w:val="tab"/>
      <w:lvlText w:val="%1"/>
      <w:lvlJc w:val="left"/>
      <w:pPr>
        <w:ind w:left="1164"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0"/>
        <w:sz w:val="21"/>
        <w:szCs w:val="21"/>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21">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22">
    <w:multiLevelType w:val="hybridMultilevel"/>
    <w:lvl w:ilvl="0">
      <w:start w:val="2"/>
      <w:numFmt w:val="decimal"/>
      <w:isLgl w:val="false"/>
      <w:suff w:val="tab"/>
      <w:lvlText w:val="%1"/>
      <w:lvlJc w:val="left"/>
      <w:pPr>
        <w:ind w:left="1058" w:hanging="420"/>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0"/>
        <w:sz w:val="21"/>
        <w:szCs w:val="21"/>
        <w:lang w:val="zh-CN" w:eastAsia="zh-CN" w:bidi="zh-CN"/>
      </w:rPr>
    </w:lvl>
    <w:lvl w:ilvl="2">
      <w:start w:val="0"/>
      <w:numFmt w:val="bullet"/>
      <w:isLgl w:val="false"/>
      <w:suff w:val="tab"/>
      <w:lvlText w:val="•"/>
      <w:lvlJc w:val="left"/>
      <w:pPr>
        <w:ind w:left="2824" w:hanging="420"/>
      </w:pPr>
      <w:rPr>
        <w:rFonts w:hint="default"/>
        <w:lang w:val="zh-CN" w:eastAsia="zh-CN" w:bidi="zh-CN"/>
      </w:rPr>
    </w:lvl>
    <w:lvl w:ilvl="3">
      <w:start w:val="0"/>
      <w:numFmt w:val="bullet"/>
      <w:isLgl w:val="false"/>
      <w:suff w:val="tab"/>
      <w:lvlText w:val="•"/>
      <w:lvlJc w:val="left"/>
      <w:pPr>
        <w:ind w:left="3706" w:hanging="420"/>
      </w:pPr>
      <w:rPr>
        <w:rFonts w:hint="default"/>
        <w:lang w:val="zh-CN" w:eastAsia="zh-CN" w:bidi="zh-CN"/>
      </w:rPr>
    </w:lvl>
    <w:lvl w:ilvl="4">
      <w:start w:val="0"/>
      <w:numFmt w:val="bullet"/>
      <w:isLgl w:val="false"/>
      <w:suff w:val="tab"/>
      <w:lvlText w:val="•"/>
      <w:lvlJc w:val="left"/>
      <w:pPr>
        <w:ind w:left="4588" w:hanging="420"/>
      </w:pPr>
      <w:rPr>
        <w:rFonts w:hint="default"/>
        <w:lang w:val="zh-CN" w:eastAsia="zh-CN" w:bidi="zh-CN"/>
      </w:rPr>
    </w:lvl>
    <w:lvl w:ilvl="5">
      <w:start w:val="0"/>
      <w:numFmt w:val="bullet"/>
      <w:isLgl w:val="false"/>
      <w:suff w:val="tab"/>
      <w:lvlText w:val="•"/>
      <w:lvlJc w:val="left"/>
      <w:pPr>
        <w:ind w:left="5470" w:hanging="420"/>
      </w:pPr>
      <w:rPr>
        <w:rFonts w:hint="default"/>
        <w:lang w:val="zh-CN" w:eastAsia="zh-CN" w:bidi="zh-CN"/>
      </w:rPr>
    </w:lvl>
    <w:lvl w:ilvl="6">
      <w:start w:val="0"/>
      <w:numFmt w:val="bullet"/>
      <w:isLgl w:val="false"/>
      <w:suff w:val="tab"/>
      <w:lvlText w:val="•"/>
      <w:lvlJc w:val="left"/>
      <w:pPr>
        <w:ind w:left="6352" w:hanging="420"/>
      </w:pPr>
      <w:rPr>
        <w:rFonts w:hint="default"/>
        <w:lang w:val="zh-CN" w:eastAsia="zh-CN" w:bidi="zh-CN"/>
      </w:rPr>
    </w:lvl>
    <w:lvl w:ilvl="7">
      <w:start w:val="0"/>
      <w:numFmt w:val="bullet"/>
      <w:isLgl w:val="false"/>
      <w:suff w:val="tab"/>
      <w:lvlText w:val="•"/>
      <w:lvlJc w:val="left"/>
      <w:pPr>
        <w:ind w:left="7234" w:hanging="420"/>
      </w:pPr>
      <w:rPr>
        <w:rFonts w:hint="default"/>
        <w:lang w:val="zh-CN" w:eastAsia="zh-CN" w:bidi="zh-CN"/>
      </w:rPr>
    </w:lvl>
    <w:lvl w:ilvl="8">
      <w:start w:val="0"/>
      <w:numFmt w:val="bullet"/>
      <w:isLgl w:val="false"/>
      <w:suff w:val="tab"/>
      <w:lvlText w:val="•"/>
      <w:lvlJc w:val="left"/>
      <w:pPr>
        <w:ind w:left="8116" w:hanging="420"/>
      </w:pPr>
      <w:rPr>
        <w:rFonts w:hint="default"/>
        <w:lang w:val="zh-CN" w:eastAsia="zh-CN" w:bidi="zh-CN"/>
      </w:rPr>
    </w:lvl>
  </w:abstractNum>
  <w:abstractNum w:abstractNumId="23">
    <w:multiLevelType w:val="hybridMultilevel"/>
    <w:lvl w:ilvl="0">
      <w:start w:val="26"/>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24">
    <w:multiLevelType w:val="hybridMultilevel"/>
    <w:lvl w:ilvl="0">
      <w:start w:val="9"/>
      <w:numFmt w:val="decimal"/>
      <w:isLgl w:val="false"/>
      <w:suff w:val="tab"/>
      <w:lvlText w:val="%1"/>
      <w:lvlJc w:val="left"/>
      <w:pPr>
        <w:ind w:left="218" w:hanging="368"/>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0"/>
        <w:sz w:val="21"/>
        <w:szCs w:val="21"/>
        <w:lang w:val="zh-CN" w:eastAsia="zh-CN" w:bidi="zh-CN"/>
      </w:rPr>
    </w:lvl>
    <w:lvl w:ilvl="2">
      <w:start w:val="0"/>
      <w:numFmt w:val="bullet"/>
      <w:isLgl w:val="false"/>
      <w:suff w:val="tab"/>
      <w:lvlText w:val="•"/>
      <w:lvlJc w:val="left"/>
      <w:pPr>
        <w:ind w:left="2152" w:hanging="368"/>
      </w:pPr>
      <w:rPr>
        <w:rFonts w:hint="default"/>
        <w:lang w:val="zh-CN" w:eastAsia="zh-CN" w:bidi="zh-CN"/>
      </w:rPr>
    </w:lvl>
    <w:lvl w:ilvl="3">
      <w:start w:val="0"/>
      <w:numFmt w:val="bullet"/>
      <w:isLgl w:val="false"/>
      <w:suff w:val="tab"/>
      <w:lvlText w:val="•"/>
      <w:lvlJc w:val="left"/>
      <w:pPr>
        <w:ind w:left="3118" w:hanging="368"/>
      </w:pPr>
      <w:rPr>
        <w:rFonts w:hint="default"/>
        <w:lang w:val="zh-CN" w:eastAsia="zh-CN" w:bidi="zh-CN"/>
      </w:rPr>
    </w:lvl>
    <w:lvl w:ilvl="4">
      <w:start w:val="0"/>
      <w:numFmt w:val="bullet"/>
      <w:isLgl w:val="false"/>
      <w:suff w:val="tab"/>
      <w:lvlText w:val="•"/>
      <w:lvlJc w:val="left"/>
      <w:pPr>
        <w:ind w:left="4084" w:hanging="368"/>
      </w:pPr>
      <w:rPr>
        <w:rFonts w:hint="default"/>
        <w:lang w:val="zh-CN" w:eastAsia="zh-CN" w:bidi="zh-CN"/>
      </w:rPr>
    </w:lvl>
    <w:lvl w:ilvl="5">
      <w:start w:val="0"/>
      <w:numFmt w:val="bullet"/>
      <w:isLgl w:val="false"/>
      <w:suff w:val="tab"/>
      <w:lvlText w:val="•"/>
      <w:lvlJc w:val="left"/>
      <w:pPr>
        <w:ind w:left="5050" w:hanging="368"/>
      </w:pPr>
      <w:rPr>
        <w:rFonts w:hint="default"/>
        <w:lang w:val="zh-CN" w:eastAsia="zh-CN" w:bidi="zh-CN"/>
      </w:rPr>
    </w:lvl>
    <w:lvl w:ilvl="6">
      <w:start w:val="0"/>
      <w:numFmt w:val="bullet"/>
      <w:isLgl w:val="false"/>
      <w:suff w:val="tab"/>
      <w:lvlText w:val="•"/>
      <w:lvlJc w:val="left"/>
      <w:pPr>
        <w:ind w:left="6016" w:hanging="368"/>
      </w:pPr>
      <w:rPr>
        <w:rFonts w:hint="default"/>
        <w:lang w:val="zh-CN" w:eastAsia="zh-CN" w:bidi="zh-CN"/>
      </w:rPr>
    </w:lvl>
    <w:lvl w:ilvl="7">
      <w:start w:val="0"/>
      <w:numFmt w:val="bullet"/>
      <w:isLgl w:val="false"/>
      <w:suff w:val="tab"/>
      <w:lvlText w:val="•"/>
      <w:lvlJc w:val="left"/>
      <w:pPr>
        <w:ind w:left="6982" w:hanging="368"/>
      </w:pPr>
      <w:rPr>
        <w:rFonts w:hint="default"/>
        <w:lang w:val="zh-CN" w:eastAsia="zh-CN" w:bidi="zh-CN"/>
      </w:rPr>
    </w:lvl>
    <w:lvl w:ilvl="8">
      <w:start w:val="0"/>
      <w:numFmt w:val="bullet"/>
      <w:isLgl w:val="false"/>
      <w:suff w:val="tab"/>
      <w:lvlText w:val="•"/>
      <w:lvlJc w:val="left"/>
      <w:pPr>
        <w:ind w:left="7948" w:hanging="368"/>
      </w:pPr>
      <w:rPr>
        <w:rFonts w:hint="default"/>
        <w:lang w:val="zh-CN" w:eastAsia="zh-CN" w:bidi="zh-CN"/>
      </w:rPr>
    </w:lvl>
  </w:abstractNum>
  <w:abstractNum w:abstractNumId="25">
    <w:multiLevelType w:val="hybridMultilevel"/>
    <w:lvl w:ilvl="0">
      <w:start w:val="6"/>
      <w:numFmt w:val="decimal"/>
      <w:isLgl w:val="false"/>
      <w:suff w:val="tab"/>
      <w:lvlText w:val="%1"/>
      <w:lvlJc w:val="left"/>
      <w:pPr>
        <w:ind w:left="218" w:hanging="420"/>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0"/>
        <w:sz w:val="21"/>
        <w:szCs w:val="21"/>
        <w:lang w:val="zh-CN" w:eastAsia="zh-CN" w:bidi="zh-CN"/>
      </w:rPr>
    </w:lvl>
    <w:lvl w:ilvl="2">
      <w:start w:val="0"/>
      <w:numFmt w:val="bullet"/>
      <w:isLgl w:val="false"/>
      <w:suff w:val="tab"/>
      <w:lvlText w:val="•"/>
      <w:lvlJc w:val="left"/>
      <w:pPr>
        <w:ind w:left="2152" w:hanging="420"/>
      </w:pPr>
      <w:rPr>
        <w:rFonts w:hint="default"/>
        <w:lang w:val="zh-CN" w:eastAsia="zh-CN" w:bidi="zh-CN"/>
      </w:rPr>
    </w:lvl>
    <w:lvl w:ilvl="3">
      <w:start w:val="0"/>
      <w:numFmt w:val="bullet"/>
      <w:isLgl w:val="false"/>
      <w:suff w:val="tab"/>
      <w:lvlText w:val="•"/>
      <w:lvlJc w:val="left"/>
      <w:pPr>
        <w:ind w:left="3118" w:hanging="420"/>
      </w:pPr>
      <w:rPr>
        <w:rFonts w:hint="default"/>
        <w:lang w:val="zh-CN" w:eastAsia="zh-CN" w:bidi="zh-CN"/>
      </w:rPr>
    </w:lvl>
    <w:lvl w:ilvl="4">
      <w:start w:val="0"/>
      <w:numFmt w:val="bullet"/>
      <w:isLgl w:val="false"/>
      <w:suff w:val="tab"/>
      <w:lvlText w:val="•"/>
      <w:lvlJc w:val="left"/>
      <w:pPr>
        <w:ind w:left="4084" w:hanging="420"/>
      </w:pPr>
      <w:rPr>
        <w:rFonts w:hint="default"/>
        <w:lang w:val="zh-CN" w:eastAsia="zh-CN" w:bidi="zh-CN"/>
      </w:rPr>
    </w:lvl>
    <w:lvl w:ilvl="5">
      <w:start w:val="0"/>
      <w:numFmt w:val="bullet"/>
      <w:isLgl w:val="false"/>
      <w:suff w:val="tab"/>
      <w:lvlText w:val="•"/>
      <w:lvlJc w:val="left"/>
      <w:pPr>
        <w:ind w:left="5050" w:hanging="420"/>
      </w:pPr>
      <w:rPr>
        <w:rFonts w:hint="default"/>
        <w:lang w:val="zh-CN" w:eastAsia="zh-CN" w:bidi="zh-CN"/>
      </w:rPr>
    </w:lvl>
    <w:lvl w:ilvl="6">
      <w:start w:val="0"/>
      <w:numFmt w:val="bullet"/>
      <w:isLgl w:val="false"/>
      <w:suff w:val="tab"/>
      <w:lvlText w:val="•"/>
      <w:lvlJc w:val="left"/>
      <w:pPr>
        <w:ind w:left="6016" w:hanging="420"/>
      </w:pPr>
      <w:rPr>
        <w:rFonts w:hint="default"/>
        <w:lang w:val="zh-CN" w:eastAsia="zh-CN" w:bidi="zh-CN"/>
      </w:rPr>
    </w:lvl>
    <w:lvl w:ilvl="7">
      <w:start w:val="0"/>
      <w:numFmt w:val="bullet"/>
      <w:isLgl w:val="false"/>
      <w:suff w:val="tab"/>
      <w:lvlText w:val="•"/>
      <w:lvlJc w:val="left"/>
      <w:pPr>
        <w:ind w:left="6982" w:hanging="420"/>
      </w:pPr>
      <w:rPr>
        <w:rFonts w:hint="default"/>
        <w:lang w:val="zh-CN" w:eastAsia="zh-CN" w:bidi="zh-CN"/>
      </w:rPr>
    </w:lvl>
    <w:lvl w:ilvl="8">
      <w:start w:val="0"/>
      <w:numFmt w:val="bullet"/>
      <w:isLgl w:val="false"/>
      <w:suff w:val="tab"/>
      <w:lvlText w:val="•"/>
      <w:lvlJc w:val="left"/>
      <w:pPr>
        <w:ind w:left="7948" w:hanging="420"/>
      </w:pPr>
      <w:rPr>
        <w:rFonts w:hint="default"/>
        <w:lang w:val="zh-CN" w:eastAsia="zh-CN" w:bidi="zh-CN"/>
      </w:rPr>
    </w:lvl>
  </w:abstractNum>
  <w:abstractNum w:abstractNumId="26">
    <w:multiLevelType w:val="hybridMultilevel"/>
    <w:lvl w:ilvl="0">
      <w:start w:val="28"/>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27">
    <w:multiLevelType w:val="hybridMultilevel"/>
    <w:lvl w:ilvl="0">
      <w:start w:val="19"/>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28">
    <w:multiLevelType w:val="hybridMultilevel"/>
    <w:lvl w:ilvl="0">
      <w:start w:val="12"/>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1186" w:hanging="630"/>
      </w:pPr>
      <w:rPr>
        <w:rFonts w:hint="default"/>
        <w:lang w:val="zh-CN" w:eastAsia="zh-CN" w:bidi="zh-CN"/>
      </w:rPr>
    </w:lvl>
    <w:lvl w:ilvl="2">
      <w:start w:val="0"/>
      <w:numFmt w:val="bullet"/>
      <w:isLgl w:val="false"/>
      <w:suff w:val="tab"/>
      <w:lvlText w:val="•"/>
      <w:lvlJc w:val="left"/>
      <w:pPr>
        <w:ind w:left="2152" w:hanging="630"/>
      </w:pPr>
      <w:rPr>
        <w:rFonts w:hint="default"/>
        <w:lang w:val="zh-CN" w:eastAsia="zh-CN" w:bidi="zh-CN"/>
      </w:rPr>
    </w:lvl>
    <w:lvl w:ilvl="3">
      <w:start w:val="0"/>
      <w:numFmt w:val="bullet"/>
      <w:isLgl w:val="false"/>
      <w:suff w:val="tab"/>
      <w:lvlText w:val="•"/>
      <w:lvlJc w:val="left"/>
      <w:pPr>
        <w:ind w:left="3118" w:hanging="630"/>
      </w:pPr>
      <w:rPr>
        <w:rFonts w:hint="default"/>
        <w:lang w:val="zh-CN" w:eastAsia="zh-CN" w:bidi="zh-CN"/>
      </w:rPr>
    </w:lvl>
    <w:lvl w:ilvl="4">
      <w:start w:val="0"/>
      <w:numFmt w:val="bullet"/>
      <w:isLgl w:val="false"/>
      <w:suff w:val="tab"/>
      <w:lvlText w:val="•"/>
      <w:lvlJc w:val="left"/>
      <w:pPr>
        <w:ind w:left="4084" w:hanging="630"/>
      </w:pPr>
      <w:rPr>
        <w:rFonts w:hint="default"/>
        <w:lang w:val="zh-CN" w:eastAsia="zh-CN" w:bidi="zh-CN"/>
      </w:rPr>
    </w:lvl>
    <w:lvl w:ilvl="5">
      <w:start w:val="0"/>
      <w:numFmt w:val="bullet"/>
      <w:isLgl w:val="false"/>
      <w:suff w:val="tab"/>
      <w:lvlText w:val="•"/>
      <w:lvlJc w:val="left"/>
      <w:pPr>
        <w:ind w:left="5050" w:hanging="630"/>
      </w:pPr>
      <w:rPr>
        <w:rFonts w:hint="default"/>
        <w:lang w:val="zh-CN" w:eastAsia="zh-CN" w:bidi="zh-CN"/>
      </w:rPr>
    </w:lvl>
    <w:lvl w:ilvl="6">
      <w:start w:val="0"/>
      <w:numFmt w:val="bullet"/>
      <w:isLgl w:val="false"/>
      <w:suff w:val="tab"/>
      <w:lvlText w:val="•"/>
      <w:lvlJc w:val="left"/>
      <w:pPr>
        <w:ind w:left="6016" w:hanging="630"/>
      </w:pPr>
      <w:rPr>
        <w:rFonts w:hint="default"/>
        <w:lang w:val="zh-CN" w:eastAsia="zh-CN" w:bidi="zh-CN"/>
      </w:rPr>
    </w:lvl>
    <w:lvl w:ilvl="7">
      <w:start w:val="0"/>
      <w:numFmt w:val="bullet"/>
      <w:isLgl w:val="false"/>
      <w:suff w:val="tab"/>
      <w:lvlText w:val="•"/>
      <w:lvlJc w:val="left"/>
      <w:pPr>
        <w:ind w:left="6982" w:hanging="630"/>
      </w:pPr>
      <w:rPr>
        <w:rFonts w:hint="default"/>
        <w:lang w:val="zh-CN" w:eastAsia="zh-CN" w:bidi="zh-CN"/>
      </w:rPr>
    </w:lvl>
    <w:lvl w:ilvl="8">
      <w:start w:val="0"/>
      <w:numFmt w:val="bullet"/>
      <w:isLgl w:val="false"/>
      <w:suff w:val="tab"/>
      <w:lvlText w:val="•"/>
      <w:lvlJc w:val="left"/>
      <w:pPr>
        <w:ind w:left="7948" w:hanging="630"/>
      </w:pPr>
      <w:rPr>
        <w:rFonts w:hint="default"/>
        <w:lang w:val="zh-CN" w:eastAsia="zh-CN" w:bidi="zh-CN"/>
      </w:rPr>
    </w:lvl>
  </w:abstractNum>
  <w:abstractNum w:abstractNumId="29">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3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20"/>
      <w:numFmt w:val="decimal"/>
      <w:isLgl w:val="false"/>
      <w:suff w:val="tab"/>
      <w:lvlText w:val="%1"/>
      <w:lvlJc w:val="left"/>
      <w:pPr>
        <w:ind w:left="1108" w:hanging="471"/>
      </w:pPr>
      <w:rPr>
        <w:rFonts w:hint="default"/>
        <w:lang w:val="zh-CN" w:eastAsia="zh-CN" w:bidi="zh-CN"/>
      </w:rPr>
    </w:lvl>
    <w:lvl w:ilvl="1">
      <w:start w:val="1"/>
      <w:numFmt w:val="decimal"/>
      <w:isLgl w:val="false"/>
      <w:suff w:val="space"/>
      <w:lvlText w:val="%1.%2"/>
      <w:lvlJc w:val="left"/>
      <w:pPr>
        <w:ind w:left="0" w:firstLine="0"/>
      </w:pPr>
      <w:rPr>
        <w:rFonts w:hint="default"/>
        <w:b w:val="0"/>
        <w:bCs w:val="0"/>
        <w:spacing w:val="0"/>
        <w:lang w:val="zh-CN" w:eastAsia="zh-CN" w:bidi="zh-CN"/>
      </w:rPr>
    </w:lvl>
    <w:lvl w:ilvl="2">
      <w:start w:val="1"/>
      <w:numFmt w:val="decimal"/>
      <w:isLgl w:val="false"/>
      <w:suff w:val="space"/>
      <w:lvlText w:val="%1.%2.%3"/>
      <w:lvlJc w:val="left"/>
      <w:pPr>
        <w:ind w:left="0" w:firstLine="0"/>
      </w:pPr>
      <w:rPr>
        <w:rFonts w:hint="default" w:ascii="宋体" w:hAnsi="宋体" w:eastAsia="宋体" w:cs="宋体"/>
        <w:b w:val="0"/>
        <w:bCs w:val="0"/>
        <w:spacing w:val="0"/>
        <w:lang w:val="zh-CN" w:eastAsia="zh-CN" w:bidi="zh-CN"/>
      </w:rPr>
    </w:lvl>
    <w:lvl w:ilvl="3">
      <w:start w:val="1"/>
      <w:numFmt w:val="decimal"/>
      <w:isLgl w:val="false"/>
      <w:suff w:val="space"/>
      <w:lvlText w:val="%1.%2.%3.%4"/>
      <w:lvlJc w:val="left"/>
      <w:pPr>
        <w:ind w:left="0" w:firstLine="0"/>
      </w:pPr>
      <w:rPr>
        <w:rFonts w:hint="default"/>
        <w:spacing w:val="0"/>
        <w:sz w:val="21"/>
        <w:szCs w:val="21"/>
        <w:lang w:val="zh-CN" w:eastAsia="zh-CN" w:bidi="zh-CN"/>
      </w:rPr>
    </w:lvl>
    <w:lvl w:ilvl="4">
      <w:start w:val="0"/>
      <w:numFmt w:val="bullet"/>
      <w:isLgl w:val="false"/>
      <w:suff w:val="tab"/>
      <w:lvlText w:val="•"/>
      <w:lvlJc w:val="left"/>
      <w:pPr>
        <w:ind w:left="2714" w:hanging="891"/>
      </w:pPr>
      <w:rPr>
        <w:rFonts w:hint="default"/>
        <w:lang w:val="zh-CN" w:eastAsia="zh-CN" w:bidi="zh-CN"/>
      </w:rPr>
    </w:lvl>
    <w:lvl w:ilvl="5">
      <w:start w:val="0"/>
      <w:numFmt w:val="bullet"/>
      <w:isLgl w:val="false"/>
      <w:suff w:val="tab"/>
      <w:lvlText w:val="•"/>
      <w:lvlJc w:val="left"/>
      <w:pPr>
        <w:ind w:left="3908" w:hanging="891"/>
      </w:pPr>
      <w:rPr>
        <w:rFonts w:hint="default"/>
        <w:lang w:val="zh-CN" w:eastAsia="zh-CN" w:bidi="zh-CN"/>
      </w:rPr>
    </w:lvl>
    <w:lvl w:ilvl="6">
      <w:start w:val="0"/>
      <w:numFmt w:val="bullet"/>
      <w:isLgl w:val="false"/>
      <w:suff w:val="tab"/>
      <w:lvlText w:val="•"/>
      <w:lvlJc w:val="left"/>
      <w:pPr>
        <w:ind w:left="5102" w:hanging="891"/>
      </w:pPr>
      <w:rPr>
        <w:rFonts w:hint="default"/>
        <w:lang w:val="zh-CN" w:eastAsia="zh-CN" w:bidi="zh-CN"/>
      </w:rPr>
    </w:lvl>
    <w:lvl w:ilvl="7">
      <w:start w:val="0"/>
      <w:numFmt w:val="bullet"/>
      <w:isLgl w:val="false"/>
      <w:suff w:val="tab"/>
      <w:lvlText w:val="•"/>
      <w:lvlJc w:val="left"/>
      <w:pPr>
        <w:ind w:left="6297" w:hanging="891"/>
      </w:pPr>
      <w:rPr>
        <w:rFonts w:hint="default"/>
        <w:lang w:val="zh-CN" w:eastAsia="zh-CN" w:bidi="zh-CN"/>
      </w:rPr>
    </w:lvl>
    <w:lvl w:ilvl="8">
      <w:start w:val="0"/>
      <w:numFmt w:val="bullet"/>
      <w:isLgl w:val="false"/>
      <w:suff w:val="tab"/>
      <w:lvlText w:val="•"/>
      <w:lvlJc w:val="left"/>
      <w:pPr>
        <w:ind w:left="7491" w:hanging="891"/>
      </w:pPr>
      <w:rPr>
        <w:rFonts w:hint="default"/>
        <w:lang w:val="zh-CN" w:eastAsia="zh-CN" w:bidi="zh-CN"/>
      </w:rPr>
    </w:lvl>
  </w:abstractNum>
  <w:num w:numId="1">
    <w:abstractNumId w:val="22"/>
  </w:num>
  <w:num w:numId="2">
    <w:abstractNumId w:val="7"/>
  </w:num>
  <w:num w:numId="3">
    <w:abstractNumId w:val="6"/>
  </w:num>
  <w:num w:numId="4">
    <w:abstractNumId w:val="8"/>
  </w:num>
  <w:num w:numId="5">
    <w:abstractNumId w:val="25"/>
  </w:num>
  <w:num w:numId="6">
    <w:abstractNumId w:val="24"/>
  </w:num>
  <w:num w:numId="7">
    <w:abstractNumId w:val="15"/>
  </w:num>
  <w:num w:numId="8">
    <w:abstractNumId w:val="0"/>
  </w:num>
  <w:num w:numId="9">
    <w:abstractNumId w:val="14"/>
  </w:num>
  <w:num w:numId="10">
    <w:abstractNumId w:val="5"/>
  </w:num>
  <w:num w:numId="11">
    <w:abstractNumId w:val="19"/>
  </w:num>
  <w:num w:numId="12">
    <w:abstractNumId w:val="20"/>
  </w:num>
  <w:num w:numId="13">
    <w:abstractNumId w:val="12"/>
  </w:num>
  <w:num w:numId="14">
    <w:abstractNumId w:val="27"/>
  </w:num>
  <w:num w:numId="15">
    <w:abstractNumId w:val="31"/>
  </w:num>
  <w:num w:numId="16">
    <w:abstractNumId w:val="11"/>
  </w:num>
  <w:num w:numId="17">
    <w:abstractNumId w:val="16"/>
  </w:num>
  <w:num w:numId="18">
    <w:abstractNumId w:val="9"/>
  </w:num>
  <w:num w:numId="19">
    <w:abstractNumId w:val="10"/>
  </w:num>
  <w:num w:numId="20">
    <w:abstractNumId w:val="28"/>
  </w:num>
  <w:num w:numId="21">
    <w:abstractNumId w:val="3"/>
  </w:num>
  <w:num w:numId="22">
    <w:abstractNumId w:val="13"/>
  </w:num>
  <w:num w:numId="23">
    <w:abstractNumId w:val="18"/>
  </w:num>
  <w:num w:numId="24">
    <w:abstractNumId w:val="1"/>
  </w:num>
  <w:num w:numId="25">
    <w:abstractNumId w:val="4"/>
  </w:num>
  <w:num w:numId="26">
    <w:abstractNumId w:val="17"/>
  </w:num>
  <w:num w:numId="27">
    <w:abstractNumId w:val="2"/>
  </w:num>
  <w:num w:numId="28">
    <w:abstractNumId w:val="23"/>
  </w:num>
  <w:num w:numId="29">
    <w:abstractNumId w:val="29"/>
  </w:num>
  <w:num w:numId="30">
    <w:abstractNumId w:val="21"/>
  </w:num>
  <w:num w:numId="31">
    <w:abstractNumId w:val="26"/>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1">
    <w:name w:val="Heading 5 Char"/>
    <w:basedOn w:val="778"/>
    <w:link w:val="773"/>
    <w:uiPriority w:val="9"/>
    <w:rPr>
      <w:rFonts w:ascii="Arial" w:hAnsi="Arial" w:eastAsia="Arial" w:cs="Arial"/>
      <w:b/>
      <w:bCs/>
      <w:sz w:val="24"/>
      <w:szCs w:val="24"/>
    </w:rPr>
  </w:style>
  <w:style w:type="character" w:styleId="23">
    <w:name w:val="Heading 6 Char"/>
    <w:basedOn w:val="778"/>
    <w:link w:val="774"/>
    <w:uiPriority w:val="9"/>
    <w:rPr>
      <w:rFonts w:ascii="Arial" w:hAnsi="Arial" w:eastAsia="Arial" w:cs="Arial"/>
      <w:b/>
      <w:bCs/>
      <w:sz w:val="22"/>
      <w:szCs w:val="22"/>
    </w:rPr>
  </w:style>
  <w:style w:type="character" w:styleId="25">
    <w:name w:val="Heading 7 Char"/>
    <w:basedOn w:val="778"/>
    <w:link w:val="775"/>
    <w:uiPriority w:val="9"/>
    <w:rPr>
      <w:rFonts w:ascii="Arial" w:hAnsi="Arial" w:eastAsia="Arial" w:cs="Arial"/>
      <w:b/>
      <w:bCs/>
      <w:i/>
      <w:iCs/>
      <w:sz w:val="22"/>
      <w:szCs w:val="22"/>
    </w:rPr>
  </w:style>
  <w:style w:type="character" w:styleId="27">
    <w:name w:val="Heading 8 Char"/>
    <w:basedOn w:val="778"/>
    <w:link w:val="776"/>
    <w:uiPriority w:val="9"/>
    <w:rPr>
      <w:rFonts w:ascii="Arial" w:hAnsi="Arial" w:eastAsia="Arial" w:cs="Arial"/>
      <w:i/>
      <w:iCs/>
      <w:sz w:val="22"/>
      <w:szCs w:val="22"/>
    </w:rPr>
  </w:style>
  <w:style w:type="character" w:styleId="29">
    <w:name w:val="Heading 9 Char"/>
    <w:basedOn w:val="778"/>
    <w:link w:val="777"/>
    <w:uiPriority w:val="9"/>
    <w:rPr>
      <w:rFonts w:ascii="Arial" w:hAnsi="Arial" w:eastAsia="Arial" w:cs="Arial"/>
      <w:i/>
      <w:iCs/>
      <w:sz w:val="21"/>
      <w:szCs w:val="21"/>
    </w:rPr>
  </w:style>
  <w:style w:type="character" w:styleId="34">
    <w:name w:val="Title Char"/>
    <w:basedOn w:val="778"/>
    <w:link w:val="804"/>
    <w:uiPriority w:val="10"/>
    <w:rPr>
      <w:sz w:val="48"/>
      <w:szCs w:val="48"/>
    </w:rPr>
  </w:style>
  <w:style w:type="character" w:styleId="36">
    <w:name w:val="Subtitle Char"/>
    <w:basedOn w:val="778"/>
    <w:link w:val="797"/>
    <w:uiPriority w:val="11"/>
    <w:rPr>
      <w:sz w:val="24"/>
      <w:szCs w:val="24"/>
    </w:rPr>
  </w:style>
  <w:style w:type="character" w:styleId="38">
    <w:name w:val="Quote Char"/>
    <w:link w:val="826"/>
    <w:uiPriority w:val="29"/>
    <w:rPr>
      <w:i/>
    </w:rPr>
  </w:style>
  <w:style w:type="character" w:styleId="40">
    <w:name w:val="Intense Quote Char"/>
    <w:link w:val="828"/>
    <w:uiPriority w:val="30"/>
    <w:rPr>
      <w:i/>
    </w:rPr>
  </w:style>
  <w:style w:type="table" w:styleId="49">
    <w:name w:val="Plain Table 1"/>
    <w:basedOn w:val="7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98"/>
    <w:uiPriority w:val="99"/>
    <w:rPr>
      <w:sz w:val="18"/>
    </w:rPr>
  </w:style>
  <w:style w:type="character" w:styleId="178">
    <w:name w:val="Endnote Text Char"/>
    <w:link w:val="791"/>
    <w:uiPriority w:val="99"/>
    <w:rPr>
      <w:sz w:val="20"/>
    </w:rPr>
  </w:style>
  <w:style w:type="paragraph" w:styleId="189">
    <w:name w:val="TOC Heading"/>
    <w:uiPriority w:val="39"/>
    <w:unhideWhenUsed/>
  </w:style>
  <w:style w:type="paragraph" w:styleId="768" w:default="1">
    <w:name w:val="Normal"/>
    <w:uiPriority w:val="1"/>
    <w:qFormat/>
    <w:pPr>
      <w:widowControl w:val="off"/>
    </w:pPr>
    <w:rPr>
      <w:rFonts w:ascii="宋体" w:hAnsi="宋体" w:eastAsia="宋体" w:cs="宋体"/>
      <w:sz w:val="22"/>
      <w:szCs w:val="22"/>
      <w:lang w:val="zh-CN" w:eastAsia="zh-CN" w:bidi="zh-CN"/>
    </w:rPr>
  </w:style>
  <w:style w:type="paragraph" w:styleId="769">
    <w:name w:val="Heading 1"/>
    <w:basedOn w:val="768"/>
    <w:next w:val="768"/>
    <w:uiPriority w:val="1"/>
    <w:qFormat/>
    <w:pPr>
      <w:ind w:right="35"/>
      <w:jc w:val="center"/>
      <w:outlineLvl w:val="0"/>
    </w:pPr>
    <w:rPr>
      <w:b/>
      <w:bCs/>
      <w:sz w:val="72"/>
      <w:szCs w:val="72"/>
    </w:rPr>
  </w:style>
  <w:style w:type="paragraph" w:styleId="770">
    <w:name w:val="Heading 2"/>
    <w:basedOn w:val="768"/>
    <w:next w:val="768"/>
    <w:uiPriority w:val="1"/>
    <w:qFormat/>
    <w:pPr>
      <w:ind w:left="218"/>
      <w:outlineLvl w:val="1"/>
    </w:pPr>
    <w:rPr>
      <w:b/>
      <w:bCs/>
      <w:sz w:val="32"/>
      <w:szCs w:val="32"/>
    </w:rPr>
  </w:style>
  <w:style w:type="paragraph" w:styleId="771">
    <w:name w:val="Heading 3"/>
    <w:basedOn w:val="768"/>
    <w:next w:val="768"/>
    <w:uiPriority w:val="1"/>
    <w:qFormat/>
    <w:pPr>
      <w:ind w:left="218"/>
      <w:outlineLvl w:val="2"/>
    </w:pPr>
    <w:rPr>
      <w:sz w:val="28"/>
      <w:szCs w:val="28"/>
    </w:rPr>
  </w:style>
  <w:style w:type="paragraph" w:styleId="772">
    <w:name w:val="Heading 4"/>
    <w:basedOn w:val="768"/>
    <w:next w:val="768"/>
    <w:uiPriority w:val="1"/>
    <w:qFormat/>
    <w:pPr>
      <w:ind w:left="218"/>
      <w:outlineLvl w:val="3"/>
    </w:pPr>
    <w:rPr>
      <w:sz w:val="24"/>
      <w:szCs w:val="24"/>
    </w:rPr>
  </w:style>
  <w:style w:type="paragraph" w:styleId="773">
    <w:name w:val="Heading 5"/>
    <w:basedOn w:val="768"/>
    <w:next w:val="768"/>
    <w:link w:val="818"/>
    <w:uiPriority w:val="9"/>
    <w:unhideWhenUsed/>
    <w:qFormat/>
    <w:pPr>
      <w:keepLines/>
      <w:keepNext/>
      <w:spacing w:before="320" w:after="200"/>
      <w:outlineLvl w:val="4"/>
    </w:pPr>
    <w:rPr>
      <w:rFonts w:ascii="Arial" w:hAnsi="Arial" w:eastAsia="Arial" w:cs="Arial"/>
      <w:b/>
      <w:bCs/>
      <w:sz w:val="24"/>
      <w:szCs w:val="24"/>
    </w:rPr>
  </w:style>
  <w:style w:type="paragraph" w:styleId="774">
    <w:name w:val="Heading 6"/>
    <w:basedOn w:val="768"/>
    <w:next w:val="768"/>
    <w:link w:val="819"/>
    <w:uiPriority w:val="9"/>
    <w:unhideWhenUsed/>
    <w:qFormat/>
    <w:pPr>
      <w:keepLines/>
      <w:keepNext/>
      <w:spacing w:before="320" w:after="200"/>
      <w:outlineLvl w:val="5"/>
    </w:pPr>
    <w:rPr>
      <w:rFonts w:ascii="Arial" w:hAnsi="Arial" w:eastAsia="Arial" w:cs="Arial"/>
      <w:b/>
      <w:bCs/>
    </w:rPr>
  </w:style>
  <w:style w:type="paragraph" w:styleId="775">
    <w:name w:val="Heading 7"/>
    <w:basedOn w:val="768"/>
    <w:next w:val="768"/>
    <w:link w:val="820"/>
    <w:uiPriority w:val="9"/>
    <w:unhideWhenUsed/>
    <w:qFormat/>
    <w:pPr>
      <w:keepLines/>
      <w:keepNext/>
      <w:spacing w:before="320" w:after="200"/>
      <w:outlineLvl w:val="6"/>
    </w:pPr>
    <w:rPr>
      <w:rFonts w:ascii="Arial" w:hAnsi="Arial" w:eastAsia="Arial" w:cs="Arial"/>
      <w:b/>
      <w:bCs/>
      <w:i/>
      <w:iCs/>
    </w:rPr>
  </w:style>
  <w:style w:type="paragraph" w:styleId="776">
    <w:name w:val="Heading 8"/>
    <w:basedOn w:val="768"/>
    <w:next w:val="768"/>
    <w:link w:val="821"/>
    <w:uiPriority w:val="9"/>
    <w:unhideWhenUsed/>
    <w:qFormat/>
    <w:pPr>
      <w:keepLines/>
      <w:keepNext/>
      <w:spacing w:before="320" w:after="200"/>
      <w:outlineLvl w:val="7"/>
    </w:pPr>
    <w:rPr>
      <w:rFonts w:ascii="Arial" w:hAnsi="Arial" w:eastAsia="Arial" w:cs="Arial"/>
      <w:i/>
      <w:iCs/>
    </w:rPr>
  </w:style>
  <w:style w:type="paragraph" w:styleId="777">
    <w:name w:val="Heading 9"/>
    <w:basedOn w:val="768"/>
    <w:next w:val="768"/>
    <w:link w:val="822"/>
    <w:uiPriority w:val="9"/>
    <w:unhideWhenUsed/>
    <w:qFormat/>
    <w:pPr>
      <w:keepLines/>
      <w:keepNext/>
      <w:spacing w:before="320" w:after="200"/>
      <w:outlineLvl w:val="8"/>
    </w:pPr>
    <w:rPr>
      <w:rFonts w:ascii="Arial" w:hAnsi="Arial" w:eastAsia="Arial" w:cs="Arial"/>
      <w:i/>
      <w:iCs/>
      <w:sz w:val="21"/>
      <w:szCs w:val="21"/>
    </w:rPr>
  </w:style>
  <w:style w:type="character" w:styleId="778" w:default="1">
    <w:name w:val="Default Paragraph Font"/>
    <w:uiPriority w:val="1"/>
    <w:semiHidden/>
    <w:unhideWhenUsed/>
  </w:style>
  <w:style w:type="table" w:styleId="779" w:default="1">
    <w:name w:val="Normal Table"/>
    <w:uiPriority w:val="99"/>
    <w:semiHidden/>
    <w:unhideWhenUsed/>
    <w:tblPr>
      <w:tblCellMar>
        <w:left w:w="108" w:type="dxa"/>
        <w:top w:w="0" w:type="dxa"/>
        <w:right w:w="108" w:type="dxa"/>
        <w:bottom w:w="0" w:type="dxa"/>
      </w:tblCellMar>
    </w:tblPr>
  </w:style>
  <w:style w:type="paragraph" w:styleId="780">
    <w:name w:val="toc 7"/>
    <w:basedOn w:val="768"/>
    <w:next w:val="768"/>
    <w:uiPriority w:val="39"/>
    <w:unhideWhenUsed/>
    <w:qFormat/>
    <w:pPr>
      <w:ind w:left="1701"/>
      <w:spacing w:after="57"/>
    </w:pPr>
  </w:style>
  <w:style w:type="paragraph" w:styleId="781">
    <w:name w:val="Normal Indent"/>
    <w:basedOn w:val="768"/>
    <w:uiPriority w:val="0"/>
    <w:qFormat/>
    <w:pPr>
      <w:ind w:firstLine="420"/>
      <w:spacing w:line="360" w:lineRule="auto"/>
    </w:pPr>
    <w:rPr>
      <w:rFonts w:ascii="Times New Roman" w:hAnsi="Times New Roman"/>
      <w:sz w:val="24"/>
      <w:szCs w:val="21"/>
    </w:rPr>
  </w:style>
  <w:style w:type="paragraph" w:styleId="782">
    <w:name w:val="Caption"/>
    <w:basedOn w:val="768"/>
    <w:next w:val="7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3">
    <w:name w:val="annotation text"/>
    <w:basedOn w:val="768"/>
    <w:link w:val="977"/>
    <w:uiPriority w:val="0"/>
    <w:qFormat/>
  </w:style>
  <w:style w:type="paragraph" w:styleId="784">
    <w:name w:val="Body Text"/>
    <w:basedOn w:val="768"/>
    <w:uiPriority w:val="1"/>
    <w:qFormat/>
    <w:rPr>
      <w:sz w:val="21"/>
      <w:szCs w:val="21"/>
    </w:rPr>
  </w:style>
  <w:style w:type="paragraph" w:styleId="785">
    <w:name w:val="Body Text Indent"/>
    <w:basedOn w:val="768"/>
    <w:uiPriority w:val="0"/>
    <w:qFormat/>
    <w:pPr>
      <w:ind w:firstLine="301"/>
      <w:spacing w:line="200" w:lineRule="exact"/>
    </w:pPr>
    <w:rPr>
      <w:rFonts w:hAnsi="Courier New"/>
      <w:spacing w:val="-4"/>
      <w:sz w:val="18"/>
      <w:szCs w:val="20"/>
    </w:rPr>
  </w:style>
  <w:style w:type="paragraph" w:styleId="786">
    <w:name w:val="Block Text"/>
    <w:basedOn w:val="768"/>
    <w:uiPriority w:val="99"/>
    <w:unhideWhenUsed/>
    <w:qFormat/>
    <w:pPr>
      <w:ind w:left="1440" w:right="1440"/>
      <w:spacing w:after="120"/>
    </w:pPr>
  </w:style>
  <w:style w:type="paragraph" w:styleId="787">
    <w:name w:val="toc 5"/>
    <w:basedOn w:val="768"/>
    <w:next w:val="768"/>
    <w:uiPriority w:val="39"/>
    <w:unhideWhenUsed/>
    <w:qFormat/>
    <w:pPr>
      <w:ind w:left="1134"/>
      <w:spacing w:after="57"/>
    </w:pPr>
  </w:style>
  <w:style w:type="paragraph" w:styleId="788">
    <w:name w:val="toc 3"/>
    <w:basedOn w:val="768"/>
    <w:next w:val="768"/>
    <w:uiPriority w:val="39"/>
    <w:unhideWhenUsed/>
    <w:qFormat/>
    <w:pPr>
      <w:ind w:left="567"/>
      <w:spacing w:after="57"/>
    </w:pPr>
  </w:style>
  <w:style w:type="paragraph" w:styleId="789">
    <w:name w:val="Plain Text"/>
    <w:basedOn w:val="768"/>
    <w:link w:val="981"/>
    <w:uiPriority w:val="0"/>
    <w:unhideWhenUsed/>
    <w:qFormat/>
    <w:rPr>
      <w:rFonts w:hAnsi="Courier New"/>
    </w:rPr>
  </w:style>
  <w:style w:type="paragraph" w:styleId="790">
    <w:name w:val="toc 8"/>
    <w:basedOn w:val="768"/>
    <w:next w:val="768"/>
    <w:uiPriority w:val="39"/>
    <w:unhideWhenUsed/>
    <w:qFormat/>
    <w:pPr>
      <w:ind w:left="1984"/>
      <w:spacing w:after="57"/>
    </w:pPr>
  </w:style>
  <w:style w:type="paragraph" w:styleId="791">
    <w:name w:val="endnote text"/>
    <w:basedOn w:val="768"/>
    <w:link w:val="959"/>
    <w:uiPriority w:val="99"/>
    <w:semiHidden/>
    <w:unhideWhenUsed/>
    <w:qFormat/>
    <w:rPr>
      <w:sz w:val="20"/>
    </w:rPr>
  </w:style>
  <w:style w:type="paragraph" w:styleId="792">
    <w:name w:val="Balloon Text"/>
    <w:basedOn w:val="768"/>
    <w:link w:val="967"/>
    <w:uiPriority w:val="0"/>
    <w:qFormat/>
    <w:rPr>
      <w:sz w:val="18"/>
      <w:szCs w:val="18"/>
    </w:rPr>
  </w:style>
  <w:style w:type="paragraph" w:styleId="793">
    <w:name w:val="Footer"/>
    <w:basedOn w:val="768"/>
    <w:uiPriority w:val="0"/>
    <w:qFormat/>
    <w:pPr>
      <w:tabs>
        <w:tab w:val="center" w:pos="4153" w:leader="none"/>
        <w:tab w:val="right" w:pos="8306" w:leader="none"/>
      </w:tabs>
    </w:pPr>
    <w:rPr>
      <w:sz w:val="18"/>
    </w:rPr>
  </w:style>
  <w:style w:type="paragraph" w:styleId="794">
    <w:name w:val="Header"/>
    <w:basedOn w:val="768"/>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95">
    <w:name w:val="toc 1"/>
    <w:basedOn w:val="768"/>
    <w:next w:val="768"/>
    <w:uiPriority w:val="0"/>
    <w:qFormat/>
  </w:style>
  <w:style w:type="paragraph" w:styleId="796">
    <w:name w:val="toc 4"/>
    <w:basedOn w:val="768"/>
    <w:next w:val="768"/>
    <w:uiPriority w:val="39"/>
    <w:unhideWhenUsed/>
    <w:qFormat/>
    <w:pPr>
      <w:ind w:left="850"/>
      <w:spacing w:after="57"/>
    </w:pPr>
  </w:style>
  <w:style w:type="paragraph" w:styleId="797">
    <w:name w:val="Subtitle"/>
    <w:basedOn w:val="768"/>
    <w:next w:val="768"/>
    <w:link w:val="825"/>
    <w:uiPriority w:val="11"/>
    <w:qFormat/>
    <w:pPr>
      <w:spacing w:before="200" w:after="200"/>
    </w:pPr>
    <w:rPr>
      <w:sz w:val="24"/>
      <w:szCs w:val="24"/>
    </w:rPr>
  </w:style>
  <w:style w:type="paragraph" w:styleId="798">
    <w:name w:val="footnote text"/>
    <w:basedOn w:val="768"/>
    <w:link w:val="958"/>
    <w:uiPriority w:val="99"/>
    <w:semiHidden/>
    <w:unhideWhenUsed/>
    <w:qFormat/>
    <w:pPr>
      <w:spacing w:after="40"/>
    </w:pPr>
    <w:rPr>
      <w:sz w:val="18"/>
    </w:rPr>
  </w:style>
  <w:style w:type="paragraph" w:styleId="799">
    <w:name w:val="toc 6"/>
    <w:basedOn w:val="768"/>
    <w:next w:val="768"/>
    <w:uiPriority w:val="39"/>
    <w:unhideWhenUsed/>
    <w:qFormat/>
    <w:pPr>
      <w:ind w:left="1417"/>
      <w:spacing w:after="57"/>
    </w:pPr>
  </w:style>
  <w:style w:type="paragraph" w:styleId="800">
    <w:name w:val="table of figures"/>
    <w:basedOn w:val="768"/>
    <w:next w:val="768"/>
    <w:uiPriority w:val="99"/>
    <w:unhideWhenUsed/>
    <w:qFormat/>
  </w:style>
  <w:style w:type="paragraph" w:styleId="801">
    <w:name w:val="toc 2"/>
    <w:basedOn w:val="768"/>
    <w:next w:val="768"/>
    <w:uiPriority w:val="39"/>
    <w:unhideWhenUsed/>
    <w:qFormat/>
    <w:pPr>
      <w:ind w:left="283"/>
      <w:spacing w:after="57"/>
    </w:pPr>
  </w:style>
  <w:style w:type="paragraph" w:styleId="802">
    <w:name w:val="toc 9"/>
    <w:basedOn w:val="768"/>
    <w:next w:val="768"/>
    <w:uiPriority w:val="39"/>
    <w:unhideWhenUsed/>
    <w:qFormat/>
    <w:pPr>
      <w:ind w:left="2268"/>
      <w:spacing w:after="57"/>
    </w:pPr>
  </w:style>
  <w:style w:type="paragraph" w:styleId="803">
    <w:name w:val="Normal (Web)"/>
    <w:basedOn w:val="768"/>
    <w:uiPriority w:val="0"/>
    <w:qFormat/>
    <w:pPr>
      <w:spacing w:before="100" w:beforeAutospacing="1" w:after="100" w:afterAutospacing="1"/>
      <w:widowControl/>
    </w:pPr>
    <w:rPr>
      <w:sz w:val="24"/>
      <w:szCs w:val="24"/>
    </w:rPr>
  </w:style>
  <w:style w:type="paragraph" w:styleId="804">
    <w:name w:val="Title"/>
    <w:basedOn w:val="768"/>
    <w:next w:val="768"/>
    <w:link w:val="824"/>
    <w:uiPriority w:val="10"/>
    <w:qFormat/>
    <w:pPr>
      <w:contextualSpacing/>
      <w:spacing w:before="300" w:after="200"/>
    </w:pPr>
    <w:rPr>
      <w:sz w:val="48"/>
      <w:szCs w:val="48"/>
    </w:rPr>
  </w:style>
  <w:style w:type="paragraph" w:styleId="805">
    <w:name w:val="annotation subject"/>
    <w:basedOn w:val="783"/>
    <w:next w:val="783"/>
    <w:link w:val="978"/>
    <w:uiPriority w:val="0"/>
    <w:qFormat/>
    <w:rPr>
      <w:b/>
      <w:bCs/>
    </w:rPr>
  </w:style>
  <w:style w:type="paragraph" w:styleId="806">
    <w:name w:val="Body Text First Indent 2"/>
    <w:basedOn w:val="785"/>
    <w:uiPriority w:val="0"/>
    <w:unhideWhenUsed/>
    <w:qFormat/>
    <w:pPr>
      <w:ind w:left="420" w:firstLine="420"/>
      <w:spacing w:after="120" w:line="360" w:lineRule="auto"/>
    </w:pPr>
    <w:rPr>
      <w:sz w:val="24"/>
    </w:rPr>
  </w:style>
  <w:style w:type="table" w:styleId="807">
    <w:name w:val="Table Grid"/>
    <w:basedOn w:val="77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8">
    <w:name w:val="Strong"/>
    <w:basedOn w:val="778"/>
    <w:uiPriority w:val="0"/>
    <w:qFormat/>
    <w:rPr>
      <w:b/>
    </w:rPr>
  </w:style>
  <w:style w:type="character" w:styleId="809">
    <w:name w:val="endnote reference"/>
    <w:basedOn w:val="778"/>
    <w:uiPriority w:val="99"/>
    <w:semiHidden/>
    <w:unhideWhenUsed/>
    <w:qFormat/>
    <w:rPr>
      <w:vertAlign w:val="superscript"/>
    </w:rPr>
  </w:style>
  <w:style w:type="character" w:styleId="810">
    <w:name w:val="Emphasis"/>
    <w:basedOn w:val="778"/>
    <w:uiPriority w:val="0"/>
    <w:qFormat/>
    <w:rPr>
      <w:i/>
    </w:rPr>
  </w:style>
  <w:style w:type="character" w:styleId="811">
    <w:name w:val="Hyperlink"/>
    <w:basedOn w:val="778"/>
    <w:uiPriority w:val="0"/>
    <w:unhideWhenUsed/>
    <w:qFormat/>
    <w:rPr>
      <w:color w:val="0000ff" w:themeColor="hyperlink"/>
      <w:u w:val="single"/>
      <w14:textFill>
        <w14:solidFill>
          <w14:schemeClr w14:val="hlink"/>
        </w14:solidFill>
      </w14:textFill>
    </w:rPr>
  </w:style>
  <w:style w:type="character" w:styleId="812">
    <w:name w:val="annotation reference"/>
    <w:basedOn w:val="778"/>
    <w:uiPriority w:val="0"/>
    <w:qFormat/>
    <w:rPr>
      <w:sz w:val="21"/>
      <w:szCs w:val="21"/>
    </w:rPr>
  </w:style>
  <w:style w:type="character" w:styleId="813">
    <w:name w:val="footnote reference"/>
    <w:basedOn w:val="778"/>
    <w:uiPriority w:val="99"/>
    <w:unhideWhenUsed/>
    <w:qFormat/>
    <w:rPr>
      <w:vertAlign w:val="superscript"/>
    </w:rPr>
  </w:style>
  <w:style w:type="character" w:styleId="814" w:customStyle="1">
    <w:name w:val="Heading 1 Char"/>
    <w:basedOn w:val="778"/>
    <w:uiPriority w:val="9"/>
    <w:qFormat/>
    <w:rPr>
      <w:rFonts w:ascii="Arial" w:hAnsi="Arial" w:eastAsia="Arial" w:cs="Arial"/>
      <w:sz w:val="40"/>
      <w:szCs w:val="40"/>
    </w:rPr>
  </w:style>
  <w:style w:type="character" w:styleId="815" w:customStyle="1">
    <w:name w:val="Heading 2 Char"/>
    <w:basedOn w:val="778"/>
    <w:uiPriority w:val="9"/>
    <w:qFormat/>
    <w:rPr>
      <w:rFonts w:ascii="Arial" w:hAnsi="Arial" w:eastAsia="Arial" w:cs="Arial"/>
      <w:sz w:val="34"/>
    </w:rPr>
  </w:style>
  <w:style w:type="character" w:styleId="816" w:customStyle="1">
    <w:name w:val="Heading 3 Char"/>
    <w:basedOn w:val="778"/>
    <w:uiPriority w:val="9"/>
    <w:qFormat/>
    <w:rPr>
      <w:rFonts w:ascii="Arial" w:hAnsi="Arial" w:eastAsia="Arial" w:cs="Arial"/>
      <w:sz w:val="30"/>
      <w:szCs w:val="30"/>
    </w:rPr>
  </w:style>
  <w:style w:type="character" w:styleId="817" w:customStyle="1">
    <w:name w:val="Heading 4 Char"/>
    <w:basedOn w:val="778"/>
    <w:uiPriority w:val="9"/>
    <w:qFormat/>
    <w:rPr>
      <w:rFonts w:ascii="Arial" w:hAnsi="Arial" w:eastAsia="Arial" w:cs="Arial"/>
      <w:b/>
      <w:bCs/>
      <w:sz w:val="26"/>
      <w:szCs w:val="26"/>
    </w:rPr>
  </w:style>
  <w:style w:type="character" w:styleId="818" w:customStyle="1">
    <w:name w:val="标题 5 字符"/>
    <w:basedOn w:val="778"/>
    <w:link w:val="773"/>
    <w:uiPriority w:val="9"/>
    <w:qFormat/>
    <w:rPr>
      <w:rFonts w:ascii="Arial" w:hAnsi="Arial" w:eastAsia="Arial" w:cs="Arial"/>
      <w:b/>
      <w:bCs/>
      <w:sz w:val="24"/>
      <w:szCs w:val="24"/>
    </w:rPr>
  </w:style>
  <w:style w:type="character" w:styleId="819" w:customStyle="1">
    <w:name w:val="标题 6 字符"/>
    <w:basedOn w:val="778"/>
    <w:link w:val="774"/>
    <w:uiPriority w:val="9"/>
    <w:qFormat/>
    <w:rPr>
      <w:rFonts w:ascii="Arial" w:hAnsi="Arial" w:eastAsia="Arial" w:cs="Arial"/>
      <w:b/>
      <w:bCs/>
      <w:sz w:val="22"/>
      <w:szCs w:val="22"/>
    </w:rPr>
  </w:style>
  <w:style w:type="character" w:styleId="820" w:customStyle="1">
    <w:name w:val="标题 7 字符"/>
    <w:basedOn w:val="778"/>
    <w:link w:val="775"/>
    <w:uiPriority w:val="9"/>
    <w:qFormat/>
    <w:rPr>
      <w:rFonts w:ascii="Arial" w:hAnsi="Arial" w:eastAsia="Arial" w:cs="Arial"/>
      <w:b/>
      <w:bCs/>
      <w:i/>
      <w:iCs/>
      <w:sz w:val="22"/>
      <w:szCs w:val="22"/>
    </w:rPr>
  </w:style>
  <w:style w:type="character" w:styleId="821" w:customStyle="1">
    <w:name w:val="标题 8 字符"/>
    <w:basedOn w:val="778"/>
    <w:link w:val="776"/>
    <w:uiPriority w:val="9"/>
    <w:qFormat/>
    <w:rPr>
      <w:rFonts w:ascii="Arial" w:hAnsi="Arial" w:eastAsia="Arial" w:cs="Arial"/>
      <w:i/>
      <w:iCs/>
      <w:sz w:val="22"/>
      <w:szCs w:val="22"/>
    </w:rPr>
  </w:style>
  <w:style w:type="character" w:styleId="822" w:customStyle="1">
    <w:name w:val="标题 9 字符"/>
    <w:basedOn w:val="778"/>
    <w:link w:val="777"/>
    <w:uiPriority w:val="9"/>
    <w:qFormat/>
    <w:rPr>
      <w:rFonts w:ascii="Arial" w:hAnsi="Arial" w:eastAsia="Arial" w:cs="Arial"/>
      <w:i/>
      <w:iCs/>
      <w:sz w:val="21"/>
      <w:szCs w:val="21"/>
    </w:rPr>
  </w:style>
  <w:style w:type="paragraph" w:styleId="823">
    <w:name w:val="No Spacing"/>
    <w:uiPriority w:val="1"/>
    <w:qFormat/>
    <w:rPr>
      <w:rFonts w:ascii="Times New Roman" w:hAnsi="Times New Roman" w:eastAsia="宋体" w:cs="Times New Roman"/>
      <w:lang w:val="en-US" w:eastAsia="zh-CN" w:bidi="ar-SA"/>
    </w:rPr>
  </w:style>
  <w:style w:type="character" w:styleId="824" w:customStyle="1">
    <w:name w:val="标题 字符"/>
    <w:basedOn w:val="778"/>
    <w:link w:val="804"/>
    <w:uiPriority w:val="10"/>
    <w:qFormat/>
    <w:rPr>
      <w:sz w:val="48"/>
      <w:szCs w:val="48"/>
    </w:rPr>
  </w:style>
  <w:style w:type="character" w:styleId="825" w:customStyle="1">
    <w:name w:val="副标题 字符"/>
    <w:basedOn w:val="778"/>
    <w:link w:val="797"/>
    <w:uiPriority w:val="11"/>
    <w:qFormat/>
    <w:rPr>
      <w:sz w:val="24"/>
      <w:szCs w:val="24"/>
    </w:rPr>
  </w:style>
  <w:style w:type="paragraph" w:styleId="826">
    <w:name w:val="Quote"/>
    <w:basedOn w:val="768"/>
    <w:next w:val="768"/>
    <w:link w:val="827"/>
    <w:uiPriority w:val="29"/>
    <w:qFormat/>
    <w:pPr>
      <w:ind w:left="720" w:right="720"/>
    </w:pPr>
    <w:rPr>
      <w:i/>
    </w:rPr>
  </w:style>
  <w:style w:type="character" w:styleId="827" w:customStyle="1">
    <w:name w:val="引用 字符"/>
    <w:link w:val="826"/>
    <w:uiPriority w:val="29"/>
    <w:qFormat/>
    <w:rPr>
      <w:i/>
    </w:rPr>
  </w:style>
  <w:style w:type="paragraph" w:styleId="828">
    <w:name w:val="Intense Quote"/>
    <w:basedOn w:val="768"/>
    <w:next w:val="768"/>
    <w:link w:val="8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明显引用 字符"/>
    <w:link w:val="828"/>
    <w:uiPriority w:val="30"/>
    <w:qFormat/>
    <w:rPr>
      <w:i/>
    </w:rPr>
  </w:style>
  <w:style w:type="character" w:styleId="830" w:customStyle="1">
    <w:name w:val="Header Char"/>
    <w:basedOn w:val="778"/>
    <w:uiPriority w:val="99"/>
    <w:qFormat/>
  </w:style>
  <w:style w:type="character" w:styleId="831" w:customStyle="1">
    <w:name w:val="Footer Char"/>
    <w:basedOn w:val="778"/>
    <w:uiPriority w:val="99"/>
    <w:qFormat/>
  </w:style>
  <w:style w:type="character" w:styleId="832" w:customStyle="1">
    <w:name w:val="Caption Char"/>
    <w:uiPriority w:val="99"/>
    <w:qFormat/>
  </w:style>
  <w:style w:type="table" w:styleId="833" w:customStyle="1">
    <w:name w:val="Table Grid Light"/>
    <w:basedOn w:val="77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4" w:customStyle="1">
    <w:name w:val="无格式表格 11"/>
    <w:basedOn w:val="77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21"/>
    <w:basedOn w:val="77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31"/>
    <w:basedOn w:val="77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无格式表格 41"/>
    <w:basedOn w:val="77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无格式表格 51"/>
    <w:basedOn w:val="77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网格表 1 浅色1"/>
    <w:basedOn w:val="77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1"/>
    <w:basedOn w:val="77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2"/>
    <w:basedOn w:val="77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3"/>
    <w:basedOn w:val="77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4"/>
    <w:basedOn w:val="77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5"/>
    <w:basedOn w:val="77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6"/>
    <w:basedOn w:val="77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6" w:customStyle="1">
    <w:name w:val="网格表 21"/>
    <w:basedOn w:val="77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7" w:customStyle="1">
    <w:name w:val="Grid Table 2 - Accent 1"/>
    <w:basedOn w:val="77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8" w:customStyle="1">
    <w:name w:val="Grid Table 2 - Accent 2"/>
    <w:basedOn w:val="77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Grid Table 2 - Accent 3"/>
    <w:basedOn w:val="77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0" w:customStyle="1">
    <w:name w:val="Grid Table 2 - Accent 4"/>
    <w:basedOn w:val="77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2 - Accent 5"/>
    <w:basedOn w:val="77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Grid Table 2 - Accent 6"/>
    <w:basedOn w:val="77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网格表 31"/>
    <w:basedOn w:val="77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1"/>
    <w:basedOn w:val="77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basedOn w:val="77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basedOn w:val="77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basedOn w:val="77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basedOn w:val="77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basedOn w:val="77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网格表 41"/>
    <w:basedOn w:val="77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4 - Accent 1"/>
    <w:basedOn w:val="77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2" w:customStyle="1">
    <w:name w:val="Grid Table 4 - Accent 2"/>
    <w:basedOn w:val="77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3" w:customStyle="1">
    <w:name w:val="Grid Table 4 - Accent 3"/>
    <w:basedOn w:val="77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4" w:customStyle="1">
    <w:name w:val="Grid Table 4 - Accent 4"/>
    <w:basedOn w:val="77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5" w:customStyle="1">
    <w:name w:val="Grid Table 4 - Accent 5"/>
    <w:basedOn w:val="77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6" w:customStyle="1">
    <w:name w:val="Grid Table 4 - Accent 6"/>
    <w:basedOn w:val="77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7" w:customStyle="1">
    <w:name w:val="网格表 5 深色1"/>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5 Dark- Accent 1"/>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9" w:customStyle="1">
    <w:name w:val="Grid Table 5 Dark - Accent 2"/>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0" w:customStyle="1">
    <w:name w:val="Grid Table 5 Dark - Accent 3"/>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1" w:customStyle="1">
    <w:name w:val="Grid Table 5 Dark- Accent 4"/>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2" w:customStyle="1">
    <w:name w:val="Grid Table 5 Dark - Accent 5"/>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3" w:customStyle="1">
    <w:name w:val="Grid Table 5 Dark - Accent 6"/>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4" w:customStyle="1">
    <w:name w:val="网格表 6 彩色1"/>
    <w:basedOn w:val="77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Grid Table 6 Colorful - Accent 1"/>
    <w:basedOn w:val="77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6" w:customStyle="1">
    <w:name w:val="Grid Table 6 Colorful - Accent 2"/>
    <w:basedOn w:val="77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7" w:customStyle="1">
    <w:name w:val="Grid Table 6 Colorful - Accent 3"/>
    <w:basedOn w:val="77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8" w:customStyle="1">
    <w:name w:val="Grid Table 6 Colorful - Accent 4"/>
    <w:basedOn w:val="77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9" w:customStyle="1">
    <w:name w:val="Grid Table 6 Colorful - Accent 5"/>
    <w:basedOn w:val="77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Grid Table 6 Colorful - Accent 6"/>
    <w:basedOn w:val="77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网格表 7 彩色1"/>
    <w:basedOn w:val="77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Grid Table 7 Colorful - Accent 1"/>
    <w:basedOn w:val="77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3" w:customStyle="1">
    <w:name w:val="Grid Table 7 Colorful - Accent 2"/>
    <w:basedOn w:val="77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7 Colorful - Accent 3"/>
    <w:basedOn w:val="77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7 Colorful - Accent 4"/>
    <w:basedOn w:val="77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7 Colorful - Accent 5"/>
    <w:basedOn w:val="77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7" w:customStyle="1">
    <w:name w:val="Grid Table 7 Colorful - Accent 6"/>
    <w:basedOn w:val="77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8" w:customStyle="1">
    <w:name w:val="清单表 1 浅色1"/>
    <w:basedOn w:val="77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List Table 1 Light - Accent 1"/>
    <w:basedOn w:val="77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1 Light - Accent 2"/>
    <w:basedOn w:val="77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1" w:customStyle="1">
    <w:name w:val="List Table 1 Light - Accent 3"/>
    <w:basedOn w:val="77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2" w:customStyle="1">
    <w:name w:val="List Table 1 Light - Accent 4"/>
    <w:basedOn w:val="77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3" w:customStyle="1">
    <w:name w:val="List Table 1 Light - Accent 5"/>
    <w:basedOn w:val="77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4" w:customStyle="1">
    <w:name w:val="List Table 1 Light - Accent 6"/>
    <w:basedOn w:val="77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5" w:customStyle="1">
    <w:name w:val="清单表 21"/>
    <w:basedOn w:val="77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6" w:customStyle="1">
    <w:name w:val="List Table 2 - Accent 1"/>
    <w:basedOn w:val="77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7" w:customStyle="1">
    <w:name w:val="List Table 2 - Accent 2"/>
    <w:basedOn w:val="77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8" w:customStyle="1">
    <w:name w:val="List Table 2 - Accent 3"/>
    <w:basedOn w:val="77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9" w:customStyle="1">
    <w:name w:val="List Table 2 - Accent 4"/>
    <w:basedOn w:val="77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0" w:customStyle="1">
    <w:name w:val="List Table 2 - Accent 5"/>
    <w:basedOn w:val="77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1" w:customStyle="1">
    <w:name w:val="List Table 2 - Accent 6"/>
    <w:basedOn w:val="77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2" w:customStyle="1">
    <w:name w:val="清单表 31"/>
    <w:basedOn w:val="7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3 - Accent 1"/>
    <w:basedOn w:val="77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3 - Accent 2"/>
    <w:basedOn w:val="77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5" w:customStyle="1">
    <w:name w:val="List Table 3 - Accent 3"/>
    <w:basedOn w:val="77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6" w:customStyle="1">
    <w:name w:val="List Table 3 - Accent 4"/>
    <w:basedOn w:val="77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7" w:customStyle="1">
    <w:name w:val="List Table 3 - Accent 5"/>
    <w:basedOn w:val="77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8" w:customStyle="1">
    <w:name w:val="List Table 3 - Accent 6"/>
    <w:basedOn w:val="77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9" w:customStyle="1">
    <w:name w:val="清单表 41"/>
    <w:basedOn w:val="7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4 - Accent 1"/>
    <w:basedOn w:val="77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4 - Accent 2"/>
    <w:basedOn w:val="77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2" w:customStyle="1">
    <w:name w:val="List Table 4 - Accent 3"/>
    <w:basedOn w:val="77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3" w:customStyle="1">
    <w:name w:val="List Table 4 - Accent 4"/>
    <w:basedOn w:val="77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4" w:customStyle="1">
    <w:name w:val="List Table 4 - Accent 5"/>
    <w:basedOn w:val="77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5" w:customStyle="1">
    <w:name w:val="List Table 4 - Accent 6"/>
    <w:basedOn w:val="77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6" w:customStyle="1">
    <w:name w:val="清单表 5 深色1"/>
    <w:basedOn w:val="77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1"/>
    <w:basedOn w:val="77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2"/>
    <w:basedOn w:val="77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3"/>
    <w:basedOn w:val="77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4"/>
    <w:basedOn w:val="77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5"/>
    <w:basedOn w:val="77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6"/>
    <w:basedOn w:val="77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清单表 6 彩色1"/>
    <w:basedOn w:val="77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4" w:customStyle="1">
    <w:name w:val="List Table 6 Colorful - Accent 1"/>
    <w:basedOn w:val="77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5" w:customStyle="1">
    <w:name w:val="List Table 6 Colorful - Accent 2"/>
    <w:basedOn w:val="77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6" w:customStyle="1">
    <w:name w:val="List Table 6 Colorful - Accent 3"/>
    <w:basedOn w:val="77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7" w:customStyle="1">
    <w:name w:val="List Table 6 Colorful - Accent 4"/>
    <w:basedOn w:val="77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8" w:customStyle="1">
    <w:name w:val="List Table 6 Colorful - Accent 5"/>
    <w:basedOn w:val="77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9" w:customStyle="1">
    <w:name w:val="List Table 6 Colorful - Accent 6"/>
    <w:basedOn w:val="77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0" w:customStyle="1">
    <w:name w:val="清单表 7 彩色1"/>
    <w:basedOn w:val="77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List Table 7 Colorful - Accent 1"/>
    <w:basedOn w:val="77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2" w:customStyle="1">
    <w:name w:val="List Table 7 Colorful - Accent 2"/>
    <w:basedOn w:val="77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3" w:customStyle="1">
    <w:name w:val="List Table 7 Colorful - Accent 3"/>
    <w:basedOn w:val="77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4" w:customStyle="1">
    <w:name w:val="List Table 7 Colorful - Accent 4"/>
    <w:basedOn w:val="77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List Table 7 Colorful - Accent 5"/>
    <w:basedOn w:val="77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6" w:customStyle="1">
    <w:name w:val="List Table 7 Colorful - Accent 6"/>
    <w:basedOn w:val="77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7" w:customStyle="1">
    <w:name w:val="Lined - Accent"/>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Lined - Accent 1"/>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Lined - Accent 2"/>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Lined - Accent 3"/>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Lined - Accent 4"/>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Lined - Accent 5"/>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Lined - Accent 6"/>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amp; Lined - Accent"/>
    <w:basedOn w:val="77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Bordered &amp; Lined - Accent 1"/>
    <w:basedOn w:val="77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6" w:customStyle="1">
    <w:name w:val="Bordered &amp; Lined - Accent 2"/>
    <w:basedOn w:val="77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7" w:customStyle="1">
    <w:name w:val="Bordered &amp; Lined - Accent 3"/>
    <w:basedOn w:val="77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8" w:customStyle="1">
    <w:name w:val="Bordered &amp; Lined - Accent 4"/>
    <w:basedOn w:val="77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Bordered &amp; Lined - Accent 5"/>
    <w:basedOn w:val="77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Bordered &amp; Lined - Accent 6"/>
    <w:basedOn w:val="77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w:basedOn w:val="77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2" w:customStyle="1">
    <w:name w:val="Bordered - Accent 1"/>
    <w:basedOn w:val="77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3" w:customStyle="1">
    <w:name w:val="Bordered - Accent 2"/>
    <w:basedOn w:val="77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4" w:customStyle="1">
    <w:name w:val="Bordered - Accent 3"/>
    <w:basedOn w:val="77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5" w:customStyle="1">
    <w:name w:val="Bordered - Accent 4"/>
    <w:basedOn w:val="77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6" w:customStyle="1">
    <w:name w:val="Bordered - Accent 5"/>
    <w:basedOn w:val="77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7" w:customStyle="1">
    <w:name w:val="Bordered - Accent 6"/>
    <w:basedOn w:val="77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8" w:customStyle="1">
    <w:name w:val="脚注文本 字符"/>
    <w:link w:val="798"/>
    <w:uiPriority w:val="99"/>
    <w:qFormat/>
    <w:rPr>
      <w:sz w:val="18"/>
    </w:rPr>
  </w:style>
  <w:style w:type="character" w:styleId="959" w:customStyle="1">
    <w:name w:val="尾注文本 字符"/>
    <w:link w:val="791"/>
    <w:uiPriority w:val="99"/>
    <w:qFormat/>
    <w:rPr>
      <w:sz w:val="20"/>
    </w:rPr>
  </w:style>
  <w:style w:type="paragraph" w:styleId="960" w:customStyle="1">
    <w:name w:val="TOC 标题1"/>
    <w:uiPriority w:val="39"/>
    <w:unhideWhenUsed/>
    <w:qFormat/>
    <w:rPr>
      <w:rFonts w:ascii="Times New Roman" w:hAnsi="Times New Roman" w:eastAsia="宋体" w:cs="Times New Roman"/>
      <w:lang w:val="en-US" w:eastAsia="zh-CN" w:bidi="ar-SA"/>
    </w:rPr>
  </w:style>
  <w:style w:type="paragraph" w:styleId="961">
    <w:name w:val="List Paragraph"/>
    <w:basedOn w:val="768"/>
    <w:uiPriority w:val="1"/>
    <w:qFormat/>
    <w:pPr>
      <w:ind w:left="218" w:firstLine="420"/>
    </w:pPr>
  </w:style>
  <w:style w:type="table" w:styleId="962" w:customStyle="1">
    <w:name w:val="Table Normal"/>
    <w:uiPriority w:val="2"/>
    <w:semiHidden/>
    <w:unhideWhenUsed/>
    <w:qFormat/>
    <w:tblPr>
      <w:tblCellMar>
        <w:left w:w="0" w:type="dxa"/>
        <w:top w:w="0" w:type="dxa"/>
        <w:right w:w="0" w:type="dxa"/>
        <w:bottom w:w="0" w:type="dxa"/>
      </w:tblCellMar>
    </w:tblPr>
  </w:style>
  <w:style w:type="paragraph" w:styleId="963" w:customStyle="1">
    <w:name w:val="Table Paragraph"/>
    <w:basedOn w:val="768"/>
    <w:uiPriority w:val="1"/>
    <w:qFormat/>
  </w:style>
  <w:style w:type="character" w:styleId="964" w:customStyle="1">
    <w:name w:val="font31"/>
    <w:basedOn w:val="778"/>
    <w:uiPriority w:val="0"/>
    <w:qFormat/>
    <w:rPr>
      <w:rFonts w:hint="default" w:ascii="Times New Roman" w:hAnsi="Times New Roman" w:cs="Times New Roman"/>
      <w:color w:val="000000"/>
      <w:sz w:val="20"/>
      <w:szCs w:val="20"/>
      <w:u w:val="none"/>
    </w:rPr>
  </w:style>
  <w:style w:type="character" w:styleId="965" w:customStyle="1">
    <w:name w:val="font41"/>
    <w:basedOn w:val="778"/>
    <w:uiPriority w:val="0"/>
    <w:qFormat/>
    <w:rPr>
      <w:rFonts w:hint="default" w:ascii="方正仿宋简体" w:hAnsi="方正仿宋简体" w:eastAsia="方正仿宋简体" w:cs="方正仿宋简体"/>
      <w:color w:val="000000"/>
      <w:sz w:val="20"/>
      <w:szCs w:val="20"/>
      <w:u w:val="none"/>
    </w:rPr>
  </w:style>
  <w:style w:type="character" w:styleId="966" w:customStyle="1">
    <w:name w:val="font11"/>
    <w:basedOn w:val="778"/>
    <w:uiPriority w:val="0"/>
    <w:qFormat/>
    <w:rPr>
      <w:rFonts w:hint="eastAsia" w:ascii="宋体" w:hAnsi="宋体" w:eastAsia="宋体" w:cs="宋体"/>
      <w:color w:val="000000"/>
      <w:sz w:val="20"/>
      <w:szCs w:val="20"/>
      <w:u w:val="none"/>
    </w:rPr>
  </w:style>
  <w:style w:type="character" w:styleId="967" w:customStyle="1">
    <w:name w:val="批注框文本 字符"/>
    <w:basedOn w:val="778"/>
    <w:link w:val="792"/>
    <w:uiPriority w:val="0"/>
    <w:qFormat/>
    <w:rPr>
      <w:rFonts w:ascii="宋体" w:hAnsi="宋体" w:cs="宋体"/>
      <w:sz w:val="18"/>
      <w:szCs w:val="18"/>
      <w:lang w:val="zh-CN" w:bidi="zh-CN"/>
    </w:rPr>
  </w:style>
  <w:style w:type="paragraph" w:styleId="968" w:customStyle="1">
    <w:name w:val="列出段落1"/>
    <w:basedOn w:val="768"/>
    <w:uiPriority w:val="99"/>
    <w:qFormat/>
    <w:pPr>
      <w:ind w:firstLine="420"/>
    </w:pPr>
  </w:style>
  <w:style w:type="paragraph" w:styleId="969" w:customStyle="1">
    <w:name w:val="标题 21"/>
    <w:basedOn w:val="768"/>
    <w:uiPriority w:val="1"/>
    <w:qFormat/>
    <w:pPr>
      <w:outlineLvl w:val="2"/>
    </w:pPr>
    <w:rPr>
      <w:rFonts w:ascii="黑体" w:hAnsi="黑体" w:eastAsia="黑体" w:cs="黑体"/>
      <w:sz w:val="36"/>
      <w:szCs w:val="36"/>
    </w:rPr>
  </w:style>
  <w:style w:type="paragraph" w:styleId="970" w:customStyle="1">
    <w:name w:val="标题 51"/>
    <w:basedOn w:val="768"/>
    <w:uiPriority w:val="1"/>
    <w:qFormat/>
    <w:pPr>
      <w:ind w:left="638"/>
      <w:outlineLvl w:val="5"/>
    </w:pPr>
    <w:rPr>
      <w:b/>
      <w:bCs/>
      <w:sz w:val="21"/>
      <w:szCs w:val="21"/>
    </w:rPr>
  </w:style>
  <w:style w:type="paragraph" w:styleId="971" w:customStyle="1">
    <w:name w:val="Body text|1"/>
    <w:basedOn w:val="768"/>
    <w:uiPriority w:val="0"/>
    <w:qFormat/>
    <w:pPr>
      <w:ind w:firstLine="400"/>
      <w:spacing w:after="180" w:line="410" w:lineRule="auto"/>
    </w:pPr>
    <w:rPr>
      <w:color w:val="1b1626"/>
      <w:sz w:val="30"/>
      <w:szCs w:val="30"/>
      <w:lang w:val="zh-TW" w:eastAsia="zh-TW" w:bidi="zh-TW"/>
    </w:rPr>
  </w:style>
  <w:style w:type="paragraph" w:styleId="972" w:customStyle="1">
    <w:name w:val="Heading #2|1"/>
    <w:basedOn w:val="768"/>
    <w:uiPriority w:val="0"/>
    <w:qFormat/>
    <w:pPr>
      <w:ind w:firstLine="700"/>
      <w:spacing w:after="180" w:line="584" w:lineRule="exact"/>
      <w:outlineLvl w:val="1"/>
    </w:pPr>
    <w:rPr>
      <w:b/>
      <w:bCs/>
      <w:color w:val="1b1626"/>
      <w:sz w:val="30"/>
      <w:szCs w:val="30"/>
      <w:lang w:val="zh-TW" w:eastAsia="zh-TW" w:bidi="zh-TW"/>
    </w:rPr>
  </w:style>
  <w:style w:type="paragraph" w:styleId="973" w:customStyle="1">
    <w:name w:val="表内文字居左"/>
    <w:basedOn w:val="768"/>
    <w:uiPriority w:val="0"/>
    <w:qFormat/>
    <w:rPr>
      <w:sz w:val="24"/>
      <w:szCs w:val="24"/>
    </w:rPr>
  </w:style>
  <w:style w:type="paragraph" w:styleId="974" w:customStyle="1">
    <w:name w:val="正文-首缩2"/>
    <w:basedOn w:val="768"/>
    <w:uiPriority w:val="0"/>
    <w:qFormat/>
    <w:pPr>
      <w:ind w:firstLine="200"/>
      <w:spacing w:line="360" w:lineRule="auto"/>
    </w:pPr>
    <w:rPr>
      <w:rFonts w:ascii="Times New Roman" w:hAnsi="Times New Roman" w:cs="Times New Roman"/>
      <w:sz w:val="28"/>
      <w:szCs w:val="28"/>
    </w:rPr>
  </w:style>
  <w:style w:type="paragraph" w:styleId="975" w:customStyle="1">
    <w:name w:val="正文首行缩进 211"/>
    <w:basedOn w:val="785"/>
    <w:uiPriority w:val="0"/>
    <w:qFormat/>
    <w:pPr>
      <w:ind w:firstLine="420"/>
      <w:spacing w:before="100" w:beforeAutospacing="1" w:line="360" w:lineRule="auto"/>
    </w:pPr>
    <w:rPr>
      <w:rFonts w:hAnsi="宋体"/>
      <w:sz w:val="20"/>
    </w:rPr>
  </w:style>
  <w:style w:type="paragraph" w:styleId="976" w:customStyle="1">
    <w:name w:val="正文首行缩进 21"/>
    <w:basedOn w:val="785"/>
    <w:uiPriority w:val="0"/>
    <w:qFormat/>
    <w:pPr>
      <w:ind w:firstLine="420"/>
      <w:spacing w:before="100" w:beforeAutospacing="1" w:line="360" w:lineRule="auto"/>
    </w:pPr>
    <w:rPr>
      <w:rFonts w:hAnsi="宋体"/>
      <w:sz w:val="20"/>
    </w:rPr>
  </w:style>
  <w:style w:type="character" w:styleId="977" w:customStyle="1">
    <w:name w:val="批注文字 字符"/>
    <w:basedOn w:val="778"/>
    <w:link w:val="783"/>
    <w:uiPriority w:val="0"/>
    <w:qFormat/>
    <w:rPr>
      <w:rFonts w:ascii="宋体" w:hAnsi="宋体" w:cs="宋体"/>
      <w:sz w:val="22"/>
      <w:szCs w:val="22"/>
      <w:lang w:val="zh-CN" w:bidi="zh-CN"/>
    </w:rPr>
  </w:style>
  <w:style w:type="character" w:styleId="978" w:customStyle="1">
    <w:name w:val="批注主题 字符"/>
    <w:basedOn w:val="977"/>
    <w:link w:val="805"/>
    <w:uiPriority w:val="0"/>
    <w:qFormat/>
    <w:rPr>
      <w:rFonts w:ascii="宋体" w:hAnsi="宋体" w:cs="宋体"/>
      <w:b/>
      <w:bCs/>
      <w:sz w:val="22"/>
      <w:szCs w:val="22"/>
      <w:lang w:val="zh-CN" w:bidi="zh-CN"/>
    </w:rPr>
  </w:style>
  <w:style w:type="paragraph" w:styleId="979" w:customStyle="1">
    <w:name w:val="WPSOffice手动目录 1"/>
    <w:uiPriority w:val="0"/>
    <w:qFormat/>
    <w:rPr>
      <w:rFonts w:ascii="Times New Roman" w:hAnsi="Times New Roman" w:eastAsia="宋体" w:cs="Times New Roman"/>
      <w:lang w:val="en-US" w:eastAsia="zh-CN" w:bidi="ar-SA"/>
    </w:rPr>
  </w:style>
  <w:style w:type="paragraph" w:styleId="980" w:customStyle="1">
    <w:name w:val="二级目录"/>
    <w:next w:val="768"/>
    <w:uiPriority w:val="0"/>
    <w:qFormat/>
    <w:pPr>
      <w:tabs>
        <w:tab w:val="left" w:pos="720" w:leader="none"/>
      </w:tabs>
      <w:outlineLvl w:val="1"/>
    </w:pPr>
    <w:rPr>
      <w:rFonts w:ascii="Calibri" w:hAnsi="Calibri" w:eastAsia="宋体" w:cs="Times New Roman"/>
      <w:b/>
      <w:sz w:val="30"/>
      <w:szCs w:val="28"/>
      <w:lang w:val="en-US" w:eastAsia="zh-CN" w:bidi="ar-SA"/>
    </w:rPr>
  </w:style>
  <w:style w:type="character" w:styleId="981" w:customStyle="1">
    <w:name w:val="纯文本 字符"/>
    <w:basedOn w:val="778"/>
    <w:link w:val="789"/>
    <w:uiPriority w:val="0"/>
    <w:qFormat/>
    <w:rPr>
      <w:rFonts w:ascii="宋体" w:hAnsi="Courier New" w:cs="宋体"/>
      <w:sz w:val="22"/>
      <w:szCs w:val="22"/>
      <w:lang w:val="zh-CN" w:bidi="zh-CN"/>
    </w:rPr>
  </w:style>
  <w:style w:type="paragraph" w:styleId="982" w:customStyle="1">
    <w:name w:val="[Normal]"/>
    <w:uiPriority w:val="0"/>
    <w:qFormat/>
    <w:rPr>
      <w:rFonts w:ascii="方正仿宋简体" w:hAnsi="方正仿宋简体" w:eastAsia="方正仿宋简体" w:cs="Courier New"/>
      <w:sz w:val="24"/>
      <w:szCs w:val="22"/>
      <w:lang w:val="zh-CN" w:eastAsia="zh-CN" w:bidi="ar-SA"/>
    </w:rPr>
  </w:style>
  <w:style w:type="character" w:styleId="983" w:customStyle="1">
    <w:name w:val="font61"/>
    <w:basedOn w:val="778"/>
    <w:uiPriority w:val="0"/>
    <w:qFormat/>
    <w:rPr>
      <w:rFonts w:hint="eastAsia" w:ascii="宋体" w:hAnsi="宋体" w:eastAsia="宋体" w:cs="宋体"/>
      <w:color w:val="000000"/>
      <w:sz w:val="20"/>
      <w:szCs w:val="20"/>
      <w:u w:val="none"/>
    </w:rPr>
  </w:style>
  <w:style w:type="character" w:styleId="984" w:customStyle="1">
    <w:name w:val="font51"/>
    <w:basedOn w:val="778"/>
    <w:uiPriority w:val="0"/>
    <w:qFormat/>
    <w:rPr>
      <w:rFonts w:hint="eastAsia" w:ascii="宋体" w:hAnsi="宋体" w:eastAsia="宋体" w:cs="宋体"/>
      <w:color w:val="000000"/>
      <w:sz w:val="20"/>
      <w:szCs w:val="20"/>
      <w:u w:val="none"/>
    </w:rPr>
  </w:style>
  <w:style w:type="character" w:styleId="985" w:customStyle="1">
    <w:name w:val="font71"/>
    <w:basedOn w:val="778"/>
    <w:uiPriority w:val="0"/>
    <w:qFormat/>
    <w:rPr>
      <w:rFonts w:hint="eastAsia" w:ascii="宋体" w:hAnsi="宋体" w:eastAsia="宋体" w:cs="宋体"/>
      <w:b/>
      <w:bCs/>
      <w:color w:val="000000"/>
      <w:sz w:val="22"/>
      <w:szCs w:val="22"/>
      <w:u w:val="none"/>
    </w:rPr>
  </w:style>
  <w:style w:type="numbering" w:styleId="110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江跃</cp:lastModifiedBy>
  <cp:revision>54</cp:revision>
  <dcterms:created xsi:type="dcterms:W3CDTF">2024-09-07T23:11:00Z</dcterms:created>
  <dcterms:modified xsi:type="dcterms:W3CDTF">2026-03-24T01:11:25Z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2020-09-01T00:00:00Z</vt:filetime>
  </property>
  <property fmtid="{D5CDD505-2E9C-101B-9397-08002B2CF9AE}" pid="3" name="Creator">
    <vt:lpwstr>WPS 文字</vt:lpwstr>
  </property>
  <property fmtid="{D5CDD505-2E9C-101B-9397-08002B2CF9AE}" pid="4" name="LastSaved">
    <vt:filetime>2021-05-12T00:00:00Z</vt:filetime>
  </property>
  <property fmtid="{D5CDD505-2E9C-101B-9397-08002B2CF9AE}" pid="5" name="KSOProductBuildVer">
    <vt:lpwstr>2052-12.1.0.23542</vt:lpwstr>
  </property>
  <property fmtid="{D5CDD505-2E9C-101B-9397-08002B2CF9AE}" pid="6" name="ICV">
    <vt:lpwstr>7CE22B02CB4640A2BC404C3ABDC609C1_13</vt:lpwstr>
  </property>
  <property fmtid="{D5CDD505-2E9C-101B-9397-08002B2CF9AE}" pid="7" name="KSOTemplateDocerSaveRecord">
    <vt:lpwstr>eyJoZGlkIjoiYTRhMDcwNGIxZTNiMzM5ZGI1NmM3MmZhMTMyY2I2NmMiLCJ1c2VySWQiOiIyNzM4NDU2NzMifQ==</vt:lpwstr>
  </property>
</Properties>
</file>