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spacing w:line="360" w:lineRule="auto"/>
        <w:rPr>
          <w:rFonts w:ascii="Arial" w:hAnsi="Arial"/>
          <w:bCs/>
          <w:color w:val="auto"/>
          <w:sz w:val="30"/>
          <w:highlight w:val="none"/>
        </w:rPr>
      </w:pPr>
      <w:r>
        <w:rPr>
          <w:rFonts w:ascii="Arial" w:hAnsi="Arial"/>
          <w:bCs/>
          <w:color w:val="auto"/>
          <w:sz w:val="30"/>
          <w:highlight w:val="none"/>
        </w:rPr>
      </w:r>
      <w:r/>
    </w:p>
    <w:p>
      <w:pPr>
        <w:ind w:left="660"/>
        <w:spacing w:line="360" w:lineRule="auto"/>
        <w:rPr>
          <w:rFonts w:ascii="Arial" w:hAnsi="Arial"/>
          <w:bCs/>
          <w:color w:val="auto"/>
          <w:sz w:val="30"/>
          <w:highlight w:val="none"/>
        </w:rPr>
      </w:pPr>
      <w:r>
        <w:rPr>
          <w:rFonts w:ascii="Arial" w:hAnsi="Arial"/>
          <w:bCs/>
          <w:color w:val="auto"/>
          <w:sz w:val="30"/>
          <w:highlight w:val="none"/>
        </w:rPr>
      </w:r>
      <w:r/>
    </w:p>
    <w:p>
      <w:pPr>
        <w:jc w:val="center"/>
        <w:spacing w:line="360" w:lineRule="auto"/>
        <w:rPr>
          <w:rFonts w:hint="eastAsia" w:ascii="宋体" w:hAnsi="宋体" w:eastAsia="宋体" w:cs="宋体"/>
          <w:b/>
          <w:color w:val="auto"/>
          <w:sz w:val="56"/>
          <w:szCs w:val="56"/>
          <w:highlight w:val="none"/>
        </w:rPr>
      </w:pPr>
      <w:r>
        <w:rPr>
          <w:rFonts w:hint="eastAsia" w:ascii="宋体" w:hAnsi="宋体" w:eastAsia="宋体" w:cs="宋体"/>
          <w:b/>
          <w:color w:val="auto"/>
          <w:sz w:val="56"/>
          <w:szCs w:val="56"/>
          <w:highlight w:val="none"/>
        </w:rPr>
      </w:r>
      <w:r/>
    </w:p>
    <w:p>
      <w:pPr>
        <w:jc w:val="center"/>
        <w:spacing w:line="480" w:lineRule="auto"/>
        <w:rPr>
          <w:rFonts w:ascii="宋体" w:hAnsi="宋体" w:eastAsia="宋体" w:cs="宋体"/>
          <w:b/>
          <w:color w:val="auto"/>
          <w:sz w:val="56"/>
          <w:szCs w:val="56"/>
          <w:highlight w:val="none"/>
        </w:rPr>
      </w:pPr>
      <w:r>
        <w:rPr>
          <w:rFonts w:hint="eastAsia" w:ascii="宋体" w:hAnsi="宋体" w:eastAsia="宋体" w:cs="宋体"/>
          <w:b/>
          <w:color w:val="auto"/>
          <w:sz w:val="56"/>
          <w:szCs w:val="56"/>
          <w:highlight w:val="none"/>
        </w:rPr>
        <w:t xml:space="preserve">无锡市政府采购项目</w:t>
      </w:r>
      <w:r/>
    </w:p>
    <w:p>
      <w:pPr>
        <w:jc w:val="center"/>
        <w:spacing w:line="480" w:lineRule="auto"/>
        <w:rPr>
          <w:rFonts w:ascii="Arial" w:hAnsi="Arial"/>
          <w:b/>
          <w:bCs/>
          <w:color w:val="auto"/>
          <w:spacing w:val="20"/>
          <w:sz w:val="56"/>
          <w:szCs w:val="56"/>
          <w:highlight w:val="none"/>
        </w:rPr>
      </w:pPr>
      <w:r>
        <w:rPr>
          <w:rFonts w:hint="eastAsia" w:ascii="Arial" w:hAnsi="Arial"/>
          <w:b/>
          <w:bCs/>
          <w:color w:val="auto"/>
          <w:spacing w:val="20"/>
          <w:sz w:val="56"/>
          <w:szCs w:val="56"/>
          <w:highlight w:val="none"/>
        </w:rPr>
        <w:t xml:space="preserve">公开</w:t>
      </w:r>
      <w:r>
        <w:rPr>
          <w:rFonts w:ascii="Arial" w:hAnsi="Arial"/>
          <w:b/>
          <w:color w:val="auto"/>
          <w:sz w:val="22"/>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-113030</wp:posOffset>
                </wp:positionH>
                <wp:positionV relativeFrom="paragraph">
                  <wp:posOffset>198120</wp:posOffset>
                </wp:positionV>
                <wp:extent cx="635" cy="0"/>
                <wp:effectExtent l="0" t="4445" r="0" b="5080"/>
                <wp:wrapNone/>
                <wp:docPr id="1"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a:effectLst/>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8.9pt,15.6pt" to="-8.8pt,15.6pt" fillcolor="#FFFFFF" strokecolor="#000000"/>
            </w:pict>
          </mc:Fallback>
        </mc:AlternateContent>
      </w:r>
      <w:r>
        <w:rPr>
          <w:rFonts w:hint="eastAsia" w:ascii="Arial" w:hAnsi="Arial"/>
          <w:b/>
          <w:bCs/>
          <w:color w:val="auto"/>
          <w:spacing w:val="20"/>
          <w:sz w:val="56"/>
          <w:szCs w:val="56"/>
          <w:highlight w:val="none"/>
        </w:rPr>
        <w:t xml:space="preserve">招标文件</w:t>
      </w:r>
      <w:r/>
    </w:p>
    <w:p>
      <w:pPr>
        <w:jc w:val="center"/>
        <w:spacing w:line="480" w:lineRule="auto"/>
        <w:rPr>
          <w:rFonts w:hint="eastAsia" w:ascii="Arial" w:hAnsi="Arial" w:eastAsia="宋体"/>
          <w:b/>
          <w:bCs/>
          <w:color w:val="auto"/>
          <w:sz w:val="32"/>
          <w:szCs w:val="24"/>
          <w:highlight w:val="none"/>
          <w:lang w:val="en-US" w:eastAsia="zh-CN"/>
        </w:rPr>
      </w:pPr>
      <w:r>
        <w:rPr>
          <w:rFonts w:hint="eastAsia" w:ascii="Arial" w:hAnsi="Arial"/>
          <w:b/>
          <w:bCs/>
          <w:color w:val="auto"/>
          <w:sz w:val="32"/>
          <w:szCs w:val="24"/>
          <w:highlight w:val="none"/>
        </w:rPr>
        <w:t xml:space="preserve">（全流程电子化）（暗标）</w:t>
      </w:r>
      <w:r/>
    </w:p>
    <w:p>
      <w:pPr>
        <w:spacing w:line="360" w:lineRule="auto"/>
        <w:rPr>
          <w:rFonts w:ascii="Arial" w:hAnsi="Arial"/>
          <w:b/>
          <w:bCs/>
          <w:color w:val="auto"/>
          <w:sz w:val="30"/>
          <w:highlight w:val="none"/>
        </w:rPr>
      </w:pPr>
      <w:r>
        <w:rPr>
          <w:rFonts w:ascii="Arial" w:hAnsi="Arial"/>
          <w:b/>
          <w:bCs/>
          <w:color w:val="auto"/>
          <w:sz w:val="30"/>
          <w:highlight w:val="none"/>
        </w:rPr>
      </w:r>
      <w:r/>
    </w:p>
    <w:p>
      <w:pPr>
        <w:pStyle w:val="805"/>
      </w:pPr>
      <w:r/>
      <w:r/>
    </w:p>
    <w:p>
      <w:r/>
      <w:r/>
    </w:p>
    <w:p>
      <w:pPr>
        <w:pStyle w:val="805"/>
      </w:pPr>
      <w:r/>
      <w:r/>
    </w:p>
    <w:p>
      <w:pPr>
        <w:spacing w:line="360" w:lineRule="auto"/>
        <w:rPr>
          <w:rFonts w:ascii="Arial" w:hAnsi="Arial"/>
          <w:b/>
          <w:bCs/>
          <w:color w:val="auto"/>
          <w:sz w:val="30"/>
          <w:highlight w:val="none"/>
        </w:rPr>
      </w:pPr>
      <w:r>
        <w:rPr>
          <w:rFonts w:ascii="Arial" w:hAnsi="Arial"/>
          <w:b/>
          <w:bCs/>
          <w:color w:val="auto"/>
          <w:sz w:val="30"/>
          <w:highlight w:val="none"/>
        </w:rPr>
      </w:r>
      <w:r/>
    </w:p>
    <w:p>
      <w:pPr>
        <w:spacing w:line="360" w:lineRule="auto"/>
        <w:rPr>
          <w:rFonts w:ascii="Arial" w:hAnsi="Arial"/>
          <w:b/>
          <w:bCs/>
          <w:color w:val="000000" w:themeColor="text1"/>
          <w:sz w:val="30"/>
          <w:highlight w:val="none"/>
          <w14:textFill>
            <w14:solidFill>
              <w14:schemeClr w14:val="tx1"/>
            </w14:solidFill>
          </w14:textFill>
        </w:rPr>
      </w:pPr>
      <w:r>
        <w:rPr>
          <w:rFonts w:ascii="Arial" w:hAnsi="Arial"/>
          <w:b/>
          <w:bCs/>
          <w:color w:val="000000" w:themeColor="text1"/>
          <w:sz w:val="30"/>
          <w:highlight w:val="none"/>
          <w14:textFill>
            <w14:solidFill>
              <w14:schemeClr w14:val="tx1"/>
            </w14:solidFill>
          </w14:textFill>
        </w:rPr>
      </w:r>
      <w:r/>
    </w:p>
    <w:p>
      <w:pPr>
        <w:spacing w:line="480" w:lineRule="auto"/>
        <w:rPr>
          <w:rFonts w:hint="eastAsia" w:ascii="Arial" w:hAnsi="Arial" w:eastAsia="宋体"/>
          <w:bCs/>
          <w:color w:val="000000" w:themeColor="text1"/>
          <w:sz w:val="30"/>
          <w:szCs w:val="30"/>
          <w:highlight w:val="none"/>
          <w:lang w:eastAsia="zh-CN"/>
          <w14:textFill>
            <w14:solidFill>
              <w14:schemeClr w14:val="tx1"/>
            </w14:solidFill>
          </w14:textFill>
        </w:rPr>
      </w:pPr>
      <w:r>
        <w:rPr>
          <w:rFonts w:hint="eastAsia" w:ascii="Arial" w:hAnsi="Arial"/>
          <w:bCs/>
          <w:color w:val="000000" w:themeColor="text1"/>
          <w:sz w:val="30"/>
          <w:szCs w:val="30"/>
          <w:highlight w:val="none"/>
          <w14:textFill>
            <w14:solidFill>
              <w14:schemeClr w14:val="tx1"/>
            </w14:solidFill>
          </w14:textFill>
        </w:rPr>
        <w:t xml:space="preserve">采</w:t>
      </w:r>
      <w:r>
        <w:rPr>
          <w:rFonts w:hint="eastAsia" w:ascii="宋体" w:hAnsi="宋体" w:eastAsia="宋体" w:cs="宋体"/>
          <w:bCs/>
          <w:color w:val="000000" w:themeColor="text1"/>
          <w:sz w:val="30"/>
          <w:szCs w:val="30"/>
          <w:highlight w:val="none"/>
          <w14:textFill>
            <w14:solidFill>
              <w14:schemeClr w14:val="tx1"/>
            </w14:solidFill>
          </w14:textFill>
        </w:rPr>
        <w:t xml:space="preserve">购项目编号：</w:t>
      </w:r>
      <w:r>
        <w:rPr>
          <w:rFonts w:hint="eastAsia" w:ascii="宋体" w:hAnsi="宋体" w:eastAsia="宋体" w:cs="宋体"/>
          <w:bCs/>
          <w:color w:val="000000" w:themeColor="text1"/>
          <w:sz w:val="30"/>
          <w:szCs w:val="30"/>
          <w:highlight w:val="none"/>
          <w:lang w:eastAsia="zh-CN"/>
          <w14:textFill>
            <w14:solidFill>
              <w14:schemeClr w14:val="tx1"/>
            </w14:solidFill>
          </w14:textFill>
        </w:rPr>
        <w:t xml:space="preserve">JSZC-320292-WXJH-G2026-0004</w:t>
      </w:r>
      <w:r/>
    </w:p>
    <w:p>
      <w:pPr>
        <w:spacing w:line="480" w:lineRule="auto"/>
        <w:rPr>
          <w:rFonts w:hint="eastAsia" w:ascii="Arial" w:hAnsi="Arial" w:eastAsia="宋体"/>
          <w:bCs/>
          <w:color w:val="000000" w:themeColor="text1"/>
          <w:sz w:val="30"/>
          <w:szCs w:val="30"/>
          <w:highlight w:val="none"/>
          <w:lang w:eastAsia="zh-CN"/>
          <w14:textFill>
            <w14:solidFill>
              <w14:schemeClr w14:val="tx1"/>
            </w14:solidFill>
          </w14:textFill>
        </w:rPr>
      </w:pPr>
      <w:r>
        <w:rPr>
          <w:rFonts w:hint="eastAsia" w:ascii="Arial" w:hAnsi="Arial"/>
          <w:bCs/>
          <w:color w:val="000000" w:themeColor="text1"/>
          <w:sz w:val="30"/>
          <w:szCs w:val="30"/>
          <w:highlight w:val="none"/>
          <w14:textFill>
            <w14:solidFill>
              <w14:schemeClr w14:val="tx1"/>
            </w14:solidFill>
          </w14:textFill>
        </w:rPr>
        <w:t xml:space="preserve">采购项目名称：</w:t>
      </w:r>
      <w:r>
        <w:rPr>
          <w:rFonts w:hint="eastAsia" w:ascii="Arial" w:hAnsi="Arial" w:eastAsia="宋体"/>
          <w:bCs/>
          <w:color w:val="000000" w:themeColor="text1"/>
          <w:sz w:val="30"/>
          <w:szCs w:val="30"/>
          <w:highlight w:val="none"/>
          <w:lang w:eastAsia="zh-CN"/>
          <w14:textFill>
            <w14:solidFill>
              <w14:schemeClr w14:val="tx1"/>
            </w14:solidFill>
          </w14:textFill>
        </w:rPr>
        <w:t xml:space="preserve">市一中太湖新城分校实验室及专用教室仪器设备采购项目</w:t>
      </w:r>
      <w:r/>
    </w:p>
    <w:p>
      <w:pPr>
        <w:spacing w:line="480" w:lineRule="auto"/>
        <w:rPr>
          <w:rFonts w:ascii="宋体" w:hAnsi="宋体" w:eastAsia="宋体" w:cs="宋体"/>
          <w:bCs/>
          <w:color w:val="000000" w:themeColor="text1"/>
          <w:sz w:val="30"/>
          <w:szCs w:val="30"/>
          <w:highlight w:val="none"/>
          <w14:textFill>
            <w14:solidFill>
              <w14:schemeClr w14:val="tx1"/>
            </w14:solidFill>
          </w14:textFill>
        </w:rPr>
      </w:pPr>
      <w:r>
        <w:rPr>
          <w:rFonts w:hint="eastAsia" w:ascii="宋体" w:hAnsi="宋体" w:cs="宋体"/>
          <w:bCs/>
          <w:color w:val="000000" w:themeColor="text1"/>
          <w:sz w:val="30"/>
          <w:szCs w:val="30"/>
          <w:highlight w:val="none"/>
          <w14:textFill>
            <w14:solidFill>
              <w14:schemeClr w14:val="tx1"/>
            </w14:solidFill>
          </w14:textFill>
        </w:rPr>
        <w:t xml:space="preserve">采   购   人：</w:t>
      </w:r>
      <w:r>
        <w:rPr>
          <w:rFonts w:hint="eastAsia" w:ascii="宋体" w:hAnsi="宋体" w:eastAsia="宋体" w:cs="宋体"/>
          <w:bCs/>
          <w:color w:val="000000" w:themeColor="text1"/>
          <w:sz w:val="30"/>
          <w:szCs w:val="30"/>
          <w:highlight w:val="none"/>
          <w14:textFill>
            <w14:solidFill>
              <w14:schemeClr w14:val="tx1"/>
            </w14:solidFill>
          </w14:textFill>
        </w:rPr>
        <w:t xml:space="preserve">江苏无锡经济开发区发展中心、江苏无锡经济开发区教育局</w:t>
      </w:r>
      <w:r/>
    </w:p>
    <w:p>
      <w:pPr>
        <w:spacing w:line="480" w:lineRule="auto"/>
        <w:rPr>
          <w:rFonts w:ascii="Arial" w:hAnsi="Arial" w:eastAsia="宋体"/>
          <w:bCs/>
          <w:color w:val="000000" w:themeColor="text1"/>
          <w:sz w:val="30"/>
          <w:szCs w:val="30"/>
          <w:highlight w:val="none"/>
          <w14:textFill>
            <w14:solidFill>
              <w14:schemeClr w14:val="tx1"/>
            </w14:solidFill>
          </w14:textFill>
        </w:rPr>
      </w:pPr>
      <w:r>
        <w:rPr>
          <w:rFonts w:hint="eastAsia" w:ascii="Arial" w:hAnsi="Arial" w:eastAsia="宋体"/>
          <w:bCs/>
          <w:color w:val="000000" w:themeColor="text1"/>
          <w:sz w:val="30"/>
          <w:szCs w:val="30"/>
          <w:highlight w:val="none"/>
          <w14:textFill>
            <w14:solidFill>
              <w14:schemeClr w14:val="tx1"/>
            </w14:solidFill>
          </w14:textFill>
        </w:rPr>
        <w:t xml:space="preserve">采购代理机构：无锡市建汇建设工程咨询事务所有限公司</w:t>
      </w:r>
      <w:r/>
    </w:p>
    <w:p>
      <w:pPr>
        <w:spacing w:line="360" w:lineRule="auto"/>
        <w:rPr>
          <w:rFonts w:ascii="Arial" w:hAnsi="Arial"/>
          <w:bCs/>
          <w:color w:val="auto"/>
          <w:sz w:val="32"/>
          <w:highlight w:val="none"/>
        </w:rPr>
      </w:pPr>
      <w:r>
        <w:rPr>
          <w:rFonts w:ascii="Arial" w:hAnsi="Arial"/>
          <w:bCs/>
          <w:color w:val="auto"/>
          <w:sz w:val="32"/>
          <w:highlight w:val="none"/>
        </w:rPr>
      </w:r>
      <w:r/>
    </w:p>
    <w:p>
      <w:pPr>
        <w:spacing w:line="360" w:lineRule="auto"/>
        <w:rPr>
          <w:rFonts w:ascii="Arial" w:hAnsi="Arial"/>
          <w:bCs/>
          <w:color w:val="auto"/>
          <w:sz w:val="30"/>
          <w:highlight w:val="none"/>
        </w:rPr>
      </w:pPr>
      <w:r>
        <w:rPr>
          <w:rFonts w:ascii="Arial" w:hAnsi="Arial"/>
          <w:bCs/>
          <w:color w:val="auto"/>
          <w:sz w:val="30"/>
          <w:highlight w:val="none"/>
        </w:rPr>
      </w:r>
      <w:r/>
    </w:p>
    <w:p>
      <w:pPr>
        <w:spacing w:line="360" w:lineRule="auto"/>
        <w:rPr>
          <w:rFonts w:ascii="Arial" w:hAnsi="Arial"/>
          <w:bCs/>
          <w:color w:val="auto"/>
          <w:sz w:val="30"/>
          <w:highlight w:val="none"/>
        </w:rPr>
      </w:pPr>
      <w:r>
        <w:rPr>
          <w:rFonts w:ascii="Arial" w:hAnsi="Arial"/>
          <w:bCs/>
          <w:color w:val="auto"/>
          <w:sz w:val="30"/>
          <w:highlight w:val="none"/>
        </w:rPr>
      </w:r>
      <w:r/>
    </w:p>
    <w:p>
      <w:pPr>
        <w:jc w:val="center"/>
        <w:spacing w:line="360" w:lineRule="auto"/>
        <w:rPr>
          <w:rFonts w:ascii="宋体" w:hAnsi="宋体" w:eastAsia="宋体" w:cs="宋体"/>
          <w:bCs/>
          <w:color w:val="auto"/>
          <w:sz w:val="44"/>
          <w:szCs w:val="44"/>
          <w:highlight w:val="none"/>
        </w:rPr>
      </w:pPr>
      <w:r>
        <w:rPr>
          <w:rFonts w:hint="eastAsia" w:ascii="宋体" w:hAnsi="宋体" w:eastAsia="宋体" w:cs="宋体"/>
          <w:bCs/>
          <w:color w:val="auto"/>
          <w:sz w:val="44"/>
          <w:szCs w:val="44"/>
          <w:highlight w:val="none"/>
        </w:rPr>
        <w:t xml:space="preserve">二〇二六年</w:t>
      </w:r>
      <w:r>
        <w:rPr>
          <w:rFonts w:hint="eastAsia" w:ascii="宋体" w:hAnsi="宋体" w:eastAsia="宋体" w:cs="宋体"/>
          <w:bCs/>
          <w:color w:val="auto"/>
          <w:sz w:val="44"/>
          <w:szCs w:val="44"/>
          <w:highlight w:val="none"/>
          <w:lang w:val="en-US" w:eastAsia="zh-CN"/>
        </w:rPr>
        <w:t xml:space="preserve">三</w:t>
      </w:r>
      <w:r>
        <w:rPr>
          <w:rFonts w:hint="eastAsia" w:ascii="宋体" w:hAnsi="宋体" w:eastAsia="宋体" w:cs="宋体"/>
          <w:bCs/>
          <w:color w:val="auto"/>
          <w:sz w:val="44"/>
          <w:szCs w:val="44"/>
          <w:highlight w:val="none"/>
        </w:rPr>
        <w:t xml:space="preserve">月</w:t>
      </w:r>
      <w:bookmarkStart w:id="157" w:name="_GoBack"/>
      <w:r/>
      <w:bookmarkEnd w:id="157"/>
      <w:r/>
      <w:r/>
    </w:p>
    <w:p>
      <w:pPr>
        <w:spacing w:line="360" w:lineRule="auto"/>
        <w:rPr>
          <w:rStyle w:val="915"/>
          <w:rFonts w:ascii="Arial" w:hAnsi="Arial"/>
          <w:bCs/>
          <w:color w:val="auto"/>
          <w:sz w:val="48"/>
          <w:highlight w:val="none"/>
        </w:rPr>
      </w:pPr>
      <w:r>
        <w:rPr>
          <w:rFonts w:ascii="Arial" w:hAnsi="Arial"/>
          <w:bCs/>
          <w:color w:val="auto"/>
          <w:sz w:val="48"/>
          <w:highlight w:val="none"/>
        </w:rPr>
      </w:r>
      <w:r/>
    </w:p>
    <w:p>
      <w:pPr>
        <w:jc w:val="center"/>
        <w:spacing w:line="360" w:lineRule="auto"/>
        <w:rPr>
          <w:rStyle w:val="915"/>
          <w:rFonts w:ascii="Arial" w:hAnsi="Arial"/>
          <w:bCs/>
          <w:color w:val="auto"/>
          <w:sz w:val="48"/>
          <w:highlight w:val="none"/>
          <w:u w:val="none"/>
        </w:rPr>
        <w:sectPr>
          <w:headerReference w:type="even" r:id="rId9"/>
          <w:headerReference w:type="first" r:id="rId10"/>
          <w:footerReference w:type="default" r:id="rId13"/>
          <w:footerReference w:type="even" r:id="rId14"/>
          <w:footerReference w:type="first" r:id="rId15"/>
          <w:footnotePr/>
          <w:endnotePr/>
          <w:type w:val="nextPage"/>
          <w:pgSz w:w="11906" w:h="16838" w:orient="portrait"/>
          <w:pgMar w:top="850" w:right="851" w:bottom="850" w:left="1134" w:header="624" w:footer="907" w:gutter="0"/>
          <w:pgNumType w:start="0"/>
          <w:cols w:num="1" w:sep="0" w:space="1701" w:equalWidth="1"/>
          <w:docGrid w:linePitch="360"/>
          <w:titlePg/>
        </w:sectPr>
      </w:pPr>
      <w:r>
        <w:rPr>
          <w:rFonts w:ascii="Arial" w:hAnsi="Arial"/>
          <w:bCs/>
          <w:color w:val="auto"/>
          <w:sz w:val="48"/>
          <w:highlight w:val="none"/>
          <w:u w:val="none"/>
        </w:rPr>
      </w:r>
      <w:r/>
    </w:p>
    <w:p>
      <w:pPr>
        <w:pStyle w:val="1227"/>
        <w:ind w:firstLine="0"/>
        <w:jc w:val="center"/>
        <w:rPr>
          <w:rFonts w:ascii="黑体" w:hAnsi="黑体" w:eastAsia="黑体"/>
          <w:color w:val="auto"/>
          <w:sz w:val="36"/>
          <w:szCs w:val="36"/>
          <w:highlight w:val="none"/>
        </w:rPr>
        <w:outlineLvl w:val="0"/>
      </w:pPr>
      <w:r>
        <w:rPr>
          <w:rFonts w:hint="eastAsia" w:ascii="黑体" w:hAnsi="黑体" w:eastAsia="黑体"/>
          <w:color w:val="auto"/>
          <w:sz w:val="36"/>
          <w:szCs w:val="36"/>
          <w:highlight w:val="none"/>
        </w:rPr>
        <w:t xml:space="preserve">总  目  录</w:t>
      </w:r>
      <w:r/>
    </w:p>
    <w:p>
      <w:pPr>
        <w:jc w:val="center"/>
        <w:spacing w:line="360" w:lineRule="auto"/>
        <w:rPr>
          <w:rFonts w:ascii="黑体" w:hAnsi="Arial" w:eastAsia="黑体"/>
          <w:color w:val="auto"/>
          <w:sz w:val="44"/>
          <w:highlight w:val="none"/>
        </w:rPr>
        <w:outlineLvl w:val="9"/>
      </w:pPr>
      <w:r>
        <w:rPr>
          <w:rFonts w:ascii="黑体" w:hAnsi="Arial" w:eastAsia="黑体"/>
          <w:color w:val="auto"/>
          <w:sz w:val="44"/>
          <w:highlight w:val="none"/>
        </w:rPr>
      </w:r>
      <w:r/>
    </w:p>
    <w:p>
      <w:pPr>
        <w:numPr>
          <w:ilvl w:val="0"/>
          <w:numId w:val="6"/>
        </w:numPr>
        <w:spacing w:line="360" w:lineRule="auto"/>
        <w:rPr>
          <w:rFonts w:ascii="宋体" w:hAnsi="宋体"/>
          <w:color w:val="auto"/>
          <w:sz w:val="30"/>
          <w:szCs w:val="30"/>
          <w:highlight w:val="none"/>
        </w:rPr>
        <w:outlineLvl w:val="9"/>
      </w:pPr>
      <w:r>
        <w:rPr>
          <w:rFonts w:hint="eastAsia" w:ascii="宋体" w:hAnsi="宋体"/>
          <w:color w:val="auto"/>
          <w:sz w:val="30"/>
          <w:szCs w:val="30"/>
          <w:highlight w:val="none"/>
        </w:rPr>
        <w:t xml:space="preserve">投标邀请</w:t>
      </w:r>
      <w:r>
        <w:rPr>
          <w:rFonts w:hint="eastAsia" w:ascii="宋体" w:hAnsi="宋体" w:eastAsia="宋体"/>
          <w:color w:val="auto"/>
          <w:sz w:val="30"/>
          <w:szCs w:val="30"/>
          <w:highlight w:val="none"/>
        </w:rPr>
        <w:t xml:space="preserve">函</w:t>
      </w:r>
      <w:r/>
    </w:p>
    <w:p>
      <w:pPr>
        <w:numPr>
          <w:ilvl w:val="0"/>
          <w:numId w:val="6"/>
        </w:numPr>
        <w:spacing w:line="360" w:lineRule="auto"/>
        <w:rPr>
          <w:rFonts w:ascii="宋体" w:hAnsi="宋体"/>
          <w:color w:val="auto"/>
          <w:sz w:val="30"/>
          <w:szCs w:val="30"/>
          <w:highlight w:val="none"/>
        </w:rPr>
        <w:outlineLvl w:val="9"/>
      </w:pPr>
      <w:r>
        <w:rPr>
          <w:rFonts w:hint="eastAsia" w:ascii="宋体" w:hAnsi="宋体"/>
          <w:color w:val="auto"/>
          <w:sz w:val="30"/>
          <w:szCs w:val="30"/>
          <w:highlight w:val="none"/>
        </w:rPr>
        <w:t xml:space="preserve">投标人须知</w:t>
      </w:r>
      <w:r/>
    </w:p>
    <w:p>
      <w:pPr>
        <w:numPr>
          <w:ilvl w:val="0"/>
          <w:numId w:val="6"/>
        </w:numPr>
        <w:spacing w:line="360" w:lineRule="auto"/>
        <w:rPr>
          <w:rFonts w:ascii="宋体" w:hAnsi="宋体"/>
          <w:color w:val="auto"/>
          <w:sz w:val="30"/>
          <w:szCs w:val="30"/>
          <w:highlight w:val="none"/>
        </w:rPr>
        <w:outlineLvl w:val="9"/>
      </w:pPr>
      <w:r>
        <w:rPr>
          <w:rFonts w:hint="eastAsia" w:ascii="宋体" w:hAnsi="宋体"/>
          <w:color w:val="auto"/>
          <w:sz w:val="30"/>
          <w:szCs w:val="30"/>
          <w:highlight w:val="none"/>
        </w:rPr>
        <w:t xml:space="preserve">合同文本</w:t>
      </w:r>
      <w:r/>
    </w:p>
    <w:p>
      <w:pPr>
        <w:numPr>
          <w:ilvl w:val="0"/>
          <w:numId w:val="6"/>
        </w:numPr>
        <w:spacing w:line="360" w:lineRule="auto"/>
        <w:rPr>
          <w:rFonts w:ascii="宋体" w:hAnsi="宋体"/>
          <w:color w:val="auto"/>
          <w:sz w:val="30"/>
          <w:szCs w:val="30"/>
          <w:highlight w:val="none"/>
        </w:rPr>
        <w:outlineLvl w:val="9"/>
      </w:pPr>
      <w:r>
        <w:rPr>
          <w:rFonts w:hint="eastAsia" w:ascii="宋体" w:hAnsi="宋体"/>
          <w:color w:val="auto"/>
          <w:sz w:val="30"/>
          <w:szCs w:val="30"/>
          <w:highlight w:val="none"/>
        </w:rPr>
        <w:t xml:space="preserve">采购需求</w:t>
      </w:r>
      <w:r/>
    </w:p>
    <w:p>
      <w:pPr>
        <w:numPr>
          <w:ilvl w:val="0"/>
          <w:numId w:val="6"/>
        </w:numPr>
        <w:spacing w:line="360" w:lineRule="auto"/>
        <w:rPr>
          <w:rFonts w:ascii="宋体" w:hAnsi="宋体"/>
          <w:color w:val="auto"/>
          <w:sz w:val="30"/>
          <w:szCs w:val="30"/>
          <w:highlight w:val="none"/>
        </w:rPr>
        <w:outlineLvl w:val="9"/>
      </w:pPr>
      <w:r>
        <w:rPr>
          <w:rFonts w:hint="eastAsia" w:ascii="宋体" w:hAnsi="宋体"/>
          <w:color w:val="auto"/>
          <w:sz w:val="30"/>
          <w:szCs w:val="30"/>
          <w:highlight w:val="none"/>
        </w:rPr>
        <w:t xml:space="preserve">评标方法与评标标准</w:t>
      </w:r>
      <w:r/>
    </w:p>
    <w:p>
      <w:pPr>
        <w:numPr>
          <w:ilvl w:val="0"/>
          <w:numId w:val="6"/>
        </w:numPr>
        <w:spacing w:line="360" w:lineRule="auto"/>
        <w:rPr>
          <w:rFonts w:ascii="宋体" w:hAnsi="宋体"/>
          <w:color w:val="auto"/>
          <w:sz w:val="30"/>
          <w:szCs w:val="30"/>
          <w:highlight w:val="none"/>
        </w:rPr>
        <w:outlineLvl w:val="9"/>
      </w:pPr>
      <w:r>
        <w:rPr>
          <w:rFonts w:hint="eastAsia" w:ascii="宋体" w:hAnsi="宋体"/>
          <w:color w:val="auto"/>
          <w:sz w:val="30"/>
          <w:szCs w:val="30"/>
          <w:highlight w:val="none"/>
        </w:rPr>
        <w:t xml:space="preserve">投标文件内容与格式</w:t>
      </w:r>
      <w:r/>
    </w:p>
    <w:p>
      <w:pPr>
        <w:rPr>
          <w:rFonts w:ascii="Arial" w:hAnsi="Arial"/>
          <w:b/>
          <w:bCs/>
          <w:color w:val="auto"/>
          <w:sz w:val="28"/>
          <w:szCs w:val="28"/>
          <w:highlight w:val="none"/>
        </w:rPr>
      </w:pPr>
      <w:r>
        <w:rPr>
          <w:rFonts w:ascii="Arial" w:hAnsi="Arial"/>
          <w:b/>
          <w:bCs/>
          <w:color w:val="auto"/>
          <w:sz w:val="28"/>
          <w:szCs w:val="28"/>
          <w:highlight w:val="none"/>
        </w:rPr>
      </w:r>
      <w:r/>
    </w:p>
    <w:p>
      <w:pPr>
        <w:rPr>
          <w:rFonts w:ascii="黑体" w:hAnsi="黑体" w:eastAsia="黑体" w:cs="黑体"/>
          <w:color w:val="auto"/>
          <w:sz w:val="36"/>
          <w:szCs w:val="36"/>
          <w:highlight w:val="none"/>
        </w:rPr>
      </w:pPr>
      <w:r>
        <w:rPr>
          <w:rFonts w:hint="eastAsia" w:ascii="黑体" w:hAnsi="黑体" w:eastAsia="黑体" w:cs="黑体"/>
          <w:color w:val="auto"/>
          <w:sz w:val="36"/>
          <w:szCs w:val="36"/>
          <w:highlight w:val="none"/>
        </w:rPr>
        <w:br w:type="page" w:clear="all"/>
      </w:r>
      <w:r/>
    </w:p>
    <w:p>
      <w:pPr>
        <w:jc w:val="center"/>
        <w:spacing w:line="360" w:lineRule="auto"/>
        <w:rPr>
          <w:rFonts w:ascii="Arial" w:hAnsi="Arial"/>
          <w:b/>
          <w:bCs/>
          <w:color w:val="auto"/>
          <w:sz w:val="28"/>
          <w:szCs w:val="28"/>
          <w:highlight w:val="none"/>
        </w:rPr>
        <w:outlineLvl w:val="0"/>
      </w:pPr>
      <w:r>
        <w:rPr>
          <w:rFonts w:hint="eastAsia" w:ascii="黑体" w:hAnsi="黑体" w:eastAsia="黑体" w:cs="黑体"/>
          <w:color w:val="auto"/>
          <w:sz w:val="36"/>
          <w:szCs w:val="36"/>
          <w:highlight w:val="none"/>
        </w:rPr>
        <w:t xml:space="preserve">第一章  投标邀请函</w:t>
      </w:r>
      <w:r/>
    </w:p>
    <w:p>
      <w:pPr>
        <w:ind w:firstLine="480"/>
        <w:spacing w:line="360" w:lineRule="auto"/>
        <w:rPr>
          <w:rFonts w:ascii="Arial" w:hAnsi="Arial"/>
          <w:bCs/>
          <w:color w:val="000000" w:themeColor="text1"/>
          <w:sz w:val="24"/>
          <w:szCs w:val="24"/>
          <w:highlight w:val="none"/>
          <w14:textFill>
            <w14:solidFill>
              <w14:schemeClr w14:val="tx1"/>
            </w14:solidFill>
          </w14:textFill>
        </w:rPr>
      </w:pPr>
      <w:r>
        <w:rPr>
          <w:rFonts w:hint="eastAsia" w:ascii="Arial" w:hAnsi="Arial" w:eastAsia="宋体"/>
          <w:bCs/>
          <w:color w:val="000000" w:themeColor="text1"/>
          <w:sz w:val="24"/>
          <w:szCs w:val="24"/>
          <w:highlight w:val="none"/>
          <w:u w:val="single"/>
          <w14:textFill>
            <w14:solidFill>
              <w14:schemeClr w14:val="tx1"/>
            </w14:solidFill>
          </w14:textFill>
        </w:rPr>
        <w:t xml:space="preserve">无锡市建汇建设工程咨询事务所有限公司</w:t>
      </w:r>
      <w:r>
        <w:rPr>
          <w:rFonts w:hint="eastAsia" w:ascii="Arial" w:hAnsi="Arial"/>
          <w:bCs/>
          <w:color w:val="000000" w:themeColor="text1"/>
          <w:sz w:val="24"/>
          <w:szCs w:val="24"/>
          <w:highlight w:val="none"/>
          <w14:textFill>
            <w14:solidFill>
              <w14:schemeClr w14:val="tx1"/>
            </w14:solidFill>
          </w14:textFill>
        </w:rPr>
        <w:t xml:space="preserve">受</w:t>
      </w:r>
      <w:r>
        <w:rPr>
          <w:rFonts w:hint="eastAsia" w:ascii="Arial" w:hAnsi="Arial" w:eastAsia="宋体"/>
          <w:bCs/>
          <w:color w:val="000000" w:themeColor="text1"/>
          <w:sz w:val="24"/>
          <w:szCs w:val="24"/>
          <w:highlight w:val="none"/>
          <w:u w:val="single"/>
          <w14:textFill>
            <w14:solidFill>
              <w14:schemeClr w14:val="tx1"/>
            </w14:solidFill>
          </w14:textFill>
        </w:rPr>
        <w:t xml:space="preserve">江苏无锡经济开发区发展中心、江苏无锡经济开发区教育局</w:t>
      </w:r>
      <w:r>
        <w:rPr>
          <w:rFonts w:hint="eastAsia" w:ascii="Arial" w:hAnsi="Arial"/>
          <w:bCs/>
          <w:color w:val="000000" w:themeColor="text1"/>
          <w:sz w:val="24"/>
          <w:szCs w:val="24"/>
          <w:highlight w:val="none"/>
          <w14:textFill>
            <w14:solidFill>
              <w14:schemeClr w14:val="tx1"/>
            </w14:solidFill>
          </w14:textFill>
        </w:rPr>
        <w:t xml:space="preserve">的委托，对</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市一中太湖新城分校实验室及专用教室仪器设备采购项目</w:t>
      </w:r>
      <w:r>
        <w:rPr>
          <w:rFonts w:hint="eastAsia" w:ascii="Arial" w:hAnsi="Arial"/>
          <w:bCs/>
          <w:color w:val="000000" w:themeColor="text1"/>
          <w:sz w:val="24"/>
          <w:szCs w:val="24"/>
          <w:highlight w:val="none"/>
          <w14:textFill>
            <w14:solidFill>
              <w14:schemeClr w14:val="tx1"/>
            </w14:solidFill>
          </w14:textFill>
        </w:rPr>
        <w:t xml:space="preserve">进行公开招标采购，欢迎符合相关条件的供应商参加投标。</w:t>
      </w:r>
      <w:r/>
    </w:p>
    <w:p>
      <w:pPr>
        <w:ind w:firstLine="480"/>
        <w:spacing w:line="360" w:lineRule="auto"/>
        <w:rPr>
          <w:rFonts w:ascii="宋体" w:hAnsi="宋体"/>
          <w:color w:val="000000" w:themeColor="text1"/>
          <w:sz w:val="24"/>
          <w:szCs w:val="24"/>
          <w:highlight w:val="none"/>
          <w:shd w:val="clear" w:color="ffffff" w:fill="d9d9d9"/>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none"/>
          <w14:textFill>
            <w14:solidFill>
              <w14:schemeClr w14:val="tx1"/>
            </w14:solidFill>
          </w14:textFill>
        </w:rPr>
        <w:t xml:space="preserve">项目概况</w:t>
      </w:r>
      <w:r/>
    </w:p>
    <w:p>
      <w:pPr>
        <w:ind w:firstLine="480"/>
        <w:spacing w:line="360" w:lineRule="auto"/>
        <w:rPr>
          <w:rFonts w:ascii="宋体" w:hAnsi="宋体"/>
          <w:color w:val="000000" w:themeColor="text1"/>
          <w:sz w:val="24"/>
          <w:szCs w:val="24"/>
          <w:highlight w:val="none"/>
          <w:shd w:val="clear" w:color="ffffff" w:fill="d9d9d9"/>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Cs/>
          <w:color w:val="000000" w:themeColor="text1"/>
          <w:sz w:val="24"/>
          <w:szCs w:val="24"/>
          <w:highlight w:val="none"/>
          <w:u w:val="single"/>
          <w14:textFill>
            <w14:solidFill>
              <w14:schemeClr w14:val="tx1"/>
            </w14:solidFill>
          </w14:textFill>
        </w:rPr>
        <w:t xml:space="preserve">市一中太湖新城分校实验室及专用教室仪器设备采购项目</w:t>
      </w:r>
      <w:r>
        <w:rPr>
          <w:rFonts w:hint="eastAsia" w:ascii="宋体" w:hAnsi="宋体"/>
          <w:color w:val="000000" w:themeColor="text1"/>
          <w:sz w:val="24"/>
          <w:szCs w:val="24"/>
          <w:highlight w:val="none"/>
          <w14:textFill>
            <w14:solidFill>
              <w14:schemeClr w14:val="tx1"/>
            </w14:solidFill>
          </w14:textFill>
        </w:rPr>
        <w:t xml:space="preserve">的潜</w:t>
      </w:r>
      <w:r>
        <w:rPr>
          <w:rFonts w:hint="eastAsia" w:ascii="宋体" w:hAnsi="宋体"/>
          <w:color w:val="auto"/>
          <w:sz w:val="24"/>
          <w:szCs w:val="24"/>
          <w:highlight w:val="none"/>
        </w:rPr>
        <w:t xml:space="preserve">在投标人应在“江苏政府采购网”自行浏览招标文件，如有投标意向须在本招标文件有效获取期内通过登录</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下载的方式依法获取招标文件，并于</w:t>
      </w:r>
      <w:r>
        <w:rPr>
          <w:rFonts w:hint="eastAsia" w:ascii="宋体" w:hAnsi="宋体"/>
          <w:b/>
          <w:bCs/>
          <w:color w:val="000000" w:themeColor="text1"/>
          <w:sz w:val="24"/>
          <w:szCs w:val="24"/>
          <w:highlight w:val="none"/>
          <w14:textFill>
            <w14:solidFill>
              <w14:schemeClr w14:val="tx1"/>
            </w14:solidFill>
          </w14:textFill>
        </w:rPr>
        <w:t xml:space="preserve">202</w:t>
      </w:r>
      <w:r>
        <w:rPr>
          <w:rFonts w:hint="eastAsia" w:ascii="宋体" w:hAnsi="宋体" w:eastAsia="宋体"/>
          <w:b/>
          <w:bCs/>
          <w:color w:val="000000" w:themeColor="text1"/>
          <w:sz w:val="24"/>
          <w:szCs w:val="24"/>
          <w:highlight w:val="none"/>
          <w14:textFill>
            <w14:solidFill>
              <w14:schemeClr w14:val="tx1"/>
            </w14:solidFill>
          </w14:textFill>
        </w:rPr>
        <w:t xml:space="preserve">6</w:t>
      </w:r>
      <w:r>
        <w:rPr>
          <w:rFonts w:hint="eastAsia" w:ascii="宋体" w:hAnsi="宋体"/>
          <w:b/>
          <w:bCs/>
          <w:color w:val="000000" w:themeColor="text1"/>
          <w:sz w:val="24"/>
          <w:szCs w:val="24"/>
          <w:highlight w:val="none"/>
          <w14:textFill>
            <w14:solidFill>
              <w14:schemeClr w14:val="tx1"/>
            </w14:solidFill>
          </w14:textFill>
        </w:rPr>
        <w:t xml:space="preserve">年</w:t>
      </w:r>
      <w:r>
        <w:rPr>
          <w:rFonts w:hint="eastAsia" w:ascii="宋体" w:hAnsi="宋体" w:eastAsia="宋体"/>
          <w:b/>
          <w:bCs/>
          <w:color w:val="000000" w:themeColor="text1"/>
          <w:sz w:val="24"/>
          <w:szCs w:val="24"/>
          <w:highlight w:val="none"/>
          <w:lang w:val="en-US" w:eastAsia="zh-CN"/>
          <w14:textFill>
            <w14:solidFill>
              <w14:schemeClr w14:val="tx1"/>
            </w14:solidFill>
          </w14:textFill>
        </w:rPr>
        <w:t xml:space="preserve">4</w:t>
      </w:r>
      <w:r>
        <w:rPr>
          <w:rFonts w:hint="eastAsia" w:ascii="宋体" w:hAnsi="宋体"/>
          <w:b/>
          <w:bCs/>
          <w:color w:val="000000" w:themeColor="text1"/>
          <w:sz w:val="24"/>
          <w:szCs w:val="24"/>
          <w:highlight w:val="none"/>
          <w14:textFill>
            <w14:solidFill>
              <w14:schemeClr w14:val="tx1"/>
            </w14:solidFill>
          </w14:textFill>
        </w:rPr>
        <w:t xml:space="preserve">月</w:t>
      </w:r>
      <w:r>
        <w:rPr>
          <w:rFonts w:hint="eastAsia" w:ascii="宋体" w:hAnsi="宋体" w:eastAsia="宋体"/>
          <w:b/>
          <w:bCs/>
          <w:color w:val="000000" w:themeColor="text1"/>
          <w:sz w:val="24"/>
          <w:szCs w:val="24"/>
          <w:highlight w:val="none"/>
          <w:lang w:val="en-US" w:eastAsia="zh-CN"/>
          <w14:textFill>
            <w14:solidFill>
              <w14:schemeClr w14:val="tx1"/>
            </w14:solidFill>
          </w14:textFill>
        </w:rPr>
        <w:t xml:space="preserve">  24</w:t>
      </w:r>
      <w:r>
        <w:rPr>
          <w:rFonts w:hint="eastAsia" w:ascii="宋体" w:hAnsi="宋体"/>
          <w:b/>
          <w:bCs/>
          <w:color w:val="000000" w:themeColor="text1"/>
          <w:sz w:val="24"/>
          <w:szCs w:val="24"/>
          <w:highlight w:val="none"/>
          <w14:textFill>
            <w14:solidFill>
              <w14:schemeClr w14:val="tx1"/>
            </w14:solidFill>
          </w14:textFill>
        </w:rPr>
        <w:t xml:space="preserve">日</w:t>
      </w:r>
      <w:r>
        <w:rPr>
          <w:rFonts w:hint="eastAsia" w:ascii="宋体" w:hAnsi="宋体" w:eastAsia="宋体"/>
          <w:b/>
          <w:bCs/>
          <w:color w:val="000000" w:themeColor="text1"/>
          <w:sz w:val="24"/>
          <w:szCs w:val="24"/>
          <w:highlight w:val="none"/>
          <w:lang w:val="en-US" w:eastAsia="zh-CN"/>
          <w14:textFill>
            <w14:solidFill>
              <w14:schemeClr w14:val="tx1"/>
            </w14:solidFill>
          </w14:textFill>
        </w:rPr>
        <w:t xml:space="preserve">9</w:t>
      </w:r>
      <w:r>
        <w:rPr>
          <w:rFonts w:hint="eastAsia" w:ascii="宋体" w:hAnsi="宋体"/>
          <w:b/>
          <w:bCs/>
          <w:color w:val="000000" w:themeColor="text1"/>
          <w:sz w:val="24"/>
          <w:szCs w:val="24"/>
          <w:highlight w:val="none"/>
          <w14:textFill>
            <w14:solidFill>
              <w14:schemeClr w14:val="tx1"/>
            </w14:solidFill>
          </w14:textFill>
        </w:rPr>
        <w:t xml:space="preserve">点</w:t>
      </w:r>
      <w:r>
        <w:rPr>
          <w:rFonts w:hint="eastAsia" w:ascii="宋体" w:hAnsi="宋体" w:eastAsia="宋体"/>
          <w:b/>
          <w:bCs/>
          <w:color w:val="000000" w:themeColor="text1"/>
          <w:sz w:val="24"/>
          <w:szCs w:val="24"/>
          <w:highlight w:val="none"/>
          <w14:textFill>
            <w14:solidFill>
              <w14:schemeClr w14:val="tx1"/>
            </w14:solidFill>
          </w14:textFill>
        </w:rPr>
        <w:t xml:space="preserve">3</w:t>
      </w:r>
      <w:r>
        <w:rPr>
          <w:rFonts w:hint="eastAsia" w:ascii="宋体" w:hAnsi="宋体"/>
          <w:b/>
          <w:bCs/>
          <w:color w:val="000000" w:themeColor="text1"/>
          <w:sz w:val="24"/>
          <w:szCs w:val="24"/>
          <w:highlight w:val="none"/>
          <w14:textFill>
            <w14:solidFill>
              <w14:schemeClr w14:val="tx1"/>
            </w14:solidFill>
          </w14:textFill>
        </w:rPr>
        <w:t xml:space="preserve">0分</w:t>
      </w:r>
      <w:r>
        <w:rPr>
          <w:rFonts w:hint="eastAsia" w:ascii="宋体" w:hAnsi="宋体"/>
          <w:bCs/>
          <w:color w:val="000000" w:themeColor="text1"/>
          <w:sz w:val="24"/>
          <w:szCs w:val="24"/>
          <w:highlight w:val="none"/>
          <w14:textFill>
            <w14:solidFill>
              <w14:schemeClr w14:val="tx1"/>
            </w14:solidFill>
          </w14:textFill>
        </w:rPr>
        <w:t xml:space="preserve">（北京时间）前递交投标</w:t>
      </w:r>
      <w:r>
        <w:rPr>
          <w:rFonts w:ascii="宋体" w:hAnsi="宋体"/>
          <w:bCs/>
          <w:color w:val="000000" w:themeColor="text1"/>
          <w:sz w:val="24"/>
          <w:szCs w:val="24"/>
          <w:highlight w:val="none"/>
          <w14:textFill>
            <w14:solidFill>
              <w14:schemeClr w14:val="tx1"/>
            </w14:solidFill>
          </w14:textFill>
        </w:rPr>
        <w:t xml:space="preserve">文件</w:t>
      </w:r>
      <w:r>
        <w:rPr>
          <w:rFonts w:hint="eastAsia" w:ascii="宋体" w:hAnsi="宋体"/>
          <w:color w:val="000000" w:themeColor="text1"/>
          <w:sz w:val="24"/>
          <w:szCs w:val="24"/>
          <w:highlight w:val="none"/>
          <w14:textFill>
            <w14:solidFill>
              <w14:schemeClr w14:val="tx1"/>
            </w14:solidFill>
          </w14:textFill>
        </w:rPr>
        <w:t xml:space="preserve">。</w:t>
      </w:r>
      <w:r/>
    </w:p>
    <w:p>
      <w:pPr>
        <w:ind w:firstLine="241"/>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w:t>
      </w:r>
      <w:r>
        <w:rPr>
          <w:rFonts w:hint="eastAsia" w:ascii="宋体" w:hAnsi="宋体" w:eastAsia="宋体" w:cs="宋体"/>
          <w:b/>
          <w:color w:val="auto"/>
          <w:sz w:val="24"/>
          <w:szCs w:val="24"/>
          <w:highlight w:val="none"/>
        </w:rPr>
        <w:t xml:space="preserve">招标项目信息</w:t>
      </w:r>
      <w:r/>
    </w:p>
    <w:p>
      <w:pPr>
        <w:ind w:firstLine="480"/>
        <w:jc w:val="left"/>
        <w:spacing w:line="360" w:lineRule="auto"/>
        <w:widowControl/>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auto"/>
          <w:sz w:val="24"/>
          <w:szCs w:val="24"/>
          <w:highlight w:val="none"/>
        </w:rPr>
        <w:t xml:space="preserve">1.项目名称：</w:t>
      </w:r>
      <w:r>
        <w:rPr>
          <w:rFonts w:hint="eastAsia" w:ascii="宋体" w:hAnsi="宋体" w:eastAsia="宋体" w:cs="宋体"/>
          <w:color w:val="000000" w:themeColor="text1"/>
          <w:sz w:val="24"/>
          <w:szCs w:val="24"/>
          <w:highlight w:val="none"/>
          <w14:textFill>
            <w14:solidFill>
              <w14:schemeClr w14:val="tx1"/>
            </w14:solidFill>
          </w14:textFill>
        </w:rPr>
        <w:t xml:space="preserve">市一中太湖新城分校实验室及专用教室仪器设备采购项目</w:t>
      </w:r>
      <w:r/>
    </w:p>
    <w:p>
      <w:pPr>
        <w:ind w:firstLine="480"/>
        <w:jc w:val="left"/>
        <w:spacing w:line="360" w:lineRule="auto"/>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2.项目编号：</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JSZC-320292-WXJH-G2026-0004</w:t>
      </w:r>
      <w:r/>
    </w:p>
    <w:p>
      <w:pPr>
        <w:ind w:firstLine="480"/>
        <w:jc w:val="left"/>
        <w:spacing w:line="360" w:lineRule="auto"/>
        <w:widowControl/>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3.项目预算金额：1960万元；</w:t>
      </w:r>
      <w:r/>
    </w:p>
    <w:p>
      <w:pPr>
        <w:ind w:firstLine="480"/>
        <w:jc w:val="left"/>
        <w:spacing w:line="360" w:lineRule="auto"/>
        <w:widowControl/>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4.项目最高限价：19</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45.5</w:t>
      </w:r>
      <w:r>
        <w:rPr>
          <w:rFonts w:hint="eastAsia" w:ascii="宋体" w:hAnsi="宋体" w:eastAsia="宋体" w:cs="宋体"/>
          <w:color w:val="000000" w:themeColor="text1"/>
          <w:sz w:val="24"/>
          <w:szCs w:val="24"/>
          <w:highlight w:val="none"/>
          <w14:textFill>
            <w14:solidFill>
              <w14:schemeClr w14:val="tx1"/>
            </w14:solidFill>
          </w14:textFill>
        </w:rPr>
        <w:t xml:space="preserve">万元，投标报价高于最高限价的作为无效投标处理</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p>
    <w:p>
      <w:pPr>
        <w:ind w:firstLine="480"/>
        <w:jc w:val="left"/>
        <w:spacing w:line="360" w:lineRule="auto"/>
        <w:widowControl/>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5.采购需求：</w:t>
      </w:r>
      <w:r>
        <w:rPr>
          <w:rFonts w:hint="eastAsia" w:ascii="宋体" w:hAnsi="宋体" w:cs="宋体"/>
          <w:color w:val="000000" w:themeColor="text1"/>
          <w:sz w:val="24"/>
          <w:highlight w:val="none"/>
          <w14:textFill>
            <w14:solidFill>
              <w14:schemeClr w14:val="tx1"/>
            </w14:solidFill>
          </w14:textFill>
        </w:rPr>
        <w:t xml:space="preserve">无锡市一中太湖新城分校物理、生物、化学实验室及多功能室的仪器设备等（招标范围包括货物的供货、安装、调试、培训、验收、售后服务等内容，中标供应商在供货前需要对接学校对产品数量、尺寸等进行复核）</w:t>
      </w:r>
      <w:r>
        <w:rPr>
          <w:rFonts w:hint="eastAsia" w:ascii="宋体" w:hAnsi="宋体" w:eastAsia="宋体" w:cs="宋体"/>
          <w:color w:val="000000" w:themeColor="text1"/>
          <w:sz w:val="24"/>
          <w:highlight w:val="none"/>
          <w:lang w:eastAsia="zh-CN"/>
          <w14:textFill>
            <w14:solidFill>
              <w14:schemeClr w14:val="tx1"/>
            </w14:solidFill>
          </w14:textFill>
        </w:rPr>
        <w:t xml:space="preserve">。具体</w:t>
      </w:r>
      <w:r>
        <w:rPr>
          <w:rFonts w:hint="eastAsia" w:ascii="宋体" w:hAnsi="宋体" w:cs="宋体"/>
          <w:color w:val="000000" w:themeColor="text1"/>
          <w:sz w:val="24"/>
          <w:szCs w:val="24"/>
          <w:highlight w:val="none"/>
          <w14:textFill>
            <w14:solidFill>
              <w14:schemeClr w14:val="tx1"/>
            </w14:solidFill>
          </w14:textFill>
        </w:rPr>
        <w:t xml:space="preserve">详见采购文件第四章《采购需求》；</w:t>
      </w:r>
      <w:r/>
    </w:p>
    <w:p>
      <w:pPr>
        <w:ind w:firstLine="480"/>
        <w:jc w:val="left"/>
        <w:spacing w:line="360" w:lineRule="auto"/>
        <w:widowControl/>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交货期</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14:textFill>
            <w14:solidFill>
              <w14:schemeClr w14:val="tx1"/>
            </w14:solidFill>
          </w14:textFill>
        </w:rPr>
        <w:t xml:space="preserve">合同签订生效后80日历天内，完成供货、安装、调试，交付采购人使用</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jc w:val="left"/>
        <w:spacing w:line="360" w:lineRule="auto"/>
        <w:widowControl/>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质保期</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14:textFill>
            <w14:solidFill>
              <w14:schemeClr w14:val="tx1"/>
            </w14:solidFill>
          </w14:textFill>
        </w:rPr>
        <w:t xml:space="preserve">3年（自终验收双方签署终验收报告之日起开始计算，</w:t>
      </w:r>
      <w:r>
        <w:rPr>
          <w:rFonts w:hint="eastAsia" w:ascii="宋体" w:hAnsi="宋体"/>
          <w:bCs/>
          <w:color w:val="000000" w:themeColor="text1"/>
          <w:sz w:val="24"/>
          <w:lang w:val="zh-CN"/>
          <w14:textFill>
            <w14:solidFill>
              <w14:schemeClr w14:val="tx1"/>
            </w14:solidFill>
          </w14:textFill>
        </w:rPr>
        <w:t xml:space="preserve">质保期满后提供终身有偿维修服务</w:t>
      </w:r>
      <w:r>
        <w:rPr>
          <w:rFonts w:hint="eastAsia" w:ascii="宋体" w:hAnsi="宋体"/>
          <w:bCs/>
          <w:color w:val="000000" w:themeColor="text1"/>
          <w:sz w:val="24"/>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spacing w:line="360" w:lineRule="auto"/>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质量要求：符合国家、地方及相关行业标准</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p>
    <w:p>
      <w:pPr>
        <w:ind w:firstLine="480"/>
        <w:jc w:val="left"/>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本项目标的所属行业：工业</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根据《关于印发中小企业划型标准规定的通知》工信部联企业〔2011〕300号规定，工业</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spacing w:line="360" w:lineRule="auto"/>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.本项目是否专门面向中小企业（或监狱企业或残疾人福利性单位）</w:t>
      </w:r>
      <w:r>
        <w:rPr>
          <w:rFonts w:hint="eastAsia" w:ascii="宋体" w:hAnsi="宋体" w:cs="宋体"/>
          <w:color w:val="000000" w:themeColor="text1"/>
          <w:sz w:val="24"/>
          <w:szCs w:val="24"/>
          <w:highlight w:val="none"/>
          <w14:textFill>
            <w14:solidFill>
              <w14:schemeClr w14:val="tx1"/>
            </w14:solidFill>
          </w14:textFill>
        </w:rPr>
        <w:t xml:space="preserve">：否</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p>
    <w:p>
      <w:pPr>
        <w:ind w:firstLine="48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.本项目</w:t>
      </w:r>
      <w:r>
        <w:rPr>
          <w:rFonts w:hint="eastAsia" w:ascii="宋体" w:hAnsi="宋体" w:eastAsia="宋体" w:cs="宋体"/>
          <w:b/>
          <w:bCs/>
          <w:color w:val="auto"/>
          <w:sz w:val="24"/>
          <w:szCs w:val="24"/>
          <w:highlight w:val="none"/>
          <w:u w:val="single"/>
        </w:rPr>
        <w:t xml:space="preserve">不接受 </w:t>
      </w:r>
      <w:r>
        <w:rPr>
          <w:rFonts w:hint="eastAsia" w:ascii="宋体" w:hAnsi="宋体" w:eastAsia="宋体" w:cs="宋体"/>
          <w:color w:val="auto"/>
          <w:sz w:val="24"/>
          <w:szCs w:val="24"/>
          <w:highlight w:val="none"/>
        </w:rPr>
        <w:t xml:space="preserve">联合投标。</w:t>
      </w:r>
      <w:r/>
    </w:p>
    <w:p>
      <w:pPr>
        <w:ind w:firstLine="48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cs="宋体"/>
          <w:color w:val="auto"/>
          <w:sz w:val="24"/>
          <w:highlight w:val="none"/>
        </w:rPr>
        <w:t xml:space="preserve">本项目是否需要缴纳履约保证金：</w:t>
      </w:r>
      <w:r>
        <w:rPr>
          <w:rFonts w:hint="eastAsia" w:hAnsi="宋体" w:eastAsia="宋体" w:cs="宋体"/>
          <w:color w:val="auto"/>
          <w:sz w:val="24"/>
          <w:szCs w:val="24"/>
          <w:highlight w:val="none"/>
        </w:rPr>
        <w:t xml:space="preserve">否</w:t>
      </w:r>
      <w:r>
        <w:rPr>
          <w:rFonts w:hint="eastAsia" w:ascii="宋体" w:hAnsi="宋体" w:cs="宋体"/>
          <w:color w:val="auto"/>
          <w:sz w:val="24"/>
          <w:szCs w:val="24"/>
          <w:highlight w:val="none"/>
        </w:rPr>
        <w:t xml:space="preserve">。</w:t>
      </w:r>
      <w:r/>
    </w:p>
    <w:p>
      <w:pPr>
        <w:ind w:firstLine="48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cs="宋体"/>
          <w:color w:val="auto"/>
          <w:sz w:val="24"/>
          <w:highlight w:val="none"/>
        </w:rPr>
        <w:t xml:space="preserve">资金来源</w:t>
      </w:r>
      <w:r>
        <w:rPr>
          <w:rFonts w:hint="eastAsia" w:ascii="宋体" w:hAnsi="宋体" w:cs="宋体"/>
          <w:color w:val="000000" w:themeColor="text1"/>
          <w:sz w:val="24"/>
          <w:highlight w:val="none"/>
          <w14:textFill>
            <w14:solidFill>
              <w14:schemeClr w14:val="tx1"/>
            </w14:solidFill>
          </w14:textFill>
        </w:rPr>
        <w:t xml:space="preserve">：</w:t>
      </w:r>
      <w:r>
        <w:rPr>
          <w:rFonts w:hint="eastAsia" w:hAnsi="宋体" w:eastAsia="宋体" w:cs="宋体"/>
          <w:color w:val="000000" w:themeColor="text1"/>
          <w:sz w:val="24"/>
          <w:szCs w:val="24"/>
          <w:highlight w:val="none"/>
          <w14:textFill>
            <w14:solidFill>
              <w14:schemeClr w14:val="tx1"/>
            </w14:solidFill>
          </w14:textFill>
        </w:rPr>
        <w:t xml:space="preserve">财政资金</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jc w:val="left"/>
        <w:spacing w:line="360" w:lineRule="auto"/>
        <w:widowControl/>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（二）投标人资格要求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w:t>
      </w:r>
      <w:r/>
    </w:p>
    <w:p>
      <w:pPr>
        <w:ind w:firstLine="480"/>
        <w:spacing w:line="360" w:lineRule="auto"/>
        <w:rPr>
          <w:rFonts w:ascii="宋体" w:hAnsi="宋体"/>
          <w:color w:val="auto"/>
          <w:sz w:val="24"/>
          <w:highlight w:val="none"/>
        </w:rPr>
      </w:pPr>
      <w:r>
        <w:rPr>
          <w:rFonts w:hint="eastAsia" w:ascii="宋体" w:hAnsi="宋体" w:eastAsia="宋体" w:cs="宋体"/>
          <w:color w:val="auto"/>
          <w:sz w:val="24"/>
          <w:szCs w:val="24"/>
          <w:highlight w:val="none"/>
        </w:rPr>
        <w:t xml:space="preserve">2.落实政府采购政策需满足的资格要求：本项目不专门面向中小微企业采购，执行价格扣除优惠政策，对小微企业报价给予10%的扣除。提供《中小企业声明函》(格式见附件)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监狱和戒毒企业视同小型、微型企业，提供由省级以上监狱管理局、戒毒管理局(含新疆生产建设兵团)出具的属于监狱企业的证明文件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残疾人福利性单位视同小型、微型企业，提供《残疾人福利性单位声明函》(格式见附件)</w:t>
      </w:r>
      <w:r>
        <w:rPr>
          <w:rFonts w:hint="eastAsia" w:ascii="宋体" w:hAnsi="宋体"/>
          <w:color w:val="auto"/>
          <w:sz w:val="24"/>
          <w:highlight w:val="none"/>
        </w:rPr>
        <w:t xml:space="preserve">；</w:t>
      </w:r>
      <w:r/>
    </w:p>
    <w:p>
      <w:pPr>
        <w:numPr>
          <w:ilvl w:val="0"/>
          <w:numId w:val="7"/>
        </w:numPr>
        <w:ind w:firstLine="480"/>
        <w:spacing w:line="360" w:lineRule="auto"/>
        <w:rPr>
          <w:rFonts w:hint="eastAsia" w:ascii="宋体" w:hAnsi="宋体"/>
          <w:color w:val="auto"/>
          <w:sz w:val="24"/>
          <w:szCs w:val="24"/>
          <w:highlight w:val="none"/>
        </w:rPr>
      </w:pPr>
      <w:r>
        <w:rPr>
          <w:rFonts w:hint="eastAsia" w:ascii="宋体" w:hAnsi="宋体" w:eastAsia="宋体" w:cs="宋体"/>
          <w:color w:val="auto"/>
          <w:sz w:val="24"/>
          <w:szCs w:val="24"/>
          <w:highlight w:val="none"/>
        </w:rPr>
        <w:t xml:space="preserve">本项目的特定资格要求：</w:t>
      </w:r>
      <w:r/>
    </w:p>
    <w:p>
      <w:pPr>
        <w:numPr>
          <w:ilvl w:val="0"/>
          <w:numId w:val="0"/>
        </w:numPr>
        <w:ind w:firstLine="72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1）法定代表人授权委托人为本单位在职职工，投标人法定代表人授权代表</w:t>
      </w:r>
      <w:r>
        <w:rPr>
          <w:rFonts w:hint="eastAsia" w:ascii="宋体" w:hAnsi="宋体" w:eastAsia="宋体"/>
          <w:color w:val="000000" w:themeColor="text1"/>
          <w:sz w:val="24"/>
          <w:szCs w:val="24"/>
          <w:highlight w:val="none"/>
          <w:lang w:eastAsia="zh-CN"/>
          <w14:textFill>
            <w14:solidFill>
              <w14:schemeClr w14:val="tx1"/>
            </w14:solidFill>
          </w14:textFill>
        </w:rPr>
        <w:t xml:space="preserve">应具备</w:t>
      </w:r>
      <w:r>
        <w:rPr>
          <w:rFonts w:hint="eastAsia" w:ascii="宋体" w:hAnsi="宋体"/>
          <w:color w:val="000000" w:themeColor="text1"/>
          <w:sz w:val="24"/>
          <w:szCs w:val="24"/>
          <w:highlight w:val="none"/>
          <w14:textFill>
            <w14:solidFill>
              <w14:schemeClr w14:val="tx1"/>
            </w14:solidFill>
          </w14:textFill>
        </w:rPr>
        <w:t xml:space="preserve">与本企业签订的劳动合同，</w:t>
      </w:r>
      <w:r>
        <w:rPr>
          <w:rFonts w:hint="eastAsia" w:ascii="宋体" w:hAnsi="宋体" w:eastAsia="宋体"/>
          <w:color w:val="000000" w:themeColor="text1"/>
          <w:sz w:val="24"/>
          <w:szCs w:val="24"/>
          <w:highlight w:val="none"/>
          <w:lang w:eastAsia="zh-CN"/>
          <w14:textFill>
            <w14:solidFill>
              <w14:schemeClr w14:val="tx1"/>
            </w14:solidFill>
          </w14:textFill>
        </w:rPr>
        <w:t xml:space="preserve">以及</w:t>
      </w:r>
      <w:r>
        <w:rPr>
          <w:rFonts w:hint="eastAsia" w:ascii="宋体" w:hAnsi="宋体"/>
          <w:color w:val="000000" w:themeColor="text1"/>
          <w:sz w:val="24"/>
          <w:szCs w:val="24"/>
          <w:highlight w:val="none"/>
          <w14:textFill>
            <w14:solidFill>
              <w14:schemeClr w14:val="tx1"/>
            </w14:solidFill>
          </w14:textFill>
        </w:rPr>
        <w:t xml:space="preserve">《职工养老保险手册》（内附近一年中任意一个月份（不含投标当月）的缴费清单）或由社保机构出具本企业的近一年中任意一个月份（不含投标当月）的缴费证明扫描件（由相关主管部门出具，新成立公司除外、法定代表人亲自参加投标的除外）；</w:t>
      </w:r>
      <w:r/>
    </w:p>
    <w:p>
      <w:pPr>
        <w:numPr>
          <w:ilvl w:val="0"/>
          <w:numId w:val="0"/>
        </w:numPr>
        <w:ind w:firstLine="72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2）未被“信用中国”网站、中国政府采购网列入失信被执行人、重大税收违法案件当事人名单、政府采购严重失信行为记录名单。</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（三）获取采购文件的时间期限</w:t>
      </w:r>
      <w:r/>
    </w:p>
    <w:p>
      <w:pPr>
        <w:ind w:firstLine="54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auto"/>
          <w:sz w:val="24"/>
          <w:szCs w:val="24"/>
          <w:highlight w:val="none"/>
        </w:rPr>
        <w:t xml:space="preserve">1.时间：</w:t>
      </w:r>
      <w:r>
        <w:rPr>
          <w:rFonts w:hint="eastAsia" w:ascii="宋体" w:hAnsi="宋体" w:eastAsia="宋体" w:cs="宋体"/>
          <w:color w:val="000000" w:themeColor="text1"/>
          <w:sz w:val="24"/>
          <w:szCs w:val="24"/>
          <w:highlight w:val="none"/>
          <w14:textFill>
            <w14:solidFill>
              <w14:schemeClr w14:val="tx1"/>
            </w14:solidFill>
          </w14:textFill>
        </w:rPr>
        <w:t xml:space="preserve">2026年3月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13 </w:t>
      </w:r>
      <w:r>
        <w:rPr>
          <w:rFonts w:hint="eastAsia" w:ascii="宋体" w:hAnsi="宋体" w:eastAsia="宋体" w:cs="宋体"/>
          <w:color w:val="000000" w:themeColor="text1"/>
          <w:sz w:val="24"/>
          <w:szCs w:val="24"/>
          <w:highlight w:val="none"/>
          <w14:textFill>
            <w14:solidFill>
              <w14:schemeClr w14:val="tx1"/>
            </w14:solidFill>
          </w14:textFill>
        </w:rPr>
        <w:t xml:space="preserve">日至2026年3月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20</w:t>
      </w:r>
      <w:r>
        <w:rPr>
          <w:rFonts w:hint="eastAsia" w:ascii="宋体" w:hAnsi="宋体" w:eastAsia="宋体" w:cs="宋体"/>
          <w:color w:val="000000" w:themeColor="text1"/>
          <w:sz w:val="24"/>
          <w:szCs w:val="24"/>
          <w:highlight w:val="none"/>
          <w14:textFill>
            <w14:solidFill>
              <w14:schemeClr w14:val="tx1"/>
            </w14:solidFill>
          </w14:textFill>
        </w:rPr>
        <w:t xml:space="preserve">日23:59时止（法定假日除外）。</w:t>
      </w:r>
      <w:r/>
    </w:p>
    <w:p>
      <w:pPr>
        <w:ind w:firstLine="540"/>
        <w:spacing w:line="360" w:lineRule="auto"/>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2.地点：</w:t>
      </w:r>
      <w:r>
        <w:rPr>
          <w:rFonts w:hint="eastAsia" w:ascii="宋体" w:hAnsi="宋体" w:eastAsia="宋体" w:cs="宋体"/>
          <w:color w:val="000000" w:themeColor="text1"/>
          <w:sz w:val="24"/>
          <w:szCs w:val="24"/>
          <w:highlight w:val="none"/>
          <w14:textFill>
            <w14:solidFill>
              <w14:schemeClr w14:val="tx1"/>
            </w14:solidFill>
          </w14:textFill>
        </w:rPr>
        <w:t xml:space="preserve">“江苏省政府采购（苏采云）平台”。</w:t>
      </w:r>
      <w:r/>
    </w:p>
    <w:p>
      <w:pPr>
        <w:ind w:firstLine="539"/>
        <w:keepLines w:val="0"/>
        <w:keepNext w:val="0"/>
        <w:pageBreakBefore w:val="0"/>
        <w:spacing w:line="360" w:lineRule="auto"/>
        <w:widowControl w:val="off"/>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3.方式</w:t>
      </w:r>
      <w:r>
        <w:rPr>
          <w:rFonts w:hint="eastAsia" w:ascii="宋体" w:hAnsi="宋体" w:eastAsia="宋体" w:cs="宋体"/>
          <w:bCs/>
          <w:color w:val="000000" w:themeColor="text1"/>
          <w:sz w:val="24"/>
          <w:szCs w:val="24"/>
          <w:highlight w:val="none"/>
          <w14:textFill>
            <w14:solidFill>
              <w14:schemeClr w14:val="tx1"/>
            </w14:solidFill>
          </w14:textFill>
        </w:rPr>
        <w:t xml:space="preserve">：潜在投标人如确定投标，必须在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投标文件（使用“CA数字证书”），导出加密的投标文件（后缀名为zip）并在苏采云平台上传该加密的投标文件，对采购文件各项内容做出实质性响应，否则其投标文件无效。</w:t>
      </w:r>
      <w:r/>
    </w:p>
    <w:p>
      <w:pPr>
        <w:ind w:firstLine="54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4.售价：投标人应承担其编制投标文件以及递交投标文件所涉及的一切费用。无论投标结果如何，采购人对上述费用不负任何责任。</w:t>
      </w:r>
      <w:r/>
    </w:p>
    <w:p>
      <w:pPr>
        <w:pStyle w:val="805"/>
        <w:ind w:firstLine="480"/>
        <w:spacing w:line="360" w:lineRule="auto"/>
        <w:rPr>
          <w:rFonts w:hint="default"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5.本项目不收取投标保证金。</w:t>
      </w:r>
      <w:r/>
    </w:p>
    <w:p>
      <w:pPr>
        <w:ind w:firstLine="482"/>
        <w:spacing w:line="360" w:lineRule="auto"/>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（四）现场踏勘、提疑（答疑）、澄清、修改</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投标供应商要求澄清招标文件的截止时间：2026年3月</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23</w:t>
      </w:r>
      <w:r>
        <w:rPr>
          <w:rFonts w:hint="eastAsia" w:ascii="宋体" w:hAnsi="宋体" w:eastAsia="宋体" w:cs="宋体"/>
          <w:bCs/>
          <w:color w:val="000000" w:themeColor="text1"/>
          <w:sz w:val="24"/>
          <w:szCs w:val="24"/>
          <w:highlight w:val="none"/>
          <w14:textFill>
            <w14:solidFill>
              <w14:schemeClr w14:val="tx1"/>
            </w14:solidFill>
          </w14:textFill>
        </w:rPr>
        <w:t xml:space="preserve">日10:00时前，以书面文件和电子邮件形式发送给采购代理机构。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采购人对招标文件答疑、澄清、修改的时间：采购人或者采购代理机构在投标截止时间十五日前以书面文件或电子邮件形式发送给提疑供应商。如涉及澄清或者修改，在原招标公告媒体上发布。</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现场踏勘：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五</w:t>
      </w:r>
      <w:r>
        <w:rPr>
          <w:rFonts w:hint="eastAsia" w:ascii="宋体" w:hAnsi="宋体" w:eastAsia="宋体" w:cs="宋体"/>
          <w:b/>
          <w:color w:val="auto"/>
          <w:sz w:val="24"/>
          <w:szCs w:val="24"/>
          <w:highlight w:val="none"/>
        </w:rPr>
        <w:t xml:space="preserve">）提交投标文件截止时间、开标时间和地点</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auto"/>
          <w:sz w:val="24"/>
          <w:szCs w:val="24"/>
          <w:highlight w:val="none"/>
        </w:rPr>
        <w:t xml:space="preserve">1.网上投标截止时间</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2026年</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
          <w:bCs/>
          <w:color w:val="000000" w:themeColor="text1"/>
          <w:sz w:val="24"/>
          <w:szCs w:val="24"/>
          <w:highlight w:val="none"/>
          <w14:textFill>
            <w14:solidFill>
              <w14:schemeClr w14:val="tx1"/>
            </w14:solidFill>
          </w14:textFill>
        </w:rPr>
        <w:t xml:space="preserve">月</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24</w:t>
      </w:r>
      <w:r>
        <w:rPr>
          <w:rFonts w:hint="eastAsia" w:ascii="宋体" w:hAnsi="宋体" w:eastAsia="宋体" w:cs="宋体"/>
          <w:b/>
          <w:bCs/>
          <w:color w:val="000000" w:themeColor="text1"/>
          <w:sz w:val="24"/>
          <w:szCs w:val="24"/>
          <w:highlight w:val="none"/>
          <w14:textFill>
            <w14:solidFill>
              <w14:schemeClr w14:val="tx1"/>
            </w14:solidFill>
          </w14:textFill>
        </w:rPr>
        <w:t xml:space="preserve">日</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9 </w:t>
      </w:r>
      <w:r>
        <w:rPr>
          <w:rFonts w:hint="eastAsia" w:ascii="宋体" w:hAnsi="宋体" w:eastAsia="宋体" w:cs="宋体"/>
          <w:b/>
          <w:bCs/>
          <w:color w:val="000000" w:themeColor="text1"/>
          <w:sz w:val="24"/>
          <w:szCs w:val="24"/>
          <w:highlight w:val="none"/>
          <w14:textFill>
            <w14:solidFill>
              <w14:schemeClr w14:val="tx1"/>
            </w14:solidFill>
          </w14:textFill>
        </w:rPr>
        <w:t xml:space="preserve">点30分</w:t>
      </w:r>
      <w:r>
        <w:rPr>
          <w:rFonts w:hint="eastAsia" w:ascii="宋体" w:hAnsi="宋体" w:eastAsia="宋体" w:cs="宋体"/>
          <w:bCs/>
          <w:color w:val="000000" w:themeColor="text1"/>
          <w:sz w:val="24"/>
          <w:szCs w:val="24"/>
          <w:highlight w:val="none"/>
          <w14:textFill>
            <w14:solidFill>
              <w14:schemeClr w14:val="tx1"/>
            </w14:solidFill>
          </w14:textFill>
        </w:rPr>
        <w:t xml:space="preserve">（北京时间），截止时间后上传的任何投标文件恕不接受。</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.网上投标解密时间：</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bCs/>
          <w:color w:val="000000" w:themeColor="text1"/>
          <w:sz w:val="24"/>
          <w:szCs w:val="24"/>
          <w:highlight w:val="none"/>
          <w14:textFill>
            <w14:solidFill>
              <w14:schemeClr w14:val="tx1"/>
            </w14:solidFill>
          </w14:textFill>
        </w:rPr>
        <w:t xml:space="preserve">026年</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
          <w:bCs/>
          <w:color w:val="000000" w:themeColor="text1"/>
          <w:sz w:val="24"/>
          <w:szCs w:val="24"/>
          <w:highlight w:val="none"/>
          <w14:textFill>
            <w14:solidFill>
              <w14:schemeClr w14:val="tx1"/>
            </w14:solidFill>
          </w14:textFill>
        </w:rPr>
        <w:t xml:space="preserve">月</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24</w:t>
      </w:r>
      <w:r>
        <w:rPr>
          <w:rFonts w:hint="eastAsia" w:ascii="宋体" w:hAnsi="宋体" w:eastAsia="宋体" w:cs="宋体"/>
          <w:b/>
          <w:bCs/>
          <w:color w:val="000000" w:themeColor="text1"/>
          <w:sz w:val="24"/>
          <w:szCs w:val="24"/>
          <w:highlight w:val="none"/>
          <w14:textFill>
            <w14:solidFill>
              <w14:schemeClr w14:val="tx1"/>
            </w14:solidFill>
          </w14:textFill>
        </w:rPr>
        <w:t xml:space="preserve">日</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9 </w:t>
      </w:r>
      <w:r>
        <w:rPr>
          <w:rFonts w:hint="eastAsia" w:ascii="宋体" w:hAnsi="宋体" w:eastAsia="宋体" w:cs="宋体"/>
          <w:b/>
          <w:bCs/>
          <w:color w:val="000000" w:themeColor="text1"/>
          <w:sz w:val="24"/>
          <w:szCs w:val="24"/>
          <w:highlight w:val="none"/>
          <w14:textFill>
            <w14:solidFill>
              <w14:schemeClr w14:val="tx1"/>
            </w14:solidFill>
          </w14:textFill>
        </w:rPr>
        <w:t xml:space="preserve">点30分</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auto"/>
          <w:sz w:val="24"/>
          <w:szCs w:val="24"/>
          <w:highlight w:val="none"/>
        </w:rPr>
        <w:t xml:space="preserve">解密时限：开启解密后30分钟。</w:t>
      </w:r>
      <w:r/>
    </w:p>
    <w:p>
      <w:pPr>
        <w:ind w:firstLine="480"/>
        <w:spacing w:line="36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.地点：</w:t>
      </w:r>
      <w:r>
        <w:rPr>
          <w:rFonts w:hint="eastAsia" w:ascii="宋体" w:hAnsi="宋体" w:eastAsia="宋体" w:cs="宋体"/>
          <w:color w:val="000000" w:themeColor="text1"/>
          <w:sz w:val="24"/>
          <w:szCs w:val="24"/>
          <w:highlight w:val="none"/>
          <w14:textFill>
            <w14:solidFill>
              <w14:schemeClr w14:val="tx1"/>
            </w14:solidFill>
          </w14:textFill>
        </w:rPr>
        <w:t xml:space="preserve">江苏省政府采购（苏采云）平台投标，线上不见面开标。</w:t>
      </w:r>
      <w:r/>
    </w:p>
    <w:p>
      <w:pPr>
        <w:pStyle w:val="805"/>
        <w:ind w:firstLine="482"/>
        <w:spacing w:line="360" w:lineRule="auto"/>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t xml:space="preserve">特别提醒：</w:t>
      </w:r>
      <w:r/>
    </w:p>
    <w:p>
      <w:pPr>
        <w:pStyle w:val="805"/>
        <w:spacing w:line="360" w:lineRule="auto"/>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t xml:space="preserve">（1）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提示。具体操作流程详见《“苏采云”系统供应商操作手册》。</w:t>
      </w:r>
      <w:r/>
    </w:p>
    <w:p>
      <w:pPr>
        <w:pStyle w:val="805"/>
        <w:spacing w:line="360" w:lineRule="auto"/>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t xml:space="preserve">（2）若资格审查中或评审过程中，采购人/代理机构/评标委员会对投标文件存在疑问，投标人被授权代表须在接到在线询标函后15分钟内，在开标界面在线以澄清函回复并签章；若投标人被授权代表未在规定时间内按上述要求作出回复，则视为投标人默认资审结果或评审结果。</w:t>
      </w:r>
      <w:r/>
    </w:p>
    <w:p>
      <w:pPr>
        <w:pStyle w:val="987"/>
        <w:ind w:firstLine="452"/>
        <w:keepLines w:val="0"/>
        <w:keepNext w:val="0"/>
        <w:spacing w:before="0" w:after="0" w:line="360" w:lineRule="auto"/>
        <w:rPr>
          <w:rFonts w:ascii="宋体" w:hAnsi="宋体" w:cs="宋体"/>
          <w:bCs w:val="0"/>
          <w:color w:val="auto"/>
          <w:sz w:val="24"/>
          <w:szCs w:val="24"/>
          <w:highlight w:val="none"/>
          <w:lang w:eastAsia="zh-CN"/>
        </w:rPr>
        <w:outlineLvl w:val="9"/>
      </w:pPr>
      <w:r>
        <w:rPr>
          <w:rFonts w:hint="eastAsia" w:ascii="宋体" w:hAnsi="宋体" w:cs="宋体"/>
          <w:bCs w:val="0"/>
          <w:color w:val="auto"/>
          <w:sz w:val="24"/>
          <w:szCs w:val="24"/>
          <w:highlight w:val="none"/>
          <w:lang w:eastAsia="zh-CN"/>
        </w:rPr>
        <w:t xml:space="preserve">（</w:t>
      </w:r>
      <w:r>
        <w:rPr>
          <w:rFonts w:hint="eastAsia" w:ascii="宋体" w:hAnsi="宋体" w:cs="宋体"/>
          <w:bCs w:val="0"/>
          <w:color w:val="auto"/>
          <w:sz w:val="24"/>
          <w:szCs w:val="24"/>
          <w:highlight w:val="none"/>
          <w:lang w:val="en-US" w:eastAsia="zh-CN"/>
        </w:rPr>
        <w:t xml:space="preserve">六</w:t>
      </w:r>
      <w:r>
        <w:rPr>
          <w:rFonts w:hint="eastAsia" w:ascii="宋体" w:hAnsi="宋体" w:cs="宋体"/>
          <w:bCs w:val="0"/>
          <w:color w:val="auto"/>
          <w:sz w:val="24"/>
          <w:szCs w:val="24"/>
          <w:highlight w:val="none"/>
          <w:lang w:eastAsia="zh-CN"/>
        </w:rPr>
        <w:t xml:space="preserve">）公告期限</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（招标公告及招标文件公告期限）自本公告发布之日起5个工作日。</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七</w:t>
      </w:r>
      <w:r>
        <w:rPr>
          <w:rFonts w:hint="eastAsia" w:ascii="宋体" w:hAnsi="宋体" w:eastAsia="宋体" w:cs="宋体"/>
          <w:b/>
          <w:color w:val="auto"/>
          <w:sz w:val="24"/>
          <w:szCs w:val="24"/>
          <w:highlight w:val="none"/>
        </w:rPr>
        <w:t xml:space="preserve">）评审时间和地点</w:t>
      </w:r>
      <w:r/>
    </w:p>
    <w:p>
      <w:pPr>
        <w:ind w:firstLine="480"/>
        <w:spacing w:line="360" w:lineRule="auto"/>
        <w:rPr>
          <w:rFonts w:hint="eastAsia" w:ascii="宋体" w:hAnsi="宋体" w:eastAsia="宋体" w:cs="宋体"/>
          <w:bCs/>
          <w:color w:val="auto"/>
          <w:sz w:val="24"/>
          <w:szCs w:val="24"/>
          <w:highlight w:val="yellow"/>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评审</w:t>
      </w:r>
      <w:r>
        <w:rPr>
          <w:rFonts w:hint="eastAsia" w:ascii="宋体" w:hAnsi="宋体" w:eastAsia="宋体" w:cs="宋体"/>
          <w:bCs/>
          <w:color w:val="auto"/>
          <w:sz w:val="24"/>
          <w:szCs w:val="24"/>
          <w:highlight w:val="none"/>
        </w:rPr>
        <w:t xml:space="preserve">时间</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2026年</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
          <w:bCs/>
          <w:color w:val="000000" w:themeColor="text1"/>
          <w:sz w:val="24"/>
          <w:szCs w:val="24"/>
          <w:highlight w:val="none"/>
          <w14:textFill>
            <w14:solidFill>
              <w14:schemeClr w14:val="tx1"/>
            </w14:solidFill>
          </w14:textFill>
        </w:rPr>
        <w:t xml:space="preserve">月</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24</w:t>
      </w:r>
      <w:r>
        <w:rPr>
          <w:rFonts w:hint="eastAsia" w:ascii="宋体" w:hAnsi="宋体" w:eastAsia="宋体" w:cs="宋体"/>
          <w:b/>
          <w:bCs/>
          <w:color w:val="000000" w:themeColor="text1"/>
          <w:sz w:val="24"/>
          <w:szCs w:val="24"/>
          <w:highlight w:val="none"/>
          <w14:textFill>
            <w14:solidFill>
              <w14:schemeClr w14:val="tx1"/>
            </w14:solidFill>
          </w14:textFill>
        </w:rPr>
        <w:t xml:space="preserve">日唱标结束后</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评审地点</w:t>
      </w:r>
      <w:r>
        <w:rPr>
          <w:rFonts w:hint="eastAsia" w:ascii="宋体" w:hAnsi="宋体" w:eastAsia="宋体" w:cs="宋体"/>
          <w:bCs/>
          <w:color w:val="auto"/>
          <w:sz w:val="24"/>
          <w:szCs w:val="24"/>
          <w:highlight w:val="none"/>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“江苏省政府采购（苏采云）平台”网上开标大厅</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确定中标单位时间</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评审结束后</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八</w:t>
      </w:r>
      <w:r>
        <w:rPr>
          <w:rFonts w:hint="eastAsia" w:ascii="宋体" w:hAnsi="宋体" w:eastAsia="宋体" w:cs="宋体"/>
          <w:b/>
          <w:bCs/>
          <w:color w:val="000000" w:themeColor="text1"/>
          <w:sz w:val="24"/>
          <w:szCs w:val="24"/>
          <w:highlight w:val="none"/>
          <w14:textFill>
            <w14:solidFill>
              <w14:schemeClr w14:val="tx1"/>
            </w14:solidFill>
          </w14:textFill>
        </w:rPr>
        <w:t xml:space="preserve">）其他补充事宜</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本次采购采用江苏省政府采购（苏采云）平台进行招标投标活动，招标、投标、评标和中标结果发布全程电子化。</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本项目为线上不见面采购，投标人无需到开标现场及递交纸质文件。中标供应商在收到中标通知书后与采购人签订合同前，必须提供与系统中电子投标文件一致的纸质投标文件正本一份，副本二份。</w:t>
      </w:r>
      <w:r/>
    </w:p>
    <w:p>
      <w:pPr>
        <w:ind w:firstLine="482"/>
        <w:spacing w:line="360" w:lineRule="auto"/>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九</w:t>
      </w:r>
      <w:r>
        <w:rPr>
          <w:rFonts w:hint="eastAsia" w:ascii="宋体" w:hAnsi="宋体" w:eastAsia="宋体" w:cs="宋体"/>
          <w:b/>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本次招标联系方式</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1.采购代理机构：</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名称：无锡市建汇建设工程咨询事务所有限公司</w:t>
      </w:r>
      <w:r/>
    </w:p>
    <w:p>
      <w:pPr>
        <w:ind w:firstLine="48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项目联系人：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许嘉</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电话：0510-82729759、13665170769               </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地址：无锡市西新街8号建设发展大厦17楼</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邮箱：397365607@qq.com</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2.采购人：</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名    称：江苏无锡经济开发区发展中心、江苏无锡经济开发区教育局</w:t>
      </w:r>
      <w:r>
        <w:rPr>
          <w:rFonts w:hint="eastAsia" w:ascii="宋体" w:hAnsi="宋体" w:eastAsia="宋体" w:cs="宋体"/>
          <w:color w:val="000000" w:themeColor="text1"/>
          <w:sz w:val="24"/>
          <w:szCs w:val="24"/>
          <w:highlight w:val="none"/>
          <w14:textFill>
            <w14:solidFill>
              <w14:schemeClr w14:val="tx1"/>
            </w14:solidFill>
          </w14:textFill>
        </w:rPr>
        <w:tab/>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    址：无锡市滨湖区太湖新城金融三街置业大厦宁波银行23楼、雪丰路96号（无锡市融成实验中学内）</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联系</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人</w:t>
      </w:r>
      <w:r>
        <w:rPr>
          <w:rFonts w:hint="eastAsia" w:ascii="宋体" w:hAnsi="宋体" w:eastAsia="宋体" w:cs="宋体"/>
          <w:color w:val="000000" w:themeColor="text1"/>
          <w:sz w:val="24"/>
          <w:szCs w:val="24"/>
          <w:highlight w:val="none"/>
          <w14:textFill>
            <w14:solidFill>
              <w14:schemeClr w14:val="tx1"/>
            </w14:solidFill>
          </w14:textFill>
        </w:rPr>
        <w:t xml:space="preserve">：江威</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联系方式：0510-80580159</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十</w:t>
      </w:r>
      <w:r>
        <w:rPr>
          <w:rFonts w:hint="eastAsia" w:ascii="宋体" w:hAnsi="宋体" w:eastAsia="宋体" w:cs="宋体"/>
          <w:b/>
          <w:color w:val="auto"/>
          <w:sz w:val="24"/>
          <w:szCs w:val="24"/>
          <w:highlight w:val="none"/>
        </w:rPr>
        <w:t xml:space="preserve">）其他</w:t>
      </w:r>
      <w:r/>
    </w:p>
    <w:p>
      <w:pPr>
        <w:ind w:firstLine="480"/>
        <w:jc w:val="left"/>
        <w:spacing w:line="500" w:lineRule="exact"/>
        <w:shd w:val="clear" w:color="auto" w:fill="ffffff"/>
        <w:widowControl/>
        <w:rPr>
          <w:rFonts w:ascii="宋体" w:hAnsi="宋体" w:cs="宋体"/>
          <w:color w:val="auto"/>
          <w:sz w:val="24"/>
          <w:highlight w:val="none"/>
        </w:rPr>
      </w:pPr>
      <w:r>
        <w:rPr>
          <w:rFonts w:hint="eastAsia" w:ascii="宋体" w:hAnsi="宋体" w:cs="宋体"/>
          <w:color w:val="auto"/>
          <w:sz w:val="24"/>
          <w:highlight w:val="none"/>
        </w:rPr>
        <w:t xml:space="preserve">（一）供应商“账号注册”及CA办理</w:t>
      </w:r>
      <w:r/>
    </w:p>
    <w:p>
      <w:pPr>
        <w:ind w:firstLine="480"/>
        <w:spacing w:line="500" w:lineRule="exact"/>
        <w:shd w:val="clear" w:color="auto" w:fill="ffffff"/>
        <w:widowControl/>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请有意参加本项目采购活动的供应商按以下流程进行操作</w:t>
      </w:r>
      <w:r>
        <w:rPr>
          <w:rFonts w:hint="eastAsia" w:ascii="宋体" w:hAnsi="宋体"/>
          <w:color w:val="auto"/>
          <w:sz w:val="24"/>
          <w:highlight w:val="none"/>
        </w:rPr>
        <w:t xml:space="preserve">：</w:t>
      </w:r>
      <w:r/>
    </w:p>
    <w:p>
      <w:pPr>
        <w:ind w:firstLine="480"/>
        <w:spacing w:line="500" w:lineRule="exact"/>
        <w:shd w:val="clear" w:color="auto" w:fill="ffffff"/>
        <w:widowControl/>
        <w:rPr>
          <w:rFonts w:ascii="宋体" w:hAnsi="宋体"/>
          <w:color w:val="auto"/>
          <w:sz w:val="24"/>
          <w:highlight w:val="none"/>
        </w:rPr>
      </w:pPr>
      <w:r>
        <w:rPr>
          <w:rFonts w:ascii="宋体" w:hAnsi="宋体"/>
          <w:color w:val="auto"/>
          <w:sz w:val="24"/>
          <w:highlight w:val="none"/>
        </w:rPr>
        <w:t xml:space="preserve">（</w:t>
      </w:r>
      <w:r>
        <w:rPr>
          <w:rFonts w:hint="eastAsia" w:ascii="宋体" w:hAnsi="宋体"/>
          <w:color w:val="auto"/>
          <w:sz w:val="24"/>
          <w:highlight w:val="none"/>
        </w:rPr>
        <w:t xml:space="preserve">1</w:t>
      </w:r>
      <w:r>
        <w:rPr>
          <w:rFonts w:ascii="宋体" w:hAnsi="宋体"/>
          <w:color w:val="auto"/>
          <w:sz w:val="24"/>
          <w:highlight w:val="none"/>
        </w:rPr>
        <w:t xml:space="preserve">）点击“江苏省政府采购（苏采云）平台”</w:t>
      </w:r>
      <w:r>
        <w:rPr>
          <w:rFonts w:ascii="宋体" w:hAnsi="宋体"/>
          <w:bCs/>
          <w:color w:val="auto"/>
          <w:sz w:val="24"/>
          <w:highlight w:val="none"/>
        </w:rPr>
        <w:t xml:space="preserve">（以下简称</w:t>
      </w:r>
      <w:r>
        <w:rPr>
          <w:rFonts w:hint="eastAsia" w:ascii="宋体" w:hAnsi="宋体"/>
          <w:bCs/>
          <w:color w:val="auto"/>
          <w:sz w:val="24"/>
          <w:highlight w:val="none"/>
        </w:rPr>
        <w:t xml:space="preserve">“苏采云”系统</w:t>
      </w:r>
      <w:r>
        <w:rPr>
          <w:rFonts w:ascii="宋体" w:hAnsi="宋体"/>
          <w:bCs/>
          <w:color w:val="auto"/>
          <w:sz w:val="24"/>
          <w:highlight w:val="none"/>
        </w:rPr>
        <w:t xml:space="preserve">）</w:t>
      </w:r>
      <w:r>
        <w:rPr>
          <w:rFonts w:hint="eastAsia" w:ascii="宋体" w:hAnsi="宋体"/>
          <w:color w:val="auto"/>
          <w:sz w:val="24"/>
          <w:highlight w:val="none"/>
        </w:rPr>
        <w:t xml:space="preserve">选择供应商版块，点击“用户注册”按钮，进行账号注册，注册完成后需在</w:t>
      </w:r>
      <w:r>
        <w:rPr>
          <w:rFonts w:hint="eastAsia" w:ascii="宋体" w:hAnsi="宋体"/>
          <w:bCs/>
          <w:color w:val="auto"/>
          <w:sz w:val="24"/>
          <w:highlight w:val="none"/>
        </w:rPr>
        <w:t xml:space="preserve">系统</w:t>
      </w:r>
      <w:r>
        <w:rPr>
          <w:rFonts w:hint="eastAsia" w:ascii="宋体" w:hAnsi="宋体"/>
          <w:color w:val="auto"/>
          <w:sz w:val="24"/>
          <w:highlight w:val="none"/>
        </w:rPr>
        <w:t xml:space="preserve">中填写资质信息并提交。也可以直接通过http://jszfcg.jsczt.cn/进入界面。</w:t>
      </w:r>
      <w:r/>
    </w:p>
    <w:p>
      <w:pPr>
        <w:ind w:firstLine="480"/>
        <w:spacing w:line="500" w:lineRule="exact"/>
        <w:shd w:val="clear" w:color="auto" w:fill="ffffff"/>
        <w:widowControl/>
        <w:rPr>
          <w:rFonts w:ascii="宋体" w:hAnsi="宋体"/>
          <w:color w:val="auto"/>
          <w:sz w:val="24"/>
          <w:highlight w:val="none"/>
        </w:rPr>
      </w:pPr>
      <w:r>
        <w:rPr>
          <w:rFonts w:ascii="宋体" w:hAnsi="宋体"/>
          <w:color w:val="auto"/>
          <w:sz w:val="24"/>
          <w:highlight w:val="none"/>
        </w:rPr>
        <w:t xml:space="preserve">（</w:t>
      </w:r>
      <w:r>
        <w:rPr>
          <w:rFonts w:hint="eastAsia" w:ascii="宋体" w:hAnsi="宋体"/>
          <w:color w:val="auto"/>
          <w:sz w:val="24"/>
          <w:highlight w:val="none"/>
        </w:rPr>
        <w:t xml:space="preserve">2</w:t>
      </w:r>
      <w:r>
        <w:rPr>
          <w:rFonts w:ascii="宋体" w:hAnsi="宋体"/>
          <w:color w:val="auto"/>
          <w:sz w:val="24"/>
          <w:highlight w:val="none"/>
        </w:rPr>
        <w:t xml:space="preserve">）</w:t>
      </w:r>
      <w:r>
        <w:rPr>
          <w:rFonts w:hint="eastAsia" w:ascii="宋体" w:hAnsi="宋体"/>
          <w:color w:val="auto"/>
          <w:sz w:val="24"/>
          <w:highlight w:val="none"/>
        </w:rPr>
        <w:t xml:space="preserve">投标人应及时办理江苏省电子政务证书认证中心CA证书与电子签章，政府采购交易系统原CA须更换为江苏省电子政务证书认证中心CA，以确保全流程电子化政府采购活动的顺利进行。领取CA和办理电子签章详见“江苏省政府采购数字证书CA及电子签章办理指南”（http://jsxcmm.com/help/help.html）。</w:t>
      </w:r>
      <w:r/>
    </w:p>
    <w:p>
      <w:pPr>
        <w:ind w:firstLine="480"/>
        <w:spacing w:line="500" w:lineRule="exact"/>
        <w:shd w:val="clear" w:color="auto" w:fill="ffffff"/>
        <w:widowControl/>
        <w:rPr>
          <w:rFonts w:ascii="宋体" w:hAnsi="宋体"/>
          <w:color w:val="auto"/>
          <w:sz w:val="24"/>
          <w:highlight w:val="none"/>
        </w:rPr>
      </w:pPr>
      <w:r>
        <w:rPr>
          <w:rFonts w:ascii="宋体" w:hAnsi="宋体"/>
          <w:color w:val="auto"/>
          <w:sz w:val="24"/>
          <w:highlight w:val="none"/>
        </w:rPr>
        <w:t xml:space="preserve">（</w:t>
      </w:r>
      <w:r>
        <w:rPr>
          <w:rFonts w:hint="eastAsia" w:ascii="宋体" w:hAnsi="宋体"/>
          <w:color w:val="auto"/>
          <w:sz w:val="24"/>
          <w:highlight w:val="none"/>
        </w:rPr>
        <w:t xml:space="preserve">3</w:t>
      </w:r>
      <w:r>
        <w:rPr>
          <w:rFonts w:ascii="宋体" w:hAnsi="宋体"/>
          <w:color w:val="auto"/>
          <w:sz w:val="24"/>
          <w:highlight w:val="none"/>
        </w:rPr>
        <w:t xml:space="preserve">）CA驱动下载</w:t>
      </w:r>
      <w:r>
        <w:rPr>
          <w:rFonts w:hint="eastAsia" w:ascii="宋体" w:hAnsi="宋体"/>
          <w:color w:val="auto"/>
          <w:sz w:val="24"/>
          <w:highlight w:val="none"/>
        </w:rPr>
        <w:t xml:space="preserve">：</w:t>
      </w:r>
      <w:r/>
    </w:p>
    <w:p>
      <w:pPr>
        <w:ind w:firstLine="480"/>
        <w:spacing w:line="500" w:lineRule="exact"/>
        <w:shd w:val="clear" w:color="auto" w:fill="ffffff"/>
        <w:widowControl/>
        <w:rPr>
          <w:rFonts w:ascii="宋体" w:hAnsi="宋体"/>
          <w:color w:val="auto"/>
          <w:sz w:val="24"/>
          <w:highlight w:val="none"/>
        </w:rPr>
      </w:pPr>
      <w:r>
        <w:rPr>
          <w:rFonts w:ascii="宋体" w:hAnsi="宋体"/>
          <w:color w:val="auto"/>
          <w:sz w:val="24"/>
          <w:highlight w:val="none"/>
        </w:rPr>
        <w:t xml:space="preserve">在</w:t>
      </w:r>
      <w:r>
        <w:rPr>
          <w:rFonts w:hint="eastAsia" w:ascii="宋体" w:hAnsi="宋体"/>
          <w:bCs/>
          <w:color w:val="auto"/>
          <w:sz w:val="24"/>
          <w:highlight w:val="none"/>
        </w:rPr>
        <w:t xml:space="preserve">“苏采云”系统账号登录</w:t>
      </w:r>
      <w:r>
        <w:rPr>
          <w:rFonts w:ascii="宋体" w:hAnsi="宋体"/>
          <w:color w:val="auto"/>
          <w:sz w:val="24"/>
          <w:highlight w:val="none"/>
        </w:rPr>
        <w:t xml:space="preserve">页面</w:t>
      </w:r>
      <w:r>
        <w:rPr>
          <w:rFonts w:hint="eastAsia" w:ascii="宋体" w:hAnsi="宋体"/>
          <w:color w:val="auto"/>
          <w:sz w:val="24"/>
          <w:highlight w:val="none"/>
        </w:rPr>
        <w:t xml:space="preserve">，</w:t>
      </w:r>
      <w:r>
        <w:rPr>
          <w:rFonts w:ascii="宋体" w:hAnsi="宋体"/>
          <w:color w:val="auto"/>
          <w:sz w:val="24"/>
          <w:highlight w:val="none"/>
        </w:rPr>
        <w:t xml:space="preserve">点击“驱动下载”链接中的“政务CA、方正签章控件驱动安装包及安装说明”可以直接下载驱动安装包</w:t>
      </w:r>
      <w:r>
        <w:rPr>
          <w:rFonts w:hint="eastAsia" w:ascii="宋体" w:hAnsi="宋体"/>
          <w:color w:val="auto"/>
          <w:sz w:val="24"/>
          <w:highlight w:val="none"/>
        </w:rPr>
        <w:t xml:space="preserve">，</w:t>
      </w:r>
      <w:r>
        <w:rPr>
          <w:rFonts w:ascii="宋体" w:hAnsi="宋体"/>
          <w:color w:val="auto"/>
          <w:sz w:val="24"/>
          <w:highlight w:val="none"/>
        </w:rPr>
        <w:t xml:space="preserve">安装包中附有驱动安装手册</w:t>
      </w:r>
      <w:r>
        <w:rPr>
          <w:rFonts w:hint="eastAsia" w:ascii="宋体" w:hAnsi="宋体"/>
          <w:color w:val="auto"/>
          <w:sz w:val="24"/>
          <w:highlight w:val="none"/>
        </w:rPr>
        <w:t xml:space="preserve">。</w:t>
      </w:r>
      <w:r/>
    </w:p>
    <w:p>
      <w:pPr>
        <w:ind w:firstLine="480"/>
        <w:spacing w:line="500" w:lineRule="exact"/>
        <w:shd w:val="clear" w:color="auto" w:fill="ffffff"/>
        <w:widowControl/>
        <w:rPr>
          <w:rFonts w:ascii="宋体" w:hAnsi="宋体"/>
          <w:color w:val="auto"/>
          <w:sz w:val="24"/>
          <w:highlight w:val="none"/>
        </w:rPr>
      </w:pPr>
      <w:r>
        <w:rPr>
          <w:rFonts w:ascii="宋体" w:hAnsi="宋体"/>
          <w:color w:val="auto"/>
          <w:sz w:val="24"/>
          <w:highlight w:val="none"/>
        </w:rPr>
        <w:t xml:space="preserve">技术服务电话</w:t>
      </w:r>
      <w:r>
        <w:rPr>
          <w:rFonts w:hint="eastAsia" w:ascii="宋体" w:hAnsi="宋体"/>
          <w:color w:val="auto"/>
          <w:sz w:val="24"/>
          <w:highlight w:val="none"/>
        </w:rPr>
        <w:t xml:space="preserve">：0510-81827781</w:t>
      </w:r>
      <w:r>
        <w:rPr>
          <w:rFonts w:ascii="宋体" w:hAnsi="宋体"/>
          <w:color w:val="auto"/>
          <w:sz w:val="24"/>
          <w:highlight w:val="none"/>
        </w:rPr>
        <w:t xml:space="preserve">（服务时间</w:t>
      </w:r>
      <w:r>
        <w:rPr>
          <w:rFonts w:hint="eastAsia" w:ascii="宋体" w:hAnsi="宋体"/>
          <w:color w:val="auto"/>
          <w:sz w:val="24"/>
          <w:highlight w:val="none"/>
        </w:rPr>
        <w:t xml:space="preserve">：</w:t>
      </w:r>
      <w:r>
        <w:rPr>
          <w:rFonts w:ascii="宋体" w:hAnsi="宋体"/>
          <w:color w:val="auto"/>
          <w:sz w:val="24"/>
          <w:highlight w:val="none"/>
        </w:rPr>
        <w:t xml:space="preserve">工作日</w:t>
      </w:r>
      <w:r>
        <w:rPr>
          <w:rFonts w:hint="eastAsia" w:ascii="宋体" w:hAnsi="宋体"/>
          <w:color w:val="auto"/>
          <w:sz w:val="24"/>
          <w:highlight w:val="none"/>
        </w:rPr>
        <w:t xml:space="preserve"> 9:00-11:30,13:00-17:00</w:t>
      </w:r>
      <w:r>
        <w:rPr>
          <w:rFonts w:ascii="宋体" w:hAnsi="宋体"/>
          <w:color w:val="auto"/>
          <w:sz w:val="24"/>
          <w:highlight w:val="none"/>
        </w:rPr>
        <w:t xml:space="preserve">）</w:t>
      </w:r>
      <w:r/>
    </w:p>
    <w:p>
      <w:pPr>
        <w:ind w:firstLine="480"/>
        <w:spacing w:line="500" w:lineRule="exact"/>
        <w:shd w:val="clear" w:color="auto" w:fill="ffffff"/>
        <w:widowControl/>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完成</w:t>
      </w:r>
      <w:r>
        <w:rPr>
          <w:rFonts w:hint="eastAsia" w:ascii="宋体" w:hAnsi="宋体"/>
          <w:bCs/>
          <w:color w:val="auto"/>
          <w:sz w:val="24"/>
          <w:highlight w:val="none"/>
        </w:rPr>
        <w:t xml:space="preserve">“苏采云”系统</w:t>
      </w:r>
      <w:r>
        <w:rPr>
          <w:rFonts w:hint="eastAsia" w:ascii="宋体" w:hAnsi="宋体"/>
          <w:color w:val="auto"/>
          <w:sz w:val="24"/>
          <w:highlight w:val="none"/>
        </w:rPr>
        <w:t xml:space="preserve">账号注册</w:t>
      </w:r>
      <w:r>
        <w:rPr>
          <w:rFonts w:ascii="宋体" w:hAnsi="宋体"/>
          <w:color w:val="auto"/>
          <w:sz w:val="24"/>
          <w:highlight w:val="none"/>
        </w:rPr>
        <w:t xml:space="preserve">的供应商方可</w:t>
      </w:r>
      <w:r>
        <w:rPr>
          <w:rFonts w:hint="eastAsia" w:ascii="宋体" w:hAnsi="宋体"/>
          <w:color w:val="auto"/>
          <w:sz w:val="24"/>
          <w:highlight w:val="none"/>
        </w:rPr>
        <w:t xml:space="preserve">在</w:t>
      </w:r>
      <w:r>
        <w:rPr>
          <w:rFonts w:hint="eastAsia" w:ascii="宋体" w:hAnsi="宋体"/>
          <w:bCs/>
          <w:color w:val="auto"/>
          <w:sz w:val="24"/>
          <w:highlight w:val="none"/>
        </w:rPr>
        <w:t xml:space="preserve">“苏采云”系统</w:t>
      </w:r>
      <w:r>
        <w:rPr>
          <w:rFonts w:ascii="宋体" w:hAnsi="宋体"/>
          <w:color w:val="auto"/>
          <w:sz w:val="24"/>
          <w:highlight w:val="none"/>
        </w:rPr>
        <w:t xml:space="preserve">中进行CA绑定</w:t>
      </w:r>
      <w:r>
        <w:rPr>
          <w:rFonts w:hint="eastAsia" w:ascii="宋体" w:hAnsi="宋体"/>
          <w:color w:val="auto"/>
          <w:sz w:val="24"/>
          <w:highlight w:val="none"/>
        </w:rPr>
        <w:t xml:space="preserve">。</w:t>
      </w:r>
      <w:r>
        <w:rPr>
          <w:rFonts w:ascii="宋体" w:hAnsi="宋体"/>
          <w:color w:val="auto"/>
          <w:sz w:val="24"/>
          <w:highlight w:val="none"/>
        </w:rPr>
        <w:t xml:space="preserve">登录</w:t>
      </w:r>
      <w:r>
        <w:rPr>
          <w:rFonts w:hint="eastAsia" w:ascii="宋体" w:hAnsi="宋体"/>
          <w:bCs/>
          <w:color w:val="auto"/>
          <w:sz w:val="24"/>
          <w:highlight w:val="none"/>
        </w:rPr>
        <w:t xml:space="preserve">“苏采云”系统</w:t>
      </w:r>
      <w:r>
        <w:rPr>
          <w:rFonts w:hint="eastAsia" w:ascii="宋体" w:hAnsi="宋体"/>
          <w:color w:val="auto"/>
          <w:sz w:val="24"/>
          <w:highlight w:val="none"/>
        </w:rPr>
        <w:t xml:space="preserve">，</w:t>
      </w:r>
      <w:r>
        <w:rPr>
          <w:rFonts w:ascii="宋体" w:hAnsi="宋体"/>
          <w:color w:val="auto"/>
          <w:sz w:val="24"/>
          <w:highlight w:val="none"/>
        </w:rPr>
        <w:t xml:space="preserve">插入CA后</w:t>
      </w:r>
      <w:r>
        <w:rPr>
          <w:rFonts w:hint="eastAsia" w:ascii="宋体" w:hAnsi="宋体"/>
          <w:color w:val="auto"/>
          <w:sz w:val="24"/>
          <w:highlight w:val="none"/>
        </w:rPr>
        <w:t xml:space="preserve">，</w:t>
      </w:r>
      <w:r>
        <w:rPr>
          <w:rFonts w:ascii="宋体" w:hAnsi="宋体"/>
          <w:color w:val="auto"/>
          <w:sz w:val="24"/>
          <w:highlight w:val="none"/>
        </w:rPr>
        <w:t xml:space="preserve">点击【账号设置】——【绑定CA】</w:t>
      </w:r>
      <w:r>
        <w:rPr>
          <w:rFonts w:hint="eastAsia" w:ascii="宋体" w:hAnsi="宋体"/>
          <w:color w:val="auto"/>
          <w:sz w:val="24"/>
          <w:highlight w:val="none"/>
        </w:rPr>
        <w:t xml:space="preserve">。</w:t>
      </w:r>
      <w:r/>
    </w:p>
    <w:p>
      <w:pPr>
        <w:ind w:firstLine="480"/>
        <w:spacing w:line="500" w:lineRule="exact"/>
        <w:shd w:val="clear" w:color="auto" w:fill="ffffff"/>
        <w:widowControl/>
        <w:rPr>
          <w:rFonts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供应商应按上述要求提供相关材料信息</w:t>
      </w:r>
      <w:r>
        <w:rPr>
          <w:rFonts w:hint="eastAsia" w:ascii="宋体" w:hAnsi="宋体"/>
          <w:color w:val="auto"/>
          <w:sz w:val="24"/>
          <w:highlight w:val="none"/>
        </w:rPr>
        <w:t xml:space="preserve">，</w:t>
      </w:r>
      <w:r>
        <w:rPr>
          <w:rFonts w:ascii="宋体" w:hAnsi="宋体"/>
          <w:color w:val="auto"/>
          <w:sz w:val="24"/>
          <w:highlight w:val="none"/>
        </w:rPr>
        <w:t xml:space="preserve">所提供的材料应均是真实的、准确的</w:t>
      </w:r>
      <w:r>
        <w:rPr>
          <w:rFonts w:hint="eastAsia" w:ascii="宋体" w:hAnsi="宋体"/>
          <w:color w:val="auto"/>
          <w:sz w:val="24"/>
          <w:highlight w:val="none"/>
        </w:rPr>
        <w:t xml:space="preserve">，</w:t>
      </w:r>
      <w:r>
        <w:rPr>
          <w:rFonts w:ascii="宋体" w:hAnsi="宋体"/>
          <w:color w:val="auto"/>
          <w:sz w:val="24"/>
          <w:highlight w:val="none"/>
        </w:rPr>
        <w:t xml:space="preserve">若有违背</w:t>
      </w:r>
      <w:r>
        <w:rPr>
          <w:rFonts w:hint="eastAsia" w:ascii="宋体" w:hAnsi="宋体"/>
          <w:color w:val="auto"/>
          <w:sz w:val="24"/>
          <w:highlight w:val="none"/>
        </w:rPr>
        <w:t xml:space="preserve">，</w:t>
      </w:r>
      <w:r>
        <w:rPr>
          <w:rFonts w:ascii="宋体" w:hAnsi="宋体"/>
          <w:color w:val="auto"/>
          <w:sz w:val="24"/>
          <w:highlight w:val="none"/>
        </w:rPr>
        <w:t xml:space="preserve">供应商自行承担由此而产生的一切后果</w:t>
      </w:r>
      <w:r>
        <w:rPr>
          <w:rFonts w:hint="eastAsia" w:ascii="宋体" w:hAnsi="宋体"/>
          <w:color w:val="auto"/>
          <w:sz w:val="24"/>
          <w:highlight w:val="none"/>
        </w:rPr>
        <w:t xml:space="preserve">。</w:t>
      </w:r>
      <w:r/>
    </w:p>
    <w:p>
      <w:pPr>
        <w:ind w:firstLine="480"/>
        <w:spacing w:line="500" w:lineRule="exact"/>
        <w:shd w:val="clear" w:color="auto" w:fill="ffffff"/>
        <w:widowControl/>
        <w:rPr>
          <w:rFonts w:ascii="宋体" w:hAnsi="宋体"/>
          <w:color w:val="auto"/>
          <w:sz w:val="24"/>
          <w:highlight w:val="none"/>
        </w:rPr>
      </w:pPr>
      <w:r>
        <w:rPr>
          <w:rFonts w:hint="eastAsia" w:ascii="宋体" w:hAnsi="宋体"/>
          <w:color w:val="auto"/>
          <w:sz w:val="24"/>
          <w:highlight w:val="none"/>
        </w:rPr>
        <w:t xml:space="preserve">4.</w:t>
      </w:r>
      <w:r>
        <w:rPr>
          <w:rFonts w:ascii="宋体" w:hAnsi="宋体"/>
          <w:color w:val="auto"/>
          <w:sz w:val="24"/>
          <w:highlight w:val="none"/>
        </w:rPr>
        <w:t xml:space="preserve">如供应商未按上述要求操作</w:t>
      </w:r>
      <w:r>
        <w:rPr>
          <w:rFonts w:hint="eastAsia" w:ascii="宋体" w:hAnsi="宋体"/>
          <w:color w:val="auto"/>
          <w:sz w:val="24"/>
          <w:highlight w:val="none"/>
        </w:rPr>
        <w:t xml:space="preserve">，</w:t>
      </w:r>
      <w:r>
        <w:rPr>
          <w:rFonts w:ascii="宋体" w:hAnsi="宋体"/>
          <w:color w:val="auto"/>
          <w:sz w:val="24"/>
          <w:highlight w:val="none"/>
        </w:rPr>
        <w:t xml:space="preserve">由此所产生的损失及风险由供应商自行承担</w:t>
      </w:r>
      <w:r>
        <w:rPr>
          <w:rFonts w:hint="eastAsia" w:ascii="宋体" w:hAnsi="宋体"/>
          <w:color w:val="auto"/>
          <w:sz w:val="24"/>
          <w:highlight w:val="none"/>
        </w:rPr>
        <w:t xml:space="preserve">。</w:t>
      </w:r>
      <w:r>
        <w:rPr>
          <w:rFonts w:ascii="宋体" w:hAnsi="宋体"/>
          <w:color w:val="auto"/>
          <w:sz w:val="24"/>
          <w:highlight w:val="none"/>
        </w:rPr>
        <w:t xml:space="preserve">具体操作步骤详见</w:t>
      </w:r>
      <w:r>
        <w:rPr>
          <w:rFonts w:hint="eastAsia" w:ascii="宋体" w:hAnsi="宋体"/>
          <w:color w:val="auto"/>
          <w:sz w:val="24"/>
          <w:highlight w:val="none"/>
        </w:rPr>
        <w:t xml:space="preserve">《“苏采云”系统供应商操作手册》</w:t>
      </w:r>
      <w:r>
        <w:rPr>
          <w:rFonts w:ascii="宋体" w:hAnsi="宋体"/>
          <w:color w:val="auto"/>
          <w:sz w:val="24"/>
          <w:highlight w:val="none"/>
        </w:rPr>
        <w:t xml:space="preserve">（以下简称</w:t>
      </w:r>
      <w:r>
        <w:rPr>
          <w:rFonts w:hint="eastAsia" w:ascii="宋体" w:hAnsi="宋体"/>
          <w:color w:val="auto"/>
          <w:sz w:val="24"/>
          <w:highlight w:val="none"/>
        </w:rPr>
        <w:t xml:space="preserve">《操作手册》</w:t>
      </w:r>
      <w:r>
        <w:rPr>
          <w:rFonts w:ascii="宋体" w:hAnsi="宋体"/>
          <w:color w:val="auto"/>
          <w:sz w:val="24"/>
          <w:highlight w:val="none"/>
        </w:rPr>
        <w:t xml:space="preserve">）</w:t>
      </w:r>
      <w:r/>
    </w:p>
    <w:p>
      <w:pPr>
        <w:ind w:firstLine="480"/>
        <w:jc w:val="left"/>
        <w:spacing w:line="500" w:lineRule="exact"/>
        <w:shd w:val="clear" w:color="auto" w:fill="ffffff"/>
        <w:widowControl/>
        <w:rPr>
          <w:rFonts w:ascii="宋体" w:hAnsi="宋体" w:cs="宋体"/>
          <w:color w:val="auto"/>
          <w:sz w:val="24"/>
          <w:highlight w:val="none"/>
        </w:rPr>
      </w:pPr>
      <w:r>
        <w:rPr>
          <w:rFonts w:hint="eastAsia" w:ascii="宋体" w:hAnsi="宋体" w:cs="宋体"/>
          <w:color w:val="auto"/>
          <w:sz w:val="24"/>
          <w:highlight w:val="none"/>
        </w:rPr>
        <w:t xml:space="preserve">（二）完成项目参与，获取采购文件</w:t>
      </w:r>
      <w:r/>
    </w:p>
    <w:p>
      <w:pPr>
        <w:ind w:firstLine="480"/>
        <w:spacing w:line="500" w:lineRule="exact"/>
        <w:shd w:val="clear" w:color="auto" w:fill="ffffff"/>
        <w:widowControl/>
        <w:rPr>
          <w:rFonts w:ascii="宋体" w:hAnsi="宋体"/>
          <w:color w:val="auto"/>
          <w:sz w:val="24"/>
          <w:highlight w:val="none"/>
        </w:rPr>
      </w:pPr>
      <w:r>
        <w:rPr>
          <w:rFonts w:ascii="宋体" w:hAnsi="宋体"/>
          <w:color w:val="auto"/>
          <w:sz w:val="24"/>
          <w:highlight w:val="none"/>
        </w:rPr>
        <w:t xml:space="preserve">供应商可在项目</w:t>
      </w:r>
      <w:r>
        <w:rPr>
          <w:rFonts w:hint="eastAsia" w:ascii="宋体" w:hAnsi="宋体"/>
          <w:color w:val="auto"/>
          <w:sz w:val="24"/>
          <w:highlight w:val="none"/>
        </w:rPr>
        <w:t xml:space="preserve">招标</w:t>
      </w:r>
      <w:r>
        <w:rPr>
          <w:rFonts w:ascii="宋体" w:hAnsi="宋体"/>
          <w:color w:val="auto"/>
          <w:sz w:val="24"/>
          <w:highlight w:val="none"/>
        </w:rPr>
        <w:t xml:space="preserve">公告附件中查看</w:t>
      </w:r>
      <w:r>
        <w:rPr>
          <w:rFonts w:hint="eastAsia" w:ascii="宋体" w:hAnsi="宋体"/>
          <w:color w:val="auto"/>
          <w:sz w:val="24"/>
          <w:highlight w:val="none"/>
        </w:rPr>
        <w:t xml:space="preserve">公开采购文件，</w:t>
      </w:r>
      <w:r>
        <w:rPr>
          <w:rFonts w:ascii="宋体" w:hAnsi="宋体"/>
          <w:color w:val="auto"/>
          <w:sz w:val="24"/>
          <w:highlight w:val="none"/>
        </w:rPr>
        <w:t xml:space="preserve">如确定参加本次</w:t>
      </w:r>
      <w:r>
        <w:rPr>
          <w:rFonts w:hint="eastAsia" w:ascii="宋体" w:hAnsi="宋体"/>
          <w:color w:val="auto"/>
          <w:sz w:val="24"/>
          <w:highlight w:val="none"/>
        </w:rPr>
        <w:t xml:space="preserve">采购</w:t>
      </w:r>
      <w:r>
        <w:rPr>
          <w:rFonts w:ascii="宋体" w:hAnsi="宋体"/>
          <w:color w:val="auto"/>
          <w:sz w:val="24"/>
          <w:highlight w:val="none"/>
        </w:rPr>
        <w:t xml:space="preserve">活动</w:t>
      </w:r>
      <w:r>
        <w:rPr>
          <w:rFonts w:hint="eastAsia" w:ascii="宋体" w:hAnsi="宋体"/>
          <w:color w:val="auto"/>
          <w:sz w:val="24"/>
          <w:highlight w:val="none"/>
        </w:rPr>
        <w:t xml:space="preserve">，</w:t>
      </w:r>
      <w:r>
        <w:rPr>
          <w:rFonts w:ascii="宋体" w:hAnsi="宋体"/>
          <w:color w:val="auto"/>
          <w:sz w:val="24"/>
          <w:highlight w:val="none"/>
        </w:rPr>
        <w:t xml:space="preserve">必须在</w:t>
      </w:r>
      <w:r>
        <w:rPr>
          <w:rFonts w:hint="eastAsia" w:ascii="宋体" w:hAnsi="宋体"/>
          <w:bCs/>
          <w:color w:val="auto"/>
          <w:sz w:val="24"/>
          <w:highlight w:val="none"/>
        </w:rPr>
        <w:t xml:space="preserve">采购文件提供期限</w:t>
      </w:r>
      <w:r>
        <w:rPr>
          <w:rFonts w:ascii="宋体" w:hAnsi="宋体"/>
          <w:color w:val="auto"/>
          <w:sz w:val="24"/>
          <w:highlight w:val="none"/>
        </w:rPr>
        <w:t xml:space="preserve">内</w:t>
      </w:r>
      <w:r>
        <w:rPr>
          <w:rFonts w:hint="eastAsia" w:ascii="宋体" w:hAnsi="宋体"/>
          <w:color w:val="auto"/>
          <w:sz w:val="24"/>
          <w:highlight w:val="none"/>
        </w:rPr>
        <w:t xml:space="preserve">从</w:t>
      </w:r>
      <w:r>
        <w:rPr>
          <w:rFonts w:hint="eastAsia" w:ascii="宋体" w:hAnsi="宋体"/>
          <w:bCs/>
          <w:color w:val="auto"/>
          <w:sz w:val="24"/>
          <w:highlight w:val="none"/>
        </w:rPr>
        <w:t xml:space="preserve">“苏采云”系统</w:t>
      </w:r>
      <w:r>
        <w:rPr>
          <w:rFonts w:ascii="宋体" w:hAnsi="宋体"/>
          <w:color w:val="auto"/>
          <w:sz w:val="24"/>
          <w:highlight w:val="none"/>
        </w:rPr>
        <w:t xml:space="preserve">中下载文件（“项目参与”——“</w:t>
      </w:r>
      <w:r>
        <w:rPr>
          <w:rFonts w:hint="eastAsia" w:ascii="宋体" w:hAnsi="宋体"/>
          <w:color w:val="auto"/>
          <w:sz w:val="24"/>
          <w:highlight w:val="none"/>
        </w:rPr>
        <w:t xml:space="preserve">采购项目参与</w:t>
      </w:r>
      <w:r>
        <w:rPr>
          <w:rFonts w:ascii="宋体" w:hAnsi="宋体"/>
          <w:color w:val="auto"/>
          <w:sz w:val="24"/>
          <w:highlight w:val="none"/>
        </w:rPr>
        <w:t xml:space="preserve">”找到需要获取</w:t>
      </w:r>
      <w:r>
        <w:rPr>
          <w:rFonts w:hint="eastAsia" w:ascii="宋体" w:hAnsi="宋体"/>
          <w:color w:val="auto"/>
          <w:sz w:val="24"/>
          <w:highlight w:val="none"/>
        </w:rPr>
        <w:t xml:space="preserve">采购文件</w:t>
      </w:r>
      <w:r>
        <w:rPr>
          <w:rFonts w:ascii="宋体" w:hAnsi="宋体"/>
          <w:color w:val="auto"/>
          <w:sz w:val="24"/>
          <w:highlight w:val="none"/>
        </w:rPr>
        <w:t xml:space="preserve">的项目</w:t>
      </w:r>
      <w:r>
        <w:rPr>
          <w:rFonts w:hint="eastAsia" w:ascii="宋体" w:hAnsi="宋体"/>
          <w:color w:val="auto"/>
          <w:sz w:val="24"/>
          <w:highlight w:val="none"/>
        </w:rPr>
        <w:t xml:space="preserve">，</w:t>
      </w:r>
      <w:r>
        <w:rPr>
          <w:rFonts w:ascii="宋体" w:hAnsi="宋体"/>
          <w:color w:val="auto"/>
          <w:sz w:val="24"/>
          <w:highlight w:val="none"/>
        </w:rPr>
        <w:t xml:space="preserve">点击“我要参与”——“参与投标”——</w:t>
      </w:r>
      <w:r>
        <w:rPr>
          <w:rFonts w:hint="eastAsia" w:ascii="宋体" w:hAnsi="宋体"/>
          <w:color w:val="auto"/>
          <w:sz w:val="24"/>
          <w:highlight w:val="none"/>
        </w:rPr>
        <w:t xml:space="preserve">“</w:t>
      </w:r>
      <w:r>
        <w:rPr>
          <w:rFonts w:ascii="宋体" w:hAnsi="宋体"/>
          <w:color w:val="auto"/>
          <w:sz w:val="24"/>
          <w:highlight w:val="none"/>
        </w:rPr>
        <w:t xml:space="preserve">下载文件</w:t>
      </w:r>
      <w:r>
        <w:rPr>
          <w:rFonts w:hint="eastAsia" w:ascii="宋体" w:hAnsi="宋体"/>
          <w:color w:val="auto"/>
          <w:sz w:val="24"/>
          <w:highlight w:val="none"/>
        </w:rPr>
        <w:t xml:space="preserve">”</w:t>
      </w:r>
      <w:r>
        <w:rPr>
          <w:rFonts w:ascii="宋体" w:hAnsi="宋体"/>
          <w:color w:val="auto"/>
          <w:sz w:val="24"/>
          <w:highlight w:val="none"/>
        </w:rPr>
        <w:t xml:space="preserve">）</w:t>
      </w:r>
      <w:r>
        <w:rPr>
          <w:rFonts w:hint="eastAsia" w:ascii="宋体" w:hAnsi="宋体"/>
          <w:color w:val="auto"/>
          <w:sz w:val="24"/>
          <w:highlight w:val="none"/>
        </w:rPr>
        <w:t xml:space="preserve">，</w:t>
      </w:r>
      <w:r>
        <w:rPr>
          <w:rFonts w:ascii="宋体" w:hAnsi="宋体"/>
          <w:color w:val="auto"/>
          <w:sz w:val="24"/>
          <w:highlight w:val="none"/>
        </w:rPr>
        <w:t xml:space="preserve">完成项目</w:t>
      </w:r>
      <w:r>
        <w:rPr>
          <w:rFonts w:hint="eastAsia" w:ascii="宋体" w:hAnsi="宋体"/>
          <w:color w:val="auto"/>
          <w:sz w:val="24"/>
          <w:highlight w:val="none"/>
        </w:rPr>
        <w:t xml:space="preserve">参与，将</w:t>
      </w:r>
      <w:r>
        <w:rPr>
          <w:rFonts w:hint="eastAsia" w:ascii="宋体" w:hAnsi="宋体"/>
          <w:bCs/>
          <w:color w:val="auto"/>
          <w:sz w:val="24"/>
          <w:highlight w:val="none"/>
        </w:rPr>
        <w:t xml:space="preserve">“苏采云”系统</w:t>
      </w:r>
      <w:r>
        <w:rPr>
          <w:rFonts w:hint="eastAsia" w:ascii="宋体" w:hAnsi="宋体"/>
          <w:color w:val="auto"/>
          <w:sz w:val="24"/>
          <w:highlight w:val="none"/>
        </w:rPr>
        <w:t xml:space="preserve">中</w:t>
      </w:r>
      <w:r>
        <w:rPr>
          <w:rFonts w:ascii="宋体" w:hAnsi="宋体"/>
          <w:color w:val="auto"/>
          <w:sz w:val="24"/>
          <w:highlight w:val="none"/>
        </w:rPr>
        <w:t xml:space="preserve">下载的</w:t>
      </w:r>
      <w:r>
        <w:rPr>
          <w:rFonts w:hint="eastAsia" w:ascii="宋体" w:hAnsi="宋体"/>
          <w:color w:val="auto"/>
          <w:sz w:val="24"/>
          <w:highlight w:val="none"/>
        </w:rPr>
        <w:t xml:space="preserve">采购文件（后缀名为“.kedt”）</w:t>
      </w:r>
      <w:r>
        <w:rPr>
          <w:rFonts w:ascii="宋体" w:hAnsi="宋体"/>
          <w:color w:val="auto"/>
          <w:sz w:val="24"/>
          <w:highlight w:val="none"/>
        </w:rPr>
        <w:t xml:space="preserve">导入到“政府采购客户端”</w:t>
      </w:r>
      <w:r>
        <w:rPr>
          <w:rFonts w:hint="eastAsia" w:ascii="宋体" w:hAnsi="宋体"/>
          <w:color w:val="auto"/>
          <w:sz w:val="24"/>
          <w:highlight w:val="none"/>
        </w:rPr>
        <w:t xml:space="preserve">，</w:t>
      </w:r>
      <w:r>
        <w:rPr>
          <w:rFonts w:ascii="宋体" w:hAnsi="宋体"/>
          <w:color w:val="auto"/>
          <w:sz w:val="24"/>
          <w:highlight w:val="none"/>
        </w:rPr>
        <w:t xml:space="preserve">离线按要求</w:t>
      </w:r>
      <w:r>
        <w:rPr>
          <w:rFonts w:hint="eastAsia" w:ascii="宋体" w:hAnsi="宋体"/>
          <w:color w:val="auto"/>
          <w:sz w:val="24"/>
          <w:highlight w:val="none"/>
        </w:rPr>
        <w:t xml:space="preserve">编制</w:t>
      </w:r>
      <w:r>
        <w:rPr>
          <w:rFonts w:ascii="宋体" w:hAnsi="宋体"/>
          <w:color w:val="auto"/>
          <w:sz w:val="24"/>
          <w:highlight w:val="none"/>
        </w:rPr>
        <w:t xml:space="preserve">并加密</w:t>
      </w:r>
      <w:r>
        <w:rPr>
          <w:rFonts w:hint="eastAsia" w:ascii="宋体" w:hAnsi="宋体"/>
          <w:color w:val="auto"/>
          <w:sz w:val="24"/>
          <w:highlight w:val="none"/>
        </w:rPr>
        <w:t xml:space="preserve">投标</w:t>
      </w:r>
      <w:r>
        <w:rPr>
          <w:rFonts w:ascii="宋体" w:hAnsi="宋体"/>
          <w:color w:val="auto"/>
          <w:sz w:val="24"/>
          <w:highlight w:val="none"/>
        </w:rPr>
        <w:t xml:space="preserve">文件</w:t>
      </w:r>
      <w:r>
        <w:rPr>
          <w:rFonts w:hint="eastAsia" w:ascii="宋体" w:hAnsi="宋体"/>
          <w:color w:val="auto"/>
          <w:sz w:val="24"/>
          <w:highlight w:val="none"/>
        </w:rPr>
        <w:t xml:space="preserve">（使用“CA数字证书”），</w:t>
      </w:r>
      <w:r>
        <w:rPr>
          <w:rFonts w:ascii="宋体" w:hAnsi="宋体"/>
          <w:color w:val="auto"/>
          <w:sz w:val="24"/>
          <w:highlight w:val="none"/>
        </w:rPr>
        <w:t xml:space="preserve">导出加密的</w:t>
      </w:r>
      <w:r>
        <w:rPr>
          <w:rFonts w:hint="eastAsia" w:ascii="宋体" w:hAnsi="宋体"/>
          <w:color w:val="auto"/>
          <w:sz w:val="24"/>
          <w:highlight w:val="none"/>
        </w:rPr>
        <w:t xml:space="preserve">投标</w:t>
      </w:r>
      <w:r>
        <w:rPr>
          <w:rFonts w:ascii="宋体" w:hAnsi="宋体"/>
          <w:color w:val="auto"/>
          <w:sz w:val="24"/>
          <w:highlight w:val="none"/>
        </w:rPr>
        <w:t xml:space="preserve">文件</w:t>
      </w:r>
      <w:r>
        <w:rPr>
          <w:rFonts w:hint="eastAsia" w:ascii="宋体" w:hAnsi="宋体"/>
          <w:color w:val="auto"/>
          <w:sz w:val="24"/>
          <w:highlight w:val="none"/>
        </w:rPr>
        <w:t xml:space="preserve">（后缀名为zip，不得超过150M）并在</w:t>
      </w:r>
      <w:r>
        <w:rPr>
          <w:rFonts w:hint="eastAsia" w:ascii="宋体" w:hAnsi="宋体"/>
          <w:bCs/>
          <w:color w:val="auto"/>
          <w:sz w:val="24"/>
          <w:highlight w:val="none"/>
        </w:rPr>
        <w:t xml:space="preserve">“苏采云”系统</w:t>
      </w:r>
      <w:r>
        <w:rPr>
          <w:rFonts w:ascii="宋体" w:hAnsi="宋体"/>
          <w:color w:val="auto"/>
          <w:sz w:val="24"/>
          <w:highlight w:val="none"/>
        </w:rPr>
        <w:t xml:space="preserve">上传该加密的</w:t>
      </w:r>
      <w:r>
        <w:rPr>
          <w:rFonts w:hint="eastAsia" w:ascii="宋体" w:hAnsi="宋体"/>
          <w:color w:val="auto"/>
          <w:sz w:val="24"/>
          <w:highlight w:val="none"/>
        </w:rPr>
        <w:t xml:space="preserve">投标</w:t>
      </w:r>
      <w:r>
        <w:rPr>
          <w:rFonts w:ascii="宋体" w:hAnsi="宋体"/>
          <w:color w:val="auto"/>
          <w:sz w:val="24"/>
          <w:highlight w:val="none"/>
        </w:rPr>
        <w:t xml:space="preserve">文件</w:t>
      </w:r>
      <w:r>
        <w:rPr>
          <w:rFonts w:hint="eastAsia" w:ascii="宋体" w:hAnsi="宋体"/>
          <w:color w:val="auto"/>
          <w:sz w:val="24"/>
          <w:highlight w:val="none"/>
        </w:rPr>
        <w:t xml:space="preserve">，</w:t>
      </w:r>
      <w:r>
        <w:rPr>
          <w:rFonts w:ascii="宋体" w:hAnsi="宋体"/>
          <w:color w:val="auto"/>
          <w:sz w:val="24"/>
          <w:highlight w:val="none"/>
        </w:rPr>
        <w:t xml:space="preserve">对</w:t>
      </w:r>
      <w:r>
        <w:rPr>
          <w:rFonts w:hint="eastAsia" w:ascii="宋体" w:hAnsi="宋体"/>
          <w:color w:val="auto"/>
          <w:sz w:val="24"/>
          <w:highlight w:val="none"/>
        </w:rPr>
        <w:t xml:space="preserve">采购文件</w:t>
      </w:r>
      <w:r>
        <w:rPr>
          <w:rFonts w:ascii="宋体" w:hAnsi="宋体"/>
          <w:color w:val="auto"/>
          <w:sz w:val="24"/>
          <w:highlight w:val="none"/>
        </w:rPr>
        <w:t xml:space="preserve">各项内容做出实质性响应</w:t>
      </w:r>
      <w:r>
        <w:rPr>
          <w:rFonts w:hint="eastAsia" w:ascii="宋体" w:hAnsi="宋体"/>
          <w:color w:val="auto"/>
          <w:sz w:val="24"/>
          <w:highlight w:val="none"/>
        </w:rPr>
        <w:t xml:space="preserve">，</w:t>
      </w:r>
      <w:r>
        <w:rPr>
          <w:rFonts w:ascii="宋体" w:hAnsi="宋体"/>
          <w:color w:val="auto"/>
          <w:sz w:val="24"/>
          <w:highlight w:val="none"/>
        </w:rPr>
        <w:t xml:space="preserve">否则其</w:t>
      </w:r>
      <w:r>
        <w:rPr>
          <w:rFonts w:hint="eastAsia" w:ascii="宋体" w:hAnsi="宋体"/>
          <w:color w:val="auto"/>
          <w:sz w:val="24"/>
          <w:highlight w:val="none"/>
        </w:rPr>
        <w:t xml:space="preserve">投标</w:t>
      </w:r>
      <w:r>
        <w:rPr>
          <w:rFonts w:ascii="宋体" w:hAnsi="宋体"/>
          <w:color w:val="auto"/>
          <w:sz w:val="24"/>
          <w:highlight w:val="none"/>
        </w:rPr>
        <w:t xml:space="preserve">文件无效</w:t>
      </w:r>
      <w:r>
        <w:rPr>
          <w:rFonts w:hint="eastAsia" w:ascii="宋体" w:hAnsi="宋体"/>
          <w:color w:val="auto"/>
          <w:sz w:val="24"/>
          <w:highlight w:val="none"/>
        </w:rPr>
        <w:t xml:space="preserve">。</w:t>
      </w:r>
      <w:r/>
    </w:p>
    <w:p>
      <w:pPr>
        <w:ind w:firstLine="480"/>
        <w:spacing w:line="500" w:lineRule="exact"/>
        <w:tabs>
          <w:tab w:val="left" w:pos="900" w:leader="none"/>
        </w:tabs>
        <w:rPr>
          <w:rFonts w:ascii="宋体" w:hAnsi="宋体"/>
          <w:bCs/>
          <w:color w:val="auto"/>
          <w:sz w:val="24"/>
          <w:highlight w:val="none"/>
        </w:rPr>
      </w:pPr>
      <w:r>
        <w:rPr>
          <w:rFonts w:hint="eastAsia" w:ascii="宋体" w:hAnsi="宋体"/>
          <w:bCs/>
          <w:color w:val="auto"/>
          <w:sz w:val="24"/>
          <w:highlight w:val="none"/>
        </w:rPr>
        <w:t xml:space="preserve">（三）有关本次采购的事项若存在变动或修改，敬请及时关注</w:t>
      </w:r>
      <w:r>
        <w:rPr>
          <w:rFonts w:hint="eastAsia" w:ascii="宋体" w:hAnsi="宋体" w:eastAsia="宋体"/>
          <w:bCs/>
          <w:color w:val="auto"/>
          <w:sz w:val="24"/>
          <w:highlight w:val="none"/>
          <w:lang w:eastAsia="zh-CN"/>
        </w:rPr>
        <w:t xml:space="preserve">“</w:t>
      </w:r>
      <w:r>
        <w:rPr>
          <w:rFonts w:hint="eastAsia" w:ascii="宋体" w:hAnsi="宋体"/>
          <w:bCs/>
          <w:color w:val="auto"/>
          <w:sz w:val="24"/>
          <w:highlight w:val="none"/>
        </w:rPr>
        <w:t xml:space="preserve">无锡政府采购网</w:t>
      </w:r>
      <w:r>
        <w:rPr>
          <w:rFonts w:hint="eastAsia" w:ascii="宋体" w:hAnsi="宋体" w:eastAsia="宋体"/>
          <w:bCs/>
          <w:color w:val="auto"/>
          <w:sz w:val="24"/>
          <w:highlight w:val="none"/>
          <w:lang w:eastAsia="zh-CN"/>
        </w:rPr>
        <w:t xml:space="preserve">”“</w:t>
      </w:r>
      <w:r>
        <w:rPr>
          <w:rFonts w:hint="eastAsia" w:ascii="宋体" w:hAnsi="宋体"/>
          <w:bCs/>
          <w:color w:val="auto"/>
          <w:sz w:val="24"/>
          <w:highlight w:val="none"/>
        </w:rPr>
        <w:t xml:space="preserve">江苏政府采购网</w:t>
      </w:r>
      <w:r>
        <w:rPr>
          <w:rFonts w:hint="eastAsia" w:ascii="宋体" w:hAnsi="宋体" w:eastAsia="宋体"/>
          <w:bCs/>
          <w:color w:val="auto"/>
          <w:sz w:val="24"/>
          <w:highlight w:val="none"/>
          <w:lang w:eastAsia="zh-CN"/>
        </w:rPr>
        <w:t xml:space="preserve">”</w:t>
      </w:r>
      <w:r>
        <w:rPr>
          <w:rFonts w:hint="eastAsia" w:ascii="宋体" w:hAnsi="宋体"/>
          <w:bCs/>
          <w:color w:val="auto"/>
          <w:sz w:val="24"/>
          <w:highlight w:val="none"/>
        </w:rPr>
        <w:t xml:space="preserve">发布的信息。</w:t>
      </w:r>
      <w:r/>
    </w:p>
    <w:p>
      <w:pPr>
        <w:ind w:firstLine="480"/>
        <w:spacing w:line="500" w:lineRule="exact"/>
        <w:tabs>
          <w:tab w:val="left" w:pos="900" w:leader="none"/>
        </w:tabs>
        <w:rPr>
          <w:rFonts w:ascii="宋体" w:hAnsi="宋体"/>
          <w:bCs/>
          <w:color w:val="auto"/>
          <w:sz w:val="24"/>
          <w:highlight w:val="none"/>
          <w:shd w:val="clear" w:color="ffffff" w:fill="d9d9d9"/>
        </w:rPr>
      </w:pPr>
      <w:r>
        <w:rPr>
          <w:rFonts w:hint="eastAsia" w:ascii="宋体" w:hAnsi="宋体"/>
          <w:bCs/>
          <w:color w:val="auto"/>
          <w:sz w:val="24"/>
          <w:highlight w:val="none"/>
        </w:rPr>
        <w:t xml:space="preserve">（四）本次采购不收取投标保证金。</w:t>
      </w:r>
      <w:r/>
    </w:p>
    <w:p>
      <w:pPr>
        <w:ind w:firstLine="480"/>
        <w:spacing w:line="500" w:lineRule="exact"/>
        <w:tabs>
          <w:tab w:val="left" w:pos="900" w:leader="none"/>
        </w:tabs>
        <w:rPr>
          <w:rFonts w:ascii="宋体" w:hAnsi="宋体"/>
          <w:b/>
          <w:color w:val="auto"/>
          <w:sz w:val="24"/>
          <w:highlight w:val="none"/>
        </w:rPr>
      </w:pPr>
      <w:r>
        <w:rPr>
          <w:rFonts w:hint="eastAsia" w:ascii="宋体" w:hAnsi="宋体"/>
          <w:bCs/>
          <w:color w:val="auto"/>
          <w:sz w:val="24"/>
          <w:highlight w:val="none"/>
        </w:rPr>
        <w:t xml:space="preserve">（五）纸质投标文件：</w:t>
      </w:r>
      <w:r>
        <w:rPr>
          <w:rFonts w:hint="eastAsia" w:ascii="宋体" w:hAnsi="宋体"/>
          <w:b/>
          <w:color w:val="auto"/>
          <w:sz w:val="24"/>
          <w:highlight w:val="none"/>
        </w:rPr>
        <w:t xml:space="preserve">本项目为线上不见面采购，投标人无需到开标现场及递交纸质文件。中标供应商在收到中标通知书后与采购人签订合同前，必须提供与系统中电子投标文件一致的纸质投标文件正本一份，副本二份。</w:t>
      </w:r>
      <w:r/>
    </w:p>
    <w:p>
      <w:pPr>
        <w:ind w:firstLine="480"/>
        <w:spacing w:line="500" w:lineRule="exact"/>
        <w:tabs>
          <w:tab w:val="left" w:pos="900" w:leader="none"/>
        </w:tabs>
        <w:rPr>
          <w:rFonts w:ascii="宋体" w:hAnsi="宋体"/>
          <w:bCs/>
          <w:color w:val="auto"/>
          <w:sz w:val="24"/>
          <w:highlight w:val="none"/>
        </w:rPr>
      </w:pPr>
      <w:r>
        <w:rPr>
          <w:rFonts w:hint="eastAsia" w:ascii="宋体" w:hAnsi="宋体"/>
          <w:bCs/>
          <w:color w:val="auto"/>
          <w:sz w:val="24"/>
          <w:highlight w:val="none"/>
        </w:rPr>
        <w:t xml:space="preserve">（六）本招标文件中涉及的盖章部分均可使用CA签章。</w:t>
      </w:r>
      <w:r/>
    </w:p>
    <w:p>
      <w:pPr>
        <w:ind w:firstLine="720"/>
        <w:spacing w:line="360" w:lineRule="auto"/>
        <w:rPr>
          <w:rFonts w:ascii="Arial" w:hAnsi="Arial" w:eastAsia="宋体"/>
          <w:color w:val="auto"/>
          <w:sz w:val="24"/>
          <w:szCs w:val="24"/>
          <w:highlight w:val="none"/>
        </w:rPr>
      </w:pPr>
      <w:r/>
      <w:bookmarkStart w:id="0" w:name="_Toc120614211"/>
      <w:r/>
      <w:r/>
    </w:p>
    <w:p>
      <w:pPr>
        <w:rPr>
          <w:rFonts w:ascii="宋体" w:hAnsi="宋体" w:eastAsia="宋体" w:cs="宋体"/>
          <w:color w:val="auto"/>
          <w:sz w:val="36"/>
          <w:szCs w:val="36"/>
          <w:highlight w:val="none"/>
        </w:rPr>
      </w:pPr>
      <w:r>
        <w:rPr>
          <w:rFonts w:hint="eastAsia" w:ascii="宋体" w:hAnsi="宋体" w:eastAsia="宋体" w:cs="宋体"/>
          <w:color w:val="auto"/>
          <w:sz w:val="36"/>
          <w:szCs w:val="36"/>
          <w:highlight w:val="none"/>
        </w:rPr>
        <w:br w:type="page" w:clear="all"/>
      </w:r>
      <w:r/>
    </w:p>
    <w:p>
      <w:pPr>
        <w:jc w:val="center"/>
        <w:spacing w:line="360" w:lineRule="auto"/>
        <w:widowControl/>
        <w:rPr>
          <w:rFonts w:ascii="宋体" w:hAnsi="宋体" w:eastAsia="宋体" w:cs="宋体"/>
          <w:b/>
          <w:bCs/>
          <w:color w:val="auto"/>
          <w:sz w:val="28"/>
          <w:szCs w:val="28"/>
          <w:highlight w:val="none"/>
        </w:rPr>
        <w:outlineLvl w:val="0"/>
      </w:pPr>
      <w:r>
        <w:rPr>
          <w:rFonts w:hint="eastAsia" w:ascii="宋体" w:hAnsi="宋体" w:eastAsia="宋体" w:cs="宋体"/>
          <w:color w:val="auto"/>
          <w:sz w:val="36"/>
          <w:szCs w:val="36"/>
          <w:highlight w:val="none"/>
        </w:rPr>
        <w:t xml:space="preserve">第二章  </w:t>
      </w:r>
      <w:bookmarkEnd w:id="0"/>
      <w:r/>
      <w:bookmarkStart w:id="1" w:name="_Toc16938518"/>
      <w:r/>
      <w:bookmarkStart w:id="2" w:name="_Toc120614213"/>
      <w:r/>
      <w:bookmarkStart w:id="3" w:name="_Toc513029202"/>
      <w:r/>
      <w:bookmarkStart w:id="4" w:name="_Toc20823274"/>
      <w:r>
        <w:rPr>
          <w:rFonts w:hint="eastAsia" w:ascii="宋体" w:hAnsi="宋体" w:eastAsia="宋体" w:cs="宋体"/>
          <w:color w:val="auto"/>
          <w:sz w:val="36"/>
          <w:szCs w:val="36"/>
          <w:highlight w:val="none"/>
        </w:rPr>
        <w:t xml:space="preserve">投标人须知</w:t>
      </w:r>
      <w:bookmarkEnd w:id="1"/>
      <w:r/>
      <w:bookmarkEnd w:id="2"/>
      <w:r/>
      <w:bookmarkEnd w:id="3"/>
      <w:r/>
      <w:bookmarkEnd w:id="4"/>
      <w:r/>
      <w:r/>
    </w:p>
    <w:p>
      <w:pPr>
        <w:pStyle w:val="987"/>
        <w:ind w:firstLine="452"/>
        <w:keepLines w:val="0"/>
        <w:keepNext w:val="0"/>
        <w:spacing w:before="0" w:after="0" w:line="360" w:lineRule="auto"/>
        <w:rPr>
          <w:rFonts w:ascii="宋体" w:hAnsi="宋体" w:cs="宋体"/>
          <w:color w:val="auto"/>
          <w:sz w:val="30"/>
          <w:szCs w:val="30"/>
          <w:highlight w:val="none"/>
          <w:lang w:eastAsia="zh-CN"/>
        </w:rPr>
      </w:pPr>
      <w:r/>
      <w:bookmarkStart w:id="5" w:name="_Toc20823275"/>
      <w:r/>
      <w:bookmarkStart w:id="6" w:name="_Toc16938519"/>
      <w:r/>
      <w:bookmarkStart w:id="7" w:name="_Toc513029203"/>
      <w:r/>
      <w:bookmarkStart w:id="8" w:name="_Toc120614214"/>
      <w:r>
        <w:rPr>
          <w:rFonts w:hint="eastAsia" w:ascii="宋体" w:hAnsi="宋体" w:cs="宋体"/>
          <w:color w:val="auto"/>
          <w:sz w:val="30"/>
          <w:szCs w:val="30"/>
          <w:highlight w:val="none"/>
          <w:lang w:eastAsia="zh-CN"/>
        </w:rPr>
        <w:t xml:space="preserve">一、总则</w:t>
      </w:r>
      <w:bookmarkEnd w:id="5"/>
      <w:r/>
      <w:bookmarkEnd w:id="6"/>
      <w:r/>
      <w:bookmarkEnd w:id="7"/>
      <w:r/>
      <w:bookmarkEnd w:id="8"/>
      <w:r/>
      <w:r/>
    </w:p>
    <w:p>
      <w:pPr>
        <w:pStyle w:val="1156"/>
        <w:ind w:firstLine="422"/>
        <w:keepLines w:val="0"/>
        <w:keepNext w:val="0"/>
        <w:spacing w:before="0" w:after="0" w:line="360" w:lineRule="auto"/>
        <w:rPr>
          <w:rFonts w:ascii="宋体" w:hAnsi="宋体" w:eastAsia="宋体" w:cs="宋体"/>
          <w:bCs w:val="0"/>
          <w:color w:val="auto"/>
          <w:highlight w:val="none"/>
          <w:lang w:eastAsia="zh-CN"/>
        </w:rPr>
      </w:pPr>
      <w:r/>
      <w:bookmarkStart w:id="9" w:name="_Hlt16619475"/>
      <w:r/>
      <w:bookmarkEnd w:id="9"/>
      <w:r/>
      <w:bookmarkStart w:id="10" w:name="_Toc16938520"/>
      <w:r/>
      <w:bookmarkStart w:id="11" w:name="_Toc513029204"/>
      <w:r/>
      <w:bookmarkStart w:id="12" w:name="_Toc20823276"/>
      <w:r>
        <w:rPr>
          <w:rFonts w:hint="eastAsia" w:ascii="宋体" w:hAnsi="宋体" w:eastAsia="宋体" w:cs="宋体"/>
          <w:bCs w:val="0"/>
          <w:color w:val="auto"/>
          <w:highlight w:val="none"/>
          <w:lang w:eastAsia="zh-CN"/>
        </w:rPr>
        <w:t xml:space="preserve">1.招标方式</w:t>
      </w:r>
      <w:bookmarkEnd w:id="10"/>
      <w:r/>
      <w:bookmarkEnd w:id="11"/>
      <w:r/>
      <w:bookmarkEnd w:id="12"/>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1.1本次招标采取公开招标方式，本招标文件仅适用于招标公告中所述项目。</w:t>
      </w:r>
      <w:r/>
    </w:p>
    <w:p>
      <w:pPr>
        <w:pStyle w:val="1156"/>
        <w:ind w:firstLine="422"/>
        <w:keepLines w:val="0"/>
        <w:keepNext w:val="0"/>
        <w:spacing w:before="0" w:after="0" w:line="360" w:lineRule="auto"/>
        <w:rPr>
          <w:rFonts w:ascii="宋体" w:hAnsi="宋体" w:eastAsia="宋体" w:cs="宋体"/>
          <w:bCs w:val="0"/>
          <w:color w:val="auto"/>
          <w:highlight w:val="none"/>
          <w:lang w:eastAsia="zh-CN"/>
        </w:rPr>
      </w:pPr>
      <w:r/>
      <w:bookmarkStart w:id="13" w:name="_Toc513029205"/>
      <w:r/>
      <w:bookmarkStart w:id="14" w:name="_Toc20823277"/>
      <w:r/>
      <w:bookmarkStart w:id="15" w:name="_Toc16938521"/>
      <w:r>
        <w:rPr>
          <w:rFonts w:hint="eastAsia" w:ascii="宋体" w:hAnsi="宋体" w:eastAsia="宋体" w:cs="宋体"/>
          <w:bCs w:val="0"/>
          <w:color w:val="auto"/>
          <w:highlight w:val="none"/>
          <w:lang w:eastAsia="zh-CN"/>
        </w:rPr>
        <w:t xml:space="preserve">2.</w:t>
      </w:r>
      <w:bookmarkEnd w:id="13"/>
      <w:r/>
      <w:bookmarkEnd w:id="14"/>
      <w:r/>
      <w:bookmarkEnd w:id="15"/>
      <w:r>
        <w:rPr>
          <w:rFonts w:hint="eastAsia" w:ascii="宋体" w:hAnsi="宋体" w:eastAsia="宋体" w:cs="宋体"/>
          <w:bCs w:val="0"/>
          <w:color w:val="auto"/>
          <w:highlight w:val="none"/>
          <w:lang w:eastAsia="zh-CN"/>
        </w:rPr>
        <w:t xml:space="preserve">采购人、采购代理机构、投标人、联合体</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auto"/>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w:t>
      </w:r>
      <w:r>
        <w:rPr>
          <w:rFonts w:hint="eastAsia" w:ascii="宋体" w:hAnsi="宋体" w:eastAsia="宋体" w:cs="宋体"/>
          <w:color w:val="000000" w:themeColor="text1"/>
          <w:sz w:val="24"/>
          <w:szCs w:val="24"/>
          <w:highlight w:val="none"/>
          <w14:textFill>
            <w14:solidFill>
              <w14:schemeClr w14:val="tx1"/>
            </w14:solidFill>
          </w14:textFill>
        </w:rPr>
        <w:t xml:space="preserve">同项下的政府采购活动。若联合体中任一成员单位中途退出，则该联合体的投标无效。</w:t>
      </w:r>
      <w:r>
        <w:rPr>
          <w:rFonts w:hint="eastAsia" w:ascii="宋体" w:hAnsi="宋体" w:eastAsia="宋体" w:cs="宋体"/>
          <w:b/>
          <w:bCs/>
          <w:color w:val="000000" w:themeColor="text1"/>
          <w:sz w:val="24"/>
          <w:szCs w:val="24"/>
          <w:highlight w:val="none"/>
          <w14:textFill>
            <w14:solidFill>
              <w14:schemeClr w14:val="tx1"/>
            </w14:solidFill>
          </w14:textFill>
        </w:rPr>
        <w:t xml:space="preserve">本项目不接受联合投标</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pStyle w:val="1156"/>
        <w:ind w:firstLine="422"/>
        <w:keepLines w:val="0"/>
        <w:keepNext w:val="0"/>
        <w:spacing w:before="0" w:after="0" w:line="360" w:lineRule="auto"/>
        <w:rPr>
          <w:rFonts w:ascii="宋体" w:hAnsi="宋体" w:eastAsia="宋体" w:cs="宋体"/>
          <w:bCs w:val="0"/>
          <w:color w:val="000000" w:themeColor="text1"/>
          <w:highlight w:val="none"/>
          <w:lang w:eastAsia="zh-CN"/>
          <w14:textFill>
            <w14:solidFill>
              <w14:schemeClr w14:val="tx1"/>
            </w14:solidFill>
          </w14:textFill>
        </w:rPr>
      </w:pPr>
      <w:r/>
      <w:bookmarkStart w:id="16" w:name="_Toc513029206"/>
      <w:r/>
      <w:bookmarkStart w:id="17" w:name="_Toc16938522"/>
      <w:r/>
      <w:bookmarkStart w:id="18" w:name="_Toc20823278"/>
      <w:r>
        <w:rPr>
          <w:rFonts w:hint="eastAsia" w:ascii="宋体" w:hAnsi="宋体" w:eastAsia="宋体" w:cs="宋体"/>
          <w:bCs w:val="0"/>
          <w:color w:val="000000" w:themeColor="text1"/>
          <w:highlight w:val="none"/>
          <w:lang w:eastAsia="zh-CN"/>
          <w14:textFill>
            <w14:solidFill>
              <w14:schemeClr w14:val="tx1"/>
            </w14:solidFill>
          </w14:textFill>
        </w:rPr>
        <w:t xml:space="preserve">3.适用法律</w:t>
      </w:r>
      <w:bookmarkEnd w:id="16"/>
      <w:r/>
      <w:bookmarkEnd w:id="17"/>
      <w:r/>
      <w:bookmarkEnd w:id="18"/>
      <w:r/>
      <w:r/>
    </w:p>
    <w:p>
      <w:pPr>
        <w:ind w:firstLine="480"/>
        <w:spacing w:line="360"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3.1 本次招标及由此产生的合同受中华人民共和国有关的法律法规制约和保护。</w:t>
      </w:r>
      <w:r/>
    </w:p>
    <w:p>
      <w:pPr>
        <w:pStyle w:val="1156"/>
        <w:ind w:firstLine="422"/>
        <w:keepLines w:val="0"/>
        <w:keepNext w:val="0"/>
        <w:spacing w:before="0" w:after="0" w:line="360" w:lineRule="auto"/>
        <w:rPr>
          <w:rFonts w:ascii="宋体" w:hAnsi="宋体" w:eastAsia="宋体" w:cs="宋体"/>
          <w:bCs w:val="0"/>
          <w:color w:val="000000" w:themeColor="text1"/>
          <w:highlight w:val="none"/>
          <w:lang w:eastAsia="zh-CN"/>
          <w14:textFill>
            <w14:solidFill>
              <w14:schemeClr w14:val="tx1"/>
            </w14:solidFill>
          </w14:textFill>
        </w:rPr>
      </w:pPr>
      <w:r/>
      <w:bookmarkStart w:id="19" w:name="_Toc513029207"/>
      <w:r/>
      <w:bookmarkStart w:id="20" w:name="_Toc20823279"/>
      <w:r/>
      <w:bookmarkStart w:id="21" w:name="_Toc462564067"/>
      <w:r/>
      <w:bookmarkStart w:id="22" w:name="_Toc16938523"/>
      <w:r>
        <w:rPr>
          <w:rFonts w:hint="eastAsia" w:ascii="宋体" w:hAnsi="宋体" w:eastAsia="宋体" w:cs="宋体"/>
          <w:bCs w:val="0"/>
          <w:color w:val="000000" w:themeColor="text1"/>
          <w:highlight w:val="none"/>
          <w:lang w:eastAsia="zh-CN"/>
          <w14:textFill>
            <w14:solidFill>
              <w14:schemeClr w14:val="tx1"/>
            </w14:solidFill>
          </w14:textFill>
        </w:rPr>
        <w:t xml:space="preserve">4.投标费用</w:t>
      </w:r>
      <w:bookmarkEnd w:id="19"/>
      <w:r/>
      <w:bookmarkEnd w:id="20"/>
      <w:r/>
      <w:bookmarkEnd w:id="21"/>
      <w:r/>
      <w:bookmarkEnd w:id="22"/>
      <w:r/>
      <w:r/>
    </w:p>
    <w:p>
      <w:pPr>
        <w:ind w:firstLine="480"/>
        <w:spacing w:line="360"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4.1</w:t>
      </w:r>
      <w:r>
        <w:rPr>
          <w:rFonts w:hint="eastAsia" w:ascii="宋体" w:hAnsi="宋体" w:eastAsia="宋体" w:cs="宋体"/>
          <w:color w:val="000000" w:themeColor="text1"/>
          <w:sz w:val="24"/>
          <w:highlight w:val="none"/>
          <w14:textFill>
            <w14:solidFill>
              <w14:schemeClr w14:val="tx1"/>
            </w14:solidFill>
          </w14:textFill>
        </w:rPr>
        <w:t xml:space="preserve">投标人应自行承担所有与参加投标有关的费用，无论投标过程中的做法和结果如何，无锡市建汇建设工程咨询事务所有限公司在任何情况下均无义务和责任承担这些费用。</w:t>
      </w:r>
      <w:r/>
    </w:p>
    <w:p>
      <w:pPr>
        <w:ind w:firstLine="480"/>
        <w:spacing w:line="360"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4.2招标代理费、造价咨询服务费均由中标供应商支付。招标代理费用按国家计委《招标代理服务收费管理暂行方法》</w:t>
      </w:r>
      <w:r>
        <w:rPr>
          <w:rFonts w:hint="eastAsia" w:ascii="宋体" w:hAnsi="宋体" w:eastAsia="宋体" w:cs="宋体"/>
          <w:color w:val="000000" w:themeColor="text1"/>
          <w:sz w:val="24"/>
          <w:highlight w:val="none"/>
          <w:lang w:eastAsia="zh-CN"/>
          <w14:textFill>
            <w14:solidFill>
              <w14:schemeClr w14:val="tx1"/>
            </w14:solidFill>
          </w14:textFill>
        </w:rPr>
        <w:t xml:space="preserve">〔2002〕1980号</w:t>
      </w:r>
      <w:r>
        <w:rPr>
          <w:rFonts w:hint="eastAsia" w:ascii="宋体" w:hAnsi="宋体" w:eastAsia="宋体" w:cs="宋体"/>
          <w:color w:val="000000" w:themeColor="text1"/>
          <w:sz w:val="24"/>
          <w:highlight w:val="none"/>
          <w14:textFill>
            <w14:solidFill>
              <w14:schemeClr w14:val="tx1"/>
            </w14:solidFill>
          </w14:textFill>
        </w:rPr>
        <w:t xml:space="preserve">文件规定 7 折计算。造价咨询服务费按《江苏省建设工程造价咨询服务收费管理办法》(苏价服〔2004〕483号)标准 7 折计算（招标代理服务费和造价咨询服务费的收费以中标价为基数，已含增值税）。由中标供应商在领取中标通知书前一次性付清</w:t>
      </w:r>
      <w:r>
        <w:rPr>
          <w:rFonts w:hint="eastAsia" w:ascii="宋体" w:hAnsi="宋体" w:eastAsia="宋体" w:cs="宋体"/>
          <w:bCs/>
          <w:color w:val="000000" w:themeColor="text1"/>
          <w:sz w:val="24"/>
          <w:highlight w:val="none"/>
          <w14:textFill>
            <w14:solidFill>
              <w14:schemeClr w14:val="tx1"/>
            </w14:solidFill>
          </w14:textFill>
        </w:rPr>
        <w:t xml:space="preserve">。</w:t>
      </w:r>
      <w:r/>
    </w:p>
    <w:p>
      <w:pPr>
        <w:pStyle w:val="1156"/>
        <w:ind w:firstLine="422"/>
        <w:keepLines w:val="0"/>
        <w:keepNext w:val="0"/>
        <w:spacing w:before="0" w:after="0" w:line="360" w:lineRule="auto"/>
        <w:rPr>
          <w:rFonts w:hint="default" w:ascii="宋体" w:hAnsi="宋体" w:eastAsia="宋体" w:cs="宋体"/>
          <w:bCs w:val="0"/>
          <w:color w:val="auto"/>
          <w:highlight w:val="none"/>
          <w:lang w:val="en-US" w:eastAsia="zh-CN"/>
        </w:rPr>
      </w:pPr>
      <w:r>
        <w:rPr>
          <w:rFonts w:hint="eastAsia" w:ascii="宋体" w:hAnsi="宋体" w:eastAsia="宋体" w:cs="宋体"/>
          <w:bCs w:val="0"/>
          <w:color w:val="auto"/>
          <w:highlight w:val="none"/>
          <w:lang w:eastAsia="zh-CN"/>
        </w:rPr>
        <w:t xml:space="preserve">5.招标文件的</w:t>
      </w:r>
      <w:r>
        <w:rPr>
          <w:rFonts w:hint="eastAsia" w:ascii="宋体" w:hAnsi="宋体" w:eastAsia="宋体" w:cs="宋体"/>
          <w:bCs w:val="0"/>
          <w:color w:val="auto"/>
          <w:highlight w:val="none"/>
          <w:lang w:val="en-US" w:eastAsia="zh-CN"/>
        </w:rPr>
        <w:t xml:space="preserve">约束力</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5.1</w:t>
      </w:r>
      <w:r>
        <w:rPr>
          <w:rFonts w:hint="eastAsia" w:ascii="宋体" w:hAnsi="宋体" w:eastAsia="宋体" w:cs="宋体"/>
          <w:color w:val="auto"/>
          <w:sz w:val="24"/>
          <w:szCs w:val="24"/>
          <w:highlight w:val="none"/>
        </w:rPr>
        <w:t xml:space="preserve">投标人一旦参加本项目采购活动，即被认为接受了本招标文件的规定和约束。</w:t>
      </w:r>
      <w:r/>
    </w:p>
    <w:p>
      <w:pPr>
        <w:pStyle w:val="987"/>
        <w:ind w:firstLine="452"/>
        <w:keepLines w:val="0"/>
        <w:keepNext w:val="0"/>
        <w:spacing w:before="0" w:after="0" w:line="360" w:lineRule="auto"/>
        <w:rPr>
          <w:rFonts w:ascii="宋体" w:hAnsi="宋体" w:cs="宋体"/>
          <w:color w:val="auto"/>
          <w:sz w:val="30"/>
          <w:szCs w:val="30"/>
          <w:highlight w:val="none"/>
          <w:lang w:eastAsia="zh-CN"/>
        </w:rPr>
      </w:pPr>
      <w:r/>
      <w:bookmarkStart w:id="23" w:name="_Toc20823281"/>
      <w:r/>
      <w:bookmarkStart w:id="24" w:name="_Toc16938525"/>
      <w:r/>
      <w:bookmarkStart w:id="25" w:name="_Toc120614215"/>
      <w:r/>
      <w:bookmarkStart w:id="26" w:name="_Toc513029209"/>
      <w:r>
        <w:rPr>
          <w:rFonts w:hint="eastAsia" w:ascii="宋体" w:hAnsi="宋体" w:cs="宋体"/>
          <w:color w:val="auto"/>
          <w:sz w:val="30"/>
          <w:szCs w:val="30"/>
          <w:highlight w:val="none"/>
          <w:lang w:eastAsia="zh-CN"/>
        </w:rPr>
        <w:t xml:space="preserve">二、招标文件</w:t>
      </w:r>
      <w:bookmarkEnd w:id="23"/>
      <w:r/>
      <w:bookmarkEnd w:id="24"/>
      <w:r/>
      <w:bookmarkEnd w:id="25"/>
      <w:r/>
      <w:bookmarkEnd w:id="26"/>
      <w:r/>
      <w:r/>
    </w:p>
    <w:p>
      <w:pPr>
        <w:pStyle w:val="1156"/>
        <w:ind w:firstLine="422"/>
        <w:keepLines w:val="0"/>
        <w:keepNext w:val="0"/>
        <w:spacing w:before="0" w:after="0" w:line="360" w:lineRule="auto"/>
        <w:rPr>
          <w:rFonts w:ascii="宋体" w:hAnsi="宋体" w:eastAsia="宋体" w:cs="宋体"/>
          <w:bCs w:val="0"/>
          <w:color w:val="auto"/>
          <w:highlight w:val="none"/>
          <w:lang w:eastAsia="zh-CN"/>
        </w:rPr>
      </w:pPr>
      <w:r/>
      <w:bookmarkStart w:id="27" w:name="_Toc16938526"/>
      <w:r/>
      <w:bookmarkStart w:id="28" w:name="_Toc20823282"/>
      <w:r/>
      <w:bookmarkStart w:id="29" w:name="_Toc513029210"/>
      <w:r>
        <w:rPr>
          <w:rFonts w:hint="eastAsia" w:ascii="宋体" w:hAnsi="宋体" w:eastAsia="宋体" w:cs="宋体"/>
          <w:bCs w:val="0"/>
          <w:color w:val="auto"/>
          <w:highlight w:val="none"/>
          <w:lang w:eastAsia="zh-CN"/>
        </w:rPr>
        <w:t xml:space="preserve">6.招标文件构成</w:t>
      </w:r>
      <w:bookmarkEnd w:id="27"/>
      <w:r/>
      <w:bookmarkEnd w:id="28"/>
      <w:r/>
      <w:bookmarkEnd w:id="29"/>
      <w:r/>
      <w:r/>
    </w:p>
    <w:p>
      <w:pPr>
        <w:ind w:firstLine="480"/>
        <w:spacing w:line="360" w:lineRule="auto"/>
        <w:rPr>
          <w:rFonts w:ascii="宋体" w:hAnsi="宋体" w:eastAsia="宋体" w:cs="宋体"/>
          <w:color w:val="auto"/>
          <w:sz w:val="24"/>
          <w:highlight w:val="none"/>
        </w:rPr>
      </w:pPr>
      <w:r>
        <w:rPr>
          <w:rFonts w:hint="eastAsia" w:ascii="宋体" w:hAnsi="宋体" w:eastAsia="宋体" w:cs="宋体"/>
          <w:bCs/>
          <w:color w:val="auto"/>
          <w:sz w:val="24"/>
          <w:highlight w:val="none"/>
        </w:rPr>
        <w:t xml:space="preserve">6.1</w:t>
      </w:r>
      <w:r>
        <w:rPr>
          <w:rFonts w:hint="eastAsia" w:ascii="宋体" w:hAnsi="宋体" w:eastAsia="宋体" w:cs="宋体"/>
          <w:color w:val="auto"/>
          <w:sz w:val="24"/>
          <w:highlight w:val="none"/>
        </w:rPr>
        <w:t xml:space="preserve">招标文件由以下部分组成：</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（1）投标邀请函</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（6）投标文件内容与格式</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请仔细检查招标文件是否齐全，如有缺漏请立即与采购代理机构联系解决。</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156"/>
        <w:ind w:firstLine="422"/>
        <w:keepLines w:val="0"/>
        <w:keepNext w:val="0"/>
        <w:spacing w:before="0" w:after="0" w:line="360" w:lineRule="auto"/>
        <w:rPr>
          <w:rFonts w:ascii="宋体" w:hAnsi="宋体" w:eastAsia="宋体" w:cs="宋体"/>
          <w:bCs w:val="0"/>
          <w:color w:val="auto"/>
          <w:highlight w:val="none"/>
          <w:lang w:eastAsia="zh-CN"/>
        </w:rPr>
      </w:pPr>
      <w:r/>
      <w:bookmarkStart w:id="30" w:name="_Toc513029211"/>
      <w:r/>
      <w:bookmarkStart w:id="31" w:name="_Toc16938527"/>
      <w:r/>
      <w:bookmarkStart w:id="32" w:name="_Toc462564070"/>
      <w:r/>
      <w:bookmarkStart w:id="33" w:name="_Toc20823283"/>
      <w:r>
        <w:rPr>
          <w:rFonts w:hint="eastAsia" w:ascii="宋体" w:hAnsi="宋体" w:eastAsia="宋体" w:cs="宋体"/>
          <w:bCs w:val="0"/>
          <w:color w:val="auto"/>
          <w:highlight w:val="none"/>
          <w:lang w:eastAsia="zh-CN"/>
        </w:rPr>
        <w:t xml:space="preserve">7.招标文件的澄清</w:t>
      </w:r>
      <w:bookmarkEnd w:id="30"/>
      <w:r/>
      <w:bookmarkEnd w:id="31"/>
      <w:r/>
      <w:bookmarkEnd w:id="32"/>
      <w:r/>
      <w:bookmarkEnd w:id="33"/>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采购代理机构以书面形式提出。</w:t>
      </w:r>
      <w:r/>
    </w:p>
    <w:p>
      <w:pPr>
        <w:pStyle w:val="1156"/>
        <w:ind w:firstLine="422"/>
        <w:keepLines w:val="0"/>
        <w:keepNext w:val="0"/>
        <w:spacing w:before="0" w:after="0" w:line="360" w:lineRule="auto"/>
        <w:rPr>
          <w:rFonts w:ascii="宋体" w:hAnsi="宋体" w:eastAsia="宋体" w:cs="宋体"/>
          <w:bCs w:val="0"/>
          <w:color w:val="auto"/>
          <w:highlight w:val="none"/>
          <w:lang w:eastAsia="zh-CN"/>
        </w:rPr>
      </w:pPr>
      <w:r/>
      <w:bookmarkStart w:id="34" w:name="_Toc462564071"/>
      <w:r/>
      <w:bookmarkStart w:id="35" w:name="_Toc16938528"/>
      <w:r/>
      <w:bookmarkStart w:id="36" w:name="_Toc20823284"/>
      <w:r/>
      <w:bookmarkStart w:id="37" w:name="_Toc513029212"/>
      <w:r>
        <w:rPr>
          <w:rFonts w:hint="eastAsia" w:ascii="宋体" w:hAnsi="宋体" w:eastAsia="宋体" w:cs="宋体"/>
          <w:bCs w:val="0"/>
          <w:color w:val="auto"/>
          <w:highlight w:val="none"/>
          <w:lang w:eastAsia="zh-CN"/>
        </w:rPr>
        <w:t xml:space="preserve">8.招标文件的修改</w:t>
      </w:r>
      <w:bookmarkEnd w:id="34"/>
      <w:r/>
      <w:bookmarkEnd w:id="35"/>
      <w:r/>
      <w:bookmarkEnd w:id="36"/>
      <w:r/>
      <w:bookmarkEnd w:id="37"/>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8.1采购代理机构可在投标截止时间十五日前对招标文件进行必要的澄清或者修改，不足十五日的，将顺延提交投标文件的截止时间和开标日期。</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8.2</w:t>
      </w:r>
      <w:r>
        <w:rPr>
          <w:rFonts w:hint="eastAsia" w:ascii="宋体" w:hAnsi="宋体" w:eastAsia="宋体" w:cs="宋体"/>
          <w:bCs/>
          <w:color w:val="auto"/>
          <w:sz w:val="24"/>
          <w:szCs w:val="24"/>
          <w:highlight w:val="none"/>
        </w:rPr>
        <w:t xml:space="preserve">如需对招标文件进行澄清或修改，采购代理机构将在江苏政府采购网发布更正公告，澄清或修改的内容为招标文件的组成部分，并对投标人具有约束力。投标人应在投标截止时间前</w:t>
      </w:r>
      <w:r>
        <w:rPr>
          <w:rFonts w:hint="eastAsia" w:ascii="宋体" w:hAnsi="宋体" w:eastAsia="宋体" w:cs="宋体"/>
          <w:color w:val="auto"/>
          <w:sz w:val="24"/>
          <w:szCs w:val="24"/>
          <w:highlight w:val="none"/>
        </w:rPr>
        <w:t xml:space="preserve">登录</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或</w:t>
      </w:r>
      <w:r>
        <w:rPr>
          <w:rFonts w:hint="eastAsia" w:ascii="宋体" w:hAnsi="宋体" w:eastAsia="宋体" w:cs="宋体"/>
          <w:bCs/>
          <w:color w:val="auto"/>
          <w:sz w:val="24"/>
          <w:szCs w:val="24"/>
          <w:highlight w:val="none"/>
        </w:rPr>
        <w:t xml:space="preserve">关注原招标公告媒体上发布的更正公告</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因投标人未尽注意义务，未及时更新上传投标文件</w:t>
      </w:r>
      <w:r>
        <w:rPr>
          <w:rFonts w:hint="eastAsia" w:ascii="宋体" w:hAnsi="宋体" w:eastAsia="宋体" w:cs="宋体"/>
          <w:color w:val="auto"/>
          <w:sz w:val="24"/>
          <w:szCs w:val="24"/>
          <w:highlight w:val="none"/>
        </w:rPr>
        <w:t xml:space="preserve">或未</w:t>
      </w:r>
      <w:r>
        <w:rPr>
          <w:rFonts w:hint="eastAsia" w:ascii="宋体" w:hAnsi="宋体" w:eastAsia="宋体" w:cs="宋体"/>
          <w:bCs/>
          <w:color w:val="auto"/>
          <w:sz w:val="24"/>
          <w:szCs w:val="24"/>
          <w:highlight w:val="none"/>
        </w:rPr>
        <w:t xml:space="preserve">全面地关注更正公告导致其提交的投标材料不符合本项目相关招标要求，而造成的损失及风险（包括但不限于未中标）由投标人自行承担。</w:t>
      </w:r>
      <w:r/>
    </w:p>
    <w:p>
      <w:pPr>
        <w:pStyle w:val="987"/>
        <w:ind w:firstLine="452"/>
        <w:keepLines w:val="0"/>
        <w:keepNext w:val="0"/>
        <w:spacing w:before="0" w:after="0" w:line="360" w:lineRule="auto"/>
        <w:rPr>
          <w:rFonts w:ascii="宋体" w:hAnsi="宋体" w:cs="宋体"/>
          <w:color w:val="auto"/>
          <w:sz w:val="30"/>
          <w:szCs w:val="30"/>
          <w:highlight w:val="none"/>
          <w:lang w:eastAsia="zh-CN"/>
        </w:rPr>
      </w:pPr>
      <w:r/>
      <w:bookmarkStart w:id="38" w:name="_Toc120614216"/>
      <w:r/>
      <w:bookmarkStart w:id="39" w:name="_Toc462564072"/>
      <w:r/>
      <w:bookmarkStart w:id="40" w:name="_Toc16938529"/>
      <w:r/>
      <w:bookmarkStart w:id="41" w:name="_Toc513029213"/>
      <w:r/>
      <w:bookmarkStart w:id="42" w:name="_Toc20823285"/>
      <w:r>
        <w:rPr>
          <w:rFonts w:hint="eastAsia" w:ascii="宋体" w:hAnsi="宋体" w:cs="宋体"/>
          <w:color w:val="auto"/>
          <w:sz w:val="30"/>
          <w:szCs w:val="30"/>
          <w:highlight w:val="none"/>
          <w:lang w:eastAsia="zh-CN"/>
        </w:rPr>
        <w:t xml:space="preserve">三、投标文件的编制</w:t>
      </w:r>
      <w:bookmarkEnd w:id="38"/>
      <w:r/>
      <w:bookmarkEnd w:id="39"/>
      <w:r/>
      <w:bookmarkEnd w:id="40"/>
      <w:r/>
      <w:bookmarkEnd w:id="41"/>
      <w:r/>
      <w:bookmarkEnd w:id="42"/>
      <w:r/>
      <w:r/>
    </w:p>
    <w:p>
      <w:pPr>
        <w:pStyle w:val="1156"/>
        <w:ind w:firstLine="422"/>
        <w:keepLines w:val="0"/>
        <w:keepNext w:val="0"/>
        <w:spacing w:before="0" w:after="0" w:line="360" w:lineRule="auto"/>
        <w:rPr>
          <w:rFonts w:ascii="宋体" w:hAnsi="宋体" w:eastAsia="宋体" w:cs="宋体"/>
          <w:bCs w:val="0"/>
          <w:color w:val="auto"/>
          <w:highlight w:val="none"/>
          <w:lang w:eastAsia="zh-CN"/>
        </w:rPr>
      </w:pPr>
      <w:r/>
      <w:bookmarkStart w:id="43" w:name="_Toc462564073"/>
      <w:r/>
      <w:bookmarkStart w:id="44" w:name="_Toc16938530"/>
      <w:r/>
      <w:bookmarkStart w:id="45" w:name="_Toc513029214"/>
      <w:r/>
      <w:bookmarkStart w:id="46" w:name="_Toc20823286"/>
      <w:r>
        <w:rPr>
          <w:rFonts w:hint="eastAsia" w:ascii="宋体" w:hAnsi="宋体" w:eastAsia="宋体" w:cs="宋体"/>
          <w:bCs w:val="0"/>
          <w:color w:val="auto"/>
          <w:highlight w:val="none"/>
          <w:lang w:eastAsia="zh-CN"/>
        </w:rPr>
        <w:t xml:space="preserve">9.投标文件的语言及度量衡单位</w:t>
      </w:r>
      <w:bookmarkEnd w:id="43"/>
      <w:r/>
      <w:bookmarkEnd w:id="44"/>
      <w:r/>
      <w:bookmarkEnd w:id="45"/>
      <w:r/>
      <w:bookmarkEnd w:id="46"/>
      <w:r/>
      <w:r/>
    </w:p>
    <w:p>
      <w:pPr>
        <w:ind w:firstLine="480"/>
        <w:spacing w:line="360" w:lineRule="auto"/>
        <w:rPr>
          <w:rFonts w:ascii="宋体" w:hAnsi="宋体" w:eastAsia="宋体" w:cs="宋体"/>
          <w:color w:val="auto"/>
          <w:sz w:val="24"/>
          <w:highlight w:val="none"/>
        </w:rPr>
      </w:pPr>
      <w:r>
        <w:rPr>
          <w:rFonts w:hint="eastAsia" w:ascii="宋体" w:hAnsi="宋体" w:eastAsia="宋体" w:cs="宋体"/>
          <w:bCs/>
          <w:color w:val="auto"/>
          <w:sz w:val="24"/>
          <w:highlight w:val="none"/>
        </w:rPr>
        <w:t xml:space="preserve">9.1</w:t>
      </w:r>
      <w:r>
        <w:rPr>
          <w:rFonts w:hint="eastAsia" w:ascii="宋体" w:hAnsi="宋体" w:eastAsia="宋体" w:cs="宋体"/>
          <w:color w:val="auto"/>
          <w:sz w:val="24"/>
          <w:highlight w:val="none"/>
        </w:rPr>
        <w:t xml:space="preserve">投标人提交的投标文件以及投标人与采购代理机构就有关投标的所有来往通知、函件和文件均应使用</w:t>
      </w:r>
      <w:r>
        <w:rPr>
          <w:rFonts w:hint="eastAsia" w:ascii="宋体" w:hAnsi="宋体" w:eastAsia="宋体" w:cs="宋体"/>
          <w:bCs/>
          <w:color w:val="auto"/>
          <w:sz w:val="24"/>
          <w:highlight w:val="none"/>
        </w:rPr>
        <w:t xml:space="preserve">简体中文</w:t>
      </w:r>
      <w:r>
        <w:rPr>
          <w:rFonts w:hint="eastAsia" w:ascii="宋体" w:hAnsi="宋体" w:eastAsia="宋体" w:cs="宋体"/>
          <w:bCs/>
          <w:color w:val="auto"/>
          <w:sz w:val="24"/>
          <w:szCs w:val="24"/>
          <w:highlight w:val="none"/>
        </w:rPr>
        <w:t xml:space="preserve">（规格、型号辅助符号例外）</w:t>
      </w:r>
      <w:r>
        <w:rPr>
          <w:rFonts w:hint="eastAsia" w:ascii="宋体" w:hAnsi="宋体" w:eastAsia="宋体" w:cs="宋体"/>
          <w:color w:val="auto"/>
          <w:sz w:val="24"/>
          <w:highlight w:val="none"/>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bCs/>
          <w:color w:val="auto"/>
          <w:sz w:val="24"/>
          <w:highlight w:val="none"/>
        </w:rPr>
        <w:t xml:space="preserve">9.2</w:t>
      </w:r>
      <w:r>
        <w:rPr>
          <w:rFonts w:hint="eastAsia" w:ascii="宋体" w:hAnsi="宋体" w:eastAsia="宋体" w:cs="宋体"/>
          <w:color w:val="auto"/>
          <w:sz w:val="24"/>
          <w:highlight w:val="none"/>
        </w:rPr>
        <w:t xml:space="preserve">除技术性能另有规定外，投标文件所使用的度量衡单位，均须采用国家法定计量单位。</w:t>
      </w:r>
      <w:r/>
    </w:p>
    <w:p>
      <w:pPr>
        <w:pStyle w:val="1156"/>
        <w:ind w:firstLine="422"/>
        <w:keepLines w:val="0"/>
        <w:keepNext w:val="0"/>
        <w:spacing w:before="0" w:after="0" w:line="360" w:lineRule="auto"/>
        <w:rPr>
          <w:rFonts w:ascii="宋体" w:hAnsi="宋体" w:eastAsia="宋体" w:cs="宋体"/>
          <w:bCs w:val="0"/>
          <w:color w:val="auto"/>
          <w:highlight w:val="none"/>
          <w:lang w:eastAsia="zh-CN"/>
        </w:rPr>
      </w:pPr>
      <w:r/>
      <w:bookmarkStart w:id="47" w:name="_Toc513029215"/>
      <w:r/>
      <w:bookmarkStart w:id="48" w:name="_Toc16938531"/>
      <w:r/>
      <w:bookmarkStart w:id="49" w:name="_Toc20823287"/>
      <w:r/>
      <w:bookmarkStart w:id="50" w:name="_Toc462564074"/>
      <w:r>
        <w:rPr>
          <w:rFonts w:hint="eastAsia" w:ascii="宋体" w:hAnsi="宋体" w:eastAsia="宋体" w:cs="宋体"/>
          <w:bCs w:val="0"/>
          <w:color w:val="auto"/>
          <w:highlight w:val="none"/>
          <w:lang w:eastAsia="zh-CN"/>
        </w:rPr>
        <w:t xml:space="preserve">10.投标文件构成</w:t>
      </w:r>
      <w:bookmarkEnd w:id="47"/>
      <w:r/>
      <w:bookmarkEnd w:id="48"/>
      <w:r/>
      <w:bookmarkEnd w:id="49"/>
      <w:r/>
      <w:bookmarkEnd w:id="50"/>
      <w:r/>
      <w:r/>
    </w:p>
    <w:p>
      <w:pPr>
        <w:ind w:firstLine="480"/>
        <w:spacing w:line="360"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auto"/>
          <w:sz w:val="24"/>
          <w:highlight w:val="none"/>
        </w:rPr>
        <w:t xml:space="preserve">10.1</w:t>
      </w:r>
      <w:r>
        <w:rPr>
          <w:rFonts w:hint="eastAsia" w:ascii="宋体" w:hAnsi="宋体" w:eastAsia="宋体" w:cs="宋体"/>
          <w:b/>
          <w:bCs/>
          <w:color w:val="000000" w:themeColor="text1"/>
          <w:sz w:val="24"/>
          <w:highlight w:val="none"/>
          <w14:textFill>
            <w14:solidFill>
              <w14:schemeClr w14:val="tx1"/>
            </w14:solidFill>
          </w14:textFill>
        </w:rPr>
        <w:t xml:space="preserve">投标文件包括：明标、暗标。明标部分为证明文件、投标函、报价部分，暗标为技术文件部分。（相应内容上传至投标客户端）</w:t>
      </w:r>
      <w:r>
        <w:rPr>
          <w:rFonts w:hint="eastAsia" w:ascii="宋体" w:hAnsi="宋体" w:eastAsia="宋体" w:cs="宋体"/>
          <w:color w:val="000000" w:themeColor="text1"/>
          <w:sz w:val="24"/>
          <w:highlight w:val="none"/>
          <w14:textFill>
            <w14:solidFill>
              <w14:schemeClr w14:val="tx1"/>
            </w14:solidFill>
          </w14:textFill>
        </w:rPr>
        <w:t xml:space="preserve">。</w:t>
      </w:r>
      <w:r/>
    </w:p>
    <w:p>
      <w:pPr>
        <w:pStyle w:val="1156"/>
        <w:ind w:firstLine="422"/>
        <w:keepLines w:val="0"/>
        <w:keepNext w:val="0"/>
        <w:spacing w:before="0" w:after="0" w:line="360" w:lineRule="auto"/>
        <w:rPr>
          <w:rFonts w:hint="eastAsia" w:ascii="宋体" w:hAnsi="宋体" w:eastAsia="宋体" w:cs="宋体"/>
          <w:b w:val="0"/>
          <w:bCs w:val="0"/>
          <w:color w:val="000000" w:themeColor="text1"/>
          <w:sz w:val="24"/>
          <w:szCs w:val="22"/>
          <w:highlight w:val="none"/>
          <w:lang w:val="en-US" w:eastAsia="zh-CN" w:bidi="ar-SA"/>
          <w14:textFill>
            <w14:solidFill>
              <w14:schemeClr w14:val="tx1"/>
            </w14:solidFill>
          </w14:textFill>
        </w:rPr>
        <w:outlineLvl w:val="9"/>
      </w:pPr>
      <w:r>
        <w:rPr>
          <w:rFonts w:hint="eastAsia" w:ascii="宋体" w:hAnsi="宋体" w:eastAsia="宋体" w:cs="宋体"/>
          <w:b w:val="0"/>
          <w:bCs w:val="0"/>
          <w:color w:val="000000" w:themeColor="text1"/>
          <w:sz w:val="24"/>
          <w:szCs w:val="22"/>
          <w:highlight w:val="none"/>
          <w:lang w:val="en-US" w:eastAsia="zh-CN" w:bidi="ar-SA"/>
          <w14:textFill>
            <w14:solidFill>
              <w14:schemeClr w14:val="tx1"/>
            </w14:solidFill>
          </w14:textFill>
        </w:rPr>
        <w:t xml:space="preserve">明标部分：</w:t>
      </w:r>
      <w:r/>
    </w:p>
    <w:p>
      <w:pPr>
        <w:pStyle w:val="1156"/>
        <w:ind w:firstLine="422"/>
        <w:keepLines w:val="0"/>
        <w:keepNext w:val="0"/>
        <w:spacing w:before="0" w:after="0" w:line="360" w:lineRule="auto"/>
        <w:rPr>
          <w:rFonts w:hint="eastAsia" w:ascii="宋体" w:hAnsi="宋体" w:eastAsia="宋体" w:cs="宋体"/>
          <w:b w:val="0"/>
          <w:bCs w:val="0"/>
          <w:color w:val="000000" w:themeColor="text1"/>
          <w:sz w:val="24"/>
          <w:szCs w:val="22"/>
          <w:highlight w:val="none"/>
          <w:lang w:val="en-US" w:eastAsia="zh-CN" w:bidi="ar-SA"/>
          <w14:textFill>
            <w14:solidFill>
              <w14:schemeClr w14:val="tx1"/>
            </w14:solidFill>
          </w14:textFill>
        </w:rPr>
        <w:outlineLvl w:val="9"/>
      </w:pPr>
      <w:r>
        <w:rPr>
          <w:rFonts w:hint="eastAsia" w:ascii="宋体" w:hAnsi="宋体" w:eastAsia="宋体" w:cs="宋体"/>
          <w:b w:val="0"/>
          <w:bCs w:val="0"/>
          <w:color w:val="000000" w:themeColor="text1"/>
          <w:sz w:val="24"/>
          <w:szCs w:val="22"/>
          <w:highlight w:val="none"/>
          <w:lang w:val="en-US" w:eastAsia="zh-CN" w:bidi="ar-SA"/>
          <w14:textFill>
            <w14:solidFill>
              <w14:schemeClr w14:val="tx1"/>
            </w14:solidFill>
          </w14:textFill>
        </w:rPr>
        <w:t xml:space="preserve">1.证明文件部分：</w:t>
      </w:r>
      <w:r/>
    </w:p>
    <w:p>
      <w:pPr>
        <w:pStyle w:val="1156"/>
        <w:ind w:firstLine="422"/>
        <w:keepLines w:val="0"/>
        <w:keepNext w:val="0"/>
        <w:spacing w:before="0" w:after="0" w:line="360" w:lineRule="auto"/>
        <w:rPr>
          <w:rFonts w:hint="eastAsia" w:ascii="宋体" w:hAnsi="宋体" w:eastAsia="宋体" w:cs="宋体"/>
          <w:b w:val="0"/>
          <w:bCs w:val="0"/>
          <w:color w:val="000000" w:themeColor="text1"/>
          <w:sz w:val="24"/>
          <w:szCs w:val="22"/>
          <w:highlight w:val="none"/>
          <w:lang w:val="en-US" w:eastAsia="zh-CN" w:bidi="ar-SA"/>
          <w14:textFill>
            <w14:solidFill>
              <w14:schemeClr w14:val="tx1"/>
            </w14:solidFill>
          </w14:textFill>
        </w:rPr>
        <w:outlineLvl w:val="9"/>
      </w:pPr>
      <w:r>
        <w:rPr>
          <w:rFonts w:hint="eastAsia" w:ascii="宋体" w:hAnsi="宋体" w:eastAsia="宋体" w:cs="宋体"/>
          <w:b w:val="0"/>
          <w:bCs w:val="0"/>
          <w:color w:val="000000" w:themeColor="text1"/>
          <w:sz w:val="24"/>
          <w:szCs w:val="22"/>
          <w:highlight w:val="none"/>
          <w:lang w:val="en-US" w:eastAsia="zh-CN" w:bidi="ar-SA"/>
          <w14:textFill>
            <w14:solidFill>
              <w14:schemeClr w14:val="tx1"/>
            </w14:solidFill>
          </w14:textFill>
        </w:rPr>
        <w:t xml:space="preserve">第一部分：资格、资信证明文件</w:t>
      </w:r>
      <w:r/>
    </w:p>
    <w:p>
      <w:pPr>
        <w:pStyle w:val="1156"/>
        <w:ind w:firstLine="422"/>
        <w:keepLines w:val="0"/>
        <w:keepNext w:val="0"/>
        <w:spacing w:before="0" w:after="0" w:line="360" w:lineRule="auto"/>
        <w:rPr>
          <w:rFonts w:hint="eastAsia" w:ascii="宋体" w:hAnsi="宋体" w:eastAsia="宋体" w:cs="宋体"/>
          <w:b w:val="0"/>
          <w:bCs w:val="0"/>
          <w:color w:val="000000" w:themeColor="text1"/>
          <w:sz w:val="24"/>
          <w:szCs w:val="22"/>
          <w:highlight w:val="none"/>
          <w:lang w:val="en-US" w:eastAsia="zh-CN" w:bidi="ar-SA"/>
          <w14:textFill>
            <w14:solidFill>
              <w14:schemeClr w14:val="tx1"/>
            </w14:solidFill>
          </w14:textFill>
        </w:rPr>
        <w:outlineLvl w:val="9"/>
      </w:pPr>
      <w:r>
        <w:rPr>
          <w:rFonts w:hint="eastAsia" w:ascii="宋体" w:hAnsi="宋体" w:eastAsia="宋体" w:cs="宋体"/>
          <w:b w:val="0"/>
          <w:bCs w:val="0"/>
          <w:color w:val="000000" w:themeColor="text1"/>
          <w:sz w:val="24"/>
          <w:szCs w:val="22"/>
          <w:highlight w:val="none"/>
          <w:lang w:val="en-US" w:eastAsia="zh-CN" w:bidi="ar-SA"/>
          <w14:textFill>
            <w14:solidFill>
              <w14:schemeClr w14:val="tx1"/>
            </w14:solidFill>
          </w14:textFill>
        </w:rPr>
        <w:t xml:space="preserve">第二部分：补充证明文件</w:t>
      </w:r>
      <w:r/>
    </w:p>
    <w:p>
      <w:pPr>
        <w:pStyle w:val="1156"/>
        <w:ind w:firstLine="422"/>
        <w:keepLines w:val="0"/>
        <w:keepNext w:val="0"/>
        <w:spacing w:before="0" w:after="0" w:line="360" w:lineRule="auto"/>
        <w:rPr>
          <w:rFonts w:hint="eastAsia" w:ascii="宋体" w:hAnsi="宋体" w:eastAsia="宋体" w:cs="宋体"/>
          <w:b w:val="0"/>
          <w:bCs w:val="0"/>
          <w:color w:val="000000" w:themeColor="text1"/>
          <w:sz w:val="24"/>
          <w:szCs w:val="22"/>
          <w:highlight w:val="none"/>
          <w:lang w:val="en-US" w:eastAsia="zh-CN" w:bidi="ar-SA"/>
          <w14:textFill>
            <w14:solidFill>
              <w14:schemeClr w14:val="tx1"/>
            </w14:solidFill>
          </w14:textFill>
        </w:rPr>
        <w:outlineLvl w:val="9"/>
      </w:pPr>
      <w:r>
        <w:rPr>
          <w:rFonts w:hint="eastAsia" w:ascii="宋体" w:hAnsi="宋体" w:eastAsia="宋体" w:cs="宋体"/>
          <w:b w:val="0"/>
          <w:bCs w:val="0"/>
          <w:color w:val="000000" w:themeColor="text1"/>
          <w:sz w:val="24"/>
          <w:szCs w:val="22"/>
          <w:highlight w:val="none"/>
          <w:lang w:val="en-US" w:eastAsia="zh-CN" w:bidi="ar-SA"/>
          <w14:textFill>
            <w14:solidFill>
              <w14:schemeClr w14:val="tx1"/>
            </w14:solidFill>
          </w14:textFill>
        </w:rPr>
        <w:t xml:space="preserve">（1）投标偏离表（格式见附件）；</w:t>
      </w:r>
      <w:r/>
    </w:p>
    <w:p>
      <w:pPr>
        <w:pStyle w:val="1156"/>
        <w:ind w:firstLine="422"/>
        <w:keepLines w:val="0"/>
        <w:keepNext w:val="0"/>
        <w:spacing w:before="0" w:after="0" w:line="360" w:lineRule="auto"/>
        <w:rPr>
          <w:rFonts w:hint="eastAsia" w:ascii="宋体" w:hAnsi="宋体" w:eastAsia="宋体" w:cs="宋体"/>
          <w:b w:val="0"/>
          <w:bCs w:val="0"/>
          <w:color w:val="000000" w:themeColor="text1"/>
          <w:sz w:val="24"/>
          <w:szCs w:val="22"/>
          <w:highlight w:val="none"/>
          <w:lang w:val="en-US" w:eastAsia="zh-CN" w:bidi="ar-SA"/>
          <w14:textFill>
            <w14:solidFill>
              <w14:schemeClr w14:val="tx1"/>
            </w14:solidFill>
          </w14:textFill>
        </w:rPr>
        <w:outlineLvl w:val="9"/>
      </w:pPr>
      <w:r>
        <w:rPr>
          <w:rFonts w:hint="eastAsia" w:ascii="宋体" w:hAnsi="宋体" w:eastAsia="宋体" w:cs="宋体"/>
          <w:b w:val="0"/>
          <w:bCs w:val="0"/>
          <w:color w:val="000000" w:themeColor="text1"/>
          <w:sz w:val="24"/>
          <w:szCs w:val="22"/>
          <w:highlight w:val="none"/>
          <w:lang w:val="en-US" w:eastAsia="zh-CN" w:bidi="ar-SA"/>
          <w14:textFill>
            <w14:solidFill>
              <w14:schemeClr w14:val="tx1"/>
            </w14:solidFill>
          </w14:textFill>
        </w:rPr>
        <w:t xml:space="preserve">（2）其他投标人认为有必要提供的证明资料（参考评分标准）。</w:t>
      </w:r>
      <w:r/>
    </w:p>
    <w:p>
      <w:pPr>
        <w:pStyle w:val="1156"/>
        <w:ind w:firstLine="422"/>
        <w:keepLines w:val="0"/>
        <w:keepNext w:val="0"/>
        <w:spacing w:before="0" w:after="0" w:line="360" w:lineRule="auto"/>
        <w:rPr>
          <w:rFonts w:hint="eastAsia" w:ascii="宋体" w:hAnsi="宋体" w:eastAsia="宋体" w:cs="宋体"/>
          <w:b w:val="0"/>
          <w:bCs w:val="0"/>
          <w:color w:val="000000" w:themeColor="text1"/>
          <w:sz w:val="24"/>
          <w:szCs w:val="22"/>
          <w:highlight w:val="none"/>
          <w:lang w:val="en-US" w:eastAsia="zh-CN" w:bidi="ar-SA"/>
          <w14:textFill>
            <w14:solidFill>
              <w14:schemeClr w14:val="tx1"/>
            </w14:solidFill>
          </w14:textFill>
        </w:rPr>
        <w:outlineLvl w:val="9"/>
      </w:pPr>
      <w:r>
        <w:rPr>
          <w:rFonts w:hint="eastAsia" w:ascii="宋体" w:hAnsi="宋体" w:eastAsia="宋体" w:cs="宋体"/>
          <w:b w:val="0"/>
          <w:bCs w:val="0"/>
          <w:color w:val="000000" w:themeColor="text1"/>
          <w:sz w:val="24"/>
          <w:szCs w:val="22"/>
          <w:highlight w:val="none"/>
          <w:lang w:val="en-US" w:eastAsia="zh-CN" w:bidi="ar-SA"/>
          <w14:textFill>
            <w14:solidFill>
              <w14:schemeClr w14:val="tx1"/>
            </w14:solidFill>
          </w14:textFill>
        </w:rPr>
        <w:t xml:space="preserve">2．投标函部分（格式见附件）：</w:t>
      </w:r>
      <w:r/>
    </w:p>
    <w:p>
      <w:pPr>
        <w:pStyle w:val="1156"/>
        <w:ind w:firstLine="422"/>
        <w:keepLines w:val="0"/>
        <w:keepNext w:val="0"/>
        <w:spacing w:before="0" w:after="0" w:line="360" w:lineRule="auto"/>
        <w:rPr>
          <w:rFonts w:hint="eastAsia" w:ascii="宋体" w:hAnsi="宋体" w:eastAsia="宋体" w:cs="宋体"/>
          <w:b w:val="0"/>
          <w:bCs w:val="0"/>
          <w:color w:val="000000" w:themeColor="text1"/>
          <w:sz w:val="24"/>
          <w:szCs w:val="22"/>
          <w:highlight w:val="none"/>
          <w:lang w:val="en-US" w:eastAsia="zh-CN" w:bidi="ar-SA"/>
          <w14:textFill>
            <w14:solidFill>
              <w14:schemeClr w14:val="tx1"/>
            </w14:solidFill>
          </w14:textFill>
        </w:rPr>
        <w:outlineLvl w:val="9"/>
      </w:pPr>
      <w:r>
        <w:rPr>
          <w:rFonts w:hint="eastAsia" w:ascii="宋体" w:hAnsi="宋体" w:eastAsia="宋体" w:cs="宋体"/>
          <w:b w:val="0"/>
          <w:bCs w:val="0"/>
          <w:color w:val="000000" w:themeColor="text1"/>
          <w:sz w:val="24"/>
          <w:szCs w:val="22"/>
          <w:highlight w:val="none"/>
          <w:lang w:val="en-US" w:eastAsia="zh-CN" w:bidi="ar-SA"/>
          <w14:textFill>
            <w14:solidFill>
              <w14:schemeClr w14:val="tx1"/>
            </w14:solidFill>
          </w14:textFill>
        </w:rPr>
        <w:t xml:space="preserve">（1）投标函；</w:t>
      </w:r>
      <w:r/>
    </w:p>
    <w:p>
      <w:pPr>
        <w:pStyle w:val="1156"/>
        <w:ind w:firstLine="422"/>
        <w:keepLines w:val="0"/>
        <w:keepNext w:val="0"/>
        <w:spacing w:before="0" w:after="0" w:line="360" w:lineRule="auto"/>
        <w:rPr>
          <w:rFonts w:hint="eastAsia" w:ascii="宋体" w:hAnsi="宋体" w:eastAsia="宋体" w:cs="宋体"/>
          <w:b w:val="0"/>
          <w:bCs w:val="0"/>
          <w:color w:val="000000" w:themeColor="text1"/>
          <w:sz w:val="24"/>
          <w:szCs w:val="22"/>
          <w:highlight w:val="none"/>
          <w:lang w:val="en-US" w:eastAsia="zh-CN" w:bidi="ar-SA"/>
          <w14:textFill>
            <w14:solidFill>
              <w14:schemeClr w14:val="tx1"/>
            </w14:solidFill>
          </w14:textFill>
        </w:rPr>
        <w:outlineLvl w:val="9"/>
      </w:pPr>
      <w:r>
        <w:rPr>
          <w:rFonts w:hint="eastAsia" w:ascii="宋体" w:hAnsi="宋体" w:eastAsia="宋体" w:cs="宋体"/>
          <w:b w:val="0"/>
          <w:bCs w:val="0"/>
          <w:color w:val="000000" w:themeColor="text1"/>
          <w:sz w:val="24"/>
          <w:szCs w:val="22"/>
          <w:highlight w:val="none"/>
          <w:lang w:val="en-US" w:eastAsia="zh-CN" w:bidi="ar-SA"/>
          <w14:textFill>
            <w14:solidFill>
              <w14:schemeClr w14:val="tx1"/>
            </w14:solidFill>
          </w14:textFill>
        </w:rPr>
        <w:t xml:space="preserve">（2）投标函附录（开标一览表）；</w:t>
      </w:r>
      <w:r/>
    </w:p>
    <w:p>
      <w:pPr>
        <w:pStyle w:val="1156"/>
        <w:ind w:firstLine="422"/>
        <w:keepLines w:val="0"/>
        <w:keepNext w:val="0"/>
        <w:spacing w:before="0" w:after="0" w:line="360" w:lineRule="auto"/>
        <w:rPr>
          <w:rFonts w:hint="eastAsia" w:ascii="宋体" w:hAnsi="宋体" w:eastAsia="宋体" w:cs="宋体"/>
          <w:b w:val="0"/>
          <w:bCs w:val="0"/>
          <w:color w:val="000000" w:themeColor="text1"/>
          <w:sz w:val="24"/>
          <w:szCs w:val="22"/>
          <w:highlight w:val="none"/>
          <w:lang w:val="en-US" w:eastAsia="zh-CN" w:bidi="ar-SA"/>
          <w14:textFill>
            <w14:solidFill>
              <w14:schemeClr w14:val="tx1"/>
            </w14:solidFill>
          </w14:textFill>
        </w:rPr>
        <w:outlineLvl w:val="9"/>
      </w:pPr>
      <w:r>
        <w:rPr>
          <w:rFonts w:hint="eastAsia" w:ascii="宋体" w:hAnsi="宋体" w:eastAsia="宋体" w:cs="宋体"/>
          <w:b w:val="0"/>
          <w:bCs w:val="0"/>
          <w:color w:val="000000" w:themeColor="text1"/>
          <w:sz w:val="24"/>
          <w:szCs w:val="22"/>
          <w:highlight w:val="none"/>
          <w:lang w:val="en-US" w:eastAsia="zh-CN" w:bidi="ar-SA"/>
          <w14:textFill>
            <w14:solidFill>
              <w14:schemeClr w14:val="tx1"/>
            </w14:solidFill>
          </w14:textFill>
        </w:rPr>
        <w:t xml:space="preserve">3.报价部分（格式见附件）：</w:t>
      </w:r>
      <w:r/>
    </w:p>
    <w:p>
      <w:pPr>
        <w:pStyle w:val="1156"/>
        <w:ind w:firstLine="422"/>
        <w:keepLines w:val="0"/>
        <w:keepNext w:val="0"/>
        <w:spacing w:before="0" w:after="0" w:line="360" w:lineRule="auto"/>
        <w:rPr>
          <w:rFonts w:hint="eastAsia" w:ascii="宋体" w:hAnsi="宋体" w:eastAsia="宋体" w:cs="宋体"/>
          <w:b w:val="0"/>
          <w:bCs w:val="0"/>
          <w:color w:val="000000" w:themeColor="text1"/>
          <w:sz w:val="24"/>
          <w:szCs w:val="22"/>
          <w:highlight w:val="none"/>
          <w:lang w:val="en-US" w:eastAsia="zh-CN" w:bidi="ar-SA"/>
          <w14:textFill>
            <w14:solidFill>
              <w14:schemeClr w14:val="tx1"/>
            </w14:solidFill>
          </w14:textFill>
        </w:rPr>
        <w:outlineLvl w:val="9"/>
      </w:pPr>
      <w:r>
        <w:rPr>
          <w:rFonts w:hint="eastAsia" w:ascii="宋体" w:hAnsi="宋体" w:eastAsia="宋体" w:cs="宋体"/>
          <w:b w:val="0"/>
          <w:bCs w:val="0"/>
          <w:color w:val="000000" w:themeColor="text1"/>
          <w:sz w:val="24"/>
          <w:szCs w:val="22"/>
          <w:highlight w:val="none"/>
          <w:lang w:val="en-US" w:eastAsia="zh-CN" w:bidi="ar-SA"/>
          <w14:textFill>
            <w14:solidFill>
              <w14:schemeClr w14:val="tx1"/>
            </w14:solidFill>
          </w14:textFill>
        </w:rPr>
        <w:t xml:space="preserve">（1）分项报价表；</w:t>
      </w:r>
      <w:r/>
    </w:p>
    <w:p>
      <w:pPr>
        <w:pStyle w:val="1156"/>
        <w:ind w:firstLine="422"/>
        <w:keepLines w:val="0"/>
        <w:keepNext w:val="0"/>
        <w:spacing w:before="0" w:after="0" w:line="360" w:lineRule="auto"/>
        <w:rPr>
          <w:rFonts w:hint="eastAsia" w:ascii="宋体" w:hAnsi="宋体" w:eastAsia="宋体" w:cs="宋体"/>
          <w:b w:val="0"/>
          <w:bCs w:val="0"/>
          <w:color w:val="000000" w:themeColor="text1"/>
          <w:sz w:val="24"/>
          <w:szCs w:val="22"/>
          <w:highlight w:val="none"/>
          <w:lang w:val="en-US" w:eastAsia="zh-CN" w:bidi="ar-SA"/>
          <w14:textFill>
            <w14:solidFill>
              <w14:schemeClr w14:val="tx1"/>
            </w14:solidFill>
          </w14:textFill>
        </w:rPr>
        <w:outlineLvl w:val="9"/>
      </w:pPr>
      <w:r>
        <w:rPr>
          <w:rFonts w:hint="eastAsia" w:ascii="宋体" w:hAnsi="宋体" w:eastAsia="宋体" w:cs="宋体"/>
          <w:b w:val="0"/>
          <w:bCs w:val="0"/>
          <w:color w:val="000000" w:themeColor="text1"/>
          <w:sz w:val="24"/>
          <w:szCs w:val="22"/>
          <w:highlight w:val="none"/>
          <w:lang w:val="en-US" w:eastAsia="zh-CN" w:bidi="ar-SA"/>
          <w14:textFill>
            <w14:solidFill>
              <w14:schemeClr w14:val="tx1"/>
            </w14:solidFill>
          </w14:textFill>
        </w:rPr>
        <w:t xml:space="preserve">（2）细目报价表；</w:t>
      </w:r>
      <w:r/>
    </w:p>
    <w:p>
      <w:pPr>
        <w:ind w:firstLine="480"/>
        <w:spacing w:line="360" w:lineRule="auto"/>
        <w:rPr>
          <w:rFonts w:hint="eastAsia" w:ascii="宋体" w:hAnsi="宋体" w:eastAsia="宋体" w:cs="宋体"/>
          <w:b w:val="0"/>
          <w:bCs w:val="0"/>
          <w:color w:val="000000" w:themeColor="text1"/>
          <w:sz w:val="24"/>
          <w:szCs w:val="22"/>
          <w:highlight w:val="none"/>
          <w:lang w:val="en-US" w:eastAsia="zh-CN" w:bidi="ar-SA"/>
          <w14:textFill>
            <w14:solidFill>
              <w14:schemeClr w14:val="tx1"/>
            </w14:solidFill>
          </w14:textFill>
        </w:rPr>
        <w:outlineLvl w:val="9"/>
      </w:pPr>
      <w:r>
        <w:rPr>
          <w:rFonts w:hint="eastAsia" w:ascii="宋体" w:hAnsi="宋体" w:eastAsia="宋体" w:cs="宋体"/>
          <w:b w:val="0"/>
          <w:bCs w:val="0"/>
          <w:color w:val="000000" w:themeColor="text1"/>
          <w:sz w:val="24"/>
          <w:szCs w:val="22"/>
          <w:highlight w:val="none"/>
          <w:lang w:val="en-US" w:eastAsia="zh-CN" w:bidi="ar-SA"/>
          <w14:textFill>
            <w14:solidFill>
              <w14:schemeClr w14:val="tx1"/>
            </w14:solidFill>
          </w14:textFill>
        </w:rPr>
        <w:t xml:space="preserve">4.技术文件（暗标，内容参照评标办法）</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10.2投标人所须提供的相关证明文件和要求以及投标文件的部分格式要求，详见</w:t>
      </w:r>
      <w:r>
        <w:rPr>
          <w:rFonts w:hint="eastAsia" w:ascii="宋体" w:hAnsi="宋体" w:eastAsia="宋体" w:cs="宋体"/>
          <w:b/>
          <w:bCs/>
          <w:color w:val="auto"/>
          <w:sz w:val="24"/>
          <w:highlight w:val="none"/>
        </w:rPr>
        <w:t xml:space="preserve">第六章《投标文件内容与格式》</w:t>
      </w:r>
      <w:r>
        <w:rPr>
          <w:rFonts w:hint="eastAsia" w:ascii="宋体" w:hAnsi="宋体" w:eastAsia="宋体" w:cs="宋体"/>
          <w:color w:val="auto"/>
          <w:sz w:val="24"/>
          <w:highlight w:val="none"/>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10.3如标书制作工具中格式和内容与招标文件不一致的，请以招标文件为准。</w:t>
      </w:r>
      <w:r/>
    </w:p>
    <w:p>
      <w:pPr>
        <w:pStyle w:val="1156"/>
        <w:ind w:firstLine="422"/>
        <w:keepLines w:val="0"/>
        <w:keepNext w:val="0"/>
        <w:spacing w:before="0" w:after="0" w:line="360" w:lineRule="auto"/>
        <w:rPr>
          <w:rFonts w:hint="default" w:ascii="宋体" w:hAnsi="宋体" w:eastAsia="宋体" w:cs="宋体"/>
          <w:bCs w:val="0"/>
          <w:color w:val="000000" w:themeColor="text1"/>
          <w:highlight w:val="none"/>
          <w:lang w:val="en-US" w:eastAsia="zh-CN"/>
          <w14:textFill>
            <w14:solidFill>
              <w14:schemeClr w14:val="tx1"/>
            </w14:solidFill>
          </w14:textFill>
        </w:rPr>
      </w:pPr>
      <w:r/>
      <w:bookmarkStart w:id="51" w:name="_Hlt26668975"/>
      <w:r/>
      <w:bookmarkEnd w:id="51"/>
      <w:r/>
      <w:bookmarkStart w:id="52" w:name="_Hlt26670360"/>
      <w:r/>
      <w:bookmarkEnd w:id="52"/>
      <w:r/>
      <w:bookmarkStart w:id="53" w:name="_Hlt26954838"/>
      <w:r/>
      <w:bookmarkEnd w:id="53"/>
      <w:r/>
      <w:bookmarkStart w:id="54" w:name="_Toc513029216"/>
      <w:r/>
      <w:bookmarkStart w:id="55" w:name="_Toc14577357"/>
      <w:r/>
      <w:bookmarkStart w:id="56" w:name="_Toc49090509"/>
      <w:r/>
      <w:bookmarkStart w:id="57" w:name="_Toc513029219"/>
      <w:r/>
      <w:bookmarkStart w:id="58" w:name="_Toc49090507"/>
      <w:r/>
      <w:bookmarkStart w:id="59" w:name="_Toc14577354"/>
      <w:r>
        <w:rPr>
          <w:rFonts w:hint="eastAsia" w:ascii="宋体" w:hAnsi="宋体" w:eastAsia="宋体" w:cs="宋体"/>
          <w:bCs w:val="0"/>
          <w:color w:val="000000" w:themeColor="text1"/>
          <w:highlight w:val="none"/>
          <w:lang w:eastAsia="zh-CN"/>
          <w14:textFill>
            <w14:solidFill>
              <w14:schemeClr w14:val="tx1"/>
            </w14:solidFill>
          </w14:textFill>
        </w:rPr>
        <w:t xml:space="preserve">11.证明文件</w:t>
      </w:r>
      <w:bookmarkEnd w:id="54"/>
      <w:r/>
      <w:bookmarkEnd w:id="55"/>
      <w:r/>
      <w:bookmarkEnd w:id="56"/>
      <w:r/>
      <w:bookmarkEnd w:id="57"/>
      <w:r/>
      <w:bookmarkEnd w:id="58"/>
      <w:r/>
      <w:bookmarkEnd w:id="59"/>
      <w:r>
        <w:rPr>
          <w:rFonts w:hint="eastAsia" w:ascii="宋体" w:hAnsi="宋体" w:eastAsia="宋体" w:cs="宋体"/>
          <w:bCs w:val="0"/>
          <w:color w:val="000000" w:themeColor="text1"/>
          <w:highlight w:val="none"/>
          <w:lang w:val="en-US" w:eastAsia="zh-CN"/>
          <w14:textFill>
            <w14:solidFill>
              <w14:schemeClr w14:val="tx1"/>
            </w14:solidFill>
          </w14:textFill>
        </w:rPr>
        <w:t xml:space="preserve">部分</w:t>
      </w:r>
      <w:r/>
    </w:p>
    <w:p>
      <w:pPr>
        <w:ind w:firstLine="480"/>
        <w:spacing w:line="360" w:lineRule="auto"/>
        <w:rPr>
          <w:rFonts w:ascii="宋体" w:hAnsi="宋体" w:eastAsia="宋体" w:cs="宋体"/>
          <w:bCs/>
          <w:color w:val="000000" w:themeColor="text1"/>
          <w:sz w:val="24"/>
          <w:highlight w:val="none"/>
          <w14:textFill>
            <w14:solidFill>
              <w14:schemeClr w14:val="tx1"/>
            </w14:solidFill>
          </w14:textFill>
        </w:rPr>
      </w:pPr>
      <w:r/>
      <w:bookmarkStart w:id="60" w:name="_Toc49090508"/>
      <w:r/>
      <w:bookmarkStart w:id="61" w:name="_Toc14577355"/>
      <w:r>
        <w:rPr>
          <w:rFonts w:hint="eastAsia" w:ascii="宋体" w:hAnsi="宋体" w:eastAsia="宋体" w:cs="宋体"/>
          <w:bCs/>
          <w:color w:val="000000" w:themeColor="text1"/>
          <w:sz w:val="24"/>
          <w:highlight w:val="none"/>
          <w14:textFill>
            <w14:solidFill>
              <w14:schemeClr w14:val="tx1"/>
            </w14:solidFill>
          </w14:textFill>
        </w:rPr>
        <w:t xml:space="preserve">11.1投标人应按照法律法规、规章和规范性文件以及招标文件要求提交证明文件，证明其投标标的符合招标文件的规定。</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11.2招标文件对证明文件无明确形式要求的，证明文件可以以文字资料、图纸和数据等形式提交。</w:t>
      </w:r>
      <w:r/>
    </w:p>
    <w:p>
      <w:pPr>
        <w:ind w:firstLine="480"/>
        <w:spacing w:line="360" w:lineRule="auto"/>
        <w:tabs>
          <w:tab w:val="left" w:pos="1035" w:leader="none"/>
        </w:tabs>
        <w:rPr>
          <w:rFonts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highlight w:val="none"/>
          <w:lang w:val="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highlight w:val="none"/>
          <w:lang w:val="zh-CN"/>
          <w14:textFill>
            <w14:solidFill>
              <w14:schemeClr w14:val="tx1"/>
            </w14:solidFill>
          </w14:textFill>
        </w:rPr>
        <w:t xml:space="preserve">投标人可在投标文件中提供认为需要的其他技术文件或说明。</w:t>
      </w:r>
      <w:r/>
    </w:p>
    <w:p>
      <w:pPr>
        <w:pStyle w:val="1156"/>
        <w:ind w:firstLine="422"/>
        <w:keepLines w:val="0"/>
        <w:keepNext w:val="0"/>
        <w:spacing w:before="0" w:after="0" w:line="360" w:lineRule="auto"/>
        <w:rPr>
          <w:rFonts w:ascii="宋体" w:hAnsi="宋体" w:eastAsia="宋体" w:cs="宋体"/>
          <w:bCs w:val="0"/>
          <w:color w:val="000000" w:themeColor="text1"/>
          <w:highlight w:val="none"/>
          <w:lang w:eastAsia="zh-CN"/>
          <w14:textFill>
            <w14:solidFill>
              <w14:schemeClr w14:val="tx1"/>
            </w14:solidFill>
          </w14:textFill>
        </w:rPr>
      </w:pPr>
      <w:r/>
      <w:bookmarkStart w:id="62" w:name="_Toc49090510"/>
      <w:r/>
      <w:bookmarkStart w:id="63" w:name="_Toc14577359"/>
      <w:r>
        <w:rPr>
          <w:rFonts w:hint="eastAsia" w:ascii="宋体" w:hAnsi="宋体" w:eastAsia="宋体" w:cs="宋体"/>
          <w:bCs w:val="0"/>
          <w:color w:val="000000" w:themeColor="text1"/>
          <w:highlight w:val="none"/>
          <w:lang w:eastAsia="zh-CN"/>
          <w14:textFill>
            <w14:solidFill>
              <w14:schemeClr w14:val="tx1"/>
            </w14:solidFill>
          </w14:textFill>
        </w:rPr>
        <w:t xml:space="preserve">12.投标函</w:t>
      </w:r>
      <w:r>
        <w:rPr>
          <w:rFonts w:hint="eastAsia" w:ascii="宋体" w:hAnsi="宋体" w:eastAsia="宋体" w:cs="宋体"/>
          <w:bCs w:val="0"/>
          <w:color w:val="000000" w:themeColor="text1"/>
          <w:highlight w:val="none"/>
          <w:lang w:val="en-US" w:eastAsia="zh-CN"/>
          <w14:textFill>
            <w14:solidFill>
              <w14:schemeClr w14:val="tx1"/>
            </w14:solidFill>
          </w14:textFill>
        </w:rPr>
        <w:t xml:space="preserve">部分（格式见附件）</w:t>
      </w:r>
      <w:r/>
    </w:p>
    <w:p>
      <w:pPr>
        <w:ind w:firstLine="480"/>
        <w:spacing w:line="360"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12.1</w:t>
      </w:r>
      <w:r>
        <w:rPr>
          <w:rFonts w:hint="eastAsia" w:ascii="宋体" w:hAnsi="宋体" w:eastAsia="宋体" w:cs="宋体"/>
          <w:color w:val="000000" w:themeColor="text1"/>
          <w:sz w:val="24"/>
          <w:highlight w:val="none"/>
          <w14:textFill>
            <w14:solidFill>
              <w14:schemeClr w14:val="tx1"/>
            </w14:solidFill>
          </w14:textFill>
        </w:rPr>
        <w:t xml:space="preserve">投标人应按照招标文件中提供的格式完整、正确填写投标函、承诺书和开标一览表。</w:t>
      </w:r>
      <w:r/>
    </w:p>
    <w:p>
      <w:pPr>
        <w:ind w:firstLine="480"/>
        <w:spacing w:line="360" w:lineRule="auto"/>
        <w:rPr>
          <w:rFonts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12.2对于采用货币报价的项目，开标一览表中的投标总报价应与分项报价表的总额一致，如不一致，不作为无效投标处理，但评标时按开标一览表中的价格为准。</w:t>
      </w:r>
      <w:bookmarkEnd w:id="62"/>
      <w:r/>
      <w:bookmarkEnd w:id="63"/>
      <w:r/>
      <w:r/>
    </w:p>
    <w:p>
      <w:pPr>
        <w:pStyle w:val="1156"/>
        <w:ind w:firstLine="422"/>
        <w:keepLines w:val="0"/>
        <w:keepNext w:val="0"/>
        <w:spacing w:before="0" w:after="0" w:line="360" w:lineRule="auto"/>
        <w:rPr>
          <w:rFonts w:ascii="宋体" w:hAnsi="宋体" w:eastAsia="宋体" w:cs="宋体"/>
          <w:bCs w:val="0"/>
          <w:color w:val="000000" w:themeColor="text1"/>
          <w:highlight w:val="none"/>
          <w:lang w:eastAsia="zh-CN"/>
          <w14:textFill>
            <w14:solidFill>
              <w14:schemeClr w14:val="tx1"/>
            </w14:solidFill>
          </w14:textFill>
        </w:rPr>
      </w:pPr>
      <w:r>
        <w:rPr>
          <w:rFonts w:hint="eastAsia" w:ascii="宋体" w:hAnsi="宋体" w:eastAsia="宋体" w:cs="宋体"/>
          <w:bCs w:val="0"/>
          <w:color w:val="000000" w:themeColor="text1"/>
          <w:highlight w:val="none"/>
          <w:lang w:eastAsia="zh-CN"/>
          <w14:textFill>
            <w14:solidFill>
              <w14:schemeClr w14:val="tx1"/>
            </w14:solidFill>
          </w14:textFill>
        </w:rPr>
        <w:t xml:space="preserve">13.</w:t>
      </w:r>
      <w:bookmarkEnd w:id="60"/>
      <w:r/>
      <w:bookmarkEnd w:id="61"/>
      <w:r>
        <w:rPr>
          <w:rFonts w:hint="eastAsia" w:ascii="宋体" w:hAnsi="宋体" w:eastAsia="宋体" w:cs="宋体"/>
          <w:bCs w:val="0"/>
          <w:color w:val="000000" w:themeColor="text1"/>
          <w:highlight w:val="none"/>
          <w:lang w:val="en-US" w:eastAsia="zh-CN"/>
          <w14:textFill>
            <w14:solidFill>
              <w14:schemeClr w14:val="tx1"/>
            </w14:solidFill>
          </w14:textFill>
        </w:rPr>
        <w:t xml:space="preserve">报价部分（格式见附件）</w:t>
      </w:r>
      <w:r/>
    </w:p>
    <w:p>
      <w:pPr>
        <w:ind w:firstLine="480"/>
        <w:spacing w:line="360" w:lineRule="auto"/>
        <w:rPr>
          <w:rFonts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13.1</w:t>
      </w:r>
      <w:r>
        <w:rPr>
          <w:rFonts w:hint="eastAsia" w:ascii="宋体" w:hAnsi="宋体" w:eastAsia="宋体" w:cs="宋体"/>
          <w:color w:val="000000" w:themeColor="text1"/>
          <w:sz w:val="24"/>
          <w:highlight w:val="none"/>
          <w14:textFill>
            <w14:solidFill>
              <w14:schemeClr w14:val="tx1"/>
            </w14:solidFill>
          </w14:textFill>
        </w:rPr>
        <w:t xml:space="preserve">投</w:t>
      </w:r>
      <w:bookmarkStart w:id="64" w:name="_Hlt26954840"/>
      <w:r/>
      <w:bookmarkEnd w:id="64"/>
      <w:r>
        <w:rPr>
          <w:rFonts w:hint="eastAsia" w:ascii="宋体" w:hAnsi="宋体" w:eastAsia="宋体" w:cs="宋体"/>
          <w:color w:val="000000" w:themeColor="text1"/>
          <w:sz w:val="24"/>
          <w:highlight w:val="none"/>
          <w14:textFill>
            <w14:solidFill>
              <w14:schemeClr w14:val="tx1"/>
            </w14:solidFill>
          </w14:textFill>
        </w:rPr>
        <w:t xml:space="preserve">标人应按照招标文件规定格式填报</w:t>
      </w:r>
      <w:bookmarkStart w:id="65" w:name="_Hlt26670399"/>
      <w:r/>
      <w:bookmarkEnd w:id="65"/>
      <w:r>
        <w:rPr>
          <w:rFonts w:hint="eastAsia" w:ascii="宋体" w:hAnsi="宋体" w:eastAsia="宋体" w:cs="宋体"/>
          <w:color w:val="000000" w:themeColor="text1"/>
          <w:sz w:val="24"/>
          <w:highlight w:val="none"/>
          <w14:textFill>
            <w14:solidFill>
              <w14:schemeClr w14:val="tx1"/>
            </w14:solidFill>
          </w14:textFill>
        </w:rPr>
        <w:t xml:space="preserve">报价表。</w:t>
      </w:r>
      <w:r/>
    </w:p>
    <w:p>
      <w:pPr>
        <w:ind w:firstLine="480"/>
        <w:spacing w:line="360" w:lineRule="auto"/>
        <w:rPr>
          <w:rFonts w:ascii="宋体" w:hAnsi="宋体" w:eastAsia="宋体" w:cs="宋体"/>
          <w:bCs w:val="0"/>
          <w:color w:val="000000" w:themeColor="text1"/>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13.2</w:t>
      </w:r>
      <w:r>
        <w:rPr>
          <w:rFonts w:hint="eastAsia" w:ascii="宋体" w:hAnsi="宋体" w:eastAsia="宋体" w:cs="宋体"/>
          <w:bCs/>
          <w:color w:val="000000" w:themeColor="text1"/>
          <w:sz w:val="24"/>
          <w:highlight w:val="none"/>
          <w14:textFill>
            <w14:solidFill>
              <w14:schemeClr w14:val="tx1"/>
            </w14:solidFill>
          </w14:textFill>
        </w:rPr>
        <w:t xml:space="preserve">投标货币。投标文件中的单价和总价无特殊规定的采用人民币报价，以“元”为单位标注。</w:t>
      </w:r>
      <w:r>
        <w:rPr>
          <w:rFonts w:hint="eastAsia" w:ascii="宋体" w:hAnsi="宋体" w:eastAsia="宋体" w:cs="宋体"/>
          <w:color w:val="000000" w:themeColor="text1"/>
          <w:sz w:val="24"/>
          <w:highlight w:val="none"/>
          <w14:textFill>
            <w14:solidFill>
              <w14:schemeClr w14:val="tx1"/>
            </w14:solidFill>
          </w14:textFill>
        </w:rPr>
        <w:t xml:space="preserve">招标文件中另有规定的按规定执行。</w:t>
      </w:r>
      <w:bookmarkStart w:id="66" w:name="_Hlt26954842"/>
      <w:r/>
      <w:bookmarkEnd w:id="66"/>
      <w:r/>
      <w:bookmarkStart w:id="67" w:name="_Hlt26954846"/>
      <w:r/>
      <w:bookmarkEnd w:id="67"/>
      <w:r/>
      <w:bookmarkStart w:id="68" w:name="_Hlt26670425"/>
      <w:r/>
      <w:bookmarkEnd w:id="68"/>
      <w:r/>
      <w:bookmarkStart w:id="69" w:name="_Hlt26670486"/>
      <w:r/>
      <w:bookmarkEnd w:id="69"/>
      <w:r/>
      <w:bookmarkStart w:id="70" w:name="_Hlt26954731"/>
      <w:r/>
      <w:bookmarkEnd w:id="70"/>
      <w:r/>
      <w:bookmarkStart w:id="71" w:name="_Hlt26670482"/>
      <w:r/>
      <w:bookmarkEnd w:id="71"/>
      <w:r/>
      <w:bookmarkStart w:id="72" w:name="_Hlt26954848"/>
      <w:r/>
      <w:bookmarkEnd w:id="72"/>
      <w:r/>
      <w:bookmarkStart w:id="73" w:name="_Hlt26668983"/>
      <w:r/>
      <w:bookmarkEnd w:id="73"/>
      <w:r/>
      <w:bookmarkStart w:id="74" w:name="_Hlt26954844"/>
      <w:r/>
      <w:bookmarkEnd w:id="74"/>
      <w:r/>
      <w:bookmarkStart w:id="75" w:name="_Hlt26670403"/>
      <w:r/>
      <w:bookmarkEnd w:id="75"/>
      <w:r/>
      <w:r/>
    </w:p>
    <w:p>
      <w:pPr>
        <w:pStyle w:val="1156"/>
        <w:ind w:firstLine="422"/>
        <w:keepLines w:val="0"/>
        <w:keepNext w:val="0"/>
        <w:spacing w:before="0" w:after="0" w:line="360" w:lineRule="auto"/>
        <w:rPr>
          <w:rFonts w:hint="default" w:ascii="宋体" w:hAnsi="宋体" w:eastAsia="宋体" w:cs="宋体"/>
          <w:b/>
          <w:bCs w:val="0"/>
          <w:color w:val="000000" w:themeColor="text1"/>
          <w:highlight w:val="none"/>
          <w:lang w:val="en-US" w:eastAsia="zh-CN"/>
          <w14:textFill>
            <w14:solidFill>
              <w14:schemeClr w14:val="tx1"/>
            </w14:solidFill>
          </w14:textFill>
        </w:rPr>
      </w:pPr>
      <w:r/>
      <w:bookmarkStart w:id="76" w:name="_Hlt26954734"/>
      <w:r/>
      <w:bookmarkEnd w:id="76"/>
      <w:r/>
      <w:bookmarkStart w:id="77" w:name="_Hlt26954850"/>
      <w:r/>
      <w:bookmarkEnd w:id="77"/>
      <w:r/>
      <w:bookmarkStart w:id="78" w:name="_Hlt26670489"/>
      <w:r/>
      <w:bookmarkEnd w:id="78"/>
      <w:r/>
      <w:bookmarkStart w:id="79" w:name="_Toc14577360"/>
      <w:r/>
      <w:bookmarkStart w:id="80" w:name="_Toc49090511"/>
      <w:r>
        <w:rPr>
          <w:rFonts w:hint="eastAsia" w:ascii="宋体" w:hAnsi="宋体" w:eastAsia="宋体" w:cs="宋体"/>
          <w:b/>
          <w:bCs w:val="0"/>
          <w:color w:val="000000" w:themeColor="text1"/>
          <w:highlight w:val="none"/>
          <w:lang w:eastAsia="zh-CN"/>
          <w14:textFill>
            <w14:solidFill>
              <w14:schemeClr w14:val="tx1"/>
            </w14:solidFill>
          </w14:textFill>
        </w:rPr>
        <w:t xml:space="preserve">1</w:t>
      </w:r>
      <w:r>
        <w:rPr>
          <w:rFonts w:hint="eastAsia" w:ascii="宋体" w:hAnsi="宋体" w:eastAsia="宋体" w:cs="宋体"/>
          <w:b/>
          <w:bCs w:val="0"/>
          <w:color w:val="000000" w:themeColor="text1"/>
          <w:highlight w:val="none"/>
          <w:lang w:val="en-US" w:eastAsia="zh-CN"/>
          <w14:textFill>
            <w14:solidFill>
              <w14:schemeClr w14:val="tx1"/>
            </w14:solidFill>
          </w14:textFill>
        </w:rPr>
        <w:t xml:space="preserve">4</w:t>
      </w:r>
      <w:r>
        <w:rPr>
          <w:rFonts w:hint="eastAsia" w:ascii="宋体" w:hAnsi="宋体" w:eastAsia="宋体" w:cs="宋体"/>
          <w:b/>
          <w:bCs w:val="0"/>
          <w:color w:val="000000" w:themeColor="text1"/>
          <w:highlight w:val="none"/>
          <w:lang w:eastAsia="zh-CN"/>
          <w14:textFill>
            <w14:solidFill>
              <w14:schemeClr w14:val="tx1"/>
            </w14:solidFill>
          </w14:textFill>
        </w:rPr>
        <w:t xml:space="preserve">.</w:t>
      </w:r>
      <w:bookmarkEnd w:id="79"/>
      <w:r/>
      <w:bookmarkEnd w:id="80"/>
      <w:r>
        <w:rPr>
          <w:rFonts w:hint="eastAsia" w:ascii="宋体" w:hAnsi="宋体" w:eastAsia="宋体" w:cs="宋体"/>
          <w:b/>
          <w:bCs w:val="0"/>
          <w:color w:val="000000" w:themeColor="text1"/>
          <w:highlight w:val="none"/>
          <w:lang w:val="en-US" w:eastAsia="zh-CN"/>
          <w14:textFill>
            <w14:solidFill>
              <w14:schemeClr w14:val="tx1"/>
            </w14:solidFill>
          </w14:textFill>
        </w:rPr>
        <w:t xml:space="preserve">技术文件部分（暗标，内容参照评标办法）</w:t>
      </w:r>
      <w:r/>
    </w:p>
    <w:p>
      <w:pPr>
        <w:ind w:firstLine="480"/>
        <w:spacing w:line="360" w:lineRule="auto"/>
        <w:rPr>
          <w:rFonts w:hint="eastAsia" w:ascii="宋体" w:hAnsi="宋体" w:eastAsia="宋体" w:cs="宋体"/>
          <w:b/>
          <w:bCs w:val="0"/>
          <w:color w:val="000000" w:themeColor="text1"/>
          <w:sz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highlight w:val="none"/>
          <w:lang w:val="en-US" w:eastAsia="zh-CN"/>
          <w14:textFill>
            <w14:solidFill>
              <w14:schemeClr w14:val="tx1"/>
            </w14:solidFill>
          </w14:textFill>
        </w:rPr>
        <w:t xml:space="preserve">14.1 排版要求：A4版面，黑色、四号宋体字，如有必要，可配以图片、表格辅助说明（图片内字体、色彩不作要求，表格中字体为宋体，字号不作限制），暗标文件中均不得体现投标人身份。技术部分无须设置页码，不得设置页眉页脚。</w:t>
      </w:r>
      <w:r/>
    </w:p>
    <w:p>
      <w:pPr>
        <w:ind w:firstLine="480"/>
        <w:spacing w:line="360" w:lineRule="auto"/>
        <w:rPr>
          <w:rFonts w:hint="eastAsia" w:ascii="宋体" w:hAnsi="宋体" w:eastAsia="宋体" w:cs="宋体"/>
          <w:b/>
          <w:bCs w:val="0"/>
          <w:color w:val="000000" w:themeColor="text1"/>
          <w:sz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highlight w:val="none"/>
          <w:lang w:val="en-US" w:eastAsia="zh-CN"/>
          <w14:textFill>
            <w14:solidFill>
              <w14:schemeClr w14:val="tx1"/>
            </w14:solidFill>
          </w14:textFill>
        </w:rPr>
        <w:t xml:space="preserve">不得有体现投标人身份的内容是指：</w:t>
      </w:r>
      <w:r/>
    </w:p>
    <w:p>
      <w:pPr>
        <w:ind w:firstLine="480"/>
        <w:spacing w:line="360" w:lineRule="auto"/>
        <w:rPr>
          <w:rFonts w:hint="eastAsia" w:ascii="宋体" w:hAnsi="宋体" w:eastAsia="宋体" w:cs="宋体"/>
          <w:b/>
          <w:bCs w:val="0"/>
          <w:color w:val="000000" w:themeColor="text1"/>
          <w:sz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highlight w:val="none"/>
          <w:lang w:val="en-US" w:eastAsia="zh-CN"/>
          <w14:textFill>
            <w14:solidFill>
              <w14:schemeClr w14:val="tx1"/>
            </w14:solidFill>
          </w14:textFill>
        </w:rPr>
        <w:t xml:space="preserve">①技术部分不得出现能够体现投标人身份、名称的相关描述、材料、文件等内容；</w:t>
      </w:r>
      <w:r/>
    </w:p>
    <w:p>
      <w:pPr>
        <w:ind w:firstLine="480"/>
        <w:spacing w:line="360" w:lineRule="auto"/>
        <w:rPr>
          <w:rFonts w:hint="eastAsia" w:ascii="宋体" w:hAnsi="宋体" w:eastAsia="宋体" w:cs="宋体"/>
          <w:b/>
          <w:bCs w:val="0"/>
          <w:color w:val="000000" w:themeColor="text1"/>
          <w:sz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highlight w:val="none"/>
          <w:lang w:val="en-US" w:eastAsia="zh-CN"/>
          <w14:textFill>
            <w14:solidFill>
              <w14:schemeClr w14:val="tx1"/>
            </w14:solidFill>
          </w14:textFill>
        </w:rPr>
        <w:t xml:space="preserve">②技术部分不得更改，不得在其中涂改、标注或做任何可以辨认投标人及所属人员身份的名称、印章、商标等标记；</w:t>
      </w:r>
      <w:r/>
    </w:p>
    <w:p>
      <w:pPr>
        <w:ind w:firstLine="480"/>
        <w:spacing w:line="360" w:lineRule="auto"/>
        <w:rPr>
          <w:rFonts w:hint="eastAsia" w:ascii="宋体" w:hAnsi="宋体" w:eastAsia="宋体" w:cs="宋体"/>
          <w:b/>
          <w:bCs w:val="0"/>
          <w:color w:val="000000" w:themeColor="text1"/>
          <w:sz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highlight w:val="none"/>
          <w:lang w:val="en-US" w:eastAsia="zh-CN"/>
          <w14:textFill>
            <w14:solidFill>
              <w14:schemeClr w14:val="tx1"/>
            </w14:solidFill>
          </w14:textFill>
        </w:rPr>
        <w:t xml:space="preserve">③技术部分应当版面整洁、字迹清楚、不许批注或进行水印等特殊设置，不得采用任何不符合常规、有别于其他投标人的特殊做法。文本部分不得出现底纹、阴影等标记；</w:t>
      </w:r>
      <w:r/>
    </w:p>
    <w:p>
      <w:pPr>
        <w:ind w:firstLine="480"/>
        <w:spacing w:line="360" w:lineRule="auto"/>
        <w:rPr>
          <w:rFonts w:hint="eastAsia" w:ascii="宋体" w:hAnsi="宋体" w:eastAsia="宋体" w:cs="宋体"/>
          <w:b/>
          <w:bCs w:val="0"/>
          <w:color w:val="000000" w:themeColor="text1"/>
          <w:sz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highlight w:val="none"/>
          <w:lang w:val="en-US" w:eastAsia="zh-CN"/>
          <w14:textFill>
            <w14:solidFill>
              <w14:schemeClr w14:val="tx1"/>
            </w14:solidFill>
          </w14:textFill>
        </w:rPr>
        <w:t xml:space="preserve">④不得有其他体现投标人身份的内容。</w:t>
      </w:r>
      <w:r/>
    </w:p>
    <w:p>
      <w:pPr>
        <w:ind w:firstLine="480"/>
        <w:spacing w:line="360" w:lineRule="auto"/>
        <w:rPr>
          <w:rFonts w:hint="eastAsia" w:ascii="宋体" w:hAnsi="宋体" w:eastAsia="宋体" w:cs="宋体"/>
          <w:bCs/>
          <w:color w:val="000000" w:themeColor="text1"/>
          <w:sz w:val="24"/>
          <w:highlight w:val="none"/>
          <w:u w:val="single"/>
          <w:lang w:val="en-US" w:eastAsia="zh-CN"/>
          <w14:textFill>
            <w14:solidFill>
              <w14:schemeClr w14:val="tx1"/>
            </w14:solidFill>
          </w14:textFill>
        </w:rPr>
      </w:pPr>
      <w:r>
        <w:rPr>
          <w:rFonts w:hint="eastAsia" w:ascii="宋体" w:hAnsi="宋体" w:eastAsia="宋体" w:cs="宋体"/>
          <w:b/>
          <w:bCs w:val="0"/>
          <w:color w:val="000000" w:themeColor="text1"/>
          <w:sz w:val="24"/>
          <w:highlight w:val="none"/>
          <w:u w:val="single"/>
          <w:lang w:val="en-US" w:eastAsia="zh-CN"/>
          <w14:textFill>
            <w14:solidFill>
              <w14:schemeClr w14:val="tx1"/>
            </w14:solidFill>
          </w14:textFill>
        </w:rPr>
        <w:t xml:space="preserve">特别注意：本项目采用暗标形式。投标人须参照评标办法的相关要求对商务部分和技术文件部分分别进行制作。其中技术文件部分属于暗标，投标人在制作技术文件部分相关内容时不得有体现投标人身份的内容，否则投标无效。</w:t>
      </w:r>
      <w:r/>
    </w:p>
    <w:p>
      <w:pPr>
        <w:pStyle w:val="1156"/>
        <w:ind w:firstLine="422"/>
        <w:keepLines w:val="0"/>
        <w:keepNext w:val="0"/>
        <w:spacing w:before="0" w:after="0" w:line="360" w:lineRule="auto"/>
        <w:rPr>
          <w:rFonts w:ascii="宋体" w:hAnsi="宋体" w:eastAsia="宋体" w:cs="宋体"/>
          <w:bCs w:val="0"/>
          <w:color w:val="auto"/>
          <w:highlight w:val="none"/>
          <w:lang w:eastAsia="zh-CN"/>
        </w:rPr>
      </w:pPr>
      <w:r>
        <w:rPr>
          <w:rFonts w:hint="eastAsia" w:ascii="宋体" w:hAnsi="宋体" w:eastAsia="宋体" w:cs="宋体"/>
          <w:bCs w:val="0"/>
          <w:color w:val="auto"/>
          <w:highlight w:val="none"/>
          <w:lang w:eastAsia="zh-CN"/>
        </w:rPr>
        <w:t xml:space="preserve">1</w:t>
      </w:r>
      <w:r>
        <w:rPr>
          <w:rFonts w:hint="eastAsia" w:ascii="宋体" w:hAnsi="宋体" w:eastAsia="宋体" w:cs="宋体"/>
          <w:bCs w:val="0"/>
          <w:color w:val="auto"/>
          <w:highlight w:val="none"/>
          <w:lang w:val="en-US" w:eastAsia="zh-CN"/>
        </w:rPr>
        <w:t xml:space="preserve">5</w:t>
      </w:r>
      <w:r>
        <w:rPr>
          <w:rFonts w:hint="eastAsia" w:ascii="宋体" w:hAnsi="宋体" w:eastAsia="宋体" w:cs="宋体"/>
          <w:bCs w:val="0"/>
          <w:color w:val="auto"/>
          <w:highlight w:val="none"/>
          <w:lang w:eastAsia="zh-CN"/>
        </w:rPr>
        <w:t xml:space="preserve">.投标有效期</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.1</w:t>
      </w:r>
      <w:r>
        <w:rPr>
          <w:rFonts w:hint="eastAsia" w:ascii="宋体" w:hAnsi="宋体" w:eastAsia="宋体" w:cs="宋体"/>
          <w:bCs/>
          <w:color w:val="auto"/>
          <w:sz w:val="24"/>
          <w:highlight w:val="none"/>
        </w:rPr>
        <w:t xml:space="preserve">投标有效期为招标文件规定的开标之日后</w:t>
      </w:r>
      <w:r>
        <w:rPr>
          <w:rFonts w:hint="eastAsia" w:ascii="宋体" w:hAnsi="宋体" w:eastAsia="宋体" w:cs="宋体"/>
          <w:color w:val="auto"/>
          <w:sz w:val="24"/>
          <w:highlight w:val="none"/>
        </w:rPr>
        <w:t xml:space="preserve">九十（90）天</w:t>
      </w:r>
      <w:r>
        <w:rPr>
          <w:rFonts w:hint="eastAsia" w:ascii="宋体" w:hAnsi="宋体" w:eastAsia="宋体" w:cs="宋体"/>
          <w:bCs/>
          <w:color w:val="auto"/>
          <w:sz w:val="24"/>
          <w:highlight w:val="none"/>
        </w:rPr>
        <w:t xml:space="preserve">。投标有效期比规定短的将被视为未实质性响应招标文件而予以拒绝。</w:t>
      </w:r>
      <w:r/>
    </w:p>
    <w:p>
      <w:pPr>
        <w:pStyle w:val="1156"/>
        <w:ind w:firstLine="422"/>
        <w:keepLines w:val="0"/>
        <w:keepNext w:val="0"/>
        <w:spacing w:before="0" w:after="0" w:line="360" w:lineRule="auto"/>
        <w:rPr>
          <w:rFonts w:ascii="宋体" w:hAnsi="宋体" w:eastAsia="宋体" w:cs="宋体"/>
          <w:bCs w:val="0"/>
          <w:color w:val="auto"/>
          <w:highlight w:val="none"/>
          <w:lang w:eastAsia="zh-CN"/>
        </w:rPr>
      </w:pPr>
      <w:r>
        <w:rPr>
          <w:rFonts w:hint="eastAsia" w:ascii="宋体" w:hAnsi="宋体" w:eastAsia="宋体" w:cs="宋体"/>
          <w:bCs w:val="0"/>
          <w:color w:val="auto"/>
          <w:highlight w:val="none"/>
          <w:lang w:eastAsia="zh-CN"/>
        </w:rPr>
        <w:t xml:space="preserve">1</w:t>
      </w:r>
      <w:r>
        <w:rPr>
          <w:rFonts w:hint="eastAsia" w:ascii="宋体" w:hAnsi="宋体" w:eastAsia="宋体" w:cs="宋体"/>
          <w:bCs w:val="0"/>
          <w:color w:val="auto"/>
          <w:highlight w:val="none"/>
          <w:lang w:val="en-US" w:eastAsia="zh-CN"/>
        </w:rPr>
        <w:t xml:space="preserve">6</w:t>
      </w:r>
      <w:r>
        <w:rPr>
          <w:rFonts w:hint="eastAsia" w:ascii="宋体" w:hAnsi="宋体" w:eastAsia="宋体" w:cs="宋体"/>
          <w:bCs w:val="0"/>
          <w:color w:val="auto"/>
          <w:highlight w:val="none"/>
          <w:lang w:eastAsia="zh-CN"/>
        </w:rPr>
        <w:t xml:space="preserve">.投标有效期的延长</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16.</w:t>
      </w:r>
      <w:r>
        <w:rPr>
          <w:rFonts w:hint="eastAsia" w:ascii="宋体" w:hAnsi="宋体" w:eastAsia="宋体" w:cs="宋体"/>
          <w:color w:val="auto"/>
          <w:sz w:val="24"/>
          <w:highlight w:val="none"/>
          <w:lang w:val="en-US" w:eastAsia="zh-CN"/>
        </w:rPr>
        <w:t xml:space="preserve">1</w:t>
      </w:r>
      <w:r>
        <w:rPr>
          <w:rFonts w:hint="eastAsia" w:ascii="宋体" w:hAnsi="宋体" w:eastAsia="宋体" w:cs="宋体"/>
          <w:bCs/>
          <w:color w:val="auto"/>
          <w:sz w:val="24"/>
          <w:highlight w:val="none"/>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highlight w:val="none"/>
        </w:rPr>
        <w:t xml:space="preserve">同意延长投标有效期的投标人既不能要求也不允许修改其投标文件</w:t>
      </w:r>
      <w:r>
        <w:rPr>
          <w:rFonts w:hint="eastAsia" w:ascii="宋体" w:hAnsi="宋体" w:eastAsia="宋体" w:cs="宋体"/>
          <w:color w:val="auto"/>
          <w:sz w:val="24"/>
          <w:szCs w:val="24"/>
          <w:highlight w:val="none"/>
        </w:rPr>
        <w:t xml:space="preserve">，同时受投标有效期约束的所有权利与义务均延长至新的有效期</w:t>
      </w:r>
      <w:r>
        <w:rPr>
          <w:rFonts w:hint="eastAsia" w:ascii="宋体" w:hAnsi="宋体" w:eastAsia="宋体" w:cs="宋体"/>
          <w:bCs/>
          <w:color w:val="auto"/>
          <w:sz w:val="24"/>
          <w:highlight w:val="none"/>
        </w:rPr>
        <w:t xml:space="preserve">。</w:t>
      </w:r>
      <w:r/>
    </w:p>
    <w:p>
      <w:pPr>
        <w:pStyle w:val="987"/>
        <w:ind w:firstLine="452"/>
        <w:keepLines w:val="0"/>
        <w:keepNext w:val="0"/>
        <w:spacing w:before="0" w:after="0" w:line="360" w:lineRule="auto"/>
        <w:rPr>
          <w:rFonts w:ascii="宋体" w:hAnsi="宋体" w:cs="宋体"/>
          <w:color w:val="auto"/>
          <w:sz w:val="30"/>
          <w:szCs w:val="30"/>
          <w:highlight w:val="none"/>
          <w:lang w:eastAsia="zh-CN"/>
        </w:rPr>
      </w:pPr>
      <w:r/>
      <w:bookmarkStart w:id="81" w:name="_Hlt26954852"/>
      <w:r/>
      <w:bookmarkEnd w:id="81"/>
      <w:r/>
      <w:bookmarkStart w:id="82" w:name="_Hlt26954739"/>
      <w:r/>
      <w:bookmarkEnd w:id="82"/>
      <w:r/>
      <w:bookmarkStart w:id="83" w:name="_Toc513029224"/>
      <w:r/>
      <w:bookmarkStart w:id="84" w:name="_Toc120614217"/>
      <w:r/>
      <w:bookmarkStart w:id="85" w:name="_Toc16938540"/>
      <w:r/>
      <w:bookmarkStart w:id="86" w:name="_Toc20823296"/>
      <w:r>
        <w:rPr>
          <w:rFonts w:hint="eastAsia" w:ascii="宋体" w:hAnsi="宋体" w:cs="宋体"/>
          <w:color w:val="auto"/>
          <w:sz w:val="30"/>
          <w:szCs w:val="30"/>
          <w:highlight w:val="none"/>
          <w:lang w:eastAsia="zh-CN"/>
        </w:rPr>
        <w:t xml:space="preserve">四、投标文件的递交</w:t>
      </w:r>
      <w:bookmarkEnd w:id="83"/>
      <w:r/>
      <w:bookmarkEnd w:id="84"/>
      <w:r/>
      <w:bookmarkEnd w:id="85"/>
      <w:r/>
      <w:bookmarkEnd w:id="86"/>
      <w:r/>
      <w:r/>
    </w:p>
    <w:p>
      <w:pPr>
        <w:pStyle w:val="1156"/>
        <w:ind w:firstLine="422"/>
        <w:keepLines w:val="0"/>
        <w:keepNext w:val="0"/>
        <w:spacing w:before="0" w:after="0" w:line="360" w:lineRule="auto"/>
        <w:rPr>
          <w:rFonts w:ascii="宋体" w:hAnsi="宋体" w:eastAsia="宋体" w:cs="宋体"/>
          <w:bCs w:val="0"/>
          <w:color w:val="auto"/>
          <w:highlight w:val="none"/>
          <w:lang w:eastAsia="zh-CN"/>
        </w:rPr>
      </w:pPr>
      <w:r/>
      <w:bookmarkStart w:id="87" w:name="_Toc462564084"/>
      <w:r/>
      <w:bookmarkStart w:id="88" w:name="_Toc20823297"/>
      <w:r/>
      <w:bookmarkStart w:id="89" w:name="_Toc513029225"/>
      <w:r/>
      <w:bookmarkStart w:id="90" w:name="_Toc16938541"/>
      <w:r>
        <w:rPr>
          <w:rFonts w:hint="eastAsia" w:ascii="宋体" w:hAnsi="宋体" w:eastAsia="宋体" w:cs="宋体"/>
          <w:bCs w:val="0"/>
          <w:color w:val="auto"/>
          <w:highlight w:val="none"/>
          <w:lang w:eastAsia="zh-CN"/>
        </w:rPr>
        <w:t xml:space="preserve">17.投标文件</w:t>
      </w:r>
      <w:bookmarkEnd w:id="87"/>
      <w:r/>
      <w:bookmarkEnd w:id="88"/>
      <w:r/>
      <w:bookmarkEnd w:id="89"/>
      <w:r/>
      <w:bookmarkEnd w:id="90"/>
      <w:r>
        <w:rPr>
          <w:rFonts w:hint="eastAsia" w:ascii="宋体" w:hAnsi="宋体" w:eastAsia="宋体" w:cs="宋体"/>
          <w:bCs w:val="0"/>
          <w:color w:val="auto"/>
          <w:highlight w:val="none"/>
          <w:lang w:eastAsia="zh-CN"/>
        </w:rPr>
        <w:t xml:space="preserve">的递交</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17.1</w:t>
      </w:r>
      <w:r>
        <w:rPr>
          <w:rFonts w:hint="eastAsia" w:ascii="宋体" w:hAnsi="宋体" w:eastAsia="宋体" w:cs="宋体"/>
          <w:bCs/>
          <w:color w:val="auto"/>
          <w:sz w:val="24"/>
          <w:highlight w:val="none"/>
        </w:rPr>
        <w:t xml:space="preserve">电子投标文件的递交</w:t>
      </w:r>
      <w:r/>
    </w:p>
    <w:p>
      <w:pPr>
        <w:pStyle w:val="1241"/>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投标人应当按照《操作手册》的规定，在投标截止时间前制作并上传电子投标文件。</w:t>
      </w:r>
      <w:bookmarkStart w:id="91" w:name="_Toc513029226"/>
      <w:r/>
      <w:bookmarkStart w:id="92" w:name="_Toc20823298"/>
      <w:r/>
      <w:bookmarkStart w:id="93" w:name="_Toc16938542"/>
      <w:r/>
      <w:r/>
    </w:p>
    <w:p>
      <w:pPr>
        <w:pStyle w:val="1156"/>
        <w:ind w:firstLine="422"/>
        <w:keepLines w:val="0"/>
        <w:keepNext w:val="0"/>
        <w:spacing w:before="0" w:after="0" w:line="360" w:lineRule="auto"/>
        <w:rPr>
          <w:rFonts w:ascii="宋体" w:hAnsi="宋体" w:eastAsia="宋体" w:cs="宋体"/>
          <w:bCs w:val="0"/>
          <w:color w:val="auto"/>
          <w:highlight w:val="none"/>
          <w:lang w:eastAsia="zh-CN"/>
        </w:rPr>
      </w:pPr>
      <w:r>
        <w:rPr>
          <w:rFonts w:hint="eastAsia" w:ascii="宋体" w:hAnsi="宋体" w:eastAsia="宋体" w:cs="宋体"/>
          <w:bCs w:val="0"/>
          <w:color w:val="auto"/>
          <w:highlight w:val="none"/>
          <w:lang w:eastAsia="zh-CN"/>
        </w:rPr>
        <w:t xml:space="preserve">18.投标截止</w:t>
      </w:r>
      <w:bookmarkEnd w:id="91"/>
      <w:r/>
      <w:bookmarkEnd w:id="92"/>
      <w:r/>
      <w:bookmarkEnd w:id="93"/>
      <w:r>
        <w:rPr>
          <w:rFonts w:hint="eastAsia" w:ascii="宋体" w:hAnsi="宋体" w:eastAsia="宋体" w:cs="宋体"/>
          <w:bCs w:val="0"/>
          <w:color w:val="auto"/>
          <w:highlight w:val="none"/>
          <w:lang w:eastAsia="zh-CN"/>
        </w:rPr>
        <w:t xml:space="preserve">时间</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18.1</w:t>
      </w:r>
      <w:r>
        <w:rPr>
          <w:rFonts w:hint="eastAsia" w:ascii="宋体" w:hAnsi="宋体" w:eastAsia="宋体" w:cs="宋体"/>
          <w:bCs/>
          <w:color w:val="auto"/>
          <w:sz w:val="24"/>
          <w:highlight w:val="none"/>
        </w:rPr>
        <w:t xml:space="preserve">投标人上传电子投标文件的时间不得迟于招标公告中规定的投标截止时间。</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投标人应充分考虑网络环境、网络带宽等风险因素，如因投标人自身原因造成的电子投标文件上传不成功的视作投标人未按照招标文件要求上传电子投标文件，</w:t>
      </w:r>
      <w:r>
        <w:rPr>
          <w:rFonts w:hint="eastAsia" w:ascii="宋体" w:hAnsi="宋体" w:eastAsia="宋体" w:cs="宋体"/>
          <w:bCs/>
          <w:color w:val="auto"/>
          <w:sz w:val="24"/>
          <w:highlight w:val="none"/>
          <w:lang w:eastAsia="zh-CN"/>
        </w:rPr>
        <w:t xml:space="preserve">作</w:t>
      </w:r>
      <w:r>
        <w:rPr>
          <w:rFonts w:hint="eastAsia" w:ascii="宋体" w:hAnsi="宋体" w:eastAsia="宋体" w:cs="宋体"/>
          <w:bCs/>
          <w:color w:val="auto"/>
          <w:sz w:val="24"/>
          <w:highlight w:val="none"/>
        </w:rPr>
        <w:t xml:space="preserve">无效投标处理。</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18.2</w:t>
      </w:r>
      <w:r>
        <w:rPr>
          <w:rFonts w:hint="eastAsia" w:ascii="宋体" w:hAnsi="宋体" w:eastAsia="宋体" w:cs="宋体"/>
          <w:bCs/>
          <w:color w:val="auto"/>
          <w:sz w:val="24"/>
          <w:highlight w:val="none"/>
        </w:rPr>
        <w:t xml:space="preserve">采购代理机构可以按照规定，通过更正公告修改投标截止时间，投标人的所有权利和义务以及投标人受制的截止时间均应以延长后新的截止时间为准。</w:t>
      </w:r>
      <w:r/>
    </w:p>
    <w:p>
      <w:pPr>
        <w:pStyle w:val="1156"/>
        <w:ind w:firstLine="422"/>
        <w:keepLines w:val="0"/>
        <w:keepNext w:val="0"/>
        <w:spacing w:before="0" w:after="0" w:line="360" w:lineRule="auto"/>
        <w:rPr>
          <w:rFonts w:ascii="宋体" w:hAnsi="宋体" w:eastAsia="宋体" w:cs="宋体"/>
          <w:bCs w:val="0"/>
          <w:color w:val="auto"/>
          <w:highlight w:val="none"/>
          <w:lang w:eastAsia="zh-CN"/>
        </w:rPr>
      </w:pPr>
      <w:r/>
      <w:bookmarkStart w:id="94" w:name="_Toc16938543"/>
      <w:r/>
      <w:bookmarkStart w:id="95" w:name="_Toc513029227"/>
      <w:r/>
      <w:bookmarkStart w:id="96" w:name="_Toc20823299"/>
      <w:r>
        <w:rPr>
          <w:rFonts w:hint="eastAsia" w:ascii="宋体" w:hAnsi="宋体" w:eastAsia="宋体" w:cs="宋体"/>
          <w:bCs w:val="0"/>
          <w:color w:val="auto"/>
          <w:highlight w:val="none"/>
          <w:lang w:eastAsia="zh-CN"/>
        </w:rPr>
        <w:t xml:space="preserve">19.投标文件</w:t>
      </w:r>
      <w:bookmarkEnd w:id="94"/>
      <w:r/>
      <w:bookmarkEnd w:id="95"/>
      <w:r/>
      <w:bookmarkEnd w:id="96"/>
      <w:r>
        <w:rPr>
          <w:rFonts w:hint="eastAsia" w:ascii="宋体" w:hAnsi="宋体" w:eastAsia="宋体" w:cs="宋体"/>
          <w:bCs w:val="0"/>
          <w:color w:val="auto"/>
          <w:highlight w:val="none"/>
          <w:lang w:eastAsia="zh-CN"/>
        </w:rPr>
        <w:t xml:space="preserve">的拒收</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19.1</w:t>
      </w:r>
      <w:r>
        <w:rPr>
          <w:rFonts w:hint="eastAsia" w:ascii="宋体" w:hAnsi="宋体" w:eastAsia="宋体" w:cs="宋体"/>
          <w:bCs/>
          <w:color w:val="auto"/>
          <w:sz w:val="24"/>
          <w:highlight w:val="none"/>
        </w:rPr>
        <w:t xml:space="preserve">采购代理机构拒绝接收在其规定的投标截止时间后上传的任何投标文件。</w:t>
      </w:r>
      <w:r/>
    </w:p>
    <w:p>
      <w:pPr>
        <w:pStyle w:val="1156"/>
        <w:ind w:firstLine="422"/>
        <w:keepLines w:val="0"/>
        <w:keepNext w:val="0"/>
        <w:spacing w:before="0" w:after="0" w:line="360" w:lineRule="auto"/>
        <w:rPr>
          <w:rFonts w:ascii="宋体" w:hAnsi="宋体" w:eastAsia="宋体" w:cs="宋体"/>
          <w:bCs w:val="0"/>
          <w:color w:val="auto"/>
          <w:highlight w:val="none"/>
          <w:lang w:eastAsia="zh-CN"/>
        </w:rPr>
      </w:pPr>
      <w:r/>
      <w:bookmarkStart w:id="97" w:name="_Toc20823300"/>
      <w:r/>
      <w:bookmarkStart w:id="98" w:name="_Toc16938544"/>
      <w:r/>
      <w:bookmarkStart w:id="99" w:name="_Toc513029228"/>
      <w:r>
        <w:rPr>
          <w:rFonts w:hint="eastAsia" w:ascii="宋体" w:hAnsi="宋体" w:eastAsia="宋体" w:cs="宋体"/>
          <w:bCs w:val="0"/>
          <w:color w:val="auto"/>
          <w:highlight w:val="none"/>
          <w:lang w:eastAsia="zh-CN"/>
        </w:rPr>
        <w:t xml:space="preserve">20.投标文件的撤回和修改</w:t>
      </w:r>
      <w:bookmarkEnd w:id="97"/>
      <w:r/>
      <w:bookmarkEnd w:id="98"/>
      <w:r/>
      <w:bookmarkEnd w:id="99"/>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20.1投标文件的撤回</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20.1.1电子投标文件的撤回</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投标人可在投标截止时间前，撤回其电子投标文件，具体操作方法见《操作手册》。</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20.1.2投标人撤回电子投标文件，则认为其不再参与本项目投标活动。</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20.2投标文件的修改</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20.2.1投标人可在投标截止时间前，对其电子投标文件进行修改，具体操作方法见《操作手册》。</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20.2.2</w:t>
      </w:r>
      <w:r>
        <w:rPr>
          <w:rFonts w:hint="eastAsia" w:ascii="宋体" w:hAnsi="宋体" w:eastAsia="宋体" w:cs="宋体"/>
          <w:bCs/>
          <w:color w:val="auto"/>
          <w:sz w:val="24"/>
          <w:highlight w:val="none"/>
        </w:rPr>
        <w:t xml:space="preserve">在投标截止时间之后，投标人不得对其电子投标文件作任何修改。</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20.3</w:t>
      </w:r>
      <w:r>
        <w:rPr>
          <w:rFonts w:hint="eastAsia" w:ascii="宋体" w:hAnsi="宋体" w:eastAsia="宋体" w:cs="宋体"/>
          <w:bCs/>
          <w:color w:val="auto"/>
          <w:sz w:val="24"/>
          <w:highlight w:val="none"/>
        </w:rPr>
        <w:t xml:space="preserve">在投标截止时间至招标文件中规定的投标有效期满之间的这段时间内，投标人不得撤回其投标。</w:t>
      </w:r>
      <w:r/>
    </w:p>
    <w:p>
      <w:pPr>
        <w:pStyle w:val="987"/>
        <w:ind w:firstLine="452"/>
        <w:keepLines w:val="0"/>
        <w:keepNext w:val="0"/>
        <w:spacing w:before="0" w:after="0" w:line="360" w:lineRule="auto"/>
        <w:rPr>
          <w:rFonts w:ascii="宋体" w:hAnsi="宋体" w:cs="宋体"/>
          <w:color w:val="auto"/>
          <w:sz w:val="30"/>
          <w:szCs w:val="30"/>
          <w:highlight w:val="none"/>
          <w:lang w:eastAsia="zh-CN"/>
        </w:rPr>
      </w:pPr>
      <w:r/>
      <w:bookmarkStart w:id="100" w:name="_Toc513029229"/>
      <w:r/>
      <w:bookmarkStart w:id="101" w:name="_Toc120614218"/>
      <w:r/>
      <w:bookmarkStart w:id="102" w:name="_Toc20823301"/>
      <w:r/>
      <w:bookmarkStart w:id="103" w:name="_Toc16938545"/>
      <w:r>
        <w:rPr>
          <w:rFonts w:hint="eastAsia" w:ascii="宋体" w:hAnsi="宋体" w:cs="宋体"/>
          <w:color w:val="auto"/>
          <w:sz w:val="30"/>
          <w:szCs w:val="30"/>
          <w:highlight w:val="none"/>
          <w:lang w:eastAsia="zh-CN"/>
        </w:rPr>
        <w:t xml:space="preserve">五、开标与评标</w:t>
      </w:r>
      <w:bookmarkEnd w:id="100"/>
      <w:r/>
      <w:bookmarkEnd w:id="101"/>
      <w:r/>
      <w:bookmarkEnd w:id="102"/>
      <w:r/>
      <w:bookmarkEnd w:id="103"/>
      <w:r/>
      <w:r/>
    </w:p>
    <w:p>
      <w:pPr>
        <w:pStyle w:val="1156"/>
        <w:ind w:firstLine="422"/>
        <w:keepLines w:val="0"/>
        <w:keepNext w:val="0"/>
        <w:spacing w:before="0" w:after="0" w:line="360" w:lineRule="auto"/>
        <w:rPr>
          <w:rFonts w:ascii="宋体" w:hAnsi="宋体" w:eastAsia="宋体" w:cs="宋体"/>
          <w:bCs w:val="0"/>
          <w:color w:val="auto"/>
          <w:highlight w:val="none"/>
          <w:lang w:eastAsia="zh-CN"/>
        </w:rPr>
      </w:pPr>
      <w:r/>
      <w:bookmarkStart w:id="104" w:name="_Toc20823302"/>
      <w:r/>
      <w:bookmarkStart w:id="105" w:name="_Toc16938546"/>
      <w:r/>
      <w:bookmarkStart w:id="106" w:name="_Toc513029230"/>
      <w:r>
        <w:rPr>
          <w:rFonts w:hint="eastAsia" w:ascii="宋体" w:hAnsi="宋体" w:eastAsia="宋体" w:cs="宋体"/>
          <w:bCs w:val="0"/>
          <w:color w:val="auto"/>
          <w:highlight w:val="none"/>
          <w:lang w:eastAsia="zh-CN"/>
        </w:rPr>
        <w:t xml:space="preserve">21.开标</w:t>
      </w:r>
      <w:bookmarkEnd w:id="104"/>
      <w:r/>
      <w:bookmarkEnd w:id="105"/>
      <w:r/>
      <w:bookmarkEnd w:id="106"/>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21.1</w:t>
      </w:r>
      <w:r>
        <w:rPr>
          <w:rFonts w:hint="eastAsia" w:ascii="宋体" w:hAnsi="宋体" w:eastAsia="宋体" w:cs="宋体"/>
          <w:bCs/>
          <w:color w:val="auto"/>
          <w:sz w:val="24"/>
          <w:highlight w:val="none"/>
        </w:rPr>
        <w:t xml:space="preserve">采购代理机构将在招标公告中规定的时间和地点组织公开开标</w:t>
      </w:r>
      <w:r>
        <w:rPr>
          <w:rFonts w:hint="eastAsia" w:ascii="宋体" w:hAnsi="宋体" w:eastAsia="宋体" w:cs="宋体"/>
          <w:color w:val="auto"/>
          <w:sz w:val="24"/>
          <w:szCs w:val="24"/>
          <w:highlight w:val="none"/>
        </w:rPr>
        <w:t xml:space="preserve">。投标人应当按照《操作手册》的规定，参加开标活动和在</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规定的时间内对投标文件进行解密。</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21.2开标仪式由采购代理机构组织。</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highlight w:val="none"/>
        </w:rPr>
        <w:t xml:space="preserve">将自动对项目进行开标，并宣布各投标人名称和投标价格。</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21.3投标人在开标过程中涉及的投标文件解密、开标结果确认等工作，应按照《操作手册》规定执行。</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21.4投标人如果对开标过程和开标记录有疑义，应当根据《操作手册》规定提出，如</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highlight w:val="none"/>
        </w:rPr>
        <w:t xml:space="preserve">中《开标记录表》宣布后5分钟内未提出的，视同认可开标结果。</w:t>
      </w:r>
      <w:r/>
    </w:p>
    <w:p>
      <w:pPr>
        <w:pStyle w:val="1156"/>
        <w:ind w:firstLine="422"/>
        <w:keepLines w:val="0"/>
        <w:keepNext w:val="0"/>
        <w:spacing w:before="0" w:after="0" w:line="360" w:lineRule="auto"/>
        <w:rPr>
          <w:rFonts w:ascii="宋体" w:hAnsi="宋体" w:eastAsia="宋体" w:cs="宋体"/>
          <w:bCs w:val="0"/>
          <w:color w:val="auto"/>
          <w:highlight w:val="none"/>
          <w:lang w:eastAsia="zh-CN"/>
        </w:rPr>
      </w:pPr>
      <w:r/>
      <w:bookmarkStart w:id="107" w:name="_Toc513029231"/>
      <w:r/>
      <w:bookmarkStart w:id="108" w:name="_Toc20823303"/>
      <w:r/>
      <w:bookmarkStart w:id="109" w:name="_Toc16938547"/>
      <w:r>
        <w:rPr>
          <w:rFonts w:hint="eastAsia" w:ascii="宋体" w:hAnsi="宋体" w:eastAsia="宋体" w:cs="宋体"/>
          <w:bCs w:val="0"/>
          <w:color w:val="auto"/>
          <w:highlight w:val="none"/>
          <w:lang w:eastAsia="zh-CN"/>
        </w:rPr>
        <w:t xml:space="preserve">22.评标委员会</w:t>
      </w:r>
      <w:r/>
    </w:p>
    <w:p>
      <w:pPr>
        <w:ind w:firstLine="480"/>
        <w:spacing w:line="360" w:lineRule="auto"/>
        <w:rPr>
          <w:rFonts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22.1开标后，采购代理机构将立即组织评标委员会（以下简称评委会）进行评标。</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22.2评委会依法组建，且人员构成符合政府采购有关规定。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22.3评委会独立工作，负责评审所有投标文件并确定中标候选人。</w:t>
      </w:r>
      <w:r/>
    </w:p>
    <w:p>
      <w:pPr>
        <w:pStyle w:val="1156"/>
        <w:ind w:firstLine="422"/>
        <w:keepLines w:val="0"/>
        <w:keepNext w:val="0"/>
        <w:spacing w:before="0" w:after="0" w:line="360" w:lineRule="auto"/>
        <w:rPr>
          <w:rFonts w:ascii="宋体" w:hAnsi="宋体" w:eastAsia="宋体" w:cs="宋体"/>
          <w:bCs w:val="0"/>
          <w:color w:val="auto"/>
          <w:highlight w:val="none"/>
          <w:lang w:eastAsia="zh-CN"/>
        </w:rPr>
      </w:pPr>
      <w:r>
        <w:rPr>
          <w:rFonts w:hint="eastAsia" w:ascii="宋体" w:hAnsi="宋体" w:eastAsia="宋体" w:cs="宋体"/>
          <w:bCs w:val="0"/>
          <w:color w:val="auto"/>
          <w:highlight w:val="none"/>
          <w:lang w:eastAsia="zh-CN"/>
        </w:rPr>
        <w:t xml:space="preserve">23.评标过程的保密与公正</w:t>
      </w:r>
      <w:bookmarkEnd w:id="107"/>
      <w:r/>
      <w:bookmarkEnd w:id="108"/>
      <w:r/>
      <w:bookmarkEnd w:id="109"/>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23.1凡</w:t>
      </w:r>
      <w:r>
        <w:rPr>
          <w:rFonts w:hint="eastAsia" w:ascii="宋体" w:hAnsi="宋体" w:eastAsia="宋体" w:cs="宋体"/>
          <w:bCs/>
          <w:color w:val="auto"/>
          <w:sz w:val="24"/>
          <w:highlight w:val="none"/>
        </w:rPr>
        <w:t xml:space="preserve">与审查、澄清、评价和比较投标的有关资料以及授标建议等，采购人、评委、采购代理机构均不得向投标人或与评标无关的其他人员透露。</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highlight w:val="none"/>
        </w:rPr>
        <w:t xml:space="preserve">23.2</w:t>
      </w:r>
      <w:r>
        <w:rPr>
          <w:rFonts w:hint="eastAsia" w:ascii="宋体" w:hAnsi="宋体" w:eastAsia="宋体" w:cs="宋体"/>
          <w:color w:val="auto"/>
          <w:sz w:val="24"/>
          <w:szCs w:val="24"/>
          <w:highlight w:val="none"/>
        </w:rPr>
        <w:t xml:space="preserve">在评标过程中，投标人不得以任何行为影响评标过程，否则其投标文件将被作为无效投标文件。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23.3采购代理机构和评标委员会不向未中标的投标人解释未中标原因，也不公布评标过程中的相关细节。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23.4采用综合评分法的项目，未中标的投标人可于中标结果公告发布后通过</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查看自己的评审得分及排序情况。</w:t>
      </w:r>
      <w:r/>
    </w:p>
    <w:p>
      <w:pPr>
        <w:pStyle w:val="1156"/>
        <w:ind w:firstLine="422"/>
        <w:keepLines w:val="0"/>
        <w:keepNext w:val="0"/>
        <w:spacing w:before="0" w:after="0" w:line="360" w:lineRule="auto"/>
        <w:rPr>
          <w:rFonts w:ascii="宋体" w:hAnsi="宋体" w:eastAsia="宋体" w:cs="宋体"/>
          <w:bCs w:val="0"/>
          <w:color w:val="auto"/>
          <w:highlight w:val="none"/>
          <w:lang w:eastAsia="zh-CN"/>
        </w:rPr>
      </w:pPr>
      <w:r/>
      <w:bookmarkStart w:id="110" w:name="_Toc16938548"/>
      <w:r/>
      <w:bookmarkStart w:id="111" w:name="_Toc513029232"/>
      <w:r/>
      <w:bookmarkStart w:id="112" w:name="_Toc20823304"/>
      <w:r>
        <w:rPr>
          <w:rFonts w:hint="eastAsia" w:ascii="宋体" w:hAnsi="宋体" w:eastAsia="宋体" w:cs="宋体"/>
          <w:bCs w:val="0"/>
          <w:color w:val="auto"/>
          <w:highlight w:val="none"/>
          <w:lang w:eastAsia="zh-CN"/>
        </w:rPr>
        <w:t xml:space="preserve">24.投标文件的澄清</w:t>
      </w:r>
      <w:bookmarkEnd w:id="110"/>
      <w:r/>
      <w:bookmarkEnd w:id="111"/>
      <w:r/>
      <w:bookmarkEnd w:id="112"/>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24.1评标期间，评委会对投标文件中含义不明确、同类问题表述不一致或者有明显文字和计算错误的内容，有权要求投标人作出必要的澄清、说明或者补正。</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24.2需要供应商进行澄清、说明和补正的，评委会将通过</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向供应商发出“澄清要求函”，接到“澄清要求函”的投标人应当按照要求在</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中提交“澄清响应函”并加盖CA电子公章。澄清、说明和补正的内容作为投标文件的补充部分，具体操作方式见《操作手册》。</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24.3接到评委会澄清、说明和补正要求的投标人如未按规定及时作出澄清、说明和补正，其风险由投标人自行承担。</w:t>
      </w:r>
      <w:r/>
    </w:p>
    <w:p>
      <w:pPr>
        <w:pStyle w:val="1156"/>
        <w:ind w:firstLine="422"/>
        <w:keepLines w:val="0"/>
        <w:keepNext w:val="0"/>
        <w:spacing w:before="0" w:after="0" w:line="360" w:lineRule="auto"/>
        <w:rPr>
          <w:rFonts w:hint="default" w:ascii="宋体" w:hAnsi="宋体" w:eastAsia="宋体" w:cs="宋体"/>
          <w:bCs w:val="0"/>
          <w:color w:val="auto"/>
          <w:highlight w:val="none"/>
          <w:lang w:val="en-US" w:eastAsia="zh-CN"/>
        </w:rPr>
      </w:pPr>
      <w:r/>
      <w:bookmarkStart w:id="113" w:name="_Toc513029233"/>
      <w:r/>
      <w:bookmarkStart w:id="114" w:name="_Toc16938549"/>
      <w:r/>
      <w:bookmarkStart w:id="115" w:name="_Toc20823305"/>
      <w:r>
        <w:rPr>
          <w:rFonts w:hint="eastAsia" w:ascii="宋体" w:hAnsi="宋体" w:eastAsia="宋体" w:cs="宋体"/>
          <w:bCs w:val="0"/>
          <w:color w:val="auto"/>
          <w:highlight w:val="none"/>
          <w:lang w:eastAsia="zh-CN"/>
        </w:rPr>
        <w:t xml:space="preserve">25.</w:t>
      </w:r>
      <w:bookmarkEnd w:id="113"/>
      <w:r/>
      <w:bookmarkEnd w:id="114"/>
      <w:r/>
      <w:bookmarkEnd w:id="115"/>
      <w:r>
        <w:rPr>
          <w:rFonts w:hint="eastAsia" w:ascii="宋体" w:hAnsi="宋体" w:eastAsia="宋体" w:cs="宋体"/>
          <w:bCs w:val="0"/>
          <w:color w:val="auto"/>
          <w:highlight w:val="none"/>
          <w:lang w:val="en-US" w:eastAsia="zh-CN"/>
        </w:rPr>
        <w:t xml:space="preserve">投标文件初审</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25.1</w:t>
      </w:r>
      <w:r>
        <w:rPr>
          <w:rFonts w:hint="eastAsia" w:ascii="宋体" w:hAnsi="宋体" w:eastAsia="宋体" w:cs="宋体"/>
          <w:bCs/>
          <w:color w:val="auto"/>
          <w:sz w:val="24"/>
          <w:highlight w:val="none"/>
        </w:rPr>
        <w:t xml:space="preserve">初审分为资格性检查和符合性检查。</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25.1.1资格审查：依据法律法规、委托代理协议和招标文件的规定，由采购代理机构对投标文件中的资格证明文件进行审查。</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采购代理机构在进行资格审查的同时，将</w:t>
      </w:r>
      <w:r>
        <w:rPr>
          <w:rFonts w:hint="eastAsia" w:ascii="宋体" w:hAnsi="宋体" w:eastAsia="宋体" w:cs="宋体"/>
          <w:bCs/>
          <w:color w:val="auto"/>
          <w:sz w:val="24"/>
          <w:szCs w:val="24"/>
          <w:highlight w:val="none"/>
        </w:rPr>
        <w:t xml:space="preserve">通过“信用中国”网站（</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ascii="宋体" w:hAnsi="宋体" w:eastAsia="宋体" w:cs="宋体"/>
          <w:bCs/>
          <w:color w:val="auto"/>
          <w:sz w:val="24"/>
          <w:szCs w:val="24"/>
          <w:highlight w:val="none"/>
        </w:rPr>
        <w:t xml:space="preserve">www.creditchina.gov.cn</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中国政府采购网（www.ccgp.gov.cn）</w:t>
      </w:r>
      <w:r>
        <w:rPr>
          <w:rFonts w:hint="eastAsia" w:ascii="宋体" w:hAnsi="宋体" w:eastAsia="宋体" w:cs="宋体"/>
          <w:bCs/>
          <w:color w:val="auto"/>
          <w:sz w:val="24"/>
          <w:szCs w:val="24"/>
          <w:highlight w:val="none"/>
        </w:rPr>
        <w:t xml:space="preserve">查询投标供应商在投标截止时间之前，是否被列入</w:t>
      </w:r>
      <w:r>
        <w:rPr>
          <w:rFonts w:hint="eastAsia" w:ascii="宋体" w:hAnsi="宋体" w:eastAsia="宋体" w:cs="宋体"/>
          <w:color w:val="auto"/>
          <w:sz w:val="24"/>
          <w:szCs w:val="24"/>
          <w:highlight w:val="none"/>
        </w:rPr>
        <w:t xml:space="preserve">失信被执行人、重大税收违法失信主体、政府采购严重违法失信行为记录名单，</w:t>
      </w:r>
      <w:r>
        <w:rPr>
          <w:rFonts w:hint="eastAsia" w:ascii="宋体" w:hAnsi="宋体" w:eastAsia="宋体" w:cs="宋体"/>
          <w:bCs/>
          <w:color w:val="auto"/>
          <w:sz w:val="24"/>
          <w:highlight w:val="none"/>
        </w:rPr>
        <w:t xml:space="preserve">以确定投标供应商是否具备投标资格。</w:t>
      </w:r>
      <w:r>
        <w:rPr>
          <w:rFonts w:hint="eastAsia" w:ascii="宋体" w:hAnsi="宋体" w:eastAsia="宋体" w:cs="宋体"/>
          <w:color w:val="auto"/>
          <w:sz w:val="24"/>
          <w:szCs w:val="24"/>
          <w:highlight w:val="none"/>
        </w:rPr>
        <w:t xml:space="preserve">查询结果留存并归档。</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eastAsia="宋体" w:cs="宋体"/>
          <w:bCs/>
          <w:color w:val="auto"/>
          <w:sz w:val="24"/>
          <w:szCs w:val="24"/>
          <w:highlight w:val="none"/>
        </w:rPr>
        <w:t xml:space="preserve">本项目不接受联合投标</w:t>
      </w:r>
      <w:r>
        <w:rPr>
          <w:rFonts w:hint="eastAsia" w:ascii="宋体" w:hAnsi="宋体" w:eastAsia="宋体" w:cs="宋体"/>
          <w:bCs/>
          <w:color w:val="auto"/>
          <w:sz w:val="24"/>
          <w:highlight w:val="none"/>
        </w:rPr>
        <w:t xml:space="preserve">）</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25.1.3未通过资格审查或符合性审查的投标人，将在</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bCs/>
          <w:color w:val="auto"/>
          <w:sz w:val="24"/>
          <w:highlight w:val="none"/>
        </w:rPr>
        <w:t xml:space="preserve">中告知未通过资格审查或符合性审查的原因，评标结束后，将不再告知未通过资格审查和符合性审查的原因。</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25.3如果投标文件实质上没有响应招标文件的要求，评委会将予以拒绝，其投标文件无效，投标人不得通过修改或撤销不符合要求的偏离或保留而使其投标成为实质性响应的投标。</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25.4</w:t>
      </w:r>
      <w:r>
        <w:rPr>
          <w:rFonts w:hint="eastAsia" w:ascii="宋体" w:hAnsi="宋体" w:eastAsia="宋体" w:cs="宋体"/>
          <w:bCs/>
          <w:color w:val="auto"/>
          <w:sz w:val="24"/>
          <w:highlight w:val="none"/>
        </w:rPr>
        <w:t xml:space="preserve">评委会将对确定为实质性响应的投标进行进一步审核，确定其是否有计算上或累加上的算术错误，修正错误的原则如下：</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（1）投标文件中开标一览表内容与投标文件中相应内容不一致的，以开标一览表为准。</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（2）大写金额和小写金额不一致的，以大写金额为准。</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（3）单价金额小数点或者百分比有明显错位的，以开标一览表的总价为准，并修改单价。</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（4）总价金额与按单价汇总金额不一致的，以单价金额计算结果为准。</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同时出现两种以上错误的，按照前款规定的顺序修正。</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25.5</w:t>
      </w:r>
      <w:r>
        <w:rPr>
          <w:rFonts w:hint="eastAsia" w:ascii="宋体" w:hAnsi="宋体" w:eastAsia="宋体" w:cs="宋体"/>
          <w:bCs/>
          <w:color w:val="auto"/>
          <w:sz w:val="24"/>
          <w:highlight w:val="none"/>
        </w:rPr>
        <w:t xml:space="preserve">评委会将按上述修正错误的方法调整投标文件中的投标报价，并通过</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bCs/>
          <w:color w:val="auto"/>
          <w:sz w:val="24"/>
          <w:highlight w:val="none"/>
        </w:rPr>
        <w:t xml:space="preserve">告知投标人，调整后的价格应对投标人具有约束力。如果投标人不确认或不接受修正后的价格，则其投标将被拒绝，其投标无效。</w:t>
      </w:r>
      <w:r/>
    </w:p>
    <w:p>
      <w:pPr>
        <w:ind w:firstLine="420"/>
        <w:spacing w:line="360" w:lineRule="auto"/>
        <w:rPr>
          <w:rFonts w:ascii="宋体" w:hAnsi="宋体" w:eastAsia="宋体" w:cs="宋体"/>
          <w:color w:val="auto"/>
          <w:sz w:val="24"/>
          <w:highlight w:val="none"/>
        </w:rPr>
      </w:pPr>
      <w:r/>
      <w:bookmarkStart w:id="116" w:name="_Toc513029234"/>
      <w:r/>
      <w:bookmarkStart w:id="117" w:name="_Toc16938550"/>
      <w:r/>
      <w:bookmarkStart w:id="118" w:name="_Toc20823306"/>
      <w:r>
        <w:rPr>
          <w:rFonts w:hint="eastAsia" w:ascii="宋体" w:hAnsi="宋体" w:eastAsia="宋体" w:cs="宋体"/>
          <w:color w:val="auto"/>
          <w:sz w:val="24"/>
          <w:highlight w:val="none"/>
        </w:rPr>
        <w:t xml:space="preserve">25.6投标人在开、评标全过程中应保持通信畅通，及时登录</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highlight w:val="none"/>
        </w:rPr>
        <w:t xml:space="preserve">查阅、答复相关信息，并安排专人随时接受与代理机构及评标委员会的相关询问。</w:t>
      </w:r>
      <w:r/>
    </w:p>
    <w:p>
      <w:pPr>
        <w:pStyle w:val="1156"/>
        <w:ind w:firstLine="422"/>
        <w:keepLines w:val="0"/>
        <w:keepNext w:val="0"/>
        <w:spacing w:before="0" w:after="0"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25.7评标委员会按照《关于推动解决政府采购异常低价问题相关工作的通知》（苏财购〔2025〕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pStyle w:val="1156"/>
        <w:ind w:firstLine="422"/>
        <w:keepLines w:val="0"/>
        <w:keepNext w:val="0"/>
        <w:spacing w:before="0" w:after="0"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评标委员会启动异常低价投标（响应）审查的情形和具体要求，包括：</w:t>
      </w:r>
      <w:r/>
    </w:p>
    <w:p>
      <w:pPr>
        <w:pStyle w:val="1156"/>
        <w:ind w:firstLine="422"/>
        <w:keepLines w:val="0"/>
        <w:keepNext w:val="0"/>
        <w:spacing w:before="0" w:after="0"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1）评审过程中出现下列情形之一的，评标委员会应当启动异常低价投标（响应）审查程序：</w:t>
      </w:r>
      <w:r/>
    </w:p>
    <w:p>
      <w:pPr>
        <w:pStyle w:val="1156"/>
        <w:ind w:firstLine="422"/>
        <w:keepLines w:val="0"/>
        <w:keepNext w:val="0"/>
        <w:spacing w:before="0" w:after="0"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①投标（响应）报价低于采购项目预算50%的，即投标（响应）报价＜采购项目预算×50%；</w:t>
      </w:r>
      <w:r/>
    </w:p>
    <w:p>
      <w:pPr>
        <w:pStyle w:val="1156"/>
        <w:ind w:firstLine="422"/>
        <w:keepLines w:val="0"/>
        <w:keepNext w:val="0"/>
        <w:spacing w:before="0" w:after="0"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②投标（响应）报价低于采购项目最高限价45%的，即投标（响应）报价＜采购项目最高限价×45%；</w:t>
      </w:r>
      <w:r/>
    </w:p>
    <w:p>
      <w:pPr>
        <w:pStyle w:val="1156"/>
        <w:ind w:firstLine="422"/>
        <w:keepLines w:val="0"/>
        <w:keepNext w:val="0"/>
        <w:spacing w:before="0" w:after="0"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③评标委员会认定的供应商报价过低、有可能影响产品质量或者不能诚信履约的其他情形。</w:t>
      </w:r>
      <w:r/>
    </w:p>
    <w:p>
      <w:pPr>
        <w:pStyle w:val="1156"/>
        <w:numPr>
          <w:ilvl w:val="0"/>
          <w:numId w:val="8"/>
        </w:numPr>
        <w:ind w:firstLine="422"/>
        <w:keepLines w:val="0"/>
        <w:keepNext w:val="0"/>
        <w:spacing w:before="0" w:after="0"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启动异常低价投标（响应）审查后，评标委员会应当要求相关供应商通过“苏采云”系统（或在评标现场）在给定的合理时间（1小时内）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标报告中进行记录。</w:t>
      </w:r>
      <w:r/>
    </w:p>
    <w:p>
      <w:pPr>
        <w:ind w:left="0" w:firstLine="480"/>
        <w:spacing w:line="360" w:lineRule="auto"/>
        <w:rPr>
          <w:rFonts w:ascii="宋体" w:hAnsi="宋体" w:eastAsia="宋体" w:cs="宋体"/>
          <w:bCs/>
          <w:color w:val="000000" w:themeColor="text1"/>
          <w:sz w:val="24"/>
          <w:highlight w:val="none"/>
          <w14:textFill>
            <w14:solidFill>
              <w14:schemeClr w14:val="tx1"/>
            </w14:solidFill>
          </w14:textFill>
        </w:rPr>
        <w:outlineLvl w:val="9"/>
      </w:pPr>
      <w:r>
        <w:rPr>
          <w:rFonts w:hint="eastAsia" w:ascii="宋体" w:hAnsi="宋体" w:eastAsia="宋体" w:cs="宋体"/>
          <w:bCs/>
          <w:color w:val="000000" w:themeColor="text1"/>
          <w:sz w:val="24"/>
          <w:highlight w:val="none"/>
          <w14:textFill>
            <w14:solidFill>
              <w14:schemeClr w14:val="tx1"/>
            </w14:solidFill>
          </w14:textFill>
        </w:rPr>
        <w:t xml:space="preserve">2</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4"/>
          <w:highlight w:val="none"/>
          <w14:textFill>
            <w14:solidFill>
              <w14:schemeClr w14:val="tx1"/>
            </w14:solidFill>
          </w14:textFill>
        </w:rPr>
        <w:t xml:space="preserve">.</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4"/>
          <w:highlight w:val="none"/>
          <w14:textFill>
            <w14:solidFill>
              <w14:schemeClr w14:val="tx1"/>
            </w14:solidFill>
          </w14:textFill>
        </w:rPr>
        <w:t xml:space="preserve">评标委员会按招标文件中规定的评标方法和标准，对资格性检查和符合性检查合格的投标文件进行商务和技术评估，综合比较与评价。</w:t>
      </w:r>
      <w:r/>
    </w:p>
    <w:p>
      <w:pPr>
        <w:pStyle w:val="1156"/>
        <w:ind w:firstLine="422"/>
        <w:keepLines w:val="0"/>
        <w:keepNext w:val="0"/>
        <w:spacing w:before="0" w:after="0" w:line="360" w:lineRule="auto"/>
        <w:rPr>
          <w:rFonts w:ascii="宋体" w:hAnsi="宋体" w:eastAsia="宋体" w:cs="宋体"/>
          <w:bCs w:val="0"/>
          <w:color w:val="000000" w:themeColor="text1"/>
          <w:highlight w:val="none"/>
          <w:lang w:eastAsia="zh-CN"/>
          <w14:textFill>
            <w14:solidFill>
              <w14:schemeClr w14:val="tx1"/>
            </w14:solidFill>
          </w14:textFill>
        </w:rPr>
      </w:pPr>
      <w:r>
        <w:rPr>
          <w:rFonts w:hint="eastAsia" w:ascii="宋体" w:hAnsi="宋体" w:eastAsia="宋体" w:cs="宋体"/>
          <w:bCs w:val="0"/>
          <w:color w:val="000000" w:themeColor="text1"/>
          <w:highlight w:val="none"/>
          <w:lang w:eastAsia="zh-CN"/>
          <w14:textFill>
            <w14:solidFill>
              <w14:schemeClr w14:val="tx1"/>
            </w14:solidFill>
          </w14:textFill>
        </w:rPr>
        <w:t xml:space="preserve">26</w:t>
      </w:r>
      <w:bookmarkEnd w:id="116"/>
      <w:r/>
      <w:bookmarkEnd w:id="117"/>
      <w:r/>
      <w:bookmarkEnd w:id="118"/>
      <w:r>
        <w:rPr>
          <w:rFonts w:hint="eastAsia" w:ascii="宋体" w:hAnsi="宋体" w:eastAsia="宋体" w:cs="宋体"/>
          <w:bCs w:val="0"/>
          <w:color w:val="000000" w:themeColor="text1"/>
          <w:highlight w:val="none"/>
          <w:lang w:eastAsia="zh-CN"/>
          <w14:textFill>
            <w14:solidFill>
              <w14:schemeClr w14:val="tx1"/>
            </w14:solidFill>
          </w14:textFill>
        </w:rPr>
        <w:t xml:space="preserve">.无效投标条款和废标条款</w:t>
      </w:r>
      <w:r/>
    </w:p>
    <w:p>
      <w:pPr>
        <w:ind w:left="479"/>
        <w:spacing w:line="360" w:lineRule="auto"/>
        <w:rPr>
          <w:rFonts w:ascii="宋体" w:hAnsi="宋体" w:eastAsia="宋体" w:cs="宋体"/>
          <w:bCs/>
          <w:color w:val="000000" w:themeColor="text1"/>
          <w:sz w:val="24"/>
          <w:highlight w:val="none"/>
          <w14:textFill>
            <w14:solidFill>
              <w14:schemeClr w14:val="tx1"/>
            </w14:solidFill>
          </w14:textFill>
        </w:rPr>
      </w:pPr>
      <w:r/>
      <w:bookmarkStart w:id="119" w:name="_Toc20823307"/>
      <w:r/>
      <w:bookmarkStart w:id="120" w:name="_Toc16938551"/>
      <w:r/>
      <w:bookmarkStart w:id="121" w:name="_Toc513029235"/>
      <w:r>
        <w:rPr>
          <w:rFonts w:hint="eastAsia" w:ascii="宋体" w:hAnsi="宋体" w:eastAsia="宋体" w:cs="宋体"/>
          <w:bCs/>
          <w:color w:val="000000" w:themeColor="text1"/>
          <w:sz w:val="24"/>
          <w:highlight w:val="none"/>
          <w14:textFill>
            <w14:solidFill>
              <w14:schemeClr w14:val="tx1"/>
            </w14:solidFill>
          </w14:textFill>
        </w:rPr>
        <w:t xml:space="preserve">26.1无效投标条款</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26</w:t>
      </w:r>
      <w:r>
        <w:rPr>
          <w:rFonts w:hint="eastAsia" w:ascii="宋体" w:hAnsi="宋体" w:eastAsia="宋体" w:cs="宋体"/>
          <w:bCs/>
          <w:color w:val="000000" w:themeColor="text1"/>
          <w:sz w:val="24"/>
          <w:szCs w:val="24"/>
          <w:highlight w:val="none"/>
          <w14:textFill>
            <w14:solidFill>
              <w14:schemeClr w14:val="tx1"/>
            </w14:solidFill>
          </w14:textFill>
        </w:rPr>
        <w:t xml:space="preserve">.1.1</w:t>
      </w:r>
      <w:r>
        <w:rPr>
          <w:rFonts w:hint="eastAsia" w:ascii="宋体" w:hAnsi="宋体" w:eastAsia="宋体" w:cs="宋体"/>
          <w:color w:val="000000" w:themeColor="text1"/>
          <w:sz w:val="24"/>
          <w:szCs w:val="24"/>
          <w:highlight w:val="none"/>
          <w14:textFill>
            <w14:solidFill>
              <w14:schemeClr w14:val="tx1"/>
            </w14:solidFill>
          </w14:textFill>
        </w:rPr>
        <w:t xml:space="preserve">电子投标文件未按规定时间上传的，纸质投标文件（如有）未按规定的期限、地点送达的；</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26.1.</w:t>
      </w:r>
      <w:r>
        <w:rPr>
          <w:rFonts w:hint="eastAsia" w:ascii="宋体" w:hAnsi="宋体" w:eastAsia="宋体" w:cs="宋体"/>
          <w:color w:val="000000" w:themeColor="text1"/>
          <w:sz w:val="24"/>
          <w:szCs w:val="24"/>
          <w:highlight w:val="none"/>
          <w14:textFill>
            <w14:solidFill>
              <w14:schemeClr w14:val="tx1"/>
            </w14:solidFill>
          </w14:textFill>
        </w:rPr>
        <w:t xml:space="preserve">2未按《“苏采云”系统供应商操作手册》进行正确操作的；</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26.1.</w:t>
      </w:r>
      <w:r>
        <w:rPr>
          <w:rFonts w:hint="eastAsia" w:ascii="宋体" w:hAnsi="宋体" w:eastAsia="宋体" w:cs="宋体"/>
          <w:color w:val="000000" w:themeColor="text1"/>
          <w:sz w:val="24"/>
          <w:szCs w:val="24"/>
          <w:highlight w:val="none"/>
          <w14:textFill>
            <w14:solidFill>
              <w14:schemeClr w14:val="tx1"/>
            </w14:solidFill>
          </w14:textFill>
        </w:rPr>
        <w:t xml:space="preserve">3电子投标文件未按招标文件要求签章的；</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26.1.</w:t>
      </w:r>
      <w:r>
        <w:rPr>
          <w:rFonts w:hint="eastAsia" w:ascii="宋体" w:hAnsi="宋体" w:eastAsia="宋体" w:cs="宋体"/>
          <w:color w:val="000000" w:themeColor="text1"/>
          <w:sz w:val="24"/>
          <w:szCs w:val="24"/>
          <w:highlight w:val="none"/>
          <w14:textFill>
            <w14:solidFill>
              <w14:schemeClr w14:val="tx1"/>
            </w14:solidFill>
          </w14:textFill>
        </w:rPr>
        <w:t xml:space="preserve">4投标人未按招标文件要求解密电子投标文件的；</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26.1.5</w:t>
      </w:r>
      <w:r>
        <w:rPr>
          <w:rFonts w:hint="eastAsia" w:ascii="宋体" w:hAnsi="宋体" w:eastAsia="宋体" w:cs="宋体"/>
          <w:color w:val="000000" w:themeColor="text1"/>
          <w:sz w:val="24"/>
          <w:szCs w:val="24"/>
          <w:highlight w:val="none"/>
          <w14:textFill>
            <w14:solidFill>
              <w14:schemeClr w14:val="tx1"/>
            </w14:solidFill>
          </w14:textFill>
        </w:rPr>
        <w:t xml:space="preserve">不具备招标文件中规定的资格要求的；</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26.1.</w:t>
      </w:r>
      <w:r>
        <w:rPr>
          <w:rFonts w:hint="eastAsia" w:ascii="宋体" w:hAnsi="宋体" w:eastAsia="宋体" w:cs="宋体"/>
          <w:color w:val="000000" w:themeColor="text1"/>
          <w:sz w:val="24"/>
          <w:szCs w:val="24"/>
          <w:highlight w:val="none"/>
          <w14:textFill>
            <w14:solidFill>
              <w14:schemeClr w14:val="tx1"/>
            </w14:solidFill>
          </w14:textFill>
        </w:rPr>
        <w:t xml:space="preserve">6报价超过招标文件中规定的预算金额或最高限价或最高单项限价的；</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26.1.7</w:t>
      </w:r>
      <w:r>
        <w:rPr>
          <w:rFonts w:hint="eastAsia" w:ascii="宋体" w:hAnsi="宋体" w:eastAsia="宋体" w:cs="宋体"/>
          <w:color w:val="000000" w:themeColor="text1"/>
          <w:sz w:val="24"/>
          <w:szCs w:val="24"/>
          <w:highlight w:val="none"/>
          <w14:textFill>
            <w14:solidFill>
              <w14:schemeClr w14:val="tx1"/>
            </w14:solidFill>
          </w14:textFill>
        </w:rPr>
        <w:t xml:space="preserve">投标人的法定代表人授权代表无法定代表人授权委托书的；</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26.1.</w:t>
      </w:r>
      <w:r>
        <w:rPr>
          <w:rFonts w:hint="eastAsia" w:ascii="宋体" w:hAnsi="宋体" w:eastAsia="宋体" w:cs="宋体"/>
          <w:color w:val="000000" w:themeColor="text1"/>
          <w:sz w:val="24"/>
          <w:szCs w:val="24"/>
          <w:highlight w:val="none"/>
          <w14:textFill>
            <w14:solidFill>
              <w14:schemeClr w14:val="tx1"/>
            </w14:solidFill>
          </w14:textFill>
        </w:rPr>
        <w:t xml:space="preserve">8投标文件含有采购人不能接受的附加条件的；</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26.1.</w:t>
      </w:r>
      <w:r>
        <w:rPr>
          <w:rFonts w:hint="eastAsia" w:ascii="宋体" w:hAnsi="宋体" w:eastAsia="宋体" w:cs="宋体"/>
          <w:color w:val="000000" w:themeColor="text1"/>
          <w:sz w:val="24"/>
          <w:szCs w:val="24"/>
          <w:highlight w:val="none"/>
          <w14:textFill>
            <w14:solidFill>
              <w14:schemeClr w14:val="tx1"/>
            </w14:solidFill>
          </w14:textFill>
        </w:rPr>
        <w:t xml:space="preserve">9投标文件中有招标文件未允许提供的选择性内容的；</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26.1.</w:t>
      </w:r>
      <w:r>
        <w:rPr>
          <w:rFonts w:hint="eastAsia" w:ascii="宋体" w:hAnsi="宋体" w:eastAsia="宋体" w:cs="宋体"/>
          <w:color w:val="000000" w:themeColor="text1"/>
          <w:sz w:val="24"/>
          <w:szCs w:val="24"/>
          <w:highlight w:val="none"/>
          <w14:textFill>
            <w14:solidFill>
              <w14:schemeClr w14:val="tx1"/>
            </w14:solidFill>
          </w14:textFill>
        </w:rPr>
        <w:t xml:space="preserve">10恶意串通其他投标人，故意哄抬价格或压价的；</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26.1.</w:t>
      </w:r>
      <w:r>
        <w:rPr>
          <w:rFonts w:hint="eastAsia" w:ascii="宋体" w:hAnsi="宋体" w:eastAsia="宋体" w:cs="宋体"/>
          <w:color w:val="000000" w:themeColor="text1"/>
          <w:sz w:val="24"/>
          <w:szCs w:val="24"/>
          <w:highlight w:val="none"/>
          <w14:textFill>
            <w14:solidFill>
              <w14:schemeClr w14:val="tx1"/>
            </w14:solidFill>
          </w14:textFill>
        </w:rPr>
        <w:t xml:space="preserve">11提供虚假材料的（包括工商营业执照、财务报表、资格证明文件等）；</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26.1.</w:t>
      </w:r>
      <w:r>
        <w:rPr>
          <w:rFonts w:hint="eastAsia" w:ascii="宋体" w:hAnsi="宋体" w:eastAsia="宋体" w:cs="宋体"/>
          <w:color w:val="000000" w:themeColor="text1"/>
          <w:sz w:val="24"/>
          <w:szCs w:val="24"/>
          <w:highlight w:val="none"/>
          <w14:textFill>
            <w14:solidFill>
              <w14:schemeClr w14:val="tx1"/>
            </w14:solidFill>
          </w14:textFill>
        </w:rPr>
        <w:t xml:space="preserve">12不具备招标文件中规定的资格要求或未按招标文件规定的要求提供资格、资信证明文件的或提供的资格、资信证明文件图片字迹模糊不清、无法辨认的；</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26.1.</w:t>
      </w:r>
      <w:r>
        <w:rPr>
          <w:rFonts w:hint="eastAsia" w:ascii="宋体" w:hAnsi="宋体" w:eastAsia="宋体" w:cs="宋体"/>
          <w:color w:val="000000" w:themeColor="text1"/>
          <w:sz w:val="24"/>
          <w:szCs w:val="24"/>
          <w:highlight w:val="none"/>
          <w14:textFill>
            <w14:solidFill>
              <w14:schemeClr w14:val="tx1"/>
            </w14:solidFill>
          </w14:textFill>
        </w:rPr>
        <w:t xml:space="preserve">13不同投标人投标文件中的项目相关人员出现同一人的；</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26.1.</w:t>
      </w:r>
      <w:r>
        <w:rPr>
          <w:rFonts w:hint="eastAsia" w:ascii="宋体" w:hAnsi="宋体" w:eastAsia="宋体" w:cs="宋体"/>
          <w:color w:val="000000" w:themeColor="text1"/>
          <w:sz w:val="24"/>
          <w:szCs w:val="24"/>
          <w:highlight w:val="none"/>
          <w14:textFill>
            <w14:solidFill>
              <w14:schemeClr w14:val="tx1"/>
            </w14:solidFill>
          </w14:textFill>
        </w:rPr>
        <w:t xml:space="preserve">14不同投标人聘请同一人为其投标提供技术或经济咨询服务的；</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26.1.</w:t>
      </w:r>
      <w:r>
        <w:rPr>
          <w:rFonts w:hint="eastAsia" w:ascii="宋体" w:hAnsi="宋体" w:eastAsia="宋体" w:cs="宋体"/>
          <w:color w:val="000000" w:themeColor="text1"/>
          <w:sz w:val="24"/>
          <w:szCs w:val="24"/>
          <w:highlight w:val="none"/>
          <w14:textFill>
            <w14:solidFill>
              <w14:schemeClr w14:val="tx1"/>
            </w14:solidFill>
          </w14:textFill>
        </w:rPr>
        <w:t xml:space="preserve">15不同投标人的单位负责人为同一人或者存在直接控股、管理关系的；</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26.1.</w:t>
      </w:r>
      <w:r>
        <w:rPr>
          <w:rFonts w:hint="eastAsia" w:ascii="宋体" w:hAnsi="宋体" w:eastAsia="宋体" w:cs="宋体"/>
          <w:color w:val="000000" w:themeColor="text1"/>
          <w:sz w:val="24"/>
          <w:szCs w:val="24"/>
          <w:highlight w:val="none"/>
          <w14:textFill>
            <w14:solidFill>
              <w14:schemeClr w14:val="tx1"/>
            </w14:solidFill>
          </w14:textFill>
        </w:rPr>
        <w:t xml:space="preserve">16不同投标人的投标文件异常一致或者投标报价呈规律性差异；</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26.1.</w:t>
      </w:r>
      <w:r>
        <w:rPr>
          <w:rFonts w:hint="eastAsia" w:ascii="宋体" w:hAnsi="宋体" w:eastAsia="宋体" w:cs="宋体"/>
          <w:color w:val="000000" w:themeColor="text1"/>
          <w:sz w:val="24"/>
          <w:szCs w:val="24"/>
          <w:highlight w:val="none"/>
          <w14:textFill>
            <w14:solidFill>
              <w14:schemeClr w14:val="tx1"/>
            </w14:solidFill>
          </w14:textFill>
        </w:rPr>
        <w:t xml:space="preserve">17投标文件商务标中同一方案有选择性报价且未声明以哪一个为准的；</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26.1.</w:t>
      </w:r>
      <w:r>
        <w:rPr>
          <w:rFonts w:hint="eastAsia" w:ascii="宋体" w:hAnsi="宋体" w:eastAsia="宋体" w:cs="宋体"/>
          <w:color w:val="000000" w:themeColor="text1"/>
          <w:sz w:val="24"/>
          <w:szCs w:val="24"/>
          <w:highlight w:val="none"/>
          <w14:textFill>
            <w14:solidFill>
              <w14:schemeClr w14:val="tx1"/>
            </w14:solidFill>
          </w14:textFill>
        </w:rPr>
        <w:t xml:space="preserve">18投标文件报价出现前后不一致，投标人拒不确认修正后的报价的；</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26.1.</w:t>
      </w:r>
      <w:r>
        <w:rPr>
          <w:rFonts w:hint="eastAsia" w:ascii="宋体" w:hAnsi="宋体" w:eastAsia="宋体" w:cs="宋体"/>
          <w:color w:val="000000" w:themeColor="text1"/>
          <w:sz w:val="24"/>
          <w:szCs w:val="24"/>
          <w:highlight w:val="none"/>
          <w14:textFill>
            <w14:solidFill>
              <w14:schemeClr w14:val="tx1"/>
            </w14:solidFill>
          </w14:textFill>
        </w:rPr>
        <w:t xml:space="preserve">19同一投标人提交两种（含两种）以上不同的投标报价的；</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26.1.</w:t>
      </w:r>
      <w:r>
        <w:rPr>
          <w:rFonts w:hint="eastAsia" w:ascii="宋体" w:hAnsi="宋体" w:eastAsia="宋体" w:cs="宋体"/>
          <w:color w:val="000000" w:themeColor="text1"/>
          <w:sz w:val="24"/>
          <w:szCs w:val="24"/>
          <w:highlight w:val="none"/>
          <w14:textFill>
            <w14:solidFill>
              <w14:schemeClr w14:val="tx1"/>
            </w14:solidFill>
          </w14:textFill>
        </w:rPr>
        <w:t xml:space="preserve">20评标委员会认为投标人的报价明显低于其他通过符合性审查的投标人的报价，有可能影响产品质量或者不能诚信履约的，未能在合理的时间内（自江苏省政府采购（苏采云）平台通知之时起一小时内）提交书面说明或相关证明材料以证明其报价合理性的；</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26.1.</w:t>
      </w:r>
      <w:r>
        <w:rPr>
          <w:rFonts w:hint="eastAsia" w:ascii="宋体" w:hAnsi="宋体" w:eastAsia="宋体" w:cs="宋体"/>
          <w:color w:val="000000" w:themeColor="text1"/>
          <w:sz w:val="24"/>
          <w:szCs w:val="24"/>
          <w:highlight w:val="none"/>
          <w14:textFill>
            <w14:solidFill>
              <w14:schemeClr w14:val="tx1"/>
            </w14:solidFill>
          </w14:textFill>
        </w:rPr>
        <w:t xml:space="preserve">21未通过初步资格性审查、投标文件资格性检查、投标文件符合性检查的；</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26.1.</w:t>
      </w:r>
      <w:r>
        <w:rPr>
          <w:rFonts w:hint="eastAsia" w:ascii="宋体" w:hAnsi="宋体" w:eastAsia="宋体" w:cs="宋体"/>
          <w:color w:val="000000" w:themeColor="text1"/>
          <w:sz w:val="24"/>
          <w:szCs w:val="24"/>
          <w:highlight w:val="none"/>
          <w14:textFill>
            <w14:solidFill>
              <w14:schemeClr w14:val="tx1"/>
            </w14:solidFill>
          </w14:textFill>
        </w:rPr>
        <w:t xml:space="preserve">22未提供技术文件的；</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26.1.</w:t>
      </w:r>
      <w:r>
        <w:rPr>
          <w:rFonts w:hint="eastAsia" w:ascii="宋体" w:hAnsi="宋体" w:eastAsia="宋体" w:cs="宋体"/>
          <w:color w:val="000000" w:themeColor="text1"/>
          <w:sz w:val="24"/>
          <w:szCs w:val="24"/>
          <w:highlight w:val="none"/>
          <w14:textFill>
            <w14:solidFill>
              <w14:schemeClr w14:val="tx1"/>
            </w14:solidFill>
          </w14:textFill>
        </w:rPr>
        <w:t xml:space="preserve">23列入失信被执行人、重大税收违法失信主体、政府采购严重违法失信行为记录名单及其他不符合《中华人民共和国政府采购法》第二十二条规定条件的；</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26.1.</w:t>
      </w:r>
      <w:r>
        <w:rPr>
          <w:rFonts w:hint="eastAsia" w:ascii="宋体" w:hAnsi="宋体" w:eastAsia="宋体" w:cs="宋体"/>
          <w:color w:val="000000" w:themeColor="text1"/>
          <w:sz w:val="24"/>
          <w:szCs w:val="24"/>
          <w:highlight w:val="none"/>
          <w14:textFill>
            <w14:solidFill>
              <w14:schemeClr w14:val="tx1"/>
            </w14:solidFill>
          </w14:textFill>
        </w:rPr>
        <w:t xml:space="preserve">24不同投标人的投标文件存在明显的相似性或一致性，特征显示由同一单位或者同一个人编制的；</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26.1.</w:t>
      </w:r>
      <w:r>
        <w:rPr>
          <w:rFonts w:hint="eastAsia" w:ascii="宋体" w:hAnsi="宋体" w:eastAsia="宋体" w:cs="宋体"/>
          <w:color w:val="000000" w:themeColor="text1"/>
          <w:sz w:val="24"/>
          <w:szCs w:val="24"/>
          <w:highlight w:val="none"/>
          <w14:textFill>
            <w14:solidFill>
              <w14:schemeClr w14:val="tx1"/>
            </w14:solidFill>
          </w14:textFill>
        </w:rPr>
        <w:t xml:space="preserve">25不同投标人投标文件内容存在非正常一致、项目组成员或者联系人员出现同一人、投标文件中错误（或异常）一致或雷同、电子文档信息一致或雷同的；</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26.1.</w:t>
      </w:r>
      <w:r>
        <w:rPr>
          <w:rFonts w:hint="eastAsia" w:ascii="宋体" w:hAnsi="宋体" w:eastAsia="宋体" w:cs="宋体"/>
          <w:color w:val="000000" w:themeColor="text1"/>
          <w:sz w:val="24"/>
          <w:szCs w:val="24"/>
          <w:highlight w:val="none"/>
          <w14:textFill>
            <w14:solidFill>
              <w14:schemeClr w14:val="tx1"/>
            </w14:solidFill>
          </w14:textFill>
        </w:rPr>
        <w:t xml:space="preserve">26不同投标人的委托代理人、项目负责人以及其他相关人员有在同一个单位缴纳社会保险的；</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26.1.</w:t>
      </w:r>
      <w:r>
        <w:rPr>
          <w:rFonts w:hint="eastAsia" w:ascii="宋体" w:hAnsi="宋体" w:eastAsia="宋体" w:cs="宋体"/>
          <w:color w:val="000000" w:themeColor="text1"/>
          <w:sz w:val="24"/>
          <w:szCs w:val="24"/>
          <w:highlight w:val="none"/>
          <w14:textFill>
            <w14:solidFill>
              <w14:schemeClr w14:val="tx1"/>
            </w14:solidFill>
          </w14:textFill>
        </w:rPr>
        <w:t xml:space="preserve">27同一投标文件中单位名称落款与公章不是同一单位的；</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26.1.</w:t>
      </w:r>
      <w:r>
        <w:rPr>
          <w:rFonts w:hint="eastAsia" w:ascii="宋体" w:hAnsi="宋体" w:eastAsia="宋体" w:cs="宋体"/>
          <w:color w:val="000000" w:themeColor="text1"/>
          <w:sz w:val="24"/>
          <w:szCs w:val="24"/>
          <w:highlight w:val="none"/>
          <w14:textFill>
            <w14:solidFill>
              <w14:schemeClr w14:val="tx1"/>
            </w14:solidFill>
          </w14:textFill>
        </w:rPr>
        <w:t xml:space="preserve">28不同投标人委托同一单位或者个人办理投标事宜的；</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26.1.</w:t>
      </w:r>
      <w:r>
        <w:rPr>
          <w:rFonts w:hint="eastAsia" w:ascii="宋体" w:hAnsi="宋体" w:eastAsia="宋体" w:cs="宋体"/>
          <w:color w:val="000000" w:themeColor="text1"/>
          <w:sz w:val="24"/>
          <w:szCs w:val="24"/>
          <w:highlight w:val="none"/>
          <w14:textFill>
            <w14:solidFill>
              <w14:schemeClr w14:val="tx1"/>
            </w14:solidFill>
          </w14:textFill>
        </w:rPr>
        <w:t xml:space="preserve">29投标文件内容不全或不符合法律法规和招标文件中规定的其他实质性要求的。</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26.1.</w:t>
      </w:r>
      <w:r>
        <w:rPr>
          <w:rFonts w:hint="eastAsia" w:ascii="宋体" w:hAnsi="宋体" w:eastAsia="宋体" w:cs="宋体"/>
          <w:color w:val="000000" w:themeColor="text1"/>
          <w:sz w:val="24"/>
          <w:szCs w:val="24"/>
          <w:highlight w:val="none"/>
          <w14:textFill>
            <w14:solidFill>
              <w14:schemeClr w14:val="tx1"/>
            </w14:solidFill>
          </w14:textFill>
        </w:rPr>
        <w:t xml:space="preserve">30不同投标人的投标文件由同一台电脑编制或者同一把数字证书加密锁加密或者同一台附属设备打印的；</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26.1.</w:t>
      </w:r>
      <w:r>
        <w:rPr>
          <w:rFonts w:hint="eastAsia" w:ascii="宋体" w:hAnsi="宋体" w:eastAsia="宋体" w:cs="宋体"/>
          <w:color w:val="000000" w:themeColor="text1"/>
          <w:sz w:val="24"/>
          <w:szCs w:val="24"/>
          <w:highlight w:val="none"/>
          <w14:textFill>
            <w14:solidFill>
              <w14:schemeClr w14:val="tx1"/>
            </w14:solidFill>
          </w14:textFill>
        </w:rPr>
        <w:t xml:space="preserve">31不同投标人的投标文件上传使用的MAC地址和IP地址一致的，其投标无效；</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26.1.</w:t>
      </w:r>
      <w:r>
        <w:rPr>
          <w:rFonts w:hint="eastAsia" w:ascii="宋体" w:hAnsi="宋体" w:eastAsia="宋体" w:cs="宋体"/>
          <w:color w:val="000000" w:themeColor="text1"/>
          <w:sz w:val="24"/>
          <w:szCs w:val="24"/>
          <w:highlight w:val="none"/>
          <w14:textFill>
            <w14:solidFill>
              <w14:schemeClr w14:val="tx1"/>
            </w14:solidFill>
          </w14:textFill>
        </w:rPr>
        <w:t xml:space="preserve">32电子投标文件与招标文件要求格式不一致而无法导入计算机评标系统；</w:t>
      </w:r>
      <w:r/>
    </w:p>
    <w:p>
      <w:pPr>
        <w:ind w:firstLine="48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26.1.</w:t>
      </w:r>
      <w:r>
        <w:rPr>
          <w:rFonts w:hint="eastAsia" w:ascii="宋体" w:hAnsi="宋体" w:eastAsia="宋体" w:cs="宋体"/>
          <w:b/>
          <w:bCs/>
          <w:color w:val="000000" w:themeColor="text1"/>
          <w:sz w:val="24"/>
          <w:szCs w:val="24"/>
          <w:highlight w:val="none"/>
          <w14:textFill>
            <w14:solidFill>
              <w14:schemeClr w14:val="tx1"/>
            </w14:solidFill>
          </w14:textFill>
        </w:rPr>
        <w:t xml:space="preserve">33电子投标文件中技术文件暗标部分有体现投标人身份的内容；</w:t>
      </w:r>
      <w:r/>
    </w:p>
    <w:p>
      <w:pPr>
        <w:ind w:firstLine="48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26.1.</w:t>
      </w:r>
      <w:r>
        <w:rPr>
          <w:rFonts w:hint="eastAsia" w:ascii="宋体" w:hAnsi="宋体" w:eastAsia="宋体" w:cs="宋体"/>
          <w:b/>
          <w:bCs/>
          <w:color w:val="000000" w:themeColor="text1"/>
          <w:sz w:val="24"/>
          <w:szCs w:val="24"/>
          <w:highlight w:val="none"/>
          <w14:textFill>
            <w14:solidFill>
              <w14:schemeClr w14:val="tx1"/>
            </w14:solidFill>
          </w14:textFill>
        </w:rPr>
        <w:t xml:space="preserve">34评标委员会认为投标人的报价为异常低价，启动异常低价投标（响应）审查后，投标（响应）供应商在评标现场合理的时间（</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1小时</w:t>
      </w:r>
      <w:r>
        <w:rPr>
          <w:rFonts w:hint="eastAsia" w:ascii="宋体" w:hAnsi="宋体" w:eastAsia="宋体" w:cs="宋体"/>
          <w:b/>
          <w:bCs/>
          <w:color w:val="000000" w:themeColor="text1"/>
          <w:sz w:val="24"/>
          <w:szCs w:val="24"/>
          <w:highlight w:val="none"/>
          <w14:textFill>
            <w14:solidFill>
              <w14:schemeClr w14:val="tx1"/>
            </w14:solidFill>
          </w14:textFill>
        </w:rPr>
        <w:t xml:space="preserve">）内，不提供书面说明、证明材料，或者提供的书面说明、证明材料不能证明其报价合理性的；</w:t>
      </w:r>
      <w:r/>
    </w:p>
    <w:p>
      <w:pPr>
        <w:ind w:firstLine="480"/>
        <w:spacing w:line="360" w:lineRule="auto"/>
        <w:rPr>
          <w:rFonts w:hint="eastAsia" w:ascii="宋体" w:hAnsi="宋体" w:eastAsia="宋体" w:cs="宋体"/>
          <w:bCs/>
          <w:color w:val="0000ff"/>
          <w:sz w:val="24"/>
          <w:szCs w:val="24"/>
          <w:highlight w:val="none"/>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26.1.</w:t>
      </w:r>
      <w:r>
        <w:rPr>
          <w:rFonts w:hint="eastAsia" w:ascii="宋体" w:hAnsi="宋体" w:eastAsia="宋体" w:cs="宋体"/>
          <w:color w:val="000000" w:themeColor="text1"/>
          <w:sz w:val="24"/>
          <w:szCs w:val="24"/>
          <w:highlight w:val="none"/>
          <w14:textFill>
            <w14:solidFill>
              <w14:schemeClr w14:val="tx1"/>
            </w14:solidFill>
          </w14:textFill>
        </w:rPr>
        <w:t xml:space="preserve">35其他法律法规及本招标文件规定的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属于</w:t>
      </w:r>
      <w:r>
        <w:rPr>
          <w:rFonts w:hint="eastAsia" w:ascii="宋体" w:hAnsi="宋体" w:eastAsia="宋体" w:cs="宋体"/>
          <w:color w:val="000000" w:themeColor="text1"/>
          <w:sz w:val="24"/>
          <w:szCs w:val="24"/>
          <w:highlight w:val="none"/>
          <w14:textFill>
            <w14:solidFill>
              <w14:schemeClr w14:val="tx1"/>
            </w14:solidFill>
          </w14:textFill>
        </w:rPr>
        <w:t xml:space="preserve">无效投标的情形。</w:t>
      </w:r>
      <w:r/>
    </w:p>
    <w:p>
      <w:pPr>
        <w:ind w:left="479"/>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26.2废标条款</w:t>
      </w:r>
      <w:r/>
    </w:p>
    <w:p>
      <w:pPr>
        <w:ind w:left="479"/>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26.2.1符合专业条件的供应商或者对招标文件作实质响应的供应商不足三家的。</w:t>
      </w:r>
      <w:r/>
    </w:p>
    <w:p>
      <w:pPr>
        <w:ind w:left="479"/>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26.2.2出现影响采购公正的违法、违规行为的。</w:t>
      </w:r>
      <w:r/>
    </w:p>
    <w:p>
      <w:pPr>
        <w:ind w:left="479"/>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26.2.3因重大变故，采购任务取消的。</w:t>
      </w:r>
      <w:r/>
    </w:p>
    <w:p>
      <w:pPr>
        <w:ind w:left="479"/>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26.2.4评标委员会认定招标文件存在歧义、重大缺陷导致评审工作无法进行。</w:t>
      </w:r>
      <w:r/>
    </w:p>
    <w:p>
      <w:pPr>
        <w:ind w:left="479"/>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26.2.5 因</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bCs/>
          <w:color w:val="auto"/>
          <w:sz w:val="24"/>
          <w:highlight w:val="none"/>
        </w:rPr>
        <w:t xml:space="preserve">故障原因造成开标不成功的；</w:t>
      </w:r>
      <w:r/>
    </w:p>
    <w:p>
      <w:pPr>
        <w:ind w:left="479"/>
        <w:spacing w:line="360" w:lineRule="auto"/>
        <w:rPr>
          <w:rFonts w:ascii="宋体" w:hAnsi="宋体" w:eastAsia="宋体" w:cs="宋体"/>
          <w:bCs/>
          <w:color w:val="auto"/>
          <w:sz w:val="24"/>
          <w:highlight w:val="none"/>
        </w:rPr>
      </w:pPr>
      <w:r>
        <w:rPr>
          <w:rFonts w:hint="eastAsia" w:ascii="宋体" w:hAnsi="宋体" w:eastAsia="宋体" w:cs="宋体"/>
          <w:bCs/>
          <w:color w:val="auto"/>
          <w:sz w:val="24"/>
          <w:szCs w:val="24"/>
          <w:highlight w:val="none"/>
        </w:rPr>
        <w:t xml:space="preserve">26.2.6投标人的报价均超过采购预算，采购人不能支付的。</w:t>
      </w:r>
      <w:r/>
    </w:p>
    <w:p>
      <w:pPr>
        <w:ind w:left="479"/>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26.3 投标截止时间结束后参加投标的供应商不足三家的处理：</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26.3.1如出现投标截止时间结束后参加投标的供应商或者在评标期间对招标文件做出实质响应的供应商不足三家情况，按政府采购相关规定执行。</w:t>
      </w:r>
      <w:r/>
    </w:p>
    <w:p>
      <w:pPr>
        <w:pStyle w:val="987"/>
        <w:ind w:firstLine="452"/>
        <w:keepLines w:val="0"/>
        <w:keepNext w:val="0"/>
        <w:spacing w:before="0" w:after="0" w:line="360" w:lineRule="auto"/>
        <w:rPr>
          <w:rFonts w:ascii="宋体" w:hAnsi="宋体" w:cs="宋体"/>
          <w:color w:val="auto"/>
          <w:sz w:val="30"/>
          <w:szCs w:val="30"/>
          <w:highlight w:val="none"/>
          <w:lang w:eastAsia="zh-CN"/>
        </w:rPr>
      </w:pPr>
      <w:r/>
      <w:bookmarkStart w:id="122" w:name="_Toc120614219"/>
      <w:r>
        <w:rPr>
          <w:rFonts w:hint="eastAsia" w:ascii="宋体" w:hAnsi="宋体" w:cs="宋体"/>
          <w:color w:val="auto"/>
          <w:sz w:val="30"/>
          <w:szCs w:val="30"/>
          <w:highlight w:val="none"/>
          <w:lang w:eastAsia="zh-CN"/>
        </w:rPr>
        <w:t xml:space="preserve">六、</w:t>
      </w:r>
      <w:bookmarkEnd w:id="119"/>
      <w:r/>
      <w:bookmarkEnd w:id="120"/>
      <w:r/>
      <w:bookmarkEnd w:id="121"/>
      <w:r>
        <w:rPr>
          <w:rFonts w:hint="eastAsia" w:ascii="宋体" w:hAnsi="宋体" w:cs="宋体"/>
          <w:color w:val="auto"/>
          <w:sz w:val="30"/>
          <w:szCs w:val="30"/>
          <w:highlight w:val="none"/>
          <w:lang w:eastAsia="zh-CN"/>
        </w:rPr>
        <w:t xml:space="preserve">定标</w:t>
      </w:r>
      <w:bookmarkEnd w:id="122"/>
      <w:r/>
      <w:r/>
    </w:p>
    <w:p>
      <w:pPr>
        <w:pStyle w:val="1156"/>
        <w:ind w:firstLine="422"/>
        <w:keepLines w:val="0"/>
        <w:keepNext w:val="0"/>
        <w:spacing w:before="0" w:after="0" w:line="360" w:lineRule="auto"/>
        <w:rPr>
          <w:rFonts w:ascii="宋体" w:hAnsi="宋体" w:eastAsia="宋体" w:cs="宋体"/>
          <w:bCs w:val="0"/>
          <w:color w:val="auto"/>
          <w:highlight w:val="none"/>
          <w:lang w:eastAsia="zh-CN"/>
        </w:rPr>
      </w:pPr>
      <w:r/>
      <w:bookmarkStart w:id="123" w:name="_Toc513029238"/>
      <w:r/>
      <w:bookmarkStart w:id="124" w:name="_Toc16938554"/>
      <w:r/>
      <w:bookmarkStart w:id="125" w:name="_Toc20823310"/>
      <w:r>
        <w:rPr>
          <w:rFonts w:hint="eastAsia" w:ascii="宋体" w:hAnsi="宋体" w:eastAsia="宋体" w:cs="宋体"/>
          <w:bCs w:val="0"/>
          <w:color w:val="auto"/>
          <w:highlight w:val="none"/>
          <w:lang w:eastAsia="zh-CN"/>
        </w:rPr>
        <w:t xml:space="preserve">27</w:t>
      </w:r>
      <w:bookmarkEnd w:id="123"/>
      <w:r>
        <w:rPr>
          <w:rFonts w:hint="eastAsia" w:ascii="宋体" w:hAnsi="宋体" w:eastAsia="宋体" w:cs="宋体"/>
          <w:bCs w:val="0"/>
          <w:color w:val="auto"/>
          <w:highlight w:val="none"/>
          <w:lang w:eastAsia="zh-CN"/>
        </w:rPr>
        <w:t xml:space="preserve">.确定</w:t>
      </w:r>
      <w:bookmarkEnd w:id="124"/>
      <w:r/>
      <w:bookmarkEnd w:id="125"/>
      <w:r>
        <w:rPr>
          <w:rFonts w:hint="eastAsia" w:ascii="宋体" w:hAnsi="宋体" w:eastAsia="宋体" w:cs="宋体"/>
          <w:bCs w:val="0"/>
          <w:color w:val="auto"/>
          <w:highlight w:val="none"/>
          <w:lang w:eastAsia="zh-CN"/>
        </w:rPr>
        <w:t xml:space="preserve">中标单位</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27.1评标委员会根据招标文件规定的评标方法和评标标准进行评审，按招标文件的要求依法选取中标候选人，中标候选人的选取原则和数量见招标文件</w:t>
      </w:r>
      <w:r>
        <w:rPr>
          <w:rFonts w:hint="eastAsia" w:ascii="宋体" w:hAnsi="宋体" w:eastAsia="宋体" w:cs="宋体"/>
          <w:b/>
          <w:color w:val="auto"/>
          <w:sz w:val="24"/>
          <w:highlight w:val="none"/>
        </w:rPr>
        <w:t xml:space="preserve">第五章规定</w:t>
      </w:r>
      <w:r>
        <w:rPr>
          <w:rFonts w:hint="eastAsia" w:ascii="宋体" w:hAnsi="宋体" w:eastAsia="宋体" w:cs="宋体"/>
          <w:bCs/>
          <w:color w:val="auto"/>
          <w:sz w:val="24"/>
          <w:highlight w:val="none"/>
        </w:rPr>
        <w:t xml:space="preserve">。</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27.2采购人应根据评委会推荐的中标候选人名单中按排名先后顺序确定一名投标人为中标单位。联合体中标的，联合体各方应当共同与采购人签订合同，就中标项目向采购人承担连带责任。</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27.3</w:t>
      </w:r>
      <w:r>
        <w:rPr>
          <w:rFonts w:hint="eastAsia" w:ascii="宋体" w:hAnsi="宋体" w:eastAsia="宋体" w:cs="宋体"/>
          <w:color w:val="auto"/>
          <w:sz w:val="24"/>
          <w:szCs w:val="24"/>
          <w:highlight w:val="none"/>
        </w:rPr>
        <w:t xml:space="preserve">采购代理机构将在“江苏政府采购网”发布中标公告，公告期限为1个工作日。</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27.4中标无效的确认</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若有充分证据证明，中标人出现下列情况之一的，一经查实，将被取消中标资格：</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27.4.1提供虚假材料谋取中标的。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27.4.2向采购人、采购代理机构行贿或者提供其他不正当利益的。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27.4.3属于本文件规定的无效投标文件条件的，但在评标过程中又未被评委会发现的。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27.4.4与采购人或者其他供应商恶意串通的。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27.4.5采取不正当手段诋毁、排挤其他供应商的。</w:t>
      </w:r>
      <w:r/>
    </w:p>
    <w:p>
      <w:pPr>
        <w:ind w:firstLine="480"/>
        <w:spacing w:line="360" w:lineRule="auto"/>
        <w:rPr>
          <w:rFonts w:ascii="宋体" w:hAnsi="宋体" w:eastAsia="宋体" w:cs="宋体"/>
          <w:color w:val="auto"/>
          <w:sz w:val="24"/>
          <w:szCs w:val="24"/>
          <w:highlight w:val="none"/>
        </w:rPr>
      </w:pPr>
      <w:r/>
      <w:bookmarkStart w:id="126" w:name="_Toc200451960"/>
      <w:r>
        <w:rPr>
          <w:rFonts w:hint="eastAsia" w:ascii="宋体" w:hAnsi="宋体" w:eastAsia="宋体" w:cs="宋体"/>
          <w:color w:val="auto"/>
          <w:sz w:val="24"/>
          <w:szCs w:val="24"/>
          <w:highlight w:val="none"/>
        </w:rPr>
        <w:t xml:space="preserve">27.4.6</w:t>
      </w:r>
      <w:r>
        <w:rPr>
          <w:rFonts w:hint="eastAsia" w:ascii="宋体" w:hAnsi="宋体" w:eastAsia="宋体" w:cs="宋体"/>
          <w:bCs/>
          <w:color w:val="auto"/>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27.4.7</w:t>
      </w:r>
      <w:r>
        <w:rPr>
          <w:rFonts w:hint="eastAsia" w:ascii="宋体" w:hAnsi="宋体" w:eastAsia="宋体" w:cs="宋体"/>
          <w:bCs/>
          <w:color w:val="auto"/>
          <w:sz w:val="24"/>
          <w:szCs w:val="24"/>
          <w:highlight w:val="none"/>
        </w:rPr>
        <w:t xml:space="preserve">拒绝有关部门监督检查或者提供虚假情况的。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 有下列情形之一的，视为投标人串通投标，投标无效：</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27.5.1不同投标人的投标文件由同一单位或者个人编制。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27.5.2不同投标人委托同一单位或者个人办理投标事宜。</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27.5.3 不同投标人的投标文件载明的项目管理成员或者联系人员为同一人。</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27.5.4不同投标人的投标文件异常一致或者投标报价呈规律性差异。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27.6中标供应商无正当理由放弃中标项目的处理</w:t>
      </w:r>
      <w:r/>
    </w:p>
    <w:p>
      <w:pPr>
        <w:pStyle w:val="824"/>
        <w:ind w:firstLine="480"/>
        <w:spacing w:before="0" w:beforeAutospacing="0" w:after="0" w:afterAutospacing="0" w:line="360" w:lineRule="auto"/>
        <w:rPr>
          <w:rFonts w:eastAsia="宋体" w:cs="宋体"/>
          <w:bCs/>
          <w:color w:val="auto"/>
          <w:highlight w:val="none"/>
        </w:rPr>
      </w:pPr>
      <w:r>
        <w:rPr>
          <w:rStyle w:val="829"/>
          <w:rFonts w:hint="eastAsia" w:eastAsia="宋体" w:cs="宋体"/>
          <w:b w:val="0"/>
          <w:bCs/>
          <w:color w:val="auto"/>
          <w:highlight w:val="none"/>
        </w:rPr>
        <w:t xml:space="preserve">中标供应商放弃中标项目的，应当依法承担法律责任且不因采购人同意而免除应当承担的法律责任。中标供应商无正当理由放弃中标项目，视为无正当理由拒绝与采购人签订合同，根据《中华人民共和国政府采购法实施条例》第七十二条规定：“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1156"/>
        <w:ind w:firstLine="422"/>
        <w:keepLines w:val="0"/>
        <w:keepNext w:val="0"/>
        <w:spacing w:before="0" w:after="0" w:line="360" w:lineRule="auto"/>
        <w:rPr>
          <w:rFonts w:ascii="宋体" w:hAnsi="宋体" w:eastAsia="宋体" w:cs="宋体"/>
          <w:bCs w:val="0"/>
          <w:color w:val="auto"/>
          <w:highlight w:val="none"/>
          <w:lang w:eastAsia="zh-CN"/>
        </w:rPr>
      </w:pPr>
      <w:r>
        <w:rPr>
          <w:rFonts w:hint="eastAsia" w:ascii="宋体" w:hAnsi="宋体" w:eastAsia="宋体" w:cs="宋体"/>
          <w:bCs w:val="0"/>
          <w:color w:val="auto"/>
          <w:highlight w:val="none"/>
          <w:lang w:eastAsia="zh-CN"/>
        </w:rPr>
        <w:t xml:space="preserve">28.质疑处理</w:t>
      </w:r>
      <w:bookmarkEnd w:id="126"/>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 质疑的供应商应当是参与所质疑项目采购活动的供应商。潜在供应商依法获取其可质疑的采购文件的，可以对采购文件质疑。</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w:t>
      </w:r>
      <w:r>
        <w:rPr>
          <w:rFonts w:hint="eastAsia" w:ascii="宋体" w:hAnsi="宋体" w:eastAsia="宋体" w:cs="宋体"/>
          <w:b/>
          <w:bCs/>
          <w:color w:val="auto"/>
          <w:sz w:val="24"/>
          <w:szCs w:val="24"/>
          <w:highlight w:val="none"/>
        </w:rPr>
        <w:t xml:space="preserve">28.4条款</w:t>
      </w:r>
      <w:r>
        <w:rPr>
          <w:rFonts w:hint="eastAsia" w:ascii="宋体" w:hAnsi="宋体" w:eastAsia="宋体" w:cs="宋体"/>
          <w:color w:val="auto"/>
          <w:sz w:val="24"/>
          <w:szCs w:val="24"/>
          <w:highlight w:val="none"/>
        </w:rPr>
        <w:t xml:space="preserve">的规定向采购人或采购代理机构质疑，供应商因未按该规定以相应事项向相应机构质疑从而造成质疑超出政府采购法定期限或其他情形导致质疑不予受理或无法受理的，由供应商自行承担。上述应知其权益受到损害之日，是指：</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28.2.1对可以质疑的采购文件质疑的，为收到采购文件之日或者采购文件公告期限届满之日；</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28.2.2对采购过程质疑的，为各采购程序环节结束之日；</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28.2.3对中标或者成交结果质疑的，为中标或者成交结果公告期限届满之日。</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w:t>
      </w:r>
      <w:r>
        <w:rPr>
          <w:rFonts w:hint="eastAsia" w:ascii="宋体" w:hAnsi="宋体" w:eastAsia="宋体" w:cs="宋体"/>
          <w:bCs/>
          <w:color w:val="auto"/>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eastAsia="宋体" w:cs="宋体"/>
          <w:color w:val="auto"/>
          <w:sz w:val="24"/>
          <w:szCs w:val="24"/>
          <w:highlight w:val="none"/>
        </w:rPr>
        <w:t xml:space="preserve">供应商如组成联合体参加投标</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szCs w:val="24"/>
          <w:highlight w:val="none"/>
        </w:rPr>
        <w:t xml:space="preserve">本项目不接受联合投标</w:t>
      </w:r>
      <w:r>
        <w:rPr>
          <w:rFonts w:hint="eastAsia" w:ascii="宋体" w:hAnsi="宋体" w:eastAsia="宋体" w:cs="宋体"/>
          <w:bCs/>
          <w:color w:val="auto"/>
          <w:sz w:val="24"/>
          <w:highlight w:val="none"/>
        </w:rPr>
        <w:t xml:space="preserve">）</w:t>
      </w:r>
      <w:r>
        <w:rPr>
          <w:rFonts w:hint="eastAsia" w:ascii="宋体" w:hAnsi="宋体" w:eastAsia="宋体" w:cs="宋体"/>
          <w:color w:val="auto"/>
          <w:sz w:val="24"/>
          <w:szCs w:val="24"/>
          <w:highlight w:val="none"/>
        </w:rPr>
        <w:t xml:space="preserve">，则《质疑函范本》中要求签字、盖章、加盖公章之处，联合体各方均须按要求签字、盖章、加盖公章。</w:t>
      </w:r>
      <w:r/>
    </w:p>
    <w:p>
      <w:pPr>
        <w:ind w:firstLine="480"/>
        <w:spacing w:line="360" w:lineRule="auto"/>
        <w:rPr>
          <w:rFonts w:ascii="宋体" w:hAnsi="宋体" w:eastAsia="宋体" w:cs="宋体"/>
          <w:color w:val="auto"/>
          <w:sz w:val="24"/>
          <w:szCs w:val="24"/>
          <w:highlight w:val="none"/>
          <w:shd w:val="clear" w:color="ffffff" w:fill="d9d9d9"/>
        </w:rPr>
      </w:pPr>
      <w:r>
        <w:rPr>
          <w:rFonts w:hint="eastAsia" w:ascii="宋体" w:hAnsi="宋体" w:eastAsia="宋体" w:cs="宋体"/>
          <w:color w:val="auto"/>
          <w:sz w:val="24"/>
          <w:szCs w:val="24"/>
          <w:highlight w:val="none"/>
        </w:rPr>
        <w:t xml:space="preserve">28.4供应商（含潜在供应商）对项目属性、采购方式、采购需求、供应商资格条件及审查结果、评标方法和评标标准、合同文本的询问、质疑等请向采购代理机构或采购人提出，由采购代理机构负责答复。</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采购人、采购代理机构只接收以纸质原件形式送达的质疑，质疑供应商可通过面交或邮寄方式送达（采购人和采购代理机构不接受未填写快递运单的快件）。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采购人、采购代理机构联系人、联系方式、通信地址见招标文件第一章。</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 以下情形的质疑不予受理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28.5.1 内容不符合《政府采购质疑和投诉办法》第十二条规定的质疑。</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28.5.2 超出政府采购法定期限的质疑。</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28.5.3 以传真、电子邮件等方式递交的非原件形式的质疑。</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28.5.4未参加投标活动的供应商或在投标活动中自身权益未受到损害的供应商所提出的质疑。</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28.5.5供应商组成联合体参加投标，联合体中任何一方或多方未按要求签字、盖章、加盖公章</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szCs w:val="24"/>
          <w:highlight w:val="none"/>
        </w:rPr>
        <w:t xml:space="preserve">本项目不接受联合投标</w:t>
      </w:r>
      <w:r>
        <w:rPr>
          <w:rFonts w:hint="eastAsia" w:ascii="宋体" w:hAnsi="宋体" w:eastAsia="宋体" w:cs="宋体"/>
          <w:bCs/>
          <w:color w:val="auto"/>
          <w:sz w:val="24"/>
          <w:highlight w:val="none"/>
        </w:rPr>
        <w:t xml:space="preserve">）</w:t>
      </w:r>
      <w:r>
        <w:rPr>
          <w:rFonts w:hint="eastAsia" w:ascii="宋体" w:hAnsi="宋体" w:eastAsia="宋体" w:cs="宋体"/>
          <w:color w:val="auto"/>
          <w:sz w:val="24"/>
          <w:szCs w:val="24"/>
          <w:highlight w:val="none"/>
        </w:rPr>
        <w:t xml:space="preserve">。</w:t>
      </w:r>
      <w:r/>
    </w:p>
    <w:p>
      <w:pPr>
        <w:ind w:firstLine="468"/>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28.6供应商提出书面质疑必须有理、有据，</w:t>
      </w:r>
      <w:r>
        <w:rPr>
          <w:rFonts w:hint="eastAsia" w:ascii="宋体" w:hAnsi="宋体" w:eastAsia="宋体" w:cs="宋体"/>
          <w:bCs/>
          <w:color w:val="auto"/>
          <w:sz w:val="24"/>
          <w:highlight w:val="none"/>
        </w:rPr>
        <w:t xml:space="preserve">如质疑查无实据或供应商捏造事实，提供虚假材料进行恶意质疑或举报，不配合或采用不正当手段干扰政府采购质疑的，</w:t>
      </w:r>
      <w:r>
        <w:rPr>
          <w:rFonts w:hint="eastAsia" w:ascii="宋体" w:hAnsi="宋体" w:eastAsia="宋体" w:cs="宋体"/>
          <w:color w:val="auto"/>
          <w:sz w:val="24"/>
          <w:szCs w:val="24"/>
          <w:highlight w:val="none"/>
        </w:rPr>
        <w:t xml:space="preserve">一经查实，采购代理机构有权依据政府采购的有关规定，报请政府采购监管部门对该供应商进行相应的行政处罚和记录该供应商的失信信息。</w:t>
      </w:r>
      <w:r/>
    </w:p>
    <w:p>
      <w:pPr>
        <w:pStyle w:val="1156"/>
        <w:ind w:firstLine="422"/>
        <w:keepLines w:val="0"/>
        <w:keepNext w:val="0"/>
        <w:spacing w:before="0" w:after="0" w:line="360" w:lineRule="auto"/>
        <w:rPr>
          <w:rFonts w:ascii="宋体" w:hAnsi="宋体" w:eastAsia="宋体" w:cs="宋体"/>
          <w:bCs w:val="0"/>
          <w:color w:val="auto"/>
          <w:highlight w:val="none"/>
          <w:lang w:eastAsia="zh-CN"/>
        </w:rPr>
      </w:pPr>
      <w:r>
        <w:rPr>
          <w:rFonts w:hint="eastAsia" w:ascii="宋体" w:hAnsi="宋体" w:eastAsia="宋体" w:cs="宋体"/>
          <w:bCs w:val="0"/>
          <w:color w:val="auto"/>
          <w:highlight w:val="none"/>
          <w:lang w:eastAsia="zh-CN"/>
        </w:rPr>
        <w:t xml:space="preserve">29.中标通知书</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29.l中标结果确定后，采购代理机构将向中标人发出中标通知书。请中标人在中标结果公告届满之日起30日内，使用CA数字证书登录</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及时下载中标通知书。因系统存储空间有限，自中标结果公告届满之日起30日后，</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不再保证提供下载中标通知书服务，因未及时下载而造成的不利后果由中标人自行承担。</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pStyle w:val="987"/>
        <w:ind w:firstLine="452"/>
        <w:keepLines w:val="0"/>
        <w:keepNext w:val="0"/>
        <w:spacing w:before="0" w:after="0" w:line="360" w:lineRule="auto"/>
        <w:rPr>
          <w:rFonts w:ascii="宋体" w:hAnsi="宋体" w:cs="宋体"/>
          <w:color w:val="auto"/>
          <w:sz w:val="30"/>
          <w:szCs w:val="30"/>
          <w:highlight w:val="none"/>
          <w:lang w:eastAsia="zh-CN"/>
        </w:rPr>
      </w:pPr>
      <w:r/>
      <w:bookmarkStart w:id="127" w:name="_Toc513029236"/>
      <w:r/>
      <w:bookmarkStart w:id="128" w:name="_Toc20823308"/>
      <w:r/>
      <w:bookmarkStart w:id="129" w:name="_Toc16938552"/>
      <w:r/>
      <w:bookmarkStart w:id="130" w:name="_Toc120614220"/>
      <w:r>
        <w:rPr>
          <w:rFonts w:hint="eastAsia" w:ascii="宋体" w:hAnsi="宋体" w:cs="宋体"/>
          <w:color w:val="auto"/>
          <w:sz w:val="30"/>
          <w:szCs w:val="30"/>
          <w:highlight w:val="none"/>
          <w:lang w:eastAsia="zh-CN"/>
        </w:rPr>
        <w:t xml:space="preserve">七、授予合同</w:t>
      </w:r>
      <w:bookmarkEnd w:id="127"/>
      <w:r/>
      <w:bookmarkEnd w:id="128"/>
      <w:r/>
      <w:bookmarkEnd w:id="129"/>
      <w:r/>
      <w:bookmarkEnd w:id="130"/>
      <w:r/>
      <w:r/>
    </w:p>
    <w:p>
      <w:pPr>
        <w:pStyle w:val="1156"/>
        <w:ind w:firstLine="422"/>
        <w:keepLines w:val="0"/>
        <w:keepNext w:val="0"/>
        <w:spacing w:before="0" w:after="0" w:line="360" w:lineRule="auto"/>
        <w:rPr>
          <w:rFonts w:ascii="宋体" w:hAnsi="宋体" w:eastAsia="宋体" w:cs="宋体"/>
          <w:bCs w:val="0"/>
          <w:color w:val="auto"/>
          <w:highlight w:val="none"/>
          <w:lang w:eastAsia="zh-CN"/>
        </w:rPr>
      </w:pPr>
      <w:r/>
      <w:bookmarkStart w:id="131" w:name="_Toc20823309"/>
      <w:r/>
      <w:bookmarkStart w:id="132" w:name="_Toc513029237"/>
      <w:r/>
      <w:bookmarkStart w:id="133" w:name="_Toc16938553"/>
      <w:r>
        <w:rPr>
          <w:rFonts w:hint="eastAsia" w:ascii="宋体" w:hAnsi="宋体" w:eastAsia="宋体" w:cs="宋体"/>
          <w:bCs w:val="0"/>
          <w:color w:val="auto"/>
          <w:highlight w:val="none"/>
          <w:lang w:eastAsia="zh-CN"/>
        </w:rPr>
        <w:t xml:space="preserve">30.签订合同</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eastAsia="宋体" w:cs="宋体"/>
          <w:color w:val="auto"/>
          <w:sz w:val="24"/>
          <w:szCs w:val="24"/>
          <w:highlight w:val="none"/>
        </w:rPr>
        <w:t xml:space="preserve">招标文件、中标人的投标文件及招标过程中有关澄清、承诺文件均应作为合同附件。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30.2中标人非因不可抗力未履行招、投标文件和合同规定的义务，一经查实，采购代理机构将根据具体情况提请政府采购管理部门作出相应处理。</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pStyle w:val="1156"/>
        <w:ind w:firstLine="422"/>
        <w:keepLines w:val="0"/>
        <w:keepNext w:val="0"/>
        <w:spacing w:before="0" w:after="0" w:line="360" w:lineRule="auto"/>
        <w:rPr>
          <w:rFonts w:ascii="宋体" w:hAnsi="宋体" w:eastAsia="宋体" w:cs="宋体"/>
          <w:bCs w:val="0"/>
          <w:color w:val="auto"/>
          <w:highlight w:val="none"/>
          <w:lang w:eastAsia="zh-CN"/>
        </w:rPr>
      </w:pPr>
      <w:r>
        <w:rPr>
          <w:rFonts w:hint="eastAsia" w:ascii="宋体" w:hAnsi="宋体" w:eastAsia="宋体" w:cs="宋体"/>
          <w:bCs w:val="0"/>
          <w:color w:val="auto"/>
          <w:highlight w:val="none"/>
          <w:lang w:eastAsia="zh-CN"/>
        </w:rPr>
        <w:t xml:space="preserve">31.服务（包含与服务相关的货物）的追加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的10%。</w:t>
      </w:r>
      <w:bookmarkEnd w:id="131"/>
      <w:r/>
      <w:bookmarkEnd w:id="132"/>
      <w:r/>
      <w:bookmarkEnd w:id="133"/>
      <w:r/>
      <w:r/>
    </w:p>
    <w:p>
      <w:pPr>
        <w:pStyle w:val="1156"/>
        <w:ind w:firstLine="422"/>
        <w:keepLines w:val="0"/>
        <w:keepNext w:val="0"/>
        <w:spacing w:before="0" w:after="0" w:line="360" w:lineRule="auto"/>
        <w:rPr>
          <w:rFonts w:ascii="宋体" w:hAnsi="宋体" w:eastAsia="宋体" w:cs="宋体"/>
          <w:bCs w:val="0"/>
          <w:color w:val="000000" w:themeColor="text1"/>
          <w:highlight w:val="none"/>
          <w:lang w:eastAsia="zh-CN"/>
          <w14:textFill>
            <w14:solidFill>
              <w14:schemeClr w14:val="tx1"/>
            </w14:solidFill>
          </w14:textFill>
        </w:rPr>
      </w:pPr>
      <w:r>
        <w:rPr>
          <w:rFonts w:hint="eastAsia" w:ascii="宋体" w:hAnsi="宋体" w:eastAsia="宋体" w:cs="宋体"/>
          <w:bCs w:val="0"/>
          <w:color w:val="000000" w:themeColor="text1"/>
          <w:highlight w:val="none"/>
          <w:lang w:eastAsia="zh-CN"/>
          <w14:textFill>
            <w14:solidFill>
              <w14:schemeClr w14:val="tx1"/>
            </w14:solidFill>
          </w14:textFill>
        </w:rPr>
        <w:t xml:space="preserve">3</w:t>
      </w:r>
      <w:r>
        <w:rPr>
          <w:rFonts w:hint="eastAsia" w:ascii="宋体" w:hAnsi="宋体" w:eastAsia="宋体" w:cs="宋体"/>
          <w:bCs w:val="0"/>
          <w:color w:val="000000" w:themeColor="text1"/>
          <w:highlight w:val="none"/>
          <w:lang w:val="en-US" w:eastAsia="zh-CN"/>
          <w14:textFill>
            <w14:solidFill>
              <w14:schemeClr w14:val="tx1"/>
            </w14:solidFill>
          </w14:textFill>
        </w:rPr>
        <w:t xml:space="preserve">2</w:t>
      </w:r>
      <w:r>
        <w:rPr>
          <w:rFonts w:hint="eastAsia" w:ascii="宋体" w:hAnsi="宋体" w:eastAsia="宋体" w:cs="宋体"/>
          <w:bCs w:val="0"/>
          <w:color w:val="000000" w:themeColor="text1"/>
          <w:highlight w:val="none"/>
          <w:lang w:eastAsia="zh-CN"/>
          <w14:textFill>
            <w14:solidFill>
              <w14:schemeClr w14:val="tx1"/>
            </w14:solidFill>
          </w14:textFill>
        </w:rPr>
        <w:t xml:space="preserve">.政府采购信用担保（本项目无需缴纳履约保证金）</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.1政府采购信用担保，是由专业担保机构为供应商向采购人、代理机构、金融机构提供的保证，主要包括履约担保、融资担保两种形式。供应商可以根据自身情况，自行决定是否选择采用该两种信用担保形式。</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1.履约担保。</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履约担保，是指由专业担保机构为中标供应商支付履约保证金的义务向采购人提供的保函担保。专业担保机构根据中标供应商的中标通知书为凭据，进行资信审查后出具保函，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政府采购履约担保函格式见附件。</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2.融资担保。</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合同融资，是指参与政府采购的供应商，凭借中</w:t>
      </w:r>
      <w:r>
        <w:rPr>
          <w:rFonts w:hint="eastAsia" w:ascii="宋体" w:hAnsi="宋体" w:eastAsia="宋体" w:cs="宋体"/>
          <w:color w:val="000000" w:themeColor="text1"/>
          <w:sz w:val="24"/>
          <w:szCs w:val="24"/>
          <w:highlight w:val="none"/>
          <w14:textFill>
            <w14:solidFill>
              <w14:schemeClr w14:val="tx1"/>
            </w14:solidFill>
          </w14:textFill>
        </w:rPr>
        <w:t xml:space="preserve">标、中标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中标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中标、成交供应商可根据自身情况，自行决定是否选择采用合同融资形式，在无锡政府采购网——政采贷专栏提供的银行名录内自主选择合作银行。无锡市政府采购合同融资政策告知函（详见附件）。</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3.政府采购信用担保合作担保机构和信用融资合作银行</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中标供应商可以根据自身情况，自行决定是否选择采用投标、履约和融资三种信用担保形式，自主选择融资银行。除江苏省财政厅确定的江苏省再担保有限公司和无锡市财政局确定的科发投资担保有限公司为无锡市政府采购信用担保合作担保机构外，民生银行南京分行、江苏银行和中信银行南京分行（为江苏省政府采购信用融资合作银行）、浙商银行无锡分行（为无锡市政府采购信用融资合作银行）可以在无锡市范围内依法开展政府采购信用担保融资业务。</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合作担保机构及银行出具的投标担保函、履约担保函及银行保函等，均具有《财政部关于开展政府采购信用担保试点工作的通知》中列明的担保效力。除不可抗力外，无论基于何种原因，供应商一旦出现违约情形，承担保证责任的专业担保机构应当先行按照政府采购担保函及时进行偿付，偿付完成后，再按与供应商签订的协议约定内容进行追偿。</w:t>
      </w:r>
      <w:r/>
    </w:p>
    <w:p>
      <w:pPr>
        <w:pStyle w:val="1156"/>
        <w:ind w:firstLine="422"/>
        <w:keepLines w:val="0"/>
        <w:keepNext w:val="0"/>
        <w:spacing w:before="0" w:after="0" w:line="360" w:lineRule="auto"/>
        <w:rPr>
          <w:rFonts w:ascii="宋体" w:hAnsi="宋体" w:eastAsia="宋体" w:cs="宋体"/>
          <w:bCs w:val="0"/>
          <w:color w:val="000000" w:themeColor="text1"/>
          <w:highlight w:val="none"/>
          <w:lang w:eastAsia="zh-CN"/>
          <w14:textFill>
            <w14:solidFill>
              <w14:schemeClr w14:val="tx1"/>
            </w14:solidFill>
          </w14:textFill>
        </w:rPr>
      </w:pPr>
      <w:r>
        <w:rPr>
          <w:rFonts w:hint="eastAsia" w:ascii="宋体" w:hAnsi="宋体" w:eastAsia="宋体" w:cs="宋体"/>
          <w:bCs w:val="0"/>
          <w:color w:val="000000" w:themeColor="text1"/>
          <w:highlight w:val="none"/>
          <w:lang w:eastAsia="zh-CN"/>
          <w14:textFill>
            <w14:solidFill>
              <w14:schemeClr w14:val="tx1"/>
            </w14:solidFill>
          </w14:textFill>
        </w:rPr>
        <w:t xml:space="preserve">3</w:t>
      </w:r>
      <w:r>
        <w:rPr>
          <w:rFonts w:hint="eastAsia" w:ascii="宋体" w:hAnsi="宋体" w:eastAsia="宋体" w:cs="宋体"/>
          <w:bCs w:val="0"/>
          <w:color w:val="000000" w:themeColor="text1"/>
          <w:highlight w:val="none"/>
          <w:lang w:val="en-US" w:eastAsia="zh-CN"/>
          <w14:textFill>
            <w14:solidFill>
              <w14:schemeClr w14:val="tx1"/>
            </w14:solidFill>
          </w14:textFill>
        </w:rPr>
        <w:t xml:space="preserve">3</w:t>
      </w:r>
      <w:r>
        <w:rPr>
          <w:rFonts w:hint="eastAsia" w:ascii="宋体" w:hAnsi="宋体" w:eastAsia="宋体" w:cs="宋体"/>
          <w:bCs w:val="0"/>
          <w:color w:val="000000" w:themeColor="text1"/>
          <w:highlight w:val="none"/>
          <w:lang w:eastAsia="zh-CN"/>
          <w14:textFill>
            <w14:solidFill>
              <w14:schemeClr w14:val="tx1"/>
            </w14:solidFill>
          </w14:textFill>
        </w:rPr>
        <w:t xml:space="preserve">.</w:t>
      </w:r>
      <w:r>
        <w:rPr>
          <w:rFonts w:hint="eastAsia" w:ascii="宋体" w:hAnsi="宋体" w:eastAsia="宋体" w:cs="宋体"/>
          <w:bCs w:val="0"/>
          <w:color w:val="000000" w:themeColor="text1"/>
          <w:highlight w:val="none"/>
          <w:lang w:val="en-US" w:eastAsia="zh-CN"/>
          <w14:textFill>
            <w14:solidFill>
              <w14:schemeClr w14:val="tx1"/>
            </w14:solidFill>
          </w14:textFill>
        </w:rPr>
        <w:t xml:space="preserve">其他</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.1招标文件的条款必须认真审阅，投标人应自行检查招标文件页数是否齐全。若有遗漏、重复或不清楚，需立刻通知招标人予以更正；凡属对条款的误解所造成的投标价格失误，由投标人负责。</w:t>
      </w:r>
      <w:r/>
    </w:p>
    <w:p>
      <w:pPr>
        <w:pStyle w:val="1156"/>
        <w:ind w:firstLine="422"/>
        <w:keepLines w:val="0"/>
        <w:keepNext w:val="0"/>
        <w:spacing w:before="0" w:after="0" w:line="360" w:lineRule="auto"/>
        <w:rPr>
          <w:rFonts w:ascii="宋体" w:hAnsi="宋体" w:eastAsia="宋体" w:cs="宋体"/>
          <w:bCs w:val="0"/>
          <w:color w:val="000000" w:themeColor="text1"/>
          <w:highlight w:val="none"/>
          <w:lang w:eastAsia="zh-CN"/>
          <w14:textFill>
            <w14:solidFill>
              <w14:schemeClr w14:val="tx1"/>
            </w14:solidFill>
          </w14:textFill>
        </w:rPr>
      </w:pPr>
      <w:r>
        <w:rPr>
          <w:rFonts w:hint="eastAsia" w:ascii="宋体" w:hAnsi="宋体" w:eastAsia="宋体" w:cs="宋体"/>
          <w:bCs w:val="0"/>
          <w:color w:val="000000" w:themeColor="text1"/>
          <w:highlight w:val="none"/>
          <w:lang w:eastAsia="zh-CN"/>
          <w14:textFill>
            <w14:solidFill>
              <w14:schemeClr w14:val="tx1"/>
            </w14:solidFill>
          </w14:textFill>
        </w:rPr>
        <w:t xml:space="preserve">3</w:t>
      </w:r>
      <w:r>
        <w:rPr>
          <w:rFonts w:hint="eastAsia" w:ascii="宋体" w:hAnsi="宋体" w:eastAsia="宋体" w:cs="宋体"/>
          <w:bCs w:val="0"/>
          <w:color w:val="000000" w:themeColor="text1"/>
          <w:highlight w:val="none"/>
          <w:lang w:val="en-US" w:eastAsia="zh-CN"/>
          <w14:textFill>
            <w14:solidFill>
              <w14:schemeClr w14:val="tx1"/>
            </w14:solidFill>
          </w14:textFill>
        </w:rPr>
        <w:t xml:space="preserve">4</w:t>
      </w:r>
      <w:r>
        <w:rPr>
          <w:rFonts w:hint="eastAsia" w:ascii="宋体" w:hAnsi="宋体" w:eastAsia="宋体" w:cs="宋体"/>
          <w:bCs w:val="0"/>
          <w:color w:val="000000" w:themeColor="text1"/>
          <w:highlight w:val="none"/>
          <w:lang w:eastAsia="zh-CN"/>
          <w14:textFill>
            <w14:solidFill>
              <w14:schemeClr w14:val="tx1"/>
            </w14:solidFill>
          </w14:textFill>
        </w:rPr>
        <w:t xml:space="preserve">.其他政策要求</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.11.本项目中如有</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涉及</w:t>
      </w:r>
      <w:r>
        <w:rPr>
          <w:rFonts w:hint="eastAsia" w:ascii="宋体" w:hAnsi="宋体" w:eastAsia="宋体" w:cs="宋体"/>
          <w:color w:val="000000" w:themeColor="text1"/>
          <w:sz w:val="24"/>
          <w:szCs w:val="24"/>
          <w:highlight w:val="none"/>
          <w14:textFill>
            <w14:solidFill>
              <w14:schemeClr w14:val="tx1"/>
            </w14:solidFill>
          </w14:textFill>
        </w:rPr>
        <w:t xml:space="preserve">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2.根据财政部、发展改革委发布的《节能产品政府采购品目清单》,凡列入该清单的产品，供应商报价时必须选择具有国家认可认证机构颁发的、处于有效期内的节能产品认证证书的产品。</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认证机构详见市场监管总局发布的《参与实施政府采购节能产品认证机构名录》和《参与实施政府采购环境标志产品认证机构名录》。</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3.本国产品支持政策</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国产品标准适用于货物，包括政府采购货物项目和服务项目中涉及的货物。政府采购活动涉及本国产品的，投标人应当出具《关于符合本国产品标准的声明函》。本国产品支持政策详见《国务院办公厅关于在政府采购中实施本国产品标准及相关政策的通知》（国办发〔2025〕34号）。</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4.本项目中如有</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涉及</w:t>
      </w:r>
      <w:r>
        <w:rPr>
          <w:rFonts w:hint="eastAsia" w:ascii="宋体" w:hAnsi="宋体" w:eastAsia="宋体" w:cs="宋体"/>
          <w:color w:val="000000" w:themeColor="text1"/>
          <w:sz w:val="24"/>
          <w:szCs w:val="24"/>
          <w:highlight w:val="none"/>
          <w14:textFill>
            <w14:solidFill>
              <w14:schemeClr w14:val="tx1"/>
            </w14:solidFill>
          </w14:textFill>
        </w:rPr>
        <w:t xml:space="preserve">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中标、成交供应商可以采用电子履约保函形式，具体操作可登录江苏政府采购网的保险保函模块进行办理，也可通过无锡市政府采购网、“苏采云”系统链接访问（首次使用需注册）。</w:t>
      </w:r>
      <w:r/>
    </w:p>
    <w:p>
      <w:r>
        <w:br w:type="page" w:clear="all"/>
      </w:r>
      <w:r/>
    </w:p>
    <w:p>
      <w:pPr>
        <w:pStyle w:val="1153"/>
        <w:numPr>
          <w:ilvl w:val="0"/>
          <w:numId w:val="9"/>
        </w:numPr>
        <w:ind w:firstLine="0"/>
        <w:jc w:val="center"/>
        <w:spacing w:line="360" w:lineRule="auto"/>
        <w:rPr>
          <w:rFonts w:ascii="宋体" w:hAnsi="宋体" w:cs="宋体"/>
          <w:b/>
          <w:color w:val="auto"/>
          <w:sz w:val="36"/>
          <w:szCs w:val="36"/>
          <w:highlight w:val="none"/>
          <w:lang w:eastAsia="zh-CN"/>
        </w:rPr>
        <w:outlineLvl w:val="0"/>
      </w:pPr>
      <w:r/>
      <w:bookmarkStart w:id="134" w:name="_Toc20823315"/>
      <w:r/>
      <w:bookmarkStart w:id="135" w:name="_Toc16938559"/>
      <w:r/>
      <w:bookmarkStart w:id="136" w:name="_Toc513029243"/>
      <w:r>
        <w:rPr>
          <w:rFonts w:hint="eastAsia" w:ascii="宋体" w:hAnsi="宋体" w:cs="宋体"/>
          <w:b/>
          <w:color w:val="auto"/>
          <w:sz w:val="36"/>
          <w:szCs w:val="36"/>
          <w:highlight w:val="none"/>
          <w:lang w:eastAsia="zh-CN"/>
        </w:rPr>
        <w:t xml:space="preserve"> 合同文本</w:t>
      </w:r>
      <w:bookmarkEnd w:id="134"/>
      <w:r/>
      <w:bookmarkEnd w:id="135"/>
      <w:r/>
      <w:bookmarkEnd w:id="136"/>
      <w:r/>
      <w:r/>
    </w:p>
    <w:p>
      <w:pPr>
        <w:pStyle w:val="826"/>
        <w:spacing w:after="0" w:line="360" w:lineRule="auto"/>
        <w:rPr>
          <w:rFonts w:ascii="宋体" w:hAnsi="宋体" w:cs="宋体"/>
          <w:color w:val="auto"/>
          <w:sz w:val="24"/>
          <w:szCs w:val="24"/>
          <w:highlight w:val="none"/>
        </w:rPr>
      </w:pPr>
      <w:r/>
      <w:bookmarkStart w:id="137" w:name="_Hlt16619350"/>
      <w:r/>
      <w:bookmarkStart w:id="138" w:name="_Toc16938590"/>
      <w:r/>
      <w:bookmarkStart w:id="139" w:name="_Toc120614244"/>
      <w:r/>
      <w:bookmarkStart w:id="140" w:name="_Toc20823346"/>
      <w:r>
        <w:rPr>
          <w:rFonts w:hint="eastAsia" w:ascii="宋体" w:hAnsi="宋体" w:cs="宋体"/>
          <w:color w:val="auto"/>
          <w:sz w:val="24"/>
          <w:szCs w:val="24"/>
          <w:highlight w:val="none"/>
        </w:rPr>
        <w:t xml:space="preserve">甲方（采购人）：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w:t>
      </w:r>
      <w:r/>
    </w:p>
    <w:p>
      <w:pPr>
        <w:pStyle w:val="826"/>
        <w:spacing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乙方（中标方）：</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w:t>
      </w:r>
      <w:r/>
    </w:p>
    <w:p>
      <w:pPr>
        <w:pStyle w:val="826"/>
        <w:spacing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p>
      <w:pPr>
        <w:numPr>
          <w:ilvl w:val="0"/>
          <w:numId w:val="10"/>
        </w:numPr>
        <w:ind w:left="0" w:firstLine="523"/>
        <w:spacing w:line="360" w:lineRule="auto"/>
        <w:tabs>
          <w:tab w:val="left" w:pos="210" w:leader="none"/>
          <w:tab w:val="clear" w:pos="450" w:leader="none"/>
          <w:tab w:val="left" w:pos="840" w:leader="none"/>
          <w:tab w:val="left" w:pos="126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采购编号：</w:t>
      </w:r>
      <w:r>
        <w:rPr>
          <w:rFonts w:hint="eastAsia" w:ascii="宋体" w:hAnsi="宋体" w:cs="宋体"/>
          <w:bCs/>
          <w:color w:val="auto"/>
          <w:sz w:val="24"/>
          <w:szCs w:val="24"/>
          <w:highlight w:val="none"/>
          <w:u w:val="single"/>
        </w:rPr>
        <w:t xml:space="preserve">                                 </w:t>
      </w:r>
      <w:r/>
    </w:p>
    <w:p>
      <w:pPr>
        <w:numPr>
          <w:ilvl w:val="0"/>
          <w:numId w:val="10"/>
        </w:numPr>
        <w:ind w:left="0" w:firstLine="523"/>
        <w:spacing w:line="360" w:lineRule="auto"/>
        <w:tabs>
          <w:tab w:val="left" w:pos="210" w:leader="none"/>
          <w:tab w:val="clear" w:pos="450" w:leader="none"/>
          <w:tab w:val="left" w:pos="840" w:leader="none"/>
          <w:tab w:val="left" w:pos="126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采购内容：</w:t>
      </w:r>
      <w:r>
        <w:rPr>
          <w:rFonts w:hint="eastAsia" w:ascii="宋体" w:hAnsi="宋体" w:cs="宋体"/>
          <w:bCs/>
          <w:color w:val="auto"/>
          <w:sz w:val="24"/>
          <w:szCs w:val="24"/>
          <w:highlight w:val="none"/>
          <w:u w:val="single"/>
        </w:rPr>
        <w:t xml:space="preserve">                                              </w:t>
      </w:r>
      <w:r/>
    </w:p>
    <w:p>
      <w:pPr>
        <w:numPr>
          <w:ilvl w:val="0"/>
          <w:numId w:val="10"/>
        </w:numPr>
        <w:ind w:left="0" w:firstLine="523"/>
        <w:spacing w:line="360" w:lineRule="auto"/>
        <w:tabs>
          <w:tab w:val="left" w:pos="210" w:leader="none"/>
          <w:tab w:val="clear" w:pos="450" w:leader="none"/>
          <w:tab w:val="left" w:pos="840" w:leader="none"/>
          <w:tab w:val="left" w:pos="1260" w:leader="none"/>
        </w:tabs>
        <w:rPr>
          <w:rFonts w:ascii="宋体" w:hAnsi="宋体" w:cs="宋体"/>
          <w:bCs/>
          <w:color w:val="auto"/>
          <w:sz w:val="24"/>
          <w:szCs w:val="24"/>
          <w:highlight w:val="none"/>
        </w:rPr>
      </w:pPr>
      <w:r>
        <w:rPr>
          <w:rFonts w:hint="eastAsia" w:ascii="宋体" w:hAnsi="宋体" w:eastAsia="宋体" w:cs="宋体"/>
          <w:color w:val="auto"/>
          <w:sz w:val="24"/>
          <w:szCs w:val="24"/>
          <w:highlight w:val="none"/>
          <w:lang w:val="en-US" w:eastAsia="zh-CN"/>
        </w:rPr>
        <w:t xml:space="preserve">中标金额（大写）</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（小写）</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p>
      <w:pPr>
        <w:numPr>
          <w:ilvl w:val="0"/>
          <w:numId w:val="10"/>
        </w:numPr>
        <w:ind w:left="0" w:firstLine="523"/>
        <w:spacing w:line="360" w:lineRule="auto"/>
        <w:tabs>
          <w:tab w:val="left" w:pos="210" w:leader="none"/>
          <w:tab w:val="clear" w:pos="450" w:leader="none"/>
          <w:tab w:val="left" w:pos="840" w:leader="none"/>
          <w:tab w:val="left" w:pos="1260" w:leader="none"/>
        </w:tabs>
      </w:pPr>
      <w:r>
        <w:rPr>
          <w:rFonts w:hint="eastAsia" w:ascii="宋体" w:hAnsi="宋体" w:eastAsia="宋体" w:cs="宋体"/>
          <w:bCs/>
          <w:color w:val="auto"/>
          <w:sz w:val="24"/>
          <w:szCs w:val="24"/>
          <w:highlight w:val="none"/>
          <w:lang w:val="en-US" w:eastAsia="zh-CN"/>
        </w:rPr>
        <w:t xml:space="preserve">采购数量</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cs="宋体"/>
          <w:bCs/>
          <w:color w:val="auto"/>
          <w:sz w:val="24"/>
          <w:szCs w:val="24"/>
          <w:highlight w:val="none"/>
          <w:u w:val="single"/>
        </w:rPr>
        <w:t xml:space="preserve">    </w:t>
      </w:r>
      <w:r/>
    </w:p>
    <w:p>
      <w:pPr>
        <w:numPr>
          <w:ilvl w:val="0"/>
          <w:numId w:val="10"/>
        </w:numPr>
        <w:ind w:left="0" w:firstLine="523"/>
        <w:spacing w:line="360" w:lineRule="auto"/>
        <w:tabs>
          <w:tab w:val="left" w:pos="210" w:leader="none"/>
          <w:tab w:val="clear" w:pos="450" w:leader="none"/>
          <w:tab w:val="left" w:pos="840" w:leader="none"/>
          <w:tab w:val="left" w:pos="126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质量和服务要求及验收标准：</w:t>
      </w:r>
      <w:r>
        <w:rPr>
          <w:rFonts w:hint="eastAsia" w:ascii="宋体" w:hAnsi="宋体" w:cs="宋体"/>
          <w:bCs/>
          <w:color w:val="auto"/>
          <w:sz w:val="24"/>
          <w:szCs w:val="24"/>
          <w:highlight w:val="none"/>
          <w:u w:val="single"/>
        </w:rPr>
        <w:t xml:space="preserve">                </w:t>
      </w:r>
      <w:r/>
    </w:p>
    <w:p>
      <w:pPr>
        <w:numPr>
          <w:ilvl w:val="0"/>
          <w:numId w:val="10"/>
        </w:numPr>
        <w:ind w:left="0" w:firstLine="523"/>
        <w:spacing w:line="360" w:lineRule="auto"/>
        <w:tabs>
          <w:tab w:val="left" w:pos="210" w:leader="none"/>
          <w:tab w:val="clear" w:pos="450" w:leader="none"/>
          <w:tab w:val="left" w:pos="840" w:leader="none"/>
          <w:tab w:val="left" w:pos="1260" w:leader="none"/>
        </w:tabs>
        <w:rPr>
          <w:rFonts w:ascii="宋体" w:hAnsi="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交货</w:t>
      </w:r>
      <w:r>
        <w:rPr>
          <w:rFonts w:hint="eastAsia" w:ascii="宋体" w:hAnsi="宋体" w:cs="宋体"/>
          <w:bCs/>
          <w:color w:val="auto"/>
          <w:sz w:val="24"/>
          <w:szCs w:val="24"/>
          <w:highlight w:val="none"/>
        </w:rPr>
        <w:t xml:space="preserve">期或完工期：</w:t>
      </w:r>
      <w:r>
        <w:rPr>
          <w:rFonts w:hint="eastAsia" w:ascii="宋体" w:hAnsi="宋体" w:cs="宋体"/>
          <w:bCs/>
          <w:color w:val="auto"/>
          <w:sz w:val="24"/>
          <w:szCs w:val="24"/>
          <w:highlight w:val="none"/>
          <w:u w:val="single"/>
        </w:rPr>
        <w:t xml:space="preserve">                          </w:t>
      </w:r>
      <w:r/>
    </w:p>
    <w:p>
      <w:pPr>
        <w:numPr>
          <w:ilvl w:val="0"/>
          <w:numId w:val="10"/>
        </w:numPr>
        <w:ind w:left="0" w:firstLine="523"/>
        <w:spacing w:line="360" w:lineRule="auto"/>
        <w:tabs>
          <w:tab w:val="left" w:pos="210" w:leader="none"/>
          <w:tab w:val="clear" w:pos="450" w:leader="none"/>
          <w:tab w:val="left" w:pos="840" w:leader="none"/>
          <w:tab w:val="left" w:pos="1260" w:leader="none"/>
        </w:tabs>
        <w:rPr>
          <w:rFonts w:ascii="宋体" w:hAnsi="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交货</w:t>
      </w:r>
      <w:r>
        <w:rPr>
          <w:rFonts w:hint="eastAsia" w:ascii="宋体" w:hAnsi="宋体" w:cs="宋体"/>
          <w:bCs/>
          <w:color w:val="auto"/>
          <w:sz w:val="24"/>
          <w:szCs w:val="24"/>
          <w:highlight w:val="none"/>
        </w:rPr>
        <w:t xml:space="preserve">地点和方式：</w:t>
      </w:r>
      <w:r>
        <w:rPr>
          <w:rFonts w:hint="eastAsia" w:ascii="宋体" w:hAnsi="宋体" w:cs="宋体"/>
          <w:bCs/>
          <w:color w:val="auto"/>
          <w:sz w:val="24"/>
          <w:szCs w:val="24"/>
          <w:highlight w:val="none"/>
          <w:u w:val="single"/>
        </w:rPr>
        <w:t xml:space="preserve">                              </w:t>
      </w:r>
      <w:r/>
    </w:p>
    <w:p>
      <w:pPr>
        <w:numPr>
          <w:ilvl w:val="0"/>
          <w:numId w:val="10"/>
        </w:numPr>
        <w:ind w:left="0" w:firstLine="523"/>
        <w:spacing w:line="360" w:lineRule="auto"/>
        <w:tabs>
          <w:tab w:val="left" w:pos="210" w:leader="none"/>
          <w:tab w:val="clear" w:pos="450" w:leader="none"/>
          <w:tab w:val="left" w:pos="840" w:leader="none"/>
          <w:tab w:val="left" w:pos="1260" w:leader="none"/>
        </w:tabs>
        <w:rPr>
          <w:rFonts w:ascii="宋体" w:hAnsi="宋体" w:cs="宋体"/>
          <w:bCs/>
          <w:color w:val="auto"/>
          <w:sz w:val="24"/>
          <w:szCs w:val="24"/>
          <w:highlight w:val="none"/>
          <w:u w:val="single"/>
        </w:rPr>
      </w:pPr>
      <w:r>
        <w:rPr>
          <w:rFonts w:hint="eastAsia" w:ascii="宋体" w:hAnsi="宋体" w:cs="宋体"/>
          <w:bCs/>
          <w:color w:val="auto"/>
          <w:sz w:val="24"/>
          <w:szCs w:val="24"/>
          <w:highlight w:val="none"/>
        </w:rPr>
        <w:t xml:space="preserve">费用支付步骤和办法：</w:t>
      </w:r>
      <w:r>
        <w:rPr>
          <w:rFonts w:hint="eastAsia" w:ascii="宋体" w:hAnsi="宋体" w:cs="宋体"/>
          <w:bCs/>
          <w:color w:val="auto"/>
          <w:sz w:val="24"/>
          <w:szCs w:val="24"/>
          <w:highlight w:val="none"/>
          <w:u w:val="single"/>
        </w:rPr>
        <w:t xml:space="preserve">                               </w:t>
      </w:r>
      <w:r/>
    </w:p>
    <w:p>
      <w:pPr>
        <w:numPr>
          <w:ilvl w:val="0"/>
          <w:numId w:val="10"/>
        </w:numPr>
        <w:ind w:left="0" w:firstLine="523"/>
        <w:spacing w:line="360" w:lineRule="auto"/>
        <w:tabs>
          <w:tab w:val="left" w:pos="210" w:leader="none"/>
          <w:tab w:val="clear" w:pos="450" w:leader="none"/>
          <w:tab w:val="left" w:pos="840" w:leader="none"/>
          <w:tab w:val="left" w:pos="126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售后服务：</w:t>
      </w:r>
      <w:r>
        <w:rPr>
          <w:rFonts w:hint="eastAsia" w:ascii="宋体" w:hAnsi="宋体" w:cs="宋体"/>
          <w:bCs/>
          <w:color w:val="auto"/>
          <w:sz w:val="24"/>
          <w:szCs w:val="24"/>
          <w:highlight w:val="none"/>
          <w:u w:val="single"/>
        </w:rPr>
        <w:t xml:space="preserve">                                           </w:t>
      </w:r>
      <w:r/>
    </w:p>
    <w:p>
      <w:pPr>
        <w:numPr>
          <w:ilvl w:val="0"/>
          <w:numId w:val="10"/>
        </w:numPr>
        <w:ind w:left="0" w:firstLine="523"/>
        <w:spacing w:line="360" w:lineRule="auto"/>
        <w:tabs>
          <w:tab w:val="left" w:pos="210" w:leader="none"/>
          <w:tab w:val="clear" w:pos="450" w:leader="none"/>
          <w:tab w:val="left" w:pos="840" w:leader="none"/>
          <w:tab w:val="left" w:pos="126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违约责任：</w:t>
      </w:r>
      <w:r>
        <w:rPr>
          <w:rFonts w:hint="eastAsia" w:ascii="宋体" w:hAnsi="宋体" w:cs="宋体"/>
          <w:bCs/>
          <w:color w:val="auto"/>
          <w:sz w:val="24"/>
          <w:szCs w:val="24"/>
          <w:highlight w:val="none"/>
          <w:u w:val="single"/>
        </w:rPr>
        <w:t xml:space="preserve">                                                             </w:t>
      </w:r>
      <w:r/>
    </w:p>
    <w:p>
      <w:pPr>
        <w:numPr>
          <w:ilvl w:val="0"/>
          <w:numId w:val="10"/>
        </w:numPr>
        <w:ind w:left="0" w:firstLine="523"/>
        <w:spacing w:line="360" w:lineRule="auto"/>
        <w:tabs>
          <w:tab w:val="left" w:pos="210" w:leader="none"/>
          <w:tab w:val="clear" w:pos="450" w:leader="none"/>
          <w:tab w:val="left" w:pos="840" w:leader="none"/>
          <w:tab w:val="left" w:pos="1260" w:leader="none"/>
        </w:tabs>
        <w:rPr>
          <w:rFonts w:ascii="宋体" w:hAnsi="宋体" w:cs="宋体"/>
          <w:bCs/>
          <w:color w:val="auto"/>
          <w:sz w:val="24"/>
          <w:szCs w:val="24"/>
          <w:highlight w:val="none"/>
        </w:rPr>
      </w:pPr>
      <w:r>
        <w:rPr>
          <w:rFonts w:hint="eastAsia" w:ascii="宋体" w:hAnsi="宋体" w:cs="宋体"/>
          <w:color w:val="auto"/>
          <w:sz w:val="24"/>
          <w:szCs w:val="24"/>
          <w:highlight w:val="none"/>
        </w:rPr>
        <w:t xml:space="preserve">解决争议的方式：</w:t>
      </w:r>
      <w:r>
        <w:rPr>
          <w:rFonts w:hint="eastAsia" w:ascii="宋体" w:hAnsi="宋体" w:cs="宋体"/>
          <w:color w:val="auto"/>
          <w:sz w:val="24"/>
          <w:szCs w:val="24"/>
          <w:highlight w:val="none"/>
          <w:u w:val="single"/>
        </w:rPr>
        <w:t xml:space="preserve">                                                       </w:t>
      </w:r>
      <w:r/>
    </w:p>
    <w:p>
      <w:pPr>
        <w:numPr>
          <w:ilvl w:val="0"/>
          <w:numId w:val="10"/>
        </w:numPr>
        <w:ind w:left="0" w:firstLine="523"/>
        <w:spacing w:line="360" w:lineRule="auto"/>
        <w:tabs>
          <w:tab w:val="left" w:pos="210" w:leader="none"/>
          <w:tab w:val="clear" w:pos="450" w:leader="none"/>
          <w:tab w:val="left" w:pos="840" w:leader="none"/>
          <w:tab w:val="left" w:pos="1260" w:leader="none"/>
        </w:tabs>
        <w:rPr>
          <w:rFonts w:ascii="宋体" w:hAnsi="宋体" w:cs="宋体"/>
          <w:bCs/>
          <w:color w:val="auto"/>
          <w:sz w:val="24"/>
          <w:szCs w:val="24"/>
          <w:highlight w:val="none"/>
        </w:rPr>
      </w:pPr>
      <w:r>
        <w:rPr>
          <w:rFonts w:hint="eastAsia" w:ascii="宋体" w:hAnsi="宋体" w:eastAsia="宋体" w:cs="宋体"/>
          <w:bCs/>
          <w:color w:val="auto"/>
          <w:sz w:val="24"/>
          <w:szCs w:val="24"/>
          <w:highlight w:val="none"/>
        </w:rPr>
        <w:t xml:space="preserve">其他</w:t>
      </w:r>
      <w:r>
        <w:rPr>
          <w:rFonts w:hint="eastAsia" w:ascii="宋体" w:hAnsi="宋体" w:cs="宋体"/>
          <w:bCs/>
          <w:color w:val="auto"/>
          <w:sz w:val="24"/>
          <w:szCs w:val="24"/>
          <w:highlight w:val="none"/>
        </w:rPr>
        <w:t xml:space="preserve">事项：</w:t>
      </w:r>
      <w:r>
        <w:rPr>
          <w:rFonts w:hint="eastAsia" w:ascii="宋体" w:hAnsi="宋体" w:cs="宋体"/>
          <w:bCs/>
          <w:color w:val="auto"/>
          <w:sz w:val="24"/>
          <w:szCs w:val="24"/>
          <w:highlight w:val="none"/>
          <w:u w:val="single"/>
        </w:rPr>
        <w:t xml:space="preserve">                                                             </w:t>
      </w:r>
      <w:r/>
    </w:p>
    <w:p>
      <w:pPr>
        <w:pStyle w:val="826"/>
        <w:ind w:firstLine="480"/>
        <w:spacing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十二、合同不可分割部分：</w:t>
      </w:r>
      <w:r/>
    </w:p>
    <w:p>
      <w:pPr>
        <w:pStyle w:val="826"/>
        <w:spacing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采购文件、投标文件、合同条款及中标通知书，乙方在投标、评标过程中所作其它有关承诺、声明、书面澄清等均为合同不可分割的部分，与主合同具有同等法律效力。</w:t>
      </w:r>
      <w:r/>
    </w:p>
    <w:p>
      <w:pPr>
        <w:pStyle w:val="826"/>
        <w:ind w:firstLine="480"/>
        <w:spacing w:after="0" w:line="360" w:lineRule="auto"/>
        <w:rPr>
          <w:rFonts w:ascii="宋体" w:hAnsi="宋体" w:cs="宋体"/>
          <w:color w:val="auto"/>
          <w:sz w:val="24"/>
          <w:szCs w:val="24"/>
          <w:highlight w:val="none"/>
        </w:rPr>
      </w:pPr>
      <w:r>
        <w:rPr>
          <w:rFonts w:hint="eastAsia" w:hAnsi="宋体" w:cs="宋体"/>
          <w:color w:val="auto"/>
          <w:sz w:val="24"/>
          <w:szCs w:val="24"/>
          <w:highlight w:val="none"/>
        </w:rPr>
        <w:t xml:space="preserve">十三、</w:t>
      </w:r>
      <w:r>
        <w:rPr>
          <w:rFonts w:hint="eastAsia" w:ascii="宋体" w:hAnsi="宋体" w:cs="宋体"/>
          <w:color w:val="auto"/>
          <w:sz w:val="24"/>
          <w:szCs w:val="24"/>
          <w:highlight w:val="none"/>
        </w:rPr>
        <w:t xml:space="preserve">合同备案：</w:t>
      </w:r>
      <w:r/>
    </w:p>
    <w:p>
      <w:pPr>
        <w:pStyle w:val="826"/>
        <w:spacing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合同一式</w:t>
      </w:r>
      <w:r>
        <w:rPr>
          <w:rFonts w:hint="eastAsia" w:hAnsi="宋体" w:cs="宋体"/>
          <w:color w:val="auto"/>
          <w:sz w:val="24"/>
          <w:szCs w:val="24"/>
          <w:highlight w:val="none"/>
          <w:lang w:val="en-US" w:eastAsia="zh-CN"/>
        </w:rPr>
        <w:t xml:space="preserve">四</w:t>
      </w:r>
      <w:r>
        <w:rPr>
          <w:rFonts w:hint="eastAsia" w:ascii="宋体" w:hAnsi="宋体" w:cs="宋体"/>
          <w:color w:val="auto"/>
          <w:sz w:val="24"/>
          <w:szCs w:val="24"/>
          <w:highlight w:val="none"/>
        </w:rPr>
        <w:t xml:space="preserve">份，甲乙双方各执</w:t>
      </w:r>
      <w:r>
        <w:rPr>
          <w:rFonts w:hint="eastAsia" w:hAnsi="宋体" w:cs="宋体"/>
          <w:color w:val="auto"/>
          <w:sz w:val="24"/>
          <w:szCs w:val="24"/>
          <w:highlight w:val="none"/>
        </w:rPr>
        <w:t xml:space="preserve">两</w:t>
      </w:r>
      <w:r>
        <w:rPr>
          <w:rFonts w:hint="eastAsia" w:ascii="宋体" w:hAnsi="宋体" w:cs="宋体"/>
          <w:color w:val="auto"/>
          <w:sz w:val="24"/>
          <w:szCs w:val="24"/>
          <w:highlight w:val="none"/>
        </w:rPr>
        <w:t xml:space="preserve">份。</w:t>
      </w:r>
      <w:r/>
    </w:p>
    <w:p>
      <w:pPr>
        <w:pStyle w:val="826"/>
        <w:ind w:firstLine="480"/>
        <w:spacing w:after="0" w:line="360" w:lineRule="auto"/>
        <w:rPr>
          <w:rFonts w:ascii="宋体" w:hAnsi="宋体" w:cs="宋体"/>
          <w:color w:val="auto"/>
          <w:sz w:val="24"/>
          <w:szCs w:val="24"/>
          <w:highlight w:val="none"/>
        </w:rPr>
      </w:pPr>
      <w:r>
        <w:rPr>
          <w:rFonts w:hint="eastAsia" w:hAnsi="宋体" w:cs="宋体"/>
          <w:color w:val="auto"/>
          <w:sz w:val="24"/>
          <w:szCs w:val="24"/>
          <w:highlight w:val="none"/>
        </w:rPr>
        <w:t xml:space="preserve">十四、</w:t>
      </w:r>
      <w:r>
        <w:rPr>
          <w:rFonts w:hint="eastAsia" w:ascii="宋体" w:hAnsi="宋体" w:cs="宋体"/>
          <w:color w:val="auto"/>
          <w:sz w:val="24"/>
          <w:szCs w:val="24"/>
          <w:highlight w:val="none"/>
        </w:rPr>
        <w:t xml:space="preserve">合同生效：</w:t>
      </w:r>
      <w:r/>
    </w:p>
    <w:p>
      <w:pPr>
        <w:pStyle w:val="826"/>
        <w:spacing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本合同由甲乙双方签字、盖章后生效。</w:t>
      </w:r>
      <w:r/>
    </w:p>
    <w:tbl>
      <w:tblPr>
        <w:tblStyle w:val="828"/>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717"/>
        <w:gridCol w:w="4571"/>
      </w:tblGrid>
      <w:tr>
        <w:trPr/>
        <w:tc>
          <w:tcPr>
            <w:tcW w:w="4717" w:type="dxa"/>
            <w:textDirection w:val="lrTb"/>
            <w:noWrap w:val="false"/>
          </w:tcPr>
          <w:p>
            <w:pPr>
              <w:pStyle w:val="826"/>
              <w:spacing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甲方（采购人）：（盖章） </w:t>
            </w:r>
            <w:r/>
          </w:p>
        </w:tc>
        <w:tc>
          <w:tcPr>
            <w:tcW w:w="4571" w:type="dxa"/>
            <w:textDirection w:val="lrTb"/>
            <w:noWrap w:val="false"/>
          </w:tcPr>
          <w:p>
            <w:pPr>
              <w:pStyle w:val="826"/>
              <w:ind w:firstLine="0"/>
              <w:spacing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乙方（中标方）：（盖章）</w:t>
            </w:r>
            <w:r/>
          </w:p>
        </w:tc>
      </w:tr>
      <w:tr>
        <w:trPr/>
        <w:tc>
          <w:tcPr>
            <w:tcW w:w="4717" w:type="dxa"/>
            <w:textDirection w:val="lrTb"/>
            <w:noWrap w:val="false"/>
          </w:tcPr>
          <w:p>
            <w:pPr>
              <w:pStyle w:val="826"/>
              <w:spacing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法定（授权）代表人：</w:t>
            </w:r>
            <w:r/>
          </w:p>
          <w:p>
            <w:pPr>
              <w:pStyle w:val="826"/>
              <w:spacing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（签字或盖章）</w:t>
            </w:r>
            <w:r/>
          </w:p>
        </w:tc>
        <w:tc>
          <w:tcPr>
            <w:tcW w:w="4571" w:type="dxa"/>
            <w:textDirection w:val="lrTb"/>
            <w:noWrap w:val="false"/>
          </w:tcPr>
          <w:p>
            <w:pPr>
              <w:pStyle w:val="826"/>
              <w:ind w:firstLine="0"/>
              <w:spacing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法定（授权）代表人：</w:t>
            </w:r>
            <w:r/>
          </w:p>
          <w:p>
            <w:pPr>
              <w:pStyle w:val="826"/>
              <w:ind w:firstLine="0"/>
              <w:spacing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（签字或盖章）</w:t>
            </w:r>
            <w:r/>
          </w:p>
        </w:tc>
      </w:tr>
      <w:tr>
        <w:trPr/>
        <w:tc>
          <w:tcPr>
            <w:tcW w:w="4717" w:type="dxa"/>
            <w:textDirection w:val="lrTb"/>
            <w:noWrap w:val="false"/>
          </w:tcPr>
          <w:p>
            <w:pPr>
              <w:pStyle w:val="826"/>
              <w:spacing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年      月       日 </w:t>
            </w:r>
            <w:r/>
          </w:p>
        </w:tc>
        <w:tc>
          <w:tcPr>
            <w:tcW w:w="4571" w:type="dxa"/>
            <w:textDirection w:val="lrTb"/>
            <w:noWrap w:val="false"/>
          </w:tcPr>
          <w:p>
            <w:pPr>
              <w:pStyle w:val="826"/>
              <w:ind w:firstLine="0"/>
              <w:spacing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年      月       日 </w:t>
            </w:r>
            <w:r/>
          </w:p>
        </w:tc>
      </w:tr>
      <w:tr>
        <w:trPr/>
        <w:tc>
          <w:tcPr>
            <w:tcW w:w="4717" w:type="dxa"/>
            <w:textDirection w:val="lrTb"/>
            <w:noWrap w:val="false"/>
          </w:tcPr>
          <w:p>
            <w:pPr>
              <w:pStyle w:val="826"/>
              <w:ind w:firstLine="0"/>
              <w:spacing w:after="0"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4571" w:type="dxa"/>
            <w:textDirection w:val="lrTb"/>
            <w:noWrap w:val="false"/>
          </w:tcPr>
          <w:p>
            <w:pPr>
              <w:pStyle w:val="826"/>
              <w:ind w:firstLine="0"/>
              <w:spacing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乙方户名：                       </w:t>
            </w:r>
            <w:r/>
          </w:p>
          <w:p>
            <w:pPr>
              <w:pStyle w:val="826"/>
              <w:ind w:firstLine="0"/>
              <w:spacing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乙方开户银行：</w:t>
            </w:r>
            <w:r/>
          </w:p>
        </w:tc>
      </w:tr>
      <w:tr>
        <w:trPr/>
        <w:tc>
          <w:tcPr>
            <w:tcW w:w="4717" w:type="dxa"/>
            <w:textDirection w:val="lrTb"/>
            <w:noWrap w:val="false"/>
          </w:tcPr>
          <w:p>
            <w:pPr>
              <w:pStyle w:val="826"/>
              <w:spacing w:after="0"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4571" w:type="dxa"/>
            <w:textDirection w:val="lrTb"/>
            <w:noWrap w:val="false"/>
          </w:tcPr>
          <w:p>
            <w:pPr>
              <w:pStyle w:val="826"/>
              <w:ind w:firstLine="0"/>
              <w:spacing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乙方账号：</w:t>
            </w:r>
            <w:r/>
          </w:p>
        </w:tc>
      </w:tr>
      <w:tr>
        <w:trPr/>
        <w:tc>
          <w:tcPr>
            <w:tcW w:w="4717" w:type="dxa"/>
            <w:textDirection w:val="lrTb"/>
            <w:noWrap w:val="false"/>
          </w:tcPr>
          <w:p>
            <w:pPr>
              <w:pStyle w:val="826"/>
              <w:ind w:left="0" w:firstLine="0"/>
              <w:spacing w:after="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见证方：</w:t>
            </w:r>
            <w:r>
              <w:rPr>
                <w:rFonts w:hint="eastAsia" w:ascii="宋体" w:hAnsi="宋体" w:cs="宋体"/>
                <w:color w:val="auto"/>
                <w:sz w:val="24"/>
                <w:szCs w:val="24"/>
                <w:highlight w:val="none"/>
              </w:rPr>
              <w:t xml:space="preserve">（盖章） </w:t>
            </w:r>
            <w:r/>
          </w:p>
        </w:tc>
        <w:tc>
          <w:tcPr>
            <w:tcW w:w="4571" w:type="dxa"/>
            <w:textDirection w:val="lrTb"/>
            <w:noWrap w:val="false"/>
          </w:tcPr>
          <w:p>
            <w:pPr>
              <w:pStyle w:val="826"/>
              <w:ind w:firstLine="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pStyle w:val="826"/>
        <w:spacing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p>
      <w:pPr>
        <w:pStyle w:val="826"/>
        <w:spacing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★备注：甲乙双方必须以本格式文本，按照合同条款拟订合同</w:t>
      </w:r>
      <w:r/>
    </w:p>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Style w:val="826"/>
        <w:ind w:firstLine="480"/>
        <w:jc w:val="center"/>
        <w:spacing w:after="0"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合同条款</w:t>
      </w:r>
      <w:r/>
    </w:p>
    <w:p>
      <w:pPr>
        <w:ind w:firstLine="480"/>
        <w:spacing w:after="0" w:line="360" w:lineRule="auto"/>
        <w:rPr>
          <w:rFonts w:hint="eastAsia" w:ascii="宋体" w:hAnsi="宋体"/>
          <w:bCs/>
          <w:color w:val="auto"/>
          <w:sz w:val="24"/>
        </w:rPr>
      </w:pPr>
      <w:r>
        <w:rPr>
          <w:rFonts w:hint="eastAsia" w:ascii="宋体" w:hAnsi="宋体"/>
          <w:bCs/>
          <w:color w:val="auto"/>
          <w:sz w:val="24"/>
        </w:rPr>
      </w:r>
      <w:r/>
    </w:p>
    <w:p>
      <w:pPr>
        <w:ind w:firstLine="480"/>
        <w:spacing w:after="0"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根据</w:t>
      </w:r>
      <w:r>
        <w:rPr>
          <w:rFonts w:hint="eastAsia" w:ascii="宋体" w:hAnsi="宋体" w:eastAsia="宋体"/>
          <w:bCs/>
          <w:color w:val="000000" w:themeColor="text1"/>
          <w:sz w:val="24"/>
          <w:szCs w:val="20"/>
          <w:lang w:val="en-US" w:eastAsia="zh-CN"/>
          <w14:textFill>
            <w14:solidFill>
              <w14:schemeClr w14:val="tx1"/>
            </w14:solidFill>
          </w14:textFill>
        </w:rPr>
        <w:t xml:space="preserve">采购</w:t>
      </w:r>
      <w:r>
        <w:rPr>
          <w:rFonts w:hint="eastAsia" w:ascii="宋体" w:hAnsi="宋体"/>
          <w:bCs/>
          <w:color w:val="000000" w:themeColor="text1"/>
          <w:sz w:val="24"/>
          <w14:textFill>
            <w14:solidFill>
              <w14:schemeClr w14:val="tx1"/>
            </w14:solidFill>
          </w14:textFill>
        </w:rPr>
        <w:t xml:space="preserve">编号</w:t>
      </w:r>
      <w:r>
        <w:rPr>
          <w:rFonts w:hint="eastAsia" w:ascii="宋体" w:hAnsi="宋体"/>
          <w:bCs/>
          <w:color w:val="000000" w:themeColor="text1"/>
          <w:sz w:val="24"/>
          <w:u w:val="single"/>
          <w14:textFill>
            <w14:solidFill>
              <w14:schemeClr w14:val="tx1"/>
            </w14:solidFill>
          </w14:textFill>
        </w:rPr>
        <w:t xml:space="preserve">          </w:t>
      </w:r>
      <w:r>
        <w:rPr>
          <w:rFonts w:hint="eastAsia" w:ascii="宋体" w:hAnsi="宋体"/>
          <w:bCs/>
          <w:color w:val="000000" w:themeColor="text1"/>
          <w:sz w:val="24"/>
          <w14:textFill>
            <w14:solidFill>
              <w14:schemeClr w14:val="tx1"/>
            </w14:solidFill>
          </w14:textFill>
        </w:rPr>
        <w:t xml:space="preserve">招标文件和该文件的中标通知书及供方投标文件，供需双方就此次</w:t>
      </w:r>
      <w:r>
        <w:rPr>
          <w:rFonts w:hint="eastAsia" w:ascii="宋体" w:hAnsi="宋体"/>
          <w:bCs/>
          <w:color w:val="000000" w:themeColor="text1"/>
          <w:sz w:val="24"/>
          <w:u w:val="single"/>
          <w14:textFill>
            <w14:solidFill>
              <w14:schemeClr w14:val="tx1"/>
            </w14:solidFill>
          </w14:textFill>
        </w:rPr>
        <w:t xml:space="preserve">           </w:t>
      </w:r>
      <w:r>
        <w:rPr>
          <w:rFonts w:hint="eastAsia" w:ascii="宋体" w:hAnsi="宋体"/>
          <w:bCs/>
          <w:color w:val="000000" w:themeColor="text1"/>
          <w:sz w:val="24"/>
          <w14:textFill>
            <w14:solidFill>
              <w14:schemeClr w14:val="tx1"/>
            </w14:solidFill>
          </w14:textFill>
        </w:rPr>
        <w:t xml:space="preserve">项目相关问题，同意按下列条款规定执行。</w:t>
      </w:r>
      <w:r/>
    </w:p>
    <w:p>
      <w:pPr>
        <w:ind w:firstLine="480"/>
        <w:spacing w:after="0"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（一）合同内容：</w:t>
      </w:r>
      <w:r>
        <w:rPr>
          <w:rFonts w:hint="eastAsia" w:ascii="宋体" w:hAnsi="宋体"/>
          <w:bCs/>
          <w:color w:val="000000" w:themeColor="text1"/>
          <w:sz w:val="24"/>
          <w:szCs w:val="24"/>
          <w:u w:val="single"/>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 xml:space="preserve">。</w:t>
      </w:r>
      <w:r/>
    </w:p>
    <w:p>
      <w:pPr>
        <w:ind w:firstLine="480"/>
        <w:spacing w:after="0"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（二）采购数量：</w:t>
      </w:r>
      <w:r>
        <w:rPr>
          <w:rFonts w:hint="eastAsia" w:ascii="宋体" w:hAnsi="宋体"/>
          <w:bCs/>
          <w:color w:val="000000" w:themeColor="text1"/>
          <w:sz w:val="24"/>
          <w:szCs w:val="24"/>
          <w:u w:val="single"/>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 xml:space="preserve">。</w:t>
      </w:r>
      <w:r/>
    </w:p>
    <w:p>
      <w:pPr>
        <w:ind w:firstLine="480"/>
        <w:spacing w:after="0"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（三）价格及支付：</w:t>
      </w:r>
      <w:r/>
    </w:p>
    <w:p>
      <w:pPr>
        <w:ind w:firstLine="480"/>
        <w:spacing w:after="0" w:line="360" w:lineRule="auto"/>
        <w:tabs>
          <w:tab w:val="left" w:pos="525" w:leader="none"/>
          <w:tab w:val="left" w:pos="1050" w:leader="none"/>
          <w:tab w:val="left" w:pos="1155" w:leader="none"/>
        </w:tabs>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1.按此次中标价格执行，合同总标的额为</w:t>
      </w:r>
      <w:r>
        <w:rPr>
          <w:rFonts w:hint="eastAsia" w:ascii="宋体" w:hAnsi="宋体"/>
          <w:bCs/>
          <w:color w:val="000000" w:themeColor="text1"/>
          <w:sz w:val="24"/>
          <w:u w:val="single"/>
          <w14:textFill>
            <w14:solidFill>
              <w14:schemeClr w14:val="tx1"/>
            </w14:solidFill>
          </w14:textFill>
        </w:rPr>
        <w:t xml:space="preserve">             </w:t>
      </w:r>
      <w:r>
        <w:rPr>
          <w:rFonts w:hint="eastAsia" w:ascii="宋体" w:hAnsi="宋体"/>
          <w:bCs/>
          <w:color w:val="000000" w:themeColor="text1"/>
          <w:sz w:val="24"/>
          <w14:textFill>
            <w14:solidFill>
              <w14:schemeClr w14:val="tx1"/>
            </w14:solidFill>
          </w14:textFill>
        </w:rPr>
        <w:t xml:space="preserve">元（含税）。</w:t>
      </w:r>
      <w:r/>
    </w:p>
    <w:p>
      <w:pPr>
        <w:ind w:firstLine="480"/>
        <w:jc w:val="both"/>
        <w:spacing w:after="0" w:line="360" w:lineRule="auto"/>
        <w:widowControl w:val="off"/>
        <w:rPr>
          <w:rFonts w:ascii="宋体" w:hAnsi="宋体"/>
          <w:color w:val="000000" w:themeColor="text1"/>
          <w:sz w:val="24"/>
          <w:szCs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2.付款方式：合同签订生效后30日内，支付合同价款的30%；货到验收合格后办理移交手续，支付至合同价款的80%，项目审计结束支付至审定价的95%，余款于审计结束两年后付清</w:t>
      </w:r>
      <w:r>
        <w:rPr>
          <w:rFonts w:hint="eastAsia" w:ascii="宋体" w:hAnsi="宋体"/>
          <w:color w:val="000000" w:themeColor="text1"/>
          <w:sz w:val="24"/>
          <w:szCs w:val="24"/>
          <w14:textFill>
            <w14:solidFill>
              <w14:schemeClr w14:val="tx1"/>
            </w14:solidFill>
          </w14:textFill>
        </w:rPr>
        <w:t xml:space="preserve">。</w:t>
      </w:r>
      <w:r/>
    </w:p>
    <w:p>
      <w:pPr>
        <w:ind w:firstLine="480"/>
        <w:spacing w:after="0" w:line="360" w:lineRule="auto"/>
        <w:tabs>
          <w:tab w:val="left" w:pos="525" w:leader="none"/>
          <w:tab w:val="left" w:pos="1050" w:leader="none"/>
          <w:tab w:val="left" w:pos="1155" w:leader="none"/>
        </w:tabs>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3.供方应于每次需方付款前，开具对应等额的增值税发票，如因供方开票迟延造成需方付款迟延的，需方付款期限相应顺延。开票信息如下：</w:t>
      </w:r>
      <w:r/>
    </w:p>
    <w:p>
      <w:pPr>
        <w:ind w:firstLine="480"/>
        <w:spacing w:after="0" w:line="360" w:lineRule="auto"/>
        <w:tabs>
          <w:tab w:val="left" w:pos="525" w:leader="none"/>
          <w:tab w:val="left" w:pos="1050" w:leader="none"/>
          <w:tab w:val="left" w:pos="1155" w:leader="none"/>
        </w:tabs>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1）名称：江苏无锡经济开发区发展中心</w:t>
      </w:r>
      <w:r/>
    </w:p>
    <w:p>
      <w:pPr>
        <w:ind w:firstLine="480"/>
        <w:spacing w:after="0" w:line="360" w:lineRule="auto"/>
        <w:tabs>
          <w:tab w:val="left" w:pos="525" w:leader="none"/>
          <w:tab w:val="left" w:pos="1050" w:leader="none"/>
          <w:tab w:val="left" w:pos="1155" w:leader="none"/>
        </w:tabs>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2）统一社会信用代码/纳税人识别号:12320200MB15646684</w:t>
      </w:r>
      <w:r/>
    </w:p>
    <w:p>
      <w:pPr>
        <w:ind w:firstLine="480"/>
        <w:spacing w:after="0" w:line="360" w:lineRule="auto"/>
        <w:tabs>
          <w:tab w:val="left" w:pos="0" w:leader="none"/>
          <w:tab w:val="left" w:pos="1365" w:leader="none"/>
        </w:tabs>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（四）知识产权</w:t>
      </w:r>
      <w:r/>
    </w:p>
    <w:p>
      <w:pPr>
        <w:ind w:firstLine="480"/>
        <w:spacing w:after="0" w:line="360" w:lineRule="auto"/>
        <w:tabs>
          <w:tab w:val="left" w:pos="945" w:leader="none"/>
        </w:tabs>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供方应保证需方在使用其交付物、服务及其任何部分时不受到第三方关于侵犯专利权、商标权或软件著作权等知识产权的指控。任何第三方如果提出侵权指控，供方应承担可能发生的一切法律责任和费用。</w:t>
      </w:r>
      <w:r/>
    </w:p>
    <w:p>
      <w:pPr>
        <w:numPr>
          <w:ilvl w:val="0"/>
          <w:numId w:val="9"/>
        </w:numPr>
        <w:ind w:left="0" w:firstLine="480"/>
        <w:spacing w:after="0" w:line="360" w:lineRule="auto"/>
        <w:tabs>
          <w:tab w:val="left" w:pos="735" w:leader="none"/>
        </w:tabs>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质量要求与检验：</w:t>
      </w:r>
      <w:r/>
    </w:p>
    <w:p>
      <w:pPr>
        <w:ind w:firstLine="480"/>
        <w:spacing w:after="0" w:line="360" w:lineRule="auto"/>
        <w:tabs>
          <w:tab w:val="left" w:pos="420" w:leader="none"/>
          <w:tab w:val="left" w:pos="1050" w:leader="none"/>
          <w:tab w:val="left" w:pos="1155" w:leader="none"/>
        </w:tabs>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1．供方应严格按照招标文件的有关规定和供方投标文件提供合格的货物及服务。</w:t>
      </w:r>
      <w:r/>
    </w:p>
    <w:p>
      <w:pPr>
        <w:ind w:firstLine="480"/>
        <w:spacing w:after="0" w:line="360" w:lineRule="auto"/>
        <w:tabs>
          <w:tab w:val="left" w:pos="420" w:leader="none"/>
          <w:tab w:val="left" w:pos="1050" w:leader="none"/>
          <w:tab w:val="left" w:pos="1155" w:leader="none"/>
        </w:tabs>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2．</w:t>
      </w:r>
      <w:r>
        <w:rPr>
          <w:rFonts w:hint="eastAsia" w:ascii="宋体" w:hAnsi="宋体"/>
          <w:bCs/>
          <w:color w:val="000000" w:themeColor="text1"/>
          <w:sz w:val="24"/>
          <w14:textFill>
            <w14:solidFill>
              <w14:schemeClr w14:val="tx1"/>
            </w14:solidFill>
          </w14:textFill>
        </w:rPr>
        <w:t xml:space="preserve">如果任何被检验的货物或服务不符合质量要求，需方均可以拒绝接受，供方应及时更换被拒绝的货物或重新提供服务，且不得影响需方正常工作，费用由供方承担，如因更换或重作导致供方逾期交付货物的，供方还应承担逾期交付的违约责任。本规定并不免除供方在本合同项下的货物质量保证义务或其他义务。</w:t>
      </w:r>
      <w:r/>
    </w:p>
    <w:p>
      <w:pPr>
        <w:ind w:firstLine="480"/>
        <w:spacing w:after="0" w:line="360" w:lineRule="auto"/>
        <w:tabs>
          <w:tab w:val="left" w:pos="420" w:leader="none"/>
          <w:tab w:val="left" w:pos="1050" w:leader="none"/>
          <w:tab w:val="left" w:pos="1155" w:leader="none"/>
        </w:tabs>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3．货物的到货验收包括：数量、外观、质量、性能、随机备件、装箱单、质量证书等随机资料及包装完整无破损。</w:t>
      </w:r>
      <w:r/>
    </w:p>
    <w:p>
      <w:pPr>
        <w:ind w:firstLine="480"/>
        <w:spacing w:after="0" w:line="360" w:lineRule="auto"/>
        <w:tabs>
          <w:tab w:val="left" w:pos="420" w:leader="none"/>
          <w:tab w:val="left" w:pos="1050" w:leader="none"/>
          <w:tab w:val="left" w:pos="1155" w:leader="none"/>
        </w:tabs>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4．供方应当按照约定的包装方式交付标的物。对包装方式没有约定或者约定不明确的，应当按照双方补充协议约定的方式包装，或者按照通用的方式包装，没有通用方式的，应当采取足以保护标的物的包装方式。</w:t>
      </w:r>
      <w:r/>
    </w:p>
    <w:p>
      <w:pPr>
        <w:ind w:firstLine="480"/>
        <w:spacing w:after="0" w:line="360" w:lineRule="auto"/>
        <w:tabs>
          <w:tab w:val="left" w:pos="420" w:leader="none"/>
          <w:tab w:val="left" w:pos="1050" w:leader="none"/>
          <w:tab w:val="left" w:pos="1155" w:leader="none"/>
        </w:tabs>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5．</w:t>
      </w:r>
      <w:r>
        <w:rPr>
          <w:rFonts w:hint="eastAsia" w:ascii="宋体" w:hAnsi="宋体"/>
          <w:bCs/>
          <w:color w:val="000000" w:themeColor="text1"/>
          <w:sz w:val="24"/>
          <w14:textFill>
            <w14:solidFill>
              <w14:schemeClr w14:val="tx1"/>
            </w14:solidFill>
          </w14:textFill>
        </w:rPr>
        <w:t xml:space="preserve">货物和系统调试验收标准：按行业通行标准、厂方出厂标准、招标文件要求和供方投标文件的承诺，并不低于国家相关标准。</w:t>
      </w:r>
      <w:r/>
    </w:p>
    <w:p>
      <w:pPr>
        <w:ind w:firstLine="480"/>
        <w:spacing w:after="0" w:line="360" w:lineRule="auto"/>
        <w:tabs>
          <w:tab w:val="left" w:pos="420" w:leader="none"/>
          <w:tab w:val="left" w:pos="1050" w:leader="none"/>
          <w:tab w:val="left" w:pos="1155" w:leader="none"/>
        </w:tabs>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6．</w:t>
      </w:r>
      <w:r>
        <w:rPr>
          <w:rFonts w:hint="eastAsia" w:ascii="宋体" w:hAnsi="宋体"/>
          <w:bCs/>
          <w:color w:val="000000" w:themeColor="text1"/>
          <w:sz w:val="24"/>
          <w14:textFill>
            <w14:solidFill>
              <w14:schemeClr w14:val="tx1"/>
            </w14:solidFill>
          </w14:textFill>
        </w:rPr>
        <w:t xml:space="preserve">货物运到需方指定地点并经需方验证签收后，由于需方保管不善造成的质量问题，供方应负责修理，但有关费用由需方承担。</w:t>
      </w:r>
      <w:r/>
    </w:p>
    <w:p>
      <w:pPr>
        <w:ind w:firstLine="480"/>
        <w:spacing w:after="0" w:line="360" w:lineRule="auto"/>
        <w:tabs>
          <w:tab w:val="left" w:pos="420" w:leader="none"/>
          <w:tab w:val="left" w:pos="1050" w:leader="none"/>
          <w:tab w:val="left" w:pos="1155" w:leader="none"/>
        </w:tabs>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7．</w:t>
      </w:r>
      <w:r>
        <w:rPr>
          <w:rFonts w:hint="eastAsia" w:ascii="宋体" w:hAnsi="宋体"/>
          <w:bCs/>
          <w:color w:val="000000" w:themeColor="text1"/>
          <w:sz w:val="24"/>
          <w14:textFill>
            <w14:solidFill>
              <w14:schemeClr w14:val="tx1"/>
            </w14:solidFill>
          </w14:textFill>
        </w:rPr>
        <w:t xml:space="preserve">经验收不合格的，供方应当按照需方要求在指定的合理期限内进行整改和完善，直至符合招标文件要求的相关标准。逾期不予整改或经整改仍不能符合相关要求，或者导致合同目的无法实现，需方有权依照法律程序解除合同，并追究供方的违约责任。</w:t>
      </w:r>
      <w:r/>
    </w:p>
    <w:p>
      <w:pPr>
        <w:ind w:firstLine="480"/>
        <w:spacing w:after="0" w:line="360" w:lineRule="auto"/>
        <w:tabs>
          <w:tab w:val="left" w:pos="420" w:leader="none"/>
          <w:tab w:val="left" w:pos="1050" w:leader="none"/>
          <w:tab w:val="left" w:pos="1155" w:leader="none"/>
        </w:tabs>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8．</w:t>
      </w:r>
      <w:r>
        <w:rPr>
          <w:rFonts w:hint="eastAsia" w:ascii="宋体" w:hAnsi="宋体"/>
          <w:bCs/>
          <w:color w:val="000000" w:themeColor="text1"/>
          <w:sz w:val="24"/>
          <w14:textFill>
            <w14:solidFill>
              <w14:schemeClr w14:val="tx1"/>
            </w14:solidFill>
          </w14:textFill>
        </w:rPr>
        <w:t xml:space="preserve">需方不得擅自变更招投标文件约定的性能、指标等相关内容，如有变更应按《中华人民共和国政府采购法》、财政部《政府采购货物和服务招标投标管理办法》的相关程序执行。</w:t>
      </w:r>
      <w:r/>
    </w:p>
    <w:p>
      <w:pPr>
        <w:ind w:left="-2" w:firstLine="480"/>
        <w:spacing w:after="0"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（六）</w:t>
      </w:r>
      <w:r>
        <w:rPr>
          <w:rFonts w:hint="eastAsia" w:ascii="宋体" w:hAnsi="宋体"/>
          <w:bCs/>
          <w:color w:val="000000" w:themeColor="text1"/>
          <w:sz w:val="24"/>
          <w14:textFill>
            <w14:solidFill>
              <w14:schemeClr w14:val="tx1"/>
            </w14:solidFill>
          </w14:textFill>
        </w:rPr>
        <w:t xml:space="preserve">交货条件：</w:t>
      </w:r>
      <w:r/>
    </w:p>
    <w:p>
      <w:pPr>
        <w:ind w:firstLine="480"/>
        <w:spacing w:after="0" w:line="360" w:lineRule="auto"/>
        <w:tabs>
          <w:tab w:val="left" w:pos="420" w:leader="none"/>
          <w:tab w:val="left" w:pos="1155" w:leader="none"/>
        </w:tabs>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1</w:t>
      </w:r>
      <w:r>
        <w:rPr>
          <w:rFonts w:hint="eastAsia" w:ascii="宋体" w:hAnsi="宋体"/>
          <w:bCs/>
          <w:color w:val="000000" w:themeColor="text1"/>
          <w:sz w:val="24"/>
          <w14:textFill>
            <w14:solidFill>
              <w14:schemeClr w14:val="tx1"/>
            </w14:solidFill>
          </w14:textFill>
        </w:rPr>
        <w:t xml:space="preserve">．交货日期（或完工期）：</w:t>
      </w:r>
      <w:r>
        <w:rPr>
          <w:rFonts w:ascii="宋体" w:hAnsi="宋体"/>
          <w:bCs/>
          <w:color w:val="000000" w:themeColor="text1"/>
          <w:sz w:val="24"/>
          <w14:textFill>
            <w14:solidFill>
              <w14:schemeClr w14:val="tx1"/>
            </w14:solidFill>
          </w14:textFill>
        </w:rPr>
        <w:t xml:space="preserve"> </w:t>
      </w:r>
      <w:r/>
    </w:p>
    <w:p>
      <w:pPr>
        <w:ind w:firstLine="480"/>
        <w:spacing w:after="0" w:line="360" w:lineRule="auto"/>
        <w:tabs>
          <w:tab w:val="left" w:pos="1155" w:leader="none"/>
        </w:tabs>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2</w:t>
      </w:r>
      <w:r>
        <w:rPr>
          <w:rFonts w:hint="eastAsia" w:ascii="宋体" w:hAnsi="宋体"/>
          <w:bCs/>
          <w:color w:val="000000" w:themeColor="text1"/>
          <w:sz w:val="24"/>
          <w14:textFill>
            <w14:solidFill>
              <w14:schemeClr w14:val="tx1"/>
            </w14:solidFill>
          </w14:textFill>
        </w:rPr>
        <w:t xml:space="preserve">．供方在验收时应先用信函、传真、电子邮件等书面方式通知需方。</w:t>
      </w:r>
      <w:r/>
    </w:p>
    <w:p>
      <w:pPr>
        <w:ind w:firstLine="480"/>
        <w:spacing w:after="0" w:line="360" w:lineRule="auto"/>
        <w:tabs>
          <w:tab w:val="left" w:pos="1155" w:leader="none"/>
        </w:tabs>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3. </w:t>
      </w:r>
      <w:r>
        <w:rPr>
          <w:rFonts w:hint="eastAsia" w:ascii="宋体" w:hAnsi="宋体"/>
          <w:bCs/>
          <w:color w:val="000000" w:themeColor="text1"/>
          <w:sz w:val="24"/>
          <w14:textFill>
            <w14:solidFill>
              <w14:schemeClr w14:val="tx1"/>
            </w14:solidFill>
          </w14:textFill>
        </w:rPr>
        <w:t xml:space="preserve">货物的外观、包装、运输应按国家有关规定或相关部颁标准执行。如因供方包装或运输不当等原因造成损坏或丢失，应由供方负责调换或补缺，如因此导致供方逾期交付货物的，供方还应承担逾期交付的违约责任。</w:t>
      </w:r>
      <w:r/>
    </w:p>
    <w:p>
      <w:pPr>
        <w:ind w:firstLine="480"/>
        <w:spacing w:after="0" w:line="360" w:lineRule="auto"/>
        <w:tabs>
          <w:tab w:val="left" w:pos="1155" w:leader="none"/>
        </w:tabs>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4.</w:t>
      </w:r>
      <w:r>
        <w:rPr>
          <w:rFonts w:ascii="宋体" w:hAnsi="宋体"/>
          <w:bCs/>
          <w:color w:val="000000" w:themeColor="text1"/>
          <w:sz w:val="28"/>
          <w14:textFill>
            <w14:solidFill>
              <w14:schemeClr w14:val="tx1"/>
            </w14:solidFill>
          </w14:textFill>
        </w:rPr>
        <w:t xml:space="preserve"> </w:t>
      </w:r>
      <w:r>
        <w:rPr>
          <w:rFonts w:hint="eastAsia" w:ascii="宋体" w:hAnsi="宋体"/>
          <w:bCs/>
          <w:color w:val="000000" w:themeColor="text1"/>
          <w:sz w:val="24"/>
          <w14:textFill>
            <w14:solidFill>
              <w14:schemeClr w14:val="tx1"/>
            </w14:solidFill>
          </w14:textFill>
        </w:rPr>
        <w:t xml:space="preserve">货物交货时，所有货物必须带有货物质量检验合格证书、中文质保单、装箱单、中文货物安装使用说明书。</w:t>
      </w:r>
      <w:r>
        <w:rPr>
          <w:rFonts w:hint="eastAsia" w:ascii="宋体" w:hAnsi="宋体" w:eastAsia="宋体"/>
          <w:bCs/>
          <w:color w:val="000000" w:themeColor="text1"/>
          <w:sz w:val="24"/>
          <w:lang w:eastAsia="zh-CN"/>
          <w14:textFill>
            <w14:solidFill>
              <w14:schemeClr w14:val="tx1"/>
            </w14:solidFill>
          </w14:textFill>
        </w:rPr>
        <w:t xml:space="preserve">其他</w:t>
      </w:r>
      <w:r>
        <w:rPr>
          <w:rFonts w:hint="eastAsia" w:ascii="宋体" w:hAnsi="宋体"/>
          <w:bCs/>
          <w:color w:val="000000" w:themeColor="text1"/>
          <w:sz w:val="24"/>
          <w14:textFill>
            <w14:solidFill>
              <w14:schemeClr w14:val="tx1"/>
            </w14:solidFill>
          </w14:textFill>
        </w:rPr>
        <w:t xml:space="preserve">附件所有部件必须原包装。</w:t>
      </w:r>
      <w:r/>
    </w:p>
    <w:p>
      <w:pPr>
        <w:ind w:left="2" w:firstLine="480"/>
        <w:spacing w:after="0" w:line="360" w:lineRule="auto"/>
        <w:tabs>
          <w:tab w:val="left" w:pos="945" w:leader="none"/>
          <w:tab w:val="left" w:pos="1155" w:leader="none"/>
        </w:tabs>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5. </w:t>
      </w:r>
      <w:r>
        <w:rPr>
          <w:rFonts w:hint="eastAsia" w:ascii="宋体" w:hAnsi="宋体"/>
          <w:bCs/>
          <w:color w:val="000000" w:themeColor="text1"/>
          <w:sz w:val="24"/>
          <w14:textFill>
            <w14:solidFill>
              <w14:schemeClr w14:val="tx1"/>
            </w14:solidFill>
          </w14:textFill>
        </w:rPr>
        <w:t xml:space="preserve">运输及到货地点：由供方负责办理运输并承担所有费用，直接送到需方指定地点，即：以合同书上的地点为准。</w:t>
      </w:r>
      <w:r>
        <w:rPr>
          <w:rFonts w:ascii="宋体" w:hAnsi="宋体"/>
          <w:bCs/>
          <w:color w:val="000000" w:themeColor="text1"/>
          <w:sz w:val="24"/>
          <w14:textFill>
            <w14:solidFill>
              <w14:schemeClr w14:val="tx1"/>
            </w14:solidFill>
          </w14:textFill>
        </w:rPr>
        <w:t xml:space="preserve">                    </w:t>
      </w:r>
      <w:r/>
    </w:p>
    <w:p>
      <w:pPr>
        <w:ind w:firstLine="480"/>
        <w:spacing w:after="0"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（七）</w:t>
      </w:r>
      <w:r>
        <w:rPr>
          <w:rFonts w:hint="eastAsia" w:ascii="宋体" w:hAnsi="宋体"/>
          <w:bCs/>
          <w:color w:val="000000" w:themeColor="text1"/>
          <w:sz w:val="24"/>
          <w14:textFill>
            <w14:solidFill>
              <w14:schemeClr w14:val="tx1"/>
            </w14:solidFill>
          </w14:textFill>
        </w:rPr>
        <w:t xml:space="preserve">安装调试及售后服务：</w:t>
      </w:r>
      <w:r/>
    </w:p>
    <w:p>
      <w:pPr>
        <w:ind w:left="-100" w:firstLine="480"/>
        <w:spacing w:after="0" w:line="360" w:lineRule="auto"/>
        <w:tabs>
          <w:tab w:val="left" w:pos="525" w:leader="none"/>
          <w:tab w:val="left" w:pos="840" w:leader="none"/>
          <w:tab w:val="left" w:pos="945" w:leader="none"/>
        </w:tabs>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1.</w:t>
      </w:r>
      <w:r>
        <w:rPr>
          <w:rFonts w:hint="eastAsia" w:ascii="宋体" w:hAnsi="宋体"/>
          <w:bCs/>
          <w:color w:val="000000" w:themeColor="text1"/>
          <w:sz w:val="24"/>
          <w14:textFill>
            <w14:solidFill>
              <w14:schemeClr w14:val="tx1"/>
            </w14:solidFill>
          </w14:textFill>
        </w:rPr>
        <w:t xml:space="preserve">供方负责本项目的安装和调试，并保证其提供的货物符合国家、行业、地方、招投标文件及合同规定的质量、性能和标准，并正确且安全地安装。</w:t>
      </w:r>
      <w:r/>
    </w:p>
    <w:p>
      <w:pPr>
        <w:ind w:left="-100" w:firstLine="480"/>
        <w:spacing w:after="0" w:line="360" w:lineRule="auto"/>
        <w:tabs>
          <w:tab w:val="left" w:pos="525" w:leader="none"/>
          <w:tab w:val="left" w:pos="840" w:leader="none"/>
          <w:tab w:val="left" w:pos="945" w:leader="none"/>
          <w:tab w:val="left" w:pos="1050" w:leader="none"/>
        </w:tabs>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2.</w:t>
      </w:r>
      <w:r>
        <w:rPr>
          <w:rFonts w:hint="eastAsia" w:ascii="宋体" w:hAnsi="宋体"/>
          <w:bCs/>
          <w:color w:val="000000" w:themeColor="text1"/>
          <w:sz w:val="24"/>
          <w14:textFill>
            <w14:solidFill>
              <w14:schemeClr w14:val="tx1"/>
            </w14:solidFill>
          </w14:textFill>
        </w:rPr>
        <w:t xml:space="preserve">供方提供的服务全部按照国家有关法律法规规章和“三包”规定以及按招标文件要求和供方投标文件中的承诺执行。</w:t>
      </w:r>
      <w:r/>
    </w:p>
    <w:p>
      <w:pPr>
        <w:ind w:left="-100" w:firstLine="480"/>
        <w:spacing w:after="0" w:line="360" w:lineRule="auto"/>
        <w:tabs>
          <w:tab w:val="left" w:pos="525" w:leader="none"/>
          <w:tab w:val="left" w:pos="840" w:leader="none"/>
          <w:tab w:val="left" w:pos="945" w:leader="none"/>
          <w:tab w:val="left" w:pos="1050" w:leader="none"/>
        </w:tabs>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3.</w:t>
      </w:r>
      <w:r>
        <w:rPr>
          <w:rFonts w:hint="eastAsia" w:ascii="宋体" w:hAnsi="宋体"/>
          <w:bCs/>
          <w:color w:val="000000" w:themeColor="text1"/>
          <w:sz w:val="24"/>
          <w14:textFill>
            <w14:solidFill>
              <w14:schemeClr w14:val="tx1"/>
            </w14:solidFill>
          </w14:textFill>
        </w:rPr>
        <w:t xml:space="preserve">质保期后的货物维护由双方协商再定。</w:t>
      </w:r>
      <w:r/>
    </w:p>
    <w:p>
      <w:pPr>
        <w:ind w:left="-100" w:firstLine="480"/>
        <w:spacing w:after="0" w:line="360" w:lineRule="auto"/>
        <w:tabs>
          <w:tab w:val="left" w:pos="525" w:leader="none"/>
          <w:tab w:val="left" w:pos="840" w:leader="none"/>
          <w:tab w:val="left" w:pos="945" w:leader="none"/>
          <w:tab w:val="left" w:pos="1050" w:leader="none"/>
        </w:tabs>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4.</w:t>
      </w:r>
      <w:r>
        <w:rPr>
          <w:rFonts w:hint="eastAsia" w:ascii="宋体" w:hAnsi="宋体"/>
          <w:bCs/>
          <w:color w:val="000000" w:themeColor="text1"/>
          <w:sz w:val="24"/>
          <w14:textFill>
            <w14:solidFill>
              <w14:schemeClr w14:val="tx1"/>
            </w14:solidFill>
          </w14:textFill>
        </w:rPr>
        <w:t xml:space="preserve">需方应向供方现场调试的技术人员及维修人员提供方便条件，有关费用由供方负责。</w:t>
      </w:r>
      <w:r/>
    </w:p>
    <w:p>
      <w:pPr>
        <w:ind w:left="-100" w:firstLine="480"/>
        <w:spacing w:after="0" w:line="360" w:lineRule="auto"/>
        <w:tabs>
          <w:tab w:val="left" w:pos="525" w:leader="none"/>
          <w:tab w:val="left" w:pos="840" w:leader="none"/>
          <w:tab w:val="left" w:pos="945" w:leader="none"/>
          <w:tab w:val="left" w:pos="1050" w:leader="none"/>
        </w:tabs>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5.</w:t>
      </w:r>
      <w:r>
        <w:rPr>
          <w:rFonts w:hint="eastAsia" w:ascii="宋体" w:hAnsi="宋体"/>
          <w:bCs/>
          <w:color w:val="000000" w:themeColor="text1"/>
          <w:sz w:val="24"/>
          <w14:textFill>
            <w14:solidFill>
              <w14:schemeClr w14:val="tx1"/>
            </w14:solidFill>
          </w14:textFill>
        </w:rPr>
        <w:t xml:space="preserve">需方如要求供方提供招标文件及供方投标文件以外的</w:t>
      </w:r>
      <w:r>
        <w:rPr>
          <w:rFonts w:hint="eastAsia" w:ascii="宋体" w:hAnsi="宋体" w:eastAsia="宋体"/>
          <w:bCs/>
          <w:color w:val="000000" w:themeColor="text1"/>
          <w:sz w:val="24"/>
          <w:lang w:eastAsia="zh-CN"/>
          <w14:textFill>
            <w14:solidFill>
              <w14:schemeClr w14:val="tx1"/>
            </w14:solidFill>
          </w14:textFill>
        </w:rPr>
        <w:t xml:space="preserve">其他</w:t>
      </w:r>
      <w:r>
        <w:rPr>
          <w:rFonts w:hint="eastAsia" w:ascii="宋体" w:hAnsi="宋体"/>
          <w:bCs/>
          <w:color w:val="000000" w:themeColor="text1"/>
          <w:sz w:val="24"/>
          <w14:textFill>
            <w14:solidFill>
              <w14:schemeClr w14:val="tx1"/>
            </w14:solidFill>
          </w14:textFill>
        </w:rPr>
        <w:t xml:space="preserve">服务，其费用另定。</w:t>
      </w:r>
      <w:r/>
    </w:p>
    <w:p>
      <w:pPr>
        <w:ind w:left="-100" w:firstLine="480"/>
        <w:spacing w:after="0" w:line="360" w:lineRule="auto"/>
        <w:tabs>
          <w:tab w:val="left" w:pos="525" w:leader="none"/>
          <w:tab w:val="left" w:pos="840" w:leader="none"/>
          <w:tab w:val="left" w:pos="945" w:leader="none"/>
          <w:tab w:val="left" w:pos="1050" w:leader="none"/>
          <w:tab w:val="left" w:pos="1839" w:leader="none"/>
        </w:tabs>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6.</w:t>
      </w:r>
      <w:r>
        <w:rPr>
          <w:rFonts w:hint="eastAsia" w:ascii="宋体" w:hAnsi="宋体"/>
          <w:bCs/>
          <w:color w:val="000000" w:themeColor="text1"/>
          <w:sz w:val="24"/>
          <w14:textFill>
            <w14:solidFill>
              <w14:schemeClr w14:val="tx1"/>
            </w14:solidFill>
          </w14:textFill>
        </w:rPr>
        <w:t xml:space="preserve">供方提供</w:t>
      </w:r>
      <w:r>
        <w:rPr>
          <w:rFonts w:hint="eastAsia" w:ascii="宋体" w:hAnsi="宋体"/>
          <w:bCs/>
          <w:color w:val="000000" w:themeColor="text1"/>
          <w:sz w:val="24"/>
          <w:u w:val="single"/>
          <w14:textFill>
            <w14:solidFill>
              <w14:schemeClr w14:val="tx1"/>
            </w14:solidFill>
          </w14:textFill>
        </w:rPr>
        <w:t xml:space="preserve">    </w:t>
      </w:r>
      <w:r>
        <w:rPr>
          <w:rFonts w:hint="eastAsia" w:ascii="宋体" w:hAnsi="宋体"/>
          <w:bCs/>
          <w:color w:val="000000" w:themeColor="text1"/>
          <w:sz w:val="24"/>
          <w14:textFill>
            <w14:solidFill>
              <w14:schemeClr w14:val="tx1"/>
            </w14:solidFill>
          </w14:textFill>
        </w:rPr>
        <w:t xml:space="preserve">年免费质保服务质保期，并提供终身维修服务。质保期自货物安装调试完毕并经需方验收合格之日起开始计算。在质保期内，</w:t>
      </w:r>
      <w:r>
        <w:rPr>
          <w:rFonts w:ascii="宋体" w:hAnsi="宋体"/>
          <w:bCs/>
          <w:color w:val="000000" w:themeColor="text1"/>
          <w:sz w:val="24"/>
          <w14:textFill>
            <w14:solidFill>
              <w14:schemeClr w14:val="tx1"/>
            </w14:solidFill>
          </w14:textFill>
        </w:rPr>
        <w:t xml:space="preserve">用户方在使用设备的过程中遇到的技术问题、故障等，接到报修后</w:t>
      </w:r>
      <w:r>
        <w:rPr>
          <w:rFonts w:hint="eastAsia" w:ascii="宋体" w:hAnsi="宋体"/>
          <w:bCs/>
          <w:color w:val="000000" w:themeColor="text1"/>
          <w:sz w:val="24"/>
          <w:u w:val="single"/>
          <w14:textFill>
            <w14:solidFill>
              <w14:schemeClr w14:val="tx1"/>
            </w14:solidFill>
          </w14:textFill>
        </w:rPr>
        <w:t xml:space="preserve">    </w:t>
      </w:r>
      <w:r>
        <w:rPr>
          <w:rFonts w:ascii="宋体" w:hAnsi="宋体"/>
          <w:bCs/>
          <w:color w:val="000000" w:themeColor="text1"/>
          <w:sz w:val="24"/>
          <w14:textFill>
            <w14:solidFill>
              <w14:schemeClr w14:val="tx1"/>
            </w14:solidFill>
          </w14:textFill>
        </w:rPr>
        <w:t xml:space="preserve">小时内</w:t>
      </w:r>
      <w:r>
        <w:rPr>
          <w:rFonts w:hint="eastAsia" w:ascii="宋体" w:hAnsi="宋体"/>
          <w:bCs/>
          <w:color w:val="000000" w:themeColor="text1"/>
          <w:sz w:val="24"/>
          <w14:textFill>
            <w14:solidFill>
              <w14:schemeClr w14:val="tx1"/>
            </w14:solidFill>
          </w14:textFill>
        </w:rPr>
        <w:t xml:space="preserve">电话</w:t>
      </w:r>
      <w:r>
        <w:rPr>
          <w:rFonts w:ascii="宋体" w:hAnsi="宋体"/>
          <w:bCs/>
          <w:color w:val="000000" w:themeColor="text1"/>
          <w:sz w:val="24"/>
          <w14:textFill>
            <w14:solidFill>
              <w14:schemeClr w14:val="tx1"/>
            </w14:solidFill>
          </w14:textFill>
        </w:rPr>
        <w:t xml:space="preserve">响应，如需要</w:t>
      </w:r>
      <w:r>
        <w:rPr>
          <w:rFonts w:hint="eastAsia" w:ascii="宋体" w:hAnsi="宋体"/>
          <w:bCs/>
          <w:color w:val="000000" w:themeColor="text1"/>
          <w:sz w:val="24"/>
          <w:u w:val="single"/>
          <w14:textFill>
            <w14:solidFill>
              <w14:schemeClr w14:val="tx1"/>
            </w14:solidFill>
          </w14:textFill>
        </w:rPr>
        <w:t xml:space="preserve">    </w:t>
      </w:r>
      <w:r>
        <w:rPr>
          <w:rFonts w:hint="eastAsia" w:ascii="宋体" w:hAnsi="宋体"/>
          <w:bCs/>
          <w:color w:val="000000" w:themeColor="text1"/>
          <w:sz w:val="24"/>
          <w14:textFill>
            <w14:solidFill>
              <w14:schemeClr w14:val="tx1"/>
            </w14:solidFill>
          </w14:textFill>
        </w:rPr>
        <w:t xml:space="preserve">小时内</w:t>
      </w:r>
      <w:r>
        <w:rPr>
          <w:rFonts w:ascii="宋体" w:hAnsi="宋体"/>
          <w:bCs/>
          <w:color w:val="000000" w:themeColor="text1"/>
          <w:sz w:val="24"/>
          <w14:textFill>
            <w14:solidFill>
              <w14:schemeClr w14:val="tx1"/>
            </w14:solidFill>
          </w14:textFill>
        </w:rPr>
        <w:t xml:space="preserve">上门</w:t>
      </w:r>
      <w:r>
        <w:rPr>
          <w:rFonts w:hint="eastAsia" w:ascii="宋体" w:hAnsi="宋体"/>
          <w:bCs/>
          <w:color w:val="000000" w:themeColor="text1"/>
          <w:sz w:val="24"/>
          <w14:textFill>
            <w14:solidFill>
              <w14:schemeClr w14:val="tx1"/>
            </w14:solidFill>
          </w14:textFill>
        </w:rPr>
        <w:t xml:space="preserve">，维修日程不超过</w:t>
      </w:r>
      <w:r>
        <w:rPr>
          <w:rFonts w:hint="eastAsia" w:ascii="宋体" w:hAnsi="宋体"/>
          <w:bCs/>
          <w:color w:val="000000" w:themeColor="text1"/>
          <w:sz w:val="24"/>
          <w:u w:val="single"/>
          <w14:textFill>
            <w14:solidFill>
              <w14:schemeClr w14:val="tx1"/>
            </w14:solidFill>
          </w14:textFill>
        </w:rPr>
        <w:t xml:space="preserve">    </w:t>
      </w:r>
      <w:r>
        <w:rPr>
          <w:rFonts w:hint="eastAsia" w:ascii="宋体" w:hAnsi="宋体"/>
          <w:bCs/>
          <w:color w:val="000000" w:themeColor="text1"/>
          <w:sz w:val="24"/>
          <w14:textFill>
            <w14:solidFill>
              <w14:schemeClr w14:val="tx1"/>
            </w14:solidFill>
          </w14:textFill>
        </w:rPr>
        <w:t xml:space="preserve">个工作日。</w:t>
      </w:r>
      <w:r/>
    </w:p>
    <w:p>
      <w:pPr>
        <w:ind w:left="-100" w:firstLine="480"/>
        <w:spacing w:after="0" w:line="360" w:lineRule="auto"/>
        <w:tabs>
          <w:tab w:val="left" w:pos="525" w:leader="none"/>
          <w:tab w:val="left" w:pos="840" w:leader="none"/>
          <w:tab w:val="left" w:pos="945" w:leader="none"/>
          <w:tab w:val="left" w:pos="1050" w:leader="none"/>
          <w:tab w:val="left" w:pos="1839" w:leader="none"/>
        </w:tabs>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7.在质保期内，如非需方原因损坏或出现性能不</w:t>
      </w:r>
      <w:r>
        <w:rPr>
          <w:rFonts w:hint="eastAsia" w:ascii="宋体" w:hAnsi="宋体" w:eastAsia="宋体"/>
          <w:bCs/>
          <w:color w:val="000000" w:themeColor="text1"/>
          <w:sz w:val="24"/>
          <w:lang w:eastAsia="zh-CN"/>
          <w14:textFill>
            <w14:solidFill>
              <w14:schemeClr w14:val="tx1"/>
            </w14:solidFill>
          </w14:textFill>
        </w:rPr>
        <w:t xml:space="preserve">符合</w:t>
      </w:r>
      <w:r>
        <w:rPr>
          <w:rFonts w:hint="eastAsia" w:ascii="宋体" w:hAnsi="宋体"/>
          <w:bCs/>
          <w:color w:val="000000" w:themeColor="text1"/>
          <w:sz w:val="24"/>
          <w14:textFill>
            <w14:solidFill>
              <w14:schemeClr w14:val="tx1"/>
            </w14:solidFill>
          </w14:textFill>
        </w:rPr>
        <w:t xml:space="preserve">要求等质量问题时，需方可根据具体情况，有权要求供方负责在需方指定期限内修复、换货或退货，因修复、调换或退货而支付的实际费用由供方承担，并且供方还应承担给需方造成的所有损失。如需方要求供方在指定期限内修复的，但供方超过指定期限还未修复的，需方有权自行修复或委托第三方修复，所花费用全部由供方承担。对于修复或调换的产品，质量保证期限自修复完毕或调换之日起重新计算。</w:t>
      </w:r>
      <w:r/>
    </w:p>
    <w:p>
      <w:pPr>
        <w:ind w:left="-100" w:firstLine="480"/>
        <w:spacing w:after="0" w:line="360" w:lineRule="auto"/>
        <w:tabs>
          <w:tab w:val="left" w:pos="525" w:leader="none"/>
          <w:tab w:val="left" w:pos="840" w:leader="none"/>
          <w:tab w:val="left" w:pos="945" w:leader="none"/>
          <w:tab w:val="left" w:pos="1050" w:leader="none"/>
          <w:tab w:val="left" w:pos="1839" w:leader="none"/>
        </w:tabs>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8.</w:t>
      </w:r>
      <w:r>
        <w:rPr>
          <w:rFonts w:hint="eastAsia" w:ascii="宋体" w:hAnsi="宋体"/>
          <w:bCs/>
          <w:color w:val="000000" w:themeColor="text1"/>
          <w:sz w:val="24"/>
          <w14:textFill>
            <w14:solidFill>
              <w14:schemeClr w14:val="tx1"/>
            </w14:solidFill>
          </w14:textFill>
        </w:rPr>
        <w:t xml:space="preserve">供方对本合同履行过程中所知悉的需方全部文件、资料、信息等负有保密义务。未经需方书面同意，供方不得擅自披露、泄露、使用或用于本合同约定之外的目的。</w:t>
      </w:r>
      <w:r/>
    </w:p>
    <w:p>
      <w:pPr>
        <w:ind w:firstLine="480"/>
        <w:spacing w:after="0"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（八）</w:t>
      </w:r>
      <w:r>
        <w:rPr>
          <w:rFonts w:hint="eastAsia" w:ascii="宋体" w:hAnsi="宋体"/>
          <w:bCs/>
          <w:color w:val="000000" w:themeColor="text1"/>
          <w:sz w:val="24"/>
          <w14:textFill>
            <w14:solidFill>
              <w14:schemeClr w14:val="tx1"/>
            </w14:solidFill>
          </w14:textFill>
        </w:rPr>
        <w:t xml:space="preserve">违约责任：</w:t>
      </w:r>
      <w:r/>
    </w:p>
    <w:p>
      <w:pPr>
        <w:ind w:firstLine="480"/>
        <w:spacing w:after="0" w:line="360" w:lineRule="auto"/>
        <w:tabs>
          <w:tab w:val="left" w:pos="0" w:leader="none"/>
          <w:tab w:val="left" w:pos="525" w:leader="none"/>
          <w:tab w:val="left" w:pos="945" w:leader="none"/>
          <w:tab w:val="left" w:pos="2295" w:leader="none"/>
        </w:tabs>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在履行合同的过程中，如果供方遇到妨碍按时交货和提供服务的情况时，应及时以书面形式将拖延的事实、可能拖延的时间和原因通知需方。需方在收到供方通知后，应尽快对情况进行核实，并有权根据情况确定是否酌情延长交货时间以及是否收取逾期交货的违约金及损害赔偿金（如有），或依照法律程序解除部分或全部合同。延期应通过签订补充合同的方式由双方认可并履行。</w:t>
      </w:r>
      <w:r/>
    </w:p>
    <w:p>
      <w:pPr>
        <w:ind w:firstLine="480"/>
        <w:spacing w:after="0" w:line="360" w:lineRule="auto"/>
        <w:tabs>
          <w:tab w:val="left" w:pos="0" w:leader="none"/>
          <w:tab w:val="left" w:pos="525" w:leader="none"/>
          <w:tab w:val="left" w:pos="945" w:leader="none"/>
          <w:tab w:val="left" w:pos="2295" w:leader="none"/>
        </w:tabs>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2．如供方逾期交货且未经需方同意延长交货时间，除不可抗力外，每逾期一日，供方应按照逾期交货金额的万分之五的标准累计计算向需方支付违约金。逾期超过</w:t>
      </w:r>
      <w:r>
        <w:rPr>
          <w:rFonts w:ascii="宋体" w:hAnsi="宋体"/>
          <w:bCs/>
          <w:color w:val="000000" w:themeColor="text1"/>
          <w:sz w:val="24"/>
          <w14:textFill>
            <w14:solidFill>
              <w14:schemeClr w14:val="tx1"/>
            </w14:solidFill>
          </w14:textFill>
        </w:rPr>
        <w:t xml:space="preserve">20</w:t>
      </w:r>
      <w:r>
        <w:rPr>
          <w:rFonts w:hint="eastAsia" w:ascii="宋体" w:hAnsi="宋体"/>
          <w:bCs/>
          <w:color w:val="000000" w:themeColor="text1"/>
          <w:sz w:val="24"/>
          <w14:textFill>
            <w14:solidFill>
              <w14:schemeClr w14:val="tx1"/>
            </w14:solidFill>
          </w14:textFill>
        </w:rPr>
        <w:t xml:space="preserve">个工作日的，需方有权依照法律程序解除合同，需方如已支付费用的，供方全部返还，且供方应按照合同总价的</w:t>
      </w:r>
      <w:r>
        <w:rPr>
          <w:rFonts w:ascii="宋体" w:hAnsi="宋体"/>
          <w:bCs/>
          <w:color w:val="000000" w:themeColor="text1"/>
          <w:sz w:val="24"/>
          <w14:textFill>
            <w14:solidFill>
              <w14:schemeClr w14:val="tx1"/>
            </w14:solidFill>
          </w14:textFill>
        </w:rPr>
        <w:t xml:space="preserve">30%</w:t>
      </w:r>
      <w:r>
        <w:rPr>
          <w:rFonts w:hint="eastAsia" w:ascii="宋体" w:hAnsi="宋体"/>
          <w:bCs/>
          <w:color w:val="000000" w:themeColor="text1"/>
          <w:sz w:val="24"/>
          <w14:textFill>
            <w14:solidFill>
              <w14:schemeClr w14:val="tx1"/>
            </w14:solidFill>
          </w14:textFill>
        </w:rPr>
        <w:t xml:space="preserve">向需方支付违约金，如给需方造成损失的，还应赔偿损失。</w:t>
      </w:r>
      <w:r/>
    </w:p>
    <w:p>
      <w:pPr>
        <w:ind w:firstLine="480"/>
        <w:spacing w:after="0" w:line="360" w:lineRule="auto"/>
        <w:tabs>
          <w:tab w:val="left" w:pos="105" w:leader="none"/>
          <w:tab w:val="left" w:pos="525" w:leader="none"/>
          <w:tab w:val="left" w:pos="945" w:leader="none"/>
          <w:tab w:val="left" w:pos="2295" w:leader="none"/>
        </w:tabs>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3．供方如无不可抗力，又未履行招标文件、投标文件和合同条款的，一经查实，由供方赔偿由此给需方造成的损失，并按照合同总价的</w:t>
      </w:r>
      <w:r>
        <w:rPr>
          <w:rFonts w:ascii="宋体" w:hAnsi="宋体"/>
          <w:bCs/>
          <w:color w:val="000000" w:themeColor="text1"/>
          <w:sz w:val="24"/>
          <w14:textFill>
            <w14:solidFill>
              <w14:schemeClr w14:val="tx1"/>
            </w14:solidFill>
          </w14:textFill>
        </w:rPr>
        <w:t xml:space="preserve">30%</w:t>
      </w:r>
      <w:r>
        <w:rPr>
          <w:rFonts w:hint="eastAsia" w:ascii="宋体" w:hAnsi="宋体"/>
          <w:bCs/>
          <w:color w:val="000000" w:themeColor="text1"/>
          <w:sz w:val="24"/>
          <w14:textFill>
            <w14:solidFill>
              <w14:schemeClr w14:val="tx1"/>
            </w14:solidFill>
          </w14:textFill>
        </w:rPr>
        <w:t xml:space="preserve">向需方支付违约金，因招、投标产生的其他责任及后果按招标文件的相关要求及处理方式执行。</w:t>
      </w:r>
      <w:r/>
    </w:p>
    <w:p>
      <w:pPr>
        <w:ind w:firstLine="480"/>
        <w:spacing w:after="0" w:line="360" w:lineRule="auto"/>
        <w:tabs>
          <w:tab w:val="left" w:pos="105" w:leader="none"/>
          <w:tab w:val="left" w:pos="525" w:leader="none"/>
          <w:tab w:val="left" w:pos="945" w:leader="none"/>
          <w:tab w:val="left" w:pos="2295" w:leader="none"/>
        </w:tabs>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4．由于供方提供货物质量、安装存在问题或缺陷导致任何人身、财产损害的，供方应负责承担由此产生的责任，与需方无关。如不可避免地造成需方损失的，需方有权向供方追偿（该等损失包括但不限于损害赔偿金、需方为解决纠纷支付的律师费、诉讼费、差旅费等合理费用）。供方并应按照合同总价的</w:t>
      </w:r>
      <w:r>
        <w:rPr>
          <w:rFonts w:ascii="宋体" w:hAnsi="宋体"/>
          <w:bCs/>
          <w:color w:val="000000" w:themeColor="text1"/>
          <w:sz w:val="24"/>
          <w14:textFill>
            <w14:solidFill>
              <w14:schemeClr w14:val="tx1"/>
            </w14:solidFill>
          </w14:textFill>
        </w:rPr>
        <w:t xml:space="preserve">20%</w:t>
      </w:r>
      <w:r>
        <w:rPr>
          <w:rFonts w:hint="eastAsia" w:ascii="宋体" w:hAnsi="宋体"/>
          <w:bCs/>
          <w:color w:val="000000" w:themeColor="text1"/>
          <w:sz w:val="24"/>
          <w14:textFill>
            <w14:solidFill>
              <w14:schemeClr w14:val="tx1"/>
            </w14:solidFill>
          </w14:textFill>
        </w:rPr>
        <w:t xml:space="preserve">向需方支付违约金，如给需方造成其他损失的，供方还应负责赔偿。</w:t>
      </w:r>
      <w:r/>
    </w:p>
    <w:p>
      <w:pPr>
        <w:ind w:firstLine="480"/>
        <w:spacing w:after="0" w:line="360" w:lineRule="auto"/>
        <w:tabs>
          <w:tab w:val="left" w:pos="105" w:leader="none"/>
          <w:tab w:val="left" w:pos="525" w:leader="none"/>
          <w:tab w:val="left" w:pos="945" w:leader="none"/>
          <w:tab w:val="left" w:pos="2295" w:leader="none"/>
        </w:tabs>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5．质保期内，供方未能按约履行质保义务，每发生一次，应当向需方支付违约金，金额为质保实际发生金额的</w:t>
      </w:r>
      <w:r>
        <w:rPr>
          <w:rFonts w:ascii="宋体" w:hAnsi="宋体"/>
          <w:bCs/>
          <w:color w:val="000000" w:themeColor="text1"/>
          <w:sz w:val="24"/>
          <w14:textFill>
            <w14:solidFill>
              <w14:schemeClr w14:val="tx1"/>
            </w14:solidFill>
          </w14:textFill>
        </w:rPr>
        <w:t xml:space="preserve">2</w:t>
      </w:r>
      <w:r>
        <w:rPr>
          <w:rFonts w:hint="eastAsia" w:ascii="宋体" w:hAnsi="宋体"/>
          <w:bCs/>
          <w:color w:val="000000" w:themeColor="text1"/>
          <w:sz w:val="24"/>
          <w14:textFill>
            <w14:solidFill>
              <w14:schemeClr w14:val="tx1"/>
            </w14:solidFill>
          </w14:textFill>
        </w:rPr>
        <w:t xml:space="preserve">倍。</w:t>
      </w:r>
      <w:r/>
    </w:p>
    <w:p>
      <w:pPr>
        <w:ind w:firstLine="480"/>
        <w:spacing w:after="0" w:line="360" w:lineRule="auto"/>
        <w:tabs>
          <w:tab w:val="left" w:pos="105" w:leader="none"/>
          <w:tab w:val="left" w:pos="525" w:leader="none"/>
          <w:tab w:val="left" w:pos="945" w:leader="none"/>
          <w:tab w:val="left" w:pos="2295" w:leader="none"/>
        </w:tabs>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6．供方未能按约履行保密义务，应当向需方支付合同总价</w:t>
      </w:r>
      <w:r>
        <w:rPr>
          <w:rFonts w:ascii="宋体" w:hAnsi="宋体"/>
          <w:bCs/>
          <w:color w:val="000000" w:themeColor="text1"/>
          <w:sz w:val="24"/>
          <w14:textFill>
            <w14:solidFill>
              <w14:schemeClr w14:val="tx1"/>
            </w14:solidFill>
          </w14:textFill>
        </w:rPr>
        <w:t xml:space="preserve"> 1 %</w:t>
      </w:r>
      <w:r>
        <w:rPr>
          <w:rFonts w:hint="eastAsia" w:ascii="宋体" w:hAnsi="宋体"/>
          <w:bCs/>
          <w:color w:val="000000" w:themeColor="text1"/>
          <w:sz w:val="24"/>
          <w14:textFill>
            <w14:solidFill>
              <w14:schemeClr w14:val="tx1"/>
            </w14:solidFill>
          </w14:textFill>
        </w:rPr>
        <w:t xml:space="preserve">的违约金并赔偿由此给需方造成的全部损失。</w:t>
      </w:r>
      <w:r/>
    </w:p>
    <w:p>
      <w:pPr>
        <w:ind w:left="-2" w:firstLine="480"/>
        <w:spacing w:after="0"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（九）</w:t>
      </w:r>
      <w:r>
        <w:rPr>
          <w:rFonts w:hint="eastAsia" w:ascii="宋体" w:hAnsi="宋体"/>
          <w:bCs/>
          <w:color w:val="000000" w:themeColor="text1"/>
          <w:sz w:val="24"/>
          <w14:textFill>
            <w14:solidFill>
              <w14:schemeClr w14:val="tx1"/>
            </w14:solidFill>
          </w14:textFill>
        </w:rPr>
        <w:t xml:space="preserve">不可抗力：</w:t>
      </w:r>
      <w:r/>
    </w:p>
    <w:p>
      <w:pPr>
        <w:ind w:firstLine="480"/>
        <w:spacing w:after="0" w:line="360" w:lineRule="auto"/>
        <w:tabs>
          <w:tab w:val="left" w:pos="105" w:leader="none"/>
          <w:tab w:val="left" w:pos="945" w:leader="none"/>
          <w:tab w:val="left" w:pos="1320" w:leader="none"/>
        </w:tabs>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1.</w:t>
      </w:r>
      <w:r>
        <w:rPr>
          <w:rFonts w:hint="eastAsia" w:ascii="宋体" w:hAnsi="宋体"/>
          <w:bCs/>
          <w:color w:val="000000" w:themeColor="text1"/>
          <w:sz w:val="24"/>
          <w14:textFill>
            <w14:solidFill>
              <w14:schemeClr w14:val="tx1"/>
            </w14:solidFill>
          </w14:textFill>
        </w:rPr>
        <w:t xml:space="preserve">如遭遇不可抗力事件，遭遇不可抗力的一方应尽快以书面形式将不可抗力的情况和原因通知另一方，并积极采取措施防止损失扩大。因不可抗力造成的损失，供、需双方按照法律规定处理。</w:t>
      </w:r>
      <w:r/>
    </w:p>
    <w:p>
      <w:pPr>
        <w:ind w:firstLine="480"/>
        <w:spacing w:after="0" w:line="360" w:lineRule="auto"/>
        <w:tabs>
          <w:tab w:val="left" w:pos="105" w:leader="none"/>
          <w:tab w:val="left" w:pos="525" w:leader="none"/>
          <w:tab w:val="left" w:pos="945" w:leader="none"/>
        </w:tabs>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2.</w:t>
      </w:r>
      <w:r>
        <w:rPr>
          <w:rFonts w:hint="eastAsia" w:ascii="宋体" w:hAnsi="宋体"/>
          <w:bCs/>
          <w:color w:val="000000" w:themeColor="text1"/>
          <w:sz w:val="24"/>
          <w14:textFill>
            <w14:solidFill>
              <w14:schemeClr w14:val="tx1"/>
            </w14:solidFill>
          </w14:textFill>
        </w:rPr>
        <w:t xml:space="preserve">招标文件及合同中所述之“不可抗力”系指不可预见、不可避免、不可克服的事件。</w:t>
      </w:r>
      <w:r/>
    </w:p>
    <w:p>
      <w:pPr>
        <w:ind w:left="-2" w:firstLine="480"/>
        <w:spacing w:after="0"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（十）合同生效及其它：</w:t>
      </w:r>
      <w:r/>
    </w:p>
    <w:p>
      <w:pPr>
        <w:ind w:firstLine="480"/>
        <w:spacing w:after="0" w:line="360" w:lineRule="auto"/>
        <w:tabs>
          <w:tab w:val="left" w:pos="0" w:leader="none"/>
          <w:tab w:val="left" w:pos="525" w:leader="none"/>
          <w:tab w:val="left" w:pos="945" w:leader="none"/>
        </w:tabs>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1．合同经供需双方代表签字并盖章后即生效。</w:t>
      </w:r>
      <w:r/>
    </w:p>
    <w:p>
      <w:pPr>
        <w:ind w:firstLine="480"/>
        <w:spacing w:after="0" w:line="360" w:lineRule="auto"/>
        <w:tabs>
          <w:tab w:val="left" w:pos="0" w:leader="none"/>
          <w:tab w:val="left" w:pos="525" w:leader="none"/>
          <w:tab w:val="left" w:pos="945" w:leader="none"/>
        </w:tabs>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w:t>
      </w:r>
      <w:r>
        <w:rPr>
          <w:rFonts w:hint="eastAsia" w:ascii="宋体" w:hAnsi="宋体"/>
          <w:bCs/>
          <w:color w:val="000000" w:themeColor="text1"/>
          <w:sz w:val="24"/>
          <w14:textFill>
            <w14:solidFill>
              <w14:schemeClr w14:val="tx1"/>
            </w14:solidFill>
          </w14:textFill>
        </w:rPr>
        <w:t xml:space="preserve">合同签订后供需双方即直接产生权利与义务的关系，合同执行过程中出现的问题应按照合同约定、法律法规的规定办理。在合同履行过程中，双方如有争议，</w:t>
      </w:r>
      <w:r>
        <w:rPr>
          <w:rFonts w:hint="eastAsia" w:ascii="宋体" w:hAnsi="宋体"/>
          <w:color w:val="000000" w:themeColor="text1"/>
          <w:sz w:val="24"/>
          <w14:textFill>
            <w14:solidFill>
              <w14:schemeClr w14:val="tx1"/>
            </w14:solidFill>
          </w14:textFill>
        </w:rPr>
        <w:t xml:space="preserve">由供需双方协商处理，若协商不成，</w:t>
      </w:r>
      <w:r>
        <w:rPr>
          <w:rFonts w:hint="eastAsia" w:ascii="宋体" w:hAnsi="宋体"/>
          <w:bCs/>
          <w:color w:val="000000" w:themeColor="text1"/>
          <w:sz w:val="24"/>
          <w14:textFill>
            <w14:solidFill>
              <w14:schemeClr w14:val="tx1"/>
            </w14:solidFill>
          </w14:textFill>
        </w:rPr>
        <w:t xml:space="preserve">可选择以下</w:t>
      </w:r>
      <w:r>
        <w:rPr>
          <w:rFonts w:ascii="宋体" w:hAnsi="宋体"/>
          <w:bCs/>
          <w:color w:val="000000" w:themeColor="text1"/>
          <w:sz w:val="24"/>
          <w:u w:val="single"/>
          <w14:textFill>
            <w14:solidFill>
              <w14:schemeClr w14:val="tx1"/>
            </w14:solidFill>
          </w14:textFill>
        </w:rPr>
        <w:t xml:space="preserve"> </w:t>
      </w:r>
      <w:r>
        <w:rPr>
          <w:rFonts w:hint="eastAsia" w:ascii="宋体" w:hAnsi="宋体"/>
          <w:bCs/>
          <w:color w:val="000000" w:themeColor="text1"/>
          <w:sz w:val="24"/>
          <w:u w:val="single"/>
          <w14:textFill>
            <w14:solidFill>
              <w14:schemeClr w14:val="tx1"/>
            </w14:solidFill>
          </w14:textFill>
        </w:rPr>
        <w:t xml:space="preserve">（1）</w:t>
      </w:r>
      <w:r>
        <w:rPr>
          <w:rFonts w:ascii="宋体" w:hAnsi="宋体"/>
          <w:bCs/>
          <w:color w:val="000000" w:themeColor="text1"/>
          <w:sz w:val="24"/>
          <w:u w:val="single"/>
          <w14:textFill>
            <w14:solidFill>
              <w14:schemeClr w14:val="tx1"/>
            </w14:solidFill>
          </w14:textFill>
        </w:rPr>
        <w:t xml:space="preserve"> </w:t>
      </w:r>
      <w:r>
        <w:rPr>
          <w:rFonts w:hint="eastAsia" w:ascii="宋体" w:hAnsi="宋体"/>
          <w:bCs/>
          <w:color w:val="000000" w:themeColor="text1"/>
          <w:sz w:val="24"/>
          <w14:textFill>
            <w14:solidFill>
              <w14:schemeClr w14:val="tx1"/>
            </w14:solidFill>
          </w14:textFill>
        </w:rPr>
        <w:t xml:space="preserve">方式处理：</w:t>
      </w:r>
      <w:r/>
    </w:p>
    <w:p>
      <w:pPr>
        <w:ind w:left="521" w:firstLine="480"/>
        <w:spacing w:after="0" w:line="360" w:lineRule="auto"/>
        <w:tabs>
          <w:tab w:val="left" w:pos="525" w:leader="none"/>
          <w:tab w:val="left" w:pos="945" w:leader="none"/>
        </w:tabs>
        <w:rPr>
          <w:rFonts w:ascii="宋体" w:hAnsi="宋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w:t>
      </w:r>
      <w:r>
        <w:rPr>
          <w:rFonts w:ascii="宋体" w:hAnsi="宋体"/>
          <w:bCs/>
          <w:color w:val="000000" w:themeColor="text1"/>
          <w:sz w:val="24"/>
          <w14:textFill>
            <w14:solidFill>
              <w14:schemeClr w14:val="tx1"/>
            </w14:solidFill>
          </w14:textFill>
        </w:rPr>
        <w:t xml:space="preserve">1</w:t>
      </w:r>
      <w:r>
        <w:rPr>
          <w:rFonts w:hint="eastAsia" w:ascii="宋体" w:hAnsi="宋体"/>
          <w:bCs/>
          <w:color w:val="000000" w:themeColor="text1"/>
          <w:sz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向无锡仲裁委员会申请仲裁。</w:t>
      </w:r>
      <w:r/>
    </w:p>
    <w:p>
      <w:pPr>
        <w:ind w:left="521" w:firstLine="480"/>
        <w:spacing w:after="0" w:line="360" w:lineRule="auto"/>
        <w:tabs>
          <w:tab w:val="left" w:pos="525" w:leader="none"/>
          <w:tab w:val="left" w:pos="945" w:leader="none"/>
        </w:tabs>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）向需方所在地法院提起诉讼。</w:t>
      </w:r>
      <w:r/>
    </w:p>
    <w:p>
      <w:pPr>
        <w:ind w:firstLine="480"/>
        <w:spacing w:after="0" w:line="360" w:lineRule="auto"/>
        <w:tabs>
          <w:tab w:val="left" w:pos="0" w:leader="none"/>
          <w:tab w:val="left" w:pos="525" w:leader="none"/>
          <w:tab w:val="left" w:pos="945" w:leader="none"/>
        </w:tabs>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3．合同在执行过程中出现的未尽事宜，双方在不违背本合同和招标文件的原则下协商解决，协商结果以书面形式签订补充协议，且补充协议与本合同具有同等效力。</w:t>
      </w:r>
      <w:r/>
    </w:p>
    <w:p>
      <w:pPr>
        <w:ind w:firstLine="480"/>
        <w:spacing w:after="0" w:line="360" w:lineRule="auto"/>
        <w:tabs>
          <w:tab w:val="left" w:pos="0" w:leader="none"/>
          <w:tab w:val="left" w:pos="525" w:leader="none"/>
          <w:tab w:val="left" w:pos="945" w:leader="none"/>
        </w:tabs>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4．合同中未有约定的按照有关的法律法规以及国家行业标准或技术文件规定予以解决。</w:t>
      </w:r>
      <w:r/>
    </w:p>
    <w:p>
      <w:pPr>
        <w:ind w:firstLine="480"/>
        <w:spacing w:after="0" w:line="360" w:lineRule="auto"/>
        <w:tabs>
          <w:tab w:val="left" w:pos="0" w:leader="none"/>
          <w:tab w:val="left" w:pos="525" w:leader="none"/>
          <w:tab w:val="left" w:pos="945" w:leader="none"/>
        </w:tabs>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5．供需双方确认：对本合同条款及后果均已知悉，一致确认不存在欺诈、胁迫、乘人之危、重大误解、显失公平等任何可能导致合同无效或被撤销的情形。</w:t>
      </w:r>
      <w:r/>
    </w:p>
    <w:p>
      <w:pPr>
        <w:pStyle w:val="877"/>
        <w:ind w:left="267" w:right="369" w:firstLine="464"/>
        <w:jc w:val="center"/>
        <w:tabs>
          <w:tab w:val="left" w:pos="360" w:leader="none"/>
          <w:tab w:val="left" w:pos="720" w:leader="none"/>
        </w:tabs>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p>
      <w:pPr>
        <w:pStyle w:val="877"/>
        <w:ind w:left="267" w:right="369" w:firstLine="464"/>
        <w:jc w:val="center"/>
        <w:tabs>
          <w:tab w:val="left" w:pos="360" w:leader="none"/>
          <w:tab w:val="left" w:pos="720" w:leader="none"/>
        </w:tabs>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877"/>
        <w:ind w:left="267" w:right="369" w:firstLine="464"/>
        <w:jc w:val="center"/>
        <w:tabs>
          <w:tab w:val="left" w:pos="360" w:leader="none"/>
          <w:tab w:val="left" w:pos="720" w:leader="none"/>
        </w:tabs>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877"/>
        <w:ind w:left="267" w:right="369" w:firstLine="464"/>
        <w:jc w:val="center"/>
        <w:tabs>
          <w:tab w:val="left" w:pos="360" w:leader="none"/>
          <w:tab w:val="left" w:pos="720" w:leader="none"/>
        </w:tabs>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877"/>
        <w:ind w:left="267" w:right="369" w:firstLine="464"/>
        <w:jc w:val="center"/>
        <w:tabs>
          <w:tab w:val="left" w:pos="360" w:leader="none"/>
          <w:tab w:val="left" w:pos="720" w:leader="none"/>
        </w:tabs>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rPr>
          <w:rFonts w:ascii="宋体" w:hAnsi="宋体" w:eastAsia="宋体" w:cs="宋体"/>
          <w:color w:val="auto"/>
          <w:szCs w:val="21"/>
          <w:highlight w:val="none"/>
        </w:rPr>
      </w:pPr>
      <w:r>
        <w:rPr>
          <w:rFonts w:hint="eastAsia" w:ascii="宋体" w:hAnsi="宋体" w:eastAsia="宋体" w:cs="宋体"/>
          <w:color w:val="auto"/>
          <w:szCs w:val="21"/>
          <w:highlight w:val="none"/>
        </w:rPr>
        <w:br w:type="page" w:clear="all"/>
      </w:r>
      <w:r/>
    </w:p>
    <w:p>
      <w:pPr>
        <w:ind w:firstLine="560"/>
        <w:jc w:val="left"/>
        <w:spacing w:line="360" w:lineRule="auto"/>
        <w:rPr>
          <w:rFonts w:hint="eastAsia" w:ascii="宋体" w:hAnsi="宋体"/>
          <w:b/>
          <w:color w:val="000000" w:themeColor="text1"/>
          <w:sz w:val="28"/>
          <w:szCs w:val="28"/>
          <w:lang w:bidi="ar"/>
          <w14:textFill>
            <w14:solidFill>
              <w14:schemeClr w14:val="tx1"/>
            </w14:solidFill>
          </w14:textFill>
        </w:rPr>
      </w:pPr>
      <w:r>
        <w:rPr>
          <w:rFonts w:hint="eastAsia" w:ascii="宋体" w:hAnsi="宋体"/>
          <w:color w:val="000000" w:themeColor="text1"/>
          <w:sz w:val="24"/>
          <w:szCs w:val="24"/>
          <w:lang w:bidi="ar"/>
          <w14:textFill>
            <w14:solidFill>
              <w14:schemeClr w14:val="tx1"/>
            </w14:solidFill>
          </w14:textFill>
        </w:rPr>
        <w:t xml:space="preserve">附件1</w:t>
      </w:r>
      <w:r/>
    </w:p>
    <w:p>
      <w:pPr>
        <w:ind w:firstLine="560"/>
        <w:jc w:val="center"/>
        <w:spacing w:line="360" w:lineRule="auto"/>
        <w:rPr>
          <w:rFonts w:ascii="宋体" w:hAnsi="宋体"/>
          <w:b/>
          <w:color w:val="000000" w:themeColor="text1"/>
          <w:sz w:val="28"/>
          <w:szCs w:val="28"/>
          <w:lang w:bidi="ar"/>
          <w14:textFill>
            <w14:solidFill>
              <w14:schemeClr w14:val="tx1"/>
            </w14:solidFill>
          </w14:textFill>
        </w:rPr>
      </w:pPr>
      <w:r>
        <w:rPr>
          <w:rFonts w:hint="eastAsia" w:ascii="宋体" w:hAnsi="宋体"/>
          <w:b/>
          <w:color w:val="000000" w:themeColor="text1"/>
          <w:sz w:val="28"/>
          <w:szCs w:val="28"/>
          <w:lang w:bidi="ar"/>
          <w14:textFill>
            <w14:solidFill>
              <w14:schemeClr w14:val="tx1"/>
            </w14:solidFill>
          </w14:textFill>
        </w:rPr>
        <w:t xml:space="preserve">货物清单及明细报价</w:t>
      </w:r>
      <w:r/>
    </w:p>
    <w:p>
      <w:pPr>
        <w:pStyle w:val="1195"/>
        <w:rPr>
          <w:color w:val="000000" w:themeColor="text1"/>
          <w14:textFill>
            <w14:solidFill>
              <w14:schemeClr w14:val="tx1"/>
            </w14:solidFill>
          </w14:textFill>
        </w:rPr>
      </w:pPr>
      <w:r>
        <w:rPr>
          <w:color w:val="000000" w:themeColor="text1"/>
          <w14:textFill>
            <w14:solidFill>
              <w14:schemeClr w14:val="tx1"/>
            </w14:solidFill>
          </w14:textFill>
        </w:rPr>
      </w:r>
      <w:r/>
    </w:p>
    <w:tbl>
      <w:tblPr>
        <w:tblStyle w:val="801"/>
        <w:tblW w:w="93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11"/>
        <w:gridCol w:w="1785"/>
        <w:gridCol w:w="720"/>
        <w:gridCol w:w="1440"/>
        <w:gridCol w:w="720"/>
        <w:gridCol w:w="720"/>
        <w:gridCol w:w="720"/>
        <w:gridCol w:w="900"/>
        <w:gridCol w:w="1034"/>
      </w:tblGrid>
      <w:tr>
        <w:trPr>
          <w:jc w:val="center"/>
          <w:trHeight w:val="567"/>
        </w:trPr>
        <w:tc>
          <w:tcPr>
            <w:tcW w:w="1311"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W w:w="1785"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标的物名称</w:t>
            </w:r>
            <w:r/>
          </w:p>
        </w:tc>
        <w:tc>
          <w:tcPr>
            <w:tcW w:w="720"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品牌</w:t>
            </w:r>
            <w:r/>
          </w:p>
        </w:tc>
        <w:tc>
          <w:tcPr>
            <w:tcW w:w="1440"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型号、规格</w:t>
            </w:r>
            <w:r/>
          </w:p>
        </w:tc>
        <w:tc>
          <w:tcPr>
            <w:tcW w:w="720"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单位</w:t>
            </w:r>
            <w:r/>
          </w:p>
        </w:tc>
        <w:tc>
          <w:tcPr>
            <w:tcW w:w="720"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数量</w:t>
            </w:r>
            <w:r/>
          </w:p>
        </w:tc>
        <w:tc>
          <w:tcPr>
            <w:tcW w:w="720"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单价</w:t>
            </w:r>
            <w:r/>
          </w:p>
        </w:tc>
        <w:tc>
          <w:tcPr>
            <w:tcW w:w="900"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总价</w:t>
            </w:r>
            <w:r/>
          </w:p>
        </w:tc>
        <w:tc>
          <w:tcPr>
            <w:tcW w:w="1034"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p>
        </w:tc>
      </w:tr>
      <w:tr>
        <w:trPr>
          <w:jc w:val="center"/>
          <w:trHeight w:val="567"/>
        </w:trPr>
        <w:tc>
          <w:tcPr>
            <w:tcW w:w="1311" w:type="dxa"/>
            <w:vAlign w:val="center"/>
            <w:textDirection w:val="lrTb"/>
            <w:noWrap w:val="false"/>
          </w:tcPr>
          <w:p>
            <w:pPr>
              <w:jc w:val="center"/>
              <w:spacing w:line="400" w:lineRule="exact"/>
              <w:rPr>
                <w:rFonts w:ascii="宋体" w:hAnsi="宋体"/>
                <w:color w:val="auto"/>
                <w:sz w:val="24"/>
                <w:szCs w:val="24"/>
              </w:rPr>
            </w:pPr>
            <w:r>
              <w:rPr>
                <w:rFonts w:hint="eastAsia" w:ascii="宋体" w:hAnsi="宋体"/>
                <w:color w:val="auto"/>
                <w:sz w:val="24"/>
                <w:szCs w:val="24"/>
              </w:rPr>
              <w:t xml:space="preserve">1</w:t>
            </w:r>
            <w:r/>
          </w:p>
        </w:tc>
        <w:tc>
          <w:tcPr>
            <w:tcW w:w="1785"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72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144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72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72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72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90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1034"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r>
      <w:tr>
        <w:trPr>
          <w:jc w:val="center"/>
          <w:trHeight w:val="567"/>
        </w:trPr>
        <w:tc>
          <w:tcPr>
            <w:tcW w:w="1311" w:type="dxa"/>
            <w:vAlign w:val="center"/>
            <w:textDirection w:val="lrTb"/>
            <w:noWrap w:val="false"/>
          </w:tcPr>
          <w:p>
            <w:pPr>
              <w:jc w:val="center"/>
              <w:spacing w:line="400" w:lineRule="exact"/>
              <w:rPr>
                <w:rFonts w:ascii="宋体" w:hAnsi="宋体"/>
                <w:color w:val="auto"/>
                <w:sz w:val="24"/>
                <w:szCs w:val="24"/>
              </w:rPr>
            </w:pPr>
            <w:r>
              <w:rPr>
                <w:rFonts w:hint="eastAsia" w:ascii="宋体" w:hAnsi="宋体"/>
                <w:color w:val="auto"/>
                <w:sz w:val="24"/>
                <w:szCs w:val="24"/>
              </w:rPr>
              <w:t xml:space="preserve">2</w:t>
            </w:r>
            <w:r/>
          </w:p>
        </w:tc>
        <w:tc>
          <w:tcPr>
            <w:tcW w:w="1785"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72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144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72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72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72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90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1034"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r>
      <w:tr>
        <w:trPr>
          <w:jc w:val="center"/>
          <w:trHeight w:val="567"/>
        </w:trPr>
        <w:tc>
          <w:tcPr>
            <w:tcW w:w="1311" w:type="dxa"/>
            <w:vAlign w:val="center"/>
            <w:textDirection w:val="lrTb"/>
            <w:noWrap w:val="false"/>
          </w:tcPr>
          <w:p>
            <w:pPr>
              <w:jc w:val="center"/>
              <w:spacing w:line="400" w:lineRule="exact"/>
              <w:rPr>
                <w:rFonts w:ascii="宋体" w:hAnsi="宋体"/>
                <w:color w:val="auto"/>
                <w:sz w:val="24"/>
                <w:szCs w:val="24"/>
              </w:rPr>
            </w:pPr>
            <w:r>
              <w:rPr>
                <w:rFonts w:hint="eastAsia" w:ascii="宋体" w:hAnsi="宋体"/>
                <w:color w:val="auto"/>
                <w:sz w:val="24"/>
                <w:szCs w:val="24"/>
              </w:rPr>
              <w:t xml:space="preserve">3</w:t>
            </w:r>
            <w:r/>
          </w:p>
        </w:tc>
        <w:tc>
          <w:tcPr>
            <w:tcW w:w="1785"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72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144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72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72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72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90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1034"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r>
      <w:tr>
        <w:trPr>
          <w:jc w:val="center"/>
          <w:trHeight w:val="567"/>
        </w:trPr>
        <w:tc>
          <w:tcPr>
            <w:tcW w:w="1311" w:type="dxa"/>
            <w:vAlign w:val="center"/>
            <w:textDirection w:val="lrTb"/>
            <w:noWrap w:val="false"/>
          </w:tcPr>
          <w:p>
            <w:pPr>
              <w:jc w:val="center"/>
              <w:spacing w:line="400" w:lineRule="exact"/>
              <w:rPr>
                <w:rFonts w:ascii="宋体" w:hAnsi="宋体"/>
                <w:color w:val="auto"/>
                <w:sz w:val="24"/>
                <w:szCs w:val="24"/>
              </w:rPr>
            </w:pPr>
            <w:r>
              <w:rPr>
                <w:rFonts w:hint="eastAsia" w:ascii="宋体" w:hAnsi="宋体"/>
                <w:color w:val="auto"/>
                <w:sz w:val="24"/>
                <w:szCs w:val="24"/>
              </w:rPr>
              <w:t xml:space="preserve">4</w:t>
            </w:r>
            <w:r/>
          </w:p>
        </w:tc>
        <w:tc>
          <w:tcPr>
            <w:tcW w:w="1785"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72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144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72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72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72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90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1034"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r>
      <w:tr>
        <w:trPr>
          <w:jc w:val="center"/>
          <w:trHeight w:val="567"/>
        </w:trPr>
        <w:tc>
          <w:tcPr>
            <w:tcW w:w="1311" w:type="dxa"/>
            <w:vAlign w:val="center"/>
            <w:textDirection w:val="lrTb"/>
            <w:noWrap w:val="false"/>
          </w:tcPr>
          <w:p>
            <w:pPr>
              <w:jc w:val="center"/>
              <w:spacing w:line="400" w:lineRule="exact"/>
              <w:rPr>
                <w:rFonts w:ascii="宋体" w:hAnsi="宋体"/>
                <w:color w:val="auto"/>
                <w:sz w:val="24"/>
                <w:szCs w:val="24"/>
              </w:rPr>
            </w:pPr>
            <w:r>
              <w:rPr>
                <w:rFonts w:hint="eastAsia" w:ascii="宋体" w:hAnsi="宋体"/>
                <w:color w:val="auto"/>
                <w:sz w:val="24"/>
                <w:szCs w:val="24"/>
              </w:rPr>
              <w:t xml:space="preserve">5</w:t>
            </w:r>
            <w:r/>
          </w:p>
        </w:tc>
        <w:tc>
          <w:tcPr>
            <w:tcW w:w="1785"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72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144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72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72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72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90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1034"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r>
      <w:tr>
        <w:trPr>
          <w:jc w:val="center"/>
          <w:trHeight w:val="567"/>
        </w:trPr>
        <w:tc>
          <w:tcPr>
            <w:tcW w:w="1311" w:type="dxa"/>
            <w:vAlign w:val="center"/>
            <w:textDirection w:val="lrTb"/>
            <w:noWrap w:val="false"/>
          </w:tcPr>
          <w:p>
            <w:pPr>
              <w:jc w:val="center"/>
              <w:spacing w:line="400" w:lineRule="exact"/>
              <w:rPr>
                <w:rFonts w:hint="eastAsia" w:ascii="宋体" w:hAnsi="宋体" w:eastAsia="宋体"/>
                <w:color w:val="auto"/>
                <w:sz w:val="24"/>
                <w:szCs w:val="24"/>
                <w:lang w:eastAsia="zh-CN"/>
              </w:rPr>
            </w:pPr>
            <w:r>
              <w:rPr>
                <w:rFonts w:hint="eastAsia" w:ascii="宋体" w:hAnsi="宋体" w:eastAsia="宋体"/>
                <w:color w:val="auto"/>
                <w:sz w:val="24"/>
                <w:szCs w:val="24"/>
                <w:lang w:val="en-US" w:eastAsia="zh-CN"/>
              </w:rPr>
              <w:t xml:space="preserve">总价</w:t>
            </w:r>
            <w:r/>
          </w:p>
        </w:tc>
        <w:tc>
          <w:tcPr>
            <w:gridSpan w:val="8"/>
            <w:tcW w:w="8039" w:type="dxa"/>
            <w:vAlign w:val="center"/>
            <w:textDirection w:val="lrTb"/>
            <w:noWrap w:val="false"/>
          </w:tcPr>
          <w:p>
            <w:pPr>
              <w:spacing w:line="400" w:lineRule="exact"/>
              <w:rPr>
                <w:rFonts w:hint="default" w:ascii="宋体" w:hAnsi="宋体" w:eastAsia="宋体"/>
                <w:color w:val="auto"/>
                <w:sz w:val="24"/>
                <w:szCs w:val="24"/>
                <w:lang w:val="en-US" w:eastAsia="zh-CN"/>
              </w:rPr>
            </w:pPr>
            <w:r>
              <w:rPr>
                <w:rFonts w:hint="eastAsia" w:ascii="宋体" w:hAnsi="宋体"/>
                <w:color w:val="auto"/>
                <w:sz w:val="24"/>
                <w:szCs w:val="24"/>
              </w:rPr>
              <w:t xml:space="preserve">金额大写         元</w:t>
            </w:r>
            <w:r>
              <w:rPr>
                <w:rFonts w:hint="eastAsia" w:ascii="宋体" w:hAnsi="宋体" w:eastAsia="宋体"/>
                <w:color w:val="auto"/>
                <w:sz w:val="24"/>
                <w:szCs w:val="24"/>
                <w:lang w:val="en-US" w:eastAsia="zh-CN"/>
              </w:rPr>
              <w:t xml:space="preserve">             小写        元</w:t>
            </w:r>
            <w:r/>
          </w:p>
        </w:tc>
      </w:tr>
      <w:tr>
        <w:trPr>
          <w:jc w:val="center"/>
          <w:trHeight w:val="567"/>
        </w:trPr>
        <w:tc>
          <w:tcPr>
            <w:tcW w:w="1311" w:type="dxa"/>
            <w:vAlign w:val="center"/>
            <w:textDirection w:val="lrTb"/>
            <w:noWrap w:val="false"/>
          </w:tcPr>
          <w:p>
            <w:pPr>
              <w:jc w:val="center"/>
              <w:spacing w:line="400" w:lineRule="exact"/>
              <w:rPr>
                <w:rFonts w:ascii="宋体" w:hAnsi="宋体"/>
                <w:color w:val="auto"/>
                <w:sz w:val="24"/>
                <w:szCs w:val="24"/>
              </w:rPr>
            </w:pPr>
            <w:r>
              <w:rPr>
                <w:rFonts w:hint="eastAsia" w:ascii="宋体" w:hAnsi="宋体"/>
                <w:bCs/>
                <w:color w:val="auto"/>
                <w:sz w:val="24"/>
                <w:lang w:val="zh-CN"/>
              </w:rPr>
              <w:t xml:space="preserve">交货期</w:t>
            </w:r>
            <w:r/>
          </w:p>
        </w:tc>
        <w:tc>
          <w:tcPr>
            <w:gridSpan w:val="8"/>
            <w:tcW w:w="8039" w:type="dxa"/>
            <w:vAlign w:val="center"/>
            <w:textDirection w:val="lrTb"/>
            <w:noWrap w:val="false"/>
          </w:tcPr>
          <w:p>
            <w:pPr>
              <w:spacing w:line="400" w:lineRule="exact"/>
              <w:rPr>
                <w:rFonts w:ascii="宋体" w:hAnsi="宋体"/>
                <w:color w:val="auto"/>
                <w:sz w:val="24"/>
                <w:szCs w:val="24"/>
              </w:rPr>
            </w:pPr>
            <w:r>
              <w:rPr>
                <w:rFonts w:ascii="宋体" w:hAnsi="宋体"/>
                <w:color w:val="auto"/>
                <w:sz w:val="24"/>
                <w:szCs w:val="24"/>
              </w:rPr>
            </w:r>
            <w:r/>
          </w:p>
        </w:tc>
      </w:tr>
      <w:tr>
        <w:trPr>
          <w:jc w:val="center"/>
          <w:trHeight w:val="567"/>
        </w:trPr>
        <w:tc>
          <w:tcPr>
            <w:tcW w:w="1311" w:type="dxa"/>
            <w:vAlign w:val="center"/>
            <w:textDirection w:val="lrTb"/>
            <w:noWrap w:val="false"/>
          </w:tcPr>
          <w:p>
            <w:pPr>
              <w:jc w:val="center"/>
              <w:spacing w:line="400" w:lineRule="exact"/>
              <w:rPr>
                <w:rFonts w:ascii="宋体" w:hAnsi="宋体"/>
                <w:color w:val="auto"/>
                <w:sz w:val="24"/>
                <w:szCs w:val="24"/>
              </w:rPr>
            </w:pPr>
            <w:r>
              <w:rPr>
                <w:rFonts w:hint="eastAsia" w:ascii="宋体" w:hAnsi="宋体"/>
                <w:bCs/>
                <w:color w:val="auto"/>
                <w:sz w:val="24"/>
                <w:lang w:val="zh-CN"/>
              </w:rPr>
              <w:t xml:space="preserve">质量标准</w:t>
            </w:r>
            <w:r/>
          </w:p>
        </w:tc>
        <w:tc>
          <w:tcPr>
            <w:gridSpan w:val="8"/>
            <w:tcW w:w="8039" w:type="dxa"/>
            <w:vAlign w:val="center"/>
            <w:textDirection w:val="lrTb"/>
            <w:noWrap w:val="false"/>
          </w:tcPr>
          <w:p>
            <w:pPr>
              <w:spacing w:line="400" w:lineRule="exact"/>
              <w:rPr>
                <w:rFonts w:ascii="宋体" w:hAnsi="宋体"/>
                <w:color w:val="auto"/>
                <w:sz w:val="24"/>
                <w:szCs w:val="24"/>
              </w:rPr>
            </w:pPr>
            <w:r>
              <w:rPr>
                <w:rFonts w:ascii="宋体" w:hAnsi="宋体"/>
                <w:color w:val="auto"/>
                <w:sz w:val="24"/>
                <w:szCs w:val="24"/>
              </w:rPr>
            </w:r>
            <w:r/>
          </w:p>
        </w:tc>
      </w:tr>
      <w:tr>
        <w:trPr>
          <w:jc w:val="center"/>
          <w:trHeight w:val="567"/>
        </w:trPr>
        <w:tc>
          <w:tcPr>
            <w:tcW w:w="1311" w:type="dxa"/>
            <w:vAlign w:val="center"/>
            <w:textDirection w:val="lrTb"/>
            <w:noWrap w:val="false"/>
          </w:tcPr>
          <w:p>
            <w:pPr>
              <w:jc w:val="center"/>
              <w:spacing w:line="400" w:lineRule="exact"/>
              <w:rPr>
                <w:rFonts w:ascii="宋体" w:hAnsi="宋体"/>
                <w:bCs/>
                <w:color w:val="auto"/>
                <w:sz w:val="24"/>
                <w:lang w:val="zh-CN"/>
              </w:rPr>
            </w:pPr>
            <w:r>
              <w:rPr>
                <w:rFonts w:hint="eastAsia" w:ascii="宋体" w:hAnsi="宋体"/>
                <w:bCs/>
                <w:color w:val="auto"/>
                <w:sz w:val="24"/>
                <w:lang w:val="zh-CN"/>
              </w:rPr>
              <w:t xml:space="preserve">质保期</w:t>
            </w:r>
            <w:r/>
          </w:p>
        </w:tc>
        <w:tc>
          <w:tcPr>
            <w:gridSpan w:val="8"/>
            <w:tcW w:w="8039" w:type="dxa"/>
            <w:vAlign w:val="center"/>
            <w:textDirection w:val="lrTb"/>
            <w:noWrap w:val="false"/>
          </w:tcPr>
          <w:p>
            <w:pPr>
              <w:spacing w:line="400" w:lineRule="exact"/>
              <w:rPr>
                <w:rFonts w:ascii="宋体" w:hAnsi="宋体"/>
                <w:color w:val="auto"/>
                <w:sz w:val="24"/>
                <w:szCs w:val="24"/>
              </w:rPr>
            </w:pPr>
            <w:r>
              <w:rPr>
                <w:rFonts w:ascii="宋体" w:hAnsi="宋体"/>
                <w:color w:val="auto"/>
                <w:sz w:val="24"/>
                <w:szCs w:val="24"/>
              </w:rPr>
            </w:r>
            <w:r/>
          </w:p>
        </w:tc>
      </w:tr>
    </w:tbl>
    <w:p>
      <w:pPr>
        <w:ind w:firstLine="560"/>
        <w:spacing w:line="480" w:lineRule="auto"/>
        <w:rPr>
          <w:rFonts w:ascii="宋体" w:hAnsi="宋体"/>
          <w:color w:val="000000" w:themeColor="text1"/>
          <w:sz w:val="24"/>
          <w:szCs w:val="24"/>
          <w14:textFill>
            <w14:solidFill>
              <w14:schemeClr w14:val="tx1"/>
            </w14:solidFill>
          </w14:textFill>
        </w:rPr>
      </w:pPr>
      <w:r>
        <w:rPr>
          <w:rFonts w:hint="eastAsia" w:ascii="黑体" w:hAnsi="黑体" w:eastAsia="黑体"/>
          <w:bCs/>
          <w:color w:val="000000" w:themeColor="text1"/>
          <w:sz w:val="28"/>
          <w:szCs w:val="28"/>
          <w14:textFill>
            <w14:solidFill>
              <w14:schemeClr w14:val="tx1"/>
            </w14:solidFill>
          </w14:textFill>
        </w:rPr>
        <w:br w:type="page" w:clear="all"/>
      </w:r>
      <w:r>
        <w:rPr>
          <w:rFonts w:hint="eastAsia" w:ascii="宋体" w:hAnsi="宋体"/>
          <w:color w:val="000000" w:themeColor="text1"/>
          <w:sz w:val="24"/>
          <w:szCs w:val="24"/>
          <w:lang w:bidi="ar"/>
          <w14:textFill>
            <w14:solidFill>
              <w14:schemeClr w14:val="tx1"/>
            </w14:solidFill>
          </w14:textFill>
        </w:rPr>
        <w:t xml:space="preserve">附件2</w:t>
      </w:r>
      <w:r/>
    </w:p>
    <w:p>
      <w:pPr>
        <w:ind w:firstLine="480"/>
        <w:jc w:val="center"/>
        <w:spacing w:line="480" w:lineRule="auto"/>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lang w:bidi="ar"/>
          <w14:textFill>
            <w14:solidFill>
              <w14:schemeClr w14:val="tx1"/>
            </w14:solidFill>
          </w14:textFill>
        </w:rPr>
        <w:t xml:space="preserve">商品包装政府采购需求标准（试行）</w:t>
      </w:r>
      <w:r/>
    </w:p>
    <w:p>
      <w:pPr>
        <w:ind w:firstLine="482"/>
        <w:spacing w:after="0" w:line="360" w:lineRule="auto"/>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lang w:bidi="ar"/>
          <w14:textFill>
            <w14:solidFill>
              <w14:schemeClr w14:val="tx1"/>
            </w14:solidFill>
          </w14:textFill>
        </w:rPr>
        <w:t xml:space="preserve">一、适用范围</w:t>
      </w:r>
      <w:r/>
    </w:p>
    <w:p>
      <w:pPr>
        <w:ind w:firstLine="480"/>
        <w:spacing w:after="0"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bidi="ar"/>
          <w14:textFill>
            <w14:solidFill>
              <w14:schemeClr w14:val="tx1"/>
            </w14:solidFill>
          </w14:textFill>
        </w:rPr>
        <w:t xml:space="preserve">本标准规定了商品使用的塑料、纸质、木质等包装材料的环保要求。</w:t>
      </w:r>
      <w:r/>
    </w:p>
    <w:p>
      <w:pPr>
        <w:ind w:firstLine="482"/>
        <w:spacing w:after="0" w:line="360" w:lineRule="auto"/>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lang w:bidi="ar"/>
          <w14:textFill>
            <w14:solidFill>
              <w14:schemeClr w14:val="tx1"/>
            </w14:solidFill>
          </w14:textFill>
        </w:rPr>
        <w:t xml:space="preserve">二、商品包装环保要求</w:t>
      </w:r>
      <w:r/>
    </w:p>
    <w:p>
      <w:pPr>
        <w:ind w:firstLine="480"/>
        <w:spacing w:after="0"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bidi="ar"/>
          <w14:textFill>
            <w14:solidFill>
              <w14:schemeClr w14:val="tx1"/>
            </w14:solidFill>
          </w14:textFill>
        </w:rPr>
        <w:t xml:space="preserve">1.商品包装层数不得超过3层，空隙率不大于40%；</w:t>
      </w:r>
      <w:r/>
    </w:p>
    <w:p>
      <w:pPr>
        <w:ind w:firstLine="480"/>
        <w:spacing w:after="0"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bidi="ar"/>
          <w14:textFill>
            <w14:solidFill>
              <w14:schemeClr w14:val="tx1"/>
            </w14:solidFill>
          </w14:textFill>
        </w:rPr>
        <w:t xml:space="preserve">2.商品包装尽可能使用单一材质的包装材料，如因功能需求</w:t>
      </w:r>
      <w:r>
        <w:rPr>
          <w:rFonts w:hint="eastAsia" w:ascii="宋体" w:hAnsi="宋体"/>
          <w:color w:val="000000" w:themeColor="text1"/>
          <w:sz w:val="24"/>
          <w:szCs w:val="24"/>
          <w:lang w:eastAsia="zh-CN" w:bidi="ar"/>
          <w14:textFill>
            <w14:solidFill>
              <w14:schemeClr w14:val="tx1"/>
            </w14:solidFill>
          </w14:textFill>
        </w:rPr>
        <w:t xml:space="preserve">必须</w:t>
      </w:r>
      <w:r>
        <w:rPr>
          <w:rFonts w:hint="eastAsia" w:ascii="宋体" w:hAnsi="宋体"/>
          <w:color w:val="000000" w:themeColor="text1"/>
          <w:sz w:val="24"/>
          <w:szCs w:val="24"/>
          <w:lang w:bidi="ar"/>
          <w14:textFill>
            <w14:solidFill>
              <w14:schemeClr w14:val="tx1"/>
            </w14:solidFill>
          </w14:textFill>
        </w:rPr>
        <w:t xml:space="preserve">使用不同材质，不同材质间应便于分离； </w:t>
      </w:r>
      <w:r/>
    </w:p>
    <w:p>
      <w:pPr>
        <w:ind w:firstLine="480"/>
        <w:spacing w:after="0"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bidi="ar"/>
          <w14:textFill>
            <w14:solidFill>
              <w14:schemeClr w14:val="tx1"/>
            </w14:solidFill>
          </w14:textFill>
        </w:rPr>
        <w:t xml:space="preserve">3.商品包装中铅、汞、镉、六价铬的总含量应不大于100mg/kg；</w:t>
      </w:r>
      <w:r/>
    </w:p>
    <w:p>
      <w:pPr>
        <w:ind w:firstLine="480"/>
        <w:spacing w:after="0"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bidi="ar"/>
          <w14:textFill>
            <w14:solidFill>
              <w14:schemeClr w14:val="tx1"/>
            </w14:solidFill>
          </w14:textFill>
        </w:rPr>
        <w:t xml:space="preserve">4.商品包装印刷使用的油墨中挥发性有机化合物（VOCs）含量应不大于5%（以重量计）；</w:t>
      </w:r>
      <w:r/>
    </w:p>
    <w:p>
      <w:pPr>
        <w:ind w:firstLine="480"/>
        <w:spacing w:after="0"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bidi="ar"/>
          <w14:textFill>
            <w14:solidFill>
              <w14:schemeClr w14:val="tx1"/>
            </w14:solidFill>
          </w14:textFill>
        </w:rPr>
        <w:t xml:space="preserve">5.塑料材质商品包装上呈现的印刷颜色不得超过6色； </w:t>
      </w:r>
      <w:r/>
    </w:p>
    <w:p>
      <w:pPr>
        <w:ind w:firstLine="480"/>
        <w:spacing w:after="0"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bidi="ar"/>
          <w14:textFill>
            <w14:solidFill>
              <w14:schemeClr w14:val="tx1"/>
            </w14:solidFill>
          </w14:textFill>
        </w:rPr>
        <w:t xml:space="preserve">6.纸质商品包装应使用75%以上的可再生纤维原料生产； </w:t>
      </w:r>
      <w:r/>
    </w:p>
    <w:p>
      <w:pPr>
        <w:ind w:firstLine="480"/>
        <w:spacing w:after="0"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bidi="ar"/>
          <w14:textFill>
            <w14:solidFill>
              <w14:schemeClr w14:val="tx1"/>
            </w14:solidFill>
          </w14:textFill>
        </w:rPr>
        <w:t xml:space="preserve">7.木质商品包装的原料应来源于可持续性森林。</w:t>
      </w:r>
      <w:r/>
    </w:p>
    <w:p>
      <w:pPr>
        <w:ind w:firstLine="480"/>
        <w:spacing w:after="0"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bidi="ar"/>
          <w14:textFill>
            <w14:solidFill>
              <w14:schemeClr w14:val="tx1"/>
            </w14:solidFill>
          </w14:textFill>
        </w:rPr>
        <w:t xml:space="preserve">三、检测方法</w:t>
      </w:r>
      <w:r/>
    </w:p>
    <w:p>
      <w:pPr>
        <w:ind w:firstLine="480"/>
        <w:spacing w:after="0"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bidi="ar"/>
          <w14:textFill>
            <w14:solidFill>
              <w14:schemeClr w14:val="tx1"/>
            </w14:solidFill>
          </w14:textFill>
        </w:rPr>
        <w:t xml:space="preserve">1.商品包装中重金属（铅、汞、镉、六价铬）总量的检测按照GB/T10004-2008《包装用塑料复合膜、袋干法复合、挤出复合》规定的方法进行。</w:t>
      </w:r>
      <w:r/>
    </w:p>
    <w:p>
      <w:pPr>
        <w:ind w:firstLine="480"/>
        <w:spacing w:after="0"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bidi="ar"/>
          <w14:textFill>
            <w14:solidFill>
              <w14:schemeClr w14:val="tx1"/>
            </w14:solidFill>
          </w14:textFill>
        </w:rPr>
        <w:t xml:space="preserve">2.商品包装印刷使用的油墨中挥发性有机化合物（VOCs）的检测按照GB/T 23986-2009《色漆和清漆挥发性有机化合物（VOC）含量的测定气相色谱法》规定的方法进行。</w:t>
      </w:r>
      <w:r/>
    </w:p>
    <w:p>
      <w:pPr>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bidi="ar"/>
          <w14:textFill>
            <w14:solidFill>
              <w14:schemeClr w14:val="tx1"/>
            </w14:solidFill>
          </w14:textFill>
        </w:rPr>
        <w:br w:type="page" w:clear="all"/>
      </w:r>
      <w:r>
        <w:rPr>
          <w:rFonts w:hint="eastAsia" w:ascii="宋体" w:hAnsi="宋体"/>
          <w:color w:val="000000" w:themeColor="text1"/>
          <w:sz w:val="24"/>
          <w:szCs w:val="24"/>
          <w:lang w:bidi="ar"/>
          <w14:textFill>
            <w14:solidFill>
              <w14:schemeClr w14:val="tx1"/>
            </w14:solidFill>
          </w14:textFill>
        </w:rPr>
        <w:t xml:space="preserve">附件3</w:t>
      </w:r>
      <w:r/>
    </w:p>
    <w:p>
      <w:pPr>
        <w:jc w:val="center"/>
        <w:spacing w:line="360" w:lineRule="auto"/>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lang w:bidi="ar"/>
          <w14:textFill>
            <w14:solidFill>
              <w14:schemeClr w14:val="tx1"/>
            </w14:solidFill>
          </w14:textFill>
        </w:rPr>
        <w:t xml:space="preserve">快递包装政府采购需求标准（试行）</w:t>
      </w:r>
      <w:r/>
    </w:p>
    <w:p>
      <w:pPr>
        <w:ind w:firstLine="482"/>
        <w:spacing w:after="0" w:line="360" w:lineRule="auto"/>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lang w:bidi="ar"/>
          <w14:textFill>
            <w14:solidFill>
              <w14:schemeClr w14:val="tx1"/>
            </w14:solidFill>
          </w14:textFill>
        </w:rPr>
        <w:t xml:space="preserve">一、适用范围</w:t>
      </w:r>
      <w:r/>
    </w:p>
    <w:p>
      <w:pPr>
        <w:ind w:firstLine="480"/>
        <w:spacing w:after="0"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bidi="ar"/>
          <w14:textFill>
            <w14:solidFill>
              <w14:schemeClr w14:val="tx1"/>
            </w14:solidFill>
          </w14:textFill>
        </w:rPr>
        <w:t xml:space="preserve">本标准中的快递包装主要指快递封装材料，包括封套、胶带、面单、包装袋/箱、填充物、集装袋、周转箱等。</w:t>
      </w:r>
      <w:r/>
    </w:p>
    <w:p>
      <w:pPr>
        <w:ind w:firstLine="482"/>
        <w:spacing w:after="0" w:line="360" w:lineRule="auto"/>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lang w:bidi="ar"/>
          <w14:textFill>
            <w14:solidFill>
              <w14:schemeClr w14:val="tx1"/>
            </w14:solidFill>
          </w14:textFill>
        </w:rPr>
        <w:t xml:space="preserve">二、快递包装环保要求</w:t>
      </w:r>
      <w:r/>
    </w:p>
    <w:p>
      <w:pPr>
        <w:ind w:firstLine="480"/>
        <w:spacing w:after="0"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bidi="ar"/>
          <w14:textFill>
            <w14:solidFill>
              <w14:schemeClr w14:val="tx1"/>
            </w14:solidFill>
          </w14:textFill>
        </w:rPr>
        <w:t xml:space="preserve">1.快递包装中重金属（铅、汞、镉、六价铬）总量应不大于100mg/kg；</w:t>
      </w:r>
      <w:r/>
    </w:p>
    <w:p>
      <w:pPr>
        <w:ind w:firstLine="480"/>
        <w:spacing w:after="0"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bidi="ar"/>
          <w14:textFill>
            <w14:solidFill>
              <w14:schemeClr w14:val="tx1"/>
            </w14:solidFill>
          </w14:textFill>
        </w:rPr>
        <w:t xml:space="preserve">2.快递包装印刷使用的油墨中不应添加邻苯二甲酸酯，其挥发性有机化合物（VOCs）含量应不大于5%（以重量计）；</w:t>
      </w:r>
      <w:r/>
    </w:p>
    <w:p>
      <w:pPr>
        <w:ind w:firstLine="480"/>
        <w:spacing w:after="0"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bidi="ar"/>
          <w14:textFill>
            <w14:solidFill>
              <w14:schemeClr w14:val="tx1"/>
            </w14:solidFill>
          </w14:textFill>
        </w:rPr>
        <w:t xml:space="preserve">3.快递包装中使用纸基材的包装材料，纸基材中的有机氯的含量应不大于150mg/kg；</w:t>
      </w:r>
      <w:r/>
    </w:p>
    <w:p>
      <w:pPr>
        <w:ind w:firstLine="480"/>
        <w:spacing w:after="0"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bidi="ar"/>
          <w14:textFill>
            <w14:solidFill>
              <w14:schemeClr w14:val="tx1"/>
            </w14:solidFill>
          </w14:textFill>
        </w:rPr>
        <w:t xml:space="preserve">4.快递包装中使用塑料基材的包装材料不得使用邻苯二甲酸二异壬酯、邻苯二甲酸二正辛酯、邻苯二甲酸二（2-乙基）己酯、邻苯二甲酸二异癸酯、邻苯二甲酸丁基苄基酯、邻苯二甲酸二丁酯等作为增塑剂； </w:t>
      </w:r>
      <w:r/>
    </w:p>
    <w:p>
      <w:pPr>
        <w:ind w:firstLine="480"/>
        <w:spacing w:after="0"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bidi="ar"/>
          <w14:textFill>
            <w14:solidFill>
              <w14:schemeClr w14:val="tx1"/>
            </w14:solidFill>
          </w14:textFill>
        </w:rPr>
        <w:t xml:space="preserve">5.快递中使用的塑料包装袋不得使用聚氯乙烯作为原料，且原料应为单一材质制成，生物分解率大于60%； </w:t>
      </w:r>
      <w:r/>
    </w:p>
    <w:p>
      <w:pPr>
        <w:ind w:firstLine="480"/>
        <w:spacing w:after="0"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bidi="ar"/>
          <w14:textFill>
            <w14:solidFill>
              <w14:schemeClr w14:val="tx1"/>
            </w14:solidFill>
          </w14:textFill>
        </w:rPr>
        <w:t xml:space="preserve">6.快递中使用的充气类填充物不得使用聚氯乙烯作为原料，且原料为单一材质制成，生物分解率大于60%；</w:t>
      </w:r>
      <w:r/>
    </w:p>
    <w:p>
      <w:pPr>
        <w:ind w:firstLine="480"/>
        <w:spacing w:after="0"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bidi="ar"/>
          <w14:textFill>
            <w14:solidFill>
              <w14:schemeClr w14:val="tx1"/>
            </w14:solidFill>
          </w14:textFill>
        </w:rPr>
        <w:t xml:space="preserve">7.快递中使用的集装袋应为单一材质制成，其重复使用次数应不小于80次； </w:t>
      </w:r>
      <w:r/>
    </w:p>
    <w:p>
      <w:pPr>
        <w:ind w:firstLine="480"/>
        <w:spacing w:after="0"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bidi="ar"/>
          <w14:textFill>
            <w14:solidFill>
              <w14:schemeClr w14:val="tx1"/>
            </w14:solidFill>
          </w14:textFill>
        </w:rPr>
        <w:t xml:space="preserve">8.快递中应使用幅宽不大于45mm的生物降解胶带； </w:t>
      </w:r>
      <w:r/>
    </w:p>
    <w:p>
      <w:pPr>
        <w:ind w:firstLine="480"/>
        <w:spacing w:after="0"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bidi="ar"/>
          <w14:textFill>
            <w14:solidFill>
              <w14:schemeClr w14:val="tx1"/>
            </w14:solidFill>
          </w14:textFill>
        </w:rPr>
        <w:t xml:space="preserve">9.快递包装中不得使用溶剂型胶粘剂； </w:t>
      </w:r>
      <w:r/>
    </w:p>
    <w:p>
      <w:pPr>
        <w:ind w:firstLine="480"/>
        <w:spacing w:after="0"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bidi="ar"/>
          <w14:textFill>
            <w14:solidFill>
              <w14:schemeClr w14:val="tx1"/>
            </w14:solidFill>
          </w14:textFill>
        </w:rPr>
        <w:t xml:space="preserve">10.快递应使用电子面单； </w:t>
      </w:r>
      <w:r/>
    </w:p>
    <w:p>
      <w:pPr>
        <w:ind w:firstLine="480"/>
        <w:spacing w:after="0"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bidi="ar"/>
          <w14:textFill>
            <w14:solidFill>
              <w14:schemeClr w14:val="tx1"/>
            </w14:solidFill>
          </w14:textFill>
        </w:rPr>
        <w:t xml:space="preserve">11.直接使用商品包装作为快递包装的商品，其商品包装满足《商品包装政府采购需求标准（试行）》即可； </w:t>
      </w:r>
      <w:r/>
    </w:p>
    <w:p>
      <w:pPr>
        <w:ind w:firstLine="480"/>
        <w:spacing w:after="0"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bidi="ar"/>
          <w14:textFill>
            <w14:solidFill>
              <w14:schemeClr w14:val="tx1"/>
            </w14:solidFill>
          </w14:textFill>
        </w:rPr>
        <w:t xml:space="preserve">12.快递包装产品质量和封装方式应符合相关国家或行业标准技术指标要求。</w:t>
      </w:r>
      <w:r/>
    </w:p>
    <w:p>
      <w:pPr>
        <w:ind w:firstLine="482"/>
        <w:spacing w:after="0" w:line="360" w:lineRule="auto"/>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lang w:bidi="ar"/>
          <w14:textFill>
            <w14:solidFill>
              <w14:schemeClr w14:val="tx1"/>
            </w14:solidFill>
          </w14:textFill>
        </w:rPr>
        <w:t xml:space="preserve">三、检测方法</w:t>
      </w:r>
      <w:r/>
    </w:p>
    <w:p>
      <w:pPr>
        <w:ind w:firstLine="480"/>
        <w:spacing w:after="0"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bidi="ar"/>
          <w14:textFill>
            <w14:solidFill>
              <w14:schemeClr w14:val="tx1"/>
            </w14:solidFill>
          </w14:textFill>
        </w:rPr>
        <w:t xml:space="preserve">1.快递包装中重金属（铅、汞、镉、六价铬）总量的检测按照GB/T10004-2008《包装用塑料复合膜、袋干法复合、挤出复合》规定的方法进行。 </w:t>
      </w:r>
      <w:r/>
    </w:p>
    <w:p>
      <w:pPr>
        <w:ind w:firstLine="480"/>
        <w:spacing w:after="0"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bidi="ar"/>
          <w14:textFill>
            <w14:solidFill>
              <w14:schemeClr w14:val="tx1"/>
            </w14:solidFill>
          </w14:textFill>
        </w:rPr>
        <w:t xml:space="preserve">2.快递包装印刷使用的油墨中挥发性有机化合物（VOCs）的检测按照GB/T 23986-2009《色漆和清漆挥发性有机化合物（VOC）含量的测定气相色谱法》规定的方法进行。 </w:t>
      </w:r>
      <w:r/>
    </w:p>
    <w:p>
      <w:pPr>
        <w:ind w:firstLine="480"/>
        <w:spacing w:after="0"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bidi="ar"/>
          <w14:textFill>
            <w14:solidFill>
              <w14:schemeClr w14:val="tx1"/>
            </w14:solidFill>
          </w14:textFill>
        </w:rPr>
        <w:t xml:space="preserve">3.快递包装所使用的塑料包装的生物降解率的检测按照GB/T 20197-2006《降解塑料的定义、分类、标识和降解性能要求》规定的方法进行。 </w:t>
      </w:r>
      <w:r/>
    </w:p>
    <w:p>
      <w:pPr>
        <w:ind w:firstLine="480"/>
        <w:spacing w:after="0"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bidi="ar"/>
          <w14:textFill>
            <w14:solidFill>
              <w14:schemeClr w14:val="tx1"/>
            </w14:solidFill>
          </w14:textFill>
        </w:rPr>
        <w:t xml:space="preserve">4.快递包装使用纸基材的包装材料中有机氯的检测按照GB/T22904-2008《纸浆、纸和纸板总氯和有机氯的检定》规定的方法进行。</w:t>
      </w:r>
      <w:r/>
    </w:p>
    <w:p>
      <w:pPr>
        <w:ind w:firstLine="480"/>
        <w:spacing w:after="0" w:line="360" w:lineRule="auto"/>
        <w:rPr>
          <w:rFonts w:ascii="宋体" w:hAnsi="宋体"/>
          <w:b/>
          <w:color w:val="000000" w:themeColor="text1"/>
          <w:sz w:val="28"/>
          <w:szCs w:val="28"/>
          <w14:textFill>
            <w14:solidFill>
              <w14:schemeClr w14:val="tx1"/>
            </w14:solidFill>
          </w14:textFill>
        </w:rPr>
      </w:pPr>
      <w:r>
        <w:rPr>
          <w:rFonts w:hint="eastAsia" w:ascii="宋体" w:hAnsi="宋体"/>
          <w:color w:val="000000" w:themeColor="text1"/>
          <w:sz w:val="24"/>
          <w:szCs w:val="24"/>
          <w:lang w:bidi="ar"/>
          <w14:textFill>
            <w14:solidFill>
              <w14:schemeClr w14:val="tx1"/>
            </w14:solidFill>
          </w14:textFill>
        </w:rPr>
        <w:t xml:space="preserve">5.快递包装中使用的生物降解胶带的生物降解率的检测按照GB/T19277.1《受控堆肥条件下材料最终需氧生物分解能力的测定采用测定释放的二氧化碳的方法第1部分：通用方法》规定的方法进行。</w:t>
      </w:r>
      <w:r/>
    </w:p>
    <w:p>
      <w:pPr>
        <w:rPr>
          <w:rFonts w:ascii="宋体" w:hAnsi="宋体" w:eastAsia="宋体" w:cs="宋体"/>
          <w:b/>
          <w:color w:val="000000" w:themeColor="text1"/>
          <w:sz w:val="36"/>
          <w:szCs w:val="36"/>
          <w:highlight w:val="none"/>
          <w14:textFill>
            <w14:solidFill>
              <w14:schemeClr w14:val="tx1"/>
            </w14:solidFill>
          </w14:textFill>
        </w:rPr>
      </w:pPr>
      <w:r>
        <w:rPr>
          <w:rFonts w:ascii="宋体" w:hAnsi="宋体" w:eastAsia="宋体" w:cs="宋体"/>
          <w:b/>
          <w:color w:val="000000" w:themeColor="text1"/>
          <w:sz w:val="36"/>
          <w:szCs w:val="36"/>
          <w:highlight w:val="none"/>
          <w14:textFill>
            <w14:solidFill>
              <w14:schemeClr w14:val="tx1"/>
            </w14:solidFill>
          </w14:textFill>
        </w:rPr>
      </w:r>
      <w:r/>
    </w:p>
    <w:p>
      <w:pPr>
        <w:rPr>
          <w:rFonts w:ascii="宋体" w:hAnsi="宋体" w:eastAsia="宋体" w:cs="宋体"/>
          <w:b/>
          <w:color w:val="000000" w:themeColor="text1"/>
          <w:sz w:val="36"/>
          <w:szCs w:val="36"/>
          <w:highlight w:val="none"/>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br w:type="page" w:clear="all"/>
      </w:r>
      <w:r/>
    </w:p>
    <w:p>
      <w:pPr>
        <w:ind w:firstLine="480"/>
        <w:jc w:val="center"/>
        <w:spacing w:line="360" w:lineRule="auto"/>
        <w:rPr>
          <w:rFonts w:ascii="宋体" w:hAnsi="宋体" w:eastAsia="宋体" w:cs="宋体"/>
          <w:b/>
          <w:color w:val="auto"/>
          <w:sz w:val="36"/>
          <w:szCs w:val="36"/>
          <w:highlight w:val="none"/>
        </w:rPr>
        <w:outlineLvl w:val="0"/>
      </w:pPr>
      <w:r>
        <w:rPr>
          <w:rFonts w:hint="eastAsia" w:ascii="宋体" w:hAnsi="宋体" w:eastAsia="宋体" w:cs="宋体"/>
          <w:b/>
          <w:color w:val="auto"/>
          <w:sz w:val="36"/>
          <w:szCs w:val="36"/>
          <w:highlight w:val="none"/>
        </w:rPr>
        <w:t xml:space="preserve">第</w:t>
      </w:r>
      <w:bookmarkEnd w:id="137"/>
      <w:r>
        <w:rPr>
          <w:rFonts w:hint="eastAsia" w:ascii="宋体" w:hAnsi="宋体" w:eastAsia="宋体" w:cs="宋体"/>
          <w:b/>
          <w:color w:val="auto"/>
          <w:sz w:val="36"/>
          <w:szCs w:val="36"/>
          <w:highlight w:val="none"/>
        </w:rPr>
        <w:t xml:space="preserve">四章 采购需求</w:t>
      </w:r>
      <w:bookmarkEnd w:id="138"/>
      <w:r/>
      <w:bookmarkEnd w:id="139"/>
      <w:r/>
      <w:bookmarkEnd w:id="140"/>
      <w:r/>
      <w:r/>
    </w:p>
    <w:p>
      <w:pPr>
        <w:ind w:firstLine="480"/>
        <w:spacing w:line="360" w:lineRule="auto"/>
        <w:tabs>
          <w:tab w:val="left" w:pos="525" w:leader="none"/>
          <w:tab w:val="left" w:pos="630" w:leader="none"/>
          <w:tab w:val="left" w:pos="735" w:leader="none"/>
          <w:tab w:val="left" w:pos="945" w:leader="none"/>
        </w:tabs>
        <w:rPr>
          <w:rFonts w:ascii="宋体" w:hAnsi="宋体" w:eastAsia="宋体" w:cs="宋体"/>
          <w:b/>
          <w:color w:val="auto"/>
          <w:sz w:val="30"/>
          <w:szCs w:val="30"/>
          <w:highlight w:val="none"/>
        </w:rPr>
      </w:pPr>
      <w:r/>
      <w:bookmarkStart w:id="141" w:name="_Toc49090575"/>
      <w:r/>
      <w:bookmarkStart w:id="142" w:name="_Toc26554093"/>
      <w:r/>
      <w:bookmarkStart w:id="143" w:name="_Toc120614281"/>
      <w:r>
        <w:rPr>
          <w:rFonts w:hint="eastAsia" w:ascii="宋体" w:hAnsi="宋体" w:eastAsia="宋体" w:cs="宋体"/>
          <w:b/>
          <w:color w:val="auto"/>
          <w:sz w:val="30"/>
          <w:szCs w:val="30"/>
          <w:highlight w:val="none"/>
        </w:rPr>
        <w:t xml:space="preserve">第一部分  项目需求</w:t>
      </w:r>
      <w:r/>
    </w:p>
    <w:p>
      <w:pPr>
        <w:ind w:firstLine="482"/>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一、项目</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概况</w:t>
      </w:r>
      <w:r>
        <w:rPr>
          <w:rFonts w:hint="eastAsia" w:ascii="宋体" w:hAnsi="宋体" w:eastAsia="宋体" w:cs="宋体"/>
          <w:b/>
          <w:color w:val="000000" w:themeColor="text1"/>
          <w:sz w:val="24"/>
          <w:szCs w:val="24"/>
          <w:highlight w:val="none"/>
          <w14:textFill>
            <w14:solidFill>
              <w14:schemeClr w14:val="tx1"/>
            </w14:solidFill>
          </w14:textFill>
        </w:rPr>
        <w:t xml:space="preserve">：</w:t>
      </w:r>
      <w:r/>
    </w:p>
    <w:p>
      <w:pPr>
        <w:ind w:firstLine="482"/>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1.项目名称：市一中太湖新城分校实验室及专用教室仪器设备采购项目</w:t>
      </w:r>
      <w:r/>
    </w:p>
    <w:p>
      <w:pPr>
        <w:ind w:firstLine="482"/>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2.采购人：江苏无锡经济开发区发展中心、江苏无锡经济开发区教育局</w:t>
      </w:r>
      <w:r/>
    </w:p>
    <w:p>
      <w:pPr>
        <w:ind w:firstLine="482"/>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3.项目预算：19</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60</w:t>
      </w:r>
      <w:r>
        <w:rPr>
          <w:rFonts w:hint="eastAsia" w:ascii="宋体" w:hAnsi="宋体"/>
          <w:color w:val="000000" w:themeColor="text1"/>
          <w:sz w:val="24"/>
          <w:szCs w:val="24"/>
          <w:highlight w:val="none"/>
          <w14:textFill>
            <w14:solidFill>
              <w14:schemeClr w14:val="tx1"/>
            </w14:solidFill>
          </w14:textFill>
        </w:rPr>
        <w:t xml:space="preserve">万元，最高限价：19</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45.5</w:t>
      </w:r>
      <w:r>
        <w:rPr>
          <w:rFonts w:hint="eastAsia" w:ascii="宋体" w:hAnsi="宋体"/>
          <w:color w:val="000000" w:themeColor="text1"/>
          <w:sz w:val="24"/>
          <w:szCs w:val="24"/>
          <w:highlight w:val="none"/>
          <w14:textFill>
            <w14:solidFill>
              <w14:schemeClr w14:val="tx1"/>
            </w14:solidFill>
          </w14:textFill>
        </w:rPr>
        <w:t xml:space="preserve">万元</w:t>
      </w:r>
      <w:r/>
    </w:p>
    <w:p>
      <w:pPr>
        <w:ind w:firstLine="482"/>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采购需求：无锡市一中太湖新城分校物理、生物、化学实验室及多功能室的仪器设备等（招标范围包括货物的供货、安装、调试、培训、验收、售后服务等内容，中标供应商在供货前需要对接学校对产品数量、尺寸等进行复核）。</w:t>
      </w:r>
      <w:r/>
    </w:p>
    <w:p>
      <w:pPr>
        <w:ind w:firstLine="482"/>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5.本标的核心产品：学生用数码生物显微镜、学生操作设备（采购清单打“★”项）。</w:t>
      </w:r>
      <w:r/>
    </w:p>
    <w:p>
      <w:pPr>
        <w:ind w:firstLine="482"/>
        <w:spacing w:line="360" w:lineRule="auto"/>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6.采购标的物：本项目为货物采购，其中货物采购标的及对应的中小企业划分标准所属行业为工业</w:t>
      </w:r>
      <w:r>
        <w:rPr>
          <w:rFonts w:hint="eastAsia" w:ascii="宋体" w:hAnsi="宋体" w:cs="宋体"/>
          <w:color w:val="000000" w:themeColor="text1"/>
          <w:sz w:val="24"/>
          <w:highlight w:val="none"/>
          <w14:textFill>
            <w14:solidFill>
              <w14:schemeClr w14:val="tx1"/>
            </w14:solidFill>
          </w14:textFill>
        </w:rPr>
        <w:t xml:space="preserve">。</w:t>
      </w:r>
      <w:r/>
    </w:p>
    <w:p>
      <w:pPr>
        <w:numPr>
          <w:ilvl w:val="0"/>
          <w:numId w:val="11"/>
        </w:numPr>
        <w:ind w:left="-62" w:firstLine="482"/>
        <w:spacing w:line="360" w:lineRule="auto"/>
        <w:rPr>
          <w:rFonts w:ascii="宋体" w:hAnsi="宋体" w:eastAsia="宋体"/>
          <w:b/>
          <w:bCs/>
          <w:color w:val="000000" w:themeColor="text1"/>
          <w:sz w:val="24"/>
          <w:szCs w:val="24"/>
          <w:highlight w:val="none"/>
          <w14:textFill>
            <w14:solidFill>
              <w14:schemeClr w14:val="tx1"/>
            </w14:solidFill>
          </w14:textFill>
        </w:rPr>
      </w:pPr>
      <w:r>
        <w:rPr>
          <w:rFonts w:hint="eastAsia" w:ascii="宋体" w:hAnsi="宋体" w:eastAsia="宋体"/>
          <w:b/>
          <w:bCs/>
          <w:color w:val="000000" w:themeColor="text1"/>
          <w:sz w:val="24"/>
          <w:szCs w:val="24"/>
          <w:highlight w:val="none"/>
          <w:lang w:val="en-US" w:eastAsia="zh-CN"/>
          <w14:textFill>
            <w14:solidFill>
              <w14:schemeClr w14:val="tx1"/>
            </w14:solidFill>
          </w14:textFill>
        </w:rPr>
        <w:t xml:space="preserve">采购清单及技术要求：详见附件一、无锡市一中太湖新城分校实验室仪器设备招标清单</w:t>
      </w:r>
      <w:r/>
    </w:p>
    <w:p>
      <w:pPr>
        <w:numPr>
          <w:ilvl w:val="0"/>
          <w:numId w:val="0"/>
        </w:numPr>
        <w:ind w:left="0" w:firstLine="42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注：1、投标人必须在满足招标文件要求的基础上进行报价，如有技术偏离请于投标偏离表中说明。（注：投标供应商应在投标偏离表中进行填报）。</w:t>
      </w:r>
      <w:r/>
    </w:p>
    <w:p>
      <w:pPr>
        <w:numPr>
          <w:ilvl w:val="0"/>
          <w:numId w:val="0"/>
        </w:numPr>
        <w:ind w:left="0" w:firstLine="42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2、如采用与上述要求不一致且主观认为高于上述要求的材质，则应当在投标文件中详细描述，且必须提供相关证明文件，或者相关的国家技术规范，但供应商应承担被评委判定为负偏离的风险。</w:t>
      </w:r>
      <w:r/>
    </w:p>
    <w:p>
      <w:pPr>
        <w:numPr>
          <w:ilvl w:val="0"/>
          <w:numId w:val="0"/>
        </w:numPr>
        <w:ind w:left="0" w:firstLine="42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3、凡配置清单中如有</w:t>
      </w:r>
      <w:r>
        <w:rPr>
          <w:rFonts w:hint="eastAsia" w:ascii="宋体" w:hAnsi="宋体" w:eastAsia="宋体" w:cs="宋体"/>
          <w:color w:val="000000" w:themeColor="text1"/>
          <w:sz w:val="24"/>
          <w:highlight w:val="none"/>
          <w:lang w:eastAsia="zh-CN"/>
          <w14:textFill>
            <w14:solidFill>
              <w14:schemeClr w14:val="tx1"/>
            </w14:solidFill>
          </w14:textFill>
        </w:rPr>
        <w:t xml:space="preserve">涉及</w:t>
      </w:r>
      <w:r>
        <w:rPr>
          <w:rFonts w:hint="eastAsia" w:ascii="宋体" w:hAnsi="宋体" w:eastAsia="宋体" w:cs="宋体"/>
          <w:color w:val="000000" w:themeColor="text1"/>
          <w:sz w:val="24"/>
          <w:highlight w:val="none"/>
          <w14:textFill>
            <w14:solidFill>
              <w14:schemeClr w14:val="tx1"/>
            </w14:solidFill>
          </w14:textFill>
        </w:rPr>
        <w:t xml:space="preserve">品牌及产地的部分均可用同档次或高于其品质的替代，并在明细表中明确。</w:t>
      </w:r>
      <w:r/>
    </w:p>
    <w:p>
      <w:pPr>
        <w:numPr>
          <w:ilvl w:val="0"/>
          <w:numId w:val="0"/>
        </w:numPr>
        <w:ind w:left="0" w:firstLine="42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4、本项目中所有产品均须符合国家环保等相关标准。</w:t>
      </w:r>
      <w:r/>
    </w:p>
    <w:p>
      <w:pPr>
        <w:numPr>
          <w:ilvl w:val="0"/>
          <w:numId w:val="0"/>
        </w:numPr>
        <w:ind w:left="0" w:firstLine="42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5、投标人可对现场进行勘查（不统一组织、因供应商不进行现场勘查造成辅材附件费用计算不准等的后果均由供应商负责）</w:t>
      </w:r>
      <w:r/>
    </w:p>
    <w:p>
      <w:pPr>
        <w:numPr>
          <w:ilvl w:val="0"/>
          <w:numId w:val="0"/>
        </w:numPr>
        <w:ind w:left="0" w:firstLine="420"/>
        <w:spacing w:line="360" w:lineRule="auto"/>
        <w:rPr>
          <w:rFonts w:ascii="宋体" w:hAnsi="宋体" w:eastAsia="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6.本项目需要对化学通风实验室、生物显微镜观察室、创客中心和生态标本馆进行深化设计，设计内容详见附件二、深化设计内容。</w:t>
      </w:r>
      <w:r/>
    </w:p>
    <w:p>
      <w:pPr>
        <w:numPr>
          <w:ilvl w:val="0"/>
          <w:numId w:val="11"/>
        </w:numPr>
        <w:ind w:left="-62" w:firstLine="482"/>
        <w:spacing w:line="360" w:lineRule="auto"/>
        <w:rPr>
          <w:rFonts w:ascii="宋体" w:hAnsi="宋体" w:eastAsia="宋体"/>
          <w:b/>
          <w:bCs/>
          <w:color w:val="000000" w:themeColor="text1"/>
          <w:sz w:val="24"/>
          <w:szCs w:val="24"/>
          <w:highlight w:val="none"/>
          <w14:textFill>
            <w14:solidFill>
              <w14:schemeClr w14:val="tx1"/>
            </w14:solidFill>
          </w14:textFill>
        </w:rPr>
      </w:pPr>
      <w:r>
        <w:rPr>
          <w:rFonts w:hint="eastAsia" w:ascii="宋体" w:hAnsi="宋体" w:eastAsia="宋体"/>
          <w:b/>
          <w:bCs/>
          <w:color w:val="000000" w:themeColor="text1"/>
          <w:sz w:val="24"/>
          <w:szCs w:val="24"/>
          <w:highlight w:val="none"/>
          <w14:textFill>
            <w14:solidFill>
              <w14:schemeClr w14:val="tx1"/>
            </w14:solidFill>
          </w14:textFill>
        </w:rPr>
        <w:t xml:space="preserve">服务要求：</w:t>
      </w:r>
      <w:r/>
    </w:p>
    <w:p>
      <w:pPr>
        <w:pStyle w:val="840"/>
        <w:ind w:firstLine="480"/>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1.质量要求：符合国家、地方及相关行业标准。货物的验收包括：数量、外观、质量、性能、质保单、包装和乙方承诺的其他指标；验收标准根据有关规定及技术要求，原则上以通过计量检定或校准合格为准。</w:t>
      </w:r>
      <w:r/>
    </w:p>
    <w:p>
      <w:pPr>
        <w:pStyle w:val="840"/>
        <w:ind w:firstLine="480"/>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2.交货期：合同签订生效后80日历天内，完成供货、安装、调试，交付采购人使用。</w:t>
      </w:r>
      <w:r/>
    </w:p>
    <w:p>
      <w:pPr>
        <w:pStyle w:val="840"/>
        <w:ind w:firstLine="480"/>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3.质保期：3年（自终验收双方签署终验收报告之日起开始计算，质保期满后提供</w:t>
      </w:r>
      <w:r>
        <w:rPr>
          <w:rFonts w:hint="eastAsia" w:ascii="宋体" w:hAnsi="宋体"/>
          <w:color w:val="000000" w:themeColor="text1"/>
          <w:sz w:val="24"/>
          <w:szCs w:val="24"/>
          <w:highlight w:val="none"/>
          <w:lang w:eastAsia="zh-CN"/>
          <w14:textFill>
            <w14:solidFill>
              <w14:schemeClr w14:val="tx1"/>
            </w14:solidFill>
          </w14:textFill>
        </w:rPr>
        <w:t xml:space="preserve">终身</w:t>
      </w:r>
      <w:r>
        <w:rPr>
          <w:rFonts w:hint="eastAsia" w:ascii="宋体" w:hAnsi="宋体" w:eastAsia="宋体"/>
          <w:color w:val="000000" w:themeColor="text1"/>
          <w:sz w:val="24"/>
          <w:szCs w:val="24"/>
          <w:highlight w:val="none"/>
          <w14:textFill>
            <w14:solidFill>
              <w14:schemeClr w14:val="tx1"/>
            </w14:solidFill>
          </w14:textFill>
        </w:rPr>
        <w:t xml:space="preserve">有偿维修服务）。</w:t>
      </w:r>
      <w:r/>
    </w:p>
    <w:p>
      <w:pPr>
        <w:pStyle w:val="840"/>
        <w:ind w:firstLine="480"/>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4.本项目实施地点：无锡市一中太湖新城分校</w:t>
      </w:r>
      <w:r/>
    </w:p>
    <w:p>
      <w:pPr>
        <w:pStyle w:val="840"/>
        <w:ind w:firstLine="480"/>
        <w:rPr>
          <w:rFonts w:ascii="宋体" w:hAnsi="宋体" w:cs="宋体"/>
          <w:color w:val="000000" w:themeColor="text1"/>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5.付款方式：合同签订生效后30日内，支付合同价款的30%；货到验收合格后办理移交手续，支付至合同价款的80%，项目审计结束支付至审定价的95%，余款于审计结束两年后付清。</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
          <w:bCs/>
          <w:color w:val="000000" w:themeColor="text1"/>
          <w:sz w:val="30"/>
          <w:szCs w:val="30"/>
          <w:highlight w:val="none"/>
          <w:lang w:eastAsia="zh-CN"/>
          <w14:textFill>
            <w14:solidFill>
              <w14:schemeClr w14:val="tx1"/>
            </w14:solidFill>
          </w14:textFill>
        </w:rPr>
      </w:pPr>
      <w:r>
        <w:rPr>
          <w:rFonts w:hint="eastAsia" w:ascii="宋体" w:hAnsi="宋体" w:eastAsia="宋体" w:cs="宋体"/>
          <w:b/>
          <w:color w:val="000000" w:themeColor="text1"/>
          <w:sz w:val="30"/>
          <w:szCs w:val="30"/>
          <w:highlight w:val="none"/>
          <w14:textFill>
            <w14:solidFill>
              <w14:schemeClr w14:val="tx1"/>
            </w14:solidFill>
          </w14:textFill>
        </w:rPr>
        <w:t xml:space="preserve">第二部分  </w:t>
      </w:r>
      <w:r>
        <w:rPr>
          <w:rFonts w:hint="eastAsia" w:ascii="宋体" w:hAnsi="宋体" w:eastAsia="宋体" w:cs="宋体"/>
          <w:b/>
          <w:color w:val="000000" w:themeColor="text1"/>
          <w:sz w:val="30"/>
          <w:szCs w:val="30"/>
          <w:highlight w:val="none"/>
          <w:lang w:val="en-US" w:eastAsia="zh-CN"/>
          <w14:textFill>
            <w14:solidFill>
              <w14:schemeClr w14:val="tx1"/>
            </w14:solidFill>
          </w14:textFill>
        </w:rPr>
        <w:t xml:space="preserve">有关说明</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1.投标总报价包括满足本项目要求的所有产品及其配件、包装、运输、安装调试及售后服务等从项目中标起到项目正式交付以及质保期内所发生的一切费用。</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采购人成立验收小组，按照采购合同的约定对中标供应商的履约情况进行验收。验收时间以采购人政府采购履约验收通知单发出为准。验收时，采购人按照采购合同的约定对每一项技术、商务要求的履约情况进行确认。验收结束后，验收小组出具验收书，给出项目总体评价，验收双方共同签署并盖章，履约验收的各项资料存档备查。</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采购人在项目验收时如发现中标供应商所供产品技术参数与投标文件不符，采购人有权拒收货、拒付款，并按提供虚假材料谋取中标处理，供货方须承担相应的法律责任。</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3.危险化学品储存间设备安装及验收要求 </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（1）★投标人须负责危险化学品储存间相关设备的供货、安装、调试及点位设施布设，整体施工须严格遵循《无锡市中学危险化学品安全管理规范》。</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（2）项目竣工后，须通过招标人组织的专家组验收，并取得《验收合格意见书》，否则视为未完成交付。</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4.生态标本馆的标本要求</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（1）★投标人投标时须提供标本制作厂家取得的林业主管部门批准的野生动物标本制作许可证明材料。</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（2）生态标本馆建设包含：馆内功能布局图纸设计、展陈设备安装调试、管线铺设，生态场景环境施工（含布景、绿化、灯光等）。</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（3）设计图纸及效果图须提交学校审核，取得确认后方可进场施工，安装过程中因设计变更产生的费用由投标人自行承担。</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5.废水处理设备范围及要求</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（1）本次废水处理设备包含室内外设备的供货、就位、安装与调试，以及相关配套设施系统联动测试及运行。</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6.产品质量必须符合《中华人民共和国国家标准》及我国最新颁布的与之相关的技术规范与正宗合格产品标准，同时必须满足采购清单中所列全部规格、型号、具体配置、技术条件及功能要求和供方承诺的其他指标；产品质量出现问题，供方负责包退、包换、包修，其费用由供方负责。</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7.供货期间，采购人可随时委托具有资质的第三方专业检测机构进行全过程跟踪检测，检测内容包括但不限于原材料、半成品、成品等。检测标准以国家、行业标准、招标文件及投标承诺为依据。供应商须无条件配合采购人、检测单位完成跟踪检测工作，并由采购人委托的检测单位出具检测报告及验收报告。相关检测费用由中标单位承担，若检测结果没有达到中标单位投标文件中承诺的技术要求，采购人有权因此而终止部分直至全部合同，由此而造成的后果和责任由供应商全部承担。</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8.货物保管：货物到达需方地址至验收合格期间，由供方负责保管，若因保管不当造成的质量问题，供方应负责修理，同时有关费用由供方承担；货物经验收合格后即由需方负责保管，若因保管不当造成的质量问题，供方应负责修理，但有关费用由需方承担。</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9.中标供应商为中小企业（或监狱企业或残疾人福利性单位），其中小企业声明函或残疾人福利性单位声明函或监狱企业证明材料将随中标公告同时发布，接受社会监督。投标人提供的声明函或证明材料与事实不符的，依照《中华人民共和国政府采购法》第七十七条第一款的规定追究法律责任。</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10.依据《政府采购促进中小企业发展管理办法》规定享受扶持政策获得政府采购合同的，小微企业不得将合同分包给大中型企业，中型企业不得将合同分包给大型企业。</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11.凡涉及招标文件的补充说明或修正，均以书面依据为准。</w:t>
      </w:r>
      <w:r>
        <w:rPr>
          <w:rFonts w:hint="eastAsia" w:ascii="宋体" w:hAnsi="宋体" w:eastAsia="宋体" w:cs="宋体"/>
          <w:b/>
          <w:color w:val="auto"/>
          <w:sz w:val="36"/>
          <w:szCs w:val="36"/>
          <w:highlight w:val="none"/>
        </w:rPr>
        <w:br w:type="page" w:clear="all"/>
      </w:r>
      <w:r>
        <w:rPr>
          <w:rFonts w:ascii="宋体" w:hAnsi="宋体" w:eastAsia="宋体" w:cs="宋体"/>
          <w:bCs/>
          <w:color w:val="000000" w:themeColor="text1"/>
          <w:sz w:val="24"/>
          <w:szCs w:val="24"/>
          <w:highlight w:val="non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ascii="宋体" w:hAnsi="宋体" w:eastAsia="宋体" w:cs="宋体"/>
          <w:bCs/>
          <w:color w:val="auto"/>
          <w:sz w:val="36"/>
          <w:szCs w:val="36"/>
          <w:highlight w:val="none"/>
        </w:rPr>
        <w:outlineLvl w:val="0"/>
      </w:pPr>
      <w:r>
        <w:rPr>
          <w:rFonts w:hint="eastAsia" w:ascii="宋体" w:hAnsi="宋体" w:eastAsia="宋体" w:cs="宋体"/>
          <w:b/>
          <w:color w:val="auto"/>
          <w:sz w:val="36"/>
          <w:szCs w:val="36"/>
          <w:highlight w:val="none"/>
        </w:rPr>
        <w:t xml:space="preserve">第五章</w:t>
      </w:r>
      <w:r>
        <w:rPr>
          <w:rFonts w:hint="eastAsia" w:ascii="宋体" w:hAnsi="宋体" w:eastAsia="宋体" w:cs="宋体"/>
          <w:b/>
          <w:bCs/>
          <w:color w:val="auto"/>
          <w:sz w:val="36"/>
          <w:szCs w:val="36"/>
          <w:highlight w:val="none"/>
        </w:rPr>
        <w:t xml:space="preserve">评标方法与评标标准</w:t>
      </w:r>
      <w:r/>
    </w:p>
    <w:p>
      <w:pPr>
        <w:pStyle w:val="987"/>
        <w:ind w:firstLine="452"/>
        <w:keepLines w:val="0"/>
        <w:keepNext w:val="0"/>
        <w:spacing w:before="0" w:after="0" w:line="360" w:lineRule="auto"/>
        <w:rPr>
          <w:rFonts w:ascii="宋体" w:hAnsi="宋体" w:cs="宋体"/>
          <w:color w:val="auto"/>
          <w:sz w:val="30"/>
          <w:szCs w:val="30"/>
          <w:highlight w:val="none"/>
          <w:lang w:eastAsia="zh-CN"/>
        </w:rPr>
        <w:outlineLvl w:val="1"/>
      </w:pPr>
      <w:r>
        <w:rPr>
          <w:rFonts w:hint="eastAsia" w:ascii="宋体" w:hAnsi="宋体" w:cs="宋体"/>
          <w:color w:val="auto"/>
          <w:sz w:val="30"/>
          <w:szCs w:val="30"/>
          <w:highlight w:val="none"/>
          <w:lang w:eastAsia="zh-CN"/>
        </w:rPr>
        <w:t xml:space="preserve">第一部分评标方法</w:t>
      </w:r>
      <w:r/>
    </w:p>
    <w:p>
      <w:pPr>
        <w:pStyle w:val="1227"/>
        <w:spacing w:before="0" w:after="0"/>
        <w:rPr>
          <w:rFonts w:ascii="宋体" w:hAnsi="宋体" w:cs="宋体"/>
          <w:color w:val="auto"/>
          <w:highlight w:val="none"/>
        </w:rPr>
      </w:pPr>
      <w:r>
        <w:rPr>
          <w:rFonts w:hint="eastAsia" w:ascii="宋体" w:hAnsi="宋体" w:cs="宋体"/>
          <w:color w:val="auto"/>
          <w:highlight w:val="none"/>
        </w:rPr>
        <w:t xml:space="preserve">投标人通过初审的，方可进入比较与评价程序。</w:t>
      </w:r>
      <w:r/>
    </w:p>
    <w:p>
      <w:pPr>
        <w:pStyle w:val="1227"/>
        <w:spacing w:before="0" w:after="0"/>
        <w:rPr>
          <w:rFonts w:ascii="宋体" w:hAnsi="宋体" w:cs="宋体"/>
          <w:color w:val="auto"/>
          <w:highlight w:val="none"/>
        </w:rPr>
      </w:pPr>
      <w:r>
        <w:rPr>
          <w:rFonts w:hint="eastAsia" w:ascii="宋体" w:hAnsi="宋体" w:cs="宋体"/>
          <w:color w:val="auto"/>
          <w:highlight w:val="none"/>
        </w:rPr>
        <w:t xml:space="preserve">比较与评价采用综合评分法。</w:t>
      </w:r>
      <w:r/>
    </w:p>
    <w:p>
      <w:pPr>
        <w:pStyle w:val="1227"/>
        <w:spacing w:before="0" w:after="0"/>
        <w:rPr>
          <w:rStyle w:val="920"/>
          <w:rFonts w:ascii="宋体" w:hAnsi="宋体" w:eastAsia="宋体" w:cs="宋体"/>
          <w:color w:val="000000" w:themeColor="text1"/>
          <w:highlight w:val="none"/>
          <w14:textFill>
            <w14:solidFill>
              <w14:schemeClr w14:val="tx1"/>
            </w14:solidFill>
          </w14:textFill>
        </w:rPr>
      </w:pPr>
      <w:r>
        <w:rPr>
          <w:rFonts w:hint="eastAsia" w:ascii="宋体" w:hAnsi="宋体" w:cs="宋体"/>
          <w:bCs/>
          <w:color w:val="auto"/>
          <w:highlight w:val="none"/>
        </w:rPr>
        <w:t xml:space="preserve">评标委员会遵循公平、公正、择优原则，独立按照评标标准分别评定投标供应商的分值；各投标供应商的评审后得分为各评委所评定分值的平均值，并按高低顺序排列选取3名中标候选人。得分相同的，按投标报价由低到高顺序排列，得分且投标报价相同的并列，中标候选人并列的，按技术文件的得分优劣顺序排列。投标文件满足招标文件全部实质性要求，且按照评审因素的量化指标评审得分最高、排名第一的供应商为该采购包的中标供应商。</w:t>
      </w:r>
      <w:r>
        <w:rPr>
          <w:rFonts w:hint="eastAsia" w:ascii="宋体" w:hAnsi="宋体" w:cs="宋体"/>
          <w:bCs/>
          <w:color w:val="000000" w:themeColor="text1"/>
          <w:highlight w:val="none"/>
          <w14:textFill>
            <w14:solidFill>
              <w14:schemeClr w14:val="tx1"/>
            </w14:solidFill>
          </w14:textFill>
        </w:rPr>
        <w:t xml:space="preserve">未列入本评分细则的其他条件不作为评分内容。</w:t>
      </w:r>
      <w:r/>
    </w:p>
    <w:p>
      <w:pPr>
        <w:pStyle w:val="1227"/>
        <w:spacing w:before="0" w:after="0"/>
        <w:rPr>
          <w:rFonts w:ascii="宋体" w:hAnsi="宋体" w:cs="宋体"/>
          <w:color w:val="auto"/>
          <w:highlight w:val="none"/>
          <w:shd w:val="clear" w:color="ffffff" w:fill="d9d9d9"/>
        </w:rPr>
      </w:pPr>
      <w:r>
        <w:rPr>
          <w:rFonts w:hint="eastAsia" w:ascii="宋体" w:hAnsi="宋体" w:cs="宋体"/>
          <w:bCs/>
          <w:color w:val="000000" w:themeColor="text1"/>
          <w:highlight w:val="none"/>
          <w:lang w:val="en-US" w:eastAsia="zh-CN"/>
          <w14:textFill>
            <w14:solidFill>
              <w14:schemeClr w14:val="tx1"/>
            </w14:solidFill>
          </w14:textFill>
        </w:rPr>
        <w:t xml:space="preserve">核心产品</w:t>
      </w:r>
      <w:r>
        <w:rPr>
          <w:rFonts w:hint="eastAsia" w:ascii="宋体" w:hAnsi="宋体" w:cs="宋体"/>
          <w:bCs/>
          <w:color w:val="000000" w:themeColor="text1"/>
          <w:highlight w:val="none"/>
          <w14:textFill>
            <w14:solidFill>
              <w14:schemeClr w14:val="tx1"/>
            </w14:solidFill>
          </w14:textFill>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招标文件未规定的采取随机抽取方式确定，其他同品牌投标人</w:t>
      </w:r>
      <w:r>
        <w:rPr>
          <w:rFonts w:hint="eastAsia" w:ascii="宋体" w:hAnsi="宋体" w:cs="宋体"/>
          <w:bCs/>
          <w:color w:val="auto"/>
          <w:highlight w:val="none"/>
        </w:rPr>
        <w:t xml:space="preserve">无评审排名资格。非单一产品采购项目，多家投标人提供的核心产品品牌相同的，同上处理。</w:t>
      </w:r>
      <w:r/>
    </w:p>
    <w:p>
      <w:pPr>
        <w:ind w:firstLine="600"/>
        <w:jc w:val="left"/>
        <w:spacing w:line="360" w:lineRule="auto"/>
        <w:widowControl/>
        <w:rPr>
          <w:rFonts w:ascii="宋体" w:hAnsi="宋体" w:eastAsia="宋体" w:cs="宋体"/>
          <w:b/>
          <w:color w:val="auto"/>
          <w:sz w:val="30"/>
          <w:szCs w:val="30"/>
          <w:highlight w:val="none"/>
        </w:rPr>
        <w:outlineLvl w:val="1"/>
      </w:pPr>
      <w:r>
        <w:rPr>
          <w:rFonts w:hint="eastAsia" w:ascii="宋体" w:hAnsi="宋体" w:eastAsia="宋体" w:cs="宋体"/>
          <w:b/>
          <w:color w:val="auto"/>
          <w:sz w:val="30"/>
          <w:szCs w:val="30"/>
          <w:highlight w:val="none"/>
        </w:rPr>
        <w:t xml:space="preserve">第二部分评标标准</w:t>
      </w:r>
      <w:r/>
    </w:p>
    <w:p>
      <w:pPr>
        <w:pStyle w:val="1227"/>
        <w:numPr>
          <w:ilvl w:val="0"/>
          <w:numId w:val="0"/>
        </w:numPr>
        <w:spacing w:before="0" w:after="0"/>
        <w:rPr>
          <w:rFonts w:ascii="宋体" w:hAnsi="宋体" w:cs="宋体"/>
          <w:b/>
          <w:color w:val="auto"/>
          <w:sz w:val="28"/>
          <w:szCs w:val="28"/>
          <w:highlight w:val="none"/>
        </w:rPr>
      </w:pPr>
      <w:r>
        <w:rPr>
          <w:rFonts w:hint="eastAsia" w:ascii="宋体" w:hAnsi="宋体" w:cs="宋体"/>
          <w:b/>
          <w:color w:val="auto"/>
          <w:sz w:val="28"/>
          <w:szCs w:val="28"/>
          <w:highlight w:val="none"/>
          <w:lang w:val="en-US" w:eastAsia="zh-CN"/>
        </w:rPr>
        <w:t xml:space="preserve">一、</w:t>
      </w:r>
      <w:r>
        <w:rPr>
          <w:rFonts w:hint="eastAsia" w:ascii="宋体" w:hAnsi="宋体" w:cs="宋体"/>
          <w:b/>
          <w:color w:val="auto"/>
          <w:sz w:val="28"/>
          <w:szCs w:val="28"/>
          <w:highlight w:val="none"/>
        </w:rPr>
        <w:t xml:space="preserve">评分标准</w:t>
      </w:r>
      <w:r/>
    </w:p>
    <w:p>
      <w:pPr>
        <w:ind w:firstLine="480"/>
        <w:spacing w:line="36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（一）评分项目及总分（总分100分）</w:t>
      </w:r>
      <w:r/>
    </w:p>
    <w:p>
      <w:pPr>
        <w:ind w:firstLine="560"/>
        <w:spacing w:line="360" w:lineRule="auto"/>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u w:val="single"/>
          <w14:textFill>
            <w14:solidFill>
              <w14:schemeClr w14:val="tx1"/>
            </w14:solidFill>
          </w14:textFill>
        </w:rPr>
        <w:t xml:space="preserve">特别注意：本项目采用暗标形式。投标人须参照评标办法的相关要求对商务部分和技术文件部分分别进行制作。其中技术文件部分属于暗标，投标人在制作技术文件部分相关内容时不得有体现投标人身份的内容，否则投标无效。</w:t>
      </w:r>
      <w:r/>
    </w:p>
    <w:p>
      <w:pPr>
        <w:ind w:firstLine="480"/>
        <w:spacing w:line="36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明标部分</w:t>
      </w:r>
      <w:r/>
    </w:p>
    <w:p>
      <w:pPr>
        <w:ind w:firstLine="480"/>
        <w:spacing w:line="36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（1）投标报价                                      3</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5</w:t>
      </w:r>
      <w:r>
        <w:rPr>
          <w:rFonts w:hint="eastAsia" w:ascii="宋体" w:hAnsi="宋体" w:cs="宋体"/>
          <w:b/>
          <w:bCs/>
          <w:color w:val="000000" w:themeColor="text1"/>
          <w:sz w:val="24"/>
          <w:szCs w:val="24"/>
          <w:highlight w:val="none"/>
          <w14:textFill>
            <w14:solidFill>
              <w14:schemeClr w14:val="tx1"/>
            </w14:solidFill>
          </w14:textFill>
        </w:rPr>
        <w:t xml:space="preserve">分</w:t>
      </w:r>
      <w:r/>
    </w:p>
    <w:p>
      <w:pPr>
        <w:ind w:firstLine="480"/>
        <w:spacing w:line="36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（2）供应商综合实力                                </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9</w:t>
      </w:r>
      <w:r>
        <w:rPr>
          <w:rFonts w:hint="eastAsia" w:ascii="宋体" w:hAnsi="宋体" w:cs="宋体"/>
          <w:b/>
          <w:bCs/>
          <w:color w:val="000000" w:themeColor="text1"/>
          <w:sz w:val="24"/>
          <w:szCs w:val="24"/>
          <w:highlight w:val="none"/>
          <w14:textFill>
            <w14:solidFill>
              <w14:schemeClr w14:val="tx1"/>
            </w14:solidFill>
          </w14:textFill>
        </w:rPr>
        <w:t xml:space="preserve">分</w:t>
      </w:r>
      <w:r/>
    </w:p>
    <w:p>
      <w:pPr>
        <w:ind w:firstLine="480"/>
        <w:spacing w:line="36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（3）技术响应                                      1</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b/>
          <w:bCs/>
          <w:color w:val="000000" w:themeColor="text1"/>
          <w:sz w:val="24"/>
          <w:szCs w:val="24"/>
          <w:highlight w:val="none"/>
          <w14:textFill>
            <w14:solidFill>
              <w14:schemeClr w14:val="tx1"/>
            </w14:solidFill>
          </w14:textFill>
        </w:rPr>
        <w:t xml:space="preserve">分</w:t>
      </w:r>
      <w:r/>
    </w:p>
    <w:p>
      <w:pPr>
        <w:ind w:firstLine="480"/>
        <w:spacing w:line="36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（4）产品功能视频演示                           </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b/>
          <w:bCs/>
          <w:color w:val="000000" w:themeColor="text1"/>
          <w:sz w:val="24"/>
          <w:szCs w:val="24"/>
          <w:highlight w:val="none"/>
          <w14:textFill>
            <w14:solidFill>
              <w14:schemeClr w14:val="tx1"/>
            </w14:solidFill>
          </w14:textFill>
        </w:rPr>
        <w:t xml:space="preserve">   </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8</w:t>
      </w:r>
      <w:r>
        <w:rPr>
          <w:rFonts w:hint="eastAsia" w:ascii="宋体" w:hAnsi="宋体" w:cs="宋体"/>
          <w:b/>
          <w:bCs/>
          <w:color w:val="000000" w:themeColor="text1"/>
          <w:sz w:val="24"/>
          <w:szCs w:val="24"/>
          <w:highlight w:val="none"/>
          <w14:textFill>
            <w14:solidFill>
              <w14:schemeClr w14:val="tx1"/>
            </w14:solidFill>
          </w14:textFill>
        </w:rPr>
        <w:t xml:space="preserve">分</w:t>
      </w:r>
      <w:r/>
    </w:p>
    <w:p>
      <w:pPr>
        <w:ind w:firstLine="480"/>
        <w:spacing w:line="36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（5）政策性因素                                   </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b/>
          <w:bCs/>
          <w:color w:val="000000" w:themeColor="text1"/>
          <w:sz w:val="24"/>
          <w:szCs w:val="24"/>
          <w:highlight w:val="none"/>
          <w14:textFill>
            <w14:solidFill>
              <w14:schemeClr w14:val="tx1"/>
            </w14:solidFill>
          </w14:textFill>
        </w:rPr>
        <w:t xml:space="preserve"> 2分</w:t>
      </w:r>
      <w:r/>
    </w:p>
    <w:p>
      <w:pPr>
        <w:ind w:firstLine="480"/>
        <w:spacing w:line="36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暗标部分</w:t>
      </w:r>
      <w:r/>
    </w:p>
    <w:p>
      <w:pPr>
        <w:numPr>
          <w:ilvl w:val="0"/>
          <w:numId w:val="0"/>
        </w:numPr>
        <w:ind w:firstLine="480"/>
        <w:spacing w:line="36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eastAsia="Arial" w:cs="宋体"/>
          <w:b/>
          <w:bCs/>
          <w:color w:val="000000" w:themeColor="text1"/>
          <w:sz w:val="24"/>
          <w:szCs w:val="24"/>
          <w:highlight w:val="none"/>
          <w:lang w:val="en-US" w:eastAsia="zh-CN" w:bidi="ar-SA"/>
          <w14:textFill>
            <w14:solidFill>
              <w14:schemeClr w14:val="tx1"/>
            </w14:solidFill>
          </w14:textFill>
        </w:rPr>
        <w:t xml:space="preserve">（6）</w:t>
      </w:r>
      <w:r>
        <w:rPr>
          <w:rFonts w:hint="eastAsia" w:ascii="宋体" w:hAnsi="宋体" w:cs="宋体"/>
          <w:b/>
          <w:bCs/>
          <w:color w:val="000000" w:themeColor="text1"/>
          <w:sz w:val="24"/>
          <w:szCs w:val="24"/>
          <w:highlight w:val="none"/>
          <w14:textFill>
            <w14:solidFill>
              <w14:schemeClr w14:val="tx1"/>
            </w14:solidFill>
          </w14:textFill>
        </w:rPr>
        <w:t xml:space="preserve">技术方案                                      </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35</w:t>
      </w:r>
      <w:r>
        <w:rPr>
          <w:rFonts w:hint="eastAsia" w:ascii="宋体" w:hAnsi="宋体" w:cs="宋体"/>
          <w:b/>
          <w:bCs/>
          <w:color w:val="000000" w:themeColor="text1"/>
          <w:sz w:val="24"/>
          <w:szCs w:val="24"/>
          <w:highlight w:val="none"/>
          <w14:textFill>
            <w14:solidFill>
              <w14:schemeClr w14:val="tx1"/>
            </w14:solidFill>
          </w14:textFill>
        </w:rPr>
        <w:t xml:space="preserve">分</w:t>
      </w:r>
      <w:r/>
    </w:p>
    <w:p>
      <w:pPr>
        <w:numPr>
          <w:ilvl w:val="0"/>
          <w:numId w:val="0"/>
        </w:numPr>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cs="Times New Roman"/>
          <w:color w:val="000000" w:themeColor="text1"/>
          <w:sz w:val="24"/>
          <w:szCs w:val="20"/>
          <w14:textFill>
            <w14:solidFill>
              <w14:schemeClr w14:val="tx1"/>
            </w14:solidFill>
          </w14:textFill>
        </w:rPr>
        <w:t xml:space="preserve">（二）各项目评分标准</w:t>
      </w:r>
      <w:r/>
    </w:p>
    <w:p>
      <w:pPr>
        <w:numPr>
          <w:ilvl w:val="0"/>
          <w:numId w:val="0"/>
        </w:numPr>
        <w:ind w:firstLine="482"/>
        <w:spacing w:line="360" w:lineRule="auto"/>
        <w:rPr>
          <w:rFonts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（1）投标报价（3</w:t>
      </w:r>
      <w:r>
        <w:rPr>
          <w:rFonts w:hint="eastAsia" w:ascii="宋体" w:hAnsi="宋体" w:eastAsia="宋体" w:cs="宋体"/>
          <w:b/>
          <w:color w:val="000000" w:themeColor="text1"/>
          <w:sz w:val="24"/>
          <w:highlight w:val="none"/>
          <w:lang w:val="en-US" w:eastAsia="zh-CN"/>
          <w14:textFill>
            <w14:solidFill>
              <w14:schemeClr w14:val="tx1"/>
            </w14:solidFill>
          </w14:textFill>
        </w:rPr>
        <w:t xml:space="preserve">5</w:t>
      </w:r>
      <w:r>
        <w:rPr>
          <w:rFonts w:hint="eastAsia" w:ascii="宋体" w:hAnsi="宋体" w:eastAsia="宋体" w:cs="宋体"/>
          <w:b/>
          <w:color w:val="000000" w:themeColor="text1"/>
          <w:sz w:val="24"/>
          <w:highlight w:val="none"/>
          <w14:textFill>
            <w14:solidFill>
              <w14:schemeClr w14:val="tx1"/>
            </w14:solidFill>
          </w14:textFill>
        </w:rPr>
        <w:t xml:space="preserve">分）</w:t>
      </w:r>
      <w:r/>
    </w:p>
    <w:p>
      <w:pPr>
        <w:ind w:firstLine="482"/>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采用低价优先法计算，即满足招标文件要求且投标价格最低的投标报价为评标基准价，其价格分为满分。其他投标人的价格分统一按照下列公式计算：</w:t>
      </w:r>
      <w:r/>
    </w:p>
    <w:p>
      <w:pPr>
        <w:ind w:firstLine="482"/>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投标报价得分=（评标基准价/投标报价）×3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2"/>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注：a.对于非专门面向小微企业的项目，对小微企业报价给予10%的扣除，用扣除后的价格参与评审。参加投标的中小企业，应当按照《政府采购促进中小企业发展管理办法》（财库〔2020〕46号）的规定提供《中小企业声明函》（中小企业划型标准详见《关于印发中小企业划型标准规定的通知》工信部联企业〔2011〕300号）。</w:t>
      </w:r>
      <w:r/>
    </w:p>
    <w:p>
      <w:pPr>
        <w:ind w:firstLine="482"/>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b.监狱和戒毒企业参加政府采购活动视同小型、微型企业，享受评审价格扣除10%的政府采购优惠政策。参加报价的监狱和戒毒企业，应当按照财政部《司法部关于政府采购支持监狱企业发展有关问题》（财库〔2014〕68号）的规定提供由省级以上监狱管理局、戒毒管理局（含新疆生产建设兵团）出具的属于监狱企业的证明文件复印件。</w:t>
      </w:r>
      <w:r/>
    </w:p>
    <w:p>
      <w:pPr>
        <w:ind w:firstLine="482"/>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 c.残疾人福利性单位参加政府采购活动视同小型、微型企业，享受评审价格扣除10%的政府采购优惠政策。参加报价的残疾人福利性单位，应当按照财政部民政部《中国残疾人联合会关于促进残疾人就业政府采购政策的通知》（财库</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〔2017〕141号</w:t>
      </w:r>
      <w:r>
        <w:rPr>
          <w:rFonts w:hint="eastAsia" w:ascii="宋体" w:hAnsi="宋体" w:eastAsia="宋体" w:cs="宋体"/>
          <w:color w:val="000000" w:themeColor="text1"/>
          <w:sz w:val="24"/>
          <w:szCs w:val="24"/>
          <w:highlight w:val="none"/>
          <w14:textFill>
            <w14:solidFill>
              <w14:schemeClr w14:val="tx1"/>
            </w14:solidFill>
          </w14:textFill>
        </w:rPr>
        <w:t xml:space="preserve">）的规定提供《残疾人福利性单位声明函》（格式见附件）。</w:t>
      </w:r>
      <w:r/>
    </w:p>
    <w:p>
      <w:pPr>
        <w:ind w:firstLine="482"/>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同一投标人，上述三项价格扣除优惠不得重复享受。</w:t>
      </w:r>
      <w:r/>
    </w:p>
    <w:p>
      <w:pPr>
        <w:numPr>
          <w:ilvl w:val="0"/>
          <w:numId w:val="0"/>
        </w:numPr>
        <w:ind w:firstLine="482"/>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（2）供应商综合实力（</w:t>
      </w:r>
      <w:r>
        <w:rPr>
          <w:rFonts w:hint="eastAsia" w:ascii="宋体" w:hAnsi="宋体" w:eastAsia="宋体" w:cs="宋体"/>
          <w:b/>
          <w:color w:val="000000" w:themeColor="text1"/>
          <w:sz w:val="24"/>
          <w:highlight w:val="none"/>
          <w:lang w:val="en-US" w:eastAsia="zh-CN"/>
          <w14:textFill>
            <w14:solidFill>
              <w14:schemeClr w14:val="tx1"/>
            </w14:solidFill>
          </w14:textFill>
        </w:rPr>
        <w:t xml:space="preserve">9</w:t>
      </w:r>
      <w:r>
        <w:rPr>
          <w:rFonts w:hint="eastAsia" w:ascii="宋体" w:hAnsi="宋体" w:eastAsia="宋体" w:cs="宋体"/>
          <w:b/>
          <w:color w:val="000000" w:themeColor="text1"/>
          <w:sz w:val="24"/>
          <w:highlight w:val="none"/>
          <w14:textFill>
            <w14:solidFill>
              <w14:schemeClr w14:val="tx1"/>
            </w14:solidFill>
          </w14:textFill>
        </w:rPr>
        <w:t xml:space="preserve">分）</w:t>
      </w:r>
      <w:r/>
    </w:p>
    <w:p>
      <w:pPr>
        <w:ind w:firstLine="787"/>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业绩（2分）</w:t>
      </w:r>
      <w:r/>
    </w:p>
    <w:p>
      <w:pPr>
        <w:ind w:firstLine="480"/>
        <w:spacing w:line="360" w:lineRule="auto"/>
        <w:rPr>
          <w:rFonts w:ascii="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自2022年1月1日以来（以合同签订时间为准），投标人具有独立承接并完成类似实验室建设业绩的，每提供一份业绩得1分，最多得2分。提供</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完整的</w:t>
      </w:r>
      <w:r>
        <w:rPr>
          <w:rFonts w:hint="eastAsia" w:ascii="宋体" w:hAnsi="宋体" w:eastAsia="宋体" w:cs="宋体"/>
          <w:color w:val="000000" w:themeColor="text1"/>
          <w:sz w:val="24"/>
          <w:szCs w:val="24"/>
          <w:highlight w:val="none"/>
          <w14:textFill>
            <w14:solidFill>
              <w14:schemeClr w14:val="tx1"/>
            </w14:solidFill>
          </w14:textFill>
        </w:rPr>
        <w:t xml:space="preserve">业绩合同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及</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供货清单</w:t>
      </w:r>
      <w:r>
        <w:rPr>
          <w:rFonts w:hint="eastAsia" w:ascii="宋体" w:hAnsi="宋体" w:eastAsia="宋体" w:cs="宋体"/>
          <w:color w:val="000000" w:themeColor="text1"/>
          <w:sz w:val="24"/>
          <w:szCs w:val="24"/>
          <w:highlight w:val="none"/>
          <w14:textFill>
            <w14:solidFill>
              <w14:schemeClr w14:val="tx1"/>
            </w14:solidFill>
          </w14:textFill>
        </w:rPr>
        <w:t xml:space="preserve">原件扫描件上传系统并签章，不提供或提供不符合要求均不得分</w:t>
      </w:r>
      <w:r>
        <w:rPr>
          <w:rFonts w:hint="eastAsia" w:ascii="宋体"/>
          <w:color w:val="000000" w:themeColor="text1"/>
          <w:sz w:val="24"/>
          <w:highlight w:val="none"/>
          <w14:textFill>
            <w14:solidFill>
              <w14:schemeClr w14:val="tx1"/>
            </w14:solidFill>
          </w14:textFill>
        </w:rPr>
        <w:t xml:space="preserve">。</w:t>
      </w:r>
      <w:r/>
    </w:p>
    <w:p>
      <w:pPr>
        <w:ind w:firstLine="787"/>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企业资质</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480"/>
        <w:spacing w:line="36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投标人具有有效的五星级售后服务认证证书、质量管理体系认证证书（ISO9001）每提供一项的得1分，最高得2分；须提供相应有效证书扫描件并加盖投标人公章，否则不得分</w:t>
      </w:r>
      <w:r>
        <w:rPr>
          <w:rFonts w:hint="eastAsia" w:ascii="宋体"/>
          <w:color w:val="000000" w:themeColor="text1"/>
          <w:sz w:val="24"/>
          <w:highlight w:val="none"/>
          <w14:textFill>
            <w14:solidFill>
              <w14:schemeClr w14:val="tx1"/>
            </w14:solidFill>
          </w14:textFill>
        </w:rPr>
        <w:t xml:space="preserve">。</w:t>
      </w:r>
      <w:r/>
    </w:p>
    <w:p>
      <w:pPr>
        <w:ind w:firstLine="787"/>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3）人员</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配置</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投标人为本项目配备一名项目负责人，具有建筑电工证书的得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分，具有中级注册安全工程师（其他安全）证书的得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0.5</w:t>
      </w:r>
      <w:r>
        <w:rPr>
          <w:rFonts w:hint="eastAsia" w:ascii="宋体" w:hAnsi="宋体" w:eastAsia="宋体" w:cs="宋体"/>
          <w:color w:val="000000" w:themeColor="text1"/>
          <w:sz w:val="24"/>
          <w:szCs w:val="24"/>
          <w:highlight w:val="none"/>
          <w14:textFill>
            <w14:solidFill>
              <w14:schemeClr w14:val="tx1"/>
            </w14:solidFill>
          </w14:textFill>
        </w:rPr>
        <w:t xml:space="preserve">分，具有信息系统项目管理师证书得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0.5</w:t>
      </w:r>
      <w:r>
        <w:rPr>
          <w:rFonts w:hint="eastAsia" w:ascii="宋体" w:hAnsi="宋体" w:eastAsia="宋体" w:cs="宋体"/>
          <w:color w:val="000000" w:themeColor="text1"/>
          <w:sz w:val="24"/>
          <w:szCs w:val="24"/>
          <w:highlight w:val="none"/>
          <w14:textFill>
            <w14:solidFill>
              <w14:schemeClr w14:val="tx1"/>
            </w14:solidFill>
          </w14:textFill>
        </w:rPr>
        <w:t xml:space="preserve">分，具有电子信息类的高级工程师证书的得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0.5</w:t>
      </w:r>
      <w:r>
        <w:rPr>
          <w:rFonts w:hint="eastAsia" w:ascii="宋体" w:hAnsi="宋体" w:eastAsia="宋体" w:cs="宋体"/>
          <w:color w:val="000000" w:themeColor="text1"/>
          <w:sz w:val="24"/>
          <w:szCs w:val="24"/>
          <w:highlight w:val="none"/>
          <w14:textFill>
            <w14:solidFill>
              <w14:schemeClr w14:val="tx1"/>
            </w14:solidFill>
          </w14:textFill>
        </w:rPr>
        <w:t xml:space="preserve">分，最高得</w:t>
      </w:r>
      <w:r>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t xml:space="preserve">2.5</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投标人为本项目配备一名技术负责人，具有信息系统分析师证书得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0.5</w:t>
      </w:r>
      <w:r>
        <w:rPr>
          <w:rFonts w:hint="eastAsia" w:ascii="宋体" w:hAnsi="宋体" w:eastAsia="宋体" w:cs="宋体"/>
          <w:color w:val="000000" w:themeColor="text1"/>
          <w:sz w:val="24"/>
          <w:szCs w:val="24"/>
          <w:highlight w:val="none"/>
          <w14:textFill>
            <w14:solidFill>
              <w14:schemeClr w14:val="tx1"/>
            </w14:solidFill>
          </w14:textFill>
        </w:rPr>
        <w:t xml:space="preserve">分，具有人工智能（AI）应用工程师证书的得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0.5</w:t>
      </w:r>
      <w:r>
        <w:rPr>
          <w:rFonts w:hint="eastAsia" w:ascii="宋体" w:hAnsi="宋体" w:eastAsia="宋体" w:cs="宋体"/>
          <w:color w:val="000000" w:themeColor="text1"/>
          <w:sz w:val="24"/>
          <w:szCs w:val="24"/>
          <w:highlight w:val="none"/>
          <w14:textFill>
            <w14:solidFill>
              <w14:schemeClr w14:val="tx1"/>
            </w14:solidFill>
          </w14:textFill>
        </w:rPr>
        <w:t xml:space="preserve">分，具有人工智能训练师（中级）</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及以上</w:t>
      </w:r>
      <w:r>
        <w:rPr>
          <w:rFonts w:hint="eastAsia" w:ascii="宋体" w:hAnsi="宋体" w:eastAsia="宋体" w:cs="宋体"/>
          <w:color w:val="000000" w:themeColor="text1"/>
          <w:sz w:val="24"/>
          <w:szCs w:val="24"/>
          <w:highlight w:val="none"/>
          <w14:textFill>
            <w14:solidFill>
              <w14:schemeClr w14:val="tx1"/>
            </w14:solidFill>
          </w14:textFill>
        </w:rPr>
        <w:t xml:space="preserve">证书的得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0.5</w:t>
      </w:r>
      <w:r>
        <w:rPr>
          <w:rFonts w:hint="eastAsia" w:ascii="宋体" w:hAnsi="宋体" w:eastAsia="宋体" w:cs="宋体"/>
          <w:color w:val="000000" w:themeColor="text1"/>
          <w:sz w:val="24"/>
          <w:szCs w:val="24"/>
          <w:highlight w:val="none"/>
          <w14:textFill>
            <w14:solidFill>
              <w14:schemeClr w14:val="tx1"/>
            </w14:solidFill>
          </w14:textFill>
        </w:rPr>
        <w:t xml:space="preserve">分，最高得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投标人为本项目配备的项目组成员（不含项目负责人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技术负责人</w:t>
      </w:r>
      <w:r>
        <w:rPr>
          <w:rFonts w:hint="eastAsia" w:ascii="宋体" w:hAnsi="宋体" w:eastAsia="宋体" w:cs="宋体"/>
          <w:color w:val="000000" w:themeColor="text1"/>
          <w:sz w:val="24"/>
          <w:szCs w:val="24"/>
          <w:highlight w:val="none"/>
          <w14:textFill>
            <w14:solidFill>
              <w14:schemeClr w14:val="tx1"/>
            </w14:solidFill>
          </w14:textFill>
        </w:rPr>
        <w:t xml:space="preserve">）具有电子信息类</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高级</w:t>
      </w:r>
      <w:r>
        <w:rPr>
          <w:rFonts w:hint="eastAsia" w:ascii="宋体" w:hAnsi="宋体" w:eastAsia="宋体" w:cs="宋体"/>
          <w:color w:val="000000" w:themeColor="text1"/>
          <w:sz w:val="24"/>
          <w:szCs w:val="24"/>
          <w:highlight w:val="none"/>
          <w14:textFill>
            <w14:solidFill>
              <w14:schemeClr w14:val="tx1"/>
            </w14:solidFill>
          </w14:textFill>
        </w:rPr>
        <w:t xml:space="preserve">工程师证书</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智能化系统工程师（高级），每提供1类证书得0.5分，最高得</w:t>
      </w:r>
      <w:r>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480"/>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注：①项目组成员（不含项目负责人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技术负责人</w:t>
      </w:r>
      <w:r>
        <w:rPr>
          <w:rFonts w:hint="eastAsia" w:ascii="宋体" w:hAnsi="宋体" w:eastAsia="宋体" w:cs="宋体"/>
          <w:color w:val="000000" w:themeColor="text1"/>
          <w:sz w:val="24"/>
          <w:szCs w:val="24"/>
          <w:highlight w:val="none"/>
          <w14:textFill>
            <w14:solidFill>
              <w14:schemeClr w14:val="tx1"/>
            </w14:solidFill>
          </w14:textFill>
        </w:rPr>
        <w:t xml:space="preserve">）一人多证的，不重复得分。②提供相应证明材料及表格要求提供所填人员社保证明，提供投标人一年中为其缴纳社保的缴费证明（至少包含近一年中任意一个月份（不含投标当月）缴纳社保的证明。以上原件扫描件上传至电子标书中并加盖投标人电子公章，否则不得分</w:t>
      </w:r>
      <w:r>
        <w:rPr>
          <w:rFonts w:hint="eastAsia" w:ascii="宋体" w:hAnsi="宋体" w:cs="宋体"/>
          <w:bCs/>
          <w:color w:val="000000" w:themeColor="text1"/>
          <w:sz w:val="24"/>
          <w:szCs w:val="24"/>
          <w:highlight w:val="none"/>
          <w14:textFill>
            <w14:solidFill>
              <w14:schemeClr w14:val="tx1"/>
            </w14:solidFill>
          </w14:textFill>
        </w:rPr>
        <w:t xml:space="preserve">。</w:t>
      </w:r>
      <w:r/>
    </w:p>
    <w:p>
      <w:pPr>
        <w:pStyle w:val="805"/>
        <w:numPr>
          <w:ilvl w:val="0"/>
          <w:numId w:val="0"/>
        </w:numPr>
        <w:ind w:left="0" w:firstLine="422"/>
        <w:spacing w:line="360" w:lineRule="auto"/>
        <w:rPr>
          <w:color w:val="000000" w:themeColor="text1"/>
          <w:sz w:val="24"/>
          <w:szCs w:val="24"/>
          <w:highlight w:val="none"/>
          <w14:textFill>
            <w14:solidFill>
              <w14:schemeClr w14:val="tx1"/>
            </w14:solidFill>
          </w14:textFill>
        </w:rPr>
      </w:pPr>
      <w:r>
        <w:rPr>
          <w:rFonts w:hint="default" w:ascii="华文中宋" w:hAnsi="Times New Roman" w:eastAsia="华文中宋" w:cs="Times New Roman"/>
          <w:b/>
          <w:bCs w:val="0"/>
          <w:color w:val="000000" w:themeColor="text1"/>
          <w:sz w:val="24"/>
          <w:szCs w:val="24"/>
          <w:lang w:val="en-US" w:eastAsia="zh-CN" w:bidi="ar-SA"/>
          <w14:textFill>
            <w14:solidFill>
              <w14:schemeClr w14:val="tx1"/>
            </w14:solidFill>
          </w14:textFill>
        </w:rPr>
        <w:t xml:space="preserve">（3）</w:t>
      </w:r>
      <w:r>
        <w:rPr>
          <w:rFonts w:hint="eastAsia" w:ascii="宋体" w:hAnsi="宋体" w:eastAsia="宋体" w:cs="宋体"/>
          <w:b/>
          <w:bCs w:val="0"/>
          <w:color w:val="000000" w:themeColor="text1"/>
          <w:sz w:val="24"/>
          <w:highlight w:val="none"/>
          <w:lang w:val="en-US" w:eastAsia="zh-CN"/>
          <w14:textFill>
            <w14:solidFill>
              <w14:schemeClr w14:val="tx1"/>
            </w14:solidFill>
          </w14:textFill>
        </w:rPr>
        <w:t xml:space="preserve">技</w:t>
      </w:r>
      <w:r>
        <w:rPr>
          <w:rFonts w:hint="eastAsia" w:ascii="宋体" w:hAnsi="宋体" w:eastAsia="宋体" w:cs="宋体"/>
          <w:b/>
          <w:color w:val="000000" w:themeColor="text1"/>
          <w:sz w:val="24"/>
          <w:highlight w:val="none"/>
          <w:lang w:val="en-US" w:eastAsia="zh-CN"/>
          <w14:textFill>
            <w14:solidFill>
              <w14:schemeClr w14:val="tx1"/>
            </w14:solidFill>
          </w14:textFill>
        </w:rPr>
        <w:t xml:space="preserve">术响应</w:t>
      </w:r>
      <w:r>
        <w:rPr>
          <w:rFonts w:hint="eastAsia" w:ascii="宋体" w:hAnsi="宋体" w:eastAsia="宋体" w:cs="宋体"/>
          <w:b/>
          <w:color w:val="000000" w:themeColor="text1"/>
          <w:sz w:val="24"/>
          <w:highlight w:val="none"/>
          <w14:textFill>
            <w14:solidFill>
              <w14:schemeClr w14:val="tx1"/>
            </w14:solidFill>
          </w14:textFill>
        </w:rPr>
        <w:t xml:space="preserve">（</w:t>
      </w:r>
      <w:r>
        <w:rPr>
          <w:rFonts w:hint="eastAsia" w:ascii="宋体" w:hAnsi="宋体" w:eastAsia="宋体" w:cs="宋体"/>
          <w:b/>
          <w:color w:val="000000" w:themeColor="text1"/>
          <w:sz w:val="24"/>
          <w:highlight w:val="none"/>
          <w:lang w:val="en-US" w:eastAsia="zh-CN"/>
          <w14:textFill>
            <w14:solidFill>
              <w14:schemeClr w14:val="tx1"/>
            </w14:solidFill>
          </w14:textFill>
        </w:rPr>
        <w:t xml:space="preserve">11</w:t>
      </w:r>
      <w:r>
        <w:rPr>
          <w:rFonts w:hint="eastAsia" w:ascii="宋体" w:hAnsi="宋体" w:eastAsia="宋体" w:cs="宋体"/>
          <w:b/>
          <w:color w:val="000000" w:themeColor="text1"/>
          <w:sz w:val="24"/>
          <w:highlight w:val="none"/>
          <w14:textFill>
            <w14:solidFill>
              <w14:schemeClr w14:val="tx1"/>
            </w14:solidFill>
          </w14:textFill>
        </w:rPr>
        <w:t xml:space="preserve">分）</w:t>
      </w:r>
      <w:r>
        <w:rPr>
          <w:color w:val="000000" w:themeColor="text1"/>
          <w:sz w:val="24"/>
          <w:szCs w:val="24"/>
          <w:highlight w:val="none"/>
          <w14:textFill>
            <w14:solidFill>
              <w14:schemeClr w14:val="tx1"/>
            </w14:solidFill>
          </w14:textFill>
        </w:rPr>
        <w:t xml:space="preserve"> </w:t>
      </w:r>
      <w:r/>
    </w:p>
    <w:p>
      <w:pPr>
        <w:ind w:left="0" w:firstLine="638"/>
        <w:spacing w:line="360" w:lineRule="auto"/>
        <w:rPr>
          <w:color w:val="000000" w:themeColor="text1"/>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质保期</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pStyle w:val="805"/>
        <w:ind w:firstLine="480"/>
        <w:spacing w:line="36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投标人在满足招标文件的基础上（质保期3年），承诺质保期每延长一年加0.5分，最高得1分。提供承诺书原件扫描件上传至电子标书中并加盖投标人电子公章，否则不得分。</w:t>
      </w:r>
      <w:r/>
    </w:p>
    <w:p>
      <w:pPr>
        <w:numPr>
          <w:ilvl w:val="0"/>
          <w:numId w:val="12"/>
        </w:numPr>
        <w:ind w:left="0" w:firstLine="64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软著及证书证明材料（3分</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numPr>
          <w:ilvl w:val="0"/>
          <w:numId w:val="0"/>
        </w:numPr>
        <w:ind w:left="0" w:firstLine="638"/>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1、物理实验室、化学实验室的远程控制系统：提供实验室远程控制系统的计算机软件著作权登记证书原件扫描件得1分，不提供不得分。</w:t>
      </w:r>
      <w:r/>
    </w:p>
    <w:p>
      <w:pPr>
        <w:ind w:left="0" w:firstLine="638"/>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2、化学实验室教师演示电源2：提供教师演示电源控制平台的计算机软件著作权登记证书原件扫描件得1分，不提供不得分。</w:t>
      </w:r>
      <w:r/>
    </w:p>
    <w:p>
      <w:pPr>
        <w:ind w:left="0" w:firstLine="638"/>
        <w:spacing w:line="360" w:lineRule="auto"/>
        <w:rPr>
          <w:color w:val="000000" w:themeColor="text1"/>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3、托盘天平（架盘天平）（高中物理教学仪器）：提供主管部门颁发的《计量器具型式批准证书》原件扫描件得1分，不提供不得分。</w:t>
      </w:r>
      <w:r/>
    </w:p>
    <w:p>
      <w:pPr>
        <w:numPr>
          <w:ilvl w:val="0"/>
          <w:numId w:val="12"/>
        </w:numPr>
        <w:ind w:left="0" w:firstLine="64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检测报告相关证明材料（7分）</w:t>
      </w:r>
      <w:r/>
    </w:p>
    <w:tbl>
      <w:tblPr>
        <w:tblStyle w:val="828"/>
        <w:tblW w:w="95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76"/>
        <w:gridCol w:w="2200"/>
        <w:gridCol w:w="5581"/>
      </w:tblGrid>
      <w:tr>
        <w:trPr>
          <w:trHeight w:val="3875"/>
        </w:trPr>
        <w:tc>
          <w:tcPr>
            <w:tcW w:w="1776" w:type="dxa"/>
            <w:vAlign w:val="center"/>
            <w:vMerge w:val="restart"/>
            <w:textDirection w:val="lrTb"/>
            <w:noWrap w:val="false"/>
          </w:tcPr>
          <w:p>
            <w:pPr>
              <w:jc w:val="center"/>
              <w:keepLines w:val="0"/>
              <w:keepNext w:val="0"/>
              <w:pageBreakBefore w:val="0"/>
              <w:spacing w:after="0"/>
              <w:widowControl/>
              <w:rPr>
                <w:rFonts w:hint="eastAsia" w:ascii="宋体" w:hAnsi="宋体"/>
                <w:color w:val="000000" w:themeColor="text1"/>
                <w:sz w:val="24"/>
                <w:szCs w:val="24"/>
                <w:lang w:val="en-US" w:eastAsia="zh-CN" w:bidi="ar"/>
                <w14:textFill>
                  <w14:solidFill>
                    <w14:schemeClr w14:val="tx1"/>
                  </w14:solidFill>
                </w14:textFill>
              </w:rPr>
            </w:pPr>
            <w:r>
              <w:rPr>
                <w:rFonts w:hint="eastAsia" w:ascii="宋体" w:hAnsi="宋体"/>
                <w:color w:val="000000" w:themeColor="text1"/>
                <w:sz w:val="24"/>
                <w:szCs w:val="24"/>
                <w:lang w:val="en-US" w:eastAsia="zh-CN" w:bidi="ar"/>
                <w14:textFill>
                  <w14:solidFill>
                    <w14:schemeClr w14:val="tx1"/>
                  </w14:solidFill>
                </w14:textFill>
              </w:rPr>
              <w:t xml:space="preserve">检测报告</w:t>
            </w:r>
            <w:r/>
          </w:p>
          <w:p>
            <w:pPr>
              <w:jc w:val="center"/>
              <w:keepLines w:val="0"/>
              <w:keepNext w:val="0"/>
              <w:pageBreakBefore w:val="0"/>
              <w:spacing w:after="0"/>
              <w:widowControl/>
              <w:rPr>
                <w:rFonts w:ascii="宋体" w:hAnsi="宋体"/>
                <w:color w:val="000000" w:themeColor="text1"/>
                <w:sz w:val="24"/>
                <w:szCs w:val="24"/>
                <w:lang w:bidi="ar"/>
                <w14:textFill>
                  <w14:solidFill>
                    <w14:schemeClr w14:val="tx1"/>
                  </w14:solidFill>
                </w14:textFill>
              </w:rPr>
            </w:pPr>
            <w:r>
              <w:rPr>
                <w:rFonts w:hint="eastAsia" w:ascii="宋体" w:hAnsi="宋体"/>
                <w:color w:val="000000" w:themeColor="text1"/>
                <w:sz w:val="24"/>
                <w:szCs w:val="24"/>
                <w:highlight w:val="none"/>
                <w:lang w:bidi="ar"/>
                <w14:textFill>
                  <w14:solidFill>
                    <w14:schemeClr w14:val="tx1"/>
                  </w14:solidFill>
                </w14:textFill>
              </w:rPr>
              <w:t xml:space="preserve">（</w:t>
            </w:r>
            <w:r>
              <w:rPr>
                <w:rFonts w:hint="eastAsia" w:ascii="宋体" w:hAnsi="宋体"/>
                <w:color w:val="000000" w:themeColor="text1"/>
                <w:sz w:val="24"/>
                <w:szCs w:val="24"/>
                <w:highlight w:val="none"/>
                <w:lang w:val="en-US" w:eastAsia="zh-CN" w:bidi="ar"/>
                <w14:textFill>
                  <w14:solidFill>
                    <w14:schemeClr w14:val="tx1"/>
                  </w14:solidFill>
                </w14:textFill>
              </w:rPr>
              <w:t xml:space="preserve">7</w:t>
            </w:r>
            <w:r>
              <w:rPr>
                <w:rFonts w:hint="eastAsia" w:ascii="宋体" w:hAnsi="宋体"/>
                <w:color w:val="000000" w:themeColor="text1"/>
                <w:sz w:val="24"/>
                <w:szCs w:val="24"/>
                <w:highlight w:val="none"/>
                <w:lang w:bidi="ar"/>
                <w14:textFill>
                  <w14:solidFill>
                    <w14:schemeClr w14:val="tx1"/>
                  </w14:solidFill>
                </w14:textFill>
              </w:rPr>
              <w:t xml:space="preserve">分）</w:t>
            </w:r>
            <w:r/>
          </w:p>
        </w:tc>
        <w:tc>
          <w:tcPr>
            <w:gridSpan w:val="2"/>
            <w:tcW w:w="7781" w:type="dxa"/>
            <w:vAlign w:val="center"/>
            <w:textDirection w:val="lrTb"/>
            <w:noWrap w:val="false"/>
          </w:tcPr>
          <w:p>
            <w:pPr>
              <w:keepLines w:val="0"/>
              <w:keepNext w:val="0"/>
              <w:pageBreakBefore w:val="0"/>
              <w:spacing w:after="0" w:line="360" w:lineRule="auto"/>
              <w:widowControl/>
              <w:rPr>
                <w:rFonts w:ascii="宋体" w:hAnsi="宋体"/>
                <w:color w:val="000000" w:themeColor="text1"/>
                <w14:textFill>
                  <w14:solidFill>
                    <w14:schemeClr w14:val="tx1"/>
                  </w14:solidFill>
                </w14:textFill>
              </w:rPr>
            </w:pPr>
            <w:r>
              <w:rPr>
                <w:rFonts w:hint="eastAsia" w:ascii="宋体" w:hAnsi="宋体"/>
                <w:color w:val="000000" w:themeColor="text1"/>
                <w:sz w:val="24"/>
                <w:szCs w:val="24"/>
                <w:lang w:bidi="ar"/>
                <w14:textFill>
                  <w14:solidFill>
                    <w14:schemeClr w14:val="tx1"/>
                  </w14:solidFill>
                </w14:textFill>
              </w:rPr>
              <w:t xml:space="preserve">投标供应商提供符合国家CMA认证的第三方检测机构出具的检测报告原件扫描件放入投标文件，每提供一项得1分。</w:t>
            </w:r>
            <w:r/>
          </w:p>
          <w:p>
            <w:pPr>
              <w:keepLines w:val="0"/>
              <w:keepNext w:val="0"/>
              <w:pageBreakBefore w:val="0"/>
              <w:spacing w:after="0" w:line="360" w:lineRule="auto"/>
              <w:widowControl/>
              <w:rPr>
                <w:rFonts w:ascii="宋体" w:hAnsi="宋体"/>
                <w:color w:val="000000" w:themeColor="text1"/>
                <w14:textFill>
                  <w14:solidFill>
                    <w14:schemeClr w14:val="tx1"/>
                  </w14:solidFill>
                </w14:textFill>
              </w:rPr>
            </w:pPr>
            <w:r>
              <w:rPr>
                <w:rFonts w:hint="eastAsia" w:ascii="宋体" w:hAnsi="宋体"/>
                <w:color w:val="000000" w:themeColor="text1"/>
                <w:sz w:val="24"/>
                <w:szCs w:val="24"/>
                <w:lang w:bidi="ar"/>
                <w14:textFill>
                  <w14:solidFill>
                    <w14:schemeClr w14:val="tx1"/>
                  </w14:solidFill>
                </w14:textFill>
              </w:rPr>
              <w:t xml:space="preserve">注：1、检测报告须带有CMA标识。投标文件中提供的检验报告材料必须清晰且完整含封底及封面，仅提供局部内容的检测报告视为无效；</w:t>
            </w:r>
            <w:r/>
          </w:p>
          <w:p>
            <w:pPr>
              <w:keepLines w:val="0"/>
              <w:keepNext w:val="0"/>
              <w:pageBreakBefore w:val="0"/>
              <w:spacing w:after="0" w:line="360" w:lineRule="auto"/>
              <w:widowControl/>
              <w:rPr>
                <w:rFonts w:ascii="宋体" w:hAnsi="宋体"/>
                <w:strike/>
                <w:color w:val="000000" w:themeColor="text1"/>
                <w14:textFill>
                  <w14:solidFill>
                    <w14:schemeClr w14:val="tx1"/>
                  </w14:solidFill>
                </w14:textFill>
              </w:rPr>
            </w:pPr>
            <w:r>
              <w:rPr>
                <w:rFonts w:hint="eastAsia" w:ascii="宋体" w:hAnsi="宋体"/>
                <w:color w:val="000000" w:themeColor="text1"/>
                <w:sz w:val="24"/>
                <w:szCs w:val="24"/>
                <w:lang w:bidi="ar"/>
                <w14:textFill>
                  <w14:solidFill>
                    <w14:schemeClr w14:val="tx1"/>
                  </w14:solidFill>
                </w14:textFill>
              </w:rPr>
              <w:t xml:space="preserve">2、检测报告上的名称无需完全一致，但内容(功能)需相同，名称与评分要求不同时，应提供内容(功能)说明及包含的关键信息，须与本次采购内容相关，否则不予认可；</w:t>
            </w:r>
            <w:r/>
          </w:p>
          <w:p>
            <w:pPr>
              <w:keepLines w:val="0"/>
              <w:keepNext w:val="0"/>
              <w:pageBreakBefore w:val="0"/>
              <w:spacing w:after="0" w:line="360" w:lineRule="auto"/>
              <w:widowControl/>
              <w:rPr>
                <w:rFonts w:ascii="宋体" w:hAnsi="宋体"/>
                <w:color w:val="000000" w:themeColor="text1"/>
                <w14:textFill>
                  <w14:solidFill>
                    <w14:schemeClr w14:val="tx1"/>
                  </w14:solidFill>
                </w14:textFill>
              </w:rPr>
            </w:pPr>
            <w:r>
              <w:rPr>
                <w:rFonts w:hint="eastAsia" w:ascii="宋体" w:hAnsi="宋体"/>
                <w:color w:val="000000" w:themeColor="text1"/>
                <w:sz w:val="24"/>
                <w:szCs w:val="24"/>
                <w:lang w:bidi="ar"/>
                <w14:textFill>
                  <w14:solidFill>
                    <w14:schemeClr w14:val="tx1"/>
                  </w14:solidFill>
                </w14:textFill>
              </w:rPr>
              <w:t xml:space="preserve">3、资料未提供、提供不全或不符合要求的均不得分。</w:t>
            </w:r>
            <w:r/>
          </w:p>
        </w:tc>
      </w:tr>
      <w:tr>
        <w:trPr/>
        <w:tc>
          <w:tcPr>
            <w:tcW w:w="1776" w:type="dxa"/>
            <w:vMerge w:val="continue"/>
            <w:textDirection w:val="lrTb"/>
            <w:noWrap w:val="false"/>
          </w:tcPr>
          <w:p>
            <w:pPr>
              <w:keepLines w:val="0"/>
              <w:keepNext w:val="0"/>
              <w:pageBreakBefore w:val="0"/>
              <w:spacing w:after="0" w:line="360" w:lineRule="auto"/>
              <w:widowControl/>
              <w:rPr>
                <w:rFonts w:ascii="宋体" w:hAnsi="宋体"/>
                <w:color w:val="000000" w:themeColor="text1"/>
                <w:sz w:val="24"/>
                <w:szCs w:val="24"/>
                <w:lang w:bidi="ar"/>
                <w14:textFill>
                  <w14:solidFill>
                    <w14:schemeClr w14:val="tx1"/>
                  </w14:solidFill>
                </w14:textFill>
              </w:rPr>
            </w:pPr>
            <w:r>
              <w:rPr>
                <w:rFonts w:ascii="宋体" w:hAnsi="宋体"/>
                <w:color w:val="000000" w:themeColor="text1"/>
                <w:sz w:val="24"/>
                <w:szCs w:val="24"/>
                <w:lang w:bidi="ar"/>
                <w14:textFill>
                  <w14:solidFill>
                    <w14:schemeClr w14:val="tx1"/>
                  </w14:solidFill>
                </w14:textFill>
              </w:rPr>
            </w:r>
            <w:r/>
          </w:p>
        </w:tc>
        <w:tc>
          <w:tcPr>
            <w:tcW w:w="2200" w:type="dxa"/>
            <w:vAlign w:val="center"/>
            <w:textDirection w:val="lrTb"/>
            <w:noWrap w:val="false"/>
          </w:tcPr>
          <w:p>
            <w:pPr>
              <w:jc w:val="center"/>
              <w:keepLines w:val="0"/>
              <w:keepNext w:val="0"/>
              <w:pageBreakBefore w:val="0"/>
              <w:spacing w:after="0" w:line="440" w:lineRule="exact"/>
              <w:widowControl/>
              <w:rPr>
                <w:rFonts w:hint="default" w:ascii="宋体" w:hAnsi="宋体" w:eastAsia="宋体" w:cs="宋体"/>
                <w:color w:val="000000" w:themeColor="text1"/>
                <w:sz w:val="24"/>
                <w:szCs w:val="24"/>
                <w:lang w:val="en-US" w:eastAsia="zh-CN"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1.实验凳主要基材</w:t>
            </w:r>
            <w:r>
              <w:rPr>
                <w:rFonts w:hint="eastAsia" w:ascii="宋体" w:hAnsi="宋体" w:cs="宋体"/>
                <w:color w:val="000000" w:themeColor="text1"/>
                <w:sz w:val="24"/>
                <w:szCs w:val="24"/>
                <w:lang w:eastAsia="zh-CN" w:bidi="ar"/>
                <w14:textFill>
                  <w14:solidFill>
                    <w14:schemeClr w14:val="tx1"/>
                  </w14:solidFill>
                </w14:textFill>
              </w:rPr>
              <w:t xml:space="preserve">：聚丙烯凳面塑料</w:t>
            </w:r>
            <w:r/>
          </w:p>
        </w:tc>
        <w:tc>
          <w:tcPr>
            <w:tcW w:w="5581" w:type="dxa"/>
            <w:vAlign w:val="center"/>
            <w:textDirection w:val="lrTb"/>
            <w:noWrap w:val="false"/>
          </w:tcPr>
          <w:p>
            <w:pPr>
              <w:jc w:val="both"/>
              <w:keepLines w:val="0"/>
              <w:keepNext w:val="0"/>
              <w:pageBreakBefore w:val="0"/>
              <w:spacing w:after="0" w:line="440" w:lineRule="exact"/>
              <w:widowControl/>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GB/T 2408-2021 水平燃烧性能符合规定的HB级要求：移去引燃源后材料没有可见有焰燃烧或在引燃源移去后，试样出现连续的有焰燃烧，但火焰前端未超过100mm标线；垂直燃烧性能符合规定的V-0级要求（1分）</w:t>
            </w:r>
            <w:r/>
          </w:p>
        </w:tc>
      </w:tr>
      <w:tr>
        <w:trPr>
          <w:trHeight w:val="1566"/>
        </w:trPr>
        <w:tc>
          <w:tcPr>
            <w:tcW w:w="1776" w:type="dxa"/>
            <w:vMerge w:val="continue"/>
            <w:textDirection w:val="lrTb"/>
            <w:noWrap w:val="false"/>
          </w:tcPr>
          <w:p>
            <w:pPr>
              <w:keepLines w:val="0"/>
              <w:keepNext w:val="0"/>
              <w:pageBreakBefore w:val="0"/>
              <w:spacing w:after="0" w:line="360" w:lineRule="auto"/>
              <w:widowControl/>
              <w:rPr>
                <w:rFonts w:ascii="宋体" w:hAnsi="宋体"/>
                <w:color w:val="000000" w:themeColor="text1"/>
                <w:sz w:val="24"/>
                <w:szCs w:val="24"/>
                <w:lang w:bidi="ar"/>
                <w14:textFill>
                  <w14:solidFill>
                    <w14:schemeClr w14:val="tx1"/>
                  </w14:solidFill>
                </w14:textFill>
              </w:rPr>
            </w:pPr>
            <w:r>
              <w:rPr>
                <w:rFonts w:ascii="宋体" w:hAnsi="宋体"/>
                <w:color w:val="000000" w:themeColor="text1"/>
                <w:sz w:val="24"/>
                <w:szCs w:val="24"/>
                <w:lang w:bidi="ar"/>
                <w14:textFill>
                  <w14:solidFill>
                    <w14:schemeClr w14:val="tx1"/>
                  </w14:solidFill>
                </w14:textFill>
              </w:rPr>
            </w:r>
            <w:r/>
          </w:p>
        </w:tc>
        <w:tc>
          <w:tcPr>
            <w:tcW w:w="2200" w:type="dxa"/>
            <w:vAlign w:val="center"/>
            <w:textDirection w:val="lrTb"/>
            <w:noWrap w:val="false"/>
          </w:tcPr>
          <w:p>
            <w:pPr>
              <w:keepLines w:val="0"/>
              <w:keepNext w:val="0"/>
              <w:pageBreakBefore w:val="0"/>
              <w:spacing w:after="0" w:line="440" w:lineRule="exact"/>
              <w:widowControl/>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val="en-US" w:eastAsia="zh-CN" w:bidi="ar"/>
                <w14:textFill>
                  <w14:solidFill>
                    <w14:schemeClr w14:val="tx1"/>
                  </w14:solidFill>
                </w14:textFill>
              </w:rPr>
              <w:t xml:space="preserve">2</w:t>
            </w:r>
            <w:r>
              <w:rPr>
                <w:rFonts w:hint="eastAsia" w:ascii="宋体" w:hAnsi="宋体" w:eastAsia="宋体" w:cs="宋体"/>
                <w:color w:val="000000" w:themeColor="text1"/>
                <w:sz w:val="24"/>
                <w:szCs w:val="24"/>
                <w:lang w:bidi="ar"/>
                <w14:textFill>
                  <w14:solidFill>
                    <w14:schemeClr w14:val="tx1"/>
                  </w14:solidFill>
                </w14:textFill>
              </w:rPr>
              <w:t xml:space="preserve">.化学学生实验桌主要基材：铸铝件和铝合金型材</w:t>
            </w:r>
            <w:r/>
          </w:p>
        </w:tc>
        <w:tc>
          <w:tcPr>
            <w:tcW w:w="5581" w:type="dxa"/>
            <w:vAlign w:val="center"/>
            <w:textDirection w:val="lrTb"/>
            <w:noWrap w:val="false"/>
          </w:tcPr>
          <w:p>
            <w:pPr>
              <w:jc w:val="both"/>
              <w:keepLines w:val="0"/>
              <w:keepNext w:val="0"/>
              <w:pageBreakBefore w:val="0"/>
              <w:spacing w:after="0" w:line="440" w:lineRule="exact"/>
              <w:widowControl/>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GB/T 10125-2021 人造气氛腐蚀试验 盐雾试验：≥</w:t>
            </w:r>
            <w:r>
              <w:rPr>
                <w:rFonts w:hint="eastAsia" w:ascii="宋体" w:hAnsi="宋体" w:cs="宋体"/>
                <w:color w:val="000000" w:themeColor="text1"/>
                <w:sz w:val="24"/>
                <w:szCs w:val="24"/>
                <w:lang w:val="en-US" w:eastAsia="zh-CN" w:bidi="ar"/>
                <w14:textFill>
                  <w14:solidFill>
                    <w14:schemeClr w14:val="tx1"/>
                  </w14:solidFill>
                </w14:textFill>
              </w:rPr>
              <w:t xml:space="preserve">24</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0</w:t>
            </w:r>
            <w:r>
              <w:rPr>
                <w:rFonts w:hint="eastAsia" w:ascii="宋体" w:hAnsi="宋体" w:eastAsia="宋体" w:cs="宋体"/>
                <w:color w:val="000000" w:themeColor="text1"/>
                <w:sz w:val="24"/>
                <w:szCs w:val="24"/>
                <w:highlight w:val="none"/>
                <w:lang w:bidi="ar"/>
                <w14:textFill>
                  <w14:solidFill>
                    <w14:schemeClr w14:val="tx1"/>
                  </w14:solidFill>
                </w14:textFill>
              </w:rPr>
              <w:t xml:space="preserve">h</w:t>
            </w:r>
            <w:r>
              <w:rPr>
                <w:rFonts w:hint="eastAsia" w:ascii="宋体" w:hAnsi="宋体" w:eastAsia="宋体" w:cs="宋体"/>
                <w:color w:val="000000" w:themeColor="text1"/>
                <w:sz w:val="24"/>
                <w:szCs w:val="24"/>
                <w:lang w:bidi="ar"/>
                <w14:textFill>
                  <w14:solidFill>
                    <w14:schemeClr w14:val="tx1"/>
                  </w14:solidFill>
                </w14:textFill>
              </w:rPr>
              <w:t xml:space="preserve">中性盐雾试验</w:t>
            </w:r>
            <w:r>
              <w:rPr>
                <w:rFonts w:hint="eastAsia" w:ascii="宋体" w:hAnsi="宋体" w:cs="宋体"/>
                <w:color w:val="000000" w:themeColor="text1"/>
                <w:sz w:val="24"/>
                <w:szCs w:val="24"/>
                <w:lang w:eastAsia="zh-CN" w:bidi="ar"/>
                <w14:textFill>
                  <w14:solidFill>
                    <w14:schemeClr w14:val="tx1"/>
                  </w14:solidFill>
                </w14:textFill>
              </w:rPr>
              <w:t xml:space="preserve">、</w:t>
            </w:r>
            <w:r>
              <w:rPr>
                <w:rFonts w:hint="eastAsia" w:ascii="宋体" w:hAnsi="宋体" w:eastAsia="宋体" w:cs="宋体"/>
                <w:color w:val="000000" w:themeColor="text1"/>
                <w:sz w:val="24"/>
                <w:szCs w:val="24"/>
                <w:lang w:bidi="ar"/>
                <w14:textFill>
                  <w14:solidFill>
                    <w14:schemeClr w14:val="tx1"/>
                  </w14:solidFill>
                </w14:textFill>
              </w:rPr>
              <w:t xml:space="preserve">GB/T 6461-2002</w:t>
            </w:r>
            <w:r>
              <w:rPr>
                <w:rFonts w:hint="eastAsia" w:ascii="宋体" w:hAnsi="宋体" w:cs="宋体"/>
                <w:color w:val="000000" w:themeColor="text1"/>
                <w:sz w:val="24"/>
                <w:szCs w:val="24"/>
                <w:lang w:val="en-US" w:eastAsia="zh-CN" w:bidi="ar"/>
                <w14:textFill>
                  <w14:solidFill>
                    <w14:schemeClr w14:val="tx1"/>
                  </w14:solidFill>
                </w14:textFill>
              </w:rPr>
              <w:t xml:space="preserve"> </w:t>
            </w:r>
            <w:r>
              <w:rPr>
                <w:rFonts w:hint="eastAsia" w:ascii="宋体" w:hAnsi="宋体" w:eastAsia="宋体" w:cs="宋体"/>
                <w:color w:val="000000" w:themeColor="text1"/>
                <w:sz w:val="24"/>
                <w:szCs w:val="24"/>
                <w:lang w:bidi="ar"/>
                <w14:textFill>
                  <w14:solidFill>
                    <w14:schemeClr w14:val="tx1"/>
                  </w14:solidFill>
                </w14:textFill>
              </w:rPr>
              <w:t xml:space="preserve">经腐蚀试验后的试样和试件的评级</w:t>
            </w:r>
            <w:r>
              <w:rPr>
                <w:rFonts w:hint="eastAsia" w:ascii="宋体" w:hAnsi="宋体" w:cs="宋体"/>
                <w:color w:val="000000" w:themeColor="text1"/>
                <w:sz w:val="24"/>
                <w:szCs w:val="24"/>
                <w:lang w:eastAsia="zh-CN" w:bidi="ar"/>
                <w14:textFill>
                  <w14:solidFill>
                    <w14:schemeClr w14:val="tx1"/>
                  </w14:solidFill>
                </w14:textFill>
              </w:rPr>
              <w:t xml:space="preserve">：</w:t>
            </w:r>
            <w:r>
              <w:rPr>
                <w:rFonts w:hint="eastAsia" w:ascii="宋体" w:hAnsi="宋体" w:cs="宋体"/>
                <w:color w:val="000000" w:themeColor="text1"/>
                <w:sz w:val="24"/>
                <w:szCs w:val="24"/>
                <w:lang w:val="en-US" w:eastAsia="zh-CN" w:bidi="ar"/>
                <w14:textFill>
                  <w14:solidFill>
                    <w14:schemeClr w14:val="tx1"/>
                  </w14:solidFill>
                </w14:textFill>
              </w:rPr>
              <w:t xml:space="preserve">评级为</w:t>
            </w:r>
            <w:r>
              <w:rPr>
                <w:rFonts w:hint="eastAsia" w:ascii="宋体" w:hAnsi="宋体" w:eastAsia="宋体" w:cs="宋体"/>
                <w:color w:val="000000" w:themeColor="text1"/>
                <w:sz w:val="24"/>
                <w:szCs w:val="24"/>
                <w:lang w:bidi="ar"/>
                <w14:textFill>
                  <w14:solidFill>
                    <w14:schemeClr w14:val="tx1"/>
                  </w14:solidFill>
                </w14:textFill>
              </w:rPr>
              <w:t xml:space="preserve">10级（1分）</w:t>
            </w:r>
            <w:r/>
          </w:p>
        </w:tc>
      </w:tr>
      <w:tr>
        <w:trPr>
          <w:trHeight w:val="90"/>
        </w:trPr>
        <w:tc>
          <w:tcPr>
            <w:tcW w:w="1776" w:type="dxa"/>
            <w:vMerge w:val="continue"/>
            <w:textDirection w:val="lrTb"/>
            <w:noWrap w:val="false"/>
          </w:tcPr>
          <w:p>
            <w:pPr>
              <w:keepLines w:val="0"/>
              <w:keepNext w:val="0"/>
              <w:pageBreakBefore w:val="0"/>
              <w:spacing w:after="0" w:line="360" w:lineRule="auto"/>
              <w:widowControl/>
              <w:rPr>
                <w:rFonts w:ascii="宋体" w:hAnsi="宋体"/>
                <w:color w:val="000000" w:themeColor="text1"/>
                <w:sz w:val="24"/>
                <w:szCs w:val="24"/>
                <w:lang w:bidi="ar"/>
                <w14:textFill>
                  <w14:solidFill>
                    <w14:schemeClr w14:val="tx1"/>
                  </w14:solidFill>
                </w14:textFill>
              </w:rPr>
            </w:pPr>
            <w:r>
              <w:rPr>
                <w:rFonts w:ascii="宋体" w:hAnsi="宋体"/>
                <w:color w:val="000000" w:themeColor="text1"/>
                <w:sz w:val="24"/>
                <w:szCs w:val="24"/>
                <w:lang w:bidi="ar"/>
                <w14:textFill>
                  <w14:solidFill>
                    <w14:schemeClr w14:val="tx1"/>
                  </w14:solidFill>
                </w14:textFill>
              </w:rPr>
            </w:r>
            <w:r/>
          </w:p>
        </w:tc>
        <w:tc>
          <w:tcPr>
            <w:tcW w:w="2200" w:type="dxa"/>
            <w:vAlign w:val="center"/>
            <w:textDirection w:val="lrTb"/>
            <w:noWrap w:val="false"/>
          </w:tcPr>
          <w:p>
            <w:pPr>
              <w:jc w:val="center"/>
              <w:keepLines w:val="0"/>
              <w:keepNext w:val="0"/>
              <w:pageBreakBefore w:val="0"/>
              <w:spacing w:after="0" w:line="440" w:lineRule="exact"/>
              <w:widowControl/>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val="en-US" w:eastAsia="zh-CN" w:bidi="ar"/>
                <w14:textFill>
                  <w14:solidFill>
                    <w14:schemeClr w14:val="tx1"/>
                  </w14:solidFill>
                </w14:textFill>
              </w:rPr>
              <w:t xml:space="preserve">3</w:t>
            </w:r>
            <w:r>
              <w:rPr>
                <w:rFonts w:hint="eastAsia" w:ascii="宋体" w:hAnsi="宋体" w:eastAsia="宋体" w:cs="宋体"/>
                <w:color w:val="000000" w:themeColor="text1"/>
                <w:sz w:val="24"/>
                <w:szCs w:val="24"/>
                <w:lang w:bidi="ar"/>
                <w14:textFill>
                  <w14:solidFill>
                    <w14:schemeClr w14:val="tx1"/>
                  </w14:solidFill>
                </w14:textFill>
              </w:rPr>
              <w:t xml:space="preserve">.实验台</w:t>
            </w:r>
            <w:r/>
          </w:p>
        </w:tc>
        <w:tc>
          <w:tcPr>
            <w:tcW w:w="5581" w:type="dxa"/>
            <w:vAlign w:val="center"/>
            <w:textDirection w:val="lrTb"/>
            <w:noWrap w:val="false"/>
          </w:tcPr>
          <w:p>
            <w:pPr>
              <w:jc w:val="both"/>
              <w:keepLines w:val="0"/>
              <w:keepNext w:val="0"/>
              <w:pageBreakBefore w:val="0"/>
              <w:spacing w:after="0" w:line="440" w:lineRule="exact"/>
              <w:widowControl/>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GB/T 24820-2024（1）实验台高：立姿≤900mm（2）容足空间净高≥120mm（3）容足空间净深≥150mm（4）符合分缝要求（5）抽屉下垂度≤20mm、抽屉摆动度≤15mm（6）实验台力学性能-实验台耐久性：1）符合水平耐久性试验标准；2）符合垂直耐久性试验标准（7）实验台力学性能-独立式实验台稳定性：1）符合水平冲击稳定性试验标准；2）符合垂直加载稳定性试验标准；3）符合具有推拉构件的稳定性试验标准（1分）</w:t>
            </w:r>
            <w:r/>
          </w:p>
        </w:tc>
      </w:tr>
      <w:tr>
        <w:trPr/>
        <w:tc>
          <w:tcPr>
            <w:tcW w:w="1776" w:type="dxa"/>
            <w:vMerge w:val="continue"/>
            <w:textDirection w:val="lrTb"/>
            <w:noWrap w:val="false"/>
          </w:tcPr>
          <w:p>
            <w:pPr>
              <w:keepLines w:val="0"/>
              <w:keepNext w:val="0"/>
              <w:pageBreakBefore w:val="0"/>
              <w:spacing w:after="0" w:line="360" w:lineRule="auto"/>
              <w:widowControl/>
              <w:rPr>
                <w:rFonts w:ascii="宋体" w:hAnsi="宋体"/>
                <w:color w:val="000000" w:themeColor="text1"/>
                <w:sz w:val="24"/>
                <w:szCs w:val="24"/>
                <w:lang w:bidi="ar"/>
                <w14:textFill>
                  <w14:solidFill>
                    <w14:schemeClr w14:val="tx1"/>
                  </w14:solidFill>
                </w14:textFill>
              </w:rPr>
            </w:pPr>
            <w:r>
              <w:rPr>
                <w:rFonts w:ascii="宋体" w:hAnsi="宋体"/>
                <w:color w:val="000000" w:themeColor="text1"/>
                <w:sz w:val="24"/>
                <w:szCs w:val="24"/>
                <w:lang w:bidi="ar"/>
                <w14:textFill>
                  <w14:solidFill>
                    <w14:schemeClr w14:val="tx1"/>
                  </w14:solidFill>
                </w14:textFill>
              </w:rPr>
            </w:r>
            <w:r/>
          </w:p>
        </w:tc>
        <w:tc>
          <w:tcPr>
            <w:tcW w:w="2200" w:type="dxa"/>
            <w:vAlign w:val="center"/>
            <w:textDirection w:val="lrTb"/>
            <w:noWrap w:val="false"/>
          </w:tcPr>
          <w:p>
            <w:pPr>
              <w:jc w:val="center"/>
              <w:keepLines w:val="0"/>
              <w:keepNext w:val="0"/>
              <w:pageBreakBefore w:val="0"/>
              <w:spacing w:after="0" w:line="440" w:lineRule="exact"/>
              <w:widowControl/>
              <w:rPr>
                <w:rFonts w:hint="eastAsia" w:ascii="宋体" w:hAnsi="宋体" w:eastAsia="宋体" w:cs="宋体"/>
                <w:color w:val="000000" w:themeColor="text1"/>
                <w:sz w:val="24"/>
                <w:szCs w:val="24"/>
                <w:highlight w:val="cyan"/>
                <w:lang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4</w:t>
            </w:r>
            <w:r>
              <w:rPr>
                <w:rFonts w:hint="eastAsia" w:ascii="宋体" w:hAnsi="宋体" w:eastAsia="宋体" w:cs="宋体"/>
                <w:color w:val="000000" w:themeColor="text1"/>
                <w:sz w:val="24"/>
                <w:szCs w:val="24"/>
                <w:highlight w:val="none"/>
                <w:lang w:bidi="ar"/>
                <w14:textFill>
                  <w14:solidFill>
                    <w14:schemeClr w14:val="tx1"/>
                  </w14:solidFill>
                </w14:textFill>
              </w:rPr>
              <w:t xml:space="preserve">.机器人竞赛套装</w:t>
            </w:r>
            <w:r>
              <w:rPr>
                <w:rFonts w:hint="eastAsia" w:ascii="宋体" w:hAnsi="宋体" w:eastAsia="宋体" w:cs="宋体"/>
                <w:color w:val="000000" w:themeColor="text1"/>
                <w:sz w:val="24"/>
                <w:szCs w:val="24"/>
                <w:lang w:bidi="ar"/>
                <w14:textFill>
                  <w14:solidFill>
                    <w14:schemeClr w14:val="tx1"/>
                  </w14:solidFill>
                </w14:textFill>
              </w:rPr>
              <w:t xml:space="preserve">主要基材</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w:t>
            </w:r>
            <w:r>
              <w:rPr>
                <w:rFonts w:hint="eastAsia" w:ascii="宋体" w:hAnsi="宋体" w:eastAsia="宋体" w:cs="宋体"/>
                <w:color w:val="000000" w:themeColor="text1"/>
                <w:sz w:val="24"/>
                <w:szCs w:val="24"/>
                <w:highlight w:val="none"/>
                <w:lang w:bidi="ar"/>
                <w14:textFill>
                  <w14:solidFill>
                    <w14:schemeClr w14:val="tx1"/>
                  </w14:solidFill>
                </w14:textFill>
              </w:rPr>
              <w:t xml:space="preserve">铝合金车架</w:t>
            </w:r>
            <w:r/>
          </w:p>
        </w:tc>
        <w:tc>
          <w:tcPr>
            <w:tcW w:w="5581" w:type="dxa"/>
            <w:vAlign w:val="center"/>
            <w:textDirection w:val="lrTb"/>
            <w:noWrap w:val="false"/>
          </w:tcPr>
          <w:p>
            <w:pPr>
              <w:jc w:val="both"/>
              <w:keepLines w:val="0"/>
              <w:keepNext w:val="0"/>
              <w:pageBreakBefore w:val="0"/>
              <w:spacing w:after="0" w:line="440" w:lineRule="exact"/>
              <w:widowControl/>
              <w:rPr>
                <w:rFonts w:hint="eastAsia" w:ascii="宋体" w:hAnsi="宋体" w:eastAsia="宋体" w:cs="宋体"/>
                <w:color w:val="000000" w:themeColor="text1"/>
                <w:sz w:val="24"/>
                <w:szCs w:val="24"/>
                <w:highlight w:val="cyan"/>
                <w:lang w:val="en-US" w:eastAsia="zh-CN"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GB/T 10125-2021 人造气氛腐蚀试验 盐雾试验：≥</w:t>
            </w:r>
            <w:r>
              <w:rPr>
                <w:rFonts w:hint="eastAsia" w:ascii="宋体" w:hAnsi="宋体" w:cs="宋体"/>
                <w:color w:val="000000" w:themeColor="text1"/>
                <w:sz w:val="24"/>
                <w:szCs w:val="24"/>
                <w:lang w:val="en-US" w:eastAsia="zh-CN" w:bidi="ar"/>
                <w14:textFill>
                  <w14:solidFill>
                    <w14:schemeClr w14:val="tx1"/>
                  </w14:solidFill>
                </w14:textFill>
              </w:rPr>
              <w:t xml:space="preserve">24</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0</w:t>
            </w:r>
            <w:r>
              <w:rPr>
                <w:rFonts w:hint="eastAsia" w:ascii="宋体" w:hAnsi="宋体" w:eastAsia="宋体" w:cs="宋体"/>
                <w:color w:val="000000" w:themeColor="text1"/>
                <w:sz w:val="24"/>
                <w:szCs w:val="24"/>
                <w:highlight w:val="none"/>
                <w:lang w:bidi="ar"/>
                <w14:textFill>
                  <w14:solidFill>
                    <w14:schemeClr w14:val="tx1"/>
                  </w14:solidFill>
                </w14:textFill>
              </w:rPr>
              <w:t xml:space="preserve">h</w:t>
            </w:r>
            <w:r>
              <w:rPr>
                <w:rFonts w:hint="eastAsia" w:ascii="宋体" w:hAnsi="宋体" w:eastAsia="宋体" w:cs="宋体"/>
                <w:color w:val="000000" w:themeColor="text1"/>
                <w:sz w:val="24"/>
                <w:szCs w:val="24"/>
                <w:lang w:bidi="ar"/>
                <w14:textFill>
                  <w14:solidFill>
                    <w14:schemeClr w14:val="tx1"/>
                  </w14:solidFill>
                </w14:textFill>
              </w:rPr>
              <w:t xml:space="preserve">中性盐雾试验</w:t>
            </w:r>
            <w:r>
              <w:rPr>
                <w:rFonts w:hint="eastAsia" w:ascii="宋体" w:hAnsi="宋体" w:cs="宋体"/>
                <w:color w:val="000000" w:themeColor="text1"/>
                <w:sz w:val="24"/>
                <w:szCs w:val="24"/>
                <w:lang w:eastAsia="zh-CN" w:bidi="ar"/>
                <w14:textFill>
                  <w14:solidFill>
                    <w14:schemeClr w14:val="tx1"/>
                  </w14:solidFill>
                </w14:textFill>
              </w:rPr>
              <w:t xml:space="preserve">、</w:t>
            </w:r>
            <w:r>
              <w:rPr>
                <w:rFonts w:hint="eastAsia" w:ascii="宋体" w:hAnsi="宋体" w:eastAsia="宋体" w:cs="宋体"/>
                <w:color w:val="000000" w:themeColor="text1"/>
                <w:sz w:val="24"/>
                <w:szCs w:val="24"/>
                <w:lang w:bidi="ar"/>
                <w14:textFill>
                  <w14:solidFill>
                    <w14:schemeClr w14:val="tx1"/>
                  </w14:solidFill>
                </w14:textFill>
              </w:rPr>
              <w:t xml:space="preserve">GB/T 6461-2002</w:t>
            </w:r>
            <w:r>
              <w:rPr>
                <w:rFonts w:hint="eastAsia" w:ascii="宋体" w:hAnsi="宋体" w:cs="宋体"/>
                <w:color w:val="000000" w:themeColor="text1"/>
                <w:sz w:val="24"/>
                <w:szCs w:val="24"/>
                <w:lang w:val="en-US" w:eastAsia="zh-CN" w:bidi="ar"/>
                <w14:textFill>
                  <w14:solidFill>
                    <w14:schemeClr w14:val="tx1"/>
                  </w14:solidFill>
                </w14:textFill>
              </w:rPr>
              <w:t xml:space="preserve"> </w:t>
            </w:r>
            <w:r>
              <w:rPr>
                <w:rFonts w:hint="eastAsia" w:ascii="宋体" w:hAnsi="宋体" w:eastAsia="宋体" w:cs="宋体"/>
                <w:color w:val="000000" w:themeColor="text1"/>
                <w:sz w:val="24"/>
                <w:szCs w:val="24"/>
                <w:lang w:bidi="ar"/>
                <w14:textFill>
                  <w14:solidFill>
                    <w14:schemeClr w14:val="tx1"/>
                  </w14:solidFill>
                </w14:textFill>
              </w:rPr>
              <w:t xml:space="preserve">经腐蚀试验后的试样和试件的评级</w:t>
            </w:r>
            <w:r>
              <w:rPr>
                <w:rFonts w:hint="eastAsia" w:ascii="宋体" w:hAnsi="宋体" w:cs="宋体"/>
                <w:color w:val="000000" w:themeColor="text1"/>
                <w:sz w:val="24"/>
                <w:szCs w:val="24"/>
                <w:lang w:eastAsia="zh-CN" w:bidi="ar"/>
                <w14:textFill>
                  <w14:solidFill>
                    <w14:schemeClr w14:val="tx1"/>
                  </w14:solidFill>
                </w14:textFill>
              </w:rPr>
              <w:t xml:space="preserve">：</w:t>
            </w:r>
            <w:r>
              <w:rPr>
                <w:rFonts w:hint="eastAsia" w:ascii="宋体" w:hAnsi="宋体" w:cs="宋体"/>
                <w:color w:val="000000" w:themeColor="text1"/>
                <w:sz w:val="24"/>
                <w:szCs w:val="24"/>
                <w:lang w:val="en-US" w:eastAsia="zh-CN" w:bidi="ar"/>
                <w14:textFill>
                  <w14:solidFill>
                    <w14:schemeClr w14:val="tx1"/>
                  </w14:solidFill>
                </w14:textFill>
              </w:rPr>
              <w:t xml:space="preserve">评级为</w:t>
            </w:r>
            <w:r>
              <w:rPr>
                <w:rFonts w:hint="eastAsia" w:ascii="宋体" w:hAnsi="宋体" w:eastAsia="宋体" w:cs="宋体"/>
                <w:color w:val="000000" w:themeColor="text1"/>
                <w:sz w:val="24"/>
                <w:szCs w:val="24"/>
                <w:lang w:bidi="ar"/>
                <w14:textFill>
                  <w14:solidFill>
                    <w14:schemeClr w14:val="tx1"/>
                  </w14:solidFill>
                </w14:textFill>
              </w:rPr>
              <w:t xml:space="preserve">10级（1分）</w:t>
            </w:r>
            <w:r/>
          </w:p>
        </w:tc>
      </w:tr>
      <w:tr>
        <w:trPr/>
        <w:tc>
          <w:tcPr>
            <w:tcW w:w="1776" w:type="dxa"/>
            <w:vMerge w:val="continue"/>
            <w:textDirection w:val="lrTb"/>
            <w:noWrap w:val="false"/>
          </w:tcPr>
          <w:p>
            <w:pPr>
              <w:keepLines w:val="0"/>
              <w:keepNext w:val="0"/>
              <w:pageBreakBefore w:val="0"/>
              <w:spacing w:after="0" w:line="360" w:lineRule="auto"/>
              <w:widowControl/>
              <w:rPr>
                <w:rFonts w:ascii="宋体" w:hAnsi="宋体"/>
                <w:color w:val="000000" w:themeColor="text1"/>
                <w:sz w:val="24"/>
                <w:szCs w:val="24"/>
                <w:lang w:bidi="ar"/>
                <w14:textFill>
                  <w14:solidFill>
                    <w14:schemeClr w14:val="tx1"/>
                  </w14:solidFill>
                </w14:textFill>
              </w:rPr>
            </w:pPr>
            <w:r>
              <w:rPr>
                <w:rFonts w:ascii="宋体" w:hAnsi="宋体"/>
                <w:color w:val="000000" w:themeColor="text1"/>
                <w:sz w:val="24"/>
                <w:szCs w:val="24"/>
                <w:lang w:bidi="ar"/>
                <w14:textFill>
                  <w14:solidFill>
                    <w14:schemeClr w14:val="tx1"/>
                  </w14:solidFill>
                </w14:textFill>
              </w:rPr>
            </w:r>
            <w:r/>
          </w:p>
        </w:tc>
        <w:tc>
          <w:tcPr>
            <w:tcW w:w="2200" w:type="dxa"/>
            <w:vAlign w:val="center"/>
            <w:textDirection w:val="lrTb"/>
            <w:noWrap w:val="false"/>
          </w:tcPr>
          <w:p>
            <w:pPr>
              <w:jc w:val="center"/>
              <w:keepLines w:val="0"/>
              <w:keepNext w:val="0"/>
              <w:pageBreakBefore w:val="0"/>
              <w:spacing w:after="0" w:line="440" w:lineRule="exact"/>
              <w:widowControl/>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5</w:t>
            </w:r>
            <w:r>
              <w:rPr>
                <w:rFonts w:hint="eastAsia" w:ascii="宋体" w:hAnsi="宋体" w:eastAsia="宋体" w:cs="宋体"/>
                <w:color w:val="000000" w:themeColor="text1"/>
                <w:sz w:val="24"/>
                <w:szCs w:val="24"/>
                <w:highlight w:val="none"/>
                <w:lang w:bidi="ar"/>
                <w14:textFill>
                  <w14:solidFill>
                    <w14:schemeClr w14:val="tx1"/>
                  </w14:solidFill>
                </w14:textFill>
              </w:rPr>
              <w:t xml:space="preserve">.酶标仪</w:t>
            </w:r>
            <w:r/>
          </w:p>
        </w:tc>
        <w:tc>
          <w:tcPr>
            <w:tcW w:w="5581" w:type="dxa"/>
            <w:textDirection w:val="lrTb"/>
            <w:noWrap w:val="false"/>
          </w:tcPr>
          <w:p>
            <w:pPr>
              <w:keepLines w:val="0"/>
              <w:keepNext w:val="0"/>
              <w:pageBreakBefore w:val="0"/>
              <w:spacing w:after="0" w:line="440" w:lineRule="exact"/>
              <w:widowControl/>
              <w:rPr>
                <w:rFonts w:hint="default"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JJG 861-2007波长示值误差≤±3nm；波长重复性≤±</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1.5</w:t>
            </w:r>
            <w:r>
              <w:rPr>
                <w:rFonts w:hint="eastAsia" w:ascii="宋体" w:hAnsi="宋体" w:eastAsia="宋体" w:cs="宋体"/>
                <w:color w:val="000000" w:themeColor="text1"/>
                <w:sz w:val="24"/>
                <w:szCs w:val="24"/>
                <w:highlight w:val="none"/>
                <w:lang w:bidi="ar"/>
                <w14:textFill>
                  <w14:solidFill>
                    <w14:schemeClr w14:val="tx1"/>
                  </w14:solidFill>
                </w14:textFill>
              </w:rPr>
              <w:t xml:space="preserve">nm（1分）</w:t>
            </w:r>
            <w:r/>
          </w:p>
        </w:tc>
      </w:tr>
      <w:tr>
        <w:trPr/>
        <w:tc>
          <w:tcPr>
            <w:tcW w:w="1776" w:type="dxa"/>
            <w:vMerge w:val="continue"/>
            <w:textDirection w:val="lrTb"/>
            <w:noWrap w:val="false"/>
          </w:tcPr>
          <w:p>
            <w:pPr>
              <w:keepLines w:val="0"/>
              <w:keepNext w:val="0"/>
              <w:pageBreakBefore w:val="0"/>
              <w:spacing w:after="0" w:line="360" w:lineRule="auto"/>
              <w:widowControl/>
              <w:rPr>
                <w:rFonts w:ascii="宋体" w:hAnsi="宋体"/>
                <w:color w:val="000000" w:themeColor="text1"/>
                <w:sz w:val="24"/>
                <w:szCs w:val="24"/>
                <w:lang w:bidi="ar"/>
                <w14:textFill>
                  <w14:solidFill>
                    <w14:schemeClr w14:val="tx1"/>
                  </w14:solidFill>
                </w14:textFill>
              </w:rPr>
            </w:pPr>
            <w:r>
              <w:rPr>
                <w:rFonts w:ascii="宋体" w:hAnsi="宋体"/>
                <w:color w:val="000000" w:themeColor="text1"/>
                <w:sz w:val="24"/>
                <w:szCs w:val="24"/>
                <w:lang w:bidi="ar"/>
                <w14:textFill>
                  <w14:solidFill>
                    <w14:schemeClr w14:val="tx1"/>
                  </w14:solidFill>
                </w14:textFill>
              </w:rPr>
            </w:r>
            <w:r/>
          </w:p>
        </w:tc>
        <w:tc>
          <w:tcPr>
            <w:tcW w:w="2200" w:type="dxa"/>
            <w:vAlign w:val="center"/>
            <w:textDirection w:val="lrTb"/>
            <w:noWrap w:val="false"/>
          </w:tcPr>
          <w:p>
            <w:pPr>
              <w:jc w:val="center"/>
              <w:keepLines w:val="0"/>
              <w:keepNext w:val="0"/>
              <w:pageBreakBefore w:val="0"/>
              <w:spacing w:after="0" w:line="440" w:lineRule="exact"/>
              <w:widowControl/>
              <w:rPr>
                <w:rFonts w:hint="eastAsia" w:ascii="宋体" w:hAnsi="宋体" w:eastAsia="宋体" w:cs="宋体"/>
                <w:color w:val="000000" w:themeColor="text1"/>
                <w:sz w:val="24"/>
                <w:szCs w:val="24"/>
                <w:u w:val="none"/>
                <w:lang w:bidi="ar"/>
                <w14:textFill>
                  <w14:solidFill>
                    <w14:schemeClr w14:val="tx1"/>
                  </w14:solidFill>
                </w14:textFill>
              </w:rPr>
            </w:pPr>
            <w:r>
              <w:rPr>
                <w:rFonts w:hint="eastAsia" w:ascii="宋体" w:hAnsi="宋体" w:eastAsia="宋体" w:cs="宋体"/>
                <w:color w:val="000000" w:themeColor="text1"/>
                <w:sz w:val="24"/>
                <w:szCs w:val="24"/>
                <w:u w:val="none"/>
                <w:lang w:val="en-US" w:eastAsia="zh-CN" w:bidi="ar"/>
                <w14:textFill>
                  <w14:solidFill>
                    <w14:schemeClr w14:val="tx1"/>
                  </w14:solidFill>
                </w14:textFill>
              </w:rPr>
              <w:t xml:space="preserve">6</w:t>
            </w:r>
            <w:r>
              <w:rPr>
                <w:rFonts w:hint="eastAsia" w:ascii="宋体" w:hAnsi="宋体" w:eastAsia="宋体" w:cs="宋体"/>
                <w:color w:val="000000" w:themeColor="text1"/>
                <w:sz w:val="24"/>
                <w:szCs w:val="24"/>
                <w:u w:val="none"/>
                <w:lang w:bidi="ar"/>
                <w14:textFill>
                  <w14:solidFill>
                    <w14:schemeClr w14:val="tx1"/>
                  </w14:solidFill>
                </w14:textFill>
              </w:rPr>
              <w:t xml:space="preserve">.教师演示设备主要基材：高强度镀锌钢板</w:t>
            </w:r>
            <w:r/>
          </w:p>
        </w:tc>
        <w:tc>
          <w:tcPr>
            <w:tcW w:w="5581" w:type="dxa"/>
            <w:vAlign w:val="center"/>
            <w:textDirection w:val="lrTb"/>
            <w:noWrap w:val="false"/>
          </w:tcPr>
          <w:p>
            <w:pPr>
              <w:jc w:val="both"/>
              <w:keepLines w:val="0"/>
              <w:keepNext w:val="0"/>
              <w:pageBreakBefore w:val="0"/>
              <w:spacing w:after="0" w:line="440" w:lineRule="exact"/>
              <w:widowControl/>
              <w:rPr>
                <w:rFonts w:hint="eastAsia" w:ascii="宋体" w:hAnsi="宋体" w:eastAsia="宋体" w:cs="宋体"/>
                <w:color w:val="000000" w:themeColor="text1"/>
                <w:sz w:val="24"/>
                <w:szCs w:val="24"/>
                <w:u w:val="none"/>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GB/T 10125-2021 人造气氛腐蚀试验 盐雾试验：≥</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240</w:t>
            </w:r>
            <w:r>
              <w:rPr>
                <w:rFonts w:hint="eastAsia" w:ascii="宋体" w:hAnsi="宋体" w:eastAsia="宋体" w:cs="宋体"/>
                <w:color w:val="000000" w:themeColor="text1"/>
                <w:sz w:val="24"/>
                <w:szCs w:val="24"/>
                <w:highlight w:val="none"/>
                <w:lang w:bidi="ar"/>
                <w14:textFill>
                  <w14:solidFill>
                    <w14:schemeClr w14:val="tx1"/>
                  </w14:solidFill>
                </w14:textFill>
              </w:rPr>
              <w:t xml:space="preserve">h</w:t>
            </w:r>
            <w:r>
              <w:rPr>
                <w:rFonts w:hint="eastAsia" w:ascii="宋体" w:hAnsi="宋体" w:eastAsia="宋体" w:cs="宋体"/>
                <w:color w:val="000000" w:themeColor="text1"/>
                <w:sz w:val="24"/>
                <w:szCs w:val="24"/>
                <w:lang w:bidi="ar"/>
                <w14:textFill>
                  <w14:solidFill>
                    <w14:schemeClr w14:val="tx1"/>
                  </w14:solidFill>
                </w14:textFill>
              </w:rPr>
              <w:t xml:space="preserve">中性盐雾试验</w:t>
            </w:r>
            <w:r>
              <w:rPr>
                <w:rFonts w:hint="eastAsia" w:ascii="宋体" w:hAnsi="宋体" w:cs="宋体"/>
                <w:color w:val="000000" w:themeColor="text1"/>
                <w:sz w:val="24"/>
                <w:szCs w:val="24"/>
                <w:lang w:eastAsia="zh-CN" w:bidi="ar"/>
                <w14:textFill>
                  <w14:solidFill>
                    <w14:schemeClr w14:val="tx1"/>
                  </w14:solidFill>
                </w14:textFill>
              </w:rPr>
              <w:t xml:space="preserve">、</w:t>
            </w:r>
            <w:r>
              <w:rPr>
                <w:rFonts w:hint="eastAsia" w:ascii="宋体" w:hAnsi="宋体" w:eastAsia="宋体" w:cs="宋体"/>
                <w:color w:val="000000" w:themeColor="text1"/>
                <w:sz w:val="24"/>
                <w:szCs w:val="24"/>
                <w:lang w:bidi="ar"/>
                <w14:textFill>
                  <w14:solidFill>
                    <w14:schemeClr w14:val="tx1"/>
                  </w14:solidFill>
                </w14:textFill>
              </w:rPr>
              <w:t xml:space="preserve">GB/T 6461-2002</w:t>
            </w:r>
            <w:r>
              <w:rPr>
                <w:rFonts w:hint="eastAsia" w:ascii="宋体" w:hAnsi="宋体" w:cs="宋体"/>
                <w:color w:val="000000" w:themeColor="text1"/>
                <w:sz w:val="24"/>
                <w:szCs w:val="24"/>
                <w:lang w:val="en-US" w:eastAsia="zh-CN" w:bidi="ar"/>
                <w14:textFill>
                  <w14:solidFill>
                    <w14:schemeClr w14:val="tx1"/>
                  </w14:solidFill>
                </w14:textFill>
              </w:rPr>
              <w:t xml:space="preserve"> </w:t>
            </w:r>
            <w:r>
              <w:rPr>
                <w:rFonts w:hint="eastAsia" w:ascii="宋体" w:hAnsi="宋体" w:eastAsia="宋体" w:cs="宋体"/>
                <w:color w:val="000000" w:themeColor="text1"/>
                <w:sz w:val="24"/>
                <w:szCs w:val="24"/>
                <w:lang w:bidi="ar"/>
                <w14:textFill>
                  <w14:solidFill>
                    <w14:schemeClr w14:val="tx1"/>
                  </w14:solidFill>
                </w14:textFill>
              </w:rPr>
              <w:t xml:space="preserve">经腐蚀试验后的试样和试件的评级</w:t>
            </w:r>
            <w:r>
              <w:rPr>
                <w:rFonts w:hint="eastAsia" w:ascii="宋体" w:hAnsi="宋体" w:cs="宋体"/>
                <w:color w:val="000000" w:themeColor="text1"/>
                <w:sz w:val="24"/>
                <w:szCs w:val="24"/>
                <w:lang w:eastAsia="zh-CN" w:bidi="ar"/>
                <w14:textFill>
                  <w14:solidFill>
                    <w14:schemeClr w14:val="tx1"/>
                  </w14:solidFill>
                </w14:textFill>
              </w:rPr>
              <w:t xml:space="preserve">：</w:t>
            </w:r>
            <w:r>
              <w:rPr>
                <w:rFonts w:hint="eastAsia" w:ascii="宋体" w:hAnsi="宋体" w:cs="宋体"/>
                <w:color w:val="000000" w:themeColor="text1"/>
                <w:sz w:val="24"/>
                <w:szCs w:val="24"/>
                <w:lang w:val="en-US" w:eastAsia="zh-CN" w:bidi="ar"/>
                <w14:textFill>
                  <w14:solidFill>
                    <w14:schemeClr w14:val="tx1"/>
                  </w14:solidFill>
                </w14:textFill>
              </w:rPr>
              <w:t xml:space="preserve">评级为</w:t>
            </w:r>
            <w:r>
              <w:rPr>
                <w:rFonts w:hint="eastAsia" w:ascii="宋体" w:hAnsi="宋体" w:eastAsia="宋体" w:cs="宋体"/>
                <w:color w:val="000000" w:themeColor="text1"/>
                <w:sz w:val="24"/>
                <w:szCs w:val="24"/>
                <w:lang w:bidi="ar"/>
                <w14:textFill>
                  <w14:solidFill>
                    <w14:schemeClr w14:val="tx1"/>
                  </w14:solidFill>
                </w14:textFill>
              </w:rPr>
              <w:t xml:space="preserve">10级（1分）</w:t>
            </w:r>
            <w:r/>
          </w:p>
        </w:tc>
      </w:tr>
      <w:tr>
        <w:trPr/>
        <w:tc>
          <w:tcPr>
            <w:tcW w:w="1776" w:type="dxa"/>
            <w:vMerge w:val="continue"/>
            <w:textDirection w:val="lrTb"/>
            <w:noWrap w:val="false"/>
          </w:tcPr>
          <w:p>
            <w:pPr>
              <w:keepLines w:val="0"/>
              <w:keepNext w:val="0"/>
              <w:pageBreakBefore w:val="0"/>
              <w:spacing w:after="0" w:line="360" w:lineRule="auto"/>
              <w:widowControl/>
              <w:rPr>
                <w:rFonts w:ascii="宋体" w:hAnsi="宋体"/>
                <w:color w:val="000000" w:themeColor="text1"/>
                <w:sz w:val="24"/>
                <w:szCs w:val="24"/>
                <w:lang w:bidi="ar"/>
                <w14:textFill>
                  <w14:solidFill>
                    <w14:schemeClr w14:val="tx1"/>
                  </w14:solidFill>
                </w14:textFill>
              </w:rPr>
            </w:pPr>
            <w:r>
              <w:rPr>
                <w:rFonts w:ascii="宋体" w:hAnsi="宋体"/>
                <w:color w:val="000000" w:themeColor="text1"/>
                <w:sz w:val="24"/>
                <w:szCs w:val="24"/>
                <w:lang w:bidi="ar"/>
                <w14:textFill>
                  <w14:solidFill>
                    <w14:schemeClr w14:val="tx1"/>
                  </w14:solidFill>
                </w14:textFill>
              </w:rPr>
            </w:r>
            <w:r/>
          </w:p>
        </w:tc>
        <w:tc>
          <w:tcPr>
            <w:tcW w:w="2200" w:type="dxa"/>
            <w:vAlign w:val="center"/>
            <w:textDirection w:val="lrTb"/>
            <w:noWrap w:val="false"/>
          </w:tcPr>
          <w:p>
            <w:pPr>
              <w:jc w:val="center"/>
              <w:keepLines w:val="0"/>
              <w:keepNext w:val="0"/>
              <w:pageBreakBefore w:val="0"/>
              <w:spacing w:after="0" w:line="440" w:lineRule="exact"/>
              <w:widowControl/>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7.学生用数码生物显微镜</w:t>
            </w:r>
            <w:r/>
          </w:p>
        </w:tc>
        <w:tc>
          <w:tcPr>
            <w:tcW w:w="5581" w:type="dxa"/>
            <w:textDirection w:val="lrTb"/>
            <w:noWrap w:val="false"/>
          </w:tcPr>
          <w:p>
            <w:pPr>
              <w:jc w:val="both"/>
              <w:keepLines w:val="0"/>
              <w:keepNext w:val="0"/>
              <w:pageBreakBefore w:val="0"/>
              <w:spacing w:after="0" w:line="440" w:lineRule="exact"/>
              <w:widowControl/>
              <w:rPr>
                <w:rFonts w:hint="eastAsia" w:ascii="宋体" w:hAnsi="宋体" w:eastAsia="宋体" w:cs="宋体"/>
                <w:color w:val="000000" w:themeColor="text1"/>
                <w:sz w:val="24"/>
                <w:szCs w:val="24"/>
                <w:u w:val="none"/>
                <w:lang w:bidi="ar"/>
                <w14:textFill>
                  <w14:solidFill>
                    <w14:schemeClr w14:val="tx1"/>
                  </w14:solidFill>
                </w14:textFill>
              </w:rPr>
            </w:pPr>
            <w:r>
              <w:rPr>
                <w:rFonts w:hint="eastAsia" w:ascii="宋体" w:hAnsi="宋体" w:eastAsia="宋体" w:cs="宋体"/>
                <w:color w:val="000000" w:themeColor="text1"/>
                <w:sz w:val="24"/>
                <w:szCs w:val="24"/>
                <w:u w:val="none"/>
                <w:lang w:bidi="ar"/>
                <w14:textFill>
                  <w14:solidFill>
                    <w14:schemeClr w14:val="tx1"/>
                  </w14:solidFill>
                </w14:textFill>
              </w:rPr>
              <w:t xml:space="preserve">GB/T 2985-2008《生物显微镜》国家标准要求,</w:t>
            </w:r>
            <w:r/>
          </w:p>
          <w:p>
            <w:pPr>
              <w:jc w:val="both"/>
              <w:keepLines w:val="0"/>
              <w:keepNext w:val="0"/>
              <w:pageBreakBefore w:val="0"/>
              <w:spacing w:after="0" w:line="440" w:lineRule="exact"/>
              <w:widowControl/>
              <w:rPr>
                <w:rFonts w:hint="eastAsia" w:ascii="宋体" w:hAnsi="宋体" w:eastAsia="宋体" w:cs="宋体"/>
                <w:color w:val="000000" w:themeColor="text1"/>
                <w:sz w:val="24"/>
                <w:szCs w:val="24"/>
                <w:u w:val="none"/>
                <w:lang w:bidi="ar"/>
                <w14:textFill>
                  <w14:solidFill>
                    <w14:schemeClr w14:val="tx1"/>
                  </w14:solidFill>
                </w14:textFill>
              </w:rPr>
            </w:pPr>
            <w:r>
              <w:rPr>
                <w:rFonts w:hint="eastAsia" w:ascii="宋体" w:hAnsi="宋体" w:eastAsia="宋体" w:cs="宋体"/>
                <w:color w:val="000000" w:themeColor="text1"/>
                <w:sz w:val="24"/>
                <w:szCs w:val="24"/>
                <w:u w:val="none"/>
                <w:lang w:bidi="ar"/>
                <w14:textFill>
                  <w14:solidFill>
                    <w14:schemeClr w14:val="tx1"/>
                  </w14:solidFill>
                </w14:textFill>
              </w:rPr>
              <w:t xml:space="preserve">检测内容满足:</w:t>
            </w:r>
            <w:r/>
          </w:p>
          <w:p>
            <w:pPr>
              <w:jc w:val="both"/>
              <w:keepLines w:val="0"/>
              <w:keepNext w:val="0"/>
              <w:pageBreakBefore w:val="0"/>
              <w:spacing w:after="0" w:line="440" w:lineRule="exact"/>
              <w:widowControl/>
              <w:rPr>
                <w:rFonts w:hint="eastAsia" w:ascii="宋体" w:hAnsi="宋体" w:eastAsia="宋体" w:cs="宋体"/>
                <w:color w:val="000000" w:themeColor="text1"/>
                <w:sz w:val="24"/>
                <w:szCs w:val="24"/>
                <w:highlight w:val="yellow"/>
                <w:u w:val="none"/>
                <w:lang w:bidi="ar"/>
                <w14:textFill>
                  <w14:solidFill>
                    <w14:schemeClr w14:val="tx1"/>
                  </w14:solidFill>
                </w14:textFill>
              </w:rPr>
            </w:pPr>
            <w:r>
              <w:rPr>
                <w:rFonts w:hint="eastAsia" w:ascii="宋体" w:hAnsi="宋体" w:cs="宋体"/>
                <w:color w:val="000000" w:themeColor="text1"/>
                <w:sz w:val="24"/>
                <w:szCs w:val="24"/>
                <w:u w:val="none"/>
                <w:lang w:eastAsia="zh-CN" w:bidi="ar"/>
                <w14:textFill>
                  <w14:solidFill>
                    <w14:schemeClr w14:val="tx1"/>
                  </w14:solidFill>
                </w14:textFill>
              </w:rPr>
              <w:t xml:space="preserve">（</w:t>
            </w:r>
            <w:r>
              <w:rPr>
                <w:rFonts w:hint="eastAsia" w:ascii="宋体" w:hAnsi="宋体" w:cs="宋体"/>
                <w:color w:val="000000" w:themeColor="text1"/>
                <w:sz w:val="24"/>
                <w:szCs w:val="24"/>
                <w:u w:val="none"/>
                <w:lang w:val="en-US" w:eastAsia="zh-CN" w:bidi="ar"/>
                <w14:textFill>
                  <w14:solidFill>
                    <w14:schemeClr w14:val="tx1"/>
                  </w14:solidFill>
                </w14:textFill>
              </w:rPr>
              <w:t xml:space="preserve">1</w:t>
            </w:r>
            <w:r>
              <w:rPr>
                <w:rFonts w:hint="eastAsia" w:ascii="宋体" w:hAnsi="宋体" w:cs="宋体"/>
                <w:color w:val="000000" w:themeColor="text1"/>
                <w:sz w:val="24"/>
                <w:szCs w:val="24"/>
                <w:u w:val="none"/>
                <w:lang w:eastAsia="zh-CN" w:bidi="ar"/>
                <w14:textFill>
                  <w14:solidFill>
                    <w14:schemeClr w14:val="tx1"/>
                  </w14:solidFill>
                </w14:textFill>
              </w:rPr>
              <w:t xml:space="preserve">）</w:t>
            </w:r>
            <w:r>
              <w:rPr>
                <w:rFonts w:hint="eastAsia" w:ascii="宋体" w:hAnsi="宋体" w:cs="宋体"/>
                <w:color w:val="000000" w:themeColor="text1"/>
                <w:sz w:val="24"/>
                <w:szCs w:val="24"/>
                <w:u w:val="none"/>
                <w:lang w:val="en-US" w:eastAsia="zh-CN" w:bidi="ar"/>
                <w14:textFill>
                  <w14:solidFill>
                    <w14:schemeClr w14:val="tx1"/>
                  </w14:solidFill>
                </w14:textFill>
              </w:rPr>
              <w:t xml:space="preserve">4倍物镜成像（</w:t>
            </w:r>
            <w:r>
              <w:rPr>
                <w:rFonts w:hint="eastAsia" w:ascii="宋体" w:hAnsi="宋体" w:cs="宋体"/>
                <w:color w:val="000000" w:themeColor="text1"/>
                <w:sz w:val="24"/>
                <w:szCs w:val="24"/>
                <w:highlight w:val="none"/>
                <w:u w:val="none"/>
                <w:lang w:val="en-US" w:eastAsia="zh-CN" w:bidi="ar"/>
                <w14:textFill>
                  <w14:solidFill>
                    <w14:schemeClr w14:val="tx1"/>
                  </w14:solidFill>
                </w14:textFill>
              </w:rPr>
              <w:t xml:space="preserve">数值孔径</w:t>
            </w:r>
            <w:r>
              <w:rPr>
                <w:rFonts w:hint="eastAsia" w:ascii="宋体" w:hAnsi="宋体" w:eastAsia="宋体" w:cs="宋体"/>
                <w:color w:val="000000" w:themeColor="text1"/>
                <w:sz w:val="24"/>
                <w:szCs w:val="24"/>
                <w:highlight w:val="none"/>
                <w:u w:val="none"/>
                <w:lang w:bidi="ar"/>
                <w14:textFill>
                  <w14:solidFill>
                    <w14:schemeClr w14:val="tx1"/>
                  </w14:solidFill>
                </w14:textFill>
              </w:rPr>
              <w:t xml:space="preserve">≤</w:t>
            </w:r>
            <w:r>
              <w:rPr>
                <w:rFonts w:hint="eastAsia" w:ascii="宋体" w:hAnsi="宋体" w:cs="宋体"/>
                <w:color w:val="000000" w:themeColor="text1"/>
                <w:sz w:val="24"/>
                <w:szCs w:val="24"/>
                <w:highlight w:val="none"/>
                <w:u w:val="none"/>
                <w:lang w:val="en-US" w:eastAsia="zh-CN" w:bidi="ar"/>
                <w14:textFill>
                  <w14:solidFill>
                    <w14:schemeClr w14:val="tx1"/>
                  </w14:solidFill>
                </w14:textFill>
              </w:rPr>
              <w:t xml:space="preserve">0.20的显微镜</w:t>
            </w:r>
            <w:r>
              <w:rPr>
                <w:rFonts w:hint="eastAsia" w:ascii="宋体" w:hAnsi="宋体" w:eastAsia="宋体" w:cs="宋体"/>
                <w:color w:val="000000" w:themeColor="text1"/>
                <w:sz w:val="24"/>
                <w:szCs w:val="24"/>
                <w:highlight w:val="none"/>
                <w:u w:val="none"/>
                <w:lang w:bidi="ar"/>
                <w14:textFill>
                  <w14:solidFill>
                    <w14:schemeClr w14:val="tx1"/>
                  </w14:solidFill>
                </w14:textFill>
              </w:rPr>
              <w:t xml:space="preserve">成像</w:t>
            </w:r>
            <w:r>
              <w:rPr>
                <w:rFonts w:hint="eastAsia" w:ascii="宋体" w:hAnsi="宋体" w:cs="宋体"/>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color w:val="000000" w:themeColor="text1"/>
                <w:sz w:val="24"/>
                <w:szCs w:val="24"/>
                <w:highlight w:val="none"/>
                <w:u w:val="none"/>
                <w:lang w:bidi="ar"/>
                <w14:textFill>
                  <w14:solidFill>
                    <w14:schemeClr w14:val="tx1"/>
                  </w14:solidFill>
                </w14:textFill>
              </w:rPr>
              <w:t xml:space="preserve">清晰直径≥13.5mm、</w:t>
            </w:r>
            <w:r>
              <w:rPr>
                <w:rFonts w:hint="eastAsia" w:ascii="宋体" w:hAnsi="宋体" w:cs="宋体"/>
                <w:color w:val="000000" w:themeColor="text1"/>
                <w:sz w:val="24"/>
                <w:szCs w:val="24"/>
                <w:highlight w:val="none"/>
                <w:u w:val="none"/>
                <w:lang w:val="en-US" w:eastAsia="zh-CN" w:bidi="ar"/>
                <w14:textFill>
                  <w14:solidFill>
                    <w14:schemeClr w14:val="tx1"/>
                  </w14:solidFill>
                </w14:textFill>
              </w:rPr>
              <w:t xml:space="preserve">10倍物镜成像（数值孔径＞0.20~0.40的显微镜</w:t>
            </w:r>
            <w:r>
              <w:rPr>
                <w:rFonts w:hint="eastAsia" w:ascii="宋体" w:hAnsi="宋体" w:eastAsia="宋体" w:cs="宋体"/>
                <w:color w:val="000000" w:themeColor="text1"/>
                <w:sz w:val="24"/>
                <w:szCs w:val="24"/>
                <w:highlight w:val="none"/>
                <w:u w:val="none"/>
                <w:lang w:bidi="ar"/>
                <w14:textFill>
                  <w14:solidFill>
                    <w14:schemeClr w14:val="tx1"/>
                  </w14:solidFill>
                </w14:textFill>
              </w:rPr>
              <w:t xml:space="preserve">成像</w:t>
            </w:r>
            <w:r>
              <w:rPr>
                <w:rFonts w:hint="eastAsia" w:ascii="宋体" w:hAnsi="宋体" w:cs="宋体"/>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color w:val="000000" w:themeColor="text1"/>
                <w:sz w:val="24"/>
                <w:szCs w:val="24"/>
                <w:highlight w:val="none"/>
                <w:u w:val="none"/>
                <w:lang w:bidi="ar"/>
                <w14:textFill>
                  <w14:solidFill>
                    <w14:schemeClr w14:val="tx1"/>
                  </w14:solidFill>
                </w14:textFill>
              </w:rPr>
              <w:t xml:space="preserve">清晰直径≥13.5mm、</w:t>
            </w:r>
            <w:r>
              <w:rPr>
                <w:rFonts w:hint="eastAsia" w:ascii="宋体" w:hAnsi="宋体" w:cs="宋体"/>
                <w:color w:val="000000" w:themeColor="text1"/>
                <w:sz w:val="24"/>
                <w:szCs w:val="24"/>
                <w:highlight w:val="none"/>
                <w:u w:val="none"/>
                <w:lang w:val="en-US" w:eastAsia="zh-CN" w:bidi="ar"/>
                <w14:textFill>
                  <w14:solidFill>
                    <w14:schemeClr w14:val="tx1"/>
                  </w14:solidFill>
                </w14:textFill>
              </w:rPr>
              <w:t xml:space="preserve">40倍物镜成像（数值孔径＞0.40~0.80的显微镜</w:t>
            </w:r>
            <w:r>
              <w:rPr>
                <w:rFonts w:hint="eastAsia" w:ascii="宋体" w:hAnsi="宋体" w:eastAsia="宋体" w:cs="宋体"/>
                <w:color w:val="000000" w:themeColor="text1"/>
                <w:sz w:val="24"/>
                <w:szCs w:val="24"/>
                <w:highlight w:val="none"/>
                <w:u w:val="none"/>
                <w:lang w:bidi="ar"/>
                <w14:textFill>
                  <w14:solidFill>
                    <w14:schemeClr w14:val="tx1"/>
                  </w14:solidFill>
                </w14:textFill>
              </w:rPr>
              <w:t xml:space="preserve">成像</w:t>
            </w:r>
            <w:r>
              <w:rPr>
                <w:rFonts w:hint="eastAsia" w:ascii="宋体" w:hAnsi="宋体" w:cs="宋体"/>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color w:val="000000" w:themeColor="text1"/>
                <w:sz w:val="24"/>
                <w:szCs w:val="24"/>
                <w:highlight w:val="none"/>
                <w:u w:val="none"/>
                <w:lang w:bidi="ar"/>
                <w14:textFill>
                  <w14:solidFill>
                    <w14:schemeClr w14:val="tx1"/>
                  </w14:solidFill>
                </w14:textFill>
              </w:rPr>
              <w:t xml:space="preserve">清晰直径≥13.5mm、</w:t>
            </w:r>
            <w:r>
              <w:rPr>
                <w:rFonts w:hint="eastAsia" w:ascii="宋体" w:hAnsi="宋体" w:cs="宋体"/>
                <w:color w:val="000000" w:themeColor="text1"/>
                <w:sz w:val="24"/>
                <w:szCs w:val="24"/>
                <w:highlight w:val="none"/>
                <w:u w:val="none"/>
                <w:lang w:val="en-US" w:eastAsia="zh-CN" w:bidi="ar"/>
                <w14:textFill>
                  <w14:solidFill>
                    <w14:schemeClr w14:val="tx1"/>
                  </w14:solidFill>
                </w14:textFill>
              </w:rPr>
              <w:t xml:space="preserve">100倍物镜成像（数值孔径＞1.00的显微镜</w:t>
            </w:r>
            <w:r>
              <w:rPr>
                <w:rFonts w:hint="eastAsia" w:ascii="宋体" w:hAnsi="宋体" w:eastAsia="宋体" w:cs="宋体"/>
                <w:color w:val="000000" w:themeColor="text1"/>
                <w:sz w:val="24"/>
                <w:szCs w:val="24"/>
                <w:highlight w:val="none"/>
                <w:u w:val="none"/>
                <w:lang w:bidi="ar"/>
                <w14:textFill>
                  <w14:solidFill>
                    <w14:schemeClr w14:val="tx1"/>
                  </w14:solidFill>
                </w14:textFill>
              </w:rPr>
              <w:t xml:space="preserve">成像</w:t>
            </w:r>
            <w:r>
              <w:rPr>
                <w:rFonts w:hint="eastAsia" w:ascii="宋体" w:hAnsi="宋体" w:cs="宋体"/>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color w:val="000000" w:themeColor="text1"/>
                <w:sz w:val="24"/>
                <w:szCs w:val="24"/>
                <w:highlight w:val="none"/>
                <w:u w:val="none"/>
                <w:lang w:bidi="ar"/>
                <w14:textFill>
                  <w14:solidFill>
                    <w14:schemeClr w14:val="tx1"/>
                  </w14:solidFill>
                </w14:textFill>
              </w:rPr>
              <w:t xml:space="preserve">清晰直径≥10.0mm；</w:t>
            </w:r>
            <w:r/>
          </w:p>
          <w:p>
            <w:pPr>
              <w:jc w:val="both"/>
              <w:keepLines w:val="0"/>
              <w:keepNext w:val="0"/>
              <w:pageBreakBefore w:val="0"/>
              <w:spacing w:after="0" w:line="440" w:lineRule="exact"/>
              <w:widowControl/>
              <w:rPr>
                <w:rFonts w:hint="eastAsia" w:ascii="宋体" w:hAnsi="宋体" w:eastAsia="宋体" w:cs="宋体"/>
                <w:color w:val="000000" w:themeColor="text1"/>
                <w:sz w:val="24"/>
                <w:szCs w:val="24"/>
                <w:u w:val="none"/>
                <w:lang w:bidi="ar"/>
                <w14:textFill>
                  <w14:solidFill>
                    <w14:schemeClr w14:val="tx1"/>
                  </w14:solidFill>
                </w14:textFill>
              </w:rPr>
            </w:pPr>
            <w:r>
              <w:rPr>
                <w:rFonts w:hint="eastAsia" w:ascii="宋体" w:hAnsi="宋体" w:cs="宋体"/>
                <w:color w:val="000000" w:themeColor="text1"/>
                <w:sz w:val="24"/>
                <w:szCs w:val="24"/>
                <w:u w:val="none"/>
                <w:lang w:eastAsia="zh-CN" w:bidi="ar"/>
                <w14:textFill>
                  <w14:solidFill>
                    <w14:schemeClr w14:val="tx1"/>
                  </w14:solidFill>
                </w14:textFill>
              </w:rPr>
              <w:t xml:space="preserve">（</w:t>
            </w:r>
            <w:r>
              <w:rPr>
                <w:rFonts w:hint="eastAsia" w:ascii="宋体" w:hAnsi="宋体" w:cs="宋体"/>
                <w:color w:val="000000" w:themeColor="text1"/>
                <w:sz w:val="24"/>
                <w:szCs w:val="24"/>
                <w:u w:val="none"/>
                <w:lang w:val="en-US" w:eastAsia="zh-CN" w:bidi="ar"/>
                <w14:textFill>
                  <w14:solidFill>
                    <w14:schemeClr w14:val="tx1"/>
                  </w14:solidFill>
                </w14:textFill>
              </w:rPr>
              <w:t xml:space="preserve">2</w:t>
            </w:r>
            <w:r>
              <w:rPr>
                <w:rFonts w:hint="eastAsia" w:ascii="宋体" w:hAnsi="宋体" w:cs="宋体"/>
                <w:color w:val="000000" w:themeColor="text1"/>
                <w:sz w:val="24"/>
                <w:szCs w:val="24"/>
                <w:u w:val="none"/>
                <w:lang w:eastAsia="zh-CN" w:bidi="ar"/>
                <w14:textFill>
                  <w14:solidFill>
                    <w14:schemeClr w14:val="tx1"/>
                  </w14:solidFill>
                </w14:textFill>
              </w:rPr>
              <w:t xml:space="preserve">）</w:t>
            </w:r>
            <w:r>
              <w:rPr>
                <w:rFonts w:hint="eastAsia" w:ascii="宋体" w:hAnsi="宋体" w:eastAsia="宋体" w:cs="宋体"/>
                <w:color w:val="000000" w:themeColor="text1"/>
                <w:sz w:val="24"/>
                <w:szCs w:val="24"/>
                <w:u w:val="none"/>
                <w:lang w:bidi="ar"/>
                <w14:textFill>
                  <w14:solidFill>
                    <w14:schemeClr w14:val="tx1"/>
                  </w14:solidFill>
                </w14:textFill>
              </w:rPr>
              <w:t xml:space="preserve">10倍物镜景深范围内像面</w:t>
            </w:r>
            <w:r>
              <w:rPr>
                <w:rFonts w:hint="eastAsia" w:ascii="宋体" w:hAnsi="宋体" w:cs="宋体"/>
                <w:color w:val="000000" w:themeColor="text1"/>
                <w:sz w:val="24"/>
                <w:szCs w:val="24"/>
                <w:u w:val="none"/>
                <w:lang w:val="en-US" w:eastAsia="zh-CN" w:bidi="ar"/>
                <w14:textFill>
                  <w14:solidFill>
                    <w14:schemeClr w14:val="tx1"/>
                  </w14:solidFill>
                </w14:textFill>
              </w:rPr>
              <w:t xml:space="preserve">中心位移</w:t>
            </w:r>
            <w:r>
              <w:rPr>
                <w:rFonts w:hint="eastAsia" w:ascii="宋体" w:hAnsi="宋体" w:eastAsia="宋体" w:cs="宋体"/>
                <w:color w:val="000000" w:themeColor="text1"/>
                <w:sz w:val="24"/>
                <w:szCs w:val="24"/>
                <w:u w:val="none"/>
                <w:lang w:bidi="ar"/>
                <w14:textFill>
                  <w14:solidFill>
                    <w14:schemeClr w14:val="tx1"/>
                  </w14:solidFill>
                </w14:textFill>
              </w:rPr>
              <w:t xml:space="preserve">≤0.1mm；</w:t>
            </w:r>
            <w:r/>
          </w:p>
          <w:p>
            <w:pPr>
              <w:jc w:val="both"/>
              <w:keepLines w:val="0"/>
              <w:keepNext w:val="0"/>
              <w:pageBreakBefore w:val="0"/>
              <w:spacing w:after="0" w:line="440" w:lineRule="exact"/>
              <w:widowControl/>
              <w:rPr>
                <w:rFonts w:hint="eastAsia" w:ascii="宋体" w:hAnsi="宋体" w:eastAsia="宋体" w:cs="宋体"/>
                <w:color w:val="000000" w:themeColor="text1"/>
                <w:sz w:val="24"/>
                <w:szCs w:val="24"/>
                <w:u w:val="none"/>
                <w:lang w:bidi="ar"/>
                <w14:textFill>
                  <w14:solidFill>
                    <w14:schemeClr w14:val="tx1"/>
                  </w14:solidFill>
                </w14:textFill>
              </w:rPr>
            </w:pPr>
            <w:r>
              <w:rPr>
                <w:rFonts w:hint="eastAsia" w:ascii="宋体" w:hAnsi="宋体" w:cs="宋体"/>
                <w:color w:val="000000" w:themeColor="text1"/>
                <w:sz w:val="24"/>
                <w:szCs w:val="24"/>
                <w:u w:val="none"/>
                <w:lang w:eastAsia="zh-CN" w:bidi="ar"/>
                <w14:textFill>
                  <w14:solidFill>
                    <w14:schemeClr w14:val="tx1"/>
                  </w14:solidFill>
                </w14:textFill>
              </w:rPr>
              <w:t xml:space="preserve">（</w:t>
            </w:r>
            <w:r>
              <w:rPr>
                <w:rFonts w:hint="eastAsia" w:ascii="宋体" w:hAnsi="宋体" w:cs="宋体"/>
                <w:color w:val="000000" w:themeColor="text1"/>
                <w:sz w:val="24"/>
                <w:szCs w:val="24"/>
                <w:u w:val="none"/>
                <w:lang w:val="en-US" w:eastAsia="zh-CN" w:bidi="ar"/>
                <w14:textFill>
                  <w14:solidFill>
                    <w14:schemeClr w14:val="tx1"/>
                  </w14:solidFill>
                </w14:textFill>
              </w:rPr>
              <w:t xml:space="preserve">3</w:t>
            </w:r>
            <w:r>
              <w:rPr>
                <w:rFonts w:hint="eastAsia" w:ascii="宋体" w:hAnsi="宋体" w:cs="宋体"/>
                <w:color w:val="000000" w:themeColor="text1"/>
                <w:sz w:val="24"/>
                <w:szCs w:val="24"/>
                <w:u w:val="none"/>
                <w:lang w:eastAsia="zh-CN" w:bidi="ar"/>
                <w14:textFill>
                  <w14:solidFill>
                    <w14:schemeClr w14:val="tx1"/>
                  </w14:solidFill>
                </w14:textFill>
              </w:rPr>
              <w:t xml:space="preserve">）</w:t>
            </w:r>
            <w:r>
              <w:rPr>
                <w:rFonts w:hint="eastAsia" w:ascii="宋体" w:hAnsi="宋体" w:eastAsia="宋体" w:cs="宋体"/>
                <w:color w:val="000000" w:themeColor="text1"/>
                <w:sz w:val="24"/>
                <w:szCs w:val="24"/>
                <w:u w:val="none"/>
                <w:lang w:bidi="ar"/>
                <w14:textFill>
                  <w14:solidFill>
                    <w14:schemeClr w14:val="tx1"/>
                  </w14:solidFill>
                </w14:textFill>
              </w:rPr>
              <w:t xml:space="preserve">显微镜目镜放大</w:t>
            </w:r>
            <w:r>
              <w:rPr>
                <w:rFonts w:hint="eastAsia" w:ascii="宋体" w:hAnsi="宋体" w:eastAsia="宋体" w:cs="宋体"/>
                <w:color w:val="000000" w:themeColor="text1"/>
                <w:sz w:val="24"/>
                <w:szCs w:val="24"/>
                <w:highlight w:val="none"/>
                <w:u w:val="none"/>
                <w:lang w:bidi="ar"/>
                <w14:textFill>
                  <w14:solidFill>
                    <w14:schemeClr w14:val="tx1"/>
                  </w14:solidFill>
                </w14:textFill>
              </w:rPr>
              <w:t xml:space="preserve">率</w:t>
            </w:r>
            <w:r>
              <w:rPr>
                <w:rFonts w:hint="eastAsia" w:ascii="宋体" w:hAnsi="宋体" w:cs="宋体"/>
                <w:color w:val="000000" w:themeColor="text1"/>
                <w:sz w:val="24"/>
                <w:szCs w:val="24"/>
                <w:highlight w:val="none"/>
                <w:u w:val="none"/>
                <w:lang w:val="en-US" w:eastAsia="zh-CN" w:bidi="ar"/>
                <w14:textFill>
                  <w14:solidFill>
                    <w14:schemeClr w14:val="tx1"/>
                  </w14:solidFill>
                </w14:textFill>
              </w:rPr>
              <w:t xml:space="preserve">允差</w:t>
            </w:r>
            <w:r>
              <w:rPr>
                <w:rFonts w:hint="eastAsia" w:ascii="宋体" w:hAnsi="宋体" w:eastAsia="宋体" w:cs="宋体"/>
                <w:color w:val="000000" w:themeColor="text1"/>
                <w:sz w:val="24"/>
                <w:szCs w:val="24"/>
                <w:u w:val="none"/>
                <w:lang w:bidi="ar"/>
                <w14:textFill>
                  <w14:solidFill>
                    <w14:schemeClr w14:val="tx1"/>
                  </w14:solidFill>
                </w14:textFill>
              </w:rPr>
              <w:t xml:space="preserve">≤±5%；</w:t>
            </w:r>
            <w:r/>
          </w:p>
          <w:p>
            <w:pPr>
              <w:jc w:val="both"/>
              <w:keepLines w:val="0"/>
              <w:keepNext w:val="0"/>
              <w:pageBreakBefore w:val="0"/>
              <w:spacing w:after="0" w:line="440" w:lineRule="exact"/>
              <w:widowControl/>
              <w:rPr>
                <w:rFonts w:hint="eastAsia" w:ascii="宋体" w:hAnsi="宋体" w:eastAsia="宋体" w:cs="宋体"/>
                <w:color w:val="000000" w:themeColor="text1"/>
                <w:sz w:val="24"/>
                <w:szCs w:val="24"/>
                <w:u w:val="none"/>
                <w:lang w:bidi="ar"/>
                <w14:textFill>
                  <w14:solidFill>
                    <w14:schemeClr w14:val="tx1"/>
                  </w14:solidFill>
                </w14:textFill>
              </w:rPr>
            </w:pPr>
            <w:r>
              <w:rPr>
                <w:rFonts w:hint="eastAsia" w:ascii="宋体" w:hAnsi="宋体" w:cs="宋体"/>
                <w:color w:val="000000" w:themeColor="text1"/>
                <w:sz w:val="24"/>
                <w:szCs w:val="24"/>
                <w:u w:val="none"/>
                <w:lang w:eastAsia="zh-CN" w:bidi="ar"/>
                <w14:textFill>
                  <w14:solidFill>
                    <w14:schemeClr w14:val="tx1"/>
                  </w14:solidFill>
                </w14:textFill>
              </w:rPr>
              <w:t xml:space="preserve">（</w:t>
            </w:r>
            <w:r>
              <w:rPr>
                <w:rFonts w:hint="eastAsia" w:ascii="宋体" w:hAnsi="宋体" w:cs="宋体"/>
                <w:color w:val="000000" w:themeColor="text1"/>
                <w:sz w:val="24"/>
                <w:szCs w:val="24"/>
                <w:u w:val="none"/>
                <w:lang w:val="en-US" w:eastAsia="zh-CN" w:bidi="ar"/>
                <w14:textFill>
                  <w14:solidFill>
                    <w14:schemeClr w14:val="tx1"/>
                  </w14:solidFill>
                </w14:textFill>
              </w:rPr>
              <w:t xml:space="preserve">4</w:t>
            </w:r>
            <w:r>
              <w:rPr>
                <w:rFonts w:hint="eastAsia" w:ascii="宋体" w:hAnsi="宋体" w:cs="宋体"/>
                <w:color w:val="000000" w:themeColor="text1"/>
                <w:sz w:val="24"/>
                <w:szCs w:val="24"/>
                <w:u w:val="none"/>
                <w:lang w:eastAsia="zh-CN" w:bidi="ar"/>
                <w14:textFill>
                  <w14:solidFill>
                    <w14:schemeClr w14:val="tx1"/>
                  </w14:solidFill>
                </w14:textFill>
              </w:rPr>
              <w:t xml:space="preserve">）</w:t>
            </w:r>
            <w:r>
              <w:rPr>
                <w:rFonts w:hint="eastAsia" w:ascii="宋体" w:hAnsi="宋体" w:eastAsia="宋体" w:cs="宋体"/>
                <w:color w:val="000000" w:themeColor="text1"/>
                <w:sz w:val="24"/>
                <w:szCs w:val="24"/>
                <w:u w:val="none"/>
                <w:lang w:bidi="ar"/>
                <w14:textFill>
                  <w14:solidFill>
                    <w14:schemeClr w14:val="tx1"/>
                  </w14:solidFill>
                </w14:textFill>
              </w:rPr>
              <w:t xml:space="preserve">显微镜物镜放大</w:t>
            </w:r>
            <w:r>
              <w:rPr>
                <w:rFonts w:hint="eastAsia" w:ascii="宋体" w:hAnsi="宋体" w:cs="宋体"/>
                <w:color w:val="000000" w:themeColor="text1"/>
                <w:sz w:val="24"/>
                <w:szCs w:val="24"/>
                <w:u w:val="none"/>
                <w:lang w:val="en-US" w:eastAsia="zh-CN" w:bidi="ar"/>
                <w14:textFill>
                  <w14:solidFill>
                    <w14:schemeClr w14:val="tx1"/>
                  </w14:solidFill>
                </w14:textFill>
              </w:rPr>
              <w:t xml:space="preserve">率</w:t>
            </w:r>
            <w:r>
              <w:rPr>
                <w:rFonts w:hint="eastAsia" w:ascii="宋体" w:hAnsi="宋体" w:cs="宋体"/>
                <w:color w:val="000000" w:themeColor="text1"/>
                <w:sz w:val="24"/>
                <w:szCs w:val="24"/>
                <w:highlight w:val="none"/>
                <w:u w:val="none"/>
                <w:lang w:val="en-US" w:eastAsia="zh-CN" w:bidi="ar"/>
                <w14:textFill>
                  <w14:solidFill>
                    <w14:schemeClr w14:val="tx1"/>
                  </w14:solidFill>
                </w14:textFill>
              </w:rPr>
              <w:t xml:space="preserve">允差</w:t>
            </w:r>
            <w:r>
              <w:rPr>
                <w:rFonts w:hint="eastAsia" w:ascii="宋体" w:hAnsi="宋体" w:eastAsia="宋体" w:cs="宋体"/>
                <w:color w:val="000000" w:themeColor="text1"/>
                <w:sz w:val="24"/>
                <w:szCs w:val="24"/>
                <w:u w:val="none"/>
                <w:lang w:bidi="ar"/>
                <w14:textFill>
                  <w14:solidFill>
                    <w14:schemeClr w14:val="tx1"/>
                  </w14:solidFill>
                </w14:textFill>
              </w:rPr>
              <w:t xml:space="preserve">≤±5%；</w:t>
            </w:r>
            <w:r/>
          </w:p>
          <w:p>
            <w:pPr>
              <w:jc w:val="both"/>
              <w:keepLines w:val="0"/>
              <w:keepNext w:val="0"/>
              <w:pageBreakBefore w:val="0"/>
              <w:spacing w:after="0" w:line="440" w:lineRule="exact"/>
              <w:widowControl/>
              <w:rPr>
                <w:rFonts w:hint="eastAsia" w:ascii="宋体" w:hAnsi="宋体" w:eastAsia="宋体" w:cs="宋体"/>
                <w:color w:val="000000" w:themeColor="text1"/>
                <w:sz w:val="24"/>
                <w:szCs w:val="24"/>
                <w:u w:val="none"/>
                <w:lang w:bidi="ar"/>
                <w14:textFill>
                  <w14:solidFill>
                    <w14:schemeClr w14:val="tx1"/>
                  </w14:solidFill>
                </w14:textFill>
              </w:rPr>
            </w:pPr>
            <w:r>
              <w:rPr>
                <w:rFonts w:hint="eastAsia" w:ascii="宋体" w:hAnsi="宋体" w:cs="宋体"/>
                <w:color w:val="000000" w:themeColor="text1"/>
                <w:sz w:val="24"/>
                <w:szCs w:val="24"/>
                <w:u w:val="none"/>
                <w:lang w:eastAsia="zh-CN" w:bidi="ar"/>
                <w14:textFill>
                  <w14:solidFill>
                    <w14:schemeClr w14:val="tx1"/>
                  </w14:solidFill>
                </w14:textFill>
              </w:rPr>
              <w:t xml:space="preserve">（</w:t>
            </w:r>
            <w:r>
              <w:rPr>
                <w:rFonts w:hint="eastAsia" w:ascii="宋体" w:hAnsi="宋体" w:cs="宋体"/>
                <w:color w:val="000000" w:themeColor="text1"/>
                <w:sz w:val="24"/>
                <w:szCs w:val="24"/>
                <w:u w:val="none"/>
                <w:lang w:val="en-US" w:eastAsia="zh-CN" w:bidi="ar"/>
                <w14:textFill>
                  <w14:solidFill>
                    <w14:schemeClr w14:val="tx1"/>
                  </w14:solidFill>
                </w14:textFill>
              </w:rPr>
              <w:t xml:space="preserve">5</w:t>
            </w:r>
            <w:r>
              <w:rPr>
                <w:rFonts w:hint="eastAsia" w:ascii="宋体" w:hAnsi="宋体" w:cs="宋体"/>
                <w:color w:val="000000" w:themeColor="text1"/>
                <w:sz w:val="24"/>
                <w:szCs w:val="24"/>
                <w:u w:val="none"/>
                <w:lang w:eastAsia="zh-CN" w:bidi="ar"/>
                <w14:textFill>
                  <w14:solidFill>
                    <w14:schemeClr w14:val="tx1"/>
                  </w14:solidFill>
                </w14:textFill>
              </w:rPr>
              <w:t xml:space="preserve">）</w:t>
            </w:r>
            <w:r>
              <w:rPr>
                <w:rFonts w:hint="eastAsia" w:ascii="宋体" w:hAnsi="宋体" w:eastAsia="宋体" w:cs="宋体"/>
                <w:color w:val="000000" w:themeColor="text1"/>
                <w:sz w:val="24"/>
                <w:szCs w:val="24"/>
                <w:highlight w:val="none"/>
                <w:u w:val="none"/>
                <w:lang w:bidi="ar"/>
                <w14:textFill>
                  <w14:solidFill>
                    <w14:schemeClr w14:val="tx1"/>
                  </w14:solidFill>
                </w14:textFill>
              </w:rPr>
              <w:t xml:space="preserve">转换器稳定性≤0.025mm</w:t>
            </w:r>
            <w:r>
              <w:rPr>
                <w:rFonts w:hint="eastAsia" w:ascii="宋体" w:hAnsi="宋体" w:eastAsia="宋体" w:cs="宋体"/>
                <w:color w:val="000000" w:themeColor="text1"/>
                <w:sz w:val="24"/>
                <w:szCs w:val="24"/>
                <w:u w:val="none"/>
                <w:lang w:bidi="ar"/>
                <w14:textFill>
                  <w14:solidFill>
                    <w14:schemeClr w14:val="tx1"/>
                  </w14:solidFill>
                </w14:textFill>
              </w:rPr>
              <w:t xml:space="preserve">；</w:t>
            </w:r>
            <w:r/>
          </w:p>
          <w:p>
            <w:pPr>
              <w:jc w:val="both"/>
              <w:keepLines w:val="0"/>
              <w:keepNext w:val="0"/>
              <w:pageBreakBefore w:val="0"/>
              <w:spacing w:after="0" w:line="440" w:lineRule="exact"/>
              <w:widowControl/>
              <w:rPr>
                <w:rFonts w:hint="eastAsia" w:ascii="宋体" w:hAnsi="宋体" w:eastAsia="宋体" w:cs="宋体"/>
                <w:color w:val="000000" w:themeColor="text1"/>
                <w:sz w:val="24"/>
                <w:szCs w:val="24"/>
                <w:u w:val="none"/>
                <w:lang w:bidi="ar"/>
                <w14:textFill>
                  <w14:solidFill>
                    <w14:schemeClr w14:val="tx1"/>
                  </w14:solidFill>
                </w14:textFill>
              </w:rPr>
            </w:pPr>
            <w:r>
              <w:rPr>
                <w:rFonts w:hint="eastAsia" w:ascii="宋体" w:hAnsi="宋体" w:cs="宋体"/>
                <w:color w:val="000000" w:themeColor="text1"/>
                <w:sz w:val="24"/>
                <w:szCs w:val="24"/>
                <w:u w:val="none"/>
                <w:lang w:eastAsia="zh-CN" w:bidi="ar"/>
                <w14:textFill>
                  <w14:solidFill>
                    <w14:schemeClr w14:val="tx1"/>
                  </w14:solidFill>
                </w14:textFill>
              </w:rPr>
              <w:t xml:space="preserve">（</w:t>
            </w:r>
            <w:r>
              <w:rPr>
                <w:rFonts w:hint="eastAsia" w:ascii="宋体" w:hAnsi="宋体" w:cs="宋体"/>
                <w:color w:val="000000" w:themeColor="text1"/>
                <w:sz w:val="24"/>
                <w:szCs w:val="24"/>
                <w:u w:val="none"/>
                <w:lang w:val="en-US" w:eastAsia="zh-CN" w:bidi="ar"/>
                <w14:textFill>
                  <w14:solidFill>
                    <w14:schemeClr w14:val="tx1"/>
                  </w14:solidFill>
                </w14:textFill>
              </w:rPr>
              <w:t xml:space="preserve">6</w:t>
            </w:r>
            <w:r>
              <w:rPr>
                <w:rFonts w:hint="eastAsia" w:ascii="宋体" w:hAnsi="宋体" w:cs="宋体"/>
                <w:color w:val="000000" w:themeColor="text1"/>
                <w:sz w:val="24"/>
                <w:szCs w:val="24"/>
                <w:u w:val="none"/>
                <w:lang w:eastAsia="zh-CN" w:bidi="ar"/>
                <w14:textFill>
                  <w14:solidFill>
                    <w14:schemeClr w14:val="tx1"/>
                  </w14:solidFill>
                </w14:textFill>
              </w:rPr>
              <w:t xml:space="preserve">）</w:t>
            </w:r>
            <w:r>
              <w:rPr>
                <w:rFonts w:hint="eastAsia" w:ascii="宋体" w:hAnsi="宋体" w:eastAsia="宋体" w:cs="宋体"/>
                <w:color w:val="000000" w:themeColor="text1"/>
                <w:sz w:val="24"/>
                <w:szCs w:val="24"/>
                <w:u w:val="none"/>
                <w:lang w:bidi="ar"/>
                <w14:textFill>
                  <w14:solidFill>
                    <w14:schemeClr w14:val="tx1"/>
                  </w14:solidFill>
                </w14:textFill>
              </w:rPr>
              <w:t xml:space="preserve">双目系统左右视场中心偏差：上下≤0.2mm，左右内侧≤0.4mm，双目系统左右光轴平行度：水平发散≤60</w:t>
            </w:r>
            <w:r>
              <w:rPr>
                <w:rFonts w:hint="default" w:ascii="宋体" w:hAnsi="宋体" w:cs="宋体"/>
                <w:color w:val="000000" w:themeColor="text1"/>
                <w:sz w:val="24"/>
                <w:szCs w:val="24"/>
                <w:u w:val="none"/>
                <w:lang w:val="en-US" w:eastAsia="zh-CN" w:bidi="ar"/>
                <w14:textFill>
                  <w14:solidFill>
                    <w14:schemeClr w14:val="tx1"/>
                  </w14:solidFill>
                </w14:textFill>
              </w:rPr>
              <w:t xml:space="preserve">’</w:t>
            </w:r>
            <w:r>
              <w:rPr>
                <w:rFonts w:hint="eastAsia" w:ascii="宋体" w:hAnsi="宋体" w:eastAsia="宋体" w:cs="宋体"/>
                <w:color w:val="000000" w:themeColor="text1"/>
                <w:sz w:val="24"/>
                <w:szCs w:val="24"/>
                <w:u w:val="none"/>
                <w:lang w:bidi="ar"/>
                <w14:textFill>
                  <w14:solidFill>
                    <w14:schemeClr w14:val="tx1"/>
                  </w14:solidFill>
                </w14:textFill>
              </w:rPr>
              <w:t xml:space="preserve">，垂直交叉≤30</w:t>
            </w:r>
            <w:r>
              <w:rPr>
                <w:rFonts w:hint="default" w:ascii="宋体" w:hAnsi="宋体" w:cs="宋体"/>
                <w:color w:val="000000" w:themeColor="text1"/>
                <w:sz w:val="24"/>
                <w:szCs w:val="24"/>
                <w:u w:val="none"/>
                <w:lang w:val="en-US" w:eastAsia="zh-CN" w:bidi="ar"/>
                <w14:textFill>
                  <w14:solidFill>
                    <w14:schemeClr w14:val="tx1"/>
                  </w14:solidFill>
                </w14:textFill>
              </w:rPr>
              <w:t xml:space="preserve">’</w:t>
            </w:r>
            <w:r>
              <w:rPr>
                <w:rFonts w:hint="eastAsia" w:ascii="宋体" w:hAnsi="宋体" w:eastAsia="宋体" w:cs="宋体"/>
                <w:color w:val="000000" w:themeColor="text1"/>
                <w:sz w:val="24"/>
                <w:szCs w:val="24"/>
                <w:u w:val="none"/>
                <w:lang w:bidi="ar"/>
                <w14:textFill>
                  <w14:solidFill>
                    <w14:schemeClr w14:val="tx1"/>
                  </w14:solidFill>
                </w14:textFill>
              </w:rPr>
              <w:t xml:space="preserve">；</w:t>
            </w:r>
            <w:r/>
          </w:p>
          <w:p>
            <w:pPr>
              <w:jc w:val="both"/>
              <w:keepLines w:val="0"/>
              <w:keepNext w:val="0"/>
              <w:pageBreakBefore w:val="0"/>
              <w:spacing w:after="0" w:line="440" w:lineRule="exact"/>
              <w:widowControl/>
              <w:rPr>
                <w:rFonts w:hint="eastAsia" w:ascii="宋体" w:hAnsi="宋体" w:eastAsia="宋体" w:cs="宋体"/>
                <w:color w:val="000000" w:themeColor="text1"/>
                <w:sz w:val="24"/>
                <w:szCs w:val="24"/>
                <w:u w:val="none"/>
                <w:lang w:bidi="ar"/>
                <w14:textFill>
                  <w14:solidFill>
                    <w14:schemeClr w14:val="tx1"/>
                  </w14:solidFill>
                </w14:textFill>
              </w:rPr>
            </w:pPr>
            <w:r>
              <w:rPr>
                <w:rFonts w:hint="eastAsia" w:ascii="宋体" w:hAnsi="宋体" w:cs="宋体"/>
                <w:color w:val="000000" w:themeColor="text1"/>
                <w:sz w:val="24"/>
                <w:szCs w:val="24"/>
                <w:u w:val="none"/>
                <w:lang w:eastAsia="zh-CN" w:bidi="ar"/>
                <w14:textFill>
                  <w14:solidFill>
                    <w14:schemeClr w14:val="tx1"/>
                  </w14:solidFill>
                </w14:textFill>
              </w:rPr>
              <w:t xml:space="preserve">（</w:t>
            </w:r>
            <w:r>
              <w:rPr>
                <w:rFonts w:hint="eastAsia" w:ascii="宋体" w:hAnsi="宋体" w:cs="宋体"/>
                <w:color w:val="000000" w:themeColor="text1"/>
                <w:sz w:val="24"/>
                <w:szCs w:val="24"/>
                <w:u w:val="none"/>
                <w:lang w:val="en-US" w:eastAsia="zh-CN" w:bidi="ar"/>
                <w14:textFill>
                  <w14:solidFill>
                    <w14:schemeClr w14:val="tx1"/>
                  </w14:solidFill>
                </w14:textFill>
              </w:rPr>
              <w:t xml:space="preserve">7</w:t>
            </w:r>
            <w:r>
              <w:rPr>
                <w:rFonts w:hint="eastAsia" w:ascii="宋体" w:hAnsi="宋体" w:cs="宋体"/>
                <w:color w:val="000000" w:themeColor="text1"/>
                <w:sz w:val="24"/>
                <w:szCs w:val="24"/>
                <w:u w:val="none"/>
                <w:lang w:eastAsia="zh-CN" w:bidi="ar"/>
                <w14:textFill>
                  <w14:solidFill>
                    <w14:schemeClr w14:val="tx1"/>
                  </w14:solidFill>
                </w14:textFill>
              </w:rPr>
              <w:t xml:space="preserve">）</w:t>
            </w:r>
            <w:r>
              <w:rPr>
                <w:rFonts w:hint="eastAsia" w:ascii="宋体" w:hAnsi="宋体" w:eastAsia="宋体" w:cs="宋体"/>
                <w:color w:val="000000" w:themeColor="text1"/>
                <w:sz w:val="24"/>
                <w:szCs w:val="24"/>
                <w:u w:val="none"/>
                <w:lang w:bidi="ar"/>
                <w14:textFill>
                  <w14:solidFill>
                    <w14:schemeClr w14:val="tx1"/>
                  </w14:solidFill>
                </w14:textFill>
              </w:rPr>
              <w:t xml:space="preserve">摄影摄像视场清晰范围≥45%，目镜观察与显示屏观察时图像齐焦不超过±0.05mm；</w:t>
            </w:r>
            <w:r/>
          </w:p>
          <w:p>
            <w:pPr>
              <w:jc w:val="both"/>
              <w:keepLines w:val="0"/>
              <w:keepNext w:val="0"/>
              <w:pageBreakBefore w:val="0"/>
              <w:spacing w:after="0" w:line="440" w:lineRule="exact"/>
              <w:widowControl/>
              <w:rPr>
                <w:rFonts w:hint="eastAsia" w:ascii="宋体" w:hAnsi="宋体" w:eastAsia="宋体" w:cs="宋体"/>
                <w:color w:val="000000" w:themeColor="text1"/>
                <w:sz w:val="24"/>
                <w:szCs w:val="24"/>
                <w:u w:val="none"/>
                <w:lang w:bidi="ar"/>
                <w14:textFill>
                  <w14:solidFill>
                    <w14:schemeClr w14:val="tx1"/>
                  </w14:solidFill>
                </w14:textFill>
              </w:rPr>
            </w:pPr>
            <w:r>
              <w:rPr>
                <w:rFonts w:hint="eastAsia" w:ascii="宋体" w:hAnsi="宋体" w:cs="宋体"/>
                <w:color w:val="000000" w:themeColor="text1"/>
                <w:sz w:val="24"/>
                <w:szCs w:val="24"/>
                <w:u w:val="none"/>
                <w:lang w:eastAsia="zh-CN" w:bidi="ar"/>
                <w14:textFill>
                  <w14:solidFill>
                    <w14:schemeClr w14:val="tx1"/>
                  </w14:solidFill>
                </w14:textFill>
              </w:rPr>
              <w:t xml:space="preserve">（</w:t>
            </w:r>
            <w:r>
              <w:rPr>
                <w:rFonts w:hint="eastAsia" w:ascii="宋体" w:hAnsi="宋体" w:cs="宋体"/>
                <w:color w:val="000000" w:themeColor="text1"/>
                <w:sz w:val="24"/>
                <w:szCs w:val="24"/>
                <w:u w:val="none"/>
                <w:lang w:val="en-US" w:eastAsia="zh-CN" w:bidi="ar"/>
                <w14:textFill>
                  <w14:solidFill>
                    <w14:schemeClr w14:val="tx1"/>
                  </w14:solidFill>
                </w14:textFill>
              </w:rPr>
              <w:t xml:space="preserve">8</w:t>
            </w:r>
            <w:r>
              <w:rPr>
                <w:rFonts w:hint="eastAsia" w:ascii="宋体" w:hAnsi="宋体" w:cs="宋体"/>
                <w:color w:val="000000" w:themeColor="text1"/>
                <w:sz w:val="24"/>
                <w:szCs w:val="24"/>
                <w:u w:val="none"/>
                <w:lang w:eastAsia="zh-CN" w:bidi="ar"/>
                <w14:textFill>
                  <w14:solidFill>
                    <w14:schemeClr w14:val="tx1"/>
                  </w14:solidFill>
                </w14:textFill>
              </w:rPr>
              <w:t xml:space="preserve">）</w:t>
            </w:r>
            <w:r>
              <w:rPr>
                <w:rFonts w:hint="eastAsia" w:ascii="宋体" w:hAnsi="宋体" w:eastAsia="宋体" w:cs="宋体"/>
                <w:color w:val="000000" w:themeColor="text1"/>
                <w:sz w:val="24"/>
                <w:szCs w:val="24"/>
                <w:u w:val="none"/>
                <w:lang w:bidi="ar"/>
                <w14:textFill>
                  <w14:solidFill>
                    <w14:schemeClr w14:val="tx1"/>
                  </w14:solidFill>
                </w14:textFill>
              </w:rPr>
              <w:t xml:space="preserve">载物台侧向受5N水平方向作用力最大位移</w:t>
            </w:r>
            <w:r>
              <w:rPr>
                <w:rFonts w:hint="eastAsia" w:ascii="宋体" w:hAnsi="宋体" w:eastAsia="宋体" w:cs="宋体"/>
                <w:color w:val="000000" w:themeColor="text1"/>
                <w:sz w:val="24"/>
                <w:szCs w:val="24"/>
                <w:highlight w:val="none"/>
                <w:u w:val="none"/>
                <w:lang w:bidi="ar"/>
                <w14:textFill>
                  <w14:solidFill>
                    <w14:schemeClr w14:val="tx1"/>
                  </w14:solidFill>
                </w14:textFill>
              </w:rPr>
              <w:t xml:space="preserve">≤0.0</w:t>
            </w:r>
            <w:r>
              <w:rPr>
                <w:rFonts w:hint="eastAsia" w:ascii="宋体" w:hAnsi="宋体" w:cs="宋体"/>
                <w:color w:val="000000" w:themeColor="text1"/>
                <w:sz w:val="24"/>
                <w:szCs w:val="24"/>
                <w:highlight w:val="none"/>
                <w:u w:val="none"/>
                <w:lang w:val="en-US" w:eastAsia="zh-CN" w:bidi="ar"/>
                <w14:textFill>
                  <w14:solidFill>
                    <w14:schemeClr w14:val="tx1"/>
                  </w14:solidFill>
                </w14:textFill>
              </w:rPr>
              <w:t xml:space="preserve">5</w:t>
            </w:r>
            <w:r>
              <w:rPr>
                <w:rFonts w:hint="eastAsia" w:ascii="宋体" w:hAnsi="宋体" w:eastAsia="宋体" w:cs="宋体"/>
                <w:color w:val="000000" w:themeColor="text1"/>
                <w:sz w:val="24"/>
                <w:szCs w:val="24"/>
                <w:highlight w:val="none"/>
                <w:u w:val="none"/>
                <w:lang w:bidi="ar"/>
                <w14:textFill>
                  <w14:solidFill>
                    <w14:schemeClr w14:val="tx1"/>
                  </w14:solidFill>
                </w14:textFill>
              </w:rPr>
              <w:t xml:space="preserve">mm</w:t>
            </w:r>
            <w:r>
              <w:rPr>
                <w:rFonts w:hint="eastAsia"/>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sz w:val="24"/>
                <w:szCs w:val="24"/>
                <w:u w:val="none"/>
                <w:lang w:val="en-US" w:eastAsia="zh-CN" w:bidi="ar"/>
                <w14:textFill>
                  <w14:solidFill>
                    <w14:schemeClr w14:val="tx1"/>
                  </w14:solidFill>
                </w14:textFill>
              </w:rPr>
              <w:t xml:space="preserve">作用力撤去后，载物台应恢复到原位，相对于原位的偏移量</w:t>
            </w:r>
            <w:r>
              <w:rPr>
                <w:rFonts w:hint="eastAsia" w:ascii="宋体" w:hAnsi="宋体" w:eastAsia="宋体" w:cs="宋体"/>
                <w:color w:val="000000" w:themeColor="text1"/>
                <w:sz w:val="24"/>
                <w:szCs w:val="24"/>
                <w:highlight w:val="none"/>
                <w:u w:val="none"/>
                <w:lang w:bidi="ar"/>
                <w14:textFill>
                  <w14:solidFill>
                    <w14:schemeClr w14:val="tx1"/>
                  </w14:solidFill>
                </w14:textFill>
              </w:rPr>
              <w:t xml:space="preserve">≤</w:t>
            </w:r>
            <w:r>
              <w:rPr>
                <w:rFonts w:hint="eastAsia" w:ascii="宋体" w:hAnsi="宋体" w:cs="宋体"/>
                <w:color w:val="000000" w:themeColor="text1"/>
                <w:sz w:val="24"/>
                <w:szCs w:val="24"/>
                <w:u w:val="none"/>
                <w:lang w:val="en-US" w:eastAsia="zh-CN" w:bidi="ar"/>
                <w14:textFill>
                  <w14:solidFill>
                    <w14:schemeClr w14:val="tx1"/>
                  </w14:solidFill>
                </w14:textFill>
              </w:rPr>
              <w:t xml:space="preserve">0.005mm</w:t>
            </w:r>
            <w:r>
              <w:rPr>
                <w:rFonts w:hint="eastAsia" w:ascii="宋体" w:hAnsi="宋体" w:eastAsia="宋体" w:cs="宋体"/>
                <w:color w:val="000000" w:themeColor="text1"/>
                <w:sz w:val="24"/>
                <w:szCs w:val="24"/>
                <w:u w:val="none"/>
                <w:lang w:bidi="ar"/>
                <w14:textFill>
                  <w14:solidFill>
                    <w14:schemeClr w14:val="tx1"/>
                  </w14:solidFill>
                </w14:textFill>
              </w:rPr>
              <w:t xml:space="preserve">；</w:t>
            </w:r>
            <w:r/>
          </w:p>
          <w:p>
            <w:pPr>
              <w:jc w:val="both"/>
              <w:keepLines w:val="0"/>
              <w:keepNext w:val="0"/>
              <w:pageBreakBefore w:val="0"/>
              <w:spacing w:after="0" w:line="440" w:lineRule="exact"/>
              <w:widowControl/>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cs="宋体"/>
                <w:color w:val="000000" w:themeColor="text1"/>
                <w:sz w:val="24"/>
                <w:szCs w:val="24"/>
                <w:u w:val="none"/>
                <w:lang w:eastAsia="zh-CN" w:bidi="ar"/>
                <w14:textFill>
                  <w14:solidFill>
                    <w14:schemeClr w14:val="tx1"/>
                  </w14:solidFill>
                </w14:textFill>
              </w:rPr>
              <w:t xml:space="preserve">（</w:t>
            </w:r>
            <w:r>
              <w:rPr>
                <w:rFonts w:hint="eastAsia" w:ascii="宋体" w:hAnsi="宋体" w:cs="宋体"/>
                <w:color w:val="000000" w:themeColor="text1"/>
                <w:sz w:val="24"/>
                <w:szCs w:val="24"/>
                <w:u w:val="none"/>
                <w:lang w:val="en-US" w:eastAsia="zh-CN" w:bidi="ar"/>
                <w14:textFill>
                  <w14:solidFill>
                    <w14:schemeClr w14:val="tx1"/>
                  </w14:solidFill>
                </w14:textFill>
              </w:rPr>
              <w:t xml:space="preserve">9</w:t>
            </w:r>
            <w:r>
              <w:rPr>
                <w:rFonts w:hint="eastAsia" w:ascii="宋体" w:hAnsi="宋体" w:cs="宋体"/>
                <w:color w:val="000000" w:themeColor="text1"/>
                <w:sz w:val="24"/>
                <w:szCs w:val="24"/>
                <w:u w:val="none"/>
                <w:lang w:eastAsia="zh-CN" w:bidi="ar"/>
                <w14:textFill>
                  <w14:solidFill>
                    <w14:schemeClr w14:val="tx1"/>
                  </w14:solidFill>
                </w14:textFill>
              </w:rPr>
              <w:t xml:space="preserve">）</w:t>
            </w:r>
            <w:r>
              <w:rPr>
                <w:rFonts w:hint="eastAsia" w:ascii="宋体" w:hAnsi="宋体" w:eastAsia="宋体" w:cs="宋体"/>
                <w:color w:val="000000" w:themeColor="text1"/>
                <w:sz w:val="24"/>
                <w:szCs w:val="24"/>
                <w:u w:val="none"/>
                <w:lang w:bidi="ar"/>
                <w14:textFill>
                  <w14:solidFill>
                    <w14:schemeClr w14:val="tx1"/>
                  </w14:solidFill>
                </w14:textFill>
              </w:rPr>
              <w:t xml:space="preserve">用机械使标本在5mmX5mm范围内移动时</w:t>
            </w:r>
            <w:r>
              <w:rPr>
                <w:rFonts w:hint="eastAsia" w:ascii="宋体" w:hAnsi="宋体" w:cs="宋体"/>
                <w:color w:val="000000" w:themeColor="text1"/>
                <w:sz w:val="24"/>
                <w:szCs w:val="24"/>
                <w:u w:val="none"/>
                <w:lang w:eastAsia="zh-CN" w:bidi="ar"/>
                <w14:textFill>
                  <w14:solidFill>
                    <w14:schemeClr w14:val="tx1"/>
                  </w14:solidFill>
                </w14:textFill>
              </w:rPr>
              <w:t xml:space="preserve">，</w:t>
            </w:r>
            <w:r>
              <w:rPr>
                <w:rFonts w:hint="eastAsia" w:ascii="宋体" w:hAnsi="宋体" w:cs="宋体"/>
                <w:color w:val="000000" w:themeColor="text1"/>
                <w:sz w:val="24"/>
                <w:szCs w:val="24"/>
                <w:u w:val="none"/>
                <w:lang w:val="en-US" w:eastAsia="zh-CN" w:bidi="ar"/>
                <w14:textFill>
                  <w14:solidFill>
                    <w14:schemeClr w14:val="tx1"/>
                  </w14:solidFill>
                </w14:textFill>
              </w:rPr>
              <w:t xml:space="preserve">重新调焦的调节</w:t>
            </w:r>
            <w:r>
              <w:rPr>
                <w:rFonts w:hint="eastAsia" w:ascii="宋体" w:hAnsi="宋体" w:eastAsia="宋体" w:cs="宋体"/>
                <w:color w:val="000000" w:themeColor="text1"/>
                <w:sz w:val="24"/>
                <w:szCs w:val="24"/>
                <w:u w:val="none"/>
                <w:lang w:bidi="ar"/>
                <w14:textFill>
                  <w14:solidFill>
                    <w14:schemeClr w14:val="tx1"/>
                  </w14:solidFill>
                </w14:textFill>
              </w:rPr>
              <w:t xml:space="preserve">量≤0.012mm。（1分）</w:t>
            </w:r>
            <w:r/>
          </w:p>
        </w:tc>
      </w:tr>
    </w:tbl>
    <w:p>
      <w:pPr>
        <w:ind w:firstLine="480"/>
        <w:keepLines w:val="0"/>
        <w:keepNext w:val="0"/>
        <w:pageBreakBefore w:val="0"/>
        <w:spacing w:after="0" w:line="460" w:lineRule="exact"/>
        <w:widowControl w:val="off"/>
        <w:rPr>
          <w:rFonts w:hint="default" w:ascii="宋体" w:hAnsi="宋体" w:cs="Times New Roman"/>
          <w:color w:val="auto"/>
          <w:sz w:val="24"/>
          <w:highlight w:val="none"/>
          <w:lang w:val="en-US" w:eastAsia="zh-CN"/>
        </w:rPr>
      </w:pPr>
      <w:r>
        <w:rPr>
          <w:rFonts w:hint="eastAsia" w:ascii="宋体" w:hAnsi="宋体" w:cs="Times New Roman"/>
          <w:color w:val="auto"/>
          <w:sz w:val="24"/>
          <w:highlight w:val="none"/>
          <w:lang w:val="en-US" w:eastAsia="zh-CN"/>
        </w:rPr>
        <w:t xml:space="preserve">注：关于检测报告第三条“实验台”，基于等效原则确定，GB/T 24820-2024标准中引用的GB/T 10357.1-2013试验方法可采用现行有效且等效的GB/T 10357.1-2024试验方法执行，供应商提供证明产品符合GB/T 24820-2024标准的检测报告，GB/T 10357.1-2013试验方法和GB/T 10357.1-2024试验方法均予以认可（</w:t>
      </w:r>
      <w:r>
        <w:rPr>
          <w:rFonts w:hint="eastAsia" w:ascii="宋体" w:hAnsi="宋体" w:eastAsia="宋体" w:cs="Times New Roman"/>
          <w:color w:val="auto"/>
          <w:sz w:val="24"/>
          <w:highlight w:val="none"/>
          <w:lang w:val="en-US" w:eastAsia="zh-CN"/>
        </w:rPr>
        <w:t xml:space="preserve">凡招标文件内引用的标准如涉及到试验方法被替代的情形，均</w:t>
      </w:r>
      <w:r>
        <w:rPr>
          <w:rFonts w:hint="eastAsia" w:ascii="宋体" w:hAnsi="宋体" w:cs="Times New Roman"/>
          <w:color w:val="auto"/>
          <w:sz w:val="24"/>
          <w:highlight w:val="none"/>
          <w:lang w:val="en-US" w:eastAsia="zh-CN"/>
        </w:rPr>
        <w:t xml:space="preserve">同理）。</w:t>
      </w:r>
      <w:r/>
    </w:p>
    <w:p>
      <w:pPr>
        <w:numPr>
          <w:ilvl w:val="0"/>
          <w:numId w:val="0"/>
        </w:numPr>
        <w:ind w:firstLine="482"/>
        <w:keepLines w:val="0"/>
        <w:keepNext w:val="0"/>
        <w:pageBreakBefore w:val="0"/>
        <w:spacing w:line="460" w:lineRule="exact"/>
        <w:widowControl w:val="off"/>
        <w:rPr>
          <w:rFonts w:hint="eastAsia"/>
          <w:color w:val="auto"/>
          <w:sz w:val="24"/>
          <w:szCs w:val="24"/>
          <w:highlight w:val="none"/>
        </w:rPr>
      </w:pPr>
      <w:r>
        <w:rPr>
          <w:rFonts w:hint="eastAsia" w:ascii="宋体" w:hAnsi="宋体" w:eastAsia="宋体" w:cs="宋体"/>
          <w:b/>
          <w:color w:val="auto"/>
          <w:sz w:val="24"/>
          <w:highlight w:val="none"/>
        </w:rPr>
        <w:t xml:space="preserve">（</w:t>
      </w:r>
      <w:r>
        <w:rPr>
          <w:rFonts w:hint="eastAsia" w:ascii="宋体" w:hAnsi="宋体" w:eastAsia="宋体" w:cs="宋体"/>
          <w:b/>
          <w:color w:val="auto"/>
          <w:sz w:val="24"/>
          <w:highlight w:val="none"/>
          <w:lang w:val="en-US" w:eastAsia="zh-CN"/>
        </w:rPr>
        <w:t xml:space="preserve">4</w:t>
      </w:r>
      <w:r>
        <w:rPr>
          <w:rFonts w:hint="eastAsia" w:ascii="宋体" w:hAnsi="宋体" w:eastAsia="宋体" w:cs="宋体"/>
          <w:b/>
          <w:color w:val="auto"/>
          <w:sz w:val="24"/>
          <w:highlight w:val="none"/>
        </w:rPr>
        <w:t xml:space="preserve">）产品功能视频演示（</w:t>
      </w:r>
      <w:r>
        <w:rPr>
          <w:rFonts w:hint="eastAsia" w:ascii="宋体" w:hAnsi="宋体" w:eastAsia="宋体" w:cs="宋体"/>
          <w:b/>
          <w:color w:val="auto"/>
          <w:sz w:val="24"/>
          <w:highlight w:val="none"/>
          <w:lang w:val="en-US" w:eastAsia="zh-CN"/>
        </w:rPr>
        <w:t xml:space="preserve">8</w:t>
      </w:r>
      <w:r>
        <w:rPr>
          <w:rFonts w:hint="eastAsia" w:ascii="宋体" w:hAnsi="宋体" w:eastAsia="宋体" w:cs="宋体"/>
          <w:b/>
          <w:color w:val="auto"/>
          <w:sz w:val="24"/>
          <w:highlight w:val="none"/>
        </w:rPr>
        <w:t xml:space="preserve">分）</w:t>
      </w:r>
      <w:r/>
    </w:p>
    <w:p>
      <w:pPr>
        <w:ind w:firstLine="480"/>
        <w:keepLines w:val="0"/>
        <w:keepNext w:val="0"/>
        <w:pageBreakBefore w:val="0"/>
        <w:spacing w:after="0" w:line="460" w:lineRule="exact"/>
        <w:widowControl w:val="off"/>
        <w:rPr>
          <w:rFonts w:hint="eastAsia" w:ascii="宋体" w:hAnsi="宋体" w:eastAsia="宋体" w:cs="Times New Roman"/>
          <w:color w:val="auto"/>
          <w:sz w:val="24"/>
          <w:lang w:eastAsia="zh-CN"/>
        </w:rPr>
      </w:pPr>
      <w:r>
        <w:rPr>
          <w:rFonts w:hint="eastAsia" w:ascii="宋体" w:hAnsi="宋体" w:cs="Times New Roman"/>
          <w:color w:val="auto"/>
          <w:sz w:val="24"/>
          <w:highlight w:val="none"/>
        </w:rPr>
        <w:t xml:space="preserve">投标人根据以下要求通过录制视频方式进行展示演示，评审专家根据演示效果</w:t>
      </w:r>
      <w:r>
        <w:rPr>
          <w:rFonts w:hint="eastAsia" w:ascii="宋体" w:hAnsi="宋体" w:eastAsia="宋体" w:cs="Times New Roman"/>
          <w:color w:val="auto"/>
          <w:sz w:val="24"/>
          <w:highlight w:val="none"/>
          <w:lang w:val="en-US" w:eastAsia="zh-CN"/>
        </w:rPr>
        <w:t xml:space="preserve">和功能点</w:t>
      </w:r>
      <w:r>
        <w:rPr>
          <w:rFonts w:hint="eastAsia" w:ascii="宋体" w:hAnsi="宋体" w:cs="Times New Roman"/>
          <w:color w:val="auto"/>
          <w:sz w:val="24"/>
          <w:highlight w:val="none"/>
        </w:rPr>
        <w:t xml:space="preserve">进行打分，本项最高得</w:t>
      </w:r>
      <w:r>
        <w:rPr>
          <w:rFonts w:hint="eastAsia" w:ascii="宋体" w:hAnsi="宋体" w:eastAsia="宋体" w:cs="Times New Roman"/>
          <w:color w:val="auto"/>
          <w:sz w:val="24"/>
          <w:highlight w:val="none"/>
          <w:lang w:val="en-US" w:eastAsia="zh-CN"/>
        </w:rPr>
        <w:t xml:space="preserve">8</w:t>
      </w:r>
      <w:r>
        <w:rPr>
          <w:rFonts w:hint="eastAsia" w:ascii="宋体" w:hAnsi="宋体" w:cs="Times New Roman"/>
          <w:color w:val="auto"/>
          <w:sz w:val="24"/>
          <w:highlight w:val="none"/>
        </w:rPr>
        <w:t xml:space="preserve">分，</w:t>
      </w:r>
      <w:r>
        <w:rPr>
          <w:rFonts w:hint="eastAsia" w:ascii="宋体" w:hAnsi="宋体" w:cs="Times New Roman"/>
          <w:color w:val="auto"/>
          <w:sz w:val="24"/>
        </w:rPr>
        <w:t xml:space="preserve">演示视频时长总计不超过15分钟。</w:t>
      </w:r>
      <w:r>
        <w:rPr>
          <w:rFonts w:hint="eastAsia" w:ascii="宋体" w:hAnsi="宋体" w:eastAsia="宋体" w:cs="Times New Roman"/>
          <w:color w:val="auto"/>
          <w:sz w:val="24"/>
          <w:lang w:eastAsia="zh-CN"/>
        </w:rPr>
        <w:t xml:space="preserve">（</w:t>
      </w:r>
      <w:r>
        <w:rPr>
          <w:rFonts w:hint="eastAsia" w:ascii="宋体" w:hAnsi="宋体" w:cs="Times New Roman"/>
          <w:color w:val="auto"/>
          <w:sz w:val="24"/>
        </w:rPr>
        <w:t xml:space="preserve">将视频文件压缩为zip文件上传，单个文件不得大于</w:t>
      </w:r>
      <w:r>
        <w:rPr>
          <w:rFonts w:hint="eastAsia" w:ascii="宋体" w:hAnsi="宋体" w:eastAsia="宋体" w:cs="Times New Roman"/>
          <w:color w:val="auto"/>
          <w:sz w:val="24"/>
          <w:lang w:val="en-US" w:eastAsia="zh-CN"/>
        </w:rPr>
        <w:t xml:space="preserve">10</w:t>
      </w:r>
      <w:r>
        <w:rPr>
          <w:rFonts w:hint="eastAsia" w:ascii="宋体" w:hAnsi="宋体" w:cs="Times New Roman"/>
          <w:color w:val="auto"/>
          <w:sz w:val="24"/>
        </w:rPr>
        <w:t xml:space="preserve">0M，总文件大小不得大于300M</w:t>
      </w:r>
      <w:r>
        <w:rPr>
          <w:rFonts w:hint="eastAsia" w:ascii="宋体" w:hAnsi="宋体" w:eastAsia="宋体" w:cs="Times New Roman"/>
          <w:color w:val="auto"/>
          <w:sz w:val="24"/>
          <w:lang w:eastAsia="zh-CN"/>
        </w:rPr>
        <w:t xml:space="preserve">）。</w:t>
      </w:r>
      <w:r/>
    </w:p>
    <w:p>
      <w:pPr>
        <w:ind w:firstLine="480"/>
        <w:keepLines w:val="0"/>
        <w:keepNext w:val="0"/>
        <w:pageBreakBefore w:val="0"/>
        <w:spacing w:after="0" w:line="460" w:lineRule="exact"/>
        <w:widowControl w:val="off"/>
        <w:rPr>
          <w:rFonts w:ascii="宋体" w:hAnsi="宋体" w:cs="Times New Roman"/>
          <w:color w:val="auto"/>
          <w:sz w:val="24"/>
        </w:rPr>
      </w:pPr>
      <w:r>
        <w:rPr>
          <w:rFonts w:hint="eastAsia" w:ascii="宋体" w:hAnsi="宋体" w:eastAsia="宋体" w:cs="Times New Roman"/>
          <w:color w:val="auto"/>
          <w:sz w:val="24"/>
          <w:lang w:val="en-US" w:eastAsia="zh-CN"/>
        </w:rPr>
        <w:t xml:space="preserve">1</w:t>
      </w:r>
      <w:r>
        <w:rPr>
          <w:rFonts w:hint="eastAsia" w:ascii="宋体" w:hAnsi="宋体" w:cs="Times New Roman"/>
          <w:color w:val="auto"/>
          <w:sz w:val="24"/>
        </w:rPr>
        <w:t xml:space="preserve">、录制的视频采用MP4格式（若视频为其他格式导致评审中不能正常播放的，责任自负）</w:t>
      </w:r>
      <w:r>
        <w:rPr>
          <w:rFonts w:hint="eastAsia" w:ascii="宋体" w:hAnsi="宋体" w:eastAsia="宋体" w:cs="Times New Roman"/>
          <w:color w:val="auto"/>
          <w:sz w:val="24"/>
          <w:lang w:eastAsia="zh-CN"/>
        </w:rPr>
        <w:t xml:space="preserve">。</w:t>
      </w:r>
      <w:r>
        <w:rPr>
          <w:rFonts w:hint="eastAsia" w:ascii="宋体" w:hAnsi="宋体" w:cs="Times New Roman"/>
          <w:color w:val="auto"/>
          <w:sz w:val="24"/>
        </w:rPr>
        <w:t xml:space="preserve">未提供演示或使用其他方式（如软件Demo、PPT 演示、图片原型或方案等）演示，此项不得分。</w:t>
      </w:r>
      <w:r/>
    </w:p>
    <w:p>
      <w:pPr>
        <w:ind w:firstLine="480"/>
        <w:keepLines w:val="0"/>
        <w:keepNext w:val="0"/>
        <w:pageBreakBefore w:val="0"/>
        <w:spacing w:after="0" w:line="460" w:lineRule="exact"/>
        <w:widowControl w:val="off"/>
        <w:rPr>
          <w:rFonts w:hint="eastAsia" w:ascii="宋体" w:hAnsi="宋体" w:cs="Times New Roman"/>
          <w:color w:val="auto"/>
          <w:sz w:val="24"/>
        </w:rPr>
      </w:pPr>
      <w:r>
        <w:rPr>
          <w:rFonts w:hint="eastAsia" w:ascii="宋体" w:hAnsi="宋体" w:eastAsia="宋体" w:cs="Times New Roman"/>
          <w:color w:val="auto"/>
          <w:sz w:val="24"/>
          <w:lang w:val="en-US" w:eastAsia="zh-CN"/>
        </w:rPr>
        <w:t xml:space="preserve">2</w:t>
      </w:r>
      <w:r>
        <w:rPr>
          <w:rFonts w:hint="eastAsia" w:ascii="宋体" w:hAnsi="宋体" w:cs="Times New Roman"/>
          <w:color w:val="auto"/>
          <w:sz w:val="24"/>
        </w:rPr>
        <w:t xml:space="preserve">、投标人每组视频录制时必须采用一镜到底的方式，不允许剪辑，否则不得分。</w:t>
      </w:r>
      <w:r/>
    </w:p>
    <w:p>
      <w:pPr>
        <w:ind w:firstLine="480"/>
        <w:keepLines w:val="0"/>
        <w:keepNext w:val="0"/>
        <w:pageBreakBefore w:val="0"/>
        <w:spacing w:after="0" w:line="460" w:lineRule="exact"/>
        <w:widowControl w:val="off"/>
        <w:rPr>
          <w:rFonts w:ascii="宋体" w:hAnsi="宋体" w:cs="Times New Roman"/>
          <w:b/>
          <w:bCs/>
          <w:color w:val="auto"/>
          <w:sz w:val="24"/>
          <w:highlight w:val="none"/>
        </w:rPr>
      </w:pPr>
      <w:r>
        <w:rPr>
          <w:rFonts w:hint="eastAsia" w:ascii="宋体" w:hAnsi="宋体" w:cs="Times New Roman"/>
          <w:b/>
          <w:bCs/>
          <w:color w:val="auto"/>
          <w:sz w:val="24"/>
        </w:rPr>
        <w:t xml:space="preserve">演示一：招标文件货物清单中“</w:t>
      </w:r>
      <w:r>
        <w:rPr>
          <w:rFonts w:hint="eastAsia" w:ascii="宋体" w:hAnsi="宋体" w:cs="Times New Roman"/>
          <w:b/>
          <w:bCs/>
          <w:color w:val="auto"/>
          <w:sz w:val="24"/>
          <w:highlight w:val="none"/>
        </w:rPr>
        <w:t xml:space="preserve">化学数字化仪器</w:t>
      </w:r>
      <w:r>
        <w:rPr>
          <w:rFonts w:hint="eastAsia" w:ascii="宋体" w:hAnsi="宋体" w:cs="Times New Roman"/>
          <w:b/>
          <w:bCs/>
          <w:color w:val="auto"/>
          <w:sz w:val="24"/>
        </w:rPr>
        <w:t xml:space="preserve">”——未知浓度溶液的浓度测量</w:t>
      </w:r>
      <w:r>
        <w:rPr>
          <w:rFonts w:hint="eastAsia" w:ascii="宋体" w:hAnsi="宋体" w:cs="Times New Roman"/>
          <w:b/>
          <w:bCs/>
          <w:color w:val="auto"/>
          <w:sz w:val="24"/>
          <w:highlight w:val="none"/>
        </w:rPr>
        <w:t xml:space="preserve">（</w:t>
      </w:r>
      <w:r>
        <w:rPr>
          <w:rFonts w:hint="eastAsia" w:ascii="宋体" w:hAnsi="宋体" w:cs="Times New Roman"/>
          <w:b/>
          <w:bCs/>
          <w:color w:val="auto"/>
          <w:sz w:val="24"/>
          <w:highlight w:val="none"/>
          <w:lang w:val="en-US" w:eastAsia="zh-CN"/>
        </w:rPr>
        <w:t xml:space="preserve">3</w:t>
      </w:r>
      <w:r>
        <w:rPr>
          <w:rFonts w:hint="eastAsia" w:ascii="宋体" w:hAnsi="宋体" w:cs="Times New Roman"/>
          <w:b/>
          <w:bCs/>
          <w:color w:val="auto"/>
          <w:sz w:val="24"/>
          <w:highlight w:val="none"/>
        </w:rPr>
        <w:t xml:space="preserve">分）</w:t>
      </w:r>
      <w:r/>
    </w:p>
    <w:p>
      <w:pPr>
        <w:ind w:firstLine="480"/>
        <w:keepLines w:val="0"/>
        <w:keepNext w:val="0"/>
        <w:pageBreakBefore w:val="0"/>
        <w:spacing w:after="0" w:line="460" w:lineRule="exact"/>
        <w:widowControl w:val="off"/>
        <w:rPr>
          <w:rFonts w:ascii="宋体" w:hAnsi="宋体" w:cs="Times New Roman"/>
          <w:color w:val="auto"/>
          <w:sz w:val="24"/>
        </w:rPr>
      </w:pPr>
      <w:r>
        <w:rPr>
          <w:rFonts w:hint="eastAsia" w:ascii="宋体" w:hAnsi="宋体" w:cs="Times New Roman"/>
          <w:color w:val="auto"/>
          <w:sz w:val="24"/>
        </w:rPr>
        <w:t xml:space="preserve">1.多通道并行液体吸光测试仪测量溶液的吸收波长，可输出8个波段(分别为405nm-425nm、435nm-455nm、470nm-490nm、505nm-525nm、545nm-565nm、580nm-600nm、620nm-640nm、670nm-690nm。)的测量数据</w:t>
      </w:r>
      <w:r>
        <w:rPr>
          <w:rFonts w:hint="eastAsia" w:ascii="宋体" w:hAnsi="宋体" w:cs="Times New Roman"/>
          <w:color w:val="auto"/>
          <w:sz w:val="24"/>
          <w:lang w:eastAsia="zh-CN"/>
        </w:rPr>
        <w:t xml:space="preserve">；</w:t>
      </w:r>
      <w:r>
        <w:rPr>
          <w:rFonts w:hint="eastAsia" w:ascii="宋体" w:hAnsi="宋体" w:cs="Times New Roman"/>
          <w:color w:val="auto"/>
          <w:sz w:val="24"/>
        </w:rPr>
        <w:t xml:space="preserve">无需外接采集器，移动端可无线搜索信号或者扫描二维码</w:t>
      </w:r>
      <w:r>
        <w:rPr>
          <w:rFonts w:hint="eastAsia" w:ascii="宋体" w:hAnsi="宋体" w:eastAsia="宋体" w:cs="Times New Roman"/>
          <w:b w:val="0"/>
          <w:bCs w:val="0"/>
          <w:color w:val="auto"/>
          <w:sz w:val="24"/>
          <w:highlight w:val="none"/>
          <w:lang w:eastAsia="zh-CN"/>
        </w:rPr>
        <w:t xml:space="preserve">等</w:t>
      </w:r>
      <w:r>
        <w:rPr>
          <w:rFonts w:hint="eastAsia" w:ascii="宋体" w:hAnsi="宋体" w:cs="Times New Roman"/>
          <w:color w:val="auto"/>
          <w:sz w:val="24"/>
        </w:rPr>
        <w:t xml:space="preserve">实现无线数据通讯</w:t>
      </w:r>
      <w:r>
        <w:rPr>
          <w:rFonts w:hint="eastAsia" w:ascii="宋体" w:hAnsi="宋体" w:cs="Times New Roman"/>
          <w:color w:val="auto"/>
          <w:sz w:val="24"/>
          <w:lang w:eastAsia="zh-CN"/>
        </w:rPr>
        <w:t xml:space="preserve">；</w:t>
      </w:r>
      <w:r>
        <w:rPr>
          <w:rFonts w:hint="eastAsia" w:ascii="宋体" w:hAnsi="宋体" w:cs="Times New Roman"/>
          <w:color w:val="auto"/>
          <w:sz w:val="24"/>
        </w:rPr>
        <w:t xml:space="preserve">也可通过数据通讯线直接连接计算机实现数据通讯</w:t>
      </w:r>
      <w:r>
        <w:rPr>
          <w:rFonts w:hint="eastAsia" w:ascii="宋体" w:hAnsi="宋体" w:cs="Times New Roman"/>
          <w:color w:val="auto"/>
          <w:sz w:val="24"/>
          <w:lang w:eastAsia="zh-CN"/>
        </w:rPr>
        <w:t xml:space="preserve">。</w:t>
      </w:r>
      <w:r>
        <w:rPr>
          <w:rFonts w:hint="eastAsia" w:ascii="宋体" w:hAnsi="宋体" w:cs="Times New Roman"/>
          <w:color w:val="auto"/>
          <w:sz w:val="24"/>
        </w:rPr>
        <w:t xml:space="preserve">视频演示实验结果满足以上要求得1分，演示实验结果不满足以上要求或不提供视频演示不得分。</w:t>
      </w:r>
      <w:r/>
    </w:p>
    <w:p>
      <w:pPr>
        <w:ind w:firstLine="480"/>
        <w:keepLines w:val="0"/>
        <w:keepNext w:val="0"/>
        <w:pageBreakBefore w:val="0"/>
        <w:spacing w:after="0" w:line="460" w:lineRule="exact"/>
        <w:widowControl w:val="off"/>
        <w:rPr>
          <w:rFonts w:ascii="宋体" w:hAnsi="宋体" w:cs="Times New Roman"/>
          <w:color w:val="000000" w:themeColor="text1"/>
          <w:sz w:val="24"/>
          <w14:textFill>
            <w14:solidFill>
              <w14:schemeClr w14:val="tx1"/>
            </w14:solidFill>
          </w14:textFill>
        </w:rPr>
      </w:pPr>
      <w:r>
        <w:rPr>
          <w:rFonts w:hint="eastAsia" w:ascii="宋体" w:hAnsi="宋体" w:cs="Times New Roman"/>
          <w:color w:val="000000" w:themeColor="text1"/>
          <w:sz w:val="24"/>
          <w14:textFill>
            <w14:solidFill>
              <w14:schemeClr w14:val="tx1"/>
            </w14:solidFill>
          </w14:textFill>
        </w:rPr>
        <w:t xml:space="preserve">2.主机含有4个比色皿卡槽，将装有不同浓度有色溶液的3个比色皿和装有待测液的1个比色皿，同时放入主机标有序号的4个比色皿卡槽中，关闭比色皿盖。视频演示实验结果满足以上要求得1分，演示实验结果不满足以上要求或不提供视频演示不得分。</w:t>
      </w:r>
      <w:r/>
    </w:p>
    <w:p>
      <w:pPr>
        <w:ind w:firstLine="480"/>
        <w:keepLines w:val="0"/>
        <w:keepNext w:val="0"/>
        <w:pageBreakBefore w:val="0"/>
        <w:spacing w:after="0" w:line="460" w:lineRule="exact"/>
        <w:widowControl w:val="off"/>
        <w:rPr>
          <w:rFonts w:ascii="宋体" w:hAnsi="宋体" w:cs="Times New Roman"/>
          <w:color w:val="auto"/>
          <w:sz w:val="24"/>
        </w:rPr>
      </w:pPr>
      <w:r>
        <w:rPr>
          <w:rFonts w:hint="eastAsia" w:ascii="宋体" w:hAnsi="宋体" w:cs="Times New Roman"/>
          <w:color w:val="auto"/>
          <w:sz w:val="24"/>
        </w:rPr>
        <w:t xml:space="preserve">3.内置传动装置，通过软件选择并自动切换比色皿(手动切换无效)、自动测量3个标准溶液的吸光度数据并能画出标准曲线，点击待测溶液浓度，软件自动将待测液的吸光度和浓度自动测量并记录到表格，完成未知浓度溶液的浓度测量</w:t>
      </w:r>
      <w:r>
        <w:rPr>
          <w:rFonts w:hint="eastAsia" w:ascii="宋体" w:hAnsi="宋体" w:cs="Times New Roman"/>
          <w:color w:val="auto"/>
          <w:sz w:val="24"/>
          <w:lang w:eastAsia="zh-CN"/>
        </w:rPr>
        <w:t xml:space="preserve">。</w:t>
      </w:r>
      <w:r>
        <w:rPr>
          <w:rFonts w:hint="eastAsia" w:ascii="宋体" w:hAnsi="宋体" w:cs="Times New Roman"/>
          <w:color w:val="auto"/>
          <w:sz w:val="24"/>
        </w:rPr>
        <w:t xml:space="preserve">视频演示实验结果满足以上要求得1分，演示实验结果不满足以上要求或不提供视频演示不得分。</w:t>
      </w:r>
      <w:r/>
    </w:p>
    <w:p>
      <w:pPr>
        <w:ind w:firstLine="480"/>
        <w:keepLines w:val="0"/>
        <w:keepNext w:val="0"/>
        <w:pageBreakBefore w:val="0"/>
        <w:spacing w:after="0" w:line="460" w:lineRule="exact"/>
        <w:widowControl w:val="off"/>
        <w:rPr>
          <w:rFonts w:ascii="宋体" w:hAnsi="宋体" w:cs="Times New Roman"/>
          <w:b/>
          <w:bCs/>
          <w:color w:val="auto"/>
          <w:sz w:val="24"/>
        </w:rPr>
      </w:pPr>
      <w:r>
        <w:rPr>
          <w:rFonts w:hint="eastAsia" w:ascii="宋体" w:hAnsi="宋体" w:cs="Times New Roman"/>
          <w:b/>
          <w:bCs/>
          <w:color w:val="auto"/>
          <w:sz w:val="24"/>
        </w:rPr>
        <w:t xml:space="preserve">演示二：招标文件货物清单中“量子仪器”——演示磁共振成像分析实验（</w:t>
      </w:r>
      <w:r>
        <w:rPr>
          <w:rFonts w:hint="eastAsia" w:ascii="宋体" w:hAnsi="宋体" w:cs="Times New Roman"/>
          <w:b/>
          <w:bCs/>
          <w:color w:val="auto"/>
          <w:sz w:val="24"/>
          <w:lang w:val="en-US" w:eastAsia="zh-CN"/>
        </w:rPr>
        <w:t xml:space="preserve">2</w:t>
      </w:r>
      <w:r>
        <w:rPr>
          <w:rFonts w:hint="eastAsia" w:ascii="宋体" w:hAnsi="宋体" w:cs="Times New Roman"/>
          <w:b/>
          <w:bCs/>
          <w:color w:val="auto"/>
          <w:sz w:val="24"/>
        </w:rPr>
        <w:t xml:space="preserve">分）</w:t>
      </w:r>
      <w:r/>
    </w:p>
    <w:p>
      <w:pPr>
        <w:ind w:firstLine="480"/>
        <w:keepLines w:val="0"/>
        <w:keepNext w:val="0"/>
        <w:pageBreakBefore w:val="0"/>
        <w:spacing w:after="0" w:line="460" w:lineRule="exact"/>
        <w:widowControl w:val="off"/>
        <w:rPr>
          <w:rFonts w:ascii="宋体" w:hAnsi="宋体" w:cs="Times New Roman"/>
          <w:color w:val="auto"/>
          <w:sz w:val="24"/>
        </w:rPr>
      </w:pPr>
      <w:r>
        <w:rPr>
          <w:rFonts w:hint="eastAsia" w:ascii="宋体" w:hAnsi="宋体" w:cs="Times New Roman"/>
          <w:color w:val="auto"/>
          <w:sz w:val="24"/>
        </w:rPr>
        <w:t xml:space="preserve">1.演示磁共振实验仪成像软件:支持一键仪器自动校正，校正内容依次包括:中心频率校正、匀场、软脉冲校正</w:t>
      </w:r>
      <w:r>
        <w:rPr>
          <w:rFonts w:hint="eastAsia" w:ascii="宋体" w:hAnsi="宋体" w:eastAsia="宋体" w:cs="Times New Roman"/>
          <w:color w:val="auto"/>
          <w:sz w:val="24"/>
          <w:lang w:eastAsia="zh-CN"/>
        </w:rPr>
        <w:t xml:space="preserve">；</w:t>
      </w:r>
      <w:r>
        <w:rPr>
          <w:rFonts w:hint="eastAsia" w:ascii="宋体" w:hAnsi="宋体" w:cs="Times New Roman"/>
          <w:color w:val="auto"/>
          <w:sz w:val="24"/>
        </w:rPr>
        <w:t xml:space="preserve">点击校正后，软件可显示校正耗时</w:t>
      </w:r>
      <w:r>
        <w:rPr>
          <w:rFonts w:hint="eastAsia" w:ascii="宋体" w:hAnsi="宋体" w:cs="Times New Roman"/>
          <w:color w:val="auto"/>
          <w:sz w:val="24"/>
          <w:lang w:eastAsia="zh-CN"/>
        </w:rPr>
        <w:t xml:space="preserve">。</w:t>
      </w:r>
      <w:r>
        <w:rPr>
          <w:rFonts w:hint="eastAsia" w:ascii="宋体" w:hAnsi="宋体" w:cs="Times New Roman"/>
          <w:color w:val="auto"/>
          <w:sz w:val="24"/>
        </w:rPr>
        <w:t xml:space="preserve">视频演示实验结果满足以上要求得1分，演示实验结果不满足以上要求或不提供视频演示不得分。</w:t>
      </w:r>
      <w:r/>
    </w:p>
    <w:p>
      <w:pPr>
        <w:ind w:firstLine="480"/>
        <w:keepLines w:val="0"/>
        <w:keepNext w:val="0"/>
        <w:pageBreakBefore w:val="0"/>
        <w:spacing w:after="0" w:line="460" w:lineRule="exact"/>
        <w:widowControl w:val="off"/>
        <w:rPr>
          <w:rFonts w:ascii="宋体" w:hAnsi="宋体" w:cs="Times New Roman"/>
          <w:color w:val="auto"/>
          <w:sz w:val="24"/>
        </w:rPr>
      </w:pPr>
      <w:r>
        <w:rPr>
          <w:rFonts w:hint="eastAsia" w:ascii="宋体" w:hAnsi="宋体" w:cs="Times New Roman"/>
          <w:color w:val="auto"/>
          <w:sz w:val="24"/>
        </w:rPr>
        <w:t xml:space="preserve">2.演示磁共振实验仪分析软件:软件具备弛豫信号反演功能，点击“反演”后进入反演界面，反演完成后可显示横向弛豫时间(T2)谱图。视频演示实验结果满足以上要求得1分，演示实验结果不满足以上要求或不提供视频演示不得分。</w:t>
      </w:r>
      <w:r/>
    </w:p>
    <w:p>
      <w:pPr>
        <w:ind w:firstLine="480"/>
        <w:keepLines w:val="0"/>
        <w:keepNext w:val="0"/>
        <w:pageBreakBefore w:val="0"/>
        <w:spacing w:after="0" w:line="460" w:lineRule="exact"/>
        <w:widowControl w:val="off"/>
        <w:rPr>
          <w:rFonts w:ascii="宋体" w:hAnsi="宋体" w:cs="Times New Roman"/>
          <w:b/>
          <w:bCs/>
          <w:color w:val="auto"/>
          <w:sz w:val="24"/>
        </w:rPr>
      </w:pPr>
      <w:r>
        <w:rPr>
          <w:rFonts w:hint="eastAsia" w:ascii="宋体" w:hAnsi="宋体" w:cs="Times New Roman"/>
          <w:b/>
          <w:bCs/>
          <w:color w:val="auto"/>
          <w:sz w:val="24"/>
        </w:rPr>
        <w:t xml:space="preserve">演示三：招标文件货物清单中“生物组培仪器”--演示植物组织培养实验中的无菌接种操作与培养环节（</w:t>
      </w:r>
      <w:r>
        <w:rPr>
          <w:rFonts w:hint="eastAsia" w:ascii="宋体" w:hAnsi="宋体" w:cs="Times New Roman"/>
          <w:b/>
          <w:bCs/>
          <w:color w:val="auto"/>
          <w:sz w:val="24"/>
          <w:lang w:val="en-US" w:eastAsia="zh-CN"/>
        </w:rPr>
        <w:t xml:space="preserve">3</w:t>
      </w:r>
      <w:r>
        <w:rPr>
          <w:rFonts w:hint="eastAsia" w:ascii="宋体" w:hAnsi="宋体" w:cs="Times New Roman"/>
          <w:b/>
          <w:bCs/>
          <w:color w:val="auto"/>
          <w:sz w:val="24"/>
        </w:rPr>
        <w:t xml:space="preserve">分）</w:t>
      </w:r>
      <w:r/>
    </w:p>
    <w:p>
      <w:pPr>
        <w:ind w:firstLine="480"/>
        <w:keepLines w:val="0"/>
        <w:keepNext w:val="0"/>
        <w:pageBreakBefore w:val="0"/>
        <w:spacing w:after="0" w:line="460" w:lineRule="exact"/>
        <w:widowControl w:val="off"/>
        <w:rPr>
          <w:rFonts w:ascii="宋体" w:hAnsi="宋体" w:cs="Times New Roman"/>
          <w:color w:val="auto"/>
          <w:sz w:val="24"/>
        </w:rPr>
      </w:pPr>
      <w:r>
        <w:rPr>
          <w:rFonts w:hint="eastAsia" w:ascii="宋体" w:hAnsi="宋体" w:cs="Times New Roman"/>
          <w:color w:val="auto"/>
          <w:sz w:val="24"/>
        </w:rPr>
        <w:t xml:space="preserve">1.演示可在远程控制端模块中查看已开通远程智能物联网管理的实验室和专用教室中的智能化设备数量与工作状态，工作状态包括电源开关状态、插座通断状态、照明开关状态，视频演示实验结果满足以上要求得1分，演示实验结果不满足以上要求或不提供视频演示不得分。</w:t>
      </w:r>
      <w:r/>
    </w:p>
    <w:p>
      <w:pPr>
        <w:ind w:firstLine="480"/>
        <w:keepLines w:val="0"/>
        <w:keepNext w:val="0"/>
        <w:pageBreakBefore w:val="0"/>
        <w:spacing w:after="0" w:line="460" w:lineRule="exact"/>
        <w:widowControl w:val="off"/>
        <w:rPr>
          <w:rFonts w:ascii="宋体" w:hAnsi="宋体" w:cs="Times New Roman"/>
          <w:color w:val="auto"/>
          <w:sz w:val="24"/>
        </w:rPr>
      </w:pPr>
      <w:r>
        <w:rPr>
          <w:rFonts w:hint="eastAsia" w:ascii="宋体" w:hAnsi="宋体" w:cs="Times New Roman"/>
          <w:color w:val="auto"/>
          <w:sz w:val="24"/>
        </w:rPr>
        <w:t xml:space="preserve">2.演示可在远程控制端信息显示界面直接对智能双人超净工作台进行灭菌预约计时、照明灯开关、风速调整操作，设备同步完成响应操作，视频演示实验结果满足以上要求得1分，演示实验结果不满足以上要求或不提供视频演示不得分。</w:t>
      </w:r>
      <w:r/>
    </w:p>
    <w:p>
      <w:pPr>
        <w:pStyle w:val="805"/>
        <w:numPr>
          <w:ilvl w:val="0"/>
          <w:numId w:val="0"/>
        </w:numPr>
        <w:ind w:left="0" w:firstLine="420"/>
        <w:keepLines w:val="0"/>
        <w:keepNext w:val="0"/>
        <w:pageBreakBefore w:val="0"/>
        <w:spacing w:line="460" w:lineRule="exact"/>
        <w:widowControl w:val="off"/>
        <w:rPr>
          <w:rFonts w:hint="eastAsia" w:ascii="宋体" w:hAnsi="宋体" w:eastAsia="华文中宋" w:cs="Times New Roman"/>
          <w:color w:val="auto"/>
          <w:sz w:val="24"/>
          <w:lang w:val="en-US" w:eastAsia="zh-CN"/>
        </w:rPr>
      </w:pPr>
      <w:r>
        <w:rPr>
          <w:rFonts w:hint="eastAsia" w:ascii="宋体" w:hAnsi="宋体" w:cs="Times New Roman"/>
          <w:color w:val="auto"/>
          <w:sz w:val="24"/>
        </w:rPr>
        <w:t xml:space="preserve">3.演示可在远程控制端直接操作光照强度调控、温度调控、时间周期设置，视频演示实验结果满足以上要求得1分，演示实验结果不满足以上要求或不提供视频演示不得分。</w:t>
      </w:r>
      <w:r/>
    </w:p>
    <w:p>
      <w:pPr>
        <w:pStyle w:val="805"/>
        <w:numPr>
          <w:ilvl w:val="0"/>
          <w:numId w:val="0"/>
        </w:numPr>
        <w:ind w:left="0" w:firstLine="422"/>
        <w:keepLines w:val="0"/>
        <w:keepNext w:val="0"/>
        <w:pageBreakBefore w:val="0"/>
        <w:spacing w:line="460" w:lineRule="exact"/>
        <w:widowControl w:val="off"/>
        <w:rPr>
          <w:color w:val="000000" w:themeColor="text1"/>
          <w:sz w:val="24"/>
          <w:szCs w:val="24"/>
          <w:highlight w:val="none"/>
          <w14:textFill>
            <w14:solidFill>
              <w14:schemeClr w14:val="tx1"/>
            </w14:solidFill>
          </w14:textFill>
        </w:rPr>
      </w:pPr>
      <w:r>
        <w:rPr>
          <w:rFonts w:hint="default" w:ascii="华文中宋" w:hAnsi="Times New Roman" w:eastAsia="华文中宋" w:cs="Times New Roman"/>
          <w:b/>
          <w:bCs w:val="0"/>
          <w:color w:val="000000" w:themeColor="text1"/>
          <w:sz w:val="24"/>
          <w:szCs w:val="24"/>
          <w:lang w:val="en-US" w:eastAsia="zh-CN" w:bidi="ar-SA"/>
          <w14:textFill>
            <w14:solidFill>
              <w14:schemeClr w14:val="tx1"/>
            </w14:solidFill>
          </w14:textFill>
        </w:rPr>
        <w:t xml:space="preserve">（</w:t>
      </w:r>
      <w:r>
        <w:rPr>
          <w:rFonts w:hint="eastAsia" w:cs="Times New Roman"/>
          <w:b/>
          <w:bCs w:val="0"/>
          <w:color w:val="000000" w:themeColor="text1"/>
          <w:sz w:val="24"/>
          <w:szCs w:val="24"/>
          <w:lang w:val="en-US" w:eastAsia="zh-CN" w:bidi="ar-SA"/>
          <w14:textFill>
            <w14:solidFill>
              <w14:schemeClr w14:val="tx1"/>
            </w14:solidFill>
          </w14:textFill>
        </w:rPr>
        <w:t xml:space="preserve">5</w:t>
      </w:r>
      <w:r>
        <w:rPr>
          <w:rFonts w:hint="default" w:ascii="华文中宋" w:hAnsi="Times New Roman" w:eastAsia="华文中宋" w:cs="Times New Roman"/>
          <w:b/>
          <w:bCs w:val="0"/>
          <w:color w:val="000000" w:themeColor="text1"/>
          <w:sz w:val="24"/>
          <w:szCs w:val="24"/>
          <w:lang w:val="en-US" w:eastAsia="zh-CN" w:bidi="ar-SA"/>
          <w14:textFill>
            <w14:solidFill>
              <w14:schemeClr w14:val="tx1"/>
            </w14:solidFill>
          </w14:textFill>
        </w:rPr>
        <w:t xml:space="preserve">）</w:t>
      </w:r>
      <w:r>
        <w:rPr>
          <w:rFonts w:hint="eastAsia" w:ascii="宋体" w:hAnsi="宋体" w:eastAsia="宋体" w:cs="宋体"/>
          <w:b/>
          <w:color w:val="000000" w:themeColor="text1"/>
          <w:sz w:val="24"/>
          <w:highlight w:val="none"/>
          <w:lang w:val="en-US" w:eastAsia="zh-CN"/>
          <w14:textFill>
            <w14:solidFill>
              <w14:schemeClr w14:val="tx1"/>
            </w14:solidFill>
          </w14:textFill>
        </w:rPr>
        <w:t xml:space="preserve">政策性因素</w:t>
      </w:r>
      <w:r>
        <w:rPr>
          <w:rFonts w:hint="eastAsia" w:ascii="宋体" w:hAnsi="宋体" w:eastAsia="宋体" w:cs="宋体"/>
          <w:b/>
          <w:color w:val="000000" w:themeColor="text1"/>
          <w:sz w:val="24"/>
          <w:highlight w:val="none"/>
          <w14:textFill>
            <w14:solidFill>
              <w14:schemeClr w14:val="tx1"/>
            </w14:solidFill>
          </w14:textFill>
        </w:rPr>
        <w:t xml:space="preserve">（</w:t>
      </w:r>
      <w:r>
        <w:rPr>
          <w:rFonts w:hint="eastAsia" w:ascii="宋体" w:hAnsi="宋体" w:eastAsia="宋体" w:cs="宋体"/>
          <w:b/>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b/>
          <w:color w:val="000000" w:themeColor="text1"/>
          <w:sz w:val="24"/>
          <w:highlight w:val="none"/>
          <w14:textFill>
            <w14:solidFill>
              <w14:schemeClr w14:val="tx1"/>
            </w14:solidFill>
          </w14:textFill>
        </w:rPr>
        <w:t xml:space="preserve">分）</w:t>
      </w:r>
      <w:r>
        <w:rPr>
          <w:color w:val="000000" w:themeColor="text1"/>
          <w:sz w:val="24"/>
          <w:szCs w:val="24"/>
          <w:highlight w:val="none"/>
          <w14:textFill>
            <w14:solidFill>
              <w14:schemeClr w14:val="tx1"/>
            </w14:solidFill>
          </w14:textFill>
        </w:rPr>
        <w:t xml:space="preserve">  </w:t>
      </w:r>
      <w:r/>
    </w:p>
    <w:p>
      <w:pPr>
        <w:ind w:firstLine="480"/>
        <w:jc w:val="left"/>
        <w:keepLines w:val="0"/>
        <w:keepNext w:val="0"/>
        <w:pageBreakBefore w:val="0"/>
        <w:spacing w:line="460" w:lineRule="exact"/>
        <w:widowControl w:val="off"/>
        <w:rPr>
          <w:rFonts w:hAnsi="Times New Roman"/>
          <w:color w:val="000000" w:themeColor="text1"/>
          <w:sz w:val="24"/>
          <w:szCs w:val="24"/>
          <w:highlight w:val="none"/>
          <w14:textFill>
            <w14:solidFill>
              <w14:schemeClr w14:val="tx1"/>
            </w14:solidFill>
          </w14:textFill>
        </w:rPr>
        <w:outlineLvl w:val="9"/>
      </w:pPr>
      <w:r>
        <w:rPr>
          <w:rFonts w:hint="eastAsia" w:hAnsi="Times New Roman"/>
          <w:color w:val="000000" w:themeColor="text1"/>
          <w:sz w:val="24"/>
          <w:szCs w:val="24"/>
          <w:highlight w:val="none"/>
          <w14:textFill>
            <w14:solidFill>
              <w14:schemeClr w14:val="tx1"/>
            </w14:solidFill>
          </w14:textFill>
        </w:rPr>
        <w:t xml:space="preserve">所选用设备、材料属于节能产品、环境标志产品品目清单范围的，提供由国家确定的认证机构（根据《市场监管总局关于发布参与实施政府采购节能产品、环境标志产品认证机构名录的公告》（2019年第16号）中确认的《参与实施政府采购节能产品认证机构名录》《参与实施政府采购</w:t>
      </w:r>
      <w:r>
        <w:rPr>
          <w:rFonts w:hint="eastAsia" w:ascii="宋体" w:hAnsi="宋体" w:eastAsia="宋体" w:cs="宋体"/>
          <w:color w:val="000000" w:themeColor="text1"/>
          <w:sz w:val="24"/>
          <w:szCs w:val="24"/>
          <w:highlight w:val="none"/>
          <w14:textFill>
            <w14:solidFill>
              <w14:schemeClr w14:val="tx1"/>
            </w14:solidFill>
          </w14:textFill>
        </w:rPr>
        <w:t xml:space="preserve">环境标志产品认证机构名录》）出具的、处于有效期之内的节能产品、环境标志产品认证证书的，落实政府优先采购政策，有1项，予以加1分，最多加2分。（节能产品、环</w:t>
      </w:r>
      <w:r>
        <w:rPr>
          <w:rFonts w:hint="eastAsia" w:hAnsi="Times New Roman"/>
          <w:color w:val="000000" w:themeColor="text1"/>
          <w:sz w:val="24"/>
          <w:szCs w:val="24"/>
          <w:highlight w:val="none"/>
          <w14:textFill>
            <w14:solidFill>
              <w14:schemeClr w14:val="tx1"/>
            </w14:solidFill>
          </w14:textFill>
        </w:rPr>
        <w:t xml:space="preserve">境标志产品认证证书为同一产品的，不重复加分；投标时提供证书扫描件传至投标文件中，否则不得分）。</w:t>
      </w:r>
      <w:r/>
    </w:p>
    <w:p>
      <w:pPr>
        <w:ind w:left="0" w:firstLine="420"/>
        <w:keepLines w:val="0"/>
        <w:keepNext w:val="0"/>
        <w:pageBreakBefore w:val="0"/>
        <w:spacing w:line="460" w:lineRule="exact"/>
        <w:widowControl w:val="off"/>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（6）</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技术方案（暗标）</w:t>
      </w:r>
      <w:r>
        <w:rPr>
          <w:rFonts w:hint="eastAsia" w:ascii="宋体" w:hAnsi="宋体" w:eastAsia="宋体" w:cs="宋体"/>
          <w:b/>
          <w:bCs/>
          <w:color w:val="000000" w:themeColor="text1"/>
          <w:sz w:val="24"/>
          <w:szCs w:val="24"/>
          <w:highlight w:val="none"/>
          <w14:textFill>
            <w14:solidFill>
              <w14:schemeClr w14:val="tx1"/>
            </w14:solidFill>
          </w14:textFill>
        </w:rPr>
        <w:t xml:space="preserve">（3</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
          <w:bCs/>
          <w:color w:val="000000" w:themeColor="text1"/>
          <w:sz w:val="24"/>
          <w:szCs w:val="24"/>
          <w:highlight w:val="none"/>
          <w14:textFill>
            <w14:solidFill>
              <w14:schemeClr w14:val="tx1"/>
            </w14:solidFill>
          </w14:textFill>
        </w:rPr>
        <w:t xml:space="preserve">分）</w:t>
      </w:r>
      <w:r/>
    </w:p>
    <w:p>
      <w:pPr>
        <w:ind w:firstLine="480"/>
        <w:keepLines w:val="0"/>
        <w:keepNext w:val="0"/>
        <w:pageBreakBefore w:val="0"/>
        <w:spacing w:line="46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注:技术文件部分属于暗标，投标人在制作技术部分相关内容时不得有体现投标人身份的内容，否则投标无效。</w:t>
      </w:r>
      <w:r/>
    </w:p>
    <w:p>
      <w:pPr>
        <w:ind w:firstLine="480"/>
        <w:keepLines w:val="0"/>
        <w:keepNext w:val="0"/>
        <w:pageBreakBefore w:val="0"/>
        <w:spacing w:line="46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1）深化设计方案（包含但不限于平面布局图、水电通风图、效果图等，须满足安装施工要求，图纸要符合项目落地）（16分）</w:t>
      </w:r>
      <w:r/>
    </w:p>
    <w:p>
      <w:pPr>
        <w:ind w:firstLine="480"/>
        <w:keepLines w:val="0"/>
        <w:keepNext w:val="0"/>
        <w:pageBreakBefore w:val="0"/>
        <w:spacing w:line="46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投标人依据招标文件提供的图纸及采购清单（详见附件二、深化设计内容），对①化学通风实验室；②生物显微镜观察室；③创客中心；④生态标本馆四项内容分别进行针对性深化设计</w:t>
      </w:r>
      <w:r/>
    </w:p>
    <w:p>
      <w:pPr>
        <w:ind w:firstLine="480"/>
        <w:keepLines w:val="0"/>
        <w:keepNext w:val="0"/>
        <w:pageBreakBefore w:val="0"/>
        <w:spacing w:line="46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（1）每有一项内容详实、图纸齐全、需求贴合度高且动线合理的该条得4分；</w:t>
      </w:r>
      <w:r/>
    </w:p>
    <w:p>
      <w:pPr>
        <w:ind w:firstLine="480"/>
        <w:keepLines w:val="0"/>
        <w:keepNext w:val="0"/>
        <w:pageBreakBefore w:val="0"/>
        <w:spacing w:line="46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（2）每有一项内容较为简单、可行、细节有待完善的该条得2分；</w:t>
      </w:r>
      <w:r/>
    </w:p>
    <w:p>
      <w:pPr>
        <w:ind w:firstLine="480"/>
        <w:keepLines w:val="0"/>
        <w:keepNext w:val="0"/>
        <w:pageBreakBefore w:val="0"/>
        <w:spacing w:line="46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（3）每有一项内容粗糙、基本满足采购需求的该条得1分；</w:t>
      </w:r>
      <w:r/>
    </w:p>
    <w:p>
      <w:pPr>
        <w:ind w:firstLine="480"/>
        <w:keepLines w:val="0"/>
        <w:keepNext w:val="0"/>
        <w:pageBreakBefore w:val="0"/>
        <w:spacing w:line="46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（4）每有一项内容未提供或提供不符合要求的不得分。</w:t>
      </w:r>
      <w:r/>
    </w:p>
    <w:p>
      <w:pPr>
        <w:ind w:firstLine="480"/>
        <w:keepLines w:val="0"/>
        <w:keepNext w:val="0"/>
        <w:pageBreakBefore w:val="0"/>
        <w:spacing w:line="46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2）项目实施方案及措施（</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b/>
          <w:bCs/>
          <w:color w:val="000000" w:themeColor="text1"/>
          <w:sz w:val="24"/>
          <w:szCs w:val="24"/>
          <w:highlight w:val="none"/>
          <w14:textFill>
            <w14:solidFill>
              <w14:schemeClr w14:val="tx1"/>
            </w14:solidFill>
          </w14:textFill>
        </w:rPr>
        <w:t xml:space="preserve">分）</w:t>
      </w:r>
      <w:r/>
    </w:p>
    <w:p>
      <w:pPr>
        <w:ind w:firstLine="480"/>
        <w:keepLines w:val="0"/>
        <w:keepNext w:val="0"/>
        <w:pageBreakBefore w:val="0"/>
        <w:spacing w:line="46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1、投标人需对①生产供货计划及到货验收；②安装进度计划及安装环境检查；③质量保障及应急保障；④项目组织架构及人员安排等四项内容分别进行阐述。</w:t>
      </w:r>
      <w:r/>
    </w:p>
    <w:p>
      <w:pPr>
        <w:ind w:firstLine="480"/>
        <w:keepLines w:val="0"/>
        <w:keepNext w:val="0"/>
        <w:pageBreakBefore w:val="0"/>
        <w:spacing w:line="46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（1）每有一项内容完整，科学合理，设计清晰详细，完全符合本项目需求的，得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480"/>
        <w:keepLines w:val="0"/>
        <w:keepNext w:val="0"/>
        <w:pageBreakBefore w:val="0"/>
        <w:spacing w:line="46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（2）每有一项内容完整性一般，科学合理性一般，设计清晰详细程度一般，能够符合本项目需求的，得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480"/>
        <w:keepLines w:val="0"/>
        <w:keepNext w:val="0"/>
        <w:pageBreakBefore w:val="0"/>
        <w:spacing w:line="46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（3）每有一项内容完整性、科学合理性、设计的清晰详细程度等只能基本满足要求的，得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480"/>
        <w:keepLines w:val="0"/>
        <w:keepNext w:val="0"/>
        <w:pageBreakBefore w:val="0"/>
        <w:spacing w:line="46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（4）每有一项内容未进行阐述或者内容空泛、不具操作性的，得 0分。</w:t>
      </w:r>
      <w:r/>
    </w:p>
    <w:p>
      <w:pPr>
        <w:ind w:firstLine="480"/>
        <w:keepLines w:val="0"/>
        <w:keepNext w:val="0"/>
        <w:pageBreakBefore w:val="0"/>
        <w:spacing w:line="46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3）项目售后服务及培训方案（</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
          <w:bCs/>
          <w:color w:val="000000" w:themeColor="text1"/>
          <w:sz w:val="24"/>
          <w:szCs w:val="24"/>
          <w:highlight w:val="none"/>
          <w14:textFill>
            <w14:solidFill>
              <w14:schemeClr w14:val="tx1"/>
            </w14:solidFill>
          </w14:textFill>
        </w:rPr>
        <w:t xml:space="preserve">分）</w:t>
      </w:r>
      <w:r/>
    </w:p>
    <w:p>
      <w:pPr>
        <w:ind w:firstLine="480"/>
        <w:keepLines w:val="0"/>
        <w:keepNext w:val="0"/>
        <w:pageBreakBefore w:val="0"/>
        <w:spacing w:line="46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1.售后服务方案（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480"/>
        <w:keepLines w:val="0"/>
        <w:keepNext w:val="0"/>
        <w:pageBreakBefore w:val="0"/>
        <w:spacing w:line="46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投标人针对售后服务内容①响应时间</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②故障处理流程等</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两项内容分别</w:t>
      </w:r>
      <w:r>
        <w:rPr>
          <w:rFonts w:hint="eastAsia" w:ascii="宋体" w:hAnsi="宋体" w:eastAsia="宋体" w:cs="宋体"/>
          <w:color w:val="000000" w:themeColor="text1"/>
          <w:sz w:val="24"/>
          <w:szCs w:val="24"/>
          <w:highlight w:val="none"/>
          <w14:textFill>
            <w14:solidFill>
              <w14:schemeClr w14:val="tx1"/>
            </w14:solidFill>
          </w14:textFill>
        </w:rPr>
        <w:t xml:space="preserve">进行阐述。</w:t>
      </w:r>
      <w:r/>
    </w:p>
    <w:p>
      <w:pPr>
        <w:ind w:firstLine="480"/>
        <w:keepLines w:val="0"/>
        <w:keepNext w:val="0"/>
        <w:pageBreakBefore w:val="0"/>
        <w:spacing w:line="46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（1）每有一项内容全面、详细、切实可行，承诺优于招标文件基本要求的，得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480"/>
        <w:keepLines w:val="0"/>
        <w:keepNext w:val="0"/>
        <w:pageBreakBefore w:val="0"/>
        <w:spacing w:line="46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（2）每有一项内容基本完整、可行，能满足招标文件要求的，得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480"/>
        <w:keepLines w:val="0"/>
        <w:keepNext w:val="0"/>
        <w:pageBreakBefore w:val="0"/>
        <w:spacing w:line="46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（3）每有一项内容空泛、不具操作性或未进行阐述的，得 0分。</w:t>
      </w:r>
      <w:r/>
    </w:p>
    <w:p>
      <w:pPr>
        <w:ind w:firstLine="480"/>
        <w:keepLines w:val="0"/>
        <w:keepNext w:val="0"/>
        <w:pageBreakBefore w:val="0"/>
        <w:spacing w:line="46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2.培训方</w:t>
      </w:r>
      <w:r>
        <w:rPr>
          <w:rFonts w:hint="eastAsia" w:ascii="宋体" w:hAnsi="宋体" w:eastAsia="宋体" w:cs="宋体"/>
          <w:color w:val="auto"/>
          <w:sz w:val="24"/>
          <w:szCs w:val="24"/>
          <w:highlight w:val="none"/>
        </w:rPr>
        <w:t xml:space="preserve">案（</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line="46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投标人针对培训内容（如培训对象、课程、时长等）进行阐述。</w:t>
      </w:r>
      <w:r/>
    </w:p>
    <w:p>
      <w:pPr>
        <w:ind w:firstLine="480"/>
        <w:keepLines w:val="0"/>
        <w:keepNext w:val="0"/>
        <w:pageBreakBefore w:val="0"/>
        <w:spacing w:line="46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（1）方案内容全面、详细、针对性强，能确保用户有效掌握设备使用的，得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480"/>
        <w:keepLines w:val="0"/>
        <w:keepNext w:val="0"/>
        <w:pageBreakBefore w:val="0"/>
        <w:spacing w:line="46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（2）方案内容基本完整</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、具</w:t>
      </w:r>
      <w:r>
        <w:rPr>
          <w:rFonts w:hint="eastAsia" w:ascii="宋体" w:hAnsi="宋体" w:eastAsia="宋体" w:cs="宋体"/>
          <w:color w:val="000000" w:themeColor="text1"/>
          <w:sz w:val="24"/>
          <w:szCs w:val="24"/>
          <w:highlight w:val="none"/>
          <w14:textFill>
            <w14:solidFill>
              <w14:schemeClr w14:val="tx1"/>
            </w14:solidFill>
          </w14:textFill>
        </w:rPr>
        <w:t xml:space="preserve">有一定针对性，能满足基本培训需求的，得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480"/>
        <w:keepLines w:val="0"/>
        <w:keepNext w:val="0"/>
        <w:pageBreakBefore w:val="0"/>
        <w:spacing w:line="46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（3）方案内容空泛、不具体或未进行阐述的，得 0分。</w:t>
      </w:r>
      <w:r/>
    </w:p>
    <w:p>
      <w:pPr>
        <w:ind w:firstLine="480"/>
        <w:keepLines w:val="0"/>
        <w:keepNext w:val="0"/>
        <w:pageBreakBefore w:val="0"/>
        <w:spacing w:line="46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未列入本评分细则的其他条件不作为评分内容。</w:t>
      </w:r>
      <w:r/>
    </w:p>
    <w:p>
      <w:pPr>
        <w:ind w:firstLine="480"/>
        <w:keepLines w:val="0"/>
        <w:keepNext w:val="0"/>
        <w:pageBreakBefore w:val="0"/>
        <w:spacing w:line="460" w:lineRule="exact"/>
        <w:widowControl w:val="off"/>
        <w:rPr>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除技术文件编制粗糙、缺漏项较多或页数明显偏少的外，评委一般按照上述评分要求及项目实施方案实际内容酌情评分。技术方案评分取所有暗标专家的评分的平均值。</w:t>
      </w:r>
      <w:r/>
    </w:p>
    <w:p>
      <w:pPr>
        <w:ind w:firstLine="480"/>
        <w:keepLines w:val="0"/>
        <w:keepNext w:val="0"/>
        <w:pageBreakBefore w:val="0"/>
        <w:spacing w:line="46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除招标文件“26.无效投标条款和废标条款”中涉及本项评分的情况外评委在5人及5人以上的，取所有成员的平均值。评委一般按照上述评分要求及投标文件实际内容酌情评分。评分办法及评分细则的解释权</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属于</w:t>
      </w:r>
      <w:r>
        <w:rPr>
          <w:rFonts w:hint="eastAsia" w:ascii="宋体" w:hAnsi="宋体" w:eastAsia="宋体" w:cs="宋体"/>
          <w:color w:val="000000" w:themeColor="text1"/>
          <w:sz w:val="24"/>
          <w:szCs w:val="24"/>
          <w:highlight w:val="none"/>
          <w14:textFill>
            <w14:solidFill>
              <w14:schemeClr w14:val="tx1"/>
            </w14:solidFill>
          </w14:textFill>
        </w:rPr>
        <w:t xml:space="preserve">采购人。未列入本评分细则的其他条件不作为评分内容。</w:t>
      </w:r>
      <w:r/>
    </w:p>
    <w:p>
      <w:pPr>
        <w:rPr>
          <w:rFonts w:ascii="宋体" w:hAnsi="宋体" w:eastAsia="宋体" w:cs="宋体"/>
          <w:bCs/>
          <w:color w:val="auto"/>
          <w:sz w:val="36"/>
          <w:szCs w:val="36"/>
          <w:highlight w:val="none"/>
        </w:rPr>
      </w:pPr>
      <w:r>
        <w:rPr>
          <w:rFonts w:ascii="宋体" w:hAnsi="宋体" w:eastAsia="宋体" w:cs="宋体"/>
          <w:bCs/>
          <w:color w:val="auto"/>
          <w:sz w:val="36"/>
          <w:szCs w:val="36"/>
          <w:highlight w:val="none"/>
        </w:rPr>
      </w:r>
      <w:r/>
    </w:p>
    <w:p>
      <w:pPr>
        <w:jc w:val="center"/>
        <w:spacing w:line="360" w:lineRule="auto"/>
        <w:rPr>
          <w:rFonts w:ascii="宋体" w:hAnsi="宋体" w:eastAsia="宋体" w:cs="宋体"/>
          <w:bCs/>
          <w:color w:val="auto"/>
          <w:sz w:val="36"/>
          <w:szCs w:val="36"/>
          <w:highlight w:val="none"/>
        </w:rPr>
        <w:outlineLvl w:val="0"/>
      </w:pPr>
      <w:r>
        <w:rPr>
          <w:rFonts w:hint="eastAsia" w:ascii="宋体" w:hAnsi="宋体" w:eastAsia="宋体" w:cs="宋体"/>
          <w:bCs/>
          <w:color w:val="auto"/>
          <w:sz w:val="36"/>
          <w:szCs w:val="36"/>
          <w:highlight w:val="none"/>
        </w:rPr>
        <w:t xml:space="preserve">第六章  </w:t>
      </w:r>
      <w:bookmarkEnd w:id="141"/>
      <w:r/>
      <w:bookmarkEnd w:id="142"/>
      <w:r/>
      <w:bookmarkEnd w:id="143"/>
      <w:r>
        <w:rPr>
          <w:rFonts w:hint="eastAsia" w:ascii="宋体" w:hAnsi="宋体" w:eastAsia="宋体" w:cs="宋体"/>
          <w:bCs/>
          <w:color w:val="auto"/>
          <w:sz w:val="36"/>
          <w:szCs w:val="36"/>
          <w:highlight w:val="none"/>
        </w:rPr>
        <w:t xml:space="preserve">投标文件内容与格式</w:t>
      </w:r>
      <w:r/>
    </w:p>
    <w:p>
      <w:pPr>
        <w:pStyle w:val="1227"/>
        <w:ind w:firstLine="602"/>
        <w:spacing w:before="0" w:after="0"/>
        <w:rPr>
          <w:rFonts w:ascii="宋体" w:hAnsi="宋体" w:cs="宋体"/>
          <w:b/>
          <w:color w:val="auto"/>
          <w:sz w:val="30"/>
          <w:szCs w:val="30"/>
          <w:highlight w:val="none"/>
        </w:rPr>
        <w:outlineLvl w:val="1"/>
      </w:pPr>
      <w:r/>
      <w:bookmarkStart w:id="144" w:name="_Hlt26955039"/>
      <w:r/>
      <w:bookmarkEnd w:id="144"/>
      <w:r/>
      <w:bookmarkStart w:id="145" w:name="_Hlt26671244"/>
      <w:r/>
      <w:bookmarkEnd w:id="145"/>
      <w:r>
        <w:rPr>
          <w:rFonts w:hint="eastAsia" w:ascii="宋体" w:hAnsi="宋体" w:cs="宋体"/>
          <w:b/>
          <w:color w:val="auto"/>
          <w:sz w:val="30"/>
          <w:szCs w:val="30"/>
          <w:highlight w:val="none"/>
        </w:rPr>
        <w:t xml:space="preserve">第一部分投标文件内容</w:t>
      </w:r>
      <w:r/>
    </w:p>
    <w:p>
      <w:pPr>
        <w:pStyle w:val="1227"/>
        <w:numPr>
          <w:ilvl w:val="0"/>
          <w:numId w:val="0"/>
        </w:numPr>
        <w:ind w:firstLine="0"/>
        <w:spacing w:before="0" w:after="0"/>
        <w:rPr>
          <w:rFonts w:hint="eastAsia" w:ascii="宋体" w:hAnsi="宋体" w:eastAsia="宋体" w:cs="宋体"/>
          <w:b/>
          <w:color w:val="auto"/>
          <w:sz w:val="28"/>
          <w:szCs w:val="28"/>
          <w:highlight w:val="none"/>
          <w:lang w:val="en-US" w:eastAsia="zh-CN" w:bidi="ar-SA"/>
        </w:rPr>
        <w:outlineLvl w:val="2"/>
      </w:pPr>
      <w:r>
        <w:rPr>
          <w:rFonts w:hint="eastAsia" w:ascii="宋体" w:hAnsi="宋体" w:cs="宋体"/>
          <w:b/>
          <w:color w:val="auto"/>
          <w:sz w:val="28"/>
          <w:szCs w:val="28"/>
          <w:lang w:val="en-US" w:eastAsia="zh-CN" w:bidi="ar-SA"/>
        </w:rPr>
        <w:t xml:space="preserve">一、资格、资信</w:t>
      </w:r>
      <w:r>
        <w:rPr>
          <w:rFonts w:hint="eastAsia" w:ascii="宋体" w:hAnsi="宋体" w:eastAsia="宋体" w:cs="宋体"/>
          <w:b/>
          <w:color w:val="auto"/>
          <w:sz w:val="28"/>
          <w:szCs w:val="28"/>
          <w:highlight w:val="none"/>
          <w:lang w:val="en-US" w:eastAsia="zh-CN" w:bidi="ar-SA"/>
        </w:rPr>
        <w:t xml:space="preserve">证明文件</w:t>
      </w:r>
      <w:r/>
    </w:p>
    <w:tbl>
      <w:tblPr>
        <w:tblStyle w:val="801"/>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672"/>
        </w:trPr>
        <w:tc>
          <w:tcPr>
            <w:tcW w:w="719" w:type="dxa"/>
            <w:vAlign w:val="center"/>
            <w:textDirection w:val="lrTb"/>
            <w:noWrap w:val="false"/>
          </w:tcPr>
          <w:p>
            <w:pPr>
              <w:pStyle w:val="1227"/>
              <w:ind w:firstLine="0"/>
              <w:jc w:val="center"/>
              <w:spacing w:before="0" w:after="0"/>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序号</w:t>
            </w:r>
            <w:r/>
          </w:p>
        </w:tc>
        <w:tc>
          <w:tcPr>
            <w:tcW w:w="6104" w:type="dxa"/>
            <w:vAlign w:val="center"/>
            <w:textDirection w:val="lrTb"/>
            <w:noWrap w:val="false"/>
          </w:tcPr>
          <w:p>
            <w:pPr>
              <w:pStyle w:val="1227"/>
              <w:jc w:val="center"/>
              <w:spacing w:before="0" w:after="0"/>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评审项及评审要求</w:t>
            </w:r>
            <w:r/>
          </w:p>
        </w:tc>
        <w:tc>
          <w:tcPr>
            <w:tcW w:w="2449" w:type="dxa"/>
            <w:vAlign w:val="center"/>
            <w:textDirection w:val="lrTb"/>
            <w:noWrap w:val="false"/>
          </w:tcPr>
          <w:p>
            <w:pPr>
              <w:pStyle w:val="1227"/>
              <w:ind w:firstLine="0"/>
              <w:jc w:val="center"/>
              <w:spacing w:before="0" w:after="0"/>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审查因素</w:t>
            </w:r>
            <w:r/>
          </w:p>
        </w:tc>
      </w:tr>
      <w:tr>
        <w:trPr>
          <w:cantSplit/>
          <w:jc w:val="center"/>
          <w:trHeight w:val="1335"/>
        </w:trPr>
        <w:tc>
          <w:tcPr>
            <w:tcW w:w="719" w:type="dxa"/>
            <w:vAlign w:val="center"/>
            <w:textDirection w:val="lrTb"/>
            <w:noWrap w:val="false"/>
          </w:tcPr>
          <w:p>
            <w:pPr>
              <w:pStyle w:val="1227"/>
              <w:ind w:firstLine="0"/>
              <w:jc w:val="center"/>
              <w:spacing w:before="0" w:after="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w:t>
            </w:r>
            <w:r/>
          </w:p>
        </w:tc>
        <w:tc>
          <w:tcPr>
            <w:tcW w:w="6104" w:type="dxa"/>
            <w:vAlign w:val="center"/>
            <w:textDirection w:val="lrTb"/>
            <w:noWrap w:val="false"/>
          </w:tcPr>
          <w:p>
            <w:pPr>
              <w:pStyle w:val="1227"/>
              <w:ind w:firstLine="0"/>
              <w:jc w:val="both"/>
              <w:spacing w:before="0" w:after="0"/>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关于资格的声明函（格式见附件）</w:t>
            </w:r>
            <w:r>
              <w:rPr>
                <w:rFonts w:hint="eastAsia" w:ascii="宋体" w:hAnsi="宋体" w:cs="宋体"/>
                <w:color w:val="000000" w:themeColor="text1"/>
                <w:highlight w:val="none"/>
                <w:lang w:eastAsia="zh-CN"/>
                <w14:textFill>
                  <w14:solidFill>
                    <w14:schemeClr w14:val="tx1"/>
                  </w14:solidFill>
                </w14:textFill>
              </w:rPr>
              <w:t xml:space="preserve">。</w:t>
            </w:r>
            <w:r/>
          </w:p>
        </w:tc>
        <w:tc>
          <w:tcPr>
            <w:tcW w:w="2449" w:type="dxa"/>
            <w:vAlign w:val="center"/>
            <w:vMerge w:val="restart"/>
            <w:textDirection w:val="lrTb"/>
            <w:noWrap w:val="false"/>
          </w:tcPr>
          <w:p>
            <w:pPr>
              <w:pStyle w:val="1227"/>
              <w:ind w:firstLine="0"/>
              <w:spacing w:before="0" w:after="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满足《中华人民共和国政府采购法》第二十二条规定</w:t>
            </w:r>
            <w:r/>
          </w:p>
        </w:tc>
      </w:tr>
      <w:tr>
        <w:trPr>
          <w:cantSplit/>
          <w:jc w:val="center"/>
          <w:trHeight w:val="812"/>
        </w:trPr>
        <w:tc>
          <w:tcPr>
            <w:tcW w:w="719" w:type="dxa"/>
            <w:vAlign w:val="center"/>
            <w:textDirection w:val="lrTb"/>
            <w:noWrap w:val="false"/>
          </w:tcPr>
          <w:p>
            <w:pPr>
              <w:pStyle w:val="1227"/>
              <w:ind w:firstLine="0"/>
              <w:jc w:val="center"/>
              <w:spacing w:before="0" w:after="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w:t>
            </w:r>
            <w:r/>
          </w:p>
        </w:tc>
        <w:tc>
          <w:tcPr>
            <w:tcW w:w="6104" w:type="dxa"/>
            <w:vAlign w:val="center"/>
            <w:textDirection w:val="lrTb"/>
            <w:noWrap w:val="false"/>
          </w:tcPr>
          <w:p>
            <w:pPr>
              <w:pStyle w:val="1227"/>
              <w:ind w:firstLine="0"/>
              <w:jc w:val="both"/>
              <w:spacing w:before="0" w:after="0"/>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具有独立承担民事责任能力的投标人营业执照或相关部门的登记证明文件原件扫描件并签章上传至投标系统（</w:t>
            </w:r>
            <w:r>
              <w:rPr>
                <w:rFonts w:hint="eastAsia" w:ascii="宋体" w:hAnsi="宋体" w:cs="宋体"/>
                <w:b/>
                <w:bCs/>
                <w:color w:val="000000" w:themeColor="text1"/>
                <w:highlight w:val="none"/>
                <w14:textFill>
                  <w14:solidFill>
                    <w14:schemeClr w14:val="tx1"/>
                  </w14:solidFill>
                </w14:textFill>
              </w:rPr>
              <w:t xml:space="preserve">投标人如是允许以分支机构身份参加投标的，提供投标人分支机构的营业执照扫描件；投标人如是自然人情形的，提供有效身份证扫描件</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lang w:eastAsia="zh-CN"/>
                <w14:textFill>
                  <w14:solidFill>
                    <w14:schemeClr w14:val="tx1"/>
                  </w14:solidFill>
                </w14:textFill>
              </w:rPr>
              <w:t xml:space="preserve">。</w:t>
            </w:r>
            <w:r/>
          </w:p>
        </w:tc>
        <w:tc>
          <w:tcPr>
            <w:tcW w:w="2449" w:type="dxa"/>
            <w:vAlign w:val="center"/>
            <w:vMerge w:val="continue"/>
            <w:textDirection w:val="lrTb"/>
            <w:noWrap w:val="false"/>
          </w:tcPr>
          <w:p>
            <w:pPr>
              <w:pStyle w:val="1227"/>
              <w:ind w:firstLine="0"/>
              <w:spacing w:before="0" w:after="0" w:line="24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r>
        <w:trPr>
          <w:cantSplit/>
          <w:jc w:val="center"/>
          <w:trHeight w:val="1684"/>
        </w:trPr>
        <w:tc>
          <w:tcPr>
            <w:tcW w:w="719" w:type="dxa"/>
            <w:vAlign w:val="center"/>
            <w:textDirection w:val="lrTb"/>
            <w:noWrap w:val="false"/>
          </w:tcPr>
          <w:p>
            <w:pPr>
              <w:pStyle w:val="1227"/>
              <w:ind w:firstLine="0"/>
              <w:jc w:val="center"/>
              <w:spacing w:before="0" w:after="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w:t>
            </w:r>
            <w:r/>
          </w:p>
        </w:tc>
        <w:tc>
          <w:tcPr>
            <w:tcW w:w="6104" w:type="dxa"/>
            <w:vAlign w:val="center"/>
            <w:textDirection w:val="lrTb"/>
            <w:noWrap w:val="false"/>
          </w:tcPr>
          <w:p>
            <w:pPr>
              <w:spacing w:line="360" w:lineRule="auto"/>
              <w:tabs>
                <w:tab w:val="left" w:pos="420" w:leader="none"/>
                <w:tab w:val="left" w:pos="945" w:leader="none"/>
                <w:tab w:val="left" w:pos="1155" w:leader="none"/>
              </w:tabs>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投标人法定代表人授权委托书的原件扫描件并签章上传至投标系统（</w:t>
            </w:r>
            <w:r>
              <w:rPr>
                <w:rFonts w:hint="eastAsia" w:ascii="宋体" w:hAnsi="宋体" w:eastAsia="宋体" w:cs="宋体"/>
                <w:b/>
                <w:bCs w:val="0"/>
                <w:color w:val="000000" w:themeColor="text1"/>
                <w:sz w:val="24"/>
                <w:highlight w:val="none"/>
                <w14:textFill>
                  <w14:solidFill>
                    <w14:schemeClr w14:val="tx1"/>
                  </w14:solidFill>
                </w14:textFill>
              </w:rPr>
              <w:t xml:space="preserve">法定代表人签署投标文件且亲自参与的必须提供《法定代表人亲自投标声明》，格式见附件</w:t>
            </w:r>
            <w:r>
              <w:rPr>
                <w:rFonts w:hint="eastAsia" w:ascii="宋体" w:hAnsi="宋体" w:eastAsia="宋体" w:cs="宋体"/>
                <w:bCs/>
                <w:color w:val="000000" w:themeColor="text1"/>
                <w:sz w:val="24"/>
                <w:highlight w:val="none"/>
                <w14:textFill>
                  <w14:solidFill>
                    <w14:schemeClr w14:val="tx1"/>
                  </w14:solidFill>
                </w14:textFill>
              </w:rPr>
              <w:t xml:space="preserve">）</w:t>
            </w:r>
            <w:r>
              <w:rPr>
                <w:rFonts w:hint="eastAsia" w:ascii="宋体" w:hAnsi="宋体" w:eastAsia="宋体" w:cs="宋体"/>
                <w:bCs/>
                <w:color w:val="000000" w:themeColor="text1"/>
                <w:sz w:val="24"/>
                <w:highlight w:val="none"/>
                <w:lang w:eastAsia="zh-CN"/>
                <w14:textFill>
                  <w14:solidFill>
                    <w14:schemeClr w14:val="tx1"/>
                  </w14:solidFill>
                </w14:textFill>
              </w:rPr>
              <w:t xml:space="preserve">。</w:t>
            </w:r>
            <w:r/>
          </w:p>
        </w:tc>
        <w:tc>
          <w:tcPr>
            <w:tcW w:w="2449" w:type="dxa"/>
            <w:vAlign w:val="center"/>
            <w:vMerge w:val="continue"/>
            <w:textDirection w:val="lrTb"/>
            <w:noWrap w:val="false"/>
          </w:tcPr>
          <w:p>
            <w:pPr>
              <w:pStyle w:val="1227"/>
              <w:ind w:firstLine="0"/>
              <w:spacing w:before="0" w:after="0" w:line="24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r>
        <w:trPr>
          <w:cantSplit/>
          <w:jc w:val="center"/>
          <w:trHeight w:val="1684"/>
        </w:trPr>
        <w:tc>
          <w:tcPr>
            <w:tcW w:w="719" w:type="dxa"/>
            <w:vAlign w:val="center"/>
            <w:textDirection w:val="lrTb"/>
            <w:noWrap w:val="false"/>
          </w:tcPr>
          <w:p>
            <w:pPr>
              <w:pStyle w:val="1227"/>
              <w:ind w:firstLine="0"/>
              <w:jc w:val="center"/>
              <w:spacing w:before="0" w:after="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w:t>
            </w:r>
            <w:r/>
          </w:p>
        </w:tc>
        <w:tc>
          <w:tcPr>
            <w:tcW w:w="6104" w:type="dxa"/>
            <w:vAlign w:val="center"/>
            <w:textDirection w:val="lrTb"/>
            <w:noWrap w:val="false"/>
          </w:tcPr>
          <w:p>
            <w:pPr>
              <w:pStyle w:val="1227"/>
              <w:ind w:firstLine="0"/>
              <w:jc w:val="both"/>
              <w:spacing w:before="0" w:after="0"/>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投标人法定代表人身份证原件扫描件并签章上传至投标系统（身份证应为正、反面）</w:t>
            </w:r>
            <w:r>
              <w:rPr>
                <w:rFonts w:hint="eastAsia" w:ascii="宋体" w:hAnsi="宋体" w:cs="宋体"/>
                <w:color w:val="000000" w:themeColor="text1"/>
                <w:highlight w:val="none"/>
                <w:lang w:eastAsia="zh-CN"/>
                <w14:textFill>
                  <w14:solidFill>
                    <w14:schemeClr w14:val="tx1"/>
                  </w14:solidFill>
                </w14:textFill>
              </w:rPr>
              <w:t xml:space="preserve">。</w:t>
            </w:r>
            <w:r/>
          </w:p>
        </w:tc>
        <w:tc>
          <w:tcPr>
            <w:tcW w:w="2449" w:type="dxa"/>
            <w:vAlign w:val="center"/>
            <w:vMerge w:val="continue"/>
            <w:textDirection w:val="lrTb"/>
            <w:noWrap w:val="false"/>
          </w:tcPr>
          <w:p>
            <w:pPr>
              <w:pStyle w:val="1227"/>
              <w:ind w:firstLine="0"/>
              <w:spacing w:before="0" w:after="0" w:line="24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r>
        <w:trPr>
          <w:cantSplit/>
          <w:jc w:val="center"/>
          <w:trHeight w:val="963"/>
        </w:trPr>
        <w:tc>
          <w:tcPr>
            <w:tcW w:w="719" w:type="dxa"/>
            <w:vAlign w:val="center"/>
            <w:textDirection w:val="lrTb"/>
            <w:noWrap w:val="false"/>
          </w:tcPr>
          <w:p>
            <w:pPr>
              <w:pStyle w:val="1227"/>
              <w:ind w:firstLine="0"/>
              <w:jc w:val="center"/>
              <w:spacing w:before="0" w:after="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w:t>
            </w:r>
            <w:r/>
          </w:p>
        </w:tc>
        <w:tc>
          <w:tcPr>
            <w:tcW w:w="6104" w:type="dxa"/>
            <w:vAlign w:val="center"/>
            <w:textDirection w:val="lrTb"/>
            <w:noWrap w:val="false"/>
          </w:tcPr>
          <w:p>
            <w:pPr>
              <w:pStyle w:val="1227"/>
              <w:ind w:firstLine="0"/>
              <w:jc w:val="both"/>
              <w:spacing w:before="0" w:after="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投标人法定代表人授权代表身份证原件扫描件并签章上传至投标系统（身份证应为正、反面，法定代表人亲自参加投标的除外）。</w:t>
            </w:r>
            <w:r/>
          </w:p>
        </w:tc>
        <w:tc>
          <w:tcPr>
            <w:tcW w:w="2449" w:type="dxa"/>
            <w:vAlign w:val="center"/>
            <w:vMerge w:val="continue"/>
            <w:textDirection w:val="lrTb"/>
            <w:noWrap w:val="false"/>
          </w:tcPr>
          <w:p>
            <w:pPr>
              <w:pStyle w:val="1227"/>
              <w:ind w:firstLine="0"/>
              <w:spacing w:before="0" w:after="0" w:line="24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r>
        <w:trPr>
          <w:cantSplit/>
          <w:jc w:val="center"/>
          <w:trHeight w:val="1023"/>
        </w:trPr>
        <w:tc>
          <w:tcPr>
            <w:tcW w:w="719" w:type="dxa"/>
            <w:vAlign w:val="center"/>
            <w:textDirection w:val="lrTb"/>
            <w:noWrap w:val="false"/>
          </w:tcPr>
          <w:p>
            <w:pPr>
              <w:pStyle w:val="1227"/>
              <w:ind w:firstLine="0"/>
              <w:jc w:val="center"/>
              <w:spacing w:before="0" w:after="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6</w:t>
            </w:r>
            <w:r/>
          </w:p>
        </w:tc>
        <w:tc>
          <w:tcPr>
            <w:tcW w:w="6104" w:type="dxa"/>
            <w:vAlign w:val="center"/>
            <w:textDirection w:val="lrTb"/>
            <w:noWrap w:val="false"/>
          </w:tcPr>
          <w:p>
            <w:pPr>
              <w:pStyle w:val="1227"/>
              <w:ind w:firstLine="0"/>
              <w:jc w:val="both"/>
              <w:spacing w:before="0" w:after="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人法定代表人授权代表具备与本企业签订的劳动合同，及《职工养老保险手册》（内附近一年中任意一个月份（不含投标当月）的缴费清单）或由社保机构出具本企业的近一年中任意一个月份（不含投标当月）的缴费证明扫描件并签章上传至投标系统（由相关主管部门出具，新成立公司除外、法定代表人亲自参加投标的除外）。</w:t>
            </w:r>
            <w:r/>
          </w:p>
        </w:tc>
        <w:tc>
          <w:tcPr>
            <w:tcW w:w="2449" w:type="dxa"/>
            <w:vAlign w:val="center"/>
            <w:vMerge w:val="continue"/>
            <w:textDirection w:val="lrTb"/>
            <w:noWrap w:val="false"/>
          </w:tcPr>
          <w:p>
            <w:pPr>
              <w:pStyle w:val="1227"/>
              <w:ind w:firstLine="0"/>
              <w:spacing w:before="0" w:after="0" w:line="24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r>
        <w:trPr>
          <w:cantSplit/>
          <w:jc w:val="center"/>
          <w:trHeight w:val="705"/>
        </w:trPr>
        <w:tc>
          <w:tcPr>
            <w:tcW w:w="719" w:type="dxa"/>
            <w:vAlign w:val="center"/>
            <w:textDirection w:val="lrTb"/>
            <w:noWrap w:val="false"/>
          </w:tcPr>
          <w:p>
            <w:pPr>
              <w:pStyle w:val="1227"/>
              <w:ind w:firstLine="0"/>
              <w:jc w:val="center"/>
              <w:spacing w:before="0" w:after="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7</w:t>
            </w:r>
            <w:r/>
          </w:p>
        </w:tc>
        <w:tc>
          <w:tcPr>
            <w:tcW w:w="6104" w:type="dxa"/>
            <w:vAlign w:val="center"/>
            <w:textDirection w:val="lrTb"/>
            <w:noWrap w:val="false"/>
          </w:tcPr>
          <w:p>
            <w:pPr>
              <w:pStyle w:val="1227"/>
              <w:ind w:firstLine="0"/>
              <w:jc w:val="both"/>
              <w:spacing w:before="0" w:after="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投标人近一年中任意一个月份（不含投标当月）的财务状况报告（资产负债表和利润表）或由会计师事务所出具的近两年中任意一年度的审计报告和所附已审财务报告原件扫描件并签章上传至投标系统。</w:t>
            </w:r>
            <w:r/>
          </w:p>
        </w:tc>
        <w:tc>
          <w:tcPr>
            <w:tcW w:w="2449" w:type="dxa"/>
            <w:vAlign w:val="center"/>
            <w:vMerge w:val="continue"/>
            <w:textDirection w:val="lrTb"/>
            <w:noWrap w:val="false"/>
          </w:tcPr>
          <w:p>
            <w:pPr>
              <w:pStyle w:val="1227"/>
              <w:ind w:firstLine="0"/>
              <w:spacing w:before="0" w:after="0" w:line="24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r>
        <w:trPr>
          <w:jc w:val="center"/>
          <w:trHeight w:val="407"/>
        </w:trPr>
        <w:tc>
          <w:tcPr>
            <w:tcW w:w="719" w:type="dxa"/>
            <w:vAlign w:val="center"/>
            <w:textDirection w:val="lrTb"/>
            <w:noWrap w:val="false"/>
          </w:tcPr>
          <w:p>
            <w:pPr>
              <w:pStyle w:val="1227"/>
              <w:ind w:firstLine="0"/>
              <w:jc w:val="center"/>
              <w:spacing w:before="0" w:after="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8</w:t>
            </w:r>
            <w:r/>
          </w:p>
        </w:tc>
        <w:tc>
          <w:tcPr>
            <w:tcW w:w="6104" w:type="dxa"/>
            <w:vAlign w:val="center"/>
            <w:textDirection w:val="lrTb"/>
            <w:noWrap w:val="false"/>
          </w:tcPr>
          <w:p>
            <w:pPr>
              <w:pStyle w:val="1227"/>
              <w:ind w:firstLine="0"/>
              <w:spacing w:before="0" w:after="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投标人近一年中任意一个月份（不含投标当月）的依法缴纳税收的相关材料（提供相关主管部门证明或银行代扣证明）原件扫描件并签章上传至投标系统。</w:t>
            </w:r>
            <w:r/>
          </w:p>
        </w:tc>
        <w:tc>
          <w:tcPr>
            <w:tcW w:w="2449" w:type="dxa"/>
            <w:vAlign w:val="center"/>
            <w:vMerge w:val="continue"/>
            <w:textDirection w:val="lrTb"/>
            <w:noWrap w:val="false"/>
          </w:tcPr>
          <w:p>
            <w:pPr>
              <w:pStyle w:val="1227"/>
              <w:ind w:firstLine="0"/>
              <w:spacing w:before="0" w:after="0"/>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r>
        <w:trPr>
          <w:jc w:val="center"/>
          <w:trHeight w:val="726"/>
        </w:trPr>
        <w:tc>
          <w:tcPr>
            <w:tcW w:w="719" w:type="dxa"/>
            <w:vAlign w:val="center"/>
            <w:textDirection w:val="lrTb"/>
            <w:noWrap w:val="false"/>
          </w:tcPr>
          <w:p>
            <w:pPr>
              <w:pStyle w:val="1227"/>
              <w:ind w:firstLine="0"/>
              <w:jc w:val="center"/>
              <w:spacing w:before="0" w:after="0"/>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9</w:t>
            </w:r>
            <w:r/>
          </w:p>
        </w:tc>
        <w:tc>
          <w:tcPr>
            <w:tcW w:w="6104" w:type="dxa"/>
            <w:vAlign w:val="center"/>
            <w:textDirection w:val="lrTb"/>
            <w:noWrap w:val="false"/>
          </w:tcPr>
          <w:p>
            <w:pPr>
              <w:pStyle w:val="1227"/>
              <w:ind w:firstLine="0"/>
              <w:jc w:val="both"/>
              <w:spacing w:before="0" w:after="0"/>
              <w:rPr>
                <w:rFonts w:hint="eastAsia" w:ascii="宋体" w:hAnsi="宋体" w:eastAsia="宋体" w:cs="宋体"/>
                <w:bCs/>
                <w:color w:val="000000" w:themeColor="text1"/>
                <w:highlight w:val="none"/>
                <w:lang w:eastAsia="zh-CN"/>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投标人近一年中任意一个月份（不含投标当月）的依法缴纳社会保障资金的相关材料（提供相关主管部门证明或银行代扣证明）原件扫描件并签章上传至投标系统；</w:t>
            </w:r>
            <w:r/>
          </w:p>
        </w:tc>
        <w:tc>
          <w:tcPr>
            <w:tcW w:w="2449" w:type="dxa"/>
            <w:vAlign w:val="center"/>
            <w:vMerge w:val="continue"/>
            <w:textDirection w:val="lrTb"/>
            <w:noWrap w:val="false"/>
          </w:tcPr>
          <w:p>
            <w:pPr>
              <w:pStyle w:val="1227"/>
              <w:ind w:firstLine="0"/>
              <w:spacing w:before="0" w:after="0"/>
              <w:rPr>
                <w:rFonts w:ascii="宋体" w:hAnsi="宋体" w:cs="宋体"/>
                <w:bCs/>
                <w:color w:val="000000" w:themeColor="text1"/>
                <w:highlight w:val="none"/>
                <w14:textFill>
                  <w14:solidFill>
                    <w14:schemeClr w14:val="tx1"/>
                  </w14:solidFill>
                </w14:textFill>
              </w:rPr>
            </w:pPr>
            <w:r>
              <w:rPr>
                <w:rFonts w:ascii="宋体" w:hAnsi="宋体" w:cs="宋体"/>
                <w:bCs/>
                <w:color w:val="000000" w:themeColor="text1"/>
                <w:highlight w:val="none"/>
                <w14:textFill>
                  <w14:solidFill>
                    <w14:schemeClr w14:val="tx1"/>
                  </w14:solidFill>
                </w14:textFill>
              </w:rPr>
            </w:r>
            <w:r/>
          </w:p>
        </w:tc>
      </w:tr>
      <w:tr>
        <w:trPr>
          <w:jc w:val="center"/>
          <w:trHeight w:val="726"/>
        </w:trPr>
        <w:tc>
          <w:tcPr>
            <w:tcW w:w="719" w:type="dxa"/>
            <w:vAlign w:val="center"/>
            <w:textDirection w:val="lrTb"/>
            <w:noWrap w:val="false"/>
          </w:tcPr>
          <w:p>
            <w:pPr>
              <w:pStyle w:val="1227"/>
              <w:ind w:firstLine="0"/>
              <w:jc w:val="center"/>
              <w:spacing w:before="0" w:after="0"/>
              <w:rPr>
                <w:rFonts w:hint="default" w:ascii="宋体" w:hAnsi="宋体" w:eastAsia="宋体" w:cs="宋体"/>
                <w:bCs/>
                <w:color w:val="000000" w:themeColor="text1"/>
                <w:highlight w:val="none"/>
                <w:lang w:val="en-US" w:eastAsia="zh-CN"/>
                <w14:textFill>
                  <w14:solidFill>
                    <w14:schemeClr w14:val="tx1"/>
                  </w14:solidFill>
                </w14:textFill>
              </w:rPr>
            </w:pPr>
            <w:r>
              <w:rPr>
                <w:rFonts w:hint="eastAsia" w:ascii="宋体" w:hAnsi="宋体" w:cs="宋体"/>
                <w:bCs/>
                <w:color w:val="000000" w:themeColor="text1"/>
                <w:highlight w:val="none"/>
                <w:lang w:val="en-US" w:eastAsia="zh-CN"/>
                <w14:textFill>
                  <w14:solidFill>
                    <w14:schemeClr w14:val="tx1"/>
                  </w14:solidFill>
                </w14:textFill>
              </w:rPr>
              <w:t xml:space="preserve">10</w:t>
            </w:r>
            <w:r/>
          </w:p>
        </w:tc>
        <w:tc>
          <w:tcPr>
            <w:tcW w:w="6104" w:type="dxa"/>
            <w:vAlign w:val="center"/>
            <w:textDirection w:val="lrTb"/>
            <w:noWrap w:val="false"/>
          </w:tcPr>
          <w:p>
            <w:pPr>
              <w:pStyle w:val="1227"/>
              <w:ind w:firstLine="0"/>
              <w:jc w:val="both"/>
              <w:spacing w:before="0" w:after="0"/>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所投产品应为本国产品，提供《关于符合本国产品标准的声明函》扫描件并签章上传至投标系统（</w:t>
            </w:r>
            <w:r>
              <w:rPr>
                <w:rFonts w:hint="eastAsia" w:ascii="宋体" w:hAnsi="宋体" w:cs="宋体"/>
                <w:b/>
                <w:bCs w:val="0"/>
                <w:color w:val="000000" w:themeColor="text1"/>
                <w:highlight w:val="none"/>
                <w14:textFill>
                  <w14:solidFill>
                    <w14:schemeClr w14:val="tx1"/>
                  </w14:solidFill>
                </w14:textFill>
              </w:rPr>
              <w:t xml:space="preserve">格式见附件</w:t>
            </w:r>
            <w:r>
              <w:rPr>
                <w:rFonts w:hint="eastAsia" w:ascii="宋体" w:hAnsi="宋体" w:cs="宋体"/>
                <w:bCs/>
                <w:color w:val="000000" w:themeColor="text1"/>
                <w:highlight w:val="none"/>
                <w14:textFill>
                  <w14:solidFill>
                    <w14:schemeClr w14:val="tx1"/>
                  </w14:solidFill>
                </w14:textFill>
              </w:rPr>
              <w:t xml:space="preserve">）</w:t>
            </w:r>
            <w:r/>
          </w:p>
        </w:tc>
        <w:tc>
          <w:tcPr>
            <w:tcW w:w="2449" w:type="dxa"/>
            <w:vAlign w:val="center"/>
            <w:vMerge w:val="continue"/>
            <w:textDirection w:val="lrTb"/>
            <w:noWrap w:val="false"/>
          </w:tcPr>
          <w:p>
            <w:pPr>
              <w:pStyle w:val="1227"/>
              <w:ind w:firstLine="0"/>
              <w:spacing w:before="0" w:after="0"/>
              <w:rPr>
                <w:rFonts w:ascii="宋体" w:hAnsi="宋体" w:cs="宋体"/>
                <w:bCs/>
                <w:color w:val="000000" w:themeColor="text1"/>
                <w:highlight w:val="none"/>
                <w14:textFill>
                  <w14:solidFill>
                    <w14:schemeClr w14:val="tx1"/>
                  </w14:solidFill>
                </w14:textFill>
              </w:rPr>
            </w:pPr>
            <w:r>
              <w:rPr>
                <w:rFonts w:ascii="宋体" w:hAnsi="宋体" w:cs="宋体"/>
                <w:bCs/>
                <w:color w:val="000000" w:themeColor="text1"/>
                <w:highlight w:val="none"/>
                <w14:textFill>
                  <w14:solidFill>
                    <w14:schemeClr w14:val="tx1"/>
                  </w14:solidFill>
                </w14:textFill>
              </w:rPr>
            </w:r>
            <w:r/>
          </w:p>
        </w:tc>
      </w:tr>
      <w:tr>
        <w:trPr>
          <w:jc w:val="center"/>
          <w:trHeight w:val="726"/>
        </w:trPr>
        <w:tc>
          <w:tcPr>
            <w:tcW w:w="719" w:type="dxa"/>
            <w:vAlign w:val="center"/>
            <w:textDirection w:val="lrTb"/>
            <w:noWrap w:val="false"/>
          </w:tcPr>
          <w:p>
            <w:pPr>
              <w:pStyle w:val="1227"/>
              <w:ind w:firstLine="0"/>
              <w:jc w:val="center"/>
              <w:spacing w:before="0" w:after="0"/>
              <w:rPr>
                <w:rFonts w:hint="default" w:ascii="宋体" w:hAnsi="宋体" w:cs="宋体"/>
                <w:bCs/>
                <w:color w:val="000000" w:themeColor="text1"/>
                <w:highlight w:val="none"/>
                <w:lang w:val="en-US" w:eastAsia="zh-CN"/>
                <w14:textFill>
                  <w14:solidFill>
                    <w14:schemeClr w14:val="tx1"/>
                  </w14:solidFill>
                </w14:textFill>
              </w:rPr>
            </w:pPr>
            <w:r>
              <w:rPr>
                <w:rFonts w:hint="eastAsia" w:ascii="宋体" w:hAnsi="宋体" w:cs="宋体"/>
                <w:bCs/>
                <w:color w:val="000000" w:themeColor="text1"/>
                <w:highlight w:val="none"/>
                <w:lang w:val="en-US" w:eastAsia="zh-CN"/>
                <w14:textFill>
                  <w14:solidFill>
                    <w14:schemeClr w14:val="tx1"/>
                  </w14:solidFill>
                </w14:textFill>
              </w:rPr>
              <w:t xml:space="preserve">11</w:t>
            </w:r>
            <w:r/>
          </w:p>
        </w:tc>
        <w:tc>
          <w:tcPr>
            <w:tcW w:w="6104" w:type="dxa"/>
            <w:vAlign w:val="center"/>
            <w:textDirection w:val="lrTb"/>
            <w:noWrap w:val="false"/>
          </w:tcPr>
          <w:p>
            <w:pPr>
              <w:pStyle w:val="1227"/>
              <w:ind w:firstLine="0"/>
              <w:jc w:val="both"/>
              <w:spacing w:before="0" w:after="0"/>
              <w:rPr>
                <w:rFonts w:hint="eastAsia" w:ascii="宋体" w:hAnsi="宋体" w:cs="宋体"/>
                <w:bCs/>
                <w:color w:val="000000" w:themeColor="text1"/>
                <w:highlight w:val="none"/>
                <w14:textFill>
                  <w14:solidFill>
                    <w14:schemeClr w14:val="tx1"/>
                  </w14:solidFill>
                </w14:textFill>
              </w:rPr>
            </w:pPr>
            <w:r>
              <w:rPr>
                <w:rFonts w:hint="eastAsia" w:ascii="宋体" w:hAnsi="宋体" w:cs="Times New Roman"/>
                <w:color w:val="000000" w:themeColor="text1"/>
                <w:sz w:val="24"/>
                <w:szCs w:val="20"/>
                <w14:textFill>
                  <w14:solidFill>
                    <w14:schemeClr w14:val="tx1"/>
                  </w14:solidFill>
                </w14:textFill>
              </w:rPr>
              <w:t xml:space="preserve">具备履行合同所必需的设备和专业技术能力的书面声明扫描件并签章上传至投标系统（</w:t>
            </w:r>
            <w:r>
              <w:rPr>
                <w:rFonts w:hint="eastAsia" w:ascii="宋体" w:hAnsi="宋体" w:cs="Times New Roman"/>
                <w:b/>
                <w:bCs/>
                <w:color w:val="000000" w:themeColor="text1"/>
                <w:sz w:val="24"/>
                <w:szCs w:val="20"/>
                <w14:textFill>
                  <w14:solidFill>
                    <w14:schemeClr w14:val="tx1"/>
                  </w14:solidFill>
                </w14:textFill>
              </w:rPr>
              <w:t xml:space="preserve">格式见附件</w:t>
            </w:r>
            <w:r>
              <w:rPr>
                <w:rFonts w:hint="eastAsia" w:ascii="宋体" w:hAnsi="宋体" w:cs="Times New Roman"/>
                <w:color w:val="000000" w:themeColor="text1"/>
                <w:sz w:val="24"/>
                <w:szCs w:val="20"/>
                <w14:textFill>
                  <w14:solidFill>
                    <w14:schemeClr w14:val="tx1"/>
                  </w14:solidFill>
                </w14:textFill>
              </w:rPr>
              <w:t xml:space="preserve">）</w:t>
            </w:r>
            <w:r/>
          </w:p>
        </w:tc>
        <w:tc>
          <w:tcPr>
            <w:tcW w:w="2449" w:type="dxa"/>
            <w:vAlign w:val="center"/>
            <w:vMerge w:val="continue"/>
            <w:textDirection w:val="lrTb"/>
            <w:noWrap w:val="false"/>
          </w:tcPr>
          <w:p>
            <w:pPr>
              <w:pStyle w:val="1227"/>
              <w:ind w:firstLine="0"/>
              <w:spacing w:before="0" w:after="0"/>
              <w:rPr>
                <w:rFonts w:ascii="宋体" w:hAnsi="宋体" w:cs="宋体"/>
                <w:bCs/>
                <w:color w:val="000000" w:themeColor="text1"/>
                <w:highlight w:val="none"/>
                <w14:textFill>
                  <w14:solidFill>
                    <w14:schemeClr w14:val="tx1"/>
                  </w14:solidFill>
                </w14:textFill>
              </w:rPr>
            </w:pPr>
            <w:r>
              <w:rPr>
                <w:rFonts w:ascii="宋体" w:hAnsi="宋体" w:cs="宋体"/>
                <w:bCs/>
                <w:color w:val="000000" w:themeColor="text1"/>
                <w:highlight w:val="none"/>
                <w14:textFill>
                  <w14:solidFill>
                    <w14:schemeClr w14:val="tx1"/>
                  </w14:solidFill>
                </w14:textFill>
              </w:rPr>
            </w:r>
            <w:r/>
          </w:p>
        </w:tc>
      </w:tr>
      <w:tr>
        <w:trPr>
          <w:jc w:val="center"/>
          <w:trHeight w:val="726"/>
        </w:trPr>
        <w:tc>
          <w:tcPr>
            <w:tcW w:w="719" w:type="dxa"/>
            <w:vAlign w:val="center"/>
            <w:textDirection w:val="lrTb"/>
            <w:noWrap w:val="false"/>
          </w:tcPr>
          <w:p>
            <w:pPr>
              <w:pStyle w:val="1227"/>
              <w:ind w:firstLine="0"/>
              <w:jc w:val="center"/>
              <w:spacing w:before="0" w:after="0"/>
              <w:rPr>
                <w:rFonts w:hint="default" w:ascii="宋体" w:hAnsi="宋体" w:cs="宋体"/>
                <w:bCs/>
                <w:color w:val="000000" w:themeColor="text1"/>
                <w:highlight w:val="none"/>
                <w:lang w:val="en-US" w:eastAsia="zh-CN"/>
                <w14:textFill>
                  <w14:solidFill>
                    <w14:schemeClr w14:val="tx1"/>
                  </w14:solidFill>
                </w14:textFill>
              </w:rPr>
            </w:pPr>
            <w:r>
              <w:rPr>
                <w:rFonts w:hint="eastAsia" w:ascii="宋体" w:hAnsi="宋体" w:cs="宋体"/>
                <w:bCs/>
                <w:color w:val="000000" w:themeColor="text1"/>
                <w:highlight w:val="none"/>
                <w:lang w:val="en-US" w:eastAsia="zh-CN"/>
                <w14:textFill>
                  <w14:solidFill>
                    <w14:schemeClr w14:val="tx1"/>
                  </w14:solidFill>
                </w14:textFill>
              </w:rPr>
              <w:t xml:space="preserve">12</w:t>
            </w:r>
            <w:r/>
          </w:p>
        </w:tc>
        <w:tc>
          <w:tcPr>
            <w:tcW w:w="6104" w:type="dxa"/>
            <w:vAlign w:val="center"/>
            <w:textDirection w:val="lrTb"/>
            <w:noWrap w:val="false"/>
          </w:tcPr>
          <w:p>
            <w:pPr>
              <w:pStyle w:val="1227"/>
              <w:ind w:firstLine="0"/>
              <w:jc w:val="both"/>
              <w:spacing w:before="0" w:after="0"/>
              <w:rPr>
                <w:rFonts w:hint="eastAsia" w:ascii="宋体" w:hAnsi="宋体" w:cs="宋体"/>
                <w:bCs/>
                <w:color w:val="000000" w:themeColor="text1"/>
                <w:highlight w:val="none"/>
                <w14:textFill>
                  <w14:solidFill>
                    <w14:schemeClr w14:val="tx1"/>
                  </w14:solidFill>
                </w14:textFill>
              </w:rPr>
            </w:pPr>
            <w:r>
              <w:rPr>
                <w:rFonts w:hint="eastAsia" w:ascii="宋体" w:hAnsi="宋体" w:cs="Times New Roman"/>
                <w:color w:val="000000" w:themeColor="text1"/>
                <w:sz w:val="24"/>
                <w:szCs w:val="20"/>
                <w14:textFill>
                  <w14:solidFill>
                    <w14:schemeClr w14:val="tx1"/>
                  </w14:solidFill>
                </w14:textFill>
              </w:rPr>
              <w:t xml:space="preserve">参加采购活动前3年内(自公开招标文件发出之日起计算)在经营活动中没有重大违法记录的书面声明扫描件并签章上传至投标系统（</w:t>
            </w:r>
            <w:r>
              <w:rPr>
                <w:rFonts w:hint="eastAsia" w:ascii="宋体" w:hAnsi="宋体" w:cs="Times New Roman"/>
                <w:b/>
                <w:bCs/>
                <w:color w:val="000000" w:themeColor="text1"/>
                <w:sz w:val="24"/>
                <w:szCs w:val="20"/>
                <w14:textFill>
                  <w14:solidFill>
                    <w14:schemeClr w14:val="tx1"/>
                  </w14:solidFill>
                </w14:textFill>
              </w:rPr>
              <w:t xml:space="preserve">格式见附件</w:t>
            </w:r>
            <w:r>
              <w:rPr>
                <w:rFonts w:hint="eastAsia" w:ascii="宋体" w:hAnsi="宋体" w:cs="Times New Roman"/>
                <w:color w:val="000000" w:themeColor="text1"/>
                <w:sz w:val="24"/>
                <w:szCs w:val="20"/>
                <w14:textFill>
                  <w14:solidFill>
                    <w14:schemeClr w14:val="tx1"/>
                  </w14:solidFill>
                </w14:textFill>
              </w:rPr>
              <w:t xml:space="preserve">）</w:t>
            </w:r>
            <w:r/>
          </w:p>
        </w:tc>
        <w:tc>
          <w:tcPr>
            <w:tcW w:w="2449" w:type="dxa"/>
            <w:vAlign w:val="center"/>
            <w:vMerge w:val="continue"/>
            <w:textDirection w:val="lrTb"/>
            <w:noWrap w:val="false"/>
          </w:tcPr>
          <w:p>
            <w:pPr>
              <w:pStyle w:val="1227"/>
              <w:ind w:firstLine="0"/>
              <w:spacing w:before="0" w:after="0"/>
              <w:rPr>
                <w:rFonts w:ascii="宋体" w:hAnsi="宋体" w:cs="宋体"/>
                <w:bCs/>
                <w:color w:val="000000" w:themeColor="text1"/>
                <w:highlight w:val="none"/>
                <w14:textFill>
                  <w14:solidFill>
                    <w14:schemeClr w14:val="tx1"/>
                  </w14:solidFill>
                </w14:textFill>
              </w:rPr>
            </w:pPr>
            <w:r>
              <w:rPr>
                <w:rFonts w:ascii="宋体" w:hAnsi="宋体" w:cs="宋体"/>
                <w:bCs/>
                <w:color w:val="000000" w:themeColor="text1"/>
                <w:highlight w:val="none"/>
                <w14:textFill>
                  <w14:solidFill>
                    <w14:schemeClr w14:val="tx1"/>
                  </w14:solidFill>
                </w14:textFill>
              </w:rPr>
            </w:r>
            <w:r/>
          </w:p>
        </w:tc>
      </w:tr>
    </w:tbl>
    <w:p>
      <w:pPr>
        <w:ind w:firstLine="480"/>
        <w:spacing w:line="360" w:lineRule="auto"/>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说明：</w:t>
      </w:r>
      <w:r/>
    </w:p>
    <w:p>
      <w:pPr>
        <w:numPr>
          <w:ilvl w:val="0"/>
          <w:numId w:val="0"/>
        </w:numPr>
        <w:ind w:firstLine="48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lang w:val="en-US" w:eastAsia="zh-CN" w:bidi="ar-SA"/>
          <w14:textFill>
            <w14:solidFill>
              <w14:schemeClr w14:val="tx1"/>
            </w14:solidFill>
          </w14:textFill>
        </w:rPr>
        <w:t xml:space="preserve">（1）</w:t>
      </w:r>
      <w:r>
        <w:rPr>
          <w:rFonts w:hint="eastAsia" w:ascii="宋体" w:hAnsi="宋体" w:eastAsia="宋体" w:cs="宋体"/>
          <w:b/>
          <w:bCs/>
          <w:color w:val="000000" w:themeColor="text1"/>
          <w:sz w:val="24"/>
          <w:szCs w:val="24"/>
          <w:highlight w:val="none"/>
          <w14:textFill>
            <w14:solidFill>
              <w14:schemeClr w14:val="tx1"/>
            </w14:solidFill>
          </w14:textFill>
        </w:rPr>
        <w:t xml:space="preserve">上述证明文件中的资</w:t>
      </w:r>
      <w:r>
        <w:rPr>
          <w:rFonts w:hint="eastAsia" w:ascii="宋体" w:hAnsi="宋体" w:eastAsia="宋体" w:cs="宋体"/>
          <w:b/>
          <w:bCs/>
          <w:color w:val="000000" w:themeColor="text1"/>
          <w:sz w:val="24"/>
          <w:szCs w:val="24"/>
          <w:highlight w:val="none"/>
          <w14:textFill>
            <w14:solidFill>
              <w14:schemeClr w14:val="tx1"/>
            </w14:solidFill>
          </w14:textFill>
        </w:rPr>
        <w:t xml:space="preserve">格、资信证明文件必须全部提供，必须确保所有证明文件均为真实的、有效的且清晰的。如上述资格证明文件遇年检、换证，则必须提供法定年检、换证单位出具的有效证明扫描件。如上述资格证明文件第7、8、9三项遇有国家相关政策规定可不具备的（如依法享受缓缴、免缴税收、社会保障资金等），必须提供相关政策规定或相关单位出具的有效证明或情况说明扫描件。投标人法定代表人或法定代表人授权代表为外籍、港、澳、台地区人士的，其身份证明须提供有效的护照或港澳同胞来往内地通行证、台湾同胞来往大陆通行证，或其他可在中国大陆有效居留的许可证明。</w:t>
      </w:r>
      <w:r/>
    </w:p>
    <w:p>
      <w:pPr>
        <w:numPr>
          <w:ilvl w:val="0"/>
          <w:numId w:val="0"/>
        </w:numPr>
        <w:ind w:firstLine="480"/>
        <w:spacing w:line="360" w:lineRule="auto"/>
        <w:rPr>
          <w:rFonts w:ascii="宋体" w:hAnsi="宋体" w:eastAsia="宋体" w:cs="宋体"/>
          <w:b/>
          <w:bCs/>
          <w:color w:val="000000" w:themeColor="text1"/>
          <w:sz w:val="24"/>
          <w:szCs w:val="24"/>
          <w:highlight w:val="none"/>
          <w14:textFill>
            <w14:solidFill>
              <w14:schemeClr w14:val="tx1"/>
            </w14:solidFill>
          </w14:textFill>
        </w:rPr>
      </w:pPr>
      <w:r>
        <w:rPr>
          <w:rFonts w:hint="default" w:ascii="宋体" w:hAnsi="宋体" w:eastAsia="宋体" w:cs="宋体"/>
          <w:b/>
          <w:bCs/>
          <w:color w:val="000000" w:themeColor="text1"/>
          <w:sz w:val="24"/>
          <w:szCs w:val="24"/>
          <w:lang w:val="en-US" w:eastAsia="zh-CN" w:bidi="ar-SA"/>
          <w14:textFill>
            <w14:solidFill>
              <w14:schemeClr w14:val="tx1"/>
            </w14:solidFill>
          </w14:textFill>
        </w:rPr>
        <w:t xml:space="preserve">（2）</w:t>
      </w:r>
      <w:r>
        <w:rPr>
          <w:rFonts w:hint="eastAsia" w:ascii="宋体" w:hAnsi="宋体" w:eastAsia="宋体" w:cs="宋体"/>
          <w:b/>
          <w:bCs/>
          <w:color w:val="000000" w:themeColor="text1"/>
          <w:sz w:val="24"/>
          <w:szCs w:val="24"/>
          <w:highlight w:val="none"/>
          <w14:textFill>
            <w14:solidFill>
              <w14:schemeClr w14:val="tx1"/>
            </w14:solidFill>
          </w14:textFill>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0"/>
        </w:numPr>
        <w:ind w:left="0" w:firstLine="0"/>
        <w:spacing w:line="360" w:lineRule="auto"/>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spacing w:line="360" w:lineRule="auto"/>
        <w:rPr>
          <w:rFonts w:ascii="宋体" w:hAnsi="宋体" w:eastAsia="宋体" w:cs="宋体"/>
          <w:b/>
          <w:color w:val="auto"/>
          <w:sz w:val="28"/>
          <w:szCs w:val="28"/>
          <w:highlight w:val="none"/>
        </w:rPr>
        <w:outlineLvl w:val="2"/>
      </w:pPr>
      <w:r>
        <w:rPr>
          <w:rFonts w:hint="eastAsia" w:ascii="宋体" w:hAnsi="宋体" w:eastAsia="宋体" w:cs="宋体"/>
          <w:b/>
          <w:color w:val="auto"/>
          <w:sz w:val="28"/>
          <w:szCs w:val="28"/>
          <w:highlight w:val="none"/>
        </w:rPr>
        <w:t xml:space="preserve">二、符合性证明文件及其他证明文件</w:t>
      </w:r>
      <w:r/>
    </w:p>
    <w:p>
      <w:pPr>
        <w:rPr>
          <w:b/>
          <w:color w:val="auto"/>
          <w:sz w:val="28"/>
          <w:szCs w:val="28"/>
          <w:highlight w:val="none"/>
        </w:rPr>
      </w:pPr>
      <w:r>
        <w:rPr>
          <w:rFonts w:hint="eastAsia"/>
          <w:b/>
          <w:color w:val="auto"/>
          <w:sz w:val="28"/>
          <w:szCs w:val="28"/>
          <w:highlight w:val="none"/>
        </w:rPr>
        <w:t xml:space="preserve">（一）</w:t>
      </w:r>
      <w:r>
        <w:rPr>
          <w:rFonts w:hint="eastAsia" w:eastAsia="宋体"/>
          <w:b/>
          <w:color w:val="auto"/>
          <w:sz w:val="28"/>
          <w:szCs w:val="28"/>
          <w:highlight w:val="none"/>
          <w:lang w:val="en-US" w:eastAsia="zh-CN"/>
        </w:rPr>
        <w:t xml:space="preserve">符合性</w:t>
      </w:r>
      <w:r>
        <w:rPr>
          <w:rFonts w:hint="eastAsia"/>
          <w:b/>
          <w:color w:val="auto"/>
          <w:sz w:val="28"/>
          <w:szCs w:val="28"/>
          <w:highlight w:val="none"/>
        </w:rPr>
        <w:t xml:space="preserve">证明文件</w:t>
      </w:r>
      <w:r/>
    </w:p>
    <w:p>
      <w:pPr>
        <w:pStyle w:val="827"/>
        <w:rPr>
          <w:color w:val="auto"/>
          <w:highlight w:val="none"/>
        </w:rPr>
      </w:pPr>
      <w:r>
        <w:rPr>
          <w:color w:val="auto"/>
          <w:highlight w:val="none"/>
        </w:rPr>
      </w:r>
      <w:r/>
    </w:p>
    <w:tbl>
      <w:tblPr>
        <w:tblStyle w:val="80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1227"/>
              <w:ind w:firstLine="0"/>
              <w:jc w:val="center"/>
              <w:spacing w:before="0" w:after="0" w:line="240" w:lineRule="auto"/>
              <w:rPr>
                <w:rFonts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序号</w:t>
            </w:r>
            <w:r/>
          </w:p>
        </w:tc>
        <w:tc>
          <w:tcPr>
            <w:tcW w:w="6095" w:type="dxa"/>
            <w:vAlign w:val="center"/>
            <w:textDirection w:val="lrTb"/>
            <w:noWrap w:val="false"/>
          </w:tcPr>
          <w:p>
            <w:pPr>
              <w:pStyle w:val="1227"/>
              <w:ind w:firstLine="0"/>
              <w:jc w:val="center"/>
              <w:spacing w:before="0" w:after="0" w:line="240" w:lineRule="auto"/>
              <w:rPr>
                <w:rFonts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评审项目及评审要求</w:t>
            </w:r>
            <w:r/>
          </w:p>
        </w:tc>
        <w:tc>
          <w:tcPr>
            <w:tcW w:w="1979" w:type="dxa"/>
            <w:vAlign w:val="center"/>
            <w:textDirection w:val="lrTb"/>
            <w:noWrap w:val="false"/>
          </w:tcPr>
          <w:p>
            <w:pPr>
              <w:pStyle w:val="1227"/>
              <w:ind w:firstLine="0"/>
              <w:jc w:val="center"/>
              <w:spacing w:before="0" w:after="0" w:line="240" w:lineRule="auto"/>
              <w:rPr>
                <w:rFonts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审查因素</w:t>
            </w:r>
            <w:r/>
          </w:p>
        </w:tc>
      </w:tr>
      <w:tr>
        <w:trPr>
          <w:jc w:val="center"/>
          <w:trHeight w:val="567"/>
        </w:trPr>
        <w:tc>
          <w:tcPr>
            <w:tcW w:w="823" w:type="dxa"/>
            <w:vAlign w:val="center"/>
            <w:textDirection w:val="lrTb"/>
            <w:noWrap w:val="false"/>
          </w:tcPr>
          <w:p>
            <w:pPr>
              <w:pStyle w:val="1227"/>
              <w:ind w:firstLine="0"/>
              <w:jc w:val="center"/>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w:t>
            </w:r>
            <w:r/>
          </w:p>
        </w:tc>
        <w:tc>
          <w:tcPr>
            <w:tcW w:w="6095" w:type="dxa"/>
            <w:vAlign w:val="center"/>
            <w:textDirection w:val="lrTb"/>
            <w:noWrap w:val="false"/>
          </w:tcPr>
          <w:p>
            <w:pPr>
              <w:pStyle w:val="1227"/>
              <w:ind w:firstLine="0"/>
              <w:jc w:val="both"/>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投标函（给定格式）</w:t>
            </w:r>
            <w:r/>
          </w:p>
        </w:tc>
        <w:tc>
          <w:tcPr>
            <w:tcW w:w="1979" w:type="dxa"/>
            <w:vAlign w:val="center"/>
            <w:vMerge w:val="restart"/>
            <w:textDirection w:val="lrTb"/>
            <w:noWrap w:val="false"/>
          </w:tcPr>
          <w:p>
            <w:pPr>
              <w:pStyle w:val="1227"/>
              <w:ind w:firstLine="0"/>
              <w:jc w:val="center"/>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商务符合性</w:t>
            </w:r>
            <w:r/>
          </w:p>
        </w:tc>
      </w:tr>
      <w:tr>
        <w:trPr>
          <w:jc w:val="center"/>
          <w:trHeight w:val="567"/>
        </w:trPr>
        <w:tc>
          <w:tcPr>
            <w:tcW w:w="823" w:type="dxa"/>
            <w:vAlign w:val="center"/>
            <w:textDirection w:val="lrTb"/>
            <w:noWrap w:val="false"/>
          </w:tcPr>
          <w:p>
            <w:pPr>
              <w:pStyle w:val="1227"/>
              <w:ind w:firstLine="0"/>
              <w:jc w:val="center"/>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w:t>
            </w:r>
            <w:r/>
          </w:p>
        </w:tc>
        <w:tc>
          <w:tcPr>
            <w:tcW w:w="6095" w:type="dxa"/>
            <w:vAlign w:val="center"/>
            <w:textDirection w:val="lrTb"/>
            <w:noWrap w:val="false"/>
          </w:tcPr>
          <w:p>
            <w:pPr>
              <w:pStyle w:val="1227"/>
              <w:ind w:firstLine="0"/>
              <w:jc w:val="both"/>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承诺书（给定格式）</w:t>
            </w:r>
            <w:r/>
          </w:p>
        </w:tc>
        <w:tc>
          <w:tcPr>
            <w:tcW w:w="1979" w:type="dxa"/>
            <w:vAlign w:val="center"/>
            <w:vMerge w:val="continue"/>
            <w:textDirection w:val="lrTb"/>
            <w:noWrap w:val="false"/>
          </w:tcPr>
          <w:p>
            <w:pPr>
              <w:pStyle w:val="1227"/>
              <w:ind w:firstLine="0"/>
              <w:jc w:val="center"/>
              <w:spacing w:before="0" w:after="0" w:line="240" w:lineRule="auto"/>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r>
      <w:tr>
        <w:trPr>
          <w:jc w:val="center"/>
          <w:trHeight w:val="567"/>
        </w:trPr>
        <w:tc>
          <w:tcPr>
            <w:tcW w:w="823" w:type="dxa"/>
            <w:vAlign w:val="center"/>
            <w:textDirection w:val="lrTb"/>
            <w:noWrap w:val="false"/>
          </w:tcPr>
          <w:p>
            <w:pPr>
              <w:pStyle w:val="1227"/>
              <w:ind w:firstLine="0"/>
              <w:jc w:val="center"/>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w:t>
            </w:r>
            <w:r/>
          </w:p>
        </w:tc>
        <w:tc>
          <w:tcPr>
            <w:tcW w:w="6095" w:type="dxa"/>
            <w:vAlign w:val="center"/>
            <w:textDirection w:val="lrTb"/>
            <w:noWrap w:val="false"/>
          </w:tcPr>
          <w:p>
            <w:pPr>
              <w:pStyle w:val="1227"/>
              <w:ind w:firstLine="0"/>
              <w:jc w:val="both"/>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开标一览表（“苏采云”系统中给定格式）</w:t>
            </w:r>
            <w:r/>
          </w:p>
        </w:tc>
        <w:tc>
          <w:tcPr>
            <w:tcW w:w="1979" w:type="dxa"/>
            <w:vAlign w:val="center"/>
            <w:vMerge w:val="restart"/>
            <w:textDirection w:val="lrTb"/>
            <w:noWrap w:val="false"/>
          </w:tcPr>
          <w:p>
            <w:pPr>
              <w:pStyle w:val="1227"/>
              <w:ind w:firstLine="0"/>
              <w:jc w:val="center"/>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报价符合性</w:t>
            </w:r>
            <w:r/>
          </w:p>
        </w:tc>
      </w:tr>
      <w:tr>
        <w:trPr>
          <w:jc w:val="center"/>
          <w:trHeight w:val="567"/>
        </w:trPr>
        <w:tc>
          <w:tcPr>
            <w:tcW w:w="823" w:type="dxa"/>
            <w:vAlign w:val="center"/>
            <w:textDirection w:val="lrTb"/>
            <w:noWrap w:val="false"/>
          </w:tcPr>
          <w:p>
            <w:pPr>
              <w:pStyle w:val="1227"/>
              <w:ind w:firstLine="0"/>
              <w:jc w:val="center"/>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w:t>
            </w:r>
            <w:r/>
          </w:p>
        </w:tc>
        <w:tc>
          <w:tcPr>
            <w:tcW w:w="6095" w:type="dxa"/>
            <w:vAlign w:val="center"/>
            <w:textDirection w:val="lrTb"/>
            <w:noWrap w:val="false"/>
          </w:tcPr>
          <w:p>
            <w:pPr>
              <w:pStyle w:val="1227"/>
              <w:ind w:firstLine="0"/>
              <w:jc w:val="both"/>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分项报价表（给定格式）</w:t>
            </w:r>
            <w:r/>
          </w:p>
        </w:tc>
        <w:tc>
          <w:tcPr>
            <w:tcW w:w="1979" w:type="dxa"/>
            <w:vAlign w:val="center"/>
            <w:vMerge w:val="continue"/>
            <w:textDirection w:val="lrTb"/>
            <w:noWrap w:val="false"/>
          </w:tcPr>
          <w:p>
            <w:pPr>
              <w:pStyle w:val="1227"/>
              <w:ind w:firstLine="0"/>
              <w:jc w:val="center"/>
              <w:spacing w:before="0" w:after="0" w:line="240" w:lineRule="auto"/>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r>
      <w:tr>
        <w:trPr>
          <w:jc w:val="center"/>
          <w:trHeight w:val="567"/>
        </w:trPr>
        <w:tc>
          <w:tcPr>
            <w:tcW w:w="823" w:type="dxa"/>
            <w:vAlign w:val="center"/>
            <w:textDirection w:val="lrTb"/>
            <w:noWrap w:val="false"/>
          </w:tcPr>
          <w:p>
            <w:pPr>
              <w:pStyle w:val="1227"/>
              <w:ind w:firstLine="0"/>
              <w:jc w:val="center"/>
              <w:spacing w:before="0" w:after="0" w:line="240" w:lineRule="auto"/>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cs="宋体"/>
                <w:color w:val="000000" w:themeColor="text1"/>
                <w:lang w:val="en-US" w:eastAsia="zh-CN"/>
                <w14:textFill>
                  <w14:solidFill>
                    <w14:schemeClr w14:val="tx1"/>
                  </w14:solidFill>
                </w14:textFill>
              </w:rPr>
              <w:t xml:space="preserve">5</w:t>
            </w:r>
            <w:r/>
          </w:p>
        </w:tc>
        <w:tc>
          <w:tcPr>
            <w:tcW w:w="6095" w:type="dxa"/>
            <w:vAlign w:val="center"/>
            <w:textDirection w:val="lrTb"/>
            <w:noWrap w:val="false"/>
          </w:tcPr>
          <w:p>
            <w:pPr>
              <w:pStyle w:val="1227"/>
              <w:ind w:firstLine="0"/>
              <w:jc w:val="both"/>
              <w:spacing w:before="0" w:after="0" w:line="240" w:lineRule="auto"/>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cs="宋体"/>
                <w:color w:val="000000" w:themeColor="text1"/>
                <w:lang w:val="en-US" w:eastAsia="zh-CN"/>
                <w14:textFill>
                  <w14:solidFill>
                    <w14:schemeClr w14:val="tx1"/>
                  </w14:solidFill>
                </w14:textFill>
              </w:rPr>
              <w:t xml:space="preserve">细目报价表</w:t>
            </w:r>
            <w:r>
              <w:rPr>
                <w:rFonts w:hint="eastAsia" w:ascii="宋体" w:hAnsi="宋体" w:cs="宋体"/>
                <w:color w:val="000000" w:themeColor="text1"/>
                <w14:textFill>
                  <w14:solidFill>
                    <w14:schemeClr w14:val="tx1"/>
                  </w14:solidFill>
                </w14:textFill>
              </w:rPr>
              <w:t xml:space="preserve">（给定格式）</w:t>
            </w:r>
            <w:r/>
          </w:p>
        </w:tc>
        <w:tc>
          <w:tcPr>
            <w:tcW w:w="1979" w:type="dxa"/>
            <w:vAlign w:val="center"/>
            <w:vMerge w:val="continue"/>
            <w:textDirection w:val="lrTb"/>
            <w:noWrap w:val="false"/>
          </w:tcPr>
          <w:p>
            <w:pPr>
              <w:pStyle w:val="1227"/>
              <w:ind w:firstLine="0"/>
              <w:jc w:val="center"/>
              <w:spacing w:before="0" w:after="0" w:line="240" w:lineRule="auto"/>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r>
      <w:tr>
        <w:trPr>
          <w:jc w:val="center"/>
          <w:trHeight w:val="567"/>
        </w:trPr>
        <w:tc>
          <w:tcPr>
            <w:tcW w:w="823" w:type="dxa"/>
            <w:vAlign w:val="center"/>
            <w:textDirection w:val="lrTb"/>
            <w:noWrap w:val="false"/>
          </w:tcPr>
          <w:p>
            <w:pPr>
              <w:pStyle w:val="1227"/>
              <w:ind w:firstLine="0"/>
              <w:jc w:val="center"/>
              <w:spacing w:before="0" w:after="0" w:line="240" w:lineRule="auto"/>
              <w:rPr>
                <w:rFonts w:hint="eastAsia" w:ascii="宋体" w:hAnsi="宋体" w:eastAsia="宋体" w:cs="宋体"/>
                <w:color w:val="000000" w:themeColor="text1"/>
                <w:lang w:eastAsia="zh-CN"/>
                <w14:textFill>
                  <w14:solidFill>
                    <w14:schemeClr w14:val="tx1"/>
                  </w14:solidFill>
                </w14:textFill>
              </w:rPr>
            </w:pPr>
            <w:r>
              <w:rPr>
                <w:rFonts w:hint="eastAsia" w:ascii="宋体" w:hAnsi="宋体" w:cs="宋体"/>
                <w:color w:val="000000" w:themeColor="text1"/>
                <w:lang w:val="en-US" w:eastAsia="zh-CN"/>
                <w14:textFill>
                  <w14:solidFill>
                    <w14:schemeClr w14:val="tx1"/>
                  </w14:solidFill>
                </w14:textFill>
              </w:rPr>
              <w:t xml:space="preserve">6</w:t>
            </w:r>
            <w:r/>
          </w:p>
        </w:tc>
        <w:tc>
          <w:tcPr>
            <w:tcW w:w="6095" w:type="dxa"/>
            <w:vAlign w:val="center"/>
            <w:textDirection w:val="lrTb"/>
            <w:noWrap w:val="false"/>
          </w:tcPr>
          <w:p>
            <w:pPr>
              <w:pStyle w:val="1227"/>
              <w:ind w:firstLine="0"/>
              <w:jc w:val="both"/>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投标偏离表（给定格式）</w:t>
            </w:r>
            <w:r/>
          </w:p>
        </w:tc>
        <w:tc>
          <w:tcPr>
            <w:tcW w:w="1979" w:type="dxa"/>
            <w:vAlign w:val="center"/>
            <w:vMerge w:val="restart"/>
            <w:textDirection w:val="lrTb"/>
            <w:noWrap w:val="false"/>
          </w:tcPr>
          <w:p>
            <w:pPr>
              <w:pStyle w:val="1227"/>
              <w:ind w:firstLine="0"/>
              <w:jc w:val="center"/>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技术符合性</w:t>
            </w:r>
            <w:r/>
          </w:p>
        </w:tc>
      </w:tr>
      <w:tr>
        <w:trPr>
          <w:jc w:val="center"/>
          <w:trHeight w:val="567"/>
        </w:trPr>
        <w:tc>
          <w:tcPr>
            <w:tcW w:w="823" w:type="dxa"/>
            <w:vAlign w:val="center"/>
            <w:textDirection w:val="lrTb"/>
            <w:noWrap w:val="false"/>
          </w:tcPr>
          <w:p>
            <w:pPr>
              <w:pStyle w:val="1227"/>
              <w:ind w:firstLine="0"/>
              <w:jc w:val="center"/>
              <w:spacing w:before="0" w:after="0" w:line="240" w:lineRule="auto"/>
              <w:rPr>
                <w:rFonts w:hint="eastAsia" w:ascii="宋体" w:hAnsi="宋体" w:eastAsia="宋体" w:cs="宋体"/>
                <w:color w:val="000000" w:themeColor="text1"/>
                <w:lang w:eastAsia="zh-CN"/>
                <w14:textFill>
                  <w14:solidFill>
                    <w14:schemeClr w14:val="tx1"/>
                  </w14:solidFill>
                </w14:textFill>
              </w:rPr>
            </w:pPr>
            <w:r>
              <w:rPr>
                <w:rFonts w:hint="eastAsia" w:ascii="宋体" w:hAnsi="宋体" w:cs="宋体"/>
                <w:color w:val="000000" w:themeColor="text1"/>
                <w:lang w:val="en-US" w:eastAsia="zh-CN"/>
                <w14:textFill>
                  <w14:solidFill>
                    <w14:schemeClr w14:val="tx1"/>
                  </w14:solidFill>
                </w14:textFill>
              </w:rPr>
              <w:t xml:space="preserve">7</w:t>
            </w:r>
            <w:r/>
          </w:p>
        </w:tc>
        <w:tc>
          <w:tcPr>
            <w:tcW w:w="6095" w:type="dxa"/>
            <w:vAlign w:val="center"/>
            <w:textDirection w:val="lrTb"/>
            <w:noWrap w:val="false"/>
          </w:tcPr>
          <w:p>
            <w:pPr>
              <w:pStyle w:val="1227"/>
              <w:ind w:firstLine="0"/>
              <w:jc w:val="both"/>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《采购需求》中要求提供的证明材料（</w:t>
            </w:r>
            <w:r>
              <w:rPr>
                <w:rFonts w:hint="eastAsia" w:ascii="宋体" w:hAnsi="宋体" w:eastAsia="宋体" w:cs="宋体"/>
                <w:b/>
                <w:bCs w:val="0"/>
                <w:color w:val="000000" w:themeColor="text1"/>
                <w:sz w:val="24"/>
                <w:szCs w:val="24"/>
                <w:highlight w:val="none"/>
                <w14:textFill>
                  <w14:solidFill>
                    <w14:schemeClr w14:val="tx1"/>
                  </w14:solidFill>
                </w14:textFill>
              </w:rPr>
              <w:t xml:space="preserve">标本制作厂家取得的林业主管部门批准的野生动物标本制作许可证明材料</w:t>
            </w:r>
            <w:r>
              <w:rPr>
                <w:rFonts w:hint="eastAsia" w:ascii="宋体" w:hAnsi="宋体" w:cs="宋体"/>
                <w:color w:val="000000" w:themeColor="text1"/>
                <w14:textFill>
                  <w14:solidFill>
                    <w14:schemeClr w14:val="tx1"/>
                  </w14:solidFill>
                </w14:textFill>
              </w:rPr>
              <w:t xml:space="preserve">）</w:t>
            </w:r>
            <w:r/>
          </w:p>
        </w:tc>
        <w:tc>
          <w:tcPr>
            <w:tcW w:w="1979" w:type="dxa"/>
            <w:vAlign w:val="center"/>
            <w:vMerge w:val="continue"/>
            <w:textDirection w:val="lrTb"/>
            <w:noWrap w:val="false"/>
          </w:tcPr>
          <w:p>
            <w:pPr>
              <w:pStyle w:val="1227"/>
              <w:ind w:firstLine="0"/>
              <w:jc w:val="center"/>
              <w:spacing w:before="0" w:after="0" w:line="240" w:lineRule="auto"/>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r>
    </w:tbl>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说明：</w:t>
      </w:r>
      <w:r/>
    </w:p>
    <w:p>
      <w:pPr>
        <w:ind w:firstLine="480"/>
        <w:spacing w:line="500" w:lineRule="exact"/>
        <w:rPr>
          <w:rFonts w:hint="eastAsia" w:ascii="宋体" w:hAnsi="宋体" w:cs="Times New Roman"/>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（1）上述符合性证明文件第1～</w:t>
      </w:r>
      <w:r>
        <w:rPr>
          <w:rFonts w:hint="eastAsia" w:ascii="宋体" w:hAnsi="宋体" w:eastAsia="宋体"/>
          <w:color w:val="000000" w:themeColor="text1"/>
          <w:sz w:val="24"/>
          <w:szCs w:val="24"/>
          <w:lang w:val="en-US" w:eastAsia="zh-CN"/>
          <w14:textFill>
            <w14:solidFill>
              <w14:schemeClr w14:val="tx1"/>
            </w14:solidFill>
          </w14:textFill>
        </w:rPr>
        <w:t xml:space="preserve">6</w:t>
      </w:r>
      <w:r>
        <w:rPr>
          <w:rFonts w:hint="eastAsia" w:ascii="宋体" w:hAnsi="宋体"/>
          <w:color w:val="000000" w:themeColor="text1"/>
          <w:sz w:val="24"/>
          <w:szCs w:val="24"/>
          <w14:textFill>
            <w14:solidFill>
              <w14:schemeClr w14:val="tx1"/>
            </w14:solidFill>
          </w14:textFill>
        </w:rPr>
        <w:t xml:space="preserve">项必须按要求全部提供（有给定格式的，必须</w:t>
      </w:r>
      <w:r>
        <w:rPr>
          <w:rFonts w:hint="eastAsia" w:ascii="宋体" w:hAnsi="宋体" w:cs="Times New Roman"/>
          <w:color w:val="000000" w:themeColor="text1"/>
          <w:sz w:val="24"/>
          <w:szCs w:val="24"/>
          <w14:textFill>
            <w14:solidFill>
              <w14:schemeClr w14:val="tx1"/>
            </w14:solidFill>
          </w14:textFill>
        </w:rPr>
        <w:t xml:space="preserve">按给定格式的要求正确填报并提供，相应格式见</w:t>
      </w:r>
      <w:r>
        <w:rPr>
          <w:rFonts w:hint="eastAsia" w:ascii="宋体" w:hAnsi="宋体" w:eastAsia="宋体" w:cs="Times New Roman"/>
          <w:color w:val="000000" w:themeColor="text1"/>
          <w:sz w:val="24"/>
          <w:szCs w:val="24"/>
          <w:lang w:val="en-US" w:eastAsia="zh-CN"/>
          <w14:textFill>
            <w14:solidFill>
              <w14:schemeClr w14:val="tx1"/>
            </w14:solidFill>
          </w14:textFill>
        </w:rPr>
        <w:t xml:space="preserve">第六章</w:t>
      </w:r>
      <w:r>
        <w:rPr>
          <w:rFonts w:hint="eastAsia" w:ascii="宋体" w:hAnsi="宋体" w:cs="Times New Roman"/>
          <w:color w:val="000000" w:themeColor="text1"/>
          <w:sz w:val="24"/>
          <w:szCs w:val="24"/>
          <w14:textFill>
            <w14:solidFill>
              <w14:schemeClr w14:val="tx1"/>
            </w14:solidFill>
          </w14:textFill>
        </w:rPr>
        <w:t xml:space="preserve">），否则投标文件无效。</w:t>
      </w:r>
      <w:r/>
    </w:p>
    <w:p>
      <w:pPr>
        <w:ind w:firstLine="480"/>
        <w:spacing w:line="500" w:lineRule="exact"/>
        <w:rPr>
          <w:rFonts w:hint="default" w:ascii="宋体" w:hAnsi="宋体" w:eastAsia="宋体" w:cs="Times New Roman"/>
          <w:color w:val="000000" w:themeColor="text1"/>
          <w:sz w:val="24"/>
          <w:szCs w:val="24"/>
          <w:lang w:val="en-US" w:eastAsia="zh-CN"/>
          <w14:textFill>
            <w14:solidFill>
              <w14:schemeClr w14:val="tx1"/>
            </w14:solidFill>
          </w14:textFill>
        </w:rPr>
      </w:pPr>
      <w:r>
        <w:rPr>
          <w:rFonts w:hint="eastAsia" w:ascii="宋体" w:hAnsi="宋体" w:cs="Times New Roman"/>
          <w:color w:val="000000" w:themeColor="text1"/>
          <w:sz w:val="24"/>
          <w:szCs w:val="24"/>
          <w14:textFill>
            <w14:solidFill>
              <w14:schemeClr w14:val="tx1"/>
            </w14:solidFill>
          </w14:textFill>
        </w:rPr>
        <w:t xml:space="preserve">（2）上述符合性证明文件第</w:t>
      </w:r>
      <w:r>
        <w:rPr>
          <w:rFonts w:hint="eastAsia" w:ascii="宋体" w:hAnsi="宋体" w:eastAsia="宋体" w:cs="Times New Roman"/>
          <w:color w:val="000000" w:themeColor="text1"/>
          <w:sz w:val="24"/>
          <w:szCs w:val="24"/>
          <w:lang w:val="en-US" w:eastAsia="zh-CN"/>
          <w14:textFill>
            <w14:solidFill>
              <w14:schemeClr w14:val="tx1"/>
            </w14:solidFill>
          </w14:textFill>
        </w:rPr>
        <w:t xml:space="preserve">7</w:t>
      </w:r>
      <w:r>
        <w:rPr>
          <w:rFonts w:hint="eastAsia" w:ascii="宋体" w:hAnsi="宋体" w:cs="Times New Roman"/>
          <w:color w:val="000000" w:themeColor="text1"/>
          <w:sz w:val="24"/>
          <w:szCs w:val="24"/>
          <w14:textFill>
            <w14:solidFill>
              <w14:schemeClr w14:val="tx1"/>
            </w14:solidFill>
          </w14:textFill>
        </w:rPr>
        <w:t xml:space="preserve">项，《采购需求》中如有要求提供证明材料的，须按要求提供，否则投标文件无效</w:t>
      </w:r>
      <w:r>
        <w:rPr>
          <w:rFonts w:hint="eastAsia" w:ascii="宋体" w:hAnsi="宋体" w:eastAsia="宋体" w:cs="Times New Roman"/>
          <w:color w:val="000000" w:themeColor="text1"/>
          <w:sz w:val="24"/>
          <w:szCs w:val="24"/>
          <w:lang w:eastAsia="zh-CN"/>
          <w14:textFill>
            <w14:solidFill>
              <w14:schemeClr w14:val="tx1"/>
            </w14:solidFill>
          </w14:textFill>
        </w:rPr>
        <w:t xml:space="preserve">。</w:t>
      </w:r>
      <w:r/>
    </w:p>
    <w:p>
      <w:pPr>
        <w:rPr>
          <w:b/>
          <w:color w:val="auto"/>
          <w:sz w:val="28"/>
          <w:szCs w:val="28"/>
          <w:highlight w:val="none"/>
        </w:rPr>
      </w:pPr>
      <w:r>
        <w:rPr>
          <w:b/>
          <w:color w:val="auto"/>
          <w:sz w:val="28"/>
          <w:szCs w:val="28"/>
          <w:highlight w:val="none"/>
        </w:rPr>
      </w:r>
      <w:r/>
    </w:p>
    <w:p>
      <w:pPr>
        <w:rPr>
          <w:b/>
          <w:color w:val="auto"/>
          <w:sz w:val="28"/>
          <w:szCs w:val="28"/>
          <w:highlight w:val="none"/>
        </w:rPr>
      </w:pPr>
      <w:r>
        <w:rPr>
          <w:rFonts w:hint="eastAsia"/>
          <w:b/>
          <w:color w:val="auto"/>
          <w:sz w:val="28"/>
          <w:szCs w:val="28"/>
          <w:highlight w:val="none"/>
        </w:rPr>
        <w:t xml:space="preserve">（二）其他证明文件</w:t>
      </w:r>
      <w:r/>
    </w:p>
    <w:p>
      <w:pPr>
        <w:ind w:left="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1.《评标方法与评标标准》中涉及的证明文件。</w:t>
      </w:r>
      <w:r/>
    </w:p>
    <w:p>
      <w:pPr>
        <w:ind w:left="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2.投标人认为如有其他应附的文件可自拟并自行添加。</w:t>
      </w:r>
      <w:r/>
    </w:p>
    <w:p>
      <w:pPr>
        <w:spacing w:line="360" w:lineRule="auto"/>
        <w:rPr>
          <w:rFonts w:ascii="宋体" w:hAnsi="宋体" w:eastAsia="宋体" w:cs="宋体"/>
          <w:b/>
          <w:color w:val="auto"/>
          <w:sz w:val="30"/>
          <w:szCs w:val="30"/>
          <w:highlight w:val="none"/>
        </w:rPr>
        <w:outlineLvl w:val="1"/>
      </w:pPr>
      <w:r>
        <w:rPr>
          <w:rFonts w:hint="eastAsia" w:ascii="宋体" w:hAnsi="宋体" w:eastAsia="宋体" w:cs="宋体"/>
          <w:color w:val="auto"/>
          <w:sz w:val="24"/>
          <w:szCs w:val="24"/>
          <w:highlight w:val="none"/>
        </w:rPr>
        <w:br w:type="page" w:clear="all"/>
      </w:r>
      <w:r>
        <w:rPr>
          <w:rFonts w:hint="eastAsia" w:ascii="宋体" w:hAnsi="宋体" w:eastAsia="宋体" w:cs="宋体"/>
          <w:b/>
          <w:color w:val="auto"/>
          <w:sz w:val="30"/>
          <w:szCs w:val="30"/>
          <w:highlight w:val="none"/>
        </w:rPr>
        <w:t xml:space="preserve">第二部分投标文件格式</w:t>
      </w:r>
      <w:r/>
    </w:p>
    <w:p>
      <w:pPr>
        <w:pStyle w:val="1227"/>
        <w:ind w:firstLine="0"/>
        <w:spacing w:before="0" w:after="0"/>
        <w:rPr>
          <w:rFonts w:ascii="宋体" w:hAnsi="宋体" w:cs="宋体"/>
          <w:b/>
          <w:color w:val="auto"/>
          <w:sz w:val="28"/>
          <w:szCs w:val="28"/>
          <w:highlight w:val="none"/>
        </w:rPr>
        <w:outlineLvl w:val="2"/>
      </w:pPr>
      <w:r>
        <w:rPr>
          <w:rFonts w:hint="eastAsia" w:ascii="宋体" w:hAnsi="宋体" w:cs="宋体"/>
          <w:b/>
          <w:color w:val="auto"/>
          <w:sz w:val="28"/>
          <w:szCs w:val="28"/>
          <w:highlight w:val="none"/>
        </w:rPr>
        <w:t xml:space="preserve">封面格式（参考格式）：</w:t>
      </w:r>
      <w:r/>
    </w:p>
    <w:p>
      <w:pPr>
        <w:spacing w:line="360" w:lineRule="auto"/>
        <w:rPr>
          <w:rFonts w:ascii="宋体" w:hAnsi="宋体" w:eastAsia="宋体" w:cs="宋体"/>
          <w:bCs/>
          <w:color w:val="auto"/>
          <w:sz w:val="32"/>
          <w:highlight w:val="none"/>
        </w:rPr>
      </w:pPr>
      <w:r>
        <w:rPr>
          <w:rFonts w:ascii="宋体" w:hAnsi="宋体" w:eastAsia="宋体" w:cs="宋体"/>
          <w:bCs/>
          <w:color w:val="auto"/>
          <w:sz w:val="32"/>
          <w:highlight w:val="none"/>
        </w:rPr>
      </w:r>
      <w:r/>
    </w:p>
    <w:p>
      <w:pPr>
        <w:jc w:val="center"/>
        <w:spacing w:line="360" w:lineRule="auto"/>
        <w:rPr>
          <w:rFonts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投</w:t>
      </w:r>
      <w:r/>
    </w:p>
    <w:p>
      <w:pPr>
        <w:jc w:val="center"/>
        <w:spacing w:line="360" w:lineRule="auto"/>
        <w:rPr>
          <w:rFonts w:ascii="宋体" w:hAnsi="宋体" w:eastAsia="宋体" w:cs="宋体"/>
          <w:bCs/>
          <w:color w:val="auto"/>
          <w:sz w:val="72"/>
          <w:highlight w:val="none"/>
        </w:rPr>
      </w:pPr>
      <w:r>
        <w:rPr>
          <w:rFonts w:ascii="宋体" w:hAnsi="宋体" w:eastAsia="宋体" w:cs="宋体"/>
          <w:bCs/>
          <w:color w:val="auto"/>
          <w:sz w:val="72"/>
          <w:highlight w:val="none"/>
        </w:rPr>
      </w:r>
      <w:r/>
    </w:p>
    <w:p>
      <w:pPr>
        <w:jc w:val="center"/>
        <w:spacing w:line="360" w:lineRule="auto"/>
        <w:rPr>
          <w:rFonts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标</w:t>
      </w:r>
      <w:r/>
    </w:p>
    <w:p>
      <w:pPr>
        <w:jc w:val="center"/>
        <w:spacing w:line="360" w:lineRule="auto"/>
        <w:rPr>
          <w:rFonts w:ascii="宋体" w:hAnsi="宋体" w:eastAsia="宋体" w:cs="宋体"/>
          <w:bCs/>
          <w:color w:val="auto"/>
          <w:sz w:val="72"/>
          <w:highlight w:val="none"/>
        </w:rPr>
      </w:pPr>
      <w:r>
        <w:rPr>
          <w:rFonts w:ascii="宋体" w:hAnsi="宋体" w:eastAsia="宋体" w:cs="宋体"/>
          <w:bCs/>
          <w:color w:val="auto"/>
          <w:sz w:val="72"/>
          <w:highlight w:val="none"/>
        </w:rPr>
      </w:r>
      <w:r/>
    </w:p>
    <w:p>
      <w:pPr>
        <w:jc w:val="center"/>
        <w:spacing w:line="360" w:lineRule="auto"/>
        <w:rPr>
          <w:rFonts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文</w:t>
      </w:r>
      <w:r/>
    </w:p>
    <w:p>
      <w:pPr>
        <w:jc w:val="center"/>
        <w:spacing w:line="360" w:lineRule="auto"/>
        <w:rPr>
          <w:rFonts w:ascii="宋体" w:hAnsi="宋体" w:eastAsia="宋体" w:cs="宋体"/>
          <w:bCs/>
          <w:color w:val="auto"/>
          <w:sz w:val="52"/>
          <w:szCs w:val="52"/>
          <w:highlight w:val="none"/>
        </w:rPr>
      </w:pPr>
      <w:r>
        <w:rPr>
          <w:rFonts w:ascii="宋体" w:hAnsi="宋体" w:eastAsia="宋体" w:cs="宋体"/>
          <w:bCs/>
          <w:color w:val="auto"/>
          <w:sz w:val="52"/>
          <w:szCs w:val="52"/>
          <w:highlight w:val="none"/>
        </w:rPr>
      </w:r>
      <w:r/>
    </w:p>
    <w:p>
      <w:pPr>
        <w:jc w:val="center"/>
        <w:spacing w:line="360" w:lineRule="auto"/>
        <w:rPr>
          <w:rFonts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件</w:t>
      </w:r>
      <w:r/>
    </w:p>
    <w:p>
      <w:pPr>
        <w:spacing w:line="360" w:lineRule="auto"/>
        <w:rPr>
          <w:rFonts w:ascii="宋体" w:hAnsi="宋体" w:eastAsia="宋体" w:cs="宋体"/>
          <w:bCs/>
          <w:color w:val="auto"/>
          <w:sz w:val="28"/>
          <w:highlight w:val="none"/>
        </w:rPr>
      </w:pPr>
      <w:r>
        <w:rPr>
          <w:rFonts w:ascii="宋体" w:hAnsi="宋体" w:eastAsia="宋体" w:cs="宋体"/>
          <w:bCs/>
          <w:color w:val="auto"/>
          <w:sz w:val="28"/>
          <w:highlight w:val="none"/>
        </w:rPr>
      </w:r>
      <w:r/>
    </w:p>
    <w:p>
      <w:pPr>
        <w:ind w:firstLine="2715"/>
        <w:spacing w:line="360" w:lineRule="auto"/>
        <w:rPr>
          <w:rFonts w:ascii="宋体" w:hAnsi="宋体" w:eastAsia="宋体" w:cs="宋体"/>
          <w:bCs/>
          <w:color w:val="auto"/>
          <w:sz w:val="28"/>
          <w:szCs w:val="28"/>
          <w:highlight w:val="none"/>
        </w:rPr>
      </w:pPr>
      <w:r/>
      <w:bookmarkStart w:id="146" w:name="_Hlk165208193"/>
      <w:r>
        <w:rPr>
          <w:rFonts w:hint="eastAsia" w:ascii="宋体" w:hAnsi="宋体" w:eastAsia="宋体" w:cs="宋体"/>
          <w:bCs/>
          <w:color w:val="auto"/>
          <w:sz w:val="28"/>
          <w:szCs w:val="28"/>
          <w:highlight w:val="none"/>
        </w:rPr>
        <w:t xml:space="preserve">采购项目编号： </w:t>
      </w:r>
      <w:r/>
    </w:p>
    <w:p>
      <w:pPr>
        <w:ind w:firstLine="2703"/>
        <w:spacing w:line="360" w:lineRule="auto"/>
        <w:rPr>
          <w:rFonts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采购项目名称： </w:t>
      </w:r>
      <w:r/>
    </w:p>
    <w:p>
      <w:pPr>
        <w:ind w:firstLine="2703"/>
        <w:spacing w:line="360" w:lineRule="auto"/>
        <w:rPr>
          <w:rFonts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投标人： </w:t>
      </w:r>
      <w:r/>
    </w:p>
    <w:p>
      <w:pPr>
        <w:jc w:val="center"/>
        <w:spacing w:line="360" w:lineRule="auto"/>
        <w:rPr>
          <w:rFonts w:ascii="宋体" w:hAnsi="宋体" w:eastAsia="宋体" w:cs="宋体"/>
          <w:bCs/>
          <w:color w:val="auto"/>
          <w:sz w:val="40"/>
          <w:szCs w:val="40"/>
          <w:highlight w:val="none"/>
        </w:rPr>
        <w:outlineLvl w:val="9"/>
      </w:pPr>
      <w:r>
        <w:rPr>
          <w:rFonts w:ascii="宋体" w:hAnsi="宋体" w:eastAsia="宋体" w:cs="宋体"/>
          <w:bCs/>
          <w:color w:val="auto"/>
          <w:sz w:val="40"/>
          <w:szCs w:val="40"/>
          <w:highlight w:val="none"/>
        </w:rPr>
      </w:r>
      <w:r/>
    </w:p>
    <w:p>
      <w:pPr>
        <w:jc w:val="center"/>
        <w:spacing w:line="360" w:lineRule="auto"/>
        <w:rPr>
          <w:rFonts w:ascii="宋体" w:hAnsi="宋体" w:eastAsia="宋体" w:cs="宋体"/>
          <w:bCs/>
          <w:color w:val="auto"/>
          <w:sz w:val="28"/>
          <w:szCs w:val="28"/>
          <w:highlight w:val="none"/>
        </w:rPr>
        <w:outlineLvl w:val="9"/>
      </w:pPr>
      <w:r>
        <w:rPr>
          <w:rFonts w:hint="eastAsia" w:ascii="宋体" w:hAnsi="宋体" w:eastAsia="宋体" w:cs="宋体"/>
          <w:bCs/>
          <w:color w:val="auto"/>
          <w:sz w:val="28"/>
          <w:szCs w:val="28"/>
          <w:highlight w:val="none"/>
          <w:lang w:val="en-US" w:eastAsia="zh-CN"/>
        </w:rPr>
        <w:t xml:space="preserve">2026</w:t>
      </w:r>
      <w:r>
        <w:rPr>
          <w:rFonts w:hint="eastAsia" w:ascii="宋体" w:hAnsi="宋体" w:eastAsia="宋体" w:cs="宋体"/>
          <w:bCs/>
          <w:color w:val="auto"/>
          <w:sz w:val="28"/>
          <w:szCs w:val="28"/>
          <w:highlight w:val="none"/>
        </w:rPr>
        <w:t xml:space="preserve">年   月</w:t>
      </w:r>
      <w:bookmarkEnd w:id="146"/>
      <w:r/>
      <w:r/>
    </w:p>
    <w:p>
      <w:pPr>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spacing w:line="360" w:lineRule="auto"/>
        <w:rPr>
          <w:rFonts w:ascii="宋体" w:hAnsi="宋体" w:eastAsia="宋体" w:cs="宋体"/>
          <w:b/>
          <w:color w:val="auto"/>
          <w:sz w:val="28"/>
          <w:szCs w:val="28"/>
          <w:highlight w:val="none"/>
        </w:rPr>
        <w:outlineLvl w:val="2"/>
      </w:pPr>
      <w:r>
        <w:rPr>
          <w:rFonts w:hint="eastAsia" w:ascii="宋体" w:hAnsi="宋体" w:eastAsia="宋体" w:cs="宋体"/>
          <w:b/>
          <w:color w:val="auto"/>
          <w:sz w:val="28"/>
          <w:szCs w:val="28"/>
          <w:highlight w:val="none"/>
          <w:lang w:val="en-US" w:eastAsia="zh-CN"/>
        </w:rPr>
        <w:t xml:space="preserve">一</w:t>
      </w:r>
      <w:r>
        <w:rPr>
          <w:rFonts w:hint="eastAsia" w:ascii="宋体" w:hAnsi="宋体" w:eastAsia="宋体" w:cs="宋体"/>
          <w:b/>
          <w:color w:val="auto"/>
          <w:sz w:val="28"/>
          <w:szCs w:val="28"/>
          <w:highlight w:val="none"/>
        </w:rPr>
        <w:t xml:space="preserve">、投标函（给定格式）：</w:t>
      </w:r>
      <w:r/>
    </w:p>
    <w:p>
      <w:pPr>
        <w:jc w:val="cente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8"/>
          <w:szCs w:val="28"/>
          <w:highlight w:val="none"/>
        </w:rPr>
        <w:t xml:space="preserve">投标函</w:t>
      </w:r>
      <w:r/>
    </w:p>
    <w:p>
      <w:pPr>
        <w:spacing w:line="312"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致无锡市建汇建设工程咨询事务所有限公司：</w:t>
      </w:r>
      <w:r/>
    </w:p>
    <w:p>
      <w:pPr>
        <w:ind w:firstLine="480"/>
        <w:spacing w:line="312"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我方收到贵方编号</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招标文件，经仔细阅读和研究，我方决定参加此项目的投标。</w:t>
      </w:r>
      <w:r/>
    </w:p>
    <w:p>
      <w:pPr>
        <w:numPr>
          <w:ilvl w:val="0"/>
          <w:numId w:val="13"/>
        </w:numPr>
        <w:ind w:left="-105" w:firstLine="525"/>
        <w:spacing w:line="312" w:lineRule="auto"/>
        <w:tabs>
          <w:tab w:val="left" w:pos="315" w:leader="none"/>
          <w:tab w:val="left" w:pos="840" w:leader="none"/>
          <w:tab w:val="left" w:pos="945" w:leader="none"/>
          <w:tab w:val="left" w:pos="1050" w:leader="none"/>
          <w:tab w:val="left" w:pos="126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我方愿意按照招标文件的一切要求，提供本项目的投标，投标优惠率见《开标一览表》。</w:t>
      </w:r>
      <w:r/>
    </w:p>
    <w:p>
      <w:pPr>
        <w:numPr>
          <w:ilvl w:val="0"/>
          <w:numId w:val="13"/>
        </w:numPr>
        <w:ind w:left="-105" w:firstLine="523"/>
        <w:spacing w:line="312" w:lineRule="auto"/>
        <w:tabs>
          <w:tab w:val="left" w:pos="0" w:leader="none"/>
          <w:tab w:val="left" w:pos="315" w:leader="none"/>
          <w:tab w:val="left" w:pos="525" w:leader="none"/>
          <w:tab w:val="left" w:pos="840" w:leader="none"/>
          <w:tab w:val="left" w:pos="945" w:leader="none"/>
          <w:tab w:val="left" w:pos="1050" w:leader="none"/>
        </w:tabs>
        <w:rPr>
          <w:rStyle w:val="1221"/>
          <w:bCs/>
          <w:color w:val="auto"/>
          <w:highlight w:val="none"/>
        </w:rPr>
      </w:pPr>
      <w:r>
        <w:rPr>
          <w:rFonts w:hint="eastAsia" w:ascii="宋体" w:hAnsi="宋体" w:eastAsia="宋体" w:cs="宋体"/>
          <w:bCs/>
          <w:color w:val="auto"/>
          <w:sz w:val="24"/>
          <w:szCs w:val="24"/>
          <w:highlight w:val="none"/>
        </w:rPr>
        <w:t xml:space="preserve">我方愿意提供无锡市建汇建设工程咨询事务所有限公司在招标文件中要求的文件、资料。</w:t>
      </w:r>
      <w:r/>
    </w:p>
    <w:p>
      <w:pPr>
        <w:numPr>
          <w:ilvl w:val="0"/>
          <w:numId w:val="13"/>
        </w:numPr>
        <w:ind w:left="-105" w:firstLine="523"/>
        <w:spacing w:line="312" w:lineRule="auto"/>
        <w:tabs>
          <w:tab w:val="left" w:pos="0" w:leader="none"/>
          <w:tab w:val="left" w:pos="315" w:leader="none"/>
          <w:tab w:val="left" w:pos="525" w:leader="none"/>
          <w:tab w:val="left" w:pos="945" w:leader="none"/>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我方同意按照招标文件中的规定，从规定的开标日期起遵循本投标文件，并在规定的投标有效期期满之前均具有约束力。</w:t>
      </w:r>
      <w:r/>
    </w:p>
    <w:p>
      <w:pPr>
        <w:numPr>
          <w:ilvl w:val="0"/>
          <w:numId w:val="13"/>
        </w:numPr>
        <w:ind w:left="-105" w:firstLine="523"/>
        <w:spacing w:line="312" w:lineRule="auto"/>
        <w:tabs>
          <w:tab w:val="left" w:pos="0" w:leader="none"/>
          <w:tab w:val="left" w:pos="315" w:leader="none"/>
          <w:tab w:val="left" w:pos="525" w:leader="none"/>
          <w:tab w:val="left" w:pos="945" w:leader="none"/>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如果我方的投标文件被接受，我方将履行招标文件中规定的每一项要求，按期、按质、按量，完成交货任务。</w:t>
      </w:r>
      <w:r/>
    </w:p>
    <w:p>
      <w:pPr>
        <w:numPr>
          <w:ilvl w:val="0"/>
          <w:numId w:val="13"/>
        </w:numPr>
        <w:ind w:left="-105" w:firstLine="523"/>
        <w:spacing w:line="312" w:lineRule="auto"/>
        <w:tabs>
          <w:tab w:val="left" w:pos="0" w:leader="none"/>
          <w:tab w:val="left" w:pos="315" w:leader="none"/>
          <w:tab w:val="left" w:pos="525" w:leader="none"/>
          <w:tab w:val="left" w:pos="945" w:leader="none"/>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我方完全同意招标文件规定的决定中标者的方式。</w:t>
      </w:r>
      <w:r/>
    </w:p>
    <w:p>
      <w:pPr>
        <w:numPr>
          <w:ilvl w:val="0"/>
          <w:numId w:val="13"/>
        </w:numPr>
        <w:ind w:left="-105" w:firstLine="523"/>
        <w:spacing w:line="312" w:lineRule="auto"/>
        <w:tabs>
          <w:tab w:val="left" w:pos="0" w:leader="none"/>
          <w:tab w:val="left" w:pos="315" w:leader="none"/>
          <w:tab w:val="left" w:pos="525" w:leader="none"/>
          <w:tab w:val="left" w:pos="945" w:leader="none"/>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我方愿意遵守《中华人民共和国政府采购法》，并按照《中华人民共和国民法典》、财政部《政府采购货物和服务招标投标管理办法》等相关法律法规</w:t>
      </w:r>
      <w:r>
        <w:rPr>
          <w:rFonts w:hint="eastAsia" w:ascii="宋体" w:hAnsi="宋体" w:eastAsia="宋体" w:cs="宋体"/>
          <w:color w:val="auto"/>
          <w:sz w:val="24"/>
          <w:szCs w:val="24"/>
          <w:highlight w:val="none"/>
        </w:rPr>
        <w:t xml:space="preserve">和</w:t>
      </w:r>
      <w:r>
        <w:rPr>
          <w:rFonts w:hint="eastAsia" w:ascii="宋体" w:hAnsi="宋体" w:eastAsia="宋体" w:cs="宋体"/>
          <w:bCs/>
          <w:color w:val="auto"/>
          <w:sz w:val="24"/>
          <w:szCs w:val="24"/>
          <w:highlight w:val="none"/>
        </w:rPr>
        <w:t xml:space="preserve">合同条款履行自己的全部责任。</w:t>
      </w:r>
      <w:r/>
    </w:p>
    <w:p>
      <w:pPr>
        <w:numPr>
          <w:ilvl w:val="0"/>
          <w:numId w:val="13"/>
        </w:numPr>
        <w:ind w:left="-105" w:firstLine="523"/>
        <w:spacing w:line="312" w:lineRule="auto"/>
        <w:tabs>
          <w:tab w:val="left" w:pos="0" w:leader="none"/>
          <w:tab w:val="left" w:pos="315" w:leader="none"/>
          <w:tab w:val="left" w:pos="525" w:leader="none"/>
          <w:tab w:val="left" w:pos="945" w:leader="none"/>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我方已详细审核全部招标文件及其有效补充文件，我们知道必须放弃提出含糊不清或误解问题的权利。</w:t>
      </w:r>
      <w:r/>
    </w:p>
    <w:p>
      <w:pPr>
        <w:numPr>
          <w:ilvl w:val="0"/>
          <w:numId w:val="13"/>
        </w:numPr>
        <w:ind w:left="-105" w:firstLine="523"/>
        <w:spacing w:line="312" w:lineRule="auto"/>
        <w:tabs>
          <w:tab w:val="left" w:pos="0" w:leader="none"/>
          <w:tab w:val="left" w:pos="315" w:leader="none"/>
          <w:tab w:val="left" w:pos="525" w:leader="none"/>
          <w:tab w:val="left" w:pos="945" w:leader="none"/>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13"/>
        </w:numPr>
        <w:ind w:left="-105" w:firstLine="523"/>
        <w:spacing w:line="312" w:lineRule="auto"/>
        <w:tabs>
          <w:tab w:val="left" w:pos="0" w:leader="none"/>
          <w:tab w:val="left" w:pos="315" w:leader="none"/>
          <w:tab w:val="left" w:pos="525" w:leader="none"/>
          <w:tab w:val="left" w:pos="945" w:leader="none"/>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如果我方被确定为中标供应商，我方如无不可抗力，又未履行招标文件、投标文件和合同条款的，一经查实，我方愿意赔偿由此而造成的一切损失，并同意接受按招标文件的相关要求对我方进行的处理。</w:t>
      </w:r>
      <w:r/>
    </w:p>
    <w:p>
      <w:pPr>
        <w:numPr>
          <w:ilvl w:val="0"/>
          <w:numId w:val="13"/>
        </w:numPr>
        <w:ind w:left="-105" w:firstLine="523"/>
        <w:spacing w:line="312" w:lineRule="auto"/>
        <w:tabs>
          <w:tab w:val="left" w:pos="0" w:leader="none"/>
          <w:tab w:val="left" w:pos="315" w:leader="none"/>
          <w:tab w:val="left" w:pos="525" w:leader="none"/>
          <w:tab w:val="left" w:pos="945" w:leader="none"/>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决不提供虚假材料谋取中标、决不采取不正当手段诋毁、排挤其他供应商、决不与采购人、其他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电话：</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；传真：</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；邮编：</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w:t>
      </w:r>
      <w:r/>
    </w:p>
    <w:p>
      <w:pPr>
        <w:ind w:firstLine="480"/>
        <w:spacing w:line="360" w:lineRule="auto"/>
        <w:rPr>
          <w:rFonts w:ascii="宋体" w:hAnsi="宋体" w:cs="宋体"/>
          <w:bCs/>
          <w:color w:val="auto"/>
          <w:sz w:val="24"/>
          <w:highlight w:val="none"/>
          <w:u w:val="single"/>
        </w:rPr>
      </w:pPr>
      <w:r>
        <w:rPr>
          <w:rFonts w:hint="eastAsia" w:ascii="宋体" w:hAnsi="宋体" w:cs="宋体"/>
          <w:bCs/>
          <w:color w:val="auto"/>
          <w:sz w:val="24"/>
          <w:highlight w:val="none"/>
        </w:rPr>
        <w:t xml:space="preserve">通讯地址：</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投标人名称（盖章）：</w:t>
      </w:r>
      <w:r/>
    </w:p>
    <w:p>
      <w:pPr>
        <w:rPr>
          <w:rFonts w:hint="eastAsia" w:ascii="宋体" w:hAnsi="宋体" w:cs="宋体"/>
          <w:bCs/>
          <w:color w:val="auto"/>
          <w:sz w:val="24"/>
          <w:highlight w:val="none"/>
        </w:rPr>
      </w:pPr>
      <w:r>
        <w:rPr>
          <w:rFonts w:hint="eastAsia" w:ascii="宋体" w:hAnsi="宋体" w:cs="宋体"/>
          <w:bCs/>
          <w:color w:val="auto"/>
          <w:sz w:val="24"/>
          <w:highlight w:val="none"/>
        </w:rPr>
        <w:br w:type="page" w:clear="all"/>
      </w:r>
      <w:r/>
    </w:p>
    <w:p>
      <w:pPr>
        <w:spacing w:line="360" w:lineRule="auto"/>
        <w:rPr>
          <w:rFonts w:ascii="宋体" w:hAnsi="宋体" w:eastAsia="宋体" w:cs="宋体"/>
          <w:b/>
          <w:color w:val="auto"/>
          <w:sz w:val="28"/>
          <w:szCs w:val="28"/>
          <w:highlight w:val="none"/>
        </w:rPr>
        <w:outlineLvl w:val="2"/>
      </w:pPr>
      <w:r>
        <w:rPr>
          <w:rFonts w:hint="eastAsia" w:ascii="宋体" w:hAnsi="宋体" w:eastAsia="宋体" w:cs="宋体"/>
          <w:b/>
          <w:color w:val="auto"/>
          <w:sz w:val="28"/>
          <w:szCs w:val="28"/>
          <w:highlight w:val="none"/>
          <w:lang w:val="en-US" w:eastAsia="zh-CN"/>
        </w:rPr>
        <w:t xml:space="preserve">二</w:t>
      </w:r>
      <w:r>
        <w:rPr>
          <w:rFonts w:hint="eastAsia" w:ascii="宋体" w:hAnsi="宋体" w:eastAsia="宋体" w:cs="宋体"/>
          <w:b/>
          <w:color w:val="auto"/>
          <w:sz w:val="28"/>
          <w:szCs w:val="28"/>
          <w:highlight w:val="none"/>
        </w:rPr>
        <w:t xml:space="preserve">、承诺书（给定格式）：</w:t>
      </w:r>
      <w:r/>
    </w:p>
    <w:p>
      <w:pPr>
        <w:jc w:val="center"/>
        <w:spacing w:line="360" w:lineRule="auto"/>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rPr>
        <w:t xml:space="preserve">承诺书</w:t>
      </w:r>
      <w:r>
        <w:rPr>
          <w:rFonts w:hint="eastAsia" w:ascii="宋体" w:hAnsi="宋体" w:eastAsia="宋体" w:cs="宋体"/>
          <w:bCs/>
          <w:color w:val="auto"/>
          <w:sz w:val="28"/>
          <w:szCs w:val="28"/>
          <w:highlight w:val="none"/>
          <w:lang w:val="en-US" w:eastAsia="zh-CN"/>
        </w:rPr>
        <w:t xml:space="preserve">一</w:t>
      </w:r>
      <w:r/>
    </w:p>
    <w:p>
      <w:pPr>
        <w:ind w:firstLine="24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highlight w:val="none"/>
          <w:u w:val="single"/>
        </w:rPr>
        <w:t xml:space="preserve">投标人</w:t>
      </w:r>
      <w:r>
        <w:rPr>
          <w:rFonts w:hint="eastAsia" w:ascii="宋体" w:hAnsi="宋体" w:eastAsia="宋体" w:cs="宋体"/>
          <w:color w:val="auto"/>
          <w:sz w:val="24"/>
          <w:szCs w:val="24"/>
          <w:highlight w:val="none"/>
          <w:u w:val="single"/>
        </w:rPr>
        <w:t xml:space="preserve">名称）    </w:t>
      </w:r>
      <w:r>
        <w:rPr>
          <w:rFonts w:hint="eastAsia" w:ascii="宋体" w:hAnsi="宋体" w:eastAsia="宋体" w:cs="宋体"/>
          <w:color w:val="auto"/>
          <w:sz w:val="24"/>
          <w:szCs w:val="24"/>
          <w:highlight w:val="none"/>
        </w:rPr>
        <w:t xml:space="preserve">针对本项目</w:t>
      </w:r>
      <w:r>
        <w:rPr>
          <w:rFonts w:hint="eastAsia" w:ascii="宋体" w:hAnsi="宋体" w:eastAsia="宋体" w:cs="宋体"/>
          <w:bCs/>
          <w:color w:val="auto"/>
          <w:sz w:val="24"/>
          <w:szCs w:val="24"/>
          <w:highlight w:val="none"/>
        </w:rPr>
        <w:t xml:space="preserve">编号</w:t>
      </w:r>
      <w:r>
        <w:rPr>
          <w:rFonts w:hint="eastAsia" w:ascii="宋体" w:hAnsi="宋体" w:eastAsia="宋体" w:cs="宋体"/>
          <w:color w:val="auto"/>
          <w:sz w:val="24"/>
          <w:szCs w:val="24"/>
          <w:highlight w:val="none"/>
        </w:rPr>
        <w:t xml:space="preserve">在此承诺：</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1.本公司（单位）</w:t>
      </w:r>
      <w:r>
        <w:rPr>
          <w:rFonts w:hint="eastAsia" w:ascii="宋体" w:hAnsi="宋体" w:eastAsia="宋体" w:cs="宋体"/>
          <w:bCs/>
          <w:color w:val="auto"/>
          <w:sz w:val="24"/>
          <w:szCs w:val="24"/>
          <w:highlight w:val="none"/>
        </w:rPr>
        <w:t xml:space="preserve">对本项目所提供的货物均为原厂全新合格品，提供的服务符合招标文件要求。</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2.本次投标没有借用别人资质，递交的投标文件内容真实、准确，没有使用虚假资质或虚假资料；</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3.在投标过程中不串通投标、围标、哄抬报价，或不计成本、低价抢标等行为。</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4.不使用贿赂等不正当手段。</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参加本次政府采购活动前三年内，我单位在经营活动中没有因违法受到刑事处罚或处于被责令停业、投标资格被取消或者财产被接管、冻结和破产状态，吊销许可证或营业执照、较大数额罚款等行政处罚。企业没有因骗取中标或者严重违约以及发生重大安全事故和质量事故等问题，被有关部门暂停投标资格并在暂停期内的。</w:t>
      </w:r>
      <w:r/>
    </w:p>
    <w:p>
      <w:pPr>
        <w:ind w:firstLine="480"/>
        <w:spacing w:line="360" w:lineRule="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6.我方本次投标提供的所有材料均为真实、有效，无虚假内容。</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7.实事求是回答招标人提出的相关问题。</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_____________________（投标供应商名称）将履行诚信承诺的义务，承诺如果出现上述任何一种情况后，招标人都有权取消我们的投标资格，无论中标或进场与否。</w:t>
      </w:r>
      <w:r/>
    </w:p>
    <w:p>
      <w:pPr>
        <w:ind w:firstLine="480"/>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……（投标人如有其他承诺的可在此处添加）</w:t>
      </w:r>
      <w:r/>
    </w:p>
    <w:p>
      <w:pPr>
        <w:ind w:firstLine="480"/>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如违背上述承诺，本公司（单位）将承担一切法律责任。</w:t>
      </w:r>
      <w:r/>
    </w:p>
    <w:p>
      <w:pPr>
        <w:ind w:firstLine="480"/>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投标人名称（盖章）：</w:t>
      </w:r>
      <w:r/>
    </w:p>
    <w:p>
      <w:pPr>
        <w:jc w:val="center"/>
        <w:spacing w:line="360" w:lineRule="auto"/>
        <w:rPr>
          <w:rFonts w:hint="eastAsia" w:ascii="宋体" w:hAnsi="宋体" w:eastAsia="宋体" w:cs="宋体"/>
          <w:bCs/>
          <w:color w:val="auto"/>
          <w:sz w:val="28"/>
          <w:szCs w:val="28"/>
          <w:highlight w:val="none"/>
          <w:lang w:val="en-US" w:eastAsia="zh-CN"/>
        </w:rPr>
      </w:pPr>
      <w:r>
        <w:rPr>
          <w:rFonts w:hint="eastAsia" w:ascii="宋体" w:hAnsi="宋体" w:eastAsia="宋体" w:cs="宋体"/>
          <w:b/>
          <w:color w:val="auto"/>
          <w:sz w:val="28"/>
          <w:szCs w:val="28"/>
          <w:highlight w:val="none"/>
        </w:rPr>
        <w:br w:type="page" w:clear="all"/>
      </w:r>
      <w:r>
        <w:rPr>
          <w:rFonts w:hint="eastAsia" w:ascii="宋体" w:hAnsi="宋体" w:eastAsia="宋体" w:cs="宋体"/>
          <w:bCs/>
          <w:color w:val="auto"/>
          <w:sz w:val="28"/>
          <w:szCs w:val="28"/>
          <w:highlight w:val="none"/>
        </w:rPr>
        <w:t xml:space="preserve">承诺书</w:t>
      </w:r>
      <w:r>
        <w:rPr>
          <w:rFonts w:hint="eastAsia" w:ascii="宋体" w:hAnsi="宋体" w:eastAsia="宋体" w:cs="宋体"/>
          <w:bCs/>
          <w:color w:val="auto"/>
          <w:sz w:val="28"/>
          <w:szCs w:val="28"/>
          <w:highlight w:val="none"/>
          <w:lang w:val="en-US" w:eastAsia="zh-CN"/>
        </w:rPr>
        <w:t xml:space="preserve">二</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（投标供应商名称）在此承诺：</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单位</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愿针对此次</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（项目名称）进行投标。我单位承诺如下：</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1.我单位本招标项目所提供的货物或服务未侵犯知识产权。</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2.我单位参与本项目投标前三年内，在经营活动中没有违法记录。</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3.我单位参与本项目政府采购活动时不存在被有关部门禁止参与政府采购活动且在有效期内的情况。</w:t>
      </w:r>
      <w:r>
        <w:rPr>
          <w:rFonts w:hint="eastAsia" w:ascii="宋体" w:hAnsi="宋体" w:eastAsia="宋体" w:cs="宋体"/>
          <w:bCs/>
          <w:color w:val="auto"/>
          <w:sz w:val="24"/>
          <w:szCs w:val="24"/>
          <w:highlight w:val="none"/>
          <w:lang w:val="en-US" w:eastAsia="zh-CN"/>
        </w:rPr>
        <w:t xml:space="preserve"> </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4.我单位具备《中华人民共和国政府采购法》第二十二条规定的条件，承诺如下：</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（2）我方符合法律、行政法规规定的其他条件。</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5.我单位未被列入失信被执行人、税收违法案件当事人名单、政府采购严重违法失信行为记录名单。</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6.我方愿意向贵方提供任何与本项报价有关的数据、情况和技术资料。若贵方需要，我方愿意提供我方</w:t>
      </w:r>
      <w:r>
        <w:rPr>
          <w:rFonts w:hint="eastAsia" w:ascii="宋体" w:hAnsi="宋体" w:eastAsia="宋体" w:cs="宋体"/>
          <w:bCs/>
          <w:color w:val="auto"/>
          <w:sz w:val="24"/>
          <w:szCs w:val="24"/>
          <w:highlight w:val="none"/>
          <w:lang w:eastAsia="zh-CN"/>
        </w:rPr>
        <w:t xml:space="preserve">做出</w:t>
      </w:r>
      <w:r>
        <w:rPr>
          <w:rFonts w:hint="eastAsia" w:ascii="宋体" w:hAnsi="宋体" w:eastAsia="宋体" w:cs="宋体"/>
          <w:bCs/>
          <w:color w:val="auto"/>
          <w:sz w:val="24"/>
          <w:szCs w:val="24"/>
          <w:highlight w:val="none"/>
        </w:rPr>
        <w:t xml:space="preserve">的一切承诺的证明材料。</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7.我方与其他供应商不存在单位负责人为同一人或者存在直接控股、管理关系。</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8.我方承诺未为本项目提供整体设计、规范编制或者项目管理、监理、检测等服务。</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10.我单位如果中标，做到诚实守信，依照本项目招标文件需求内容、签署的采购合同及本单位在投标中</w:t>
      </w:r>
      <w:r>
        <w:rPr>
          <w:rFonts w:hint="eastAsia" w:ascii="宋体" w:hAnsi="宋体" w:eastAsia="宋体" w:cs="宋体"/>
          <w:bCs/>
          <w:color w:val="auto"/>
          <w:sz w:val="24"/>
          <w:szCs w:val="24"/>
          <w:highlight w:val="none"/>
          <w:lang w:eastAsia="zh-CN"/>
        </w:rPr>
        <w:t xml:space="preserve">所做的</w:t>
      </w:r>
      <w:r>
        <w:rPr>
          <w:rFonts w:hint="eastAsia" w:ascii="宋体" w:hAnsi="宋体" w:eastAsia="宋体" w:cs="宋体"/>
          <w:bCs/>
          <w:color w:val="auto"/>
          <w:sz w:val="24"/>
          <w:szCs w:val="24"/>
          <w:highlight w:val="none"/>
        </w:rPr>
        <w:t xml:space="preserve">一切承诺履约。</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w:t>
      </w:r>
      <w:r>
        <w:rPr>
          <w:rFonts w:hint="eastAsia" w:ascii="宋体" w:hAnsi="宋体" w:eastAsia="宋体" w:cs="宋体"/>
          <w:bCs/>
          <w:color w:val="auto"/>
          <w:sz w:val="24"/>
          <w:szCs w:val="24"/>
          <w:highlight w:val="none"/>
          <w:lang w:eastAsia="zh-CN"/>
        </w:rPr>
        <w:t xml:space="preserve">作出</w:t>
      </w:r>
      <w:r>
        <w:rPr>
          <w:rFonts w:hint="eastAsia" w:ascii="宋体" w:hAnsi="宋体" w:eastAsia="宋体" w:cs="宋体"/>
          <w:bCs/>
          <w:color w:val="auto"/>
          <w:sz w:val="24"/>
          <w:szCs w:val="24"/>
          <w:highlight w:val="none"/>
        </w:rPr>
        <w:t xml:space="preserve">的行政处罚。</w:t>
      </w:r>
      <w:r/>
    </w:p>
    <w:p>
      <w:pPr>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13.我单位承诺不非法转包、分包。</w:t>
      </w:r>
      <w:r/>
    </w:p>
    <w:p>
      <w:pPr>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14.我单位承诺未参与本项目的采购需求、技术指标、商务指标等内容的设定，不存在对其他投标供应商不公平的行为。</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以上承诺，如有违反，愿依照国家相关法律处理，并承担由此给采购人带来的损失。</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15.所有与本项目有关的函件请发往下列地址：</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地 址：__________________，邮政编码：__________________</w:t>
      </w:r>
      <w:r/>
    </w:p>
    <w:p>
      <w:pPr>
        <w:ind w:firstLine="480"/>
        <w:keepLines w:val="0"/>
        <w:keepNext w:val="0"/>
        <w:pageBreakBefore w:val="0"/>
        <w:spacing w:line="360" w:lineRule="auto"/>
        <w:widowControl w:val="off"/>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电 话：__________________，传 真：</w:t>
      </w:r>
      <w:r>
        <w:rPr>
          <w:rFonts w:hint="eastAsia" w:ascii="宋体" w:hAnsi="宋体" w:cs="宋体"/>
          <w:bCs/>
          <w:color w:val="auto"/>
          <w:sz w:val="24"/>
          <w:szCs w:val="24"/>
          <w:highlight w:val="none"/>
          <w:u w:val="single"/>
          <w:lang w:val="en-US" w:eastAsia="zh-CN"/>
        </w:rPr>
        <w:t xml:space="preserve">                </w:t>
      </w:r>
      <w:r>
        <w:rPr>
          <w:rFonts w:hint="eastAsia" w:ascii="宋体" w:hAnsi="宋体" w:cs="宋体"/>
          <w:bCs/>
          <w:color w:val="auto"/>
          <w:sz w:val="24"/>
          <w:szCs w:val="24"/>
          <w:highlight w:val="none"/>
          <w:u w:val="none"/>
          <w:lang w:val="en-US" w:eastAsia="zh-CN"/>
        </w:rPr>
        <w:t xml:space="preserve">  </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代表姓名：_______________，职 务：________________</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372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投标供应商（盖章）：</w:t>
      </w:r>
      <w:r/>
    </w:p>
    <w:p>
      <w:pPr>
        <w:ind w:firstLine="3703"/>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法定代表人或法定代表人授权代表签字或盖章：</w:t>
      </w:r>
      <w:r/>
    </w:p>
    <w:p>
      <w:pPr>
        <w:jc w:val="center"/>
        <w:rPr>
          <w:rFonts w:hint="eastAsia" w:ascii="宋体" w:hAnsi="宋体" w:eastAsia="宋体" w:cs="宋体"/>
          <w:b w:val="0"/>
          <w:bCs/>
          <w:color w:val="auto"/>
          <w:sz w:val="28"/>
          <w:szCs w:val="28"/>
          <w:highlight w:val="none"/>
        </w:rPr>
      </w:pPr>
      <w:r>
        <w:rPr>
          <w:rFonts w:hint="eastAsia" w:ascii="宋体" w:hAnsi="宋体" w:eastAsia="宋体" w:cs="宋体"/>
          <w:bCs/>
          <w:color w:val="auto"/>
          <w:sz w:val="24"/>
          <w:szCs w:val="24"/>
          <w:highlight w:val="none"/>
        </w:rPr>
        <w:t xml:space="preserve">日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期：</w:t>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br w:type="page" w:clear="all"/>
      </w:r>
      <w:r/>
    </w:p>
    <w:p>
      <w:pPr>
        <w:spacing w:line="360" w:lineRule="auto"/>
        <w:rPr>
          <w:rFonts w:ascii="宋体" w:hAnsi="宋体" w:eastAsia="宋体" w:cs="宋体"/>
          <w:b/>
          <w:color w:val="auto"/>
          <w:sz w:val="28"/>
          <w:szCs w:val="28"/>
          <w:highlight w:val="none"/>
        </w:rPr>
        <w:outlineLvl w:val="2"/>
      </w:pPr>
      <w:r>
        <w:rPr>
          <w:rFonts w:hint="eastAsia" w:ascii="宋体" w:hAnsi="宋体" w:eastAsia="宋体" w:cs="宋体"/>
          <w:b/>
          <w:color w:val="auto"/>
          <w:sz w:val="28"/>
          <w:szCs w:val="28"/>
          <w:highlight w:val="none"/>
          <w:lang w:val="en-US" w:eastAsia="zh-CN"/>
        </w:rPr>
        <w:t xml:space="preserve">三</w:t>
      </w:r>
      <w:r>
        <w:rPr>
          <w:rFonts w:hint="eastAsia" w:ascii="宋体" w:hAnsi="宋体" w:eastAsia="宋体" w:cs="宋体"/>
          <w:b/>
          <w:color w:val="auto"/>
          <w:sz w:val="28"/>
          <w:szCs w:val="28"/>
          <w:highlight w:val="none"/>
        </w:rPr>
        <w:t xml:space="preserve">、开标一览表（给定格式）：</w:t>
      </w:r>
      <w:r/>
    </w:p>
    <w:p>
      <w:pPr>
        <w:ind w:firstLine="482"/>
        <w:spacing w:line="360" w:lineRule="auto"/>
        <w:rPr>
          <w:rFonts w:ascii="宋体" w:hAnsi="宋体" w:eastAsia="宋体" w:cs="宋体"/>
          <w:b/>
          <w:color w:val="auto"/>
          <w:sz w:val="24"/>
          <w:highlight w:val="none"/>
        </w:rPr>
      </w:pPr>
      <w:r>
        <w:rPr>
          <w:rFonts w:ascii="宋体" w:hAnsi="宋体" w:eastAsia="宋体" w:cs="宋体"/>
          <w:b/>
          <w:color w:val="auto"/>
          <w:sz w:val="24"/>
          <w:highlight w:val="none"/>
        </w:rPr>
      </w:r>
      <w:r/>
    </w:p>
    <w:p>
      <w:pPr>
        <w:jc w:val="center"/>
        <w:spacing w:line="360" w:lineRule="auto"/>
        <w:rPr>
          <w:rFonts w:ascii="黑体" w:eastAsia="黑体"/>
          <w:bCs/>
          <w:color w:val="auto"/>
          <w:sz w:val="28"/>
          <w:szCs w:val="28"/>
        </w:rPr>
      </w:pPr>
      <w:r>
        <w:rPr>
          <w:rFonts w:hint="eastAsia" w:ascii="黑体" w:hAnsi="Times New Roman" w:eastAsia="黑体" w:cs="黑体"/>
          <w:color w:val="auto"/>
          <w:sz w:val="28"/>
          <w:szCs w:val="28"/>
        </w:rPr>
        <w:t xml:space="preserve">开标一览表</w:t>
      </w:r>
      <w:r/>
    </w:p>
    <w:p>
      <w:pPr>
        <w:spacing w:after="0" w:line="360" w:lineRule="auto"/>
        <w:rPr>
          <w:rFonts w:ascii="黑体" w:eastAsia="黑体"/>
          <w:bCs/>
          <w:color w:val="auto"/>
          <w:sz w:val="24"/>
          <w:szCs w:val="24"/>
        </w:rPr>
      </w:pPr>
      <w:r>
        <w:rPr>
          <w:rFonts w:hint="eastAsia" w:ascii="黑体" w:eastAsia="黑体"/>
          <w:bCs/>
          <w:color w:val="auto"/>
          <w:sz w:val="24"/>
          <w:szCs w:val="24"/>
        </w:rPr>
        <w:t xml:space="preserve">政府采购编号：</w:t>
      </w:r>
      <w:r/>
    </w:p>
    <w:tbl>
      <w:tblPr>
        <w:tblStyle w:val="801"/>
        <w:tblW w:w="9193"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98"/>
        <w:gridCol w:w="3795"/>
      </w:tblGrid>
      <w:tr>
        <w:trPr>
          <w:cantSplit/>
          <w:trHeight w:val="567"/>
        </w:trPr>
        <w:tc>
          <w:tcPr>
            <w:tcW w:w="5398"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项目名称</w:t>
            </w:r>
            <w:r/>
          </w:p>
        </w:tc>
        <w:tc>
          <w:tcPr>
            <w:tcW w:w="3795"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投标总报价（小写）</w:t>
            </w:r>
            <w:r/>
          </w:p>
        </w:tc>
      </w:tr>
      <w:tr>
        <w:trPr>
          <w:cantSplit/>
          <w:trHeight w:val="1630"/>
        </w:trPr>
        <w:tc>
          <w:tcPr>
            <w:tcW w:w="5398" w:type="dxa"/>
            <w:vAlign w:val="center"/>
            <w:textDirection w:val="lrTb"/>
            <w:noWrap w:val="false"/>
          </w:tcPr>
          <w:p>
            <w:pPr>
              <w:pStyle w:val="974"/>
              <w:jc w:val="center"/>
              <w:spacing w:line="400" w:lineRule="exact"/>
              <w:rPr>
                <w:rFonts w:hAnsi="宋体"/>
                <w:bCs/>
                <w:color w:val="auto"/>
                <w:szCs w:val="24"/>
              </w:rPr>
            </w:pPr>
            <w:r>
              <w:rPr>
                <w:rFonts w:hAnsi="宋体"/>
                <w:bCs/>
                <w:color w:val="auto"/>
                <w:szCs w:val="24"/>
              </w:rPr>
            </w:r>
            <w:r/>
          </w:p>
        </w:tc>
        <w:tc>
          <w:tcPr>
            <w:tcW w:w="3795" w:type="dxa"/>
            <w:vAlign w:val="center"/>
            <w:textDirection w:val="lrTb"/>
            <w:noWrap w:val="false"/>
          </w:tcPr>
          <w:p>
            <w:pPr>
              <w:pStyle w:val="974"/>
              <w:rPr>
                <w:rFonts w:hAnsi="宋体"/>
                <w:b/>
                <w:color w:val="auto"/>
                <w:szCs w:val="24"/>
              </w:rPr>
            </w:pPr>
            <w:r>
              <w:rPr>
                <w:rFonts w:hAnsi="宋体"/>
                <w:b/>
                <w:color w:val="auto"/>
                <w:szCs w:val="24"/>
              </w:rPr>
            </w:r>
            <w:r/>
          </w:p>
        </w:tc>
      </w:tr>
      <w:tr>
        <w:trPr>
          <w:cantSplit/>
          <w:trHeight w:val="780"/>
        </w:trPr>
        <w:tc>
          <w:tcPr>
            <w:gridSpan w:val="2"/>
            <w:tcW w:w="9193" w:type="dxa"/>
            <w:vAlign w:val="center"/>
            <w:textDirection w:val="lrTb"/>
            <w:noWrap w:val="false"/>
          </w:tcPr>
          <w:p>
            <w:pPr>
              <w:rPr>
                <w:rFonts w:ascii="宋体"/>
                <w:bCs/>
                <w:color w:val="auto"/>
                <w:sz w:val="24"/>
                <w:szCs w:val="24"/>
              </w:rPr>
            </w:pPr>
            <w:r>
              <w:rPr>
                <w:rFonts w:hint="eastAsia" w:ascii="黑体" w:eastAsia="黑体"/>
                <w:color w:val="auto"/>
                <w:sz w:val="24"/>
              </w:rPr>
              <w:t xml:space="preserve">投标总报价（大写）</w:t>
            </w:r>
            <w:r>
              <w:rPr>
                <w:rFonts w:hint="eastAsia" w:ascii="宋体" w:hAnsi="宋体"/>
                <w:bCs/>
                <w:color w:val="auto"/>
                <w:sz w:val="24"/>
                <w:szCs w:val="24"/>
              </w:rPr>
              <w:t xml:space="preserve">：　　　</w:t>
            </w:r>
            <w:r/>
          </w:p>
        </w:tc>
      </w:tr>
    </w:tbl>
    <w:p>
      <w:pPr>
        <w:spacing w:line="400" w:lineRule="exact"/>
        <w:rPr>
          <w:rFonts w:ascii="黑体" w:eastAsia="黑体"/>
          <w:bCs/>
          <w:color w:val="auto"/>
          <w:sz w:val="24"/>
          <w:szCs w:val="24"/>
        </w:rPr>
      </w:pPr>
      <w:r>
        <w:rPr>
          <w:rFonts w:hint="eastAsia" w:ascii="黑体" w:eastAsia="黑体"/>
          <w:bCs/>
          <w:color w:val="auto"/>
          <w:sz w:val="24"/>
          <w:szCs w:val="24"/>
        </w:rPr>
        <w:t xml:space="preserve">投标人名称（盖章）：</w:t>
      </w:r>
      <w:r/>
    </w:p>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2"/>
        <w:spacing w:line="360" w:lineRule="auto"/>
        <w:rPr>
          <w:rFonts w:hint="eastAsia" w:ascii="宋体" w:hAnsi="宋体" w:eastAsia="宋体" w:cs="宋体"/>
          <w:b/>
          <w:color w:val="auto"/>
          <w:sz w:val="24"/>
          <w:szCs w:val="24"/>
          <w:highlight w:val="none"/>
          <w:lang w:val="zh-CN" w:eastAsia="zh-CN"/>
        </w:rPr>
      </w:pPr>
      <w:r>
        <w:rPr>
          <w:rFonts w:hint="eastAsia" w:ascii="宋体" w:hAnsi="宋体" w:eastAsia="宋体" w:cs="宋体"/>
          <w:b/>
          <w:color w:val="auto"/>
          <w:sz w:val="24"/>
          <w:szCs w:val="24"/>
          <w:highlight w:val="none"/>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rPr>
          <w:rFonts w:hint="eastAsia" w:ascii="宋体" w:hAnsi="宋体" w:eastAsia="宋体" w:cs="宋体"/>
          <w:b/>
          <w:color w:val="auto"/>
          <w:sz w:val="24"/>
          <w:szCs w:val="24"/>
          <w:highlight w:val="none"/>
          <w:lang w:eastAsia="zh-CN"/>
        </w:rPr>
        <w:t xml:space="preserve">。</w:t>
      </w:r>
      <w:r/>
    </w:p>
    <w:p>
      <w:pPr>
        <w:rPr>
          <w:b/>
          <w:color w:val="auto"/>
          <w:sz w:val="24"/>
          <w:szCs w:val="24"/>
          <w:highlight w:val="none"/>
        </w:rPr>
      </w:pPr>
      <w:r>
        <w:rPr>
          <w:b/>
          <w:color w:val="auto"/>
          <w:sz w:val="24"/>
          <w:szCs w:val="24"/>
          <w:highlight w:val="none"/>
        </w:rPr>
      </w:r>
      <w:r/>
    </w:p>
    <w:p>
      <w:pPr>
        <w:rPr>
          <w:b/>
          <w:color w:val="auto"/>
          <w:sz w:val="24"/>
          <w:szCs w:val="24"/>
          <w:highlight w:val="none"/>
        </w:rPr>
      </w:pPr>
      <w:r>
        <w:rPr>
          <w:rFonts w:hint="eastAsia"/>
          <w:b/>
          <w:color w:val="auto"/>
          <w:sz w:val="24"/>
          <w:szCs w:val="24"/>
          <w:highlight w:val="none"/>
        </w:rPr>
        <w:br w:type="page" w:clear="all"/>
      </w:r>
      <w:r/>
    </w:p>
    <w:p>
      <w:pPr>
        <w:ind w:left="0" w:firstLine="0"/>
        <w:spacing w:line="360" w:lineRule="auto"/>
        <w:rPr>
          <w:rFonts w:ascii="Times New Roman" w:eastAsia="宋体"/>
          <w:b/>
          <w:color w:val="auto"/>
          <w:sz w:val="28"/>
          <w:szCs w:val="28"/>
          <w:highlight w:val="none"/>
        </w:rPr>
        <w:outlineLvl w:val="2"/>
      </w:pPr>
      <w:r>
        <w:rPr>
          <w:rFonts w:hint="eastAsia" w:eastAsia="宋体"/>
          <w:b/>
          <w:color w:val="auto"/>
          <w:sz w:val="28"/>
          <w:szCs w:val="28"/>
          <w:highlight w:val="none"/>
          <w:lang w:val="en-US" w:eastAsia="zh-CN"/>
        </w:rPr>
        <w:t xml:space="preserve">四</w:t>
      </w:r>
      <w:r>
        <w:rPr>
          <w:rFonts w:hint="eastAsia"/>
          <w:b/>
          <w:color w:val="auto"/>
          <w:sz w:val="28"/>
          <w:szCs w:val="28"/>
          <w:highlight w:val="none"/>
        </w:rPr>
        <w:t xml:space="preserve">、分项</w:t>
      </w:r>
      <w:r>
        <w:rPr>
          <w:b/>
          <w:color w:val="auto"/>
          <w:sz w:val="28"/>
          <w:szCs w:val="28"/>
          <w:highlight w:val="none"/>
        </w:rPr>
        <w:t xml:space="preserve">报价表</w:t>
      </w:r>
      <w:r>
        <w:rPr>
          <w:rFonts w:hint="eastAsia"/>
          <w:b/>
          <w:color w:val="auto"/>
          <w:sz w:val="28"/>
          <w:szCs w:val="28"/>
          <w:highlight w:val="none"/>
        </w:rPr>
        <w:t xml:space="preserve">（给定格式）：</w:t>
      </w:r>
      <w:r/>
    </w:p>
    <w:p>
      <w:pPr>
        <w:jc w:val="center"/>
        <w:spacing w:line="360" w:lineRule="auto"/>
        <w:rPr>
          <w:rFonts w:ascii="黑体" w:eastAsia="黑体"/>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黑体" w:eastAsia="黑体"/>
          <w:bCs/>
          <w:color w:val="auto"/>
          <w:sz w:val="28"/>
          <w:szCs w:val="28"/>
          <w:highlight w:val="none"/>
        </w:rPr>
        <w:t xml:space="preserve">分项报价表</w:t>
      </w:r>
      <w:r/>
    </w:p>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bl>
      <w:tblPr>
        <w:tblStyle w:val="801"/>
        <w:tblW w:w="93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11"/>
        <w:gridCol w:w="1785"/>
        <w:gridCol w:w="720"/>
        <w:gridCol w:w="1440"/>
        <w:gridCol w:w="720"/>
        <w:gridCol w:w="720"/>
        <w:gridCol w:w="720"/>
        <w:gridCol w:w="900"/>
        <w:gridCol w:w="1034"/>
      </w:tblGrid>
      <w:tr>
        <w:trPr>
          <w:jc w:val="center"/>
          <w:trHeight w:val="567"/>
        </w:trPr>
        <w:tc>
          <w:tcPr>
            <w:tcW w:w="1311"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W w:w="1785"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标的物名称</w:t>
            </w:r>
            <w:r/>
          </w:p>
        </w:tc>
        <w:tc>
          <w:tcPr>
            <w:tcW w:w="720"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品牌</w:t>
            </w:r>
            <w:r/>
          </w:p>
        </w:tc>
        <w:tc>
          <w:tcPr>
            <w:tcW w:w="1440"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型号、规格</w:t>
            </w:r>
            <w:r/>
          </w:p>
        </w:tc>
        <w:tc>
          <w:tcPr>
            <w:tcW w:w="720"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单位</w:t>
            </w:r>
            <w:r/>
          </w:p>
        </w:tc>
        <w:tc>
          <w:tcPr>
            <w:tcW w:w="720"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数量</w:t>
            </w:r>
            <w:r/>
          </w:p>
        </w:tc>
        <w:tc>
          <w:tcPr>
            <w:tcW w:w="720"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单价</w:t>
            </w:r>
            <w:r/>
          </w:p>
        </w:tc>
        <w:tc>
          <w:tcPr>
            <w:tcW w:w="900"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总价</w:t>
            </w:r>
            <w:r/>
          </w:p>
        </w:tc>
        <w:tc>
          <w:tcPr>
            <w:tcW w:w="1034"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p>
        </w:tc>
      </w:tr>
      <w:tr>
        <w:trPr>
          <w:jc w:val="center"/>
          <w:trHeight w:val="567"/>
        </w:trPr>
        <w:tc>
          <w:tcPr>
            <w:tcW w:w="1311" w:type="dxa"/>
            <w:vAlign w:val="center"/>
            <w:textDirection w:val="lrTb"/>
            <w:noWrap w:val="false"/>
          </w:tcPr>
          <w:p>
            <w:pPr>
              <w:jc w:val="center"/>
              <w:spacing w:line="400" w:lineRule="exact"/>
              <w:rPr>
                <w:rFonts w:ascii="宋体" w:hAnsi="宋体"/>
                <w:color w:val="auto"/>
                <w:sz w:val="24"/>
                <w:szCs w:val="24"/>
              </w:rPr>
            </w:pPr>
            <w:r>
              <w:rPr>
                <w:rFonts w:hint="eastAsia" w:ascii="宋体" w:hAnsi="宋体"/>
                <w:color w:val="auto"/>
                <w:sz w:val="24"/>
                <w:szCs w:val="24"/>
              </w:rPr>
              <w:t xml:space="preserve">1</w:t>
            </w:r>
            <w:r/>
          </w:p>
        </w:tc>
        <w:tc>
          <w:tcPr>
            <w:tcW w:w="1785"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72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144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72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72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72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90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1034"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r>
      <w:tr>
        <w:trPr>
          <w:jc w:val="center"/>
          <w:trHeight w:val="567"/>
        </w:trPr>
        <w:tc>
          <w:tcPr>
            <w:tcW w:w="1311" w:type="dxa"/>
            <w:vAlign w:val="center"/>
            <w:textDirection w:val="lrTb"/>
            <w:noWrap w:val="false"/>
          </w:tcPr>
          <w:p>
            <w:pPr>
              <w:jc w:val="center"/>
              <w:spacing w:line="400" w:lineRule="exact"/>
              <w:rPr>
                <w:rFonts w:ascii="宋体" w:hAnsi="宋体"/>
                <w:color w:val="auto"/>
                <w:sz w:val="24"/>
                <w:szCs w:val="24"/>
              </w:rPr>
            </w:pPr>
            <w:r>
              <w:rPr>
                <w:rFonts w:hint="eastAsia" w:ascii="宋体" w:hAnsi="宋体"/>
                <w:color w:val="auto"/>
                <w:sz w:val="24"/>
                <w:szCs w:val="24"/>
              </w:rPr>
              <w:t xml:space="preserve">2</w:t>
            </w:r>
            <w:r/>
          </w:p>
        </w:tc>
        <w:tc>
          <w:tcPr>
            <w:tcW w:w="1785"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72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144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72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72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72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90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1034"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r>
      <w:tr>
        <w:trPr>
          <w:jc w:val="center"/>
          <w:trHeight w:val="567"/>
        </w:trPr>
        <w:tc>
          <w:tcPr>
            <w:tcW w:w="1311" w:type="dxa"/>
            <w:vAlign w:val="center"/>
            <w:textDirection w:val="lrTb"/>
            <w:noWrap w:val="false"/>
          </w:tcPr>
          <w:p>
            <w:pPr>
              <w:jc w:val="center"/>
              <w:spacing w:line="400" w:lineRule="exact"/>
              <w:rPr>
                <w:rFonts w:ascii="宋体" w:hAnsi="宋体"/>
                <w:color w:val="auto"/>
                <w:sz w:val="24"/>
                <w:szCs w:val="24"/>
              </w:rPr>
            </w:pPr>
            <w:r>
              <w:rPr>
                <w:rFonts w:hint="eastAsia" w:ascii="宋体" w:hAnsi="宋体"/>
                <w:color w:val="auto"/>
                <w:sz w:val="24"/>
                <w:szCs w:val="24"/>
              </w:rPr>
              <w:t xml:space="preserve">3</w:t>
            </w:r>
            <w:r/>
          </w:p>
        </w:tc>
        <w:tc>
          <w:tcPr>
            <w:tcW w:w="1785"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72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144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72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72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72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90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1034"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r>
      <w:tr>
        <w:trPr>
          <w:jc w:val="center"/>
          <w:trHeight w:val="567"/>
        </w:trPr>
        <w:tc>
          <w:tcPr>
            <w:tcW w:w="1311" w:type="dxa"/>
            <w:vAlign w:val="center"/>
            <w:textDirection w:val="lrTb"/>
            <w:noWrap w:val="false"/>
          </w:tcPr>
          <w:p>
            <w:pPr>
              <w:jc w:val="center"/>
              <w:spacing w:line="400" w:lineRule="exact"/>
              <w:rPr>
                <w:rFonts w:ascii="宋体" w:hAnsi="宋体"/>
                <w:color w:val="auto"/>
                <w:sz w:val="24"/>
                <w:szCs w:val="24"/>
              </w:rPr>
            </w:pPr>
            <w:r>
              <w:rPr>
                <w:rFonts w:hint="eastAsia" w:ascii="宋体" w:hAnsi="宋体"/>
                <w:color w:val="auto"/>
                <w:sz w:val="24"/>
                <w:szCs w:val="24"/>
              </w:rPr>
              <w:t xml:space="preserve">4</w:t>
            </w:r>
            <w:r/>
          </w:p>
        </w:tc>
        <w:tc>
          <w:tcPr>
            <w:tcW w:w="1785"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72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144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72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72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72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90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1034"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r>
      <w:tr>
        <w:trPr>
          <w:jc w:val="center"/>
          <w:trHeight w:val="567"/>
        </w:trPr>
        <w:tc>
          <w:tcPr>
            <w:tcW w:w="1311" w:type="dxa"/>
            <w:vAlign w:val="center"/>
            <w:textDirection w:val="lrTb"/>
            <w:noWrap w:val="false"/>
          </w:tcPr>
          <w:p>
            <w:pPr>
              <w:jc w:val="center"/>
              <w:spacing w:line="400" w:lineRule="exact"/>
              <w:rPr>
                <w:rFonts w:ascii="宋体" w:hAnsi="宋体"/>
                <w:color w:val="auto"/>
                <w:sz w:val="24"/>
                <w:szCs w:val="24"/>
              </w:rPr>
            </w:pPr>
            <w:r>
              <w:rPr>
                <w:rFonts w:hint="eastAsia" w:ascii="宋体" w:hAnsi="宋体"/>
                <w:color w:val="auto"/>
                <w:sz w:val="24"/>
                <w:szCs w:val="24"/>
              </w:rPr>
              <w:t xml:space="preserve">5</w:t>
            </w:r>
            <w:r/>
          </w:p>
        </w:tc>
        <w:tc>
          <w:tcPr>
            <w:tcW w:w="1785"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72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144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72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72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72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90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1034"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r>
      <w:tr>
        <w:trPr>
          <w:jc w:val="center"/>
          <w:trHeight w:val="567"/>
        </w:trPr>
        <w:tc>
          <w:tcPr>
            <w:tcW w:w="1311" w:type="dxa"/>
            <w:vAlign w:val="center"/>
            <w:textDirection w:val="lrTb"/>
            <w:noWrap w:val="false"/>
          </w:tcPr>
          <w:p>
            <w:pPr>
              <w:jc w:val="center"/>
              <w:spacing w:line="400" w:lineRule="exact"/>
              <w:rPr>
                <w:rFonts w:ascii="宋体" w:hAnsi="宋体"/>
                <w:color w:val="auto"/>
                <w:sz w:val="24"/>
                <w:szCs w:val="24"/>
              </w:rPr>
            </w:pPr>
            <w:r>
              <w:rPr>
                <w:rFonts w:hint="eastAsia" w:ascii="宋体" w:hAnsi="宋体"/>
                <w:color w:val="auto"/>
                <w:sz w:val="24"/>
                <w:szCs w:val="24"/>
              </w:rPr>
              <w:t xml:space="preserve">最终报价</w:t>
            </w:r>
            <w:r/>
          </w:p>
        </w:tc>
        <w:tc>
          <w:tcPr>
            <w:gridSpan w:val="8"/>
            <w:tcW w:w="8039" w:type="dxa"/>
            <w:vAlign w:val="center"/>
            <w:textDirection w:val="lrTb"/>
            <w:noWrap w:val="false"/>
          </w:tcPr>
          <w:p>
            <w:pPr>
              <w:spacing w:line="400" w:lineRule="exact"/>
              <w:rPr>
                <w:rFonts w:ascii="宋体" w:hAnsi="宋体"/>
                <w:color w:val="auto"/>
                <w:sz w:val="24"/>
                <w:szCs w:val="24"/>
              </w:rPr>
            </w:pPr>
            <w:r>
              <w:rPr>
                <w:rFonts w:hint="eastAsia" w:ascii="宋体" w:hAnsi="宋体"/>
                <w:color w:val="auto"/>
                <w:sz w:val="24"/>
                <w:szCs w:val="24"/>
              </w:rPr>
              <w:t xml:space="preserve">金额大写         元</w:t>
            </w:r>
            <w:r/>
          </w:p>
        </w:tc>
      </w:tr>
      <w:tr>
        <w:trPr>
          <w:jc w:val="center"/>
          <w:trHeight w:val="567"/>
        </w:trPr>
        <w:tc>
          <w:tcPr>
            <w:tcW w:w="1311" w:type="dxa"/>
            <w:vAlign w:val="center"/>
            <w:textDirection w:val="lrTb"/>
            <w:noWrap w:val="false"/>
          </w:tcPr>
          <w:p>
            <w:pPr>
              <w:jc w:val="center"/>
              <w:spacing w:line="400" w:lineRule="exact"/>
              <w:rPr>
                <w:rFonts w:ascii="宋体" w:hAnsi="宋体"/>
                <w:color w:val="auto"/>
                <w:sz w:val="24"/>
                <w:szCs w:val="24"/>
              </w:rPr>
            </w:pPr>
            <w:r>
              <w:rPr>
                <w:rFonts w:hint="eastAsia" w:ascii="宋体" w:hAnsi="宋体"/>
                <w:bCs/>
                <w:color w:val="auto"/>
                <w:sz w:val="24"/>
                <w:lang w:val="zh-CN"/>
              </w:rPr>
              <w:t xml:space="preserve">交货期</w:t>
            </w:r>
            <w:r/>
          </w:p>
        </w:tc>
        <w:tc>
          <w:tcPr>
            <w:gridSpan w:val="8"/>
            <w:tcW w:w="8039" w:type="dxa"/>
            <w:vAlign w:val="center"/>
            <w:textDirection w:val="lrTb"/>
            <w:noWrap w:val="false"/>
          </w:tcPr>
          <w:p>
            <w:pPr>
              <w:spacing w:line="400" w:lineRule="exact"/>
              <w:rPr>
                <w:rFonts w:ascii="宋体" w:hAnsi="宋体"/>
                <w:color w:val="auto"/>
                <w:sz w:val="24"/>
                <w:szCs w:val="24"/>
              </w:rPr>
            </w:pPr>
            <w:r>
              <w:rPr>
                <w:rFonts w:ascii="宋体" w:hAnsi="宋体"/>
                <w:color w:val="auto"/>
                <w:sz w:val="24"/>
                <w:szCs w:val="24"/>
              </w:rPr>
            </w:r>
            <w:r/>
          </w:p>
        </w:tc>
      </w:tr>
      <w:tr>
        <w:trPr>
          <w:jc w:val="center"/>
          <w:trHeight w:val="567"/>
        </w:trPr>
        <w:tc>
          <w:tcPr>
            <w:tcW w:w="1311" w:type="dxa"/>
            <w:vAlign w:val="center"/>
            <w:textDirection w:val="lrTb"/>
            <w:noWrap w:val="false"/>
          </w:tcPr>
          <w:p>
            <w:pPr>
              <w:jc w:val="center"/>
              <w:spacing w:line="400" w:lineRule="exact"/>
              <w:rPr>
                <w:rFonts w:ascii="宋体" w:hAnsi="宋体"/>
                <w:color w:val="auto"/>
                <w:sz w:val="24"/>
                <w:szCs w:val="24"/>
              </w:rPr>
            </w:pPr>
            <w:r>
              <w:rPr>
                <w:rFonts w:hint="eastAsia" w:ascii="宋体" w:hAnsi="宋体"/>
                <w:bCs/>
                <w:color w:val="auto"/>
                <w:sz w:val="24"/>
                <w:lang w:val="zh-CN"/>
              </w:rPr>
              <w:t xml:space="preserve">质量标准</w:t>
            </w:r>
            <w:r/>
          </w:p>
        </w:tc>
        <w:tc>
          <w:tcPr>
            <w:gridSpan w:val="8"/>
            <w:tcW w:w="8039" w:type="dxa"/>
            <w:vAlign w:val="center"/>
            <w:textDirection w:val="lrTb"/>
            <w:noWrap w:val="false"/>
          </w:tcPr>
          <w:p>
            <w:pPr>
              <w:spacing w:line="400" w:lineRule="exact"/>
              <w:rPr>
                <w:rFonts w:ascii="宋体" w:hAnsi="宋体"/>
                <w:color w:val="auto"/>
                <w:sz w:val="24"/>
                <w:szCs w:val="24"/>
              </w:rPr>
            </w:pPr>
            <w:r>
              <w:rPr>
                <w:rFonts w:ascii="宋体" w:hAnsi="宋体"/>
                <w:color w:val="auto"/>
                <w:sz w:val="24"/>
                <w:szCs w:val="24"/>
              </w:rPr>
            </w:r>
            <w:r/>
          </w:p>
        </w:tc>
      </w:tr>
      <w:tr>
        <w:trPr>
          <w:jc w:val="center"/>
          <w:trHeight w:val="567"/>
        </w:trPr>
        <w:tc>
          <w:tcPr>
            <w:tcW w:w="1311" w:type="dxa"/>
            <w:vAlign w:val="center"/>
            <w:textDirection w:val="lrTb"/>
            <w:noWrap w:val="false"/>
          </w:tcPr>
          <w:p>
            <w:pPr>
              <w:jc w:val="center"/>
              <w:spacing w:line="400" w:lineRule="exact"/>
              <w:rPr>
                <w:rFonts w:ascii="宋体" w:hAnsi="宋体"/>
                <w:bCs/>
                <w:color w:val="auto"/>
                <w:sz w:val="24"/>
                <w:lang w:val="zh-CN"/>
              </w:rPr>
            </w:pPr>
            <w:r>
              <w:rPr>
                <w:rFonts w:hint="eastAsia" w:ascii="宋体" w:hAnsi="宋体"/>
                <w:bCs/>
                <w:color w:val="auto"/>
                <w:sz w:val="24"/>
                <w:lang w:val="zh-CN"/>
              </w:rPr>
              <w:t xml:space="preserve">质保期</w:t>
            </w:r>
            <w:r/>
          </w:p>
        </w:tc>
        <w:tc>
          <w:tcPr>
            <w:gridSpan w:val="8"/>
            <w:tcW w:w="8039" w:type="dxa"/>
            <w:vAlign w:val="center"/>
            <w:textDirection w:val="lrTb"/>
            <w:noWrap w:val="false"/>
          </w:tcPr>
          <w:p>
            <w:pPr>
              <w:spacing w:line="400" w:lineRule="exact"/>
              <w:rPr>
                <w:rFonts w:ascii="宋体" w:hAnsi="宋体"/>
                <w:color w:val="auto"/>
                <w:sz w:val="24"/>
                <w:szCs w:val="24"/>
              </w:rPr>
            </w:pPr>
            <w:r>
              <w:rPr>
                <w:rFonts w:ascii="宋体" w:hAnsi="宋体"/>
                <w:color w:val="auto"/>
                <w:sz w:val="24"/>
                <w:szCs w:val="24"/>
              </w:rPr>
            </w:r>
            <w:r/>
          </w:p>
        </w:tc>
      </w:tr>
    </w:tbl>
    <w:p>
      <w:pPr>
        <w:ind w:firstLine="360"/>
        <w:spacing w:line="400" w:lineRule="exact"/>
        <w:rPr>
          <w:rFonts w:ascii="宋体" w:hAnsi="宋体"/>
          <w:color w:val="auto"/>
          <w:sz w:val="24"/>
          <w:szCs w:val="24"/>
        </w:rPr>
      </w:pPr>
      <w:r>
        <w:rPr>
          <w:rFonts w:hint="eastAsia" w:ascii="宋体" w:hAnsi="宋体"/>
          <w:color w:val="auto"/>
          <w:sz w:val="24"/>
          <w:szCs w:val="24"/>
        </w:rPr>
        <w:t xml:space="preserve">注：投标人可根据本单位实际情况具体细化本表格，但表格已列内容需全部体现，表格不够可自行延长。</w:t>
      </w:r>
      <w:r/>
    </w:p>
    <w:p>
      <w:pPr>
        <w:ind w:firstLine="360"/>
        <w:spacing w:line="400" w:lineRule="exact"/>
        <w:rPr>
          <w:rFonts w:ascii="宋体" w:hAnsi="宋体"/>
          <w:color w:val="auto"/>
          <w:sz w:val="24"/>
          <w:szCs w:val="24"/>
        </w:rPr>
      </w:pPr>
      <w:r>
        <w:rPr>
          <w:rFonts w:ascii="宋体" w:hAnsi="宋体"/>
          <w:color w:val="auto"/>
          <w:sz w:val="24"/>
          <w:szCs w:val="24"/>
        </w:rPr>
      </w:r>
      <w:r/>
    </w:p>
    <w:p>
      <w:pPr>
        <w:ind w:firstLine="360"/>
        <w:jc w:val="right"/>
        <w:spacing w:line="480" w:lineRule="auto"/>
        <w:rPr>
          <w:rFonts w:ascii="宋体" w:hAnsi="宋体"/>
          <w:color w:val="auto"/>
          <w:sz w:val="24"/>
          <w:szCs w:val="24"/>
        </w:rPr>
      </w:pPr>
      <w:r>
        <w:rPr>
          <w:rFonts w:hint="eastAsia" w:ascii="宋体" w:hAnsi="宋体"/>
          <w:color w:val="auto"/>
          <w:sz w:val="24"/>
          <w:szCs w:val="24"/>
        </w:rPr>
        <w:t xml:space="preserve">投标人：（单位盖章）</w:t>
      </w:r>
      <w:r/>
    </w:p>
    <w:p>
      <w:pPr>
        <w:ind w:firstLine="360"/>
        <w:jc w:val="right"/>
        <w:spacing w:line="480" w:lineRule="auto"/>
        <w:rPr>
          <w:rFonts w:ascii="宋体" w:hAnsi="宋体"/>
          <w:color w:val="auto"/>
          <w:sz w:val="24"/>
          <w:szCs w:val="24"/>
        </w:rPr>
      </w:pPr>
      <w:r>
        <w:rPr>
          <w:rFonts w:hint="eastAsia" w:ascii="宋体" w:hAnsi="宋体"/>
          <w:color w:val="auto"/>
          <w:sz w:val="24"/>
          <w:szCs w:val="24"/>
        </w:rPr>
        <w:t xml:space="preserve">法定代表人或代理人：（签字或盖章）  </w:t>
      </w:r>
      <w:r/>
    </w:p>
    <w:p>
      <w:pPr>
        <w:ind w:firstLine="360"/>
        <w:jc w:val="right"/>
        <w:spacing w:line="480" w:lineRule="auto"/>
        <w:rPr>
          <w:rFonts w:hint="eastAsia" w:ascii="宋体" w:hAnsi="宋体"/>
          <w:color w:val="auto"/>
          <w:sz w:val="24"/>
          <w:szCs w:val="24"/>
        </w:rPr>
      </w:pPr>
      <w:r>
        <w:rPr>
          <w:rFonts w:hint="eastAsia" w:ascii="宋体" w:hAnsi="宋体"/>
          <w:color w:val="auto"/>
          <w:sz w:val="24"/>
          <w:szCs w:val="24"/>
        </w:rPr>
        <w:t xml:space="preserve">日期：        年    月    日</w:t>
      </w:r>
      <w:r/>
    </w:p>
    <w:p>
      <w:pPr>
        <w:rPr>
          <w:rFonts w:hint="eastAsia" w:ascii="宋体" w:hAnsi="宋体"/>
          <w:color w:val="auto"/>
          <w:sz w:val="24"/>
          <w:szCs w:val="24"/>
        </w:rPr>
      </w:pPr>
      <w:r>
        <w:rPr>
          <w:rFonts w:hint="eastAsia" w:ascii="宋体" w:hAnsi="宋体"/>
          <w:color w:val="auto"/>
          <w:sz w:val="24"/>
          <w:szCs w:val="24"/>
        </w:rPr>
        <w:br w:type="page" w:clear="all"/>
      </w:r>
      <w:r/>
    </w:p>
    <w:p>
      <w:pPr>
        <w:ind w:left="0" w:firstLine="0"/>
        <w:spacing w:line="360" w:lineRule="auto"/>
        <w:rPr>
          <w:rFonts w:ascii="Times New Roman" w:eastAsia="宋体"/>
          <w:b/>
          <w:color w:val="auto"/>
          <w:sz w:val="28"/>
          <w:szCs w:val="28"/>
          <w:highlight w:val="none"/>
        </w:rPr>
        <w:outlineLvl w:val="2"/>
      </w:pPr>
      <w:r>
        <w:rPr>
          <w:rFonts w:hint="eastAsia" w:eastAsia="宋体"/>
          <w:b/>
          <w:color w:val="auto"/>
          <w:sz w:val="28"/>
          <w:szCs w:val="28"/>
          <w:highlight w:val="none"/>
          <w:lang w:val="en-US" w:eastAsia="zh-CN"/>
        </w:rPr>
        <w:t xml:space="preserve">五</w:t>
      </w:r>
      <w:r>
        <w:rPr>
          <w:rFonts w:hint="eastAsia"/>
          <w:b/>
          <w:color w:val="auto"/>
          <w:sz w:val="28"/>
          <w:szCs w:val="28"/>
          <w:highlight w:val="none"/>
        </w:rPr>
        <w:t xml:space="preserve">、</w:t>
      </w:r>
      <w:r>
        <w:rPr>
          <w:rFonts w:hint="eastAsia" w:eastAsia="宋体"/>
          <w:b/>
          <w:color w:val="auto"/>
          <w:sz w:val="28"/>
          <w:szCs w:val="28"/>
          <w:highlight w:val="none"/>
          <w:lang w:val="en-US" w:eastAsia="zh-CN"/>
        </w:rPr>
        <w:t xml:space="preserve">细目</w:t>
      </w:r>
      <w:r>
        <w:rPr>
          <w:b/>
          <w:color w:val="auto"/>
          <w:sz w:val="28"/>
          <w:szCs w:val="28"/>
          <w:highlight w:val="none"/>
        </w:rPr>
        <w:t xml:space="preserve">报价表</w:t>
      </w:r>
      <w:r>
        <w:rPr>
          <w:rFonts w:hint="eastAsia"/>
          <w:b/>
          <w:color w:val="auto"/>
          <w:sz w:val="28"/>
          <w:szCs w:val="28"/>
          <w:highlight w:val="none"/>
        </w:rPr>
        <w:t xml:space="preserve">（给定格式）：</w:t>
      </w:r>
      <w:r/>
    </w:p>
    <w:p>
      <w:pPr>
        <w:jc w:val="center"/>
        <w:spacing w:after="0" w:line="360" w:lineRule="auto"/>
        <w:widowControl w:val="off"/>
        <w:rPr>
          <w:rFonts w:ascii="黑体" w:hAnsi="Times New Roman" w:eastAsia="黑体" w:cs="黑体"/>
          <w:color w:val="auto"/>
          <w:sz w:val="28"/>
          <w:szCs w:val="28"/>
        </w:rPr>
      </w:pPr>
      <w:r/>
      <w:bookmarkStart w:id="147" w:name="_Toc6467"/>
      <w:r>
        <w:rPr>
          <w:rFonts w:hint="eastAsia" w:ascii="黑体" w:hAnsi="Times New Roman" w:eastAsia="黑体" w:cs="黑体"/>
          <w:color w:val="auto"/>
          <w:sz w:val="28"/>
          <w:szCs w:val="28"/>
        </w:rPr>
        <w:t xml:space="preserve">细目报价表</w:t>
      </w:r>
      <w:r/>
    </w:p>
    <w:p>
      <w:pPr>
        <w:spacing w:line="400" w:lineRule="exact"/>
        <w:rPr>
          <w:rFonts w:ascii="宋体" w:hAnsi="宋体"/>
          <w:bCs/>
          <w:color w:val="auto"/>
          <w:sz w:val="28"/>
          <w:szCs w:val="28"/>
        </w:rPr>
      </w:pPr>
      <w:r>
        <w:rPr>
          <w:rFonts w:hint="eastAsia" w:ascii="宋体" w:hAnsi="宋体"/>
          <w:bCs/>
          <w:color w:val="auto"/>
          <w:sz w:val="24"/>
          <w:szCs w:val="24"/>
        </w:rPr>
        <w:t xml:space="preserve">投标人名称（盖章）：                                政府采购编号：</w:t>
      </w:r>
      <w:r/>
    </w:p>
    <w:tbl>
      <w:tblPr>
        <w:tblStyle w:val="801"/>
        <w:tblpPr w:horzAnchor="page" w:tblpX="995" w:vertAnchor="text" w:tblpY="406" w:leftFromText="180" w:topFromText="0" w:rightFromText="180" w:bottomFromText="0"/>
        <w:tblW w:w="1020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41"/>
        <w:gridCol w:w="1263"/>
        <w:gridCol w:w="1198"/>
        <w:gridCol w:w="1791"/>
        <w:gridCol w:w="1376"/>
        <w:gridCol w:w="605"/>
        <w:gridCol w:w="600"/>
        <w:gridCol w:w="934"/>
        <w:gridCol w:w="816"/>
        <w:gridCol w:w="1084"/>
      </w:tblGrid>
      <w:tr>
        <w:trPr>
          <w:cantSplit/>
          <w:trHeight w:val="495"/>
        </w:trPr>
        <w:tc>
          <w:tcPr>
            <w:tcMar>
              <w:left w:w="15" w:type="dxa"/>
              <w:top w:w="15" w:type="dxa"/>
              <w:right w:w="15" w:type="dxa"/>
              <w:bottom w:w="0" w:type="dxa"/>
            </w:tcMar>
            <w:tcW w:w="541" w:type="dxa"/>
            <w:vAlign w:val="center"/>
            <w:textDirection w:val="lrTb"/>
            <w:noWrap/>
          </w:tcPr>
          <w:p>
            <w:pPr>
              <w:jc w:val="center"/>
              <w:spacing w:after="0" w:line="460" w:lineRule="exact"/>
              <w:rPr>
                <w:rFonts w:ascii="宋体" w:hAnsi="宋体"/>
                <w:color w:val="auto"/>
                <w:sz w:val="21"/>
                <w:szCs w:val="21"/>
              </w:rPr>
            </w:pPr>
            <w:r>
              <w:rPr>
                <w:rFonts w:hint="eastAsia" w:ascii="宋体" w:hAnsi="宋体"/>
                <w:color w:val="auto"/>
                <w:sz w:val="21"/>
                <w:szCs w:val="21"/>
              </w:rPr>
              <w:t xml:space="preserve">序号</w:t>
            </w:r>
            <w:r/>
          </w:p>
        </w:tc>
        <w:tc>
          <w:tcPr>
            <w:tcMar>
              <w:left w:w="15" w:type="dxa"/>
              <w:top w:w="15" w:type="dxa"/>
              <w:right w:w="15" w:type="dxa"/>
              <w:bottom w:w="0" w:type="dxa"/>
            </w:tcMar>
            <w:tcW w:w="1263" w:type="dxa"/>
            <w:vAlign w:val="center"/>
            <w:textDirection w:val="lrTb"/>
            <w:noWrap/>
          </w:tcPr>
          <w:p>
            <w:pPr>
              <w:jc w:val="center"/>
              <w:spacing w:after="0" w:line="460" w:lineRule="exact"/>
              <w:rPr>
                <w:rFonts w:ascii="宋体" w:hAnsi="宋体"/>
                <w:color w:val="auto"/>
                <w:sz w:val="21"/>
                <w:szCs w:val="21"/>
              </w:rPr>
            </w:pPr>
            <w:r>
              <w:rPr>
                <w:rFonts w:hint="eastAsia" w:ascii="宋体" w:hAnsi="宋体"/>
                <w:color w:val="auto"/>
                <w:sz w:val="21"/>
                <w:szCs w:val="21"/>
              </w:rPr>
              <w:t xml:space="preserve">名称</w:t>
            </w:r>
            <w:r/>
          </w:p>
        </w:tc>
        <w:tc>
          <w:tcPr>
            <w:tcMar>
              <w:left w:w="15" w:type="dxa"/>
              <w:top w:w="15" w:type="dxa"/>
              <w:right w:w="15" w:type="dxa"/>
              <w:bottom w:w="0" w:type="dxa"/>
            </w:tcMar>
            <w:tcW w:w="1198" w:type="dxa"/>
            <w:vAlign w:val="center"/>
            <w:textDirection w:val="lrTb"/>
            <w:noWrap/>
          </w:tcPr>
          <w:p>
            <w:pPr>
              <w:jc w:val="center"/>
              <w:spacing w:after="0" w:line="460" w:lineRule="exact"/>
              <w:rPr>
                <w:rFonts w:ascii="宋体" w:hAnsi="宋体"/>
                <w:color w:val="auto"/>
                <w:sz w:val="21"/>
                <w:szCs w:val="21"/>
              </w:rPr>
            </w:pPr>
            <w:r>
              <w:rPr>
                <w:rFonts w:hint="eastAsia" w:ascii="宋体" w:hAnsi="宋体"/>
                <w:color w:val="auto"/>
                <w:sz w:val="21"/>
                <w:szCs w:val="21"/>
              </w:rPr>
              <w:t xml:space="preserve">品牌型号</w:t>
            </w:r>
            <w:r/>
          </w:p>
        </w:tc>
        <w:tc>
          <w:tcPr>
            <w:tcMar>
              <w:left w:w="15" w:type="dxa"/>
              <w:top w:w="15" w:type="dxa"/>
              <w:right w:w="15" w:type="dxa"/>
              <w:bottom w:w="0" w:type="dxa"/>
            </w:tcMar>
            <w:tcW w:w="1791" w:type="dxa"/>
            <w:vAlign w:val="center"/>
            <w:textDirection w:val="lrTb"/>
            <w:noWrap/>
          </w:tcPr>
          <w:p>
            <w:pPr>
              <w:jc w:val="center"/>
              <w:spacing w:after="0" w:line="460" w:lineRule="exact"/>
              <w:rPr>
                <w:rFonts w:ascii="宋体" w:hAnsi="宋体" w:cs="Times New Roman"/>
                <w:color w:val="auto"/>
                <w:sz w:val="21"/>
                <w:szCs w:val="21"/>
              </w:rPr>
            </w:pPr>
            <w:r>
              <w:rPr>
                <w:rFonts w:hint="eastAsia" w:ascii="宋体" w:hAnsi="宋体"/>
                <w:color w:val="auto"/>
                <w:sz w:val="21"/>
                <w:szCs w:val="21"/>
              </w:rPr>
              <w:t xml:space="preserve">性能指标</w:t>
            </w:r>
            <w:r/>
          </w:p>
        </w:tc>
        <w:tc>
          <w:tcPr>
            <w:tcMar>
              <w:left w:w="15" w:type="dxa"/>
              <w:top w:w="15" w:type="dxa"/>
              <w:right w:w="15" w:type="dxa"/>
              <w:bottom w:w="0" w:type="dxa"/>
            </w:tcMar>
            <w:tcW w:w="1376" w:type="dxa"/>
            <w:vAlign w:val="center"/>
            <w:textDirection w:val="lrTb"/>
            <w:noWrap w:val="false"/>
          </w:tcPr>
          <w:p>
            <w:pPr>
              <w:jc w:val="center"/>
              <w:spacing w:after="0" w:line="400" w:lineRule="exact"/>
              <w:rPr>
                <w:rFonts w:ascii="宋体" w:hAnsi="宋体" w:cs="Times New Roman"/>
                <w:color w:val="auto"/>
                <w:sz w:val="21"/>
                <w:szCs w:val="21"/>
              </w:rPr>
            </w:pPr>
            <w:r>
              <w:rPr>
                <w:rFonts w:hint="eastAsia" w:ascii="宋体" w:hAnsi="宋体" w:cs="Times New Roman"/>
                <w:color w:val="auto"/>
                <w:sz w:val="21"/>
                <w:szCs w:val="21"/>
              </w:rPr>
              <w:t xml:space="preserve">是否为本国产品（是/否）</w:t>
            </w:r>
            <w:r/>
          </w:p>
        </w:tc>
        <w:tc>
          <w:tcPr>
            <w:tcMar>
              <w:left w:w="15" w:type="dxa"/>
              <w:top w:w="15" w:type="dxa"/>
              <w:right w:w="15" w:type="dxa"/>
              <w:bottom w:w="0" w:type="dxa"/>
            </w:tcMar>
            <w:tcW w:w="605" w:type="dxa"/>
            <w:vAlign w:val="center"/>
            <w:textDirection w:val="lrTb"/>
            <w:noWrap w:val="false"/>
          </w:tcPr>
          <w:p>
            <w:pPr>
              <w:jc w:val="center"/>
              <w:spacing w:after="0" w:line="460" w:lineRule="exact"/>
              <w:rPr>
                <w:rFonts w:ascii="宋体" w:hAnsi="宋体"/>
                <w:color w:val="auto"/>
                <w:sz w:val="21"/>
                <w:szCs w:val="21"/>
              </w:rPr>
            </w:pPr>
            <w:r>
              <w:rPr>
                <w:rFonts w:hint="eastAsia" w:ascii="宋体" w:hAnsi="宋体"/>
                <w:color w:val="auto"/>
                <w:sz w:val="21"/>
                <w:szCs w:val="21"/>
              </w:rPr>
              <w:t xml:space="preserve">数量</w:t>
            </w:r>
            <w:r/>
          </w:p>
        </w:tc>
        <w:tc>
          <w:tcPr>
            <w:tcMar>
              <w:left w:w="15" w:type="dxa"/>
              <w:top w:w="15" w:type="dxa"/>
              <w:right w:w="15" w:type="dxa"/>
              <w:bottom w:w="0" w:type="dxa"/>
            </w:tcMar>
            <w:tcW w:w="600" w:type="dxa"/>
            <w:vAlign w:val="center"/>
            <w:textDirection w:val="lrTb"/>
            <w:noWrap/>
          </w:tcPr>
          <w:p>
            <w:pPr>
              <w:jc w:val="center"/>
              <w:spacing w:after="0" w:line="460" w:lineRule="exact"/>
              <w:rPr>
                <w:rFonts w:ascii="宋体" w:hAnsi="宋体"/>
                <w:color w:val="auto"/>
                <w:sz w:val="21"/>
                <w:szCs w:val="21"/>
              </w:rPr>
            </w:pPr>
            <w:r>
              <w:rPr>
                <w:rFonts w:hint="eastAsia" w:ascii="宋体" w:hAnsi="宋体"/>
                <w:color w:val="auto"/>
                <w:sz w:val="21"/>
                <w:szCs w:val="21"/>
              </w:rPr>
              <w:t xml:space="preserve">产地</w:t>
            </w:r>
            <w:r/>
          </w:p>
        </w:tc>
        <w:tc>
          <w:tcPr>
            <w:tcW w:w="934" w:type="dxa"/>
            <w:vAlign w:val="center"/>
            <w:textDirection w:val="lrTb"/>
            <w:noWrap w:val="false"/>
          </w:tcPr>
          <w:p>
            <w:pPr>
              <w:jc w:val="center"/>
              <w:spacing w:after="0" w:line="460" w:lineRule="exact"/>
              <w:rPr>
                <w:rFonts w:ascii="宋体" w:hAnsi="宋体"/>
                <w:color w:val="auto"/>
                <w:sz w:val="21"/>
                <w:szCs w:val="21"/>
              </w:rPr>
            </w:pPr>
            <w:r>
              <w:rPr>
                <w:rFonts w:hint="eastAsia" w:ascii="宋体" w:hAnsi="宋体"/>
                <w:color w:val="auto"/>
                <w:sz w:val="21"/>
                <w:szCs w:val="21"/>
              </w:rPr>
              <w:t xml:space="preserve">免费质保期</w:t>
            </w:r>
            <w:r/>
          </w:p>
        </w:tc>
        <w:tc>
          <w:tcPr>
            <w:tcW w:w="816" w:type="dxa"/>
            <w:vAlign w:val="center"/>
            <w:textDirection w:val="lrTb"/>
            <w:noWrap w:val="false"/>
          </w:tcPr>
          <w:p>
            <w:pPr>
              <w:jc w:val="center"/>
              <w:spacing w:after="0" w:line="460" w:lineRule="exact"/>
              <w:rPr>
                <w:rFonts w:hint="eastAsia" w:ascii="宋体" w:hAnsi="宋体" w:eastAsia="宋体"/>
                <w:color w:val="auto"/>
                <w:sz w:val="21"/>
                <w:szCs w:val="21"/>
                <w:lang w:eastAsia="zh-CN"/>
              </w:rPr>
            </w:pPr>
            <w:r>
              <w:rPr>
                <w:rFonts w:hint="eastAsia" w:ascii="宋体" w:hAnsi="宋体"/>
                <w:color w:val="auto"/>
                <w:sz w:val="21"/>
                <w:szCs w:val="21"/>
              </w:rPr>
              <w:t xml:space="preserve">单报价</w:t>
            </w:r>
            <w:r>
              <w:rPr>
                <w:rFonts w:hint="eastAsia" w:ascii="宋体" w:hAnsi="宋体" w:eastAsia="宋体"/>
                <w:color w:val="auto"/>
                <w:sz w:val="21"/>
                <w:szCs w:val="21"/>
                <w:lang w:eastAsia="zh-CN"/>
              </w:rPr>
              <w:t xml:space="preserve">（</w:t>
            </w:r>
            <w:r>
              <w:rPr>
                <w:rFonts w:hint="eastAsia" w:ascii="宋体" w:hAnsi="宋体" w:eastAsia="宋体"/>
                <w:color w:val="auto"/>
                <w:sz w:val="21"/>
                <w:szCs w:val="21"/>
                <w:lang w:val="en-US" w:eastAsia="zh-CN"/>
              </w:rPr>
              <w:t xml:space="preserve">元</w:t>
            </w:r>
            <w:r>
              <w:rPr>
                <w:rFonts w:hint="eastAsia" w:ascii="宋体" w:hAnsi="宋体" w:eastAsia="宋体"/>
                <w:color w:val="auto"/>
                <w:sz w:val="21"/>
                <w:szCs w:val="21"/>
                <w:lang w:eastAsia="zh-CN"/>
              </w:rPr>
              <w:t xml:space="preserve">）</w:t>
            </w:r>
            <w:r/>
          </w:p>
        </w:tc>
        <w:tc>
          <w:tcPr>
            <w:tcW w:w="1084" w:type="dxa"/>
            <w:vAlign w:val="center"/>
            <w:textDirection w:val="lrTb"/>
            <w:noWrap w:val="false"/>
          </w:tcPr>
          <w:p>
            <w:pPr>
              <w:jc w:val="center"/>
              <w:spacing w:after="0" w:line="460" w:lineRule="exact"/>
              <w:rPr>
                <w:rFonts w:ascii="宋体" w:hAnsi="宋体"/>
                <w:color w:val="auto"/>
                <w:sz w:val="21"/>
                <w:szCs w:val="21"/>
              </w:rPr>
            </w:pPr>
            <w:r>
              <w:rPr>
                <w:rFonts w:hint="eastAsia" w:ascii="宋体" w:hAnsi="宋体"/>
                <w:color w:val="auto"/>
                <w:sz w:val="21"/>
                <w:szCs w:val="21"/>
              </w:rPr>
              <w:t xml:space="preserve">分项总报价</w:t>
            </w:r>
            <w:r>
              <w:rPr>
                <w:rFonts w:hint="eastAsia" w:ascii="宋体" w:hAnsi="宋体" w:eastAsia="宋体"/>
                <w:color w:val="auto"/>
                <w:sz w:val="21"/>
                <w:szCs w:val="21"/>
                <w:lang w:eastAsia="zh-CN"/>
              </w:rPr>
              <w:t xml:space="preserve">（</w:t>
            </w:r>
            <w:r>
              <w:rPr>
                <w:rFonts w:hint="eastAsia" w:ascii="宋体" w:hAnsi="宋体" w:eastAsia="宋体"/>
                <w:color w:val="auto"/>
                <w:sz w:val="21"/>
                <w:szCs w:val="21"/>
                <w:lang w:val="en-US" w:eastAsia="zh-CN"/>
              </w:rPr>
              <w:t xml:space="preserve">元</w:t>
            </w:r>
            <w:r>
              <w:rPr>
                <w:rFonts w:hint="eastAsia" w:ascii="宋体" w:hAnsi="宋体" w:eastAsia="宋体"/>
                <w:color w:val="auto"/>
                <w:sz w:val="21"/>
                <w:szCs w:val="21"/>
                <w:lang w:eastAsia="zh-CN"/>
              </w:rPr>
              <w:t xml:space="preserve">）</w:t>
            </w:r>
            <w:r/>
          </w:p>
        </w:tc>
      </w:tr>
      <w:tr>
        <w:trPr>
          <w:cantSplit/>
          <w:trHeight w:val="592"/>
        </w:trPr>
        <w:tc>
          <w:tcPr>
            <w:tcMar>
              <w:left w:w="15" w:type="dxa"/>
              <w:top w:w="15" w:type="dxa"/>
              <w:right w:w="15" w:type="dxa"/>
              <w:bottom w:w="0" w:type="dxa"/>
            </w:tcMar>
            <w:tcW w:w="541" w:type="dxa"/>
            <w:vAlign w:val="center"/>
            <w:textDirection w:val="lrTb"/>
            <w:noWrap/>
          </w:tcPr>
          <w:p>
            <w:pPr>
              <w:pStyle w:val="1197"/>
              <w:spacing w:before="5"/>
              <w:tabs>
                <w:tab w:val="clear" w:pos="4153" w:leader="none"/>
                <w:tab w:val="clear" w:pos="8306" w:leader="none"/>
              </w:tabs>
              <w:rPr>
                <w:rFonts w:ascii="宋体" w:hAnsi="宋体"/>
                <w:color w:val="auto"/>
                <w:sz w:val="21"/>
                <w:szCs w:val="21"/>
              </w:rPr>
              <w:pBdr>
                <w:bottom w:val="none" w:color="000000" w:sz="0" w:space="0"/>
              </w:pBdr>
            </w:pPr>
            <w:r>
              <w:rPr>
                <w:rFonts w:ascii="宋体" w:hAnsi="宋体"/>
                <w:color w:val="auto"/>
                <w:sz w:val="21"/>
                <w:szCs w:val="21"/>
              </w:rPr>
            </w:r>
            <w:r/>
          </w:p>
        </w:tc>
        <w:tc>
          <w:tcPr>
            <w:tcMar>
              <w:left w:w="15" w:type="dxa"/>
              <w:top w:w="15" w:type="dxa"/>
              <w:right w:w="15" w:type="dxa"/>
              <w:bottom w:w="0" w:type="dxa"/>
            </w:tcMar>
            <w:tcW w:w="1263" w:type="dxa"/>
            <w:vAlign w:val="center"/>
            <w:textDirection w:val="lrTb"/>
            <w:noWrap/>
          </w:tcPr>
          <w:p>
            <w:pPr>
              <w:pStyle w:val="1197"/>
              <w:tabs>
                <w:tab w:val="clear" w:pos="4153" w:leader="none"/>
                <w:tab w:val="clear" w:pos="8306" w:leader="none"/>
              </w:tabs>
              <w:rPr>
                <w:rFonts w:ascii="宋体" w:hAnsi="宋体"/>
                <w:bCs/>
                <w:color w:val="auto"/>
                <w:sz w:val="21"/>
                <w:szCs w:val="21"/>
              </w:rPr>
              <w:pBdr>
                <w:bottom w:val="none" w:color="000000" w:sz="0" w:space="0"/>
              </w:pBdr>
            </w:pPr>
            <w:r>
              <w:rPr>
                <w:rFonts w:ascii="宋体" w:hAnsi="宋体"/>
                <w:bCs/>
                <w:color w:val="auto"/>
                <w:sz w:val="21"/>
                <w:szCs w:val="21"/>
              </w:rPr>
            </w:r>
            <w:r/>
          </w:p>
        </w:tc>
        <w:tc>
          <w:tcPr>
            <w:tcMar>
              <w:left w:w="15" w:type="dxa"/>
              <w:top w:w="15" w:type="dxa"/>
              <w:right w:w="15" w:type="dxa"/>
              <w:bottom w:w="0" w:type="dxa"/>
            </w:tcMar>
            <w:tcW w:w="1198" w:type="dxa"/>
            <w:vAlign w:val="center"/>
            <w:textDirection w:val="lrTb"/>
            <w:noWrap w:val="false"/>
          </w:tcPr>
          <w:p>
            <w:pPr>
              <w:pStyle w:val="1197"/>
              <w:tabs>
                <w:tab w:val="clear" w:pos="4153" w:leader="none"/>
                <w:tab w:val="clear" w:pos="8306" w:leader="none"/>
              </w:tabs>
              <w:rPr>
                <w:rFonts w:ascii="宋体" w:hAnsi="宋体"/>
                <w:bCs/>
                <w:color w:val="auto"/>
                <w:sz w:val="21"/>
                <w:szCs w:val="21"/>
              </w:rPr>
              <w:pBdr>
                <w:bottom w:val="none" w:color="000000" w:sz="0" w:space="0"/>
              </w:pBdr>
            </w:pPr>
            <w:r>
              <w:rPr>
                <w:rFonts w:ascii="宋体" w:hAnsi="宋体"/>
                <w:bCs/>
                <w:color w:val="auto"/>
                <w:sz w:val="21"/>
                <w:szCs w:val="21"/>
              </w:rPr>
            </w:r>
            <w:r/>
          </w:p>
        </w:tc>
        <w:tc>
          <w:tcPr>
            <w:tcMar>
              <w:left w:w="15" w:type="dxa"/>
              <w:top w:w="15" w:type="dxa"/>
              <w:right w:w="15" w:type="dxa"/>
              <w:bottom w:w="0" w:type="dxa"/>
            </w:tcMar>
            <w:tcW w:w="1791" w:type="dxa"/>
            <w:textDirection w:val="lrTb"/>
            <w:noWrap w:val="false"/>
          </w:tcPr>
          <w:p>
            <w:pPr>
              <w:jc w:val="center"/>
              <w:rPr>
                <w:rFonts w:ascii="宋体" w:hAnsi="宋体"/>
                <w:bCs/>
                <w:color w:val="auto"/>
                <w:sz w:val="21"/>
                <w:szCs w:val="21"/>
              </w:rPr>
            </w:pPr>
            <w:r>
              <w:rPr>
                <w:rFonts w:ascii="宋体" w:hAnsi="宋体"/>
                <w:bCs/>
                <w:color w:val="auto"/>
                <w:sz w:val="21"/>
                <w:szCs w:val="21"/>
              </w:rPr>
            </w:r>
            <w:r/>
          </w:p>
        </w:tc>
        <w:tc>
          <w:tcPr>
            <w:tcMar>
              <w:left w:w="15" w:type="dxa"/>
              <w:top w:w="15" w:type="dxa"/>
              <w:right w:w="15" w:type="dxa"/>
              <w:bottom w:w="0" w:type="dxa"/>
            </w:tcMar>
            <w:tcW w:w="1376" w:type="dxa"/>
            <w:vAlign w:val="center"/>
            <w:textDirection w:val="lrTb"/>
            <w:noWrap w:val="false"/>
          </w:tcPr>
          <w:p>
            <w:pPr>
              <w:jc w:val="center"/>
              <w:rPr>
                <w:rFonts w:ascii="宋体" w:hAnsi="宋体"/>
                <w:bCs/>
                <w:color w:val="auto"/>
                <w:sz w:val="21"/>
                <w:szCs w:val="21"/>
              </w:rPr>
            </w:pPr>
            <w:r>
              <w:rPr>
                <w:rFonts w:ascii="宋体" w:hAnsi="宋体"/>
                <w:bCs/>
                <w:color w:val="auto"/>
                <w:sz w:val="21"/>
                <w:szCs w:val="21"/>
              </w:rPr>
            </w:r>
            <w:r/>
          </w:p>
        </w:tc>
        <w:tc>
          <w:tcPr>
            <w:tcMar>
              <w:left w:w="15" w:type="dxa"/>
              <w:top w:w="15" w:type="dxa"/>
              <w:right w:w="15" w:type="dxa"/>
              <w:bottom w:w="0" w:type="dxa"/>
            </w:tcMar>
            <w:tcW w:w="605" w:type="dxa"/>
            <w:vAlign w:val="center"/>
            <w:textDirection w:val="lrTb"/>
            <w:noWrap w:val="false"/>
          </w:tcPr>
          <w:p>
            <w:pPr>
              <w:jc w:val="center"/>
              <w:rPr>
                <w:rFonts w:ascii="宋体" w:hAnsi="宋体"/>
                <w:bCs/>
                <w:color w:val="auto"/>
                <w:sz w:val="21"/>
                <w:szCs w:val="21"/>
              </w:rPr>
            </w:pPr>
            <w:r>
              <w:rPr>
                <w:rFonts w:ascii="宋体" w:hAnsi="宋体"/>
                <w:bCs/>
                <w:color w:val="auto"/>
                <w:sz w:val="21"/>
                <w:szCs w:val="21"/>
              </w:rPr>
            </w:r>
            <w:r/>
          </w:p>
        </w:tc>
        <w:tc>
          <w:tcPr>
            <w:tcMar>
              <w:left w:w="15" w:type="dxa"/>
              <w:top w:w="15" w:type="dxa"/>
              <w:right w:w="15" w:type="dxa"/>
              <w:bottom w:w="0" w:type="dxa"/>
            </w:tcMar>
            <w:tcW w:w="600" w:type="dxa"/>
            <w:vAlign w:val="center"/>
            <w:textDirection w:val="lrTb"/>
            <w:noWrap/>
          </w:tcPr>
          <w:p>
            <w:pPr>
              <w:jc w:val="center"/>
              <w:rPr>
                <w:rFonts w:ascii="宋体" w:hAnsi="宋体"/>
                <w:b/>
                <w:bCs/>
                <w:color w:val="auto"/>
                <w:sz w:val="21"/>
                <w:szCs w:val="21"/>
              </w:rPr>
            </w:pPr>
            <w:r>
              <w:rPr>
                <w:rFonts w:hint="eastAsia" w:ascii="宋体" w:hAnsi="宋体"/>
                <w:b/>
                <w:bCs/>
                <w:color w:val="auto"/>
                <w:sz w:val="21"/>
                <w:szCs w:val="21"/>
              </w:rPr>
              <w:t xml:space="preserve">　</w:t>
            </w:r>
            <w:r/>
          </w:p>
        </w:tc>
        <w:tc>
          <w:tcPr>
            <w:tcW w:w="934" w:type="dxa"/>
            <w:vAlign w:val="center"/>
            <w:textDirection w:val="lrTb"/>
            <w:noWrap w:val="false"/>
          </w:tcPr>
          <w:p>
            <w:pPr>
              <w:jc w:val="center"/>
              <w:rPr>
                <w:rFonts w:ascii="宋体" w:hAnsi="宋体"/>
                <w:b/>
                <w:bCs/>
                <w:color w:val="auto"/>
                <w:sz w:val="21"/>
                <w:szCs w:val="21"/>
              </w:rPr>
            </w:pPr>
            <w:r>
              <w:rPr>
                <w:rFonts w:hint="eastAsia" w:ascii="宋体" w:hAnsi="宋体"/>
                <w:b/>
                <w:bCs/>
                <w:color w:val="auto"/>
                <w:sz w:val="21"/>
                <w:szCs w:val="21"/>
              </w:rPr>
              <w:t xml:space="preserve">　</w:t>
            </w:r>
            <w:r/>
          </w:p>
        </w:tc>
        <w:tc>
          <w:tcPr>
            <w:tcW w:w="816" w:type="dxa"/>
            <w:vAlign w:val="center"/>
            <w:textDirection w:val="lrTb"/>
            <w:noWrap w:val="false"/>
          </w:tcPr>
          <w:p>
            <w:pPr>
              <w:jc w:val="center"/>
              <w:rPr>
                <w:rFonts w:ascii="宋体" w:hAnsi="宋体"/>
                <w:b/>
                <w:bCs/>
                <w:color w:val="auto"/>
                <w:sz w:val="21"/>
                <w:szCs w:val="21"/>
              </w:rPr>
            </w:pPr>
            <w:r>
              <w:rPr>
                <w:rFonts w:ascii="宋体" w:hAnsi="宋体"/>
                <w:b/>
                <w:bCs/>
                <w:color w:val="auto"/>
                <w:sz w:val="21"/>
                <w:szCs w:val="21"/>
              </w:rPr>
            </w:r>
            <w:r/>
          </w:p>
        </w:tc>
        <w:tc>
          <w:tcPr>
            <w:tcW w:w="1084" w:type="dxa"/>
            <w:vAlign w:val="center"/>
            <w:textDirection w:val="lrTb"/>
            <w:noWrap w:val="false"/>
          </w:tcPr>
          <w:p>
            <w:pPr>
              <w:jc w:val="center"/>
              <w:rPr>
                <w:rFonts w:ascii="宋体" w:hAnsi="宋体"/>
                <w:b/>
                <w:bCs/>
                <w:color w:val="auto"/>
                <w:sz w:val="21"/>
                <w:szCs w:val="21"/>
              </w:rPr>
            </w:pPr>
            <w:r>
              <w:rPr>
                <w:rFonts w:ascii="宋体" w:hAnsi="宋体"/>
                <w:b/>
                <w:bCs/>
                <w:color w:val="auto"/>
                <w:sz w:val="21"/>
                <w:szCs w:val="21"/>
              </w:rPr>
            </w:r>
            <w:r/>
          </w:p>
        </w:tc>
      </w:tr>
      <w:tr>
        <w:trPr>
          <w:cantSplit/>
          <w:trHeight w:val="592"/>
        </w:trPr>
        <w:tc>
          <w:tcPr>
            <w:tcMar>
              <w:left w:w="15" w:type="dxa"/>
              <w:top w:w="15" w:type="dxa"/>
              <w:right w:w="15" w:type="dxa"/>
              <w:bottom w:w="0" w:type="dxa"/>
            </w:tcMar>
            <w:tcW w:w="541" w:type="dxa"/>
            <w:vAlign w:val="center"/>
            <w:textDirection w:val="lrTb"/>
            <w:noWrap/>
          </w:tcPr>
          <w:p>
            <w:pPr>
              <w:pStyle w:val="1197"/>
              <w:spacing w:before="5"/>
              <w:tabs>
                <w:tab w:val="clear" w:pos="4153" w:leader="none"/>
                <w:tab w:val="clear" w:pos="8306" w:leader="none"/>
              </w:tabs>
              <w:rPr>
                <w:rFonts w:ascii="宋体" w:hAnsi="宋体"/>
                <w:color w:val="auto"/>
                <w:sz w:val="21"/>
                <w:szCs w:val="21"/>
              </w:rPr>
              <w:pBdr>
                <w:bottom w:val="none" w:color="000000" w:sz="0" w:space="0"/>
              </w:pBdr>
            </w:pPr>
            <w:r>
              <w:rPr>
                <w:rFonts w:ascii="宋体" w:hAnsi="宋体"/>
                <w:color w:val="auto"/>
                <w:sz w:val="21"/>
                <w:szCs w:val="21"/>
              </w:rPr>
            </w:r>
            <w:r/>
          </w:p>
        </w:tc>
        <w:tc>
          <w:tcPr>
            <w:tcMar>
              <w:left w:w="15" w:type="dxa"/>
              <w:top w:w="15" w:type="dxa"/>
              <w:right w:w="15" w:type="dxa"/>
              <w:bottom w:w="0" w:type="dxa"/>
            </w:tcMar>
            <w:tcW w:w="1263" w:type="dxa"/>
            <w:vAlign w:val="center"/>
            <w:textDirection w:val="lrTb"/>
            <w:noWrap/>
          </w:tcPr>
          <w:p>
            <w:pPr>
              <w:pStyle w:val="1197"/>
              <w:tabs>
                <w:tab w:val="clear" w:pos="4153" w:leader="none"/>
                <w:tab w:val="clear" w:pos="8306" w:leader="none"/>
              </w:tabs>
              <w:rPr>
                <w:rFonts w:ascii="宋体" w:hAnsi="宋体"/>
                <w:bCs/>
                <w:color w:val="auto"/>
                <w:sz w:val="21"/>
                <w:szCs w:val="21"/>
              </w:rPr>
              <w:pBdr>
                <w:bottom w:val="none" w:color="000000" w:sz="0" w:space="0"/>
              </w:pBdr>
            </w:pPr>
            <w:r>
              <w:rPr>
                <w:rFonts w:ascii="宋体" w:hAnsi="宋体"/>
                <w:bCs/>
                <w:color w:val="auto"/>
                <w:sz w:val="21"/>
                <w:szCs w:val="21"/>
              </w:rPr>
            </w:r>
            <w:r/>
          </w:p>
        </w:tc>
        <w:tc>
          <w:tcPr>
            <w:tcMar>
              <w:left w:w="15" w:type="dxa"/>
              <w:top w:w="15" w:type="dxa"/>
              <w:right w:w="15" w:type="dxa"/>
              <w:bottom w:w="0" w:type="dxa"/>
            </w:tcMar>
            <w:tcW w:w="1198" w:type="dxa"/>
            <w:vAlign w:val="center"/>
            <w:textDirection w:val="lrTb"/>
            <w:noWrap w:val="false"/>
          </w:tcPr>
          <w:p>
            <w:pPr>
              <w:pStyle w:val="1197"/>
              <w:tabs>
                <w:tab w:val="clear" w:pos="4153" w:leader="none"/>
                <w:tab w:val="clear" w:pos="8306" w:leader="none"/>
              </w:tabs>
              <w:rPr>
                <w:rFonts w:ascii="宋体" w:hAnsi="宋体"/>
                <w:bCs/>
                <w:color w:val="auto"/>
                <w:sz w:val="21"/>
                <w:szCs w:val="21"/>
              </w:rPr>
              <w:pBdr>
                <w:bottom w:val="none" w:color="000000" w:sz="0" w:space="0"/>
              </w:pBdr>
            </w:pPr>
            <w:r>
              <w:rPr>
                <w:rFonts w:ascii="宋体" w:hAnsi="宋体"/>
                <w:bCs/>
                <w:color w:val="auto"/>
                <w:sz w:val="21"/>
                <w:szCs w:val="21"/>
              </w:rPr>
            </w:r>
            <w:r/>
          </w:p>
        </w:tc>
        <w:tc>
          <w:tcPr>
            <w:tcMar>
              <w:left w:w="15" w:type="dxa"/>
              <w:top w:w="15" w:type="dxa"/>
              <w:right w:w="15" w:type="dxa"/>
              <w:bottom w:w="0" w:type="dxa"/>
            </w:tcMar>
            <w:tcW w:w="1791" w:type="dxa"/>
            <w:textDirection w:val="lrTb"/>
            <w:noWrap w:val="false"/>
          </w:tcPr>
          <w:p>
            <w:pPr>
              <w:jc w:val="center"/>
              <w:rPr>
                <w:rFonts w:ascii="宋体" w:hAnsi="宋体"/>
                <w:bCs/>
                <w:color w:val="auto"/>
                <w:sz w:val="21"/>
                <w:szCs w:val="21"/>
              </w:rPr>
            </w:pPr>
            <w:r>
              <w:rPr>
                <w:rFonts w:ascii="宋体" w:hAnsi="宋体"/>
                <w:bCs/>
                <w:color w:val="auto"/>
                <w:sz w:val="21"/>
                <w:szCs w:val="21"/>
              </w:rPr>
            </w:r>
            <w:r/>
          </w:p>
        </w:tc>
        <w:tc>
          <w:tcPr>
            <w:tcMar>
              <w:left w:w="15" w:type="dxa"/>
              <w:top w:w="15" w:type="dxa"/>
              <w:right w:w="15" w:type="dxa"/>
              <w:bottom w:w="0" w:type="dxa"/>
            </w:tcMar>
            <w:tcW w:w="1376" w:type="dxa"/>
            <w:vAlign w:val="center"/>
            <w:textDirection w:val="lrTb"/>
            <w:noWrap w:val="false"/>
          </w:tcPr>
          <w:p>
            <w:pPr>
              <w:jc w:val="center"/>
              <w:rPr>
                <w:rFonts w:ascii="宋体" w:hAnsi="宋体"/>
                <w:bCs/>
                <w:color w:val="auto"/>
                <w:sz w:val="21"/>
                <w:szCs w:val="21"/>
              </w:rPr>
            </w:pPr>
            <w:r>
              <w:rPr>
                <w:rFonts w:ascii="宋体" w:hAnsi="宋体"/>
                <w:bCs/>
                <w:color w:val="auto"/>
                <w:sz w:val="21"/>
                <w:szCs w:val="21"/>
              </w:rPr>
            </w:r>
            <w:r/>
          </w:p>
        </w:tc>
        <w:tc>
          <w:tcPr>
            <w:tcMar>
              <w:left w:w="15" w:type="dxa"/>
              <w:top w:w="15" w:type="dxa"/>
              <w:right w:w="15" w:type="dxa"/>
              <w:bottom w:w="0" w:type="dxa"/>
            </w:tcMar>
            <w:tcW w:w="605" w:type="dxa"/>
            <w:vAlign w:val="center"/>
            <w:textDirection w:val="lrTb"/>
            <w:noWrap w:val="false"/>
          </w:tcPr>
          <w:p>
            <w:pPr>
              <w:jc w:val="center"/>
              <w:rPr>
                <w:rFonts w:ascii="宋体" w:hAnsi="宋体"/>
                <w:bCs/>
                <w:color w:val="auto"/>
                <w:sz w:val="21"/>
                <w:szCs w:val="21"/>
              </w:rPr>
            </w:pPr>
            <w:r>
              <w:rPr>
                <w:rFonts w:ascii="宋体" w:hAnsi="宋体"/>
                <w:bCs/>
                <w:color w:val="auto"/>
                <w:sz w:val="21"/>
                <w:szCs w:val="21"/>
              </w:rPr>
            </w:r>
            <w:r/>
          </w:p>
        </w:tc>
        <w:tc>
          <w:tcPr>
            <w:tcMar>
              <w:left w:w="15" w:type="dxa"/>
              <w:top w:w="15" w:type="dxa"/>
              <w:right w:w="15" w:type="dxa"/>
              <w:bottom w:w="0" w:type="dxa"/>
            </w:tcMar>
            <w:tcW w:w="600" w:type="dxa"/>
            <w:vAlign w:val="center"/>
            <w:textDirection w:val="lrTb"/>
            <w:noWrap/>
          </w:tcPr>
          <w:p>
            <w:pPr>
              <w:jc w:val="center"/>
              <w:rPr>
                <w:rFonts w:ascii="宋体" w:hAnsi="宋体"/>
                <w:b/>
                <w:bCs/>
                <w:color w:val="auto"/>
                <w:sz w:val="21"/>
                <w:szCs w:val="21"/>
              </w:rPr>
            </w:pPr>
            <w:r>
              <w:rPr>
                <w:rFonts w:ascii="宋体" w:hAnsi="宋体"/>
                <w:b/>
                <w:bCs/>
                <w:color w:val="auto"/>
                <w:sz w:val="21"/>
                <w:szCs w:val="21"/>
              </w:rPr>
            </w:r>
            <w:r/>
          </w:p>
        </w:tc>
        <w:tc>
          <w:tcPr>
            <w:tcW w:w="934" w:type="dxa"/>
            <w:vAlign w:val="center"/>
            <w:textDirection w:val="lrTb"/>
            <w:noWrap w:val="false"/>
          </w:tcPr>
          <w:p>
            <w:pPr>
              <w:jc w:val="center"/>
              <w:rPr>
                <w:rFonts w:ascii="宋体" w:hAnsi="宋体"/>
                <w:b/>
                <w:bCs/>
                <w:color w:val="auto"/>
                <w:sz w:val="21"/>
                <w:szCs w:val="21"/>
              </w:rPr>
            </w:pPr>
            <w:r>
              <w:rPr>
                <w:rFonts w:ascii="宋体" w:hAnsi="宋体"/>
                <w:b/>
                <w:bCs/>
                <w:color w:val="auto"/>
                <w:sz w:val="21"/>
                <w:szCs w:val="21"/>
              </w:rPr>
            </w:r>
            <w:r/>
          </w:p>
        </w:tc>
        <w:tc>
          <w:tcPr>
            <w:tcW w:w="816" w:type="dxa"/>
            <w:vAlign w:val="center"/>
            <w:textDirection w:val="lrTb"/>
            <w:noWrap w:val="false"/>
          </w:tcPr>
          <w:p>
            <w:pPr>
              <w:jc w:val="center"/>
              <w:rPr>
                <w:rFonts w:ascii="宋体" w:hAnsi="宋体"/>
                <w:b/>
                <w:bCs/>
                <w:color w:val="auto"/>
                <w:sz w:val="21"/>
                <w:szCs w:val="21"/>
              </w:rPr>
            </w:pPr>
            <w:r>
              <w:rPr>
                <w:rFonts w:ascii="宋体" w:hAnsi="宋体"/>
                <w:b/>
                <w:bCs/>
                <w:color w:val="auto"/>
                <w:sz w:val="21"/>
                <w:szCs w:val="21"/>
              </w:rPr>
            </w:r>
            <w:r/>
          </w:p>
        </w:tc>
        <w:tc>
          <w:tcPr>
            <w:tcW w:w="1084" w:type="dxa"/>
            <w:vAlign w:val="center"/>
            <w:textDirection w:val="lrTb"/>
            <w:noWrap w:val="false"/>
          </w:tcPr>
          <w:p>
            <w:pPr>
              <w:jc w:val="center"/>
              <w:rPr>
                <w:rFonts w:ascii="宋体" w:hAnsi="宋体"/>
                <w:b/>
                <w:bCs/>
                <w:color w:val="auto"/>
                <w:sz w:val="21"/>
                <w:szCs w:val="21"/>
              </w:rPr>
            </w:pPr>
            <w:r>
              <w:rPr>
                <w:rFonts w:ascii="宋体" w:hAnsi="宋体"/>
                <w:b/>
                <w:bCs/>
                <w:color w:val="auto"/>
                <w:sz w:val="21"/>
                <w:szCs w:val="21"/>
              </w:rPr>
            </w:r>
            <w:r/>
          </w:p>
        </w:tc>
      </w:tr>
      <w:tr>
        <w:trPr>
          <w:cantSplit/>
          <w:trHeight w:val="592"/>
        </w:trPr>
        <w:tc>
          <w:tcPr>
            <w:tcMar>
              <w:left w:w="15" w:type="dxa"/>
              <w:top w:w="15" w:type="dxa"/>
              <w:right w:w="15" w:type="dxa"/>
              <w:bottom w:w="0" w:type="dxa"/>
            </w:tcMar>
            <w:tcW w:w="541" w:type="dxa"/>
            <w:vAlign w:val="center"/>
            <w:textDirection w:val="lrTb"/>
            <w:noWrap/>
          </w:tcPr>
          <w:p>
            <w:pPr>
              <w:pStyle w:val="1197"/>
              <w:spacing w:before="5"/>
              <w:tabs>
                <w:tab w:val="clear" w:pos="4153" w:leader="none"/>
                <w:tab w:val="clear" w:pos="8306" w:leader="none"/>
              </w:tabs>
              <w:rPr>
                <w:rFonts w:ascii="宋体" w:hAnsi="宋体"/>
                <w:color w:val="auto"/>
                <w:sz w:val="21"/>
                <w:szCs w:val="21"/>
              </w:rPr>
              <w:pBdr>
                <w:bottom w:val="none" w:color="000000" w:sz="0" w:space="0"/>
              </w:pBdr>
            </w:pPr>
            <w:r>
              <w:rPr>
                <w:rFonts w:ascii="宋体" w:hAnsi="宋体"/>
                <w:color w:val="auto"/>
                <w:sz w:val="21"/>
                <w:szCs w:val="21"/>
              </w:rPr>
            </w:r>
            <w:r/>
          </w:p>
        </w:tc>
        <w:tc>
          <w:tcPr>
            <w:tcMar>
              <w:left w:w="15" w:type="dxa"/>
              <w:top w:w="15" w:type="dxa"/>
              <w:right w:w="15" w:type="dxa"/>
              <w:bottom w:w="0" w:type="dxa"/>
            </w:tcMar>
            <w:tcW w:w="1263" w:type="dxa"/>
            <w:vAlign w:val="center"/>
            <w:textDirection w:val="lrTb"/>
            <w:noWrap/>
          </w:tcPr>
          <w:p>
            <w:pPr>
              <w:pStyle w:val="1197"/>
              <w:tabs>
                <w:tab w:val="clear" w:pos="4153" w:leader="none"/>
                <w:tab w:val="clear" w:pos="8306" w:leader="none"/>
              </w:tabs>
              <w:rPr>
                <w:rFonts w:ascii="宋体" w:hAnsi="宋体"/>
                <w:bCs/>
                <w:color w:val="auto"/>
                <w:sz w:val="21"/>
                <w:szCs w:val="21"/>
              </w:rPr>
              <w:pBdr>
                <w:bottom w:val="none" w:color="000000" w:sz="0" w:space="0"/>
              </w:pBdr>
            </w:pPr>
            <w:r>
              <w:rPr>
                <w:rFonts w:ascii="宋体" w:hAnsi="宋体"/>
                <w:bCs/>
                <w:color w:val="auto"/>
                <w:sz w:val="21"/>
                <w:szCs w:val="21"/>
              </w:rPr>
            </w:r>
            <w:r/>
          </w:p>
        </w:tc>
        <w:tc>
          <w:tcPr>
            <w:tcMar>
              <w:left w:w="15" w:type="dxa"/>
              <w:top w:w="15" w:type="dxa"/>
              <w:right w:w="15" w:type="dxa"/>
              <w:bottom w:w="0" w:type="dxa"/>
            </w:tcMar>
            <w:tcW w:w="1198" w:type="dxa"/>
            <w:vAlign w:val="center"/>
            <w:textDirection w:val="lrTb"/>
            <w:noWrap w:val="false"/>
          </w:tcPr>
          <w:p>
            <w:pPr>
              <w:pStyle w:val="1197"/>
              <w:tabs>
                <w:tab w:val="clear" w:pos="4153" w:leader="none"/>
                <w:tab w:val="clear" w:pos="8306" w:leader="none"/>
              </w:tabs>
              <w:rPr>
                <w:rFonts w:ascii="宋体" w:hAnsi="宋体"/>
                <w:bCs/>
                <w:color w:val="auto"/>
                <w:sz w:val="21"/>
                <w:szCs w:val="21"/>
              </w:rPr>
              <w:pBdr>
                <w:bottom w:val="none" w:color="000000" w:sz="0" w:space="0"/>
              </w:pBdr>
            </w:pPr>
            <w:r>
              <w:rPr>
                <w:rFonts w:ascii="宋体" w:hAnsi="宋体"/>
                <w:bCs/>
                <w:color w:val="auto"/>
                <w:sz w:val="21"/>
                <w:szCs w:val="21"/>
              </w:rPr>
            </w:r>
            <w:r/>
          </w:p>
        </w:tc>
        <w:tc>
          <w:tcPr>
            <w:tcMar>
              <w:left w:w="15" w:type="dxa"/>
              <w:top w:w="15" w:type="dxa"/>
              <w:right w:w="15" w:type="dxa"/>
              <w:bottom w:w="0" w:type="dxa"/>
            </w:tcMar>
            <w:tcW w:w="1791" w:type="dxa"/>
            <w:textDirection w:val="lrTb"/>
            <w:noWrap w:val="false"/>
          </w:tcPr>
          <w:p>
            <w:pPr>
              <w:jc w:val="center"/>
              <w:rPr>
                <w:rFonts w:ascii="宋体" w:hAnsi="宋体"/>
                <w:bCs/>
                <w:color w:val="auto"/>
                <w:sz w:val="21"/>
                <w:szCs w:val="21"/>
              </w:rPr>
            </w:pPr>
            <w:r>
              <w:rPr>
                <w:rFonts w:ascii="宋体" w:hAnsi="宋体"/>
                <w:bCs/>
                <w:color w:val="auto"/>
                <w:sz w:val="21"/>
                <w:szCs w:val="21"/>
              </w:rPr>
            </w:r>
            <w:r/>
          </w:p>
        </w:tc>
        <w:tc>
          <w:tcPr>
            <w:tcMar>
              <w:left w:w="15" w:type="dxa"/>
              <w:top w:w="15" w:type="dxa"/>
              <w:right w:w="15" w:type="dxa"/>
              <w:bottom w:w="0" w:type="dxa"/>
            </w:tcMar>
            <w:tcW w:w="1376" w:type="dxa"/>
            <w:vAlign w:val="center"/>
            <w:textDirection w:val="lrTb"/>
            <w:noWrap w:val="false"/>
          </w:tcPr>
          <w:p>
            <w:pPr>
              <w:jc w:val="center"/>
              <w:rPr>
                <w:rFonts w:ascii="宋体" w:hAnsi="宋体"/>
                <w:bCs/>
                <w:color w:val="auto"/>
                <w:sz w:val="21"/>
                <w:szCs w:val="21"/>
              </w:rPr>
            </w:pPr>
            <w:r>
              <w:rPr>
                <w:rFonts w:ascii="宋体" w:hAnsi="宋体"/>
                <w:bCs/>
                <w:color w:val="auto"/>
                <w:sz w:val="21"/>
                <w:szCs w:val="21"/>
              </w:rPr>
            </w:r>
            <w:r/>
          </w:p>
        </w:tc>
        <w:tc>
          <w:tcPr>
            <w:tcMar>
              <w:left w:w="15" w:type="dxa"/>
              <w:top w:w="15" w:type="dxa"/>
              <w:right w:w="15" w:type="dxa"/>
              <w:bottom w:w="0" w:type="dxa"/>
            </w:tcMar>
            <w:tcW w:w="605" w:type="dxa"/>
            <w:vAlign w:val="center"/>
            <w:textDirection w:val="lrTb"/>
            <w:noWrap w:val="false"/>
          </w:tcPr>
          <w:p>
            <w:pPr>
              <w:jc w:val="center"/>
              <w:rPr>
                <w:rFonts w:ascii="宋体" w:hAnsi="宋体"/>
                <w:bCs/>
                <w:color w:val="auto"/>
                <w:sz w:val="21"/>
                <w:szCs w:val="21"/>
              </w:rPr>
            </w:pPr>
            <w:r>
              <w:rPr>
                <w:rFonts w:ascii="宋体" w:hAnsi="宋体"/>
                <w:bCs/>
                <w:color w:val="auto"/>
                <w:sz w:val="21"/>
                <w:szCs w:val="21"/>
              </w:rPr>
            </w:r>
            <w:r/>
          </w:p>
        </w:tc>
        <w:tc>
          <w:tcPr>
            <w:tcMar>
              <w:left w:w="15" w:type="dxa"/>
              <w:top w:w="15" w:type="dxa"/>
              <w:right w:w="15" w:type="dxa"/>
              <w:bottom w:w="0" w:type="dxa"/>
            </w:tcMar>
            <w:tcW w:w="600" w:type="dxa"/>
            <w:vAlign w:val="center"/>
            <w:textDirection w:val="lrTb"/>
            <w:noWrap/>
          </w:tcPr>
          <w:p>
            <w:pPr>
              <w:jc w:val="center"/>
              <w:rPr>
                <w:rFonts w:ascii="宋体" w:hAnsi="宋体"/>
                <w:b/>
                <w:bCs/>
                <w:color w:val="auto"/>
                <w:sz w:val="21"/>
                <w:szCs w:val="21"/>
              </w:rPr>
            </w:pPr>
            <w:r>
              <w:rPr>
                <w:rFonts w:ascii="宋体" w:hAnsi="宋体"/>
                <w:b/>
                <w:bCs/>
                <w:color w:val="auto"/>
                <w:sz w:val="21"/>
                <w:szCs w:val="21"/>
              </w:rPr>
            </w:r>
            <w:r/>
          </w:p>
        </w:tc>
        <w:tc>
          <w:tcPr>
            <w:tcW w:w="934" w:type="dxa"/>
            <w:vAlign w:val="center"/>
            <w:textDirection w:val="lrTb"/>
            <w:noWrap w:val="false"/>
          </w:tcPr>
          <w:p>
            <w:pPr>
              <w:jc w:val="center"/>
              <w:rPr>
                <w:rFonts w:ascii="宋体" w:hAnsi="宋体"/>
                <w:b/>
                <w:bCs/>
                <w:color w:val="auto"/>
                <w:sz w:val="21"/>
                <w:szCs w:val="21"/>
              </w:rPr>
            </w:pPr>
            <w:r>
              <w:rPr>
                <w:rFonts w:ascii="宋体" w:hAnsi="宋体"/>
                <w:b/>
                <w:bCs/>
                <w:color w:val="auto"/>
                <w:sz w:val="21"/>
                <w:szCs w:val="21"/>
              </w:rPr>
            </w:r>
            <w:r/>
          </w:p>
        </w:tc>
        <w:tc>
          <w:tcPr>
            <w:tcW w:w="816" w:type="dxa"/>
            <w:vAlign w:val="center"/>
            <w:textDirection w:val="lrTb"/>
            <w:noWrap w:val="false"/>
          </w:tcPr>
          <w:p>
            <w:pPr>
              <w:jc w:val="center"/>
              <w:rPr>
                <w:rFonts w:ascii="宋体" w:hAnsi="宋体"/>
                <w:b/>
                <w:bCs/>
                <w:color w:val="auto"/>
                <w:sz w:val="21"/>
                <w:szCs w:val="21"/>
              </w:rPr>
            </w:pPr>
            <w:r>
              <w:rPr>
                <w:rFonts w:ascii="宋体" w:hAnsi="宋体"/>
                <w:b/>
                <w:bCs/>
                <w:color w:val="auto"/>
                <w:sz w:val="21"/>
                <w:szCs w:val="21"/>
              </w:rPr>
            </w:r>
            <w:r/>
          </w:p>
        </w:tc>
        <w:tc>
          <w:tcPr>
            <w:tcW w:w="1084" w:type="dxa"/>
            <w:vAlign w:val="center"/>
            <w:textDirection w:val="lrTb"/>
            <w:noWrap w:val="false"/>
          </w:tcPr>
          <w:p>
            <w:pPr>
              <w:jc w:val="center"/>
              <w:rPr>
                <w:rFonts w:ascii="宋体" w:hAnsi="宋体"/>
                <w:b/>
                <w:bCs/>
                <w:color w:val="auto"/>
                <w:sz w:val="21"/>
                <w:szCs w:val="21"/>
              </w:rPr>
            </w:pPr>
            <w:r>
              <w:rPr>
                <w:rFonts w:ascii="宋体" w:hAnsi="宋体"/>
                <w:b/>
                <w:bCs/>
                <w:color w:val="auto"/>
                <w:sz w:val="21"/>
                <w:szCs w:val="21"/>
              </w:rPr>
            </w:r>
            <w:r/>
          </w:p>
        </w:tc>
      </w:tr>
      <w:tr>
        <w:trPr>
          <w:cantSplit/>
          <w:trHeight w:val="544"/>
        </w:trPr>
        <w:tc>
          <w:tcPr>
            <w:tcMar>
              <w:left w:w="15" w:type="dxa"/>
              <w:top w:w="15" w:type="dxa"/>
              <w:right w:w="15" w:type="dxa"/>
              <w:bottom w:w="0" w:type="dxa"/>
            </w:tcMar>
            <w:tcW w:w="541" w:type="dxa"/>
            <w:vAlign w:val="center"/>
            <w:textDirection w:val="lrTb"/>
            <w:noWrap/>
          </w:tcPr>
          <w:p>
            <w:pPr>
              <w:jc w:val="center"/>
              <w:rPr>
                <w:rFonts w:ascii="宋体" w:hAnsi="宋体"/>
                <w:color w:val="auto"/>
                <w:sz w:val="21"/>
                <w:szCs w:val="21"/>
              </w:rPr>
            </w:pPr>
            <w:r>
              <w:rPr>
                <w:rFonts w:ascii="宋体" w:hAnsi="宋体"/>
                <w:color w:val="auto"/>
                <w:sz w:val="21"/>
                <w:szCs w:val="21"/>
              </w:rPr>
            </w:r>
            <w:r/>
          </w:p>
        </w:tc>
        <w:tc>
          <w:tcPr>
            <w:tcMar>
              <w:left w:w="15" w:type="dxa"/>
              <w:top w:w="15" w:type="dxa"/>
              <w:right w:w="15" w:type="dxa"/>
              <w:bottom w:w="0" w:type="dxa"/>
            </w:tcMar>
            <w:tcW w:w="1263" w:type="dxa"/>
            <w:vAlign w:val="center"/>
            <w:textDirection w:val="lrTb"/>
            <w:noWrap/>
          </w:tcPr>
          <w:p>
            <w:pPr>
              <w:jc w:val="center"/>
              <w:rPr>
                <w:rFonts w:ascii="宋体" w:hAnsi="宋体"/>
                <w:color w:val="auto"/>
                <w:sz w:val="21"/>
                <w:szCs w:val="21"/>
              </w:rPr>
            </w:pPr>
            <w:r>
              <w:rPr>
                <w:rFonts w:ascii="宋体" w:hAnsi="宋体"/>
                <w:color w:val="auto"/>
                <w:sz w:val="21"/>
                <w:szCs w:val="21"/>
              </w:rPr>
            </w:r>
            <w:r/>
          </w:p>
        </w:tc>
        <w:tc>
          <w:tcPr>
            <w:tcMar>
              <w:left w:w="15" w:type="dxa"/>
              <w:top w:w="15" w:type="dxa"/>
              <w:right w:w="15" w:type="dxa"/>
              <w:bottom w:w="0" w:type="dxa"/>
            </w:tcMar>
            <w:tcW w:w="1198" w:type="dxa"/>
            <w:vAlign w:val="center"/>
            <w:textDirection w:val="lrTb"/>
            <w:noWrap w:val="false"/>
          </w:tcPr>
          <w:p>
            <w:pPr>
              <w:pStyle w:val="1197"/>
              <w:tabs>
                <w:tab w:val="clear" w:pos="4153" w:leader="none"/>
                <w:tab w:val="clear" w:pos="8306" w:leader="none"/>
              </w:tabs>
              <w:rPr>
                <w:rFonts w:ascii="宋体" w:hAnsi="宋体"/>
                <w:bCs/>
                <w:color w:val="auto"/>
                <w:sz w:val="21"/>
                <w:szCs w:val="21"/>
              </w:rPr>
              <w:pBdr>
                <w:bottom w:val="none" w:color="000000" w:sz="0" w:space="0"/>
              </w:pBdr>
            </w:pPr>
            <w:r>
              <w:rPr>
                <w:rFonts w:ascii="宋体" w:hAnsi="宋体"/>
                <w:bCs/>
                <w:color w:val="auto"/>
                <w:sz w:val="21"/>
                <w:szCs w:val="21"/>
              </w:rPr>
            </w:r>
            <w:r/>
          </w:p>
        </w:tc>
        <w:tc>
          <w:tcPr>
            <w:tcMar>
              <w:left w:w="15" w:type="dxa"/>
              <w:top w:w="15" w:type="dxa"/>
              <w:right w:w="15" w:type="dxa"/>
              <w:bottom w:w="0" w:type="dxa"/>
            </w:tcMar>
            <w:tcW w:w="1791" w:type="dxa"/>
            <w:vAlign w:val="center"/>
            <w:textDirection w:val="lrTb"/>
            <w:noWrap w:val="false"/>
          </w:tcPr>
          <w:p>
            <w:pPr>
              <w:jc w:val="center"/>
              <w:rPr>
                <w:rFonts w:ascii="宋体" w:hAnsi="宋体"/>
                <w:bCs/>
                <w:color w:val="auto"/>
                <w:sz w:val="21"/>
                <w:szCs w:val="21"/>
              </w:rPr>
            </w:pPr>
            <w:r>
              <w:rPr>
                <w:rFonts w:ascii="宋体" w:hAnsi="宋体"/>
                <w:bCs/>
                <w:color w:val="auto"/>
                <w:sz w:val="21"/>
                <w:szCs w:val="21"/>
              </w:rPr>
            </w:r>
            <w:r/>
          </w:p>
        </w:tc>
        <w:tc>
          <w:tcPr>
            <w:tcMar>
              <w:left w:w="15" w:type="dxa"/>
              <w:top w:w="15" w:type="dxa"/>
              <w:right w:w="15" w:type="dxa"/>
              <w:bottom w:w="0" w:type="dxa"/>
            </w:tcMar>
            <w:tcW w:w="1376" w:type="dxa"/>
            <w:vAlign w:val="center"/>
            <w:textDirection w:val="lrTb"/>
            <w:noWrap w:val="false"/>
          </w:tcPr>
          <w:p>
            <w:pPr>
              <w:jc w:val="center"/>
              <w:rPr>
                <w:rFonts w:ascii="宋体" w:hAnsi="宋体"/>
                <w:bCs/>
                <w:color w:val="auto"/>
                <w:sz w:val="21"/>
                <w:szCs w:val="21"/>
              </w:rPr>
            </w:pPr>
            <w:r>
              <w:rPr>
                <w:rFonts w:ascii="宋体" w:hAnsi="宋体"/>
                <w:bCs/>
                <w:color w:val="auto"/>
                <w:sz w:val="21"/>
                <w:szCs w:val="21"/>
              </w:rPr>
            </w:r>
            <w:r/>
          </w:p>
        </w:tc>
        <w:tc>
          <w:tcPr>
            <w:tcMar>
              <w:left w:w="15" w:type="dxa"/>
              <w:top w:w="15" w:type="dxa"/>
              <w:right w:w="15" w:type="dxa"/>
              <w:bottom w:w="0" w:type="dxa"/>
            </w:tcMar>
            <w:tcW w:w="605" w:type="dxa"/>
            <w:vAlign w:val="center"/>
            <w:textDirection w:val="lrTb"/>
            <w:noWrap w:val="false"/>
          </w:tcPr>
          <w:p>
            <w:pPr>
              <w:jc w:val="center"/>
              <w:rPr>
                <w:rFonts w:ascii="宋体" w:hAnsi="宋体"/>
                <w:bCs/>
                <w:color w:val="auto"/>
                <w:sz w:val="21"/>
                <w:szCs w:val="21"/>
              </w:rPr>
            </w:pPr>
            <w:r>
              <w:rPr>
                <w:rFonts w:ascii="宋体" w:hAnsi="宋体"/>
                <w:bCs/>
                <w:color w:val="auto"/>
                <w:sz w:val="21"/>
                <w:szCs w:val="21"/>
              </w:rPr>
            </w:r>
            <w:r/>
          </w:p>
        </w:tc>
        <w:tc>
          <w:tcPr>
            <w:tcMar>
              <w:left w:w="15" w:type="dxa"/>
              <w:top w:w="15" w:type="dxa"/>
              <w:right w:w="15" w:type="dxa"/>
              <w:bottom w:w="0" w:type="dxa"/>
            </w:tcMar>
            <w:tcW w:w="600" w:type="dxa"/>
            <w:vAlign w:val="center"/>
            <w:textDirection w:val="lrTb"/>
            <w:noWrap/>
          </w:tcPr>
          <w:p>
            <w:pPr>
              <w:jc w:val="center"/>
              <w:rPr>
                <w:rFonts w:ascii="宋体" w:hAnsi="宋体"/>
                <w:b/>
                <w:bCs/>
                <w:color w:val="auto"/>
                <w:sz w:val="21"/>
                <w:szCs w:val="21"/>
              </w:rPr>
            </w:pPr>
            <w:r>
              <w:rPr>
                <w:rFonts w:hint="eastAsia" w:ascii="宋体" w:hAnsi="宋体"/>
                <w:b/>
                <w:bCs/>
                <w:color w:val="auto"/>
                <w:sz w:val="21"/>
                <w:szCs w:val="21"/>
              </w:rPr>
              <w:t xml:space="preserve">　</w:t>
            </w:r>
            <w:r/>
          </w:p>
        </w:tc>
        <w:tc>
          <w:tcPr>
            <w:tcW w:w="934" w:type="dxa"/>
            <w:vAlign w:val="center"/>
            <w:textDirection w:val="lrTb"/>
            <w:noWrap w:val="false"/>
          </w:tcPr>
          <w:p>
            <w:pPr>
              <w:jc w:val="center"/>
              <w:rPr>
                <w:rFonts w:ascii="宋体" w:hAnsi="宋体"/>
                <w:b/>
                <w:bCs/>
                <w:color w:val="auto"/>
                <w:sz w:val="21"/>
                <w:szCs w:val="21"/>
              </w:rPr>
            </w:pPr>
            <w:r>
              <w:rPr>
                <w:rFonts w:hint="eastAsia" w:ascii="宋体" w:hAnsi="宋体"/>
                <w:b/>
                <w:bCs/>
                <w:color w:val="auto"/>
                <w:sz w:val="21"/>
                <w:szCs w:val="21"/>
              </w:rPr>
              <w:t xml:space="preserve">　</w:t>
            </w:r>
            <w:r/>
          </w:p>
        </w:tc>
        <w:tc>
          <w:tcPr>
            <w:tcW w:w="816" w:type="dxa"/>
            <w:vAlign w:val="center"/>
            <w:textDirection w:val="lrTb"/>
            <w:noWrap w:val="false"/>
          </w:tcPr>
          <w:p>
            <w:pPr>
              <w:jc w:val="center"/>
              <w:rPr>
                <w:rFonts w:ascii="宋体" w:hAnsi="宋体"/>
                <w:b/>
                <w:bCs/>
                <w:color w:val="auto"/>
                <w:sz w:val="21"/>
                <w:szCs w:val="21"/>
              </w:rPr>
            </w:pPr>
            <w:r>
              <w:rPr>
                <w:rFonts w:ascii="宋体" w:hAnsi="宋体"/>
                <w:b/>
                <w:bCs/>
                <w:color w:val="auto"/>
                <w:sz w:val="21"/>
                <w:szCs w:val="21"/>
              </w:rPr>
            </w:r>
            <w:r/>
          </w:p>
        </w:tc>
        <w:tc>
          <w:tcPr>
            <w:tcW w:w="1084" w:type="dxa"/>
            <w:vAlign w:val="center"/>
            <w:textDirection w:val="lrTb"/>
            <w:noWrap w:val="false"/>
          </w:tcPr>
          <w:p>
            <w:pPr>
              <w:jc w:val="center"/>
              <w:rPr>
                <w:rFonts w:ascii="宋体" w:hAnsi="宋体"/>
                <w:b/>
                <w:bCs/>
                <w:color w:val="auto"/>
                <w:sz w:val="21"/>
                <w:szCs w:val="21"/>
              </w:rPr>
            </w:pPr>
            <w:r>
              <w:rPr>
                <w:rFonts w:ascii="宋体" w:hAnsi="宋体"/>
                <w:b/>
                <w:bCs/>
                <w:color w:val="auto"/>
                <w:sz w:val="21"/>
                <w:szCs w:val="21"/>
              </w:rPr>
            </w:r>
            <w:r/>
          </w:p>
        </w:tc>
      </w:tr>
      <w:tr>
        <w:trPr>
          <w:cantSplit/>
          <w:trHeight w:val="283"/>
        </w:trPr>
        <w:tc>
          <w:tcPr>
            <w:gridSpan w:val="10"/>
            <w:tcMar>
              <w:left w:w="15" w:type="dxa"/>
              <w:top w:w="15" w:type="dxa"/>
              <w:right w:w="15" w:type="dxa"/>
              <w:bottom w:w="0" w:type="dxa"/>
            </w:tcMar>
            <w:tcW w:w="10208" w:type="dxa"/>
            <w:vAlign w:val="center"/>
            <w:textDirection w:val="lrTb"/>
            <w:noWrap/>
          </w:tcPr>
          <w:p>
            <w:pPr>
              <w:rPr>
                <w:rFonts w:ascii="宋体" w:hAnsi="宋体"/>
                <w:bCs/>
                <w:color w:val="auto"/>
                <w:sz w:val="21"/>
                <w:szCs w:val="21"/>
              </w:rPr>
            </w:pPr>
            <w:r>
              <w:rPr>
                <w:rFonts w:hint="eastAsia"/>
                <w:b/>
                <w:bCs/>
                <w:color w:val="auto"/>
                <w:sz w:val="21"/>
                <w:szCs w:val="21"/>
              </w:rPr>
              <w:t xml:space="preserve">总报价：大写                                              小写</w:t>
            </w:r>
            <w:r/>
          </w:p>
        </w:tc>
      </w:tr>
      <w:tr>
        <w:trPr>
          <w:cantSplit/>
          <w:trHeight w:val="727"/>
        </w:trPr>
        <w:tc>
          <w:tcPr>
            <w:gridSpan w:val="3"/>
            <w:tcMar>
              <w:left w:w="15" w:type="dxa"/>
              <w:top w:w="15" w:type="dxa"/>
              <w:right w:w="15" w:type="dxa"/>
              <w:bottom w:w="0" w:type="dxa"/>
            </w:tcMar>
            <w:tcW w:w="3002" w:type="dxa"/>
            <w:vAlign w:val="center"/>
            <w:textDirection w:val="lrTb"/>
            <w:noWrap/>
          </w:tcPr>
          <w:p>
            <w:pPr>
              <w:jc w:val="both"/>
              <w:rPr>
                <w:rFonts w:ascii="宋体" w:hAnsi="宋体"/>
                <w:b/>
                <w:bCs/>
                <w:color w:val="auto"/>
                <w:sz w:val="21"/>
                <w:szCs w:val="21"/>
              </w:rPr>
            </w:pPr>
            <w:r>
              <w:rPr>
                <w:rFonts w:hint="eastAsia"/>
                <w:b/>
                <w:bCs/>
                <w:color w:val="auto"/>
                <w:sz w:val="21"/>
                <w:szCs w:val="21"/>
              </w:rPr>
              <w:t xml:space="preserve">其中属于小、微型企业产品的价格合计（小写）：</w:t>
            </w:r>
            <w:r/>
          </w:p>
        </w:tc>
        <w:tc>
          <w:tcPr>
            <w:gridSpan w:val="7"/>
            <w:tcMar>
              <w:left w:w="15" w:type="dxa"/>
              <w:top w:w="15" w:type="dxa"/>
              <w:right w:w="15" w:type="dxa"/>
              <w:bottom w:w="0" w:type="dxa"/>
            </w:tcMar>
            <w:tcW w:w="7206" w:type="dxa"/>
            <w:vAlign w:val="center"/>
            <w:textDirection w:val="lrTb"/>
            <w:noWrap w:val="false"/>
          </w:tcPr>
          <w:p>
            <w:pPr>
              <w:rPr>
                <w:rFonts w:ascii="宋体" w:hAnsi="宋体"/>
                <w:b/>
                <w:bCs/>
                <w:color w:val="auto"/>
                <w:sz w:val="21"/>
                <w:szCs w:val="21"/>
              </w:rPr>
            </w:pPr>
            <w:r>
              <w:rPr>
                <w:rFonts w:ascii="宋体" w:hAnsi="宋体"/>
                <w:b/>
                <w:bCs/>
                <w:color w:val="auto"/>
                <w:sz w:val="21"/>
                <w:szCs w:val="21"/>
              </w:rPr>
            </w:r>
            <w:r/>
          </w:p>
        </w:tc>
      </w:tr>
      <w:tr>
        <w:trPr>
          <w:cantSplit/>
          <w:trHeight w:val="727"/>
        </w:trPr>
        <w:tc>
          <w:tcPr>
            <w:gridSpan w:val="3"/>
            <w:tcMar>
              <w:left w:w="15" w:type="dxa"/>
              <w:top w:w="15" w:type="dxa"/>
              <w:right w:w="15" w:type="dxa"/>
              <w:bottom w:w="0" w:type="dxa"/>
            </w:tcMar>
            <w:tcW w:w="3002" w:type="dxa"/>
            <w:vAlign w:val="center"/>
            <w:textDirection w:val="lrTb"/>
            <w:noWrap/>
          </w:tcPr>
          <w:p>
            <w:pPr>
              <w:jc w:val="both"/>
              <w:rPr>
                <w:rFonts w:ascii="宋体" w:hAnsi="宋体"/>
                <w:b/>
                <w:bCs/>
                <w:color w:val="auto"/>
                <w:sz w:val="21"/>
                <w:szCs w:val="21"/>
              </w:rPr>
            </w:pPr>
            <w:r>
              <w:rPr>
                <w:rFonts w:hint="eastAsia"/>
                <w:b/>
                <w:bCs/>
                <w:color w:val="auto"/>
                <w:sz w:val="21"/>
                <w:szCs w:val="21"/>
              </w:rPr>
              <w:t xml:space="preserve">其中属于监狱企业产品的价格合计（小写）：</w:t>
            </w:r>
            <w:r/>
          </w:p>
        </w:tc>
        <w:tc>
          <w:tcPr>
            <w:gridSpan w:val="7"/>
            <w:tcMar>
              <w:left w:w="15" w:type="dxa"/>
              <w:top w:w="15" w:type="dxa"/>
              <w:right w:w="15" w:type="dxa"/>
              <w:bottom w:w="0" w:type="dxa"/>
            </w:tcMar>
            <w:tcW w:w="7206" w:type="dxa"/>
            <w:vAlign w:val="center"/>
            <w:textDirection w:val="lrTb"/>
            <w:noWrap w:val="false"/>
          </w:tcPr>
          <w:p>
            <w:pPr>
              <w:rPr>
                <w:rFonts w:ascii="宋体" w:hAnsi="宋体"/>
                <w:b/>
                <w:bCs/>
                <w:color w:val="auto"/>
                <w:sz w:val="21"/>
                <w:szCs w:val="21"/>
              </w:rPr>
            </w:pPr>
            <w:r>
              <w:rPr>
                <w:rFonts w:ascii="宋体" w:hAnsi="宋体"/>
                <w:b/>
                <w:bCs/>
                <w:color w:val="auto"/>
                <w:sz w:val="21"/>
                <w:szCs w:val="21"/>
              </w:rPr>
            </w:r>
            <w:r/>
          </w:p>
        </w:tc>
      </w:tr>
      <w:tr>
        <w:trPr>
          <w:cantSplit/>
          <w:trHeight w:val="727"/>
        </w:trPr>
        <w:tc>
          <w:tcPr>
            <w:gridSpan w:val="3"/>
            <w:tcMar>
              <w:left w:w="15" w:type="dxa"/>
              <w:top w:w="15" w:type="dxa"/>
              <w:right w:w="15" w:type="dxa"/>
              <w:bottom w:w="0" w:type="dxa"/>
            </w:tcMar>
            <w:tcW w:w="3002" w:type="dxa"/>
            <w:vAlign w:val="center"/>
            <w:textDirection w:val="lrTb"/>
            <w:noWrap/>
          </w:tcPr>
          <w:p>
            <w:pPr>
              <w:jc w:val="both"/>
              <w:rPr>
                <w:rFonts w:ascii="宋体" w:hAnsi="宋体"/>
                <w:b/>
                <w:bCs/>
                <w:color w:val="auto"/>
                <w:sz w:val="21"/>
                <w:szCs w:val="21"/>
              </w:rPr>
            </w:pPr>
            <w:r>
              <w:rPr>
                <w:rFonts w:hint="eastAsia"/>
                <w:b/>
                <w:bCs/>
                <w:color w:val="auto"/>
                <w:sz w:val="21"/>
                <w:szCs w:val="21"/>
              </w:rPr>
              <w:t xml:space="preserve">其中属</w:t>
            </w:r>
            <w:r>
              <w:rPr>
                <w:rFonts w:hint="eastAsia" w:hAnsi="宋体"/>
                <w:b/>
                <w:bCs/>
                <w:color w:val="auto"/>
                <w:sz w:val="21"/>
                <w:szCs w:val="21"/>
              </w:rPr>
              <w:t xml:space="preserve">于残疾人福利性单位产品的</w:t>
            </w:r>
            <w:r>
              <w:rPr>
                <w:rFonts w:hint="eastAsia"/>
                <w:b/>
                <w:bCs/>
                <w:color w:val="auto"/>
                <w:sz w:val="21"/>
                <w:szCs w:val="21"/>
              </w:rPr>
              <w:t xml:space="preserve">价格合计（小写）：</w:t>
            </w:r>
            <w:r/>
          </w:p>
        </w:tc>
        <w:tc>
          <w:tcPr>
            <w:gridSpan w:val="7"/>
            <w:tcMar>
              <w:left w:w="15" w:type="dxa"/>
              <w:top w:w="15" w:type="dxa"/>
              <w:right w:w="15" w:type="dxa"/>
              <w:bottom w:w="0" w:type="dxa"/>
            </w:tcMar>
            <w:tcW w:w="7206" w:type="dxa"/>
            <w:vAlign w:val="center"/>
            <w:textDirection w:val="lrTb"/>
            <w:noWrap w:val="false"/>
          </w:tcPr>
          <w:p>
            <w:pPr>
              <w:rPr>
                <w:rFonts w:ascii="宋体" w:hAnsi="宋体"/>
                <w:b/>
                <w:bCs/>
                <w:color w:val="auto"/>
                <w:sz w:val="21"/>
                <w:szCs w:val="21"/>
              </w:rPr>
            </w:pPr>
            <w:r>
              <w:rPr>
                <w:rFonts w:ascii="宋体" w:hAnsi="宋体"/>
                <w:b/>
                <w:bCs/>
                <w:color w:val="auto"/>
                <w:sz w:val="21"/>
                <w:szCs w:val="21"/>
              </w:rPr>
            </w:r>
            <w:r/>
          </w:p>
        </w:tc>
      </w:tr>
      <w:tr>
        <w:trPr>
          <w:cantSplit/>
          <w:trHeight w:val="924"/>
        </w:trPr>
        <w:tc>
          <w:tcPr>
            <w:tcW w:w="541" w:type="dxa"/>
            <w:vAlign w:val="center"/>
            <w:vMerge w:val="restart"/>
            <w:textDirection w:val="lrTb"/>
            <w:noWrap w:val="false"/>
          </w:tcPr>
          <w:p>
            <w:pPr>
              <w:pStyle w:val="1208"/>
              <w:ind w:firstLine="119"/>
              <w:jc w:val="both"/>
              <w:spacing w:after="0" w:line="400" w:lineRule="exact"/>
              <w:tabs>
                <w:tab w:val="left" w:pos="540" w:leader="none"/>
              </w:tabs>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服</w:t>
            </w:r>
            <w:r/>
          </w:p>
          <w:p>
            <w:pPr>
              <w:pStyle w:val="1208"/>
              <w:ind w:firstLine="119"/>
              <w:jc w:val="both"/>
              <w:spacing w:after="0" w:line="400" w:lineRule="exact"/>
              <w:tabs>
                <w:tab w:val="left" w:pos="540" w:leader="none"/>
              </w:tabs>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务</w:t>
            </w:r>
            <w:r/>
          </w:p>
          <w:p>
            <w:pPr>
              <w:pStyle w:val="1208"/>
              <w:ind w:firstLine="119"/>
              <w:jc w:val="both"/>
              <w:spacing w:after="0" w:line="400" w:lineRule="exact"/>
              <w:tabs>
                <w:tab w:val="left" w:pos="540" w:leader="none"/>
              </w:tabs>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承</w:t>
            </w:r>
            <w:r/>
          </w:p>
          <w:p>
            <w:pPr>
              <w:pStyle w:val="1208"/>
              <w:ind w:firstLine="119"/>
              <w:jc w:val="both"/>
              <w:spacing w:after="0" w:line="400" w:lineRule="exact"/>
              <w:tabs>
                <w:tab w:val="left" w:pos="540" w:leader="none"/>
              </w:tabs>
              <w:rPr>
                <w:rFonts w:ascii="宋体" w:hAnsi="宋体"/>
                <w:bCs/>
                <w:color w:val="auto"/>
                <w:sz w:val="21"/>
                <w:szCs w:val="21"/>
              </w:rPr>
            </w:pPr>
            <w:r>
              <w:rPr>
                <w:rFonts w:hint="eastAsia" w:ascii="宋体" w:hAnsi="宋体" w:eastAsia="宋体" w:cs="宋体"/>
                <w:b/>
                <w:bCs/>
                <w:color w:val="auto"/>
                <w:sz w:val="21"/>
                <w:szCs w:val="21"/>
              </w:rPr>
              <w:t xml:space="preserve">诺</w:t>
            </w:r>
            <w:r/>
          </w:p>
        </w:tc>
        <w:tc>
          <w:tcPr>
            <w:gridSpan w:val="9"/>
            <w:tcW w:w="9667" w:type="dxa"/>
            <w:vAlign w:val="center"/>
            <w:textDirection w:val="lrTb"/>
            <w:noWrap w:val="false"/>
          </w:tcPr>
          <w:p>
            <w:pPr>
              <w:jc w:val="both"/>
              <w:spacing w:after="0" w:line="240" w:lineRule="auto"/>
              <w:widowControl w:val="off"/>
              <w:rPr>
                <w:rFonts w:ascii="宋体" w:hAnsi="宋体"/>
                <w:bCs/>
                <w:color w:val="auto"/>
                <w:sz w:val="21"/>
                <w:szCs w:val="21"/>
              </w:rPr>
            </w:pPr>
            <w:r>
              <w:rPr>
                <w:rFonts w:hint="eastAsia" w:ascii="宋体" w:hAnsi="宋体"/>
                <w:bCs/>
                <w:color w:val="auto"/>
                <w:sz w:val="21"/>
                <w:szCs w:val="21"/>
              </w:rPr>
              <w:t xml:space="preserve">1.质量 2.安装 3.“三包”（包修、包退、包换）4.其他承诺</w:t>
            </w:r>
            <w:r/>
          </w:p>
          <w:p>
            <w:pPr>
              <w:jc w:val="both"/>
              <w:spacing w:after="0" w:line="240" w:lineRule="auto"/>
              <w:widowControl w:val="off"/>
              <w:rPr>
                <w:rFonts w:ascii="宋体" w:hAnsi="宋体"/>
                <w:bCs/>
                <w:color w:val="auto"/>
                <w:sz w:val="21"/>
                <w:szCs w:val="21"/>
              </w:rPr>
            </w:pPr>
            <w:r>
              <w:rPr>
                <w:rFonts w:hint="eastAsia" w:ascii="宋体" w:hAnsi="宋体"/>
                <w:bCs/>
                <w:color w:val="auto"/>
                <w:sz w:val="21"/>
                <w:szCs w:val="21"/>
              </w:rPr>
              <w:t xml:space="preserve">（以上是主要承诺，供投标人参考，投标人应在满足招标文件要求的基础上，根据自己单位的情况作出具体承诺）</w:t>
            </w:r>
            <w:r/>
          </w:p>
        </w:tc>
      </w:tr>
      <w:tr>
        <w:trPr>
          <w:cantSplit/>
          <w:trHeight w:val="952"/>
        </w:trPr>
        <w:tc>
          <w:tcPr>
            <w:tcW w:w="541" w:type="dxa"/>
            <w:vAlign w:val="center"/>
            <w:vMerge w:val="continue"/>
            <w:textDirection w:val="lrTb"/>
            <w:noWrap w:val="false"/>
          </w:tcPr>
          <w:p>
            <w:pPr>
              <w:pStyle w:val="1208"/>
              <w:spacing w:line="400" w:lineRule="exact"/>
              <w:tabs>
                <w:tab w:val="left" w:pos="540" w:leader="none"/>
              </w:tabs>
              <w:rPr>
                <w:rFonts w:ascii="宋体" w:hAnsi="宋体"/>
                <w:bCs/>
                <w:color w:val="auto"/>
                <w:sz w:val="21"/>
                <w:szCs w:val="21"/>
              </w:rPr>
            </w:pPr>
            <w:r>
              <w:rPr>
                <w:rFonts w:ascii="宋体" w:hAnsi="宋体"/>
                <w:bCs/>
                <w:color w:val="auto"/>
                <w:sz w:val="21"/>
                <w:szCs w:val="21"/>
              </w:rPr>
            </w:r>
            <w:r/>
          </w:p>
        </w:tc>
        <w:tc>
          <w:tcPr>
            <w:gridSpan w:val="9"/>
            <w:tcW w:w="9667" w:type="dxa"/>
            <w:vAlign w:val="center"/>
            <w:textDirection w:val="lrTb"/>
            <w:noWrap w:val="false"/>
          </w:tcPr>
          <w:p>
            <w:pPr>
              <w:rPr>
                <w:rFonts w:ascii="宋体" w:hAnsi="宋体"/>
                <w:bCs/>
                <w:color w:val="auto"/>
                <w:sz w:val="21"/>
                <w:szCs w:val="21"/>
              </w:rPr>
            </w:pPr>
            <w:r>
              <w:rPr>
                <w:rFonts w:ascii="宋体" w:hAnsi="宋体"/>
                <w:bCs/>
                <w:color w:val="auto"/>
                <w:sz w:val="21"/>
                <w:szCs w:val="21"/>
              </w:rPr>
            </w:r>
            <w:r/>
          </w:p>
        </w:tc>
      </w:tr>
    </w:tbl>
    <w:p>
      <w:pPr>
        <w:jc w:val="both"/>
        <w:spacing w:before="5" w:after="0" w:line="560" w:lineRule="atLeast"/>
        <w:widowControl w:val="off"/>
        <w:rPr>
          <w:rFonts w:ascii="宋体" w:hAnsi="宋体"/>
          <w:b/>
          <w:bCs/>
          <w:color w:val="auto"/>
          <w:sz w:val="24"/>
          <w:szCs w:val="24"/>
        </w:rPr>
      </w:pPr>
      <w:r>
        <w:rPr>
          <w:rFonts w:hint="eastAsia" w:ascii="宋体" w:hAnsi="宋体"/>
          <w:b/>
          <w:bCs/>
          <w:color w:val="auto"/>
          <w:sz w:val="24"/>
          <w:szCs w:val="24"/>
        </w:rPr>
        <w:t xml:space="preserve">法定代表人或法定代表人授权代表签字或盖章：</w:t>
      </w:r>
      <w:r/>
    </w:p>
    <w:p>
      <w:pPr>
        <w:jc w:val="both"/>
        <w:spacing w:before="5" w:after="0" w:line="560" w:lineRule="atLeast"/>
        <w:widowControl w:val="off"/>
        <w:rPr>
          <w:rFonts w:ascii="宋体" w:hAnsi="宋体"/>
          <w:b/>
          <w:bCs/>
          <w:color w:val="auto"/>
          <w:sz w:val="24"/>
          <w:szCs w:val="24"/>
          <w:lang w:val="zh-CN"/>
        </w:rPr>
      </w:pPr>
      <w:r>
        <w:rPr>
          <w:rFonts w:hint="eastAsia" w:ascii="宋体" w:hAnsi="宋体"/>
          <w:b/>
          <w:bCs/>
          <w:color w:val="auto"/>
          <w:sz w:val="24"/>
          <w:szCs w:val="24"/>
        </w:rPr>
        <w:t xml:space="preserve">注：</w:t>
      </w:r>
      <w:bookmarkEnd w:id="147"/>
      <w:r/>
      <w:r/>
    </w:p>
    <w:p>
      <w:pPr>
        <w:ind w:firstLine="420"/>
        <w:jc w:val="both"/>
        <w:spacing w:after="0" w:line="400" w:lineRule="exact"/>
        <w:widowControl w:val="off"/>
        <w:rPr>
          <w:rFonts w:ascii="宋体" w:hAnsi="宋体" w:cs="Times New Roman"/>
          <w:bCs/>
          <w:color w:val="auto"/>
          <w:sz w:val="21"/>
          <w:szCs w:val="21"/>
        </w:rPr>
      </w:pPr>
      <w:r/>
      <w:bookmarkStart w:id="148" w:name="_Toc30305"/>
      <w:r>
        <w:rPr>
          <w:rFonts w:hint="eastAsia" w:ascii="宋体" w:hAnsi="宋体" w:cs="Times New Roman"/>
          <w:bCs/>
          <w:color w:val="auto"/>
          <w:sz w:val="21"/>
          <w:szCs w:val="21"/>
        </w:rPr>
        <w:t xml:space="preserve">（1）</w:t>
      </w:r>
      <w:bookmarkEnd w:id="148"/>
      <w:r/>
      <w:bookmarkStart w:id="149" w:name="_Toc26165"/>
      <w:r>
        <w:rPr>
          <w:rFonts w:hint="eastAsia" w:ascii="宋体" w:hAnsi="宋体" w:cs="Times New Roman"/>
          <w:bCs/>
          <w:color w:val="auto"/>
          <w:sz w:val="21"/>
          <w:szCs w:val="21"/>
        </w:rPr>
        <w:t xml:space="preserve">供应商应当根据“采购需求”的内容在上表中详细填写；</w:t>
      </w:r>
      <w:bookmarkEnd w:id="149"/>
      <w:r/>
      <w:r/>
    </w:p>
    <w:p>
      <w:pPr>
        <w:ind w:firstLine="420"/>
        <w:jc w:val="both"/>
        <w:spacing w:after="0" w:line="400" w:lineRule="exact"/>
        <w:widowControl w:val="off"/>
        <w:rPr>
          <w:rFonts w:ascii="宋体" w:hAnsi="宋体" w:cs="Times New Roman"/>
          <w:bCs/>
          <w:color w:val="auto"/>
          <w:sz w:val="21"/>
          <w:szCs w:val="21"/>
        </w:rPr>
      </w:pPr>
      <w:r/>
      <w:bookmarkStart w:id="150" w:name="_Toc26657"/>
      <w:r>
        <w:rPr>
          <w:rFonts w:hint="eastAsia" w:ascii="宋体" w:hAnsi="宋体" w:cs="Times New Roman"/>
          <w:bCs/>
          <w:color w:val="auto"/>
          <w:sz w:val="21"/>
          <w:szCs w:val="21"/>
        </w:rPr>
        <w:t xml:space="preserve">（2）表格不够可自行延长。</w:t>
      </w:r>
      <w:bookmarkEnd w:id="150"/>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spacing w:line="360" w:lineRule="auto"/>
        <w:rPr>
          <w:rFonts w:ascii="宋体" w:hAnsi="宋体" w:eastAsia="宋体" w:cs="宋体"/>
          <w:b/>
          <w:color w:val="auto"/>
          <w:sz w:val="28"/>
          <w:szCs w:val="28"/>
          <w:highlight w:val="none"/>
        </w:rPr>
        <w:outlineLvl w:val="2"/>
      </w:pPr>
      <w:r/>
      <w:bookmarkStart w:id="151" w:name="_Toc120614284"/>
      <w:r>
        <w:rPr>
          <w:rFonts w:hint="eastAsia" w:ascii="宋体" w:hAnsi="宋体" w:eastAsia="宋体" w:cs="宋体"/>
          <w:b/>
          <w:color w:val="auto"/>
          <w:sz w:val="28"/>
          <w:szCs w:val="28"/>
          <w:highlight w:val="none"/>
          <w:lang w:val="en-US" w:eastAsia="zh-CN"/>
        </w:rPr>
        <w:t xml:space="preserve">六</w:t>
      </w:r>
      <w:r>
        <w:rPr>
          <w:rFonts w:hint="eastAsia" w:ascii="宋体" w:hAnsi="宋体" w:eastAsia="宋体" w:cs="宋体"/>
          <w:b/>
          <w:color w:val="auto"/>
          <w:sz w:val="28"/>
          <w:szCs w:val="28"/>
          <w:highlight w:val="none"/>
        </w:rPr>
        <w:t xml:space="preserve">、投标偏离表（给定格式）：</w:t>
      </w:r>
      <w:r/>
    </w:p>
    <w:p>
      <w:pPr>
        <w:jc w:val="center"/>
        <w:spacing w:line="360" w:lineRule="auto"/>
        <w:rPr>
          <w:rFonts w:ascii="宋体" w:hAnsi="宋体" w:eastAsia="宋体" w:cs="宋体"/>
          <w:bCs/>
          <w:color w:val="auto"/>
          <w:sz w:val="28"/>
          <w:szCs w:val="28"/>
          <w:highlight w:val="none"/>
        </w:rPr>
        <w:outlineLvl w:val="9"/>
      </w:pPr>
      <w:r>
        <w:rPr>
          <w:rFonts w:hint="eastAsia" w:ascii="宋体" w:hAnsi="宋体" w:eastAsia="宋体" w:cs="宋体"/>
          <w:bCs/>
          <w:color w:val="auto"/>
          <w:sz w:val="28"/>
          <w:szCs w:val="28"/>
          <w:highlight w:val="none"/>
        </w:rPr>
        <w:t xml:space="preserve">投标偏离表</w:t>
      </w:r>
      <w:r/>
    </w:p>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项目编号：</w:t>
      </w:r>
      <w:r/>
    </w:p>
    <w:tbl>
      <w:tblPr>
        <w:tblStyle w:val="801"/>
        <w:tblW w:w="9365" w:type="dxa"/>
        <w:jc w:val="center"/>
        <w:tblLayout w:type="fixed"/>
        <w:tblCellMar>
          <w:left w:w="15" w:type="dxa"/>
          <w:top w:w="15" w:type="dxa"/>
          <w:right w:w="15" w:type="dxa"/>
          <w:bottom w:w="0" w:type="dxa"/>
        </w:tblCellMar>
        <w:tblLook w:val="04A0" w:firstRow="1" w:lastRow="0" w:firstColumn="1" w:lastColumn="0" w:noHBand="0" w:noVBand="1"/>
      </w:tblPr>
      <w:tblGrid>
        <w:gridCol w:w="1199"/>
        <w:gridCol w:w="1742"/>
        <w:gridCol w:w="2042"/>
        <w:gridCol w:w="1759"/>
        <w:gridCol w:w="2623"/>
      </w:tblGrid>
      <w:tr>
        <w:trPr>
          <w:cantSplit/>
          <w:jc w:val="center"/>
          <w:trHeight w:val="94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199" w:type="dxa"/>
            <w:vAlign w:val="center"/>
            <w:textDirection w:val="lrTb"/>
            <w:noWrap/>
          </w:tcPr>
          <w:p>
            <w:pPr>
              <w:jc w:val="center"/>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投标货物名称</w:t>
            </w:r>
            <w:r/>
          </w:p>
        </w:tc>
        <w:tc>
          <w:tcPr>
            <w:tcBorders>
              <w:top w:val="single" w:color="000000" w:sz="4" w:space="0"/>
              <w:left w:val="single" w:color="000000" w:sz="4" w:space="0"/>
              <w:bottom w:val="single" w:color="000000" w:sz="4" w:space="0"/>
              <w:right w:val="single" w:color="000000" w:sz="4" w:space="0"/>
            </w:tcBorders>
            <w:tcW w:w="2042"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招标技术要求</w:t>
            </w:r>
            <w:r/>
          </w:p>
        </w:tc>
        <w:tc>
          <w:tcPr>
            <w:tcBorders>
              <w:top w:val="single" w:color="000000" w:sz="4" w:space="0"/>
              <w:left w:val="single" w:color="000000" w:sz="4" w:space="0"/>
              <w:bottom w:val="single" w:color="000000" w:sz="4" w:space="0"/>
              <w:right w:val="single" w:color="000000" w:sz="4" w:space="0"/>
            </w:tcBorders>
            <w:tcW w:w="1759"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投标货物技术指标描述</w:t>
            </w:r>
            <w:r/>
          </w:p>
        </w:tc>
        <w:tc>
          <w:tcPr>
            <w:tcBorders>
              <w:top w:val="single" w:color="000000" w:sz="4" w:space="0"/>
              <w:left w:val="single" w:color="000000" w:sz="4" w:space="0"/>
              <w:bottom w:val="single" w:color="000000" w:sz="4" w:space="0"/>
              <w:right w:val="single" w:color="000000" w:sz="4" w:space="0"/>
            </w:tcBorders>
            <w:tcW w:w="2623"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选择项（正偏离、负偏离或符合）</w:t>
            </w:r>
            <w:r/>
          </w:p>
        </w:tc>
      </w:tr>
      <w:tr>
        <w:trPr>
          <w:cantSplit/>
          <w:jc w:val="center"/>
          <w:trHeight w:val="53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199" w:type="dxa"/>
            <w:vAlign w:val="center"/>
            <w:textDirection w:val="lrTb"/>
            <w:noWrap/>
          </w:tcPr>
          <w:p>
            <w:pPr>
              <w:jc w:val="center"/>
              <w:spacing w:line="360" w:lineRule="auto"/>
              <w:rPr>
                <w:rFonts w:ascii="宋体" w:hAnsi="宋体" w:eastAsia="宋体" w:cs="宋体"/>
                <w:bCs/>
                <w:color w:val="auto"/>
                <w:highlight w:val="none"/>
              </w:rPr>
            </w:pPr>
            <w:r>
              <w:rPr>
                <w:rFonts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spacing w:line="360" w:lineRule="auto"/>
              <w:rPr>
                <w:rFonts w:ascii="宋体" w:hAnsi="宋体" w:eastAsia="宋体" w:cs="宋体"/>
                <w:bCs/>
                <w:color w:val="auto"/>
                <w:highlight w:val="none"/>
              </w:rPr>
            </w:pPr>
            <w:r>
              <w:rPr>
                <w:rFonts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042" w:type="dxa"/>
            <w:vAlign w:val="center"/>
            <w:textDirection w:val="lrTb"/>
            <w:noWrap w:val="false"/>
          </w:tcPr>
          <w:p>
            <w:pPr>
              <w:jc w:val="center"/>
              <w:spacing w:line="360" w:lineRule="auto"/>
              <w:rPr>
                <w:rFonts w:ascii="宋体" w:hAnsi="宋体" w:eastAsia="宋体" w:cs="宋体"/>
                <w:bCs/>
                <w:color w:val="auto"/>
                <w:highlight w:val="none"/>
              </w:rPr>
            </w:pPr>
            <w:r>
              <w:rPr>
                <w:rFonts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1759" w:type="dxa"/>
            <w:vAlign w:val="center"/>
            <w:textDirection w:val="lrTb"/>
            <w:noWrap w:val="false"/>
          </w:tcPr>
          <w:p>
            <w:pPr>
              <w:jc w:val="center"/>
              <w:spacing w:line="360" w:lineRule="auto"/>
              <w:rPr>
                <w:rFonts w:ascii="宋体" w:hAnsi="宋体" w:eastAsia="宋体" w:cs="宋体"/>
                <w:bCs/>
                <w:color w:val="auto"/>
                <w:highlight w:val="none"/>
              </w:rPr>
            </w:pPr>
            <w:r>
              <w:rPr>
                <w:rFonts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623" w:type="dxa"/>
            <w:vAlign w:val="center"/>
            <w:textDirection w:val="lrTb"/>
            <w:noWrap w:val="false"/>
          </w:tcPr>
          <w:p>
            <w:pPr>
              <w:jc w:val="center"/>
              <w:spacing w:line="360" w:lineRule="auto"/>
              <w:rPr>
                <w:rFonts w:ascii="宋体" w:hAnsi="宋体" w:eastAsia="宋体" w:cs="宋体"/>
                <w:bCs/>
                <w:color w:val="auto"/>
                <w:highlight w:val="none"/>
              </w:rPr>
            </w:pPr>
            <w:r>
              <w:rPr>
                <w:rFonts w:ascii="宋体" w:hAnsi="宋体" w:eastAsia="宋体" w:cs="宋体"/>
                <w:bCs/>
                <w:color w:val="auto"/>
                <w:highlight w:val="none"/>
              </w:rPr>
            </w:r>
            <w:r/>
          </w:p>
        </w:tc>
      </w:tr>
    </w:tbl>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360" w:lineRule="auto"/>
        <w:rPr>
          <w:rFonts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投标人名称（盖章）：</w:t>
      </w:r>
      <w:r/>
    </w:p>
    <w:p>
      <w:pPr>
        <w:spacing w:line="400" w:lineRule="exact"/>
        <w:rPr>
          <w:rFonts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注：（1）本表不得删除；</w:t>
      </w:r>
      <w:r/>
    </w:p>
    <w:p>
      <w:pPr>
        <w:ind w:firstLine="480"/>
        <w:spacing w:line="400" w:lineRule="exact"/>
        <w:rPr>
          <w:rFonts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（2）如无任何偏离，请于本表 “偏离说明”中注明“无偏离”；</w:t>
      </w:r>
      <w:r/>
    </w:p>
    <w:p>
      <w:pPr>
        <w:spacing w:line="400" w:lineRule="exact"/>
        <w:rPr>
          <w:rFonts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    （3）如有任何偏离项，请于本表中列明偏离内容，如需要可自行延长，其余无偏离内容</w:t>
      </w:r>
      <w:r>
        <w:rPr>
          <w:rFonts w:hint="eastAsia" w:ascii="宋体" w:hAnsi="宋体" w:eastAsia="宋体" w:cs="宋体"/>
          <w:bCs/>
          <w:color w:val="auto"/>
          <w:sz w:val="24"/>
          <w:szCs w:val="24"/>
          <w:highlight w:val="none"/>
          <w:lang w:eastAsia="zh-CN"/>
        </w:rPr>
        <w:t xml:space="preserve">无需</w:t>
      </w:r>
      <w:r>
        <w:rPr>
          <w:rFonts w:hint="eastAsia" w:ascii="宋体" w:hAnsi="宋体" w:eastAsia="宋体" w:cs="宋体"/>
          <w:bCs/>
          <w:color w:val="auto"/>
          <w:sz w:val="24"/>
          <w:szCs w:val="24"/>
          <w:highlight w:val="none"/>
        </w:rPr>
        <w:t xml:space="preserve">赘述。</w:t>
      </w:r>
      <w:bookmarkEnd w:id="151"/>
      <w:r/>
      <w:bookmarkStart w:id="152" w:name="_Hlt26671374"/>
      <w:r/>
      <w:bookmarkEnd w:id="152"/>
      <w:r/>
      <w:bookmarkStart w:id="153" w:name="_格式2__法定代表人授权书"/>
      <w:r/>
      <w:bookmarkEnd w:id="153"/>
      <w:r/>
      <w:bookmarkStart w:id="154" w:name="_Hlt26955066"/>
      <w:r/>
      <w:bookmarkEnd w:id="154"/>
      <w:r/>
      <w:bookmarkStart w:id="155" w:name="_Hlt26609389"/>
      <w:r/>
      <w:bookmarkEnd w:id="155"/>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spacing w:line="360" w:lineRule="auto"/>
        <w:rPr>
          <w:rFonts w:ascii="宋体" w:hAnsi="宋体" w:eastAsia="宋体" w:cs="宋体"/>
          <w:b/>
          <w:color w:val="auto"/>
          <w:sz w:val="28"/>
          <w:szCs w:val="28"/>
          <w:highlight w:val="none"/>
        </w:rPr>
        <w:outlineLvl w:val="2"/>
      </w:pPr>
      <w:r>
        <w:rPr>
          <w:rFonts w:hint="eastAsia" w:ascii="宋体" w:hAnsi="宋体" w:eastAsia="宋体" w:cs="宋体"/>
          <w:b/>
          <w:color w:val="auto"/>
          <w:sz w:val="28"/>
          <w:szCs w:val="28"/>
          <w:highlight w:val="none"/>
          <w:lang w:val="en-US" w:eastAsia="zh-CN"/>
        </w:rPr>
        <w:t xml:space="preserve">七</w:t>
      </w:r>
      <w:r>
        <w:rPr>
          <w:rFonts w:hint="eastAsia" w:ascii="宋体" w:hAnsi="宋体" w:eastAsia="宋体" w:cs="宋体"/>
          <w:b/>
          <w:color w:val="auto"/>
          <w:sz w:val="28"/>
          <w:szCs w:val="28"/>
          <w:highlight w:val="none"/>
        </w:rPr>
        <w:t xml:space="preserve">、授权委托书（给定格式）：</w:t>
      </w:r>
      <w:r/>
    </w:p>
    <w:p>
      <w:pPr>
        <w:jc w:val="center"/>
        <w:rPr>
          <w:rFonts w:ascii="宋体" w:hAnsi="宋体" w:cs="宋体"/>
          <w:bCs/>
          <w:color w:val="auto"/>
          <w:sz w:val="24"/>
          <w:highlight w:val="none"/>
          <w:shd w:val="clear" w:color="ffffff" w:fill="d9d9d9"/>
        </w:rPr>
        <w:outlineLvl w:val="9"/>
      </w:pPr>
      <w:r>
        <w:rPr>
          <w:rFonts w:hint="eastAsia" w:ascii="宋体" w:hAnsi="宋体" w:cs="宋体"/>
          <w:bCs/>
          <w:color w:val="auto"/>
          <w:sz w:val="28"/>
          <w:szCs w:val="28"/>
          <w:highlight w:val="none"/>
        </w:rPr>
        <w:t xml:space="preserve">授权委托书</w:t>
      </w:r>
      <w:r/>
    </w:p>
    <w:p>
      <w:pPr>
        <w:pStyle w:val="1226"/>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我公司（单位、联合体）针对</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项目，兹授权：</w:t>
      </w:r>
      <w:r/>
    </w:p>
    <w:p>
      <w:pPr>
        <w:pStyle w:val="1226"/>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被授权人的姓名：</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；性别：</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；年龄：</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；职务：</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w:t>
      </w:r>
      <w:r/>
    </w:p>
    <w:p>
      <w:pPr>
        <w:pStyle w:val="1226"/>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被授权人的身份证号码：</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；联系方式：</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w:t>
      </w:r>
      <w:r/>
    </w:p>
    <w:p>
      <w:pPr>
        <w:pStyle w:val="1226"/>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为我方合法代理人，以本单位名义全权处理针对本次项目的投标、参与开标、评标、签约等具体工作，并签署全部有关的文件、协议及合同以及其他一切与该项目采购有关的事务。</w:t>
      </w:r>
      <w:r/>
    </w:p>
    <w:p>
      <w:pPr>
        <w:pStyle w:val="1226"/>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本授权委托书自授权之日起生效，在撤销授权的书面通知送达你处以前，本授权书一直有效，被授权人签署的所有文件（在授权委托书有效期内签署的）不因授权的撤销而失效。</w:t>
      </w:r>
      <w:r/>
    </w:p>
    <w:p>
      <w:pPr>
        <w:pStyle w:val="1226"/>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特此授权委托。</w:t>
      </w:r>
      <w:r/>
    </w:p>
    <w:p>
      <w:pPr>
        <w:pStyle w:val="1226"/>
        <w:spacing w:line="360" w:lineRule="auto"/>
        <w:rPr>
          <w:rFonts w:ascii="宋体" w:hAnsi="宋体" w:cs="宋体"/>
          <w:bCs/>
          <w:color w:val="auto"/>
          <w:sz w:val="24"/>
          <w:szCs w:val="24"/>
          <w:highlight w:val="none"/>
          <w:u w:val="single"/>
        </w:rPr>
      </w:pPr>
      <w:r>
        <w:rPr>
          <w:rFonts w:hint="eastAsia" w:ascii="宋体" w:hAnsi="宋体" w:cs="宋体"/>
          <w:bCs/>
          <w:color w:val="auto"/>
          <w:sz w:val="24"/>
          <w:szCs w:val="24"/>
          <w:highlight w:val="none"/>
        </w:rPr>
        <w:t xml:space="preserve">授权日期：</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年</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月</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日                投标人名称（盖章）：</w:t>
      </w:r>
      <w:r/>
    </w:p>
    <w:p>
      <w:pPr>
        <w:pStyle w:val="1226"/>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法定代表人签字或盖章：</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             被授权人签字或盖章：</w:t>
      </w:r>
      <w:r>
        <w:rPr>
          <w:rFonts w:hint="eastAsia" w:ascii="宋体" w:hAnsi="宋体" w:cs="宋体"/>
          <w:bCs/>
          <w:color w:val="auto"/>
          <w:sz w:val="24"/>
          <w:szCs w:val="24"/>
          <w:highlight w:val="none"/>
          <w:u w:val="single"/>
        </w:rPr>
        <w:t xml:space="preserve">        </w:t>
      </w:r>
      <w:r/>
    </w:p>
    <w:p>
      <w:pPr>
        <w:pStyle w:val="1226"/>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（被授权人身份证原件扫描件附后）</w:t>
      </w:r>
      <w:r/>
    </w:p>
    <w:p>
      <w:pPr>
        <w:pStyle w:val="1226"/>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说明：</w:t>
      </w:r>
      <w:r/>
    </w:p>
    <w:p>
      <w:pPr>
        <w:pStyle w:val="1226"/>
        <w:numPr>
          <w:ilvl w:val="0"/>
          <w:numId w:val="14"/>
        </w:num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若投标人为事业单位或其他组织或分支机构，则法定代表人处的签字人可为单位负责人。</w:t>
      </w:r>
      <w:r/>
    </w:p>
    <w:p>
      <w:pPr>
        <w:pStyle w:val="1226"/>
        <w:numPr>
          <w:ilvl w:val="0"/>
          <w:numId w:val="14"/>
        </w:num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当被授权人为法定代表人（或上述情况的单位负责人）时，只需在法定代表人处签字或盖章即可。</w:t>
      </w:r>
      <w:r/>
    </w:p>
    <w:p>
      <w:pPr>
        <w:pStyle w:val="1226"/>
        <w:numPr>
          <w:ilvl w:val="0"/>
          <w:numId w:val="14"/>
        </w:num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供应商为自然人情形的，可不提供本《授权委托书》。</w:t>
      </w:r>
      <w:r/>
    </w:p>
    <w:p>
      <w:pPr>
        <w:jc w:val="left"/>
        <w:spacing w:line="360" w:lineRule="auto"/>
        <w:rPr>
          <w:rFonts w:ascii="黑体" w:eastAsia="黑体"/>
          <w:bCs/>
          <w:color w:val="auto"/>
          <w:sz w:val="28"/>
          <w:szCs w:val="28"/>
          <w:highlight w:val="none"/>
        </w:rPr>
        <w:outlineLvl w:val="9"/>
      </w:pPr>
      <w:r>
        <w:rPr>
          <w:rFonts w:hint="eastAsia" w:ascii="宋体" w:hAnsi="宋体" w:cs="宋体"/>
          <w:bCs/>
          <w:color w:val="auto"/>
          <w:sz w:val="24"/>
          <w:highlight w:val="none"/>
        </w:rPr>
        <w:t xml:space="preserve">被授权人为外籍、港、澳、台地区人士的，其身份证明须提供有效的护照或港澳同胞来往内地通行证、台湾同胞来往大陆通行证，或其他可在中国大陆有效居留的许可证明。</w:t>
      </w:r>
      <w:r/>
    </w:p>
    <w:p>
      <w:pPr>
        <w:rPr>
          <w:rFonts w:hint="eastAsia" w:ascii="宋体" w:hAnsi="宋体" w:cs="宋体"/>
          <w:bCs/>
          <w:color w:val="auto"/>
          <w:sz w:val="24"/>
          <w:szCs w:val="24"/>
          <w:highlight w:val="none"/>
        </w:rPr>
      </w:pPr>
      <w:r>
        <w:rPr>
          <w:rFonts w:hint="eastAsia" w:ascii="宋体" w:hAnsi="宋体" w:cs="宋体"/>
          <w:bCs/>
          <w:color w:val="auto"/>
          <w:sz w:val="24"/>
          <w:szCs w:val="24"/>
          <w:highlight w:val="none"/>
        </w:rPr>
        <w:br w:type="page" w:clear="all"/>
      </w:r>
      <w:r/>
    </w:p>
    <w:p>
      <w:pPr>
        <w:jc w:val="center"/>
        <w:rPr>
          <w:rFonts w:hint="eastAsia" w:ascii="宋体" w:hAnsi="宋体" w:cs="宋体"/>
          <w:bCs/>
          <w:color w:val="auto"/>
          <w:sz w:val="28"/>
          <w:szCs w:val="28"/>
          <w:highlight w:val="none"/>
        </w:rPr>
        <w:outlineLvl w:val="9"/>
      </w:pPr>
      <w:r>
        <w:rPr>
          <w:rFonts w:hint="eastAsia" w:ascii="宋体" w:hAnsi="宋体" w:cs="宋体"/>
          <w:bCs/>
          <w:color w:val="auto"/>
          <w:sz w:val="28"/>
          <w:szCs w:val="28"/>
          <w:highlight w:val="none"/>
        </w:rPr>
        <w:t xml:space="preserve">法定代表人亲自投标声明（如需）</w:t>
      </w:r>
      <w:r/>
    </w:p>
    <w:p>
      <w:pPr>
        <w:rPr>
          <w:color w:val="auto"/>
        </w:rPr>
      </w:pPr>
      <w:r>
        <w:rPr>
          <w:color w:val="auto"/>
        </w:rPr>
      </w:r>
      <w:r/>
    </w:p>
    <w:p>
      <w:pPr>
        <w:ind w:left="1470" w:right="1470"/>
        <w:spacing w:after="120"/>
        <w:rPr>
          <w:color w:val="auto"/>
        </w:rPr>
      </w:pPr>
      <w:r>
        <w:rPr>
          <w:color w:val="auto"/>
        </w:rPr>
      </w:r>
      <w:r/>
    </w:p>
    <w:p>
      <w:pPr>
        <w:spacing w:line="480" w:lineRule="auto"/>
        <w:rPr>
          <w:rFonts w:ascii="宋体" w:hAnsi="宋体"/>
          <w:bCs/>
          <w:color w:val="auto"/>
          <w:sz w:val="24"/>
          <w:szCs w:val="20"/>
        </w:rPr>
      </w:pPr>
      <w:r>
        <w:rPr>
          <w:rFonts w:hint="eastAsia" w:ascii="宋体" w:hAnsi="宋体"/>
          <w:bCs/>
          <w:color w:val="auto"/>
          <w:sz w:val="24"/>
          <w:szCs w:val="20"/>
        </w:rPr>
        <w:t xml:space="preserve">无锡市建汇建设工程咨询事务所有限公司：</w:t>
      </w:r>
      <w:r/>
    </w:p>
    <w:p>
      <w:pPr>
        <w:ind w:firstLine="480"/>
        <w:spacing w:after="0" w:line="480" w:lineRule="auto"/>
        <w:rPr>
          <w:rFonts w:ascii="宋体" w:hAnsi="宋体"/>
          <w:bCs/>
          <w:color w:val="auto"/>
          <w:sz w:val="24"/>
          <w:szCs w:val="24"/>
          <w:u w:val="single"/>
        </w:rPr>
      </w:pPr>
      <w:r>
        <w:rPr>
          <w:rFonts w:hint="eastAsia" w:ascii="宋体" w:hAnsi="宋体"/>
          <w:bCs/>
          <w:color w:val="auto"/>
          <w:sz w:val="24"/>
          <w:szCs w:val="24"/>
        </w:rPr>
        <w:t xml:space="preserve">   </w:t>
      </w:r>
      <w:r>
        <w:rPr>
          <w:rFonts w:hint="eastAsia" w:ascii="宋体" w:hAnsi="宋体"/>
          <w:bCs/>
          <w:color w:val="auto"/>
          <w:sz w:val="24"/>
          <w:szCs w:val="24"/>
          <w:u w:val="single"/>
        </w:rPr>
        <w:t xml:space="preserve">                       </w:t>
      </w:r>
      <w:r>
        <w:rPr>
          <w:rFonts w:hint="eastAsia" w:ascii="宋体" w:hAnsi="宋体"/>
          <w:bCs/>
          <w:color w:val="auto"/>
          <w:sz w:val="24"/>
          <w:szCs w:val="24"/>
        </w:rPr>
        <w:t xml:space="preserve">系中华人民共和国合法企业。法定地址：</w:t>
      </w:r>
      <w:r>
        <w:rPr>
          <w:rFonts w:hint="eastAsia" w:ascii="宋体" w:hAnsi="宋体"/>
          <w:bCs/>
          <w:color w:val="auto"/>
          <w:sz w:val="24"/>
          <w:szCs w:val="24"/>
          <w:u w:val="single"/>
        </w:rPr>
        <w:t xml:space="preserve">　　　　　</w:t>
      </w:r>
      <w:r/>
    </w:p>
    <w:p>
      <w:pPr>
        <w:spacing w:after="0" w:line="480" w:lineRule="auto"/>
        <w:rPr>
          <w:rFonts w:ascii="宋体" w:hAnsi="宋体"/>
          <w:bCs/>
          <w:color w:val="auto"/>
          <w:sz w:val="24"/>
          <w:szCs w:val="24"/>
        </w:rPr>
      </w:pPr>
      <w:r>
        <w:rPr>
          <w:rFonts w:hint="eastAsia" w:ascii="宋体" w:hAnsi="宋体"/>
          <w:bCs/>
          <w:color w:val="auto"/>
          <w:sz w:val="24"/>
          <w:szCs w:val="24"/>
          <w:u w:val="single"/>
        </w:rPr>
        <w:t xml:space="preserve">　　　　             </w:t>
      </w:r>
      <w:r>
        <w:rPr>
          <w:rFonts w:hint="eastAsia" w:ascii="宋体" w:hAnsi="宋体"/>
          <w:bCs/>
          <w:color w:val="auto"/>
          <w:sz w:val="24"/>
          <w:szCs w:val="24"/>
        </w:rPr>
        <w:t xml:space="preserve">。本项目（</w:t>
      </w:r>
      <w:r>
        <w:rPr>
          <w:rFonts w:hint="eastAsia" w:ascii="宋体" w:hAnsi="宋体"/>
          <w:b/>
          <w:color w:val="auto"/>
          <w:sz w:val="24"/>
          <w:szCs w:val="24"/>
        </w:rPr>
        <w:t xml:space="preserve">JSZC-320292-WXJH-G2026-0004</w:t>
      </w:r>
      <w:r>
        <w:rPr>
          <w:rFonts w:hint="eastAsia" w:ascii="宋体" w:hAnsi="宋体"/>
          <w:bCs/>
          <w:color w:val="auto"/>
          <w:sz w:val="24"/>
          <w:szCs w:val="24"/>
        </w:rPr>
        <w:t xml:space="preserve">）由我单位法定代表人亲自参加投标、评标、签约等具体工作，并签署全部有关的文件、协议及合同。</w:t>
      </w:r>
      <w:r/>
    </w:p>
    <w:p>
      <w:pPr>
        <w:ind w:left="1470" w:right="1470"/>
        <w:spacing w:after="120"/>
        <w:rPr>
          <w:color w:val="auto"/>
        </w:rPr>
      </w:pPr>
      <w:r>
        <w:rPr>
          <w:color w:val="auto"/>
        </w:rPr>
      </w:r>
      <w:r/>
    </w:p>
    <w:p>
      <w:pPr>
        <w:ind w:firstLine="480"/>
        <w:spacing w:line="400" w:lineRule="exact"/>
        <w:rPr>
          <w:rFonts w:ascii="宋体" w:hAnsi="宋体"/>
          <w:bCs/>
          <w:color w:val="auto"/>
          <w:sz w:val="24"/>
        </w:rPr>
      </w:pPr>
      <w:r>
        <w:rPr>
          <w:rFonts w:hint="eastAsia" w:ascii="宋体" w:hAnsi="宋体"/>
          <w:bCs/>
          <w:color w:val="auto"/>
          <w:sz w:val="24"/>
        </w:rPr>
        <w:t xml:space="preserve">法定代表人情况：</w:t>
      </w:r>
      <w:r/>
    </w:p>
    <w:p>
      <w:pPr>
        <w:ind w:firstLine="525"/>
        <w:spacing w:after="0" w:line="360" w:lineRule="auto"/>
        <w:rPr>
          <w:rFonts w:ascii="宋体" w:hAnsi="宋体"/>
          <w:bCs/>
          <w:color w:val="auto"/>
          <w:sz w:val="24"/>
          <w:szCs w:val="24"/>
        </w:rPr>
      </w:pPr>
      <w:r>
        <w:rPr>
          <w:rFonts w:hint="eastAsia" w:ascii="宋体" w:hAnsi="宋体"/>
          <w:bCs/>
          <w:color w:val="auto"/>
          <w:sz w:val="24"/>
          <w:szCs w:val="24"/>
        </w:rPr>
        <w:t xml:space="preserve">姓名：                        性别：       </w:t>
      </w:r>
      <w:r/>
    </w:p>
    <w:p>
      <w:pPr>
        <w:ind w:firstLine="525"/>
        <w:spacing w:after="0" w:line="360" w:lineRule="auto"/>
        <w:rPr>
          <w:rFonts w:ascii="宋体" w:hAnsi="宋体"/>
          <w:bCs/>
          <w:color w:val="auto"/>
          <w:sz w:val="24"/>
          <w:szCs w:val="24"/>
        </w:rPr>
      </w:pPr>
      <w:r>
        <w:rPr>
          <w:rFonts w:hint="eastAsia" w:ascii="宋体" w:hAnsi="宋体"/>
          <w:bCs/>
          <w:color w:val="auto"/>
          <w:sz w:val="24"/>
          <w:szCs w:val="24"/>
        </w:rPr>
        <w:t xml:space="preserve">身份证件号码：                电话：</w:t>
      </w:r>
      <w:r/>
    </w:p>
    <w:p>
      <w:pPr>
        <w:ind w:firstLine="480"/>
        <w:spacing w:line="400" w:lineRule="exact"/>
        <w:rPr>
          <w:rFonts w:ascii="宋体" w:hAnsi="宋体"/>
          <w:bCs/>
          <w:color w:val="auto"/>
          <w:sz w:val="24"/>
        </w:rPr>
      </w:pPr>
      <w:r>
        <w:rPr>
          <w:rFonts w:hint="eastAsia" w:ascii="宋体" w:hAnsi="宋体"/>
          <w:bCs/>
          <w:color w:val="auto"/>
          <w:sz w:val="24"/>
        </w:rPr>
        <w:t xml:space="preserve">通讯地址：</w:t>
      </w:r>
      <w:r/>
    </w:p>
    <w:p>
      <w:pPr>
        <w:ind w:left="1470" w:right="1470"/>
        <w:spacing w:after="120"/>
        <w:rPr>
          <w:color w:val="auto"/>
        </w:rPr>
      </w:pPr>
      <w:r>
        <w:rPr>
          <w:color w:val="auto"/>
        </w:rPr>
      </w:r>
      <w:r/>
    </w:p>
    <w:p>
      <w:pPr>
        <w:ind w:left="1470" w:right="1470"/>
        <w:spacing w:after="120"/>
        <w:rPr>
          <w:color w:val="auto"/>
        </w:rPr>
      </w:pPr>
      <w:r>
        <w:rPr>
          <w:color w:val="auto"/>
        </w:rPr>
      </w:r>
      <w:r/>
    </w:p>
    <w:p>
      <w:pPr>
        <w:ind w:right="480" w:firstLine="3480"/>
        <w:spacing w:line="400" w:lineRule="exact"/>
        <w:rPr>
          <w:rFonts w:ascii="宋体" w:hAnsi="宋体"/>
          <w:bCs/>
          <w:color w:val="auto"/>
          <w:sz w:val="24"/>
        </w:rPr>
      </w:pPr>
      <w:r>
        <w:rPr>
          <w:rFonts w:hint="eastAsia" w:ascii="宋体" w:hAnsi="宋体"/>
          <w:bCs/>
          <w:color w:val="auto"/>
          <w:sz w:val="24"/>
        </w:rPr>
        <w:t xml:space="preserve">单位名称（盖章）：</w:t>
      </w:r>
      <w:r/>
    </w:p>
    <w:p>
      <w:pPr>
        <w:ind w:right="480" w:firstLine="2520"/>
        <w:spacing w:line="400" w:lineRule="exact"/>
        <w:rPr>
          <w:rFonts w:ascii="宋体" w:hAnsi="宋体"/>
          <w:bCs/>
          <w:color w:val="auto"/>
          <w:sz w:val="24"/>
        </w:rPr>
      </w:pPr>
      <w:r>
        <w:rPr>
          <w:rFonts w:hint="eastAsia" w:ascii="宋体" w:hAnsi="宋体"/>
          <w:bCs/>
          <w:color w:val="auto"/>
          <w:sz w:val="24"/>
        </w:rPr>
        <w:t xml:space="preserve">法定代表人（签名或盖章）：</w:t>
      </w:r>
      <w:r/>
    </w:p>
    <w:p>
      <w:pPr>
        <w:pStyle w:val="1226"/>
        <w:ind w:firstLine="2383"/>
        <w:jc w:val="left"/>
        <w:keepLines w:val="0"/>
        <w:keepNext w:val="0"/>
        <w:pageBreakBefore w:val="0"/>
        <w:spacing w:line="400" w:lineRule="exact"/>
        <w:widowControl w:val="off"/>
        <w:rPr>
          <w:rFonts w:hint="eastAsia" w:ascii="宋体" w:hAnsi="宋体" w:eastAsia="Arial" w:cs="Times New Roman"/>
          <w:bCs/>
          <w:color w:val="auto"/>
          <w:sz w:val="24"/>
          <w:szCs w:val="22"/>
          <w:lang w:val="en-US" w:eastAsia="zh-CN" w:bidi="ar-SA"/>
        </w:rPr>
      </w:pPr>
      <w:r>
        <w:rPr>
          <w:rFonts w:hint="eastAsia" w:ascii="宋体" w:hAnsi="宋体" w:eastAsia="Arial" w:cs="Times New Roman"/>
          <w:bCs/>
          <w:color w:val="auto"/>
          <w:sz w:val="24"/>
          <w:szCs w:val="22"/>
          <w:lang w:val="en-US" w:eastAsia="zh-CN" w:bidi="ar-SA"/>
        </w:rPr>
        <w:t xml:space="preserve">（法定代表人身份证原件扫描件附后）</w:t>
      </w:r>
      <w:r/>
    </w:p>
    <w:p>
      <w:pPr>
        <w:pStyle w:val="1226"/>
        <w:ind w:firstLine="0"/>
        <w:rPr>
          <w:rFonts w:ascii="宋体" w:hAnsi="宋体" w:cs="宋体"/>
          <w:b/>
          <w:color w:val="auto"/>
          <w:szCs w:val="28"/>
          <w:highlight w:val="none"/>
        </w:rPr>
        <w:outlineLvl w:val="2"/>
      </w:pPr>
      <w:r>
        <w:rPr>
          <w:rFonts w:hint="eastAsia" w:ascii="宋体" w:hAnsi="宋体" w:cs="宋体"/>
          <w:bCs/>
          <w:color w:val="auto"/>
          <w:sz w:val="24"/>
          <w:szCs w:val="24"/>
          <w:highlight w:val="none"/>
        </w:rPr>
        <w:br w:type="page" w:clear="all"/>
      </w:r>
      <w:r>
        <w:rPr>
          <w:rFonts w:hint="eastAsia" w:ascii="宋体" w:hAnsi="宋体" w:cs="宋体"/>
          <w:b/>
          <w:color w:val="auto"/>
          <w:szCs w:val="28"/>
          <w:highlight w:val="none"/>
          <w:lang w:val="en-US" w:eastAsia="zh-CN"/>
        </w:rPr>
        <w:t xml:space="preserve">八</w:t>
      </w:r>
      <w:r>
        <w:rPr>
          <w:rFonts w:hint="eastAsia" w:ascii="宋体" w:hAnsi="宋体" w:cs="宋体"/>
          <w:b/>
          <w:color w:val="auto"/>
          <w:szCs w:val="28"/>
          <w:highlight w:val="none"/>
        </w:rPr>
        <w:t xml:space="preserve">、资格声明函（给定格式）：</w:t>
      </w:r>
      <w:r/>
    </w:p>
    <w:p>
      <w:pPr>
        <w:jc w:val="center"/>
        <w:rPr>
          <w:rFonts w:ascii="宋体" w:hAnsi="宋体" w:eastAsia="宋体" w:cs="宋体"/>
          <w:bCs/>
          <w:color w:val="auto"/>
          <w:sz w:val="28"/>
          <w:szCs w:val="28"/>
          <w:highlight w:val="none"/>
        </w:rPr>
        <w:outlineLvl w:val="9"/>
      </w:pPr>
      <w:r/>
      <w:bookmarkStart w:id="156" w:name="报价方关于资格的声明函（格式）"/>
      <w:r/>
      <w:bookmarkEnd w:id="156"/>
      <w:r>
        <w:rPr>
          <w:rFonts w:hint="eastAsia" w:ascii="宋体" w:hAnsi="宋体" w:eastAsia="宋体" w:cs="宋体"/>
          <w:bCs/>
          <w:color w:val="auto"/>
          <w:sz w:val="28"/>
          <w:szCs w:val="28"/>
          <w:highlight w:val="none"/>
        </w:rPr>
        <w:t xml:space="preserve">资格声明函</w:t>
      </w:r>
      <w:r/>
    </w:p>
    <w:p>
      <w:pPr>
        <w:jc w:val="center"/>
        <w:spacing w:line="48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48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无锡市建汇建设工程咨询事务所有限公司：</w:t>
      </w:r>
      <w:r/>
    </w:p>
    <w:p>
      <w:pPr>
        <w:ind w:firstLine="480"/>
        <w:spacing w:line="48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我公司（单位、联合体）针对本次项目进行投标，并作如下声明</w:t>
      </w:r>
      <w:r/>
    </w:p>
    <w:p>
      <w:pPr>
        <w:ind w:firstLine="480"/>
        <w:spacing w:line="48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2.本公司（单位、联合体）具备本次项目履行合同所必需的设备和专业技术能力。</w:t>
      </w:r>
      <w:r/>
    </w:p>
    <w:p>
      <w:pPr>
        <w:ind w:firstLine="480"/>
        <w:spacing w:line="48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本公司（单位、联合体）未被“信用中国”网站（www.creditchina.gov.cn）、中国政府采购网（www.ccgp.gov.cn）列入失信被执行人、重大税收违法失信主体、政府采购严重失信行为记录名单及其他不符合《中华人民共和国政府采购法》第二十二条规定条件的信用记录。</w:t>
      </w:r>
      <w:r/>
    </w:p>
    <w:p>
      <w:pPr>
        <w:ind w:firstLine="480"/>
        <w:spacing w:line="48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48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投标人名称（盖章）：</w:t>
      </w:r>
      <w:r/>
    </w:p>
    <w:p>
      <w:pPr>
        <w:jc w:val="left"/>
        <w:spacing w:line="360" w:lineRule="auto"/>
        <w:rPr>
          <w:rFonts w:ascii="宋体" w:hAnsi="宋体" w:eastAsia="宋体" w:cs="宋体"/>
          <w:bCs/>
          <w:color w:val="auto"/>
          <w:highlight w:val="none"/>
        </w:rPr>
      </w:pPr>
      <w:r>
        <w:rPr>
          <w:rFonts w:hint="eastAsia" w:ascii="宋体" w:hAnsi="宋体" w:eastAsia="宋体" w:cs="宋体"/>
          <w:color w:val="auto"/>
          <w:sz w:val="24"/>
          <w:highlight w:val="none"/>
        </w:rPr>
        <w:t xml:space="preserve">日期： </w:t>
      </w:r>
      <w:r/>
    </w:p>
    <w:p>
      <w:pPr>
        <w:spacing w:line="360" w:lineRule="auto"/>
        <w:rPr>
          <w:rFonts w:ascii="宋体" w:hAnsi="宋体" w:eastAsia="宋体" w:cs="宋体"/>
          <w:bCs/>
          <w:color w:val="auto"/>
          <w:highlight w:val="none"/>
        </w:rPr>
        <w:outlineLvl w:val="9"/>
      </w:pPr>
      <w:r>
        <w:rPr>
          <w:rFonts w:ascii="宋体" w:hAnsi="宋体" w:eastAsia="宋体" w:cs="宋体"/>
          <w:bCs/>
          <w:color w:val="auto"/>
          <w:highlight w:val="none"/>
        </w:rPr>
      </w:r>
      <w:r/>
    </w:p>
    <w:p>
      <w:pPr>
        <w:spacing w:line="360" w:lineRule="auto"/>
        <w:rPr>
          <w:rFonts w:hint="eastAsia" w:ascii="宋体" w:hAnsi="宋体" w:eastAsia="宋体" w:cs="宋体"/>
          <w:bCs/>
          <w:color w:val="auto"/>
          <w:highlight w:val="none"/>
        </w:rPr>
        <w:outlineLvl w:val="9"/>
      </w:pPr>
      <w:r>
        <w:rPr>
          <w:rFonts w:hint="eastAsia" w:ascii="宋体" w:hAnsi="宋体" w:eastAsia="宋体" w:cs="宋体"/>
          <w:bCs/>
          <w:color w:val="auto"/>
          <w:highlight w:val="none"/>
        </w:rPr>
        <w:t xml:space="preserve">备注：上述所称“重大违法记录”，是指供应商因违法经营受到刑事处罚或者责令停产停业、吊销许可证或者执照、较大数额罚款等行政处罚。《中华人民共和国政府采购法实施条例》第十九条第一款规定的“较大数额罚款”认定为200万元以上的罚款，法律、行政法规以及国务院有关部门明确规定相关领域“较大数额罚款”标准高于200万元的，从其规定。</w:t>
      </w:r>
      <w:r/>
    </w:p>
    <w:p>
      <w:pPr>
        <w:rPr>
          <w:rFonts w:ascii="宋体" w:hAnsi="宋体" w:eastAsia="宋体" w:cs="宋体"/>
          <w:b/>
          <w:color w:val="auto"/>
          <w:sz w:val="28"/>
          <w:szCs w:val="28"/>
          <w:highlight w:val="none"/>
        </w:rPr>
        <w:outlineLvl w:val="2"/>
      </w:pPr>
      <w:r>
        <w:rPr>
          <w:rFonts w:hint="eastAsia" w:ascii="宋体" w:hAnsi="宋体" w:eastAsia="宋体" w:cs="宋体"/>
          <w:bCs/>
          <w:color w:val="auto"/>
          <w:sz w:val="24"/>
          <w:szCs w:val="24"/>
          <w:highlight w:val="none"/>
        </w:rPr>
        <w:br w:type="page" w:clear="all"/>
      </w:r>
      <w:r>
        <w:rPr>
          <w:rFonts w:hint="eastAsia" w:ascii="宋体" w:hAnsi="宋体" w:eastAsia="宋体" w:cs="宋体"/>
          <w:b/>
          <w:color w:val="auto"/>
          <w:sz w:val="28"/>
          <w:szCs w:val="28"/>
          <w:highlight w:val="none"/>
          <w:lang w:val="en-US" w:eastAsia="zh-CN"/>
        </w:rPr>
        <w:t xml:space="preserve">九、</w:t>
      </w:r>
      <w:r>
        <w:rPr>
          <w:rFonts w:hint="eastAsia" w:ascii="宋体" w:hAnsi="宋体" w:eastAsia="宋体" w:cs="宋体"/>
          <w:b/>
          <w:color w:val="auto"/>
          <w:sz w:val="28"/>
          <w:szCs w:val="28"/>
          <w:highlight w:val="none"/>
        </w:rPr>
        <w:t xml:space="preserve">中小企业声明函（给定格式）： </w:t>
      </w:r>
      <w:r/>
    </w:p>
    <w:p>
      <w:pPr>
        <w:jc w:val="center"/>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jc w:val="center"/>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中小企业声明函</w:t>
      </w:r>
      <w:r/>
    </w:p>
    <w:p>
      <w:pPr>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本公司（联合体）郑重声明，根据《政府采购促进中小企业发展管理办法》(财库〔2020〕46号)的规定，本公司（联合体）参加无锡市建汇建设工程咨询事务所有限公司组织的</w:t>
      </w:r>
      <w:r>
        <w:rPr>
          <w:rFonts w:hint="eastAsia" w:ascii="宋体" w:hAnsi="宋体"/>
          <w:sz w:val="24"/>
          <w:szCs w:val="24"/>
          <w:u w:val="single"/>
        </w:rPr>
        <w:t xml:space="preserve">（单位名称）</w:t>
      </w:r>
      <w:r>
        <w:rPr>
          <w:rFonts w:hint="eastAsia" w:ascii="宋体" w:hAnsi="宋体" w:eastAsia="宋体"/>
          <w:sz w:val="24"/>
          <w:szCs w:val="24"/>
          <w:u w:val="single"/>
          <w:lang w:val="en-US" w:eastAsia="zh-CN"/>
        </w:rPr>
        <w:t xml:space="preserve">   </w:t>
      </w:r>
      <w:r>
        <w:rPr>
          <w:rFonts w:hint="eastAsia" w:ascii="宋体" w:hAnsi="宋体"/>
          <w:sz w:val="24"/>
          <w:szCs w:val="24"/>
          <w:u w:val="single"/>
        </w:rPr>
        <w:t xml:space="preserve"> </w:t>
      </w:r>
      <w:r>
        <w:rPr>
          <w:rFonts w:hint="eastAsia" w:ascii="宋体" w:hAnsi="宋体"/>
          <w:sz w:val="24"/>
          <w:szCs w:val="24"/>
        </w:rPr>
        <w:t xml:space="preserve">采购编号为</w:t>
      </w: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sz w:val="24"/>
          <w:szCs w:val="24"/>
          <w:u w:val="single"/>
        </w:rPr>
        <w:t xml:space="preserve">（项目名称）      </w:t>
      </w:r>
      <w:r>
        <w:rPr>
          <w:rFonts w:hint="eastAsia" w:ascii="宋体" w:hAnsi="宋体"/>
          <w:sz w:val="24"/>
          <w:szCs w:val="24"/>
        </w:rPr>
        <w:t xml:space="preserve">的采购活动，提供的货物全部由符合政策要求的中小微企业制造。相关企业（含联合体中的中小微企业、签订采购包意向协议的中小微企业）的具体情况如下：</w:t>
      </w:r>
      <w:r/>
    </w:p>
    <w:p>
      <w:pPr>
        <w:ind w:firstLine="360"/>
        <w:keepLines w:val="0"/>
        <w:keepNext w:val="0"/>
        <w:pageBreakBefore w:val="0"/>
        <w:spacing w:line="360" w:lineRule="auto"/>
        <w:widowControl w:val="off"/>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p>
    <w:p>
      <w:pPr>
        <w:ind w:firstLine="360"/>
        <w:keepLines w:val="0"/>
        <w:keepNext w:val="0"/>
        <w:pageBreakBefore w:val="0"/>
        <w:spacing w:line="360" w:lineRule="auto"/>
        <w:widowControl w:val="off"/>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p>
    <w:p>
      <w:pPr>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w:t>
      </w:r>
      <w:r/>
    </w:p>
    <w:p>
      <w:pPr>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keepLines w:val="0"/>
        <w:keepNext w:val="0"/>
        <w:pageBreakBefore w:val="0"/>
        <w:spacing w:line="360" w:lineRule="auto"/>
        <w:widowControl w:val="off"/>
        <w:rPr>
          <w:rFonts w:hint="eastAsia" w:ascii="宋体" w:hAnsi="宋体" w:eastAsia="宋体"/>
          <w:sz w:val="24"/>
          <w:szCs w:val="24"/>
          <w:lang w:eastAsia="zh-CN"/>
        </w:rPr>
      </w:pPr>
      <w:r>
        <w:rPr>
          <w:rFonts w:hint="eastAsia" w:ascii="宋体" w:hAnsi="宋体"/>
          <w:sz w:val="24"/>
          <w:szCs w:val="24"/>
        </w:rPr>
        <w:t xml:space="preserve">本企业对上述声明内容的真实性负责。如有虚假，将依法承担相应责任</w:t>
      </w:r>
      <w:r>
        <w:rPr>
          <w:rFonts w:hint="eastAsia" w:ascii="宋体" w:hAnsi="宋体" w:eastAsia="宋体"/>
          <w:sz w:val="24"/>
          <w:szCs w:val="24"/>
          <w:lang w:eastAsia="zh-CN"/>
        </w:rPr>
        <w:t xml:space="preserve">。</w:t>
      </w:r>
      <w:r/>
    </w:p>
    <w:p>
      <w:pPr>
        <w:ind w:right="720"/>
        <w:spacing w:line="400" w:lineRule="exact"/>
        <w:rPr>
          <w:rFonts w:hint="eastAsia" w:ascii="宋体" w:hAnsi="宋体"/>
          <w:sz w:val="24"/>
          <w:szCs w:val="24"/>
        </w:rPr>
      </w:pPr>
      <w:r>
        <w:rPr>
          <w:rFonts w:hint="eastAsia" w:ascii="宋体" w:hAnsi="宋体"/>
          <w:sz w:val="24"/>
          <w:szCs w:val="24"/>
        </w:rPr>
      </w:r>
      <w:r/>
    </w:p>
    <w:p>
      <w:pPr>
        <w:ind w:right="180" w:firstLine="360"/>
        <w:jc w:val="right"/>
        <w:spacing w:line="400" w:lineRule="exact"/>
        <w:rPr>
          <w:rFonts w:hint="eastAsia" w:ascii="宋体" w:hAnsi="宋体"/>
          <w:sz w:val="24"/>
          <w:szCs w:val="24"/>
        </w:rPr>
      </w:pPr>
      <w:r>
        <w:rPr>
          <w:rFonts w:hint="eastAsia" w:ascii="宋体" w:hAnsi="宋体"/>
          <w:sz w:val="24"/>
          <w:szCs w:val="24"/>
        </w:rPr>
        <w:t xml:space="preserve">企业名称（加盖CA电子公章）：</w:t>
      </w:r>
      <w:r/>
    </w:p>
    <w:p>
      <w:pPr>
        <w:ind w:right="480" w:firstLine="4800"/>
        <w:jc w:val="right"/>
        <w:spacing w:line="400" w:lineRule="exact"/>
        <w:rPr>
          <w:rFonts w:hint="eastAsia" w:ascii="宋体" w:hAnsi="宋体"/>
          <w:sz w:val="24"/>
          <w:szCs w:val="24"/>
        </w:rPr>
      </w:pPr>
      <w:r>
        <w:rPr>
          <w:rFonts w:hint="eastAsia" w:ascii="宋体" w:hAnsi="宋体"/>
          <w:sz w:val="24"/>
          <w:szCs w:val="24"/>
        </w:rPr>
        <w:t xml:space="preserve">日  期：</w:t>
      </w:r>
      <w:r/>
    </w:p>
    <w:p>
      <w:pPr>
        <w:ind w:firstLine="420"/>
        <w:spacing w:line="360" w:lineRule="auto"/>
        <w:rPr>
          <w:rFonts w:hint="eastAsia"/>
          <w:color w:val="auto"/>
          <w:highlight w:val="none"/>
        </w:rPr>
      </w:pPr>
      <w:r>
        <w:rPr>
          <w:rFonts w:hint="eastAsia"/>
          <w:color w:val="auto"/>
          <w:highlight w:val="none"/>
        </w:rPr>
      </w:r>
      <w:r/>
    </w:p>
    <w:p>
      <w:pPr>
        <w:ind w:firstLine="420"/>
        <w:spacing w:line="360" w:lineRule="auto"/>
        <w:rPr>
          <w:rFonts w:hint="eastAsia"/>
          <w:color w:val="auto"/>
          <w:highlight w:val="none"/>
        </w:rPr>
      </w:pPr>
      <w:r>
        <w:rPr>
          <w:rFonts w:hint="eastAsia"/>
          <w:color w:val="auto"/>
          <w:highlight w:val="none"/>
        </w:rPr>
        <w:t xml:space="preserve">注：1.从业人员、营业收入、资产总额填报2024年度或2025年度数据，无2025年度数据的新成立企业可不填报。</w:t>
      </w:r>
      <w:r/>
    </w:p>
    <w:p>
      <w:pPr>
        <w:ind w:firstLine="420"/>
        <w:spacing w:line="360" w:lineRule="auto"/>
        <w:rPr>
          <w:rFonts w:hint="eastAsia"/>
          <w:color w:val="auto"/>
          <w:highlight w:val="none"/>
        </w:rPr>
      </w:pPr>
      <w:r>
        <w:rPr>
          <w:rFonts w:hint="eastAsia"/>
          <w:color w:val="auto"/>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firstLine="420"/>
        <w:spacing w:line="360" w:lineRule="auto"/>
        <w:rPr>
          <w:rFonts w:hint="eastAsia"/>
          <w:color w:val="auto"/>
          <w:highlight w:val="none"/>
        </w:rPr>
      </w:pPr>
      <w:r>
        <w:rPr>
          <w:rFonts w:hint="eastAsia"/>
          <w:color w:val="auto"/>
          <w:highlight w:val="none"/>
        </w:rPr>
        <w:t xml:space="preserve">3.供应商应对照《工业和信息化部、国家统计局、国家发展和改革委员会、</w:t>
      </w:r>
      <w:r/>
    </w:p>
    <w:p>
      <w:pPr>
        <w:ind w:firstLine="420"/>
        <w:spacing w:line="360" w:lineRule="auto"/>
        <w:rPr>
          <w:rFonts w:hint="eastAsia"/>
          <w:color w:val="auto"/>
          <w:highlight w:val="none"/>
        </w:rPr>
      </w:pPr>
      <w:r>
        <w:rPr>
          <w:rFonts w:hint="eastAsia"/>
          <w:color w:val="auto"/>
          <w:highlight w:val="none"/>
        </w:rPr>
        <w:t xml:space="preserve">财政部关于印发中小企业划型标准规定的通知》(工信部联企业〔2011〕300号)《国家统计局关于印发〈统计上大中小微型企业划分办法（2017）〉的通知》（国统字〔2017〕213号）的规定，自行勾选制造商的企业规模类型。</w:t>
      </w:r>
      <w:r/>
    </w:p>
    <w:p>
      <w:pPr>
        <w:ind w:firstLine="420"/>
        <w:spacing w:line="360" w:lineRule="auto"/>
        <w:rPr>
          <w:rFonts w:hint="eastAsia" w:eastAsia="宋体"/>
          <w:color w:val="auto"/>
          <w:highlight w:val="none"/>
        </w:rPr>
      </w:pPr>
      <w:r>
        <w:rPr>
          <w:rFonts w:hint="eastAsia"/>
          <w:color w:val="auto"/>
          <w:highlight w:val="none"/>
        </w:rPr>
        <w:t xml:space="preserve">在政府采购活动中，供应商提供的货物符合下列情形的，享受本办法规定的中小企业扶持政策：货物由中小企业制造，即货物由中小企业生产且使用该中小企业商号或者注册商标。（即本项目采购标的物共计60项（详见第四章采购需求“第一部分项目技术要求”、“一、采购标的清单”），每一采购标的均应由中小企业制造。）</w:t>
      </w:r>
      <w:r/>
    </w:p>
    <w:p>
      <w:pPr>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spacing w:line="360" w:lineRule="auto"/>
        <w:rPr>
          <w:rFonts w:ascii="宋体" w:hAnsi="宋体" w:eastAsia="宋体" w:cs="宋体"/>
          <w:b/>
          <w:color w:val="auto"/>
          <w:sz w:val="28"/>
          <w:szCs w:val="28"/>
          <w:highlight w:val="none"/>
        </w:rPr>
        <w:outlineLvl w:val="2"/>
      </w:pPr>
      <w:r>
        <w:rPr>
          <w:rFonts w:hint="eastAsia" w:ascii="宋体" w:hAnsi="宋体" w:eastAsia="宋体" w:cs="宋体"/>
          <w:b/>
          <w:color w:val="auto"/>
          <w:sz w:val="28"/>
          <w:szCs w:val="28"/>
          <w:highlight w:val="none"/>
          <w:lang w:val="en-US" w:eastAsia="zh-CN"/>
        </w:rPr>
        <w:t xml:space="preserve">十</w:t>
      </w:r>
      <w:r>
        <w:rPr>
          <w:rFonts w:hint="eastAsia" w:ascii="宋体" w:hAnsi="宋体" w:eastAsia="宋体" w:cs="宋体"/>
          <w:b/>
          <w:color w:val="auto"/>
          <w:sz w:val="28"/>
          <w:szCs w:val="28"/>
          <w:highlight w:val="none"/>
        </w:rPr>
        <w:t xml:space="preserve">、残疾人福利性单位声明函（给定格式）：</w:t>
      </w:r>
      <w:r/>
    </w:p>
    <w:p>
      <w:pPr>
        <w:ind w:firstLine="482"/>
        <w:spacing w:line="360" w:lineRule="auto"/>
        <w:rPr>
          <w:rFonts w:ascii="宋体" w:hAnsi="宋体" w:eastAsia="宋体" w:cs="宋体"/>
          <w:b/>
          <w:color w:val="auto"/>
          <w:sz w:val="24"/>
          <w:highlight w:val="none"/>
        </w:rPr>
      </w:pPr>
      <w:r>
        <w:rPr>
          <w:rFonts w:ascii="宋体" w:hAnsi="宋体" w:eastAsia="宋体" w:cs="宋体"/>
          <w:b/>
          <w:color w:val="auto"/>
          <w:sz w:val="24"/>
          <w:highlight w:val="none"/>
        </w:rPr>
      </w:r>
      <w:r/>
    </w:p>
    <w:p>
      <w:pPr>
        <w:jc w:val="center"/>
        <w:spacing w:line="360" w:lineRule="auto"/>
        <w:rPr>
          <w:rFonts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残疾人福利性单位声明函</w:t>
      </w:r>
      <w:r/>
    </w:p>
    <w:p>
      <w:pPr>
        <w:jc w:val="center"/>
        <w:spacing w:line="360" w:lineRule="auto"/>
        <w:rPr>
          <w:rFonts w:ascii="宋体" w:hAnsi="宋体" w:eastAsia="宋体" w:cs="宋体"/>
          <w:bCs/>
          <w:color w:val="auto"/>
          <w:sz w:val="28"/>
          <w:szCs w:val="28"/>
          <w:highlight w:val="none"/>
        </w:rPr>
      </w:pPr>
      <w:r>
        <w:rPr>
          <w:rFonts w:ascii="宋体" w:hAnsi="宋体" w:eastAsia="宋体" w:cs="宋体"/>
          <w:bCs/>
          <w:color w:val="auto"/>
          <w:sz w:val="28"/>
          <w:szCs w:val="28"/>
          <w:highlight w:val="none"/>
        </w:rPr>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本单位对上述声明的真实性负责。如有虚假，将依法承担相应责任。</w:t>
      </w:r>
      <w:r/>
    </w:p>
    <w:p>
      <w:pPr>
        <w:ind w:firstLine="480"/>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单位名称（盖章）：</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  期：</w:t>
      </w:r>
      <w:r/>
    </w:p>
    <w:p>
      <w:pPr>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ind w:left="0" w:firstLine="0"/>
        <w:spacing w:line="400" w:lineRule="exact"/>
        <w:rPr>
          <w:rFonts w:ascii="宋体" w:hAnsi="宋体" w:eastAsia="宋体" w:cs="宋体"/>
          <w:b/>
          <w:color w:val="auto"/>
          <w:sz w:val="28"/>
          <w:szCs w:val="28"/>
          <w:highlight w:val="none"/>
        </w:rPr>
        <w:outlineLvl w:val="2"/>
      </w:pPr>
      <w:r>
        <w:rPr>
          <w:rFonts w:hint="eastAsia" w:ascii="宋体" w:hAnsi="宋体" w:eastAsia="宋体" w:cs="宋体"/>
          <w:b/>
          <w:color w:val="auto"/>
          <w:sz w:val="28"/>
          <w:szCs w:val="28"/>
          <w:highlight w:val="none"/>
        </w:rPr>
        <w:t xml:space="preserve">十一、项目人员配置表（格式）</w:t>
      </w:r>
      <w:r/>
    </w:p>
    <w:p>
      <w:pPr>
        <w:jc w:val="center"/>
        <w:spacing w:line="360" w:lineRule="auto"/>
        <w:rPr>
          <w:rFonts w:ascii="宋体" w:hAnsi="宋体" w:eastAsia="宋体" w:cs="宋体"/>
          <w:bCs/>
          <w:color w:val="auto"/>
          <w:sz w:val="24"/>
          <w:szCs w:val="24"/>
          <w:highlight w:val="none"/>
        </w:rPr>
        <w:outlineLvl w:val="9"/>
      </w:pPr>
      <w:r>
        <w:rPr>
          <w:rFonts w:hint="eastAsia" w:ascii="宋体" w:hAnsi="宋体" w:eastAsia="宋体" w:cs="宋体"/>
          <w:bCs/>
          <w:color w:val="auto"/>
          <w:sz w:val="28"/>
          <w:szCs w:val="28"/>
          <w:highlight w:val="none"/>
        </w:rPr>
        <w:t xml:space="preserve">拟派项目人员配置表</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项目编号：</w:t>
      </w:r>
      <w:r/>
    </w:p>
    <w:tbl>
      <w:tblPr>
        <w:tblStyle w:val="801"/>
        <w:tblW w:w="1013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6"/>
        <w:gridCol w:w="1097"/>
        <w:gridCol w:w="762"/>
        <w:gridCol w:w="2134"/>
        <w:gridCol w:w="2773"/>
        <w:gridCol w:w="2773"/>
      </w:tblGrid>
      <w:tr>
        <w:trPr>
          <w:trHeight w:val="865"/>
        </w:trPr>
        <w:tc>
          <w:tcPr>
            <w:tcW w:w="596" w:type="dxa"/>
            <w:vAlign w:val="center"/>
            <w:textDirection w:val="lrTb"/>
            <w:noWrap w:val="false"/>
          </w:tcPr>
          <w:p>
            <w:pPr>
              <w:jc w:val="center"/>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W w:w="1097" w:type="dxa"/>
            <w:vAlign w:val="center"/>
            <w:textDirection w:val="lrTb"/>
            <w:noWrap w:val="false"/>
          </w:tcPr>
          <w:p>
            <w:pPr>
              <w:jc w:val="center"/>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姓名</w:t>
            </w:r>
            <w:r/>
          </w:p>
        </w:tc>
        <w:tc>
          <w:tcPr>
            <w:tcW w:w="762" w:type="dxa"/>
            <w:vAlign w:val="center"/>
            <w:textDirection w:val="lrTb"/>
            <w:noWrap w:val="false"/>
          </w:tcPr>
          <w:p>
            <w:pPr>
              <w:jc w:val="center"/>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年龄</w:t>
            </w:r>
            <w:r/>
          </w:p>
        </w:tc>
        <w:tc>
          <w:tcPr>
            <w:tcW w:w="2134" w:type="dxa"/>
            <w:vAlign w:val="center"/>
            <w:textDirection w:val="lrTb"/>
            <w:noWrap w:val="false"/>
          </w:tcPr>
          <w:p>
            <w:pPr>
              <w:jc w:val="center"/>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本项目职责</w:t>
            </w:r>
            <w:r/>
          </w:p>
        </w:tc>
        <w:tc>
          <w:tcPr>
            <w:tcW w:w="2773" w:type="dxa"/>
            <w:vAlign w:val="center"/>
            <w:textDirection w:val="lrTb"/>
            <w:noWrap w:val="false"/>
          </w:tcPr>
          <w:p>
            <w:pPr>
              <w:jc w:val="center"/>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人员证书名称或职称</w:t>
            </w:r>
            <w:r/>
          </w:p>
        </w:tc>
        <w:tc>
          <w:tcPr>
            <w:tcW w:w="2773" w:type="dxa"/>
            <w:vAlign w:val="center"/>
            <w:textDirection w:val="lrTb"/>
            <w:noWrap w:val="false"/>
          </w:tcPr>
          <w:p>
            <w:pPr>
              <w:jc w:val="center"/>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专业</w:t>
            </w:r>
            <w:r/>
          </w:p>
        </w:tc>
      </w:tr>
      <w:tr>
        <w:trPr>
          <w:trHeight w:val="680"/>
        </w:trPr>
        <w:tc>
          <w:tcPr>
            <w:tcW w:w="596"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1097"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762"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134"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773"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773"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r>
      <w:tr>
        <w:trPr>
          <w:trHeight w:val="680"/>
        </w:trPr>
        <w:tc>
          <w:tcPr>
            <w:tcW w:w="596"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1097"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762"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134"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773"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773"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r>
      <w:tr>
        <w:trPr>
          <w:trHeight w:val="680"/>
        </w:trPr>
        <w:tc>
          <w:tcPr>
            <w:tcW w:w="596"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1097"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762"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134"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773"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773"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r>
      <w:tr>
        <w:trPr>
          <w:trHeight w:val="680"/>
        </w:trPr>
        <w:tc>
          <w:tcPr>
            <w:tcW w:w="596"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1097"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762"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134"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773"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773"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r>
      <w:tr>
        <w:trPr>
          <w:trHeight w:val="680"/>
        </w:trPr>
        <w:tc>
          <w:tcPr>
            <w:tcW w:w="596"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1097"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762"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134"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773"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773"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r>
    </w:tbl>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72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投标人名称（盖章）：</w:t>
      </w:r>
      <w:r/>
    </w:p>
    <w:p>
      <w:pPr>
        <w:spacing w:line="360" w:lineRule="auto"/>
        <w:rPr>
          <w:rFonts w:ascii="宋体" w:hAnsi="宋体" w:eastAsia="宋体" w:cs="宋体"/>
          <w:bCs/>
          <w:color w:val="auto"/>
          <w:highlight w:val="none"/>
        </w:rPr>
      </w:pPr>
      <w:r>
        <w:rPr>
          <w:rFonts w:ascii="宋体" w:hAnsi="宋体" w:eastAsia="宋体" w:cs="宋体"/>
          <w:bCs/>
          <w:color w:val="auto"/>
          <w:highlight w:val="none"/>
        </w:rPr>
      </w:r>
      <w:r/>
    </w:p>
    <w:p>
      <w:pPr>
        <w:spacing w:line="360" w:lineRule="auto"/>
        <w:rPr>
          <w:rFonts w:ascii="宋体" w:hAnsi="宋体" w:eastAsia="宋体" w:cs="宋体"/>
          <w:bCs/>
          <w:color w:val="auto"/>
          <w:highlight w:val="none"/>
        </w:rPr>
      </w:pPr>
      <w:r>
        <w:rPr>
          <w:rFonts w:ascii="宋体" w:hAnsi="宋体" w:eastAsia="宋体" w:cs="宋体"/>
          <w:bCs/>
          <w:color w:val="auto"/>
          <w:highlight w:val="none"/>
        </w:rPr>
      </w:r>
      <w:r/>
    </w:p>
    <w:p>
      <w:pPr>
        <w:spacing w:line="360" w:lineRule="auto"/>
        <w:rPr>
          <w:rFonts w:ascii="宋体" w:hAnsi="宋体" w:eastAsia="宋体" w:cs="宋体"/>
          <w:bCs/>
          <w:color w:val="auto"/>
          <w:highlight w:val="none"/>
        </w:rPr>
      </w:pPr>
      <w:r>
        <w:rPr>
          <w:rFonts w:ascii="宋体" w:hAnsi="宋体" w:eastAsia="宋体" w:cs="宋体"/>
          <w:bCs/>
          <w:color w:val="auto"/>
          <w:highlight w:val="none"/>
        </w:rPr>
      </w:r>
      <w:r/>
    </w:p>
    <w:p>
      <w:pPr>
        <w:spacing w:line="360" w:lineRule="auto"/>
        <w:rPr>
          <w:rFonts w:ascii="宋体" w:hAnsi="宋体" w:eastAsia="宋体" w:cs="宋体"/>
          <w:bCs/>
          <w:color w:val="auto"/>
          <w:highlight w:val="none"/>
        </w:rPr>
      </w:pPr>
      <w:r>
        <w:rPr>
          <w:rFonts w:ascii="宋体" w:hAnsi="宋体" w:eastAsia="宋体" w:cs="宋体"/>
          <w:bCs/>
          <w:color w:val="auto"/>
          <w:highlight w:val="none"/>
        </w:rPr>
      </w:r>
      <w:r/>
    </w:p>
    <w:p>
      <w:pPr>
        <w:spacing w:line="360" w:lineRule="auto"/>
        <w:rPr>
          <w:rFonts w:ascii="宋体" w:hAnsi="宋体" w:eastAsia="宋体" w:cs="宋体"/>
          <w:bCs/>
          <w:color w:val="auto"/>
          <w:highlight w:val="none"/>
        </w:rPr>
      </w:pPr>
      <w:r>
        <w:rPr>
          <w:rFonts w:hint="eastAsia" w:ascii="宋体" w:hAnsi="宋体" w:eastAsia="宋体" w:cs="宋体"/>
          <w:bCs/>
          <w:color w:val="auto"/>
          <w:highlight w:val="none"/>
        </w:rPr>
        <w:t xml:space="preserve">注：本表对应项目人员配置情况，表格不够可自行延长。</w:t>
      </w:r>
      <w:r/>
    </w:p>
    <w:p>
      <w:pPr>
        <w:rPr>
          <w:rFonts w:ascii="宋体" w:hAnsi="宋体" w:eastAsia="宋体" w:cs="宋体"/>
          <w:b/>
          <w:color w:val="auto"/>
          <w:sz w:val="28"/>
          <w:szCs w:val="28"/>
          <w:highlight w:val="none"/>
        </w:rPr>
      </w:pPr>
      <w:r>
        <w:rPr>
          <w:rFonts w:ascii="宋体" w:hAnsi="宋体" w:eastAsia="宋体" w:cs="宋体"/>
          <w:b/>
          <w:color w:val="auto"/>
          <w:sz w:val="28"/>
          <w:szCs w:val="28"/>
          <w:highlight w:val="none"/>
        </w:rPr>
        <w:br w:type="page" w:clear="all"/>
      </w:r>
      <w:r/>
    </w:p>
    <w:p>
      <w:pPr>
        <w:ind w:left="0" w:firstLine="0"/>
        <w:spacing w:line="400" w:lineRule="exact"/>
        <w:rPr>
          <w:rFonts w:ascii="宋体" w:hAnsi="宋体" w:eastAsia="宋体" w:cs="宋体"/>
          <w:b/>
          <w:color w:val="auto"/>
          <w:sz w:val="28"/>
          <w:szCs w:val="28"/>
          <w:highlight w:val="none"/>
        </w:rPr>
        <w:outlineLvl w:val="2"/>
      </w:pPr>
      <w:r>
        <w:rPr>
          <w:rFonts w:hint="eastAsia" w:ascii="宋体" w:hAnsi="宋体" w:eastAsia="宋体" w:cs="宋体"/>
          <w:b/>
          <w:color w:val="auto"/>
          <w:sz w:val="28"/>
          <w:szCs w:val="28"/>
          <w:highlight w:val="none"/>
        </w:rPr>
        <w:t xml:space="preserve">十</w:t>
      </w:r>
      <w:r>
        <w:rPr>
          <w:rFonts w:hint="eastAsia" w:ascii="宋体" w:hAnsi="宋体" w:eastAsia="宋体" w:cs="宋体"/>
          <w:b/>
          <w:color w:val="auto"/>
          <w:sz w:val="28"/>
          <w:szCs w:val="28"/>
          <w:highlight w:val="none"/>
          <w:lang w:val="en-US" w:eastAsia="zh-CN"/>
        </w:rPr>
        <w:t xml:space="preserve">二</w:t>
      </w:r>
      <w:r>
        <w:rPr>
          <w:rFonts w:hint="eastAsia" w:ascii="宋体" w:hAnsi="宋体" w:eastAsia="宋体" w:cs="宋体"/>
          <w:b/>
          <w:color w:val="auto"/>
          <w:sz w:val="28"/>
          <w:szCs w:val="28"/>
          <w:highlight w:val="none"/>
        </w:rPr>
        <w:t xml:space="preserve">、关于符合本国产品标准的声明函（格式）</w:t>
      </w:r>
      <w:r/>
    </w:p>
    <w:p>
      <w:pPr>
        <w:jc w:val="center"/>
        <w:spacing w:line="360" w:lineRule="auto"/>
        <w:rPr>
          <w:rFonts w:hint="eastAsia" w:ascii="黑体" w:hAnsi="Times New Roman" w:eastAsia="黑体" w:cs="黑体"/>
          <w:color w:val="auto"/>
          <w:sz w:val="28"/>
          <w:szCs w:val="28"/>
        </w:rPr>
      </w:pPr>
      <w:r>
        <w:rPr>
          <w:rFonts w:hint="eastAsia" w:ascii="黑体" w:hAnsi="Times New Roman" w:eastAsia="黑体" w:cs="黑体"/>
          <w:color w:val="auto"/>
          <w:sz w:val="28"/>
          <w:szCs w:val="28"/>
        </w:rPr>
      </w:r>
      <w:r/>
    </w:p>
    <w:p>
      <w:pPr>
        <w:jc w:val="center"/>
        <w:spacing w:line="360" w:lineRule="auto"/>
        <w:rPr>
          <w:rFonts w:ascii="黑体" w:hAnsi="Times New Roman" w:eastAsia="黑体" w:cs="黑体"/>
          <w:color w:val="auto"/>
          <w:sz w:val="28"/>
          <w:szCs w:val="28"/>
        </w:rPr>
      </w:pPr>
      <w:r>
        <w:rPr>
          <w:rFonts w:hint="eastAsia" w:ascii="黑体" w:hAnsi="Times New Roman" w:eastAsia="黑体" w:cs="黑体"/>
          <w:color w:val="auto"/>
          <w:sz w:val="28"/>
          <w:szCs w:val="28"/>
        </w:rPr>
        <w:t xml:space="preserve">关于符合本国产品标准的声明函</w:t>
      </w:r>
      <w:r/>
    </w:p>
    <w:p>
      <w:pPr>
        <w:ind w:firstLine="560"/>
        <w:spacing w:line="480" w:lineRule="auto"/>
        <w:rPr>
          <w:rFonts w:ascii="宋体" w:hAnsi="宋体"/>
          <w:bCs/>
          <w:color w:val="auto"/>
          <w:sz w:val="24"/>
          <w:szCs w:val="24"/>
        </w:rPr>
      </w:pPr>
      <w:r>
        <w:rPr>
          <w:rFonts w:hint="eastAsia" w:ascii="宋体" w:hAnsi="宋体"/>
          <w:bCs/>
          <w:color w:val="auto"/>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560"/>
        <w:spacing w:line="480" w:lineRule="auto"/>
        <w:rPr>
          <w:rFonts w:ascii="宋体" w:hAnsi="宋体"/>
          <w:bCs/>
          <w:color w:val="auto"/>
          <w:sz w:val="24"/>
          <w:szCs w:val="24"/>
        </w:rPr>
      </w:pPr>
      <w:r>
        <w:rPr>
          <w:rFonts w:hint="eastAsia" w:ascii="宋体" w:hAnsi="宋体"/>
          <w:bCs/>
          <w:color w:val="auto"/>
          <w:sz w:val="24"/>
          <w:szCs w:val="24"/>
        </w:rPr>
        <w:t xml:space="preserve">1.</w:t>
      </w:r>
      <w:r>
        <w:rPr>
          <w:rFonts w:hint="eastAsia" w:ascii="宋体" w:hAnsi="宋体"/>
          <w:bCs/>
          <w:color w:val="auto"/>
          <w:sz w:val="24"/>
          <w:szCs w:val="24"/>
          <w:u w:val="single"/>
        </w:rPr>
        <w:t xml:space="preserve">（产品名称1）</w:t>
      </w:r>
      <w:r>
        <w:rPr>
          <w:rFonts w:hint="eastAsia" w:ascii="宋体" w:hAnsi="宋体"/>
          <w:b/>
          <w:color w:val="auto"/>
          <w:sz w:val="24"/>
          <w:szCs w:val="24"/>
          <w:u w:val="single"/>
          <w:vertAlign w:val="superscript"/>
        </w:rPr>
        <w:t xml:space="preserve">1</w:t>
      </w:r>
      <w:r>
        <w:rPr>
          <w:rFonts w:hint="eastAsia" w:ascii="宋体" w:hAnsi="宋体"/>
          <w:bCs/>
          <w:color w:val="auto"/>
          <w:sz w:val="24"/>
          <w:szCs w:val="24"/>
        </w:rPr>
        <w:t xml:space="preserve">，生产厂为</w:t>
      </w:r>
      <w:r>
        <w:rPr>
          <w:rFonts w:hint="eastAsia" w:ascii="宋体" w:hAnsi="宋体"/>
          <w:bCs/>
          <w:color w:val="auto"/>
          <w:sz w:val="24"/>
          <w:szCs w:val="24"/>
          <w:u w:val="single"/>
        </w:rPr>
        <w:t xml:space="preserve">（厂名）</w:t>
      </w:r>
      <w:r>
        <w:rPr>
          <w:rFonts w:hint="eastAsia" w:ascii="宋体" w:hAnsi="宋体"/>
          <w:b/>
          <w:color w:val="auto"/>
          <w:sz w:val="24"/>
          <w:szCs w:val="24"/>
          <w:u w:val="single"/>
          <w:vertAlign w:val="superscript"/>
        </w:rPr>
        <w:t xml:space="preserve">2</w:t>
      </w:r>
      <w:r>
        <w:rPr>
          <w:rFonts w:hint="eastAsia" w:ascii="宋体" w:hAnsi="宋体"/>
          <w:bCs/>
          <w:color w:val="auto"/>
          <w:sz w:val="24"/>
          <w:szCs w:val="24"/>
        </w:rPr>
        <w:t xml:space="preserve">，厂址为</w:t>
      </w:r>
      <w:r>
        <w:rPr>
          <w:rFonts w:hint="eastAsia" w:ascii="宋体" w:hAnsi="宋体"/>
          <w:bCs/>
          <w:color w:val="auto"/>
          <w:sz w:val="24"/>
          <w:szCs w:val="24"/>
          <w:u w:val="single"/>
        </w:rPr>
        <w:t xml:space="preserve">（生产厂址）</w:t>
      </w:r>
      <w:r>
        <w:rPr>
          <w:rFonts w:hint="eastAsia" w:ascii="宋体" w:hAnsi="宋体"/>
          <w:bCs/>
          <w:color w:val="auto"/>
          <w:sz w:val="24"/>
          <w:szCs w:val="24"/>
        </w:rPr>
        <w:t xml:space="preserve">。</w:t>
      </w:r>
      <w:r>
        <w:rPr>
          <w:rFonts w:hint="eastAsia" w:ascii="宋体" w:hAnsi="宋体"/>
          <w:bCs/>
          <w:color w:val="auto"/>
          <w:sz w:val="24"/>
          <w:szCs w:val="24"/>
          <w:u w:val="single"/>
        </w:rPr>
        <w:t xml:space="preserve">（产品名称1）</w:t>
      </w:r>
      <w:r>
        <w:rPr>
          <w:rFonts w:hint="eastAsia" w:ascii="宋体" w:hAnsi="宋体"/>
          <w:bCs/>
          <w:color w:val="auto"/>
          <w:sz w:val="24"/>
          <w:szCs w:val="24"/>
        </w:rPr>
        <w:t xml:space="preserve">的中国境内生产的组件成本占比≥</w:t>
      </w:r>
      <w:r>
        <w:rPr>
          <w:rFonts w:hint="eastAsia" w:ascii="宋体" w:hAnsi="宋体"/>
          <w:bCs/>
          <w:color w:val="auto"/>
          <w:sz w:val="24"/>
          <w:szCs w:val="24"/>
          <w:u w:val="single"/>
        </w:rPr>
        <w:t xml:space="preserve">（规定比例）</w:t>
      </w:r>
      <w:r>
        <w:rPr>
          <w:rFonts w:hint="eastAsia" w:ascii="宋体" w:hAnsi="宋体"/>
          <w:b/>
          <w:color w:val="auto"/>
          <w:sz w:val="24"/>
          <w:szCs w:val="24"/>
          <w:u w:val="single"/>
          <w:vertAlign w:val="superscript"/>
        </w:rPr>
        <w:t xml:space="preserve">3</w:t>
      </w:r>
      <w:r>
        <w:rPr>
          <w:rFonts w:hint="eastAsia" w:ascii="宋体" w:hAnsi="宋体"/>
          <w:bCs/>
          <w:color w:val="auto"/>
          <w:sz w:val="24"/>
          <w:szCs w:val="24"/>
        </w:rPr>
        <w:t xml:space="preserve">。</w:t>
      </w:r>
      <w:r>
        <w:rPr>
          <w:rFonts w:hint="eastAsia" w:ascii="宋体" w:hAnsi="宋体"/>
          <w:bCs/>
          <w:color w:val="auto"/>
          <w:sz w:val="24"/>
          <w:szCs w:val="24"/>
          <w:u w:val="single"/>
        </w:rPr>
        <w:t xml:space="preserve">（产品名称1）</w:t>
      </w:r>
      <w:r>
        <w:rPr>
          <w:rFonts w:hint="eastAsia" w:ascii="宋体" w:hAnsi="宋体"/>
          <w:bCs/>
          <w:color w:val="auto"/>
          <w:sz w:val="24"/>
          <w:szCs w:val="24"/>
        </w:rPr>
        <w:t xml:space="preserve">的</w:t>
      </w:r>
      <w:r>
        <w:rPr>
          <w:rFonts w:hint="eastAsia" w:ascii="宋体" w:hAnsi="宋体"/>
          <w:bCs/>
          <w:color w:val="auto"/>
          <w:sz w:val="24"/>
          <w:szCs w:val="24"/>
          <w:u w:val="single"/>
        </w:rPr>
        <w:t xml:space="preserve">（关键组件）</w:t>
      </w:r>
      <w:r>
        <w:rPr>
          <w:rFonts w:hint="eastAsia" w:ascii="宋体" w:hAnsi="宋体"/>
          <w:b/>
          <w:color w:val="auto"/>
          <w:sz w:val="24"/>
          <w:szCs w:val="24"/>
          <w:u w:val="single"/>
          <w:vertAlign w:val="superscript"/>
        </w:rPr>
        <w:t xml:space="preserve">4</w:t>
      </w:r>
      <w:r>
        <w:rPr>
          <w:rFonts w:hint="eastAsia" w:ascii="宋体" w:hAnsi="宋体"/>
          <w:bCs/>
          <w:color w:val="auto"/>
          <w:sz w:val="24"/>
          <w:szCs w:val="24"/>
        </w:rPr>
        <w:t xml:space="preserve">在中国境内生产。</w:t>
      </w:r>
      <w:r>
        <w:rPr>
          <w:rFonts w:hint="eastAsia" w:ascii="宋体" w:hAnsi="宋体"/>
          <w:bCs/>
          <w:color w:val="auto"/>
          <w:sz w:val="24"/>
          <w:szCs w:val="24"/>
          <w:u w:val="single"/>
        </w:rPr>
        <w:t xml:space="preserve">（产品名称1）</w:t>
      </w:r>
      <w:r>
        <w:rPr>
          <w:rFonts w:hint="eastAsia" w:ascii="宋体" w:hAnsi="宋体"/>
          <w:bCs/>
          <w:color w:val="auto"/>
          <w:sz w:val="24"/>
          <w:szCs w:val="24"/>
        </w:rPr>
        <w:t xml:space="preserve">的</w:t>
      </w:r>
      <w:r>
        <w:rPr>
          <w:rFonts w:hint="eastAsia" w:ascii="宋体" w:hAnsi="宋体"/>
          <w:bCs/>
          <w:color w:val="auto"/>
          <w:sz w:val="24"/>
          <w:szCs w:val="24"/>
          <w:u w:val="single"/>
        </w:rPr>
        <w:t xml:space="preserve">（关键工序）</w:t>
      </w:r>
      <w:r>
        <w:rPr>
          <w:rFonts w:hint="eastAsia" w:ascii="宋体" w:hAnsi="宋体"/>
          <w:b/>
          <w:color w:val="auto"/>
          <w:sz w:val="24"/>
          <w:szCs w:val="24"/>
          <w:u w:val="single"/>
          <w:vertAlign w:val="superscript"/>
        </w:rPr>
        <w:t xml:space="preserve">5</w:t>
      </w:r>
      <w:r>
        <w:rPr>
          <w:rFonts w:hint="eastAsia" w:ascii="宋体" w:hAnsi="宋体"/>
          <w:bCs/>
          <w:color w:val="auto"/>
          <w:sz w:val="24"/>
          <w:szCs w:val="24"/>
        </w:rPr>
        <w:t xml:space="preserve">在中国境内完成。</w:t>
      </w:r>
      <w:r/>
    </w:p>
    <w:p>
      <w:pPr>
        <w:ind w:firstLine="560"/>
        <w:spacing w:line="480" w:lineRule="auto"/>
        <w:rPr>
          <w:rFonts w:ascii="宋体" w:hAnsi="宋体"/>
          <w:bCs/>
          <w:color w:val="auto"/>
          <w:sz w:val="24"/>
          <w:szCs w:val="24"/>
        </w:rPr>
      </w:pPr>
      <w:r>
        <w:rPr>
          <w:rFonts w:hint="eastAsia" w:ascii="宋体" w:hAnsi="宋体"/>
          <w:bCs/>
          <w:color w:val="auto"/>
          <w:sz w:val="24"/>
          <w:szCs w:val="24"/>
        </w:rPr>
        <w:t xml:space="preserve">2.</w:t>
      </w:r>
      <w:r>
        <w:rPr>
          <w:rFonts w:hint="eastAsia" w:ascii="宋体" w:hAnsi="宋体"/>
          <w:bCs/>
          <w:color w:val="auto"/>
          <w:sz w:val="24"/>
          <w:szCs w:val="24"/>
          <w:u w:val="single"/>
        </w:rPr>
        <w:t xml:space="preserve">（产品名称2）</w:t>
      </w:r>
      <w:r>
        <w:rPr>
          <w:rFonts w:hint="eastAsia" w:ascii="宋体" w:hAnsi="宋体"/>
          <w:bCs/>
          <w:color w:val="auto"/>
          <w:sz w:val="24"/>
          <w:szCs w:val="24"/>
        </w:rPr>
        <w:t xml:space="preserve">，生产厂为</w:t>
      </w:r>
      <w:r>
        <w:rPr>
          <w:rFonts w:hint="eastAsia" w:ascii="宋体" w:hAnsi="宋体"/>
          <w:bCs/>
          <w:color w:val="auto"/>
          <w:sz w:val="24"/>
          <w:szCs w:val="24"/>
          <w:u w:val="single"/>
        </w:rPr>
        <w:t xml:space="preserve">（厂名）</w:t>
      </w:r>
      <w:r>
        <w:rPr>
          <w:rFonts w:hint="eastAsia" w:ascii="宋体" w:hAnsi="宋体"/>
          <w:bCs/>
          <w:color w:val="auto"/>
          <w:sz w:val="24"/>
          <w:szCs w:val="24"/>
        </w:rPr>
        <w:t xml:space="preserve">，厂址为</w:t>
      </w:r>
      <w:r>
        <w:rPr>
          <w:rFonts w:hint="eastAsia" w:ascii="宋体" w:hAnsi="宋体"/>
          <w:bCs/>
          <w:color w:val="auto"/>
          <w:sz w:val="24"/>
          <w:szCs w:val="24"/>
          <w:u w:val="single"/>
        </w:rPr>
        <w:t xml:space="preserve">（生产厂址）</w:t>
      </w:r>
      <w:r>
        <w:rPr>
          <w:rFonts w:hint="eastAsia" w:ascii="宋体" w:hAnsi="宋体"/>
          <w:bCs/>
          <w:color w:val="auto"/>
          <w:sz w:val="24"/>
          <w:szCs w:val="24"/>
        </w:rPr>
        <w:t xml:space="preserve">。</w:t>
      </w:r>
      <w:r>
        <w:rPr>
          <w:rFonts w:hint="eastAsia" w:ascii="宋体" w:hAnsi="宋体"/>
          <w:bCs/>
          <w:color w:val="auto"/>
          <w:sz w:val="24"/>
          <w:szCs w:val="24"/>
          <w:u w:val="single"/>
        </w:rPr>
        <w:t xml:space="preserve">（产品名称2）</w:t>
      </w:r>
      <w:r>
        <w:rPr>
          <w:rFonts w:hint="eastAsia" w:ascii="宋体" w:hAnsi="宋体"/>
          <w:bCs/>
          <w:color w:val="auto"/>
          <w:sz w:val="24"/>
          <w:szCs w:val="24"/>
        </w:rPr>
        <w:t xml:space="preserve">的中国境内生产的组件成本占比≥</w:t>
      </w:r>
      <w:r>
        <w:rPr>
          <w:rFonts w:hint="eastAsia" w:ascii="宋体" w:hAnsi="宋体"/>
          <w:bCs/>
          <w:color w:val="auto"/>
          <w:sz w:val="24"/>
          <w:szCs w:val="24"/>
          <w:u w:val="single"/>
        </w:rPr>
        <w:t xml:space="preserve">（规定比例）</w:t>
      </w:r>
      <w:r>
        <w:rPr>
          <w:rFonts w:hint="eastAsia" w:ascii="宋体" w:hAnsi="宋体"/>
          <w:bCs/>
          <w:color w:val="auto"/>
          <w:sz w:val="24"/>
          <w:szCs w:val="24"/>
        </w:rPr>
        <w:t xml:space="preserve">。</w:t>
      </w:r>
      <w:r>
        <w:rPr>
          <w:rFonts w:hint="eastAsia" w:ascii="宋体" w:hAnsi="宋体"/>
          <w:bCs/>
          <w:color w:val="auto"/>
          <w:sz w:val="24"/>
          <w:szCs w:val="24"/>
          <w:u w:val="single"/>
        </w:rPr>
        <w:t xml:space="preserve">（产品名称2）</w:t>
      </w:r>
      <w:r>
        <w:rPr>
          <w:rFonts w:hint="eastAsia" w:ascii="宋体" w:hAnsi="宋体"/>
          <w:bCs/>
          <w:color w:val="auto"/>
          <w:sz w:val="24"/>
          <w:szCs w:val="24"/>
        </w:rPr>
        <w:t xml:space="preserve">的</w:t>
      </w:r>
      <w:r>
        <w:rPr>
          <w:rFonts w:hint="eastAsia" w:ascii="宋体" w:hAnsi="宋体"/>
          <w:bCs/>
          <w:color w:val="auto"/>
          <w:sz w:val="24"/>
          <w:szCs w:val="24"/>
          <w:u w:val="single"/>
        </w:rPr>
        <w:t xml:space="preserve">（关键组件）</w:t>
      </w:r>
      <w:r>
        <w:rPr>
          <w:rFonts w:hint="eastAsia" w:ascii="宋体" w:hAnsi="宋体"/>
          <w:bCs/>
          <w:color w:val="auto"/>
          <w:sz w:val="24"/>
          <w:szCs w:val="24"/>
        </w:rPr>
        <w:t xml:space="preserve">在中国境内生产。</w:t>
      </w:r>
      <w:r>
        <w:rPr>
          <w:rFonts w:hint="eastAsia" w:ascii="宋体" w:hAnsi="宋体"/>
          <w:bCs/>
          <w:color w:val="auto"/>
          <w:sz w:val="24"/>
          <w:szCs w:val="24"/>
          <w:u w:val="single"/>
        </w:rPr>
        <w:t xml:space="preserve">（产品名称2）</w:t>
      </w:r>
      <w:r>
        <w:rPr>
          <w:rFonts w:hint="eastAsia" w:ascii="宋体" w:hAnsi="宋体"/>
          <w:bCs/>
          <w:color w:val="auto"/>
          <w:sz w:val="24"/>
          <w:szCs w:val="24"/>
        </w:rPr>
        <w:t xml:space="preserve">的</w:t>
      </w:r>
      <w:r>
        <w:rPr>
          <w:rFonts w:hint="eastAsia" w:ascii="宋体" w:hAnsi="宋体"/>
          <w:bCs/>
          <w:color w:val="auto"/>
          <w:sz w:val="24"/>
          <w:szCs w:val="24"/>
          <w:u w:val="single"/>
        </w:rPr>
        <w:t xml:space="preserve">（关键工序）</w:t>
      </w:r>
      <w:r>
        <w:rPr>
          <w:rFonts w:hint="eastAsia" w:ascii="宋体" w:hAnsi="宋体"/>
          <w:bCs/>
          <w:color w:val="auto"/>
          <w:sz w:val="24"/>
          <w:szCs w:val="24"/>
        </w:rPr>
        <w:t xml:space="preserve">在中国境内完成。</w:t>
      </w:r>
      <w:r/>
    </w:p>
    <w:p>
      <w:pPr>
        <w:ind w:firstLine="560"/>
        <w:spacing w:line="360" w:lineRule="auto"/>
        <w:rPr>
          <w:rFonts w:ascii="宋体" w:hAnsi="宋体"/>
          <w:bCs/>
          <w:color w:val="auto"/>
          <w:sz w:val="24"/>
          <w:szCs w:val="24"/>
        </w:rPr>
      </w:pPr>
      <w:r>
        <w:rPr>
          <w:rFonts w:hint="eastAsia" w:ascii="宋体" w:hAnsi="宋体"/>
          <w:bCs/>
          <w:color w:val="auto"/>
          <w:sz w:val="24"/>
          <w:szCs w:val="24"/>
        </w:rPr>
        <w:t xml:space="preserve">……</w:t>
      </w:r>
      <w:r/>
    </w:p>
    <w:p>
      <w:pPr>
        <w:ind w:firstLine="560"/>
        <w:spacing w:line="360" w:lineRule="auto"/>
        <w:rPr>
          <w:rFonts w:ascii="宋体" w:hAnsi="宋体"/>
          <w:bCs/>
          <w:color w:val="auto"/>
          <w:sz w:val="24"/>
          <w:szCs w:val="24"/>
        </w:rPr>
      </w:pPr>
      <w:r>
        <w:rPr>
          <w:rFonts w:hint="eastAsia" w:ascii="宋体" w:hAnsi="宋体"/>
          <w:bCs/>
          <w:color w:val="auto"/>
          <w:sz w:val="24"/>
          <w:szCs w:val="24"/>
        </w:rPr>
        <w:t xml:space="preserve">本公司（单位）对上述声明内容的真实性负责。如有虚假，愿承担相应法律责任。</w:t>
      </w:r>
      <w:r/>
    </w:p>
    <w:p>
      <w:pPr>
        <w:ind w:firstLine="4800"/>
        <w:spacing w:after="0" w:line="360" w:lineRule="auto"/>
        <w:rPr>
          <w:rFonts w:ascii="宋体" w:hAnsi="宋体"/>
          <w:bCs/>
          <w:color w:val="auto"/>
          <w:sz w:val="24"/>
          <w:szCs w:val="24"/>
        </w:rPr>
      </w:pPr>
      <w:r>
        <w:rPr>
          <w:rFonts w:hint="eastAsia" w:ascii="宋体" w:hAnsi="宋体"/>
          <w:bCs/>
          <w:color w:val="auto"/>
          <w:sz w:val="24"/>
          <w:szCs w:val="24"/>
        </w:rPr>
        <w:t xml:space="preserve">公司（单位）名称（盖章）：      </w:t>
      </w:r>
      <w:r/>
    </w:p>
    <w:p>
      <w:pPr>
        <w:ind w:firstLine="4800"/>
        <w:spacing w:after="0" w:line="360" w:lineRule="auto"/>
        <w:rPr>
          <w:rFonts w:ascii="宋体" w:hAnsi="宋体"/>
          <w:bCs/>
          <w:color w:val="auto"/>
          <w:sz w:val="24"/>
          <w:szCs w:val="24"/>
        </w:rPr>
      </w:pPr>
      <w:r>
        <w:rPr>
          <w:rFonts w:hint="eastAsia" w:ascii="宋体" w:hAnsi="宋体"/>
          <w:bCs/>
          <w:color w:val="auto"/>
          <w:sz w:val="24"/>
          <w:szCs w:val="24"/>
        </w:rPr>
        <w:t xml:space="preserve">日期：　　　　　年　　月　日    </w:t>
      </w:r>
      <w:r/>
    </w:p>
    <w:p>
      <w:pPr>
        <w:ind w:firstLine="560"/>
        <w:spacing w:line="360" w:lineRule="auto"/>
        <w:rPr>
          <w:rFonts w:ascii="宋体" w:hAnsi="宋体"/>
          <w:bCs/>
          <w:color w:val="auto"/>
          <w:sz w:val="24"/>
          <w:szCs w:val="24"/>
        </w:rPr>
      </w:pPr>
      <w:r>
        <w:rPr>
          <w:rFonts w:ascii="宋体" w:hAnsi="宋体"/>
          <w:bCs/>
          <w:color w:val="auto"/>
          <w:sz w:val="24"/>
          <w:szCs w:val="24"/>
        </w:rPr>
      </w:r>
      <w:r/>
    </w:p>
    <w:p>
      <w:pPr>
        <w:ind w:firstLine="560"/>
        <w:spacing w:line="360" w:lineRule="auto"/>
        <w:rPr>
          <w:rFonts w:ascii="宋体" w:hAnsi="宋体"/>
          <w:bCs/>
          <w:color w:val="auto"/>
          <w:sz w:val="24"/>
          <w:szCs w:val="24"/>
        </w:rPr>
      </w:pPr>
      <w:r>
        <w:rPr>
          <w:rFonts w:hint="eastAsia" w:ascii="宋体" w:hAnsi="宋体"/>
          <w:bCs/>
          <w:color w:val="auto"/>
          <w:sz w:val="24"/>
          <w:szCs w:val="24"/>
        </w:rPr>
        <w:t xml:space="preserve">_____________________________</w:t>
      </w:r>
      <w:r/>
    </w:p>
    <w:p>
      <w:pPr>
        <w:pStyle w:val="824"/>
        <w:ind w:firstLine="420"/>
        <w:spacing w:before="30" w:beforeAutospacing="0" w:after="30" w:afterAutospacing="0" w:line="240" w:lineRule="auto"/>
        <w:shd w:val="clear" w:color="auto" w:fill="ffffff"/>
        <w:rPr>
          <w:rFonts w:ascii="楷体" w:hAnsi="楷体" w:eastAsia="楷体" w:cs="楷体"/>
          <w:color w:val="auto"/>
          <w:shd w:val="clear" w:color="auto" w:fill="ffffff"/>
        </w:rPr>
      </w:pPr>
      <w:r>
        <w:rPr>
          <w:rFonts w:hint="eastAsia" w:ascii="楷体" w:hAnsi="楷体" w:eastAsia="楷体" w:cs="楷体"/>
          <w:color w:val="auto"/>
          <w:shd w:val="clear" w:color="auto" w:fill="ffffff"/>
        </w:rPr>
        <w:t xml:space="preserve">1.产品如有型号，请在“产品名称”栏一并填写。</w:t>
      </w:r>
      <w:r/>
    </w:p>
    <w:p>
      <w:pPr>
        <w:pStyle w:val="824"/>
        <w:ind w:firstLine="420"/>
        <w:spacing w:before="30" w:beforeAutospacing="0" w:after="30" w:afterAutospacing="0" w:line="240" w:lineRule="auto"/>
        <w:shd w:val="clear" w:color="auto" w:fill="ffffff"/>
        <w:rPr>
          <w:rFonts w:ascii="楷体" w:hAnsi="楷体" w:eastAsia="楷体" w:cs="楷体"/>
          <w:color w:val="auto"/>
          <w:shd w:val="clear" w:color="auto" w:fill="ffffff"/>
        </w:rPr>
      </w:pPr>
      <w:r>
        <w:rPr>
          <w:rFonts w:hint="eastAsia" w:ascii="楷体" w:hAnsi="楷体" w:eastAsia="楷体" w:cs="楷体"/>
          <w:color w:val="auto"/>
          <w:shd w:val="clear" w:color="auto" w:fill="ffffff"/>
        </w:rPr>
        <w:t xml:space="preserve">2.生产厂名与厂址应与生产厂营业执照载明的相关信息保持一致。</w:t>
      </w:r>
      <w:r/>
    </w:p>
    <w:p>
      <w:pPr>
        <w:pStyle w:val="824"/>
        <w:ind w:firstLine="420"/>
        <w:spacing w:before="30" w:beforeAutospacing="0" w:after="30" w:afterAutospacing="0" w:line="240" w:lineRule="auto"/>
        <w:shd w:val="clear" w:color="auto" w:fill="ffffff"/>
        <w:rPr>
          <w:rFonts w:ascii="楷体" w:hAnsi="楷体" w:eastAsia="楷体" w:cs="楷体"/>
          <w:color w:val="auto"/>
          <w:shd w:val="clear" w:color="auto" w:fill="ffffff"/>
        </w:rPr>
      </w:pPr>
      <w:r>
        <w:rPr>
          <w:rFonts w:hint="eastAsia" w:ascii="楷体" w:hAnsi="楷体" w:eastAsia="楷体" w:cs="楷体"/>
          <w:color w:val="auto"/>
          <w:shd w:val="clear" w:color="auto" w:fill="ffffff"/>
        </w:rPr>
        <w:t xml:space="preserve">3.该产品的中国境内生产的组件成本占比相关要求实施前，“规定比例”栏可不填，下同。</w:t>
      </w:r>
      <w:r/>
    </w:p>
    <w:p>
      <w:pPr>
        <w:pStyle w:val="824"/>
        <w:ind w:firstLine="420"/>
        <w:spacing w:before="30" w:beforeAutospacing="0" w:after="30" w:afterAutospacing="0" w:line="240" w:lineRule="auto"/>
        <w:shd w:val="clear" w:color="auto" w:fill="ffffff"/>
        <w:rPr>
          <w:rFonts w:ascii="楷体" w:hAnsi="楷体" w:eastAsia="楷体" w:cs="楷体"/>
          <w:color w:val="auto"/>
          <w:shd w:val="clear" w:color="auto" w:fill="ffffff"/>
        </w:rPr>
      </w:pPr>
      <w:r>
        <w:rPr>
          <w:rFonts w:hint="eastAsia" w:ascii="楷体" w:hAnsi="楷体" w:eastAsia="楷体" w:cs="楷体"/>
          <w:color w:val="auto"/>
          <w:shd w:val="clear" w:color="auto" w:fill="ffffff"/>
        </w:rPr>
        <w:t xml:space="preserve">4.该产品的关键组件要求实施前，“关键组件”栏可不填，下同。</w:t>
      </w:r>
      <w:r/>
    </w:p>
    <w:p>
      <w:pPr>
        <w:pStyle w:val="824"/>
        <w:ind w:firstLine="420"/>
        <w:spacing w:before="30" w:beforeAutospacing="0" w:after="30" w:afterAutospacing="0" w:line="240" w:lineRule="auto"/>
        <w:shd w:val="clear" w:color="auto" w:fill="ffffff"/>
        <w:rPr>
          <w:rFonts w:ascii="楷体" w:hAnsi="楷体" w:eastAsia="楷体" w:cs="楷体"/>
          <w:color w:val="auto"/>
          <w:shd w:val="clear" w:color="auto" w:fill="ffffff"/>
        </w:rPr>
      </w:pPr>
      <w:r>
        <w:rPr>
          <w:rFonts w:hint="eastAsia" w:ascii="楷体" w:hAnsi="楷体" w:eastAsia="楷体" w:cs="楷体"/>
          <w:color w:val="auto"/>
          <w:shd w:val="clear" w:color="auto" w:fill="ffffff"/>
        </w:rPr>
        <w:t xml:space="preserve">5.该产品的关键工序要求实施前，“关键工序”栏可不填，下同。</w:t>
      </w:r>
      <w:r/>
    </w:p>
    <w:p>
      <w:r>
        <w:br w:type="page" w:clear="all"/>
      </w:r>
      <w:r/>
    </w:p>
    <w:p>
      <w:pPr>
        <w:ind w:left="0" w:firstLine="0"/>
        <w:spacing w:line="400" w:lineRule="exact"/>
        <w:rPr>
          <w:rFonts w:ascii="宋体" w:hAnsi="宋体" w:eastAsia="宋体" w:cs="宋体"/>
          <w:b/>
          <w:color w:val="auto"/>
          <w:sz w:val="28"/>
          <w:szCs w:val="28"/>
          <w:highlight w:val="none"/>
        </w:rPr>
        <w:outlineLvl w:val="2"/>
      </w:pPr>
      <w:r>
        <w:rPr>
          <w:rFonts w:hint="eastAsia" w:ascii="宋体" w:hAnsi="宋体" w:eastAsia="宋体" w:cs="宋体"/>
          <w:b/>
          <w:color w:val="auto"/>
          <w:sz w:val="28"/>
          <w:szCs w:val="28"/>
          <w:highlight w:val="none"/>
        </w:rPr>
        <w:t xml:space="preserve">十</w:t>
      </w:r>
      <w:r>
        <w:rPr>
          <w:rFonts w:hint="eastAsia" w:ascii="宋体" w:hAnsi="宋体" w:eastAsia="宋体" w:cs="宋体"/>
          <w:b/>
          <w:color w:val="auto"/>
          <w:sz w:val="28"/>
          <w:szCs w:val="28"/>
          <w:highlight w:val="none"/>
          <w:lang w:val="en-US" w:eastAsia="zh-CN"/>
        </w:rPr>
        <w:t xml:space="preserve">三</w:t>
      </w:r>
      <w:r>
        <w:rPr>
          <w:rFonts w:hint="eastAsia" w:ascii="宋体" w:hAnsi="宋体" w:eastAsia="宋体" w:cs="宋体"/>
          <w:b/>
          <w:color w:val="auto"/>
          <w:sz w:val="28"/>
          <w:szCs w:val="28"/>
          <w:highlight w:val="none"/>
        </w:rPr>
        <w:t xml:space="preserve">、具备履行合同所必需的设备和专业技术能力的书面声明（格式）</w:t>
      </w:r>
      <w:r/>
    </w:p>
    <w:p>
      <w:pPr>
        <w:ind w:firstLine="480"/>
        <w:spacing w:line="480" w:lineRule="auto"/>
        <w:rPr>
          <w:rFonts w:hint="eastAsia" w:ascii="宋体" w:hAnsi="宋体"/>
          <w:bCs/>
          <w:color w:val="auto"/>
          <w:sz w:val="24"/>
          <w:szCs w:val="24"/>
        </w:rPr>
      </w:pPr>
      <w:r>
        <w:rPr>
          <w:rFonts w:hint="eastAsia" w:ascii="宋体" w:hAnsi="宋体"/>
          <w:bCs/>
          <w:color w:val="auto"/>
          <w:sz w:val="24"/>
          <w:szCs w:val="24"/>
        </w:rPr>
      </w:r>
      <w:r/>
    </w:p>
    <w:p>
      <w:pPr>
        <w:ind w:firstLine="480"/>
        <w:spacing w:line="480" w:lineRule="auto"/>
        <w:rPr>
          <w:rFonts w:ascii="宋体" w:hAnsi="宋体"/>
          <w:bCs/>
          <w:color w:val="auto"/>
          <w:sz w:val="24"/>
          <w:szCs w:val="24"/>
        </w:rPr>
      </w:pPr>
      <w:r>
        <w:rPr>
          <w:rFonts w:hint="eastAsia" w:ascii="宋体" w:hAnsi="宋体"/>
          <w:bCs/>
          <w:color w:val="auto"/>
          <w:sz w:val="24"/>
          <w:szCs w:val="24"/>
        </w:rPr>
        <w:t xml:space="preserve">我单位郑重声明：我单位具备履行本项采购合同所必需的设备和专业技术能力，为履行本项采购合同我单位具备如下主要设备和主要专业技术能力：</w:t>
      </w:r>
      <w:r/>
    </w:p>
    <w:p>
      <w:pPr>
        <w:ind w:firstLine="480"/>
        <w:spacing w:line="580" w:lineRule="exact"/>
        <w:rPr>
          <w:rFonts w:ascii="宋体" w:hAnsi="宋体"/>
          <w:bCs/>
          <w:color w:val="auto"/>
          <w:sz w:val="24"/>
          <w:szCs w:val="24"/>
          <w:u w:val="single"/>
        </w:rPr>
      </w:pPr>
      <w:r>
        <w:rPr>
          <w:rFonts w:hint="eastAsia" w:ascii="宋体" w:hAnsi="宋体"/>
          <w:bCs/>
          <w:color w:val="auto"/>
          <w:sz w:val="24"/>
          <w:szCs w:val="24"/>
        </w:rPr>
        <w:t xml:space="preserve">主要设备有：</w:t>
      </w:r>
      <w:r>
        <w:rPr>
          <w:rFonts w:hint="eastAsia" w:ascii="宋体" w:hAnsi="宋体"/>
          <w:bCs/>
          <w:color w:val="auto"/>
          <w:sz w:val="24"/>
          <w:szCs w:val="24"/>
          <w:u w:val="single"/>
        </w:rPr>
        <w:t xml:space="preserve">           </w:t>
      </w:r>
      <w:r>
        <w:rPr>
          <w:rFonts w:hint="eastAsia" w:ascii="宋体" w:hAnsi="宋体"/>
          <w:bCs/>
          <w:color w:val="auto"/>
          <w:sz w:val="24"/>
          <w:szCs w:val="24"/>
        </w:rPr>
        <w:t xml:space="preserve">。</w:t>
      </w:r>
      <w:r/>
    </w:p>
    <w:p>
      <w:pPr>
        <w:ind w:firstLine="480"/>
        <w:spacing w:line="580" w:lineRule="exact"/>
        <w:rPr>
          <w:rFonts w:ascii="宋体" w:hAnsi="宋体"/>
          <w:bCs/>
          <w:color w:val="auto"/>
          <w:sz w:val="24"/>
          <w:szCs w:val="24"/>
        </w:rPr>
      </w:pPr>
      <w:r>
        <w:rPr>
          <w:rFonts w:hint="eastAsia" w:ascii="宋体" w:hAnsi="宋体"/>
          <w:bCs/>
          <w:color w:val="auto"/>
          <w:sz w:val="24"/>
          <w:szCs w:val="24"/>
        </w:rPr>
        <w:t xml:space="preserve">主要专业技术能力有：</w:t>
      </w:r>
      <w:r>
        <w:rPr>
          <w:rFonts w:hint="eastAsia" w:ascii="宋体" w:hAnsi="宋体"/>
          <w:bCs/>
          <w:color w:val="auto"/>
          <w:sz w:val="24"/>
          <w:szCs w:val="24"/>
          <w:u w:val="single"/>
        </w:rPr>
        <w:t xml:space="preserve">             </w:t>
      </w:r>
      <w:r>
        <w:rPr>
          <w:rFonts w:hint="eastAsia" w:ascii="宋体" w:hAnsi="宋体"/>
          <w:bCs/>
          <w:color w:val="auto"/>
          <w:sz w:val="24"/>
          <w:szCs w:val="24"/>
        </w:rPr>
        <w:t xml:space="preserve">。</w:t>
      </w:r>
      <w:r/>
    </w:p>
    <w:p>
      <w:pPr>
        <w:ind w:firstLine="480"/>
        <w:spacing w:line="580" w:lineRule="exact"/>
        <w:rPr>
          <w:rFonts w:ascii="宋体" w:hAnsi="宋体"/>
          <w:bCs/>
          <w:color w:val="auto"/>
          <w:sz w:val="24"/>
          <w:szCs w:val="24"/>
        </w:rPr>
      </w:pPr>
      <w:r>
        <w:rPr>
          <w:rFonts w:ascii="宋体" w:hAnsi="宋体"/>
          <w:bCs/>
          <w:color w:val="auto"/>
          <w:sz w:val="24"/>
          <w:szCs w:val="24"/>
        </w:rPr>
      </w:r>
      <w:r/>
    </w:p>
    <w:p>
      <w:pPr>
        <w:ind w:firstLine="480"/>
        <w:spacing w:line="580" w:lineRule="exact"/>
        <w:rPr>
          <w:rFonts w:ascii="宋体" w:hAnsi="宋体"/>
          <w:bCs/>
          <w:color w:val="auto"/>
          <w:sz w:val="24"/>
          <w:szCs w:val="24"/>
        </w:rPr>
      </w:pPr>
      <w:r>
        <w:rPr>
          <w:rFonts w:ascii="宋体" w:hAnsi="宋体"/>
          <w:bCs/>
          <w:color w:val="auto"/>
          <w:sz w:val="24"/>
          <w:szCs w:val="24"/>
        </w:rPr>
      </w:r>
      <w:r/>
    </w:p>
    <w:p>
      <w:pPr>
        <w:ind w:firstLine="480"/>
        <w:spacing w:line="580" w:lineRule="exact"/>
        <w:rPr>
          <w:rFonts w:ascii="宋体" w:hAnsi="宋体"/>
          <w:bCs/>
          <w:color w:val="auto"/>
          <w:sz w:val="24"/>
          <w:szCs w:val="24"/>
        </w:rPr>
      </w:pPr>
      <w:r>
        <w:rPr>
          <w:rFonts w:hint="eastAsia" w:ascii="宋体" w:hAnsi="宋体"/>
          <w:bCs/>
          <w:color w:val="auto"/>
          <w:sz w:val="24"/>
          <w:szCs w:val="24"/>
        </w:rPr>
        <w:t xml:space="preserve">                                    投标人名称（盖章）：</w:t>
      </w:r>
      <w:r/>
    </w:p>
    <w:p>
      <w:pPr>
        <w:ind w:firstLine="480"/>
        <w:spacing w:line="580" w:lineRule="exact"/>
        <w:rPr>
          <w:rFonts w:ascii="宋体" w:hAnsi="宋体"/>
          <w:bCs/>
          <w:color w:val="auto"/>
          <w:sz w:val="24"/>
          <w:szCs w:val="24"/>
        </w:rPr>
      </w:pPr>
      <w:r>
        <w:rPr>
          <w:rFonts w:hint="eastAsia" w:ascii="宋体" w:hAnsi="宋体"/>
          <w:bCs/>
          <w:color w:val="auto"/>
          <w:sz w:val="24"/>
          <w:szCs w:val="24"/>
        </w:rPr>
        <w:t xml:space="preserve">                                    日  期：</w:t>
      </w:r>
      <w:r/>
    </w:p>
    <w:p>
      <w:pPr>
        <w:rPr>
          <w:rFonts w:ascii="黑体" w:hAnsi="黑体" w:eastAsia="黑体" w:cs="黑体"/>
          <w:bCs/>
          <w:color w:val="auto"/>
          <w:sz w:val="28"/>
          <w:szCs w:val="28"/>
        </w:rPr>
        <w:sectPr>
          <w:headerReference w:type="default" r:id="rId11"/>
          <w:footerReference w:type="default" r:id="rId16"/>
          <w:footnotePr/>
          <w:endnotePr/>
          <w:type w:val="nextPage"/>
          <w:pgSz w:w="11906" w:h="16838" w:orient="portrait"/>
          <w:pgMar w:top="1440" w:right="1440" w:bottom="1440" w:left="1287" w:header="850" w:footer="992" w:gutter="0"/>
          <w:cols w:num="1" w:sep="0" w:space="1701" w:equalWidth="1"/>
          <w:docGrid w:linePitch="360"/>
        </w:sectPr>
        <w:outlineLvl w:val="1"/>
      </w:pPr>
      <w:r>
        <w:rPr>
          <w:rFonts w:ascii="黑体" w:hAnsi="黑体" w:eastAsia="黑体" w:cs="黑体"/>
          <w:bCs/>
          <w:color w:val="auto"/>
          <w:sz w:val="28"/>
          <w:szCs w:val="28"/>
        </w:rPr>
      </w:r>
      <w:r/>
    </w:p>
    <w:p>
      <w:pPr>
        <w:ind w:left="0" w:firstLine="0"/>
        <w:spacing w:line="400" w:lineRule="exact"/>
        <w:rPr>
          <w:rFonts w:ascii="宋体" w:hAnsi="宋体" w:eastAsia="宋体" w:cs="宋体"/>
          <w:b/>
          <w:color w:val="auto"/>
          <w:sz w:val="28"/>
          <w:szCs w:val="28"/>
          <w:highlight w:val="none"/>
        </w:rPr>
        <w:outlineLvl w:val="2"/>
      </w:pPr>
      <w:r>
        <w:rPr>
          <w:rFonts w:hint="eastAsia" w:ascii="宋体" w:hAnsi="宋体" w:eastAsia="宋体" w:cs="宋体"/>
          <w:b/>
          <w:color w:val="auto"/>
          <w:sz w:val="28"/>
          <w:szCs w:val="28"/>
          <w:highlight w:val="none"/>
        </w:rPr>
        <w:t xml:space="preserve">十</w:t>
      </w:r>
      <w:r>
        <w:rPr>
          <w:rFonts w:hint="eastAsia" w:ascii="宋体" w:hAnsi="宋体" w:eastAsia="宋体" w:cs="宋体"/>
          <w:b/>
          <w:color w:val="auto"/>
          <w:sz w:val="28"/>
          <w:szCs w:val="28"/>
          <w:highlight w:val="none"/>
          <w:lang w:val="en-US" w:eastAsia="zh-CN"/>
        </w:rPr>
        <w:t xml:space="preserve">四</w:t>
      </w:r>
      <w:r>
        <w:rPr>
          <w:rFonts w:hint="eastAsia" w:ascii="宋体" w:hAnsi="宋体" w:eastAsia="宋体" w:cs="宋体"/>
          <w:b/>
          <w:color w:val="auto"/>
          <w:sz w:val="28"/>
          <w:szCs w:val="28"/>
          <w:highlight w:val="none"/>
        </w:rPr>
        <w:t xml:space="preserve">、参加采购活动前3年内(自公开招标文件发出之日起计算)在经营活动中没有重大违法记录的书面声明（格式）</w:t>
      </w:r>
      <w:r/>
    </w:p>
    <w:p>
      <w:pPr>
        <w:ind w:firstLine="480"/>
        <w:spacing w:line="480" w:lineRule="auto"/>
        <w:rPr>
          <w:rFonts w:hint="eastAsia" w:ascii="宋体" w:hAnsi="宋体"/>
          <w:bCs/>
          <w:color w:val="auto"/>
          <w:sz w:val="24"/>
          <w:szCs w:val="24"/>
        </w:rPr>
      </w:pPr>
      <w:r>
        <w:rPr>
          <w:rFonts w:hint="eastAsia" w:ascii="宋体" w:hAnsi="宋体"/>
          <w:bCs/>
          <w:color w:val="auto"/>
          <w:sz w:val="24"/>
          <w:szCs w:val="24"/>
        </w:rPr>
      </w:r>
      <w:r/>
    </w:p>
    <w:p>
      <w:pPr>
        <w:ind w:firstLine="480"/>
        <w:spacing w:line="480" w:lineRule="auto"/>
        <w:rPr>
          <w:rFonts w:ascii="宋体" w:hAnsi="宋体"/>
          <w:bCs/>
          <w:color w:val="auto"/>
          <w:sz w:val="24"/>
          <w:szCs w:val="24"/>
        </w:rPr>
      </w:pPr>
      <w:r>
        <w:rPr>
          <w:rFonts w:hint="eastAsia" w:ascii="宋体" w:hAnsi="宋体"/>
          <w:bCs/>
          <w:color w:val="auto"/>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spacing w:line="580" w:lineRule="exact"/>
        <w:rPr>
          <w:rFonts w:ascii="宋体" w:hAnsi="宋体"/>
          <w:bCs/>
          <w:color w:val="auto"/>
          <w:sz w:val="24"/>
          <w:szCs w:val="24"/>
        </w:rPr>
      </w:pPr>
      <w:r>
        <w:rPr>
          <w:rFonts w:ascii="宋体" w:hAnsi="宋体"/>
          <w:bCs/>
          <w:color w:val="auto"/>
          <w:sz w:val="24"/>
          <w:szCs w:val="24"/>
        </w:rPr>
      </w:r>
      <w:r/>
    </w:p>
    <w:p>
      <w:pPr>
        <w:ind w:firstLine="480"/>
        <w:spacing w:line="580" w:lineRule="exact"/>
        <w:rPr>
          <w:rFonts w:ascii="宋体" w:hAnsi="宋体"/>
          <w:bCs/>
          <w:color w:val="auto"/>
          <w:sz w:val="24"/>
          <w:szCs w:val="24"/>
        </w:rPr>
      </w:pPr>
      <w:r>
        <w:rPr>
          <w:rFonts w:ascii="宋体" w:hAnsi="宋体"/>
          <w:bCs/>
          <w:color w:val="auto"/>
          <w:sz w:val="24"/>
          <w:szCs w:val="24"/>
        </w:rPr>
      </w:r>
      <w:r/>
    </w:p>
    <w:p>
      <w:pPr>
        <w:ind w:firstLine="480"/>
        <w:spacing w:line="580" w:lineRule="exact"/>
        <w:rPr>
          <w:rFonts w:ascii="宋体" w:hAnsi="宋体"/>
          <w:bCs/>
          <w:color w:val="auto"/>
          <w:sz w:val="24"/>
          <w:szCs w:val="24"/>
        </w:rPr>
      </w:pPr>
      <w:r>
        <w:rPr>
          <w:rFonts w:hint="eastAsia" w:ascii="宋体" w:hAnsi="宋体"/>
          <w:bCs/>
          <w:color w:val="auto"/>
          <w:sz w:val="24"/>
          <w:szCs w:val="24"/>
        </w:rPr>
        <w:t xml:space="preserve">                                    投标人名称（盖章）：</w:t>
      </w:r>
      <w:r/>
    </w:p>
    <w:p>
      <w:pPr>
        <w:ind w:firstLine="480"/>
        <w:spacing w:line="580" w:lineRule="exact"/>
        <w:rPr>
          <w:rFonts w:ascii="宋体" w:hAnsi="宋体"/>
          <w:bCs/>
          <w:color w:val="auto"/>
          <w:sz w:val="24"/>
          <w:szCs w:val="24"/>
        </w:rPr>
      </w:pPr>
      <w:r>
        <w:rPr>
          <w:rFonts w:hint="eastAsia" w:ascii="宋体" w:hAnsi="宋体"/>
          <w:bCs/>
          <w:color w:val="auto"/>
          <w:sz w:val="24"/>
          <w:szCs w:val="24"/>
        </w:rPr>
        <w:t xml:space="preserve">                                    日  期：</w:t>
      </w:r>
      <w:r/>
    </w:p>
    <w:p>
      <w:pPr>
        <w:rPr>
          <w:rFonts w:ascii="黑体" w:hAnsi="黑体" w:eastAsia="黑体" w:cs="黑体"/>
          <w:bCs/>
          <w:color w:val="auto"/>
          <w:sz w:val="28"/>
          <w:szCs w:val="28"/>
        </w:rPr>
        <w:sectPr>
          <w:headerReference w:type="default" r:id="rId12"/>
          <w:footerReference w:type="default" r:id="rId17"/>
          <w:footnotePr/>
          <w:endnotePr/>
          <w:type w:val="nextPage"/>
          <w:pgSz w:w="11906" w:h="16838" w:orient="portrait"/>
          <w:pgMar w:top="1440" w:right="1440" w:bottom="1440" w:left="1287" w:header="850" w:footer="992" w:gutter="0"/>
          <w:cols w:num="1" w:sep="0" w:space="1701" w:equalWidth="1"/>
          <w:docGrid w:linePitch="360"/>
        </w:sectPr>
        <w:outlineLvl w:val="1"/>
      </w:pPr>
      <w:r>
        <w:rPr>
          <w:rFonts w:ascii="黑体" w:hAnsi="黑体" w:eastAsia="黑体" w:cs="黑体"/>
          <w:bCs/>
          <w:color w:val="auto"/>
          <w:sz w:val="28"/>
          <w:szCs w:val="28"/>
        </w:rPr>
      </w:r>
      <w:r/>
    </w:p>
    <w:p>
      <w:pPr>
        <w:ind w:left="0" w:firstLine="0"/>
        <w:spacing w:line="400" w:lineRule="exact"/>
        <w:rPr>
          <w:rFonts w:hint="eastAsia" w:ascii="黑体" w:eastAsia="黑体"/>
          <w:bCs/>
          <w:color w:val="auto"/>
          <w:sz w:val="28"/>
          <w:szCs w:val="28"/>
          <w:highlight w:val="none"/>
        </w:rPr>
        <w:outlineLvl w:val="2"/>
      </w:pPr>
      <w:r>
        <w:rPr>
          <w:rFonts w:hint="eastAsia" w:ascii="宋体" w:hAnsi="宋体" w:eastAsia="宋体" w:cs="宋体"/>
          <w:b/>
          <w:color w:val="auto"/>
          <w:sz w:val="28"/>
          <w:szCs w:val="28"/>
          <w:highlight w:val="none"/>
        </w:rPr>
        <w:t xml:space="preserve">十</w:t>
      </w:r>
      <w:r>
        <w:rPr>
          <w:rFonts w:hint="eastAsia" w:ascii="宋体" w:hAnsi="宋体" w:eastAsia="宋体" w:cs="宋体"/>
          <w:b/>
          <w:color w:val="auto"/>
          <w:sz w:val="28"/>
          <w:szCs w:val="28"/>
          <w:highlight w:val="none"/>
          <w:lang w:val="en-US" w:eastAsia="zh-CN"/>
        </w:rPr>
        <w:t xml:space="preserve">五</w:t>
      </w:r>
      <w:r>
        <w:rPr>
          <w:rFonts w:hint="eastAsia" w:ascii="宋体" w:hAnsi="宋体" w:eastAsia="宋体" w:cs="宋体"/>
          <w:b/>
          <w:color w:val="auto"/>
          <w:sz w:val="28"/>
          <w:szCs w:val="28"/>
          <w:highlight w:val="none"/>
        </w:rPr>
        <w:t xml:space="preserve">、暗标（技术服务方案）</w:t>
      </w:r>
      <w:r/>
    </w:p>
    <w:p>
      <w:pPr>
        <w:jc w:val="center"/>
        <w:spacing w:after="200" w:line="360" w:lineRule="auto"/>
        <w:widowControl/>
        <w:rPr>
          <w:rFonts w:hint="eastAsia" w:ascii="黑体" w:eastAsia="黑体" w:cs="宋体"/>
          <w:bCs/>
          <w:color w:val="auto"/>
          <w:sz w:val="28"/>
          <w:szCs w:val="28"/>
          <w:highlight w:val="none"/>
        </w:rPr>
      </w:pPr>
      <w:r>
        <w:rPr>
          <w:rFonts w:hint="eastAsia" w:ascii="黑体" w:eastAsia="黑体" w:cs="宋体"/>
          <w:bCs/>
          <w:color w:val="auto"/>
          <w:sz w:val="28"/>
          <w:szCs w:val="28"/>
          <w:highlight w:val="none"/>
        </w:rPr>
        <w:t xml:space="preserve">技术方案</w:t>
      </w:r>
      <w:r/>
    </w:p>
    <w:p>
      <w:pPr>
        <w:pStyle w:val="978"/>
        <w:numPr>
          <w:ilvl w:val="0"/>
          <w:numId w:val="0"/>
        </w:numPr>
        <w:rPr>
          <w:rFonts w:hint="eastAsia" w:ascii="宋体" w:hAnsi="宋体" w:eastAsia="宋体" w:cs="宋体"/>
          <w:b/>
          <w:color w:val="auto"/>
          <w:sz w:val="24"/>
          <w:szCs w:val="21"/>
          <w:highlight w:val="none"/>
          <w:u w:val="single"/>
        </w:rPr>
      </w:pPr>
      <w:r>
        <w:rPr>
          <w:rFonts w:hint="eastAsia"/>
          <w:b w:val="0"/>
          <w:bCs/>
          <w:color w:val="auto"/>
          <w:sz w:val="24"/>
          <w:highlight w:val="none"/>
        </w:rPr>
        <w:t xml:space="preserve">投标供应商应按评分点编制完整的服务方案，</w:t>
      </w:r>
      <w:r>
        <w:rPr>
          <w:b w:val="0"/>
          <w:bCs/>
          <w:color w:val="auto"/>
          <w:sz w:val="24"/>
          <w:highlight w:val="none"/>
        </w:rPr>
        <w:t xml:space="preserve">以便评审。</w:t>
      </w:r>
      <w:r/>
    </w:p>
    <w:p>
      <w:pPr>
        <w:ind w:left="0" w:right="0" w:firstLine="482"/>
        <w:jc w:val="left"/>
        <w:keepLines w:val="0"/>
        <w:keepNext w:val="0"/>
        <w:pageBreakBefore w:val="0"/>
        <w:spacing w:after="200" w:line="360" w:lineRule="auto"/>
        <w:widowControl w:val="off"/>
        <w:tabs>
          <w:tab w:val="left" w:pos="525" w:leader="none"/>
          <w:tab w:val="left" w:pos="945" w:leader="none"/>
        </w:tabs>
        <w:rPr>
          <w:rFonts w:hint="eastAsia" w:ascii="宋体" w:hAnsi="宋体"/>
          <w:b/>
          <w:color w:val="auto"/>
          <w:sz w:val="24"/>
          <w:szCs w:val="21"/>
          <w:highlight w:val="none"/>
          <w:lang w:val="en-US" w:eastAsia="zh-CN"/>
        </w:rPr>
      </w:pPr>
      <w:r>
        <w:rPr>
          <w:rFonts w:hint="eastAsia" w:ascii="宋体" w:hAnsi="宋体" w:eastAsia="宋体" w:cs="宋体"/>
          <w:b/>
          <w:color w:val="auto"/>
          <w:sz w:val="24"/>
          <w:szCs w:val="21"/>
          <w:highlight w:val="none"/>
          <w:u w:val="single"/>
        </w:rPr>
        <w:t xml:space="preserve">特别注意：本项目采用暗标形式。投标人须参照评标办法的相关要求对商务部分和技术文件部分分别进行制作。其中技术文件部分属于暗标，投标人在制作技术文件部分相关内容时不得有体现投标人身份的内容，否则投标无效。</w:t>
      </w:r>
      <w:r/>
    </w:p>
    <w:p>
      <w:pPr>
        <w:ind w:left="0" w:right="0" w:firstLine="482"/>
        <w:jc w:val="left"/>
        <w:keepLines w:val="0"/>
        <w:keepNext w:val="0"/>
        <w:pageBreakBefore w:val="0"/>
        <w:spacing w:after="200" w:line="360" w:lineRule="auto"/>
        <w:widowControl w:val="off"/>
        <w:tabs>
          <w:tab w:val="left" w:pos="525" w:leader="none"/>
          <w:tab w:val="left" w:pos="945" w:leader="none"/>
        </w:tabs>
        <w:rPr>
          <w:rFonts w:hint="eastAsia" w:ascii="宋体" w:hAnsi="宋体" w:eastAsia="宋体" w:cs="宋体"/>
          <w:b/>
          <w:color w:val="auto"/>
          <w:sz w:val="24"/>
          <w:szCs w:val="21"/>
          <w:highlight w:val="none"/>
          <w:lang w:val="en-US" w:eastAsia="zh-CN"/>
        </w:rPr>
      </w:pPr>
      <w:r>
        <w:rPr>
          <w:rFonts w:hint="eastAsia" w:ascii="宋体" w:hAnsi="宋体" w:eastAsia="宋体" w:cs="宋体"/>
          <w:b/>
          <w:color w:val="auto"/>
          <w:sz w:val="24"/>
          <w:szCs w:val="21"/>
          <w:highlight w:val="none"/>
          <w:lang w:val="en-US" w:eastAsia="zh-CN"/>
        </w:rPr>
        <w:t xml:space="preserve">排版要求：A4版面，黑色、四号宋体字，如有必要，可配以图片、表格辅助说明（图片内字体、色彩不作要求，表格中字体为宋体，字号不作限制），暗标文件中均不得体现投标人身份。技术部分无须设置页码，不得设置页眉页脚。</w:t>
      </w:r>
      <w:r/>
    </w:p>
    <w:p>
      <w:pPr>
        <w:ind w:firstLine="482"/>
        <w:jc w:val="left"/>
        <w:spacing w:after="200" w:line="360" w:lineRule="auto"/>
        <w:widowControl/>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不得有体现投标人身份的内容是指：</w:t>
      </w:r>
      <w:r/>
    </w:p>
    <w:p>
      <w:pPr>
        <w:ind w:firstLine="482"/>
        <w:jc w:val="left"/>
        <w:spacing w:after="200" w:line="360" w:lineRule="auto"/>
        <w:widowControl/>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①技术部分不得出现能够体现投标人身份、名称的相关描述、材料、文件等内容；</w:t>
      </w:r>
      <w:r/>
    </w:p>
    <w:p>
      <w:pPr>
        <w:ind w:firstLine="482"/>
        <w:jc w:val="left"/>
        <w:spacing w:after="200" w:line="360" w:lineRule="auto"/>
        <w:widowControl/>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②技术部分不得更改，不得在其中涂改、标注或做任何可以辨认投标人及所属人员身份的名称、印章、商标等标记；</w:t>
      </w:r>
      <w:r/>
    </w:p>
    <w:p>
      <w:pPr>
        <w:ind w:firstLine="482"/>
        <w:jc w:val="left"/>
        <w:spacing w:after="200" w:line="360" w:lineRule="auto"/>
        <w:widowControl/>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③技术部分应当版面整洁、字迹清楚、不许批注或进行底纹、阴影、水印等特殊设置，不得采用任何不符合常规、有别于其他投标人的特殊做法；文本部分不得出现底纹、阴影等标记；</w:t>
      </w:r>
      <w:r/>
    </w:p>
    <w:p>
      <w:pPr>
        <w:ind w:firstLine="482"/>
        <w:jc w:val="left"/>
        <w:spacing w:after="200" w:line="360" w:lineRule="auto"/>
        <w:widowControl/>
        <w:rPr>
          <w:rFonts w:hint="eastAsia" w:ascii="宋体" w:hAnsi="宋体" w:eastAsia="宋体" w:cs="宋体"/>
          <w:b/>
          <w:color w:val="auto"/>
          <w:sz w:val="24"/>
          <w:szCs w:val="21"/>
          <w:highlight w:val="none"/>
          <w:lang w:val="en-US" w:eastAsia="zh-CN"/>
        </w:rPr>
      </w:pPr>
      <w:r>
        <w:rPr>
          <w:rFonts w:hint="eastAsia" w:ascii="宋体" w:hAnsi="宋体" w:eastAsia="宋体" w:cs="宋体"/>
          <w:b/>
          <w:color w:val="auto"/>
          <w:sz w:val="24"/>
          <w:szCs w:val="21"/>
          <w:highlight w:val="none"/>
        </w:rPr>
        <w:t xml:space="preserve">④不得有其他体现投标人身份的内容。</w:t>
      </w:r>
      <w:r/>
    </w:p>
    <w:p>
      <w:pPr>
        <w:rPr>
          <w:rFonts w:ascii="宋体" w:hAnsi="宋体" w:eastAsia="宋体" w:cs="宋体"/>
          <w:b/>
          <w:color w:val="auto"/>
          <w:sz w:val="28"/>
          <w:szCs w:val="28"/>
          <w:highlight w:val="none"/>
        </w:rPr>
      </w:pPr>
      <w:r>
        <w:rPr>
          <w:rFonts w:ascii="宋体" w:hAnsi="宋体" w:eastAsia="宋体" w:cs="宋体"/>
          <w:b/>
          <w:color w:val="auto"/>
          <w:sz w:val="28"/>
          <w:szCs w:val="28"/>
          <w:highlight w:val="none"/>
        </w:rPr>
      </w:r>
      <w:r/>
    </w:p>
    <w:sectPr>
      <w:footerReference w:type="default" r:id="rId18"/>
      <w:footnotePr/>
      <w:endnotePr/>
      <w:type w:val="nextPage"/>
      <w:pgSz w:w="11906" w:h="16838" w:orient="portrait"/>
      <w:pgMar w:top="1417" w:right="1417" w:bottom="1417" w:left="1417" w:header="624"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华文新魏">
    <w:panose1 w:val="02010800040101010101"/>
  </w:font>
  <w:font w:name="Symbol">
    <w:panose1 w:val="05050102010706020507"/>
  </w:font>
  <w:font w:name="Wingdings">
    <w:panose1 w:val="05000000000000000000"/>
  </w:font>
  <w:font w:name="仿宋">
    <w:panose1 w:val="02010609060101010101"/>
  </w:font>
  <w:font w:name="方正黑体_GBK">
    <w:panose1 w:val="020B0503020202020204"/>
  </w:font>
  <w:font w:name="Courier New">
    <w:panose1 w:val="02070309020205020404"/>
  </w:font>
  <w:font w:name="Tahoma">
    <w:panose1 w:val="020B0604030504040204"/>
  </w:font>
  <w:font w:name="楷体_GB2312">
    <w:panose1 w:val="02010609060101010101"/>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Arial">
    <w:panose1 w:val="020B0604020202020204"/>
  </w:font>
  <w:font w:name="Calibri">
    <w:panose1 w:val="020F0502020204030204"/>
  </w:font>
  <w:font w:name="微软雅黑">
    <w:panose1 w:val="020B0503020204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rPr>
        <w:rStyle w:val="914"/>
      </w:rPr>
      <w:framePr w:wrap="around" w:vAnchor="text" w:hAnchor="margin" w:xAlign="center" w:y="1"/>
    </w:pPr>
    <w:r>
      <w:rPr>
        <w:rStyle w:val="914"/>
      </w:rPr>
      <w:fldChar w:fldCharType="begin"/>
    </w:r>
    <w:r>
      <w:rPr>
        <w:rStyle w:val="914"/>
      </w:rPr>
      <w:instrText xml:space="preserve">PAGE  </w:instrText>
    </w:r>
    <w:r>
      <w:rPr>
        <w:rStyle w:val="914"/>
      </w:rPr>
      <w:fldChar w:fldCharType="separate"/>
    </w:r>
    <w:r>
      <w:rPr>
        <w:rStyle w:val="914"/>
      </w:rPr>
      <w:t xml:space="preserve">1</w:t>
    </w:r>
    <w:r>
      <w:rPr>
        <w:rStyle w:val="914"/>
      </w:rPr>
      <w:fldChar w:fldCharType="end"/>
    </w:r>
    <w:r/>
  </w:p>
  <w:p>
    <w:pPr>
      <w:pStyle w:val="883"/>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jc w:val="center"/>
    </w:pPr>
    <w:fldSimple w:instr="PAGE \* MERGEFORMAT">
      <w:r>
        <w:t xml:space="preserve">1</w:t>
      </w:r>
    </w:fldSimple>
    <w:r/>
    <w:r/>
  </w:p>
  <w:p>
    <w:pPr>
      <w:pStyle w:val="813"/>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jc w:val="center"/>
    </w:pPr>
    <w:fldSimple w:instr="PAGE \* MERGEFORMAT">
      <w:r>
        <w:t xml:space="preserve">1</w:t>
      </w:r>
    </w:fldSimple>
    <w:r/>
    <w:r/>
  </w:p>
  <w:p>
    <w:pPr>
      <w:pStyle w:val="813"/>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jc w:val="center"/>
    </w:pPr>
    <w:fldSimple w:instr="PAGE \* MERGEFORMAT">
      <w:r>
        <w:t xml:space="preserve">1</w:t>
      </w:r>
    </w:fldSimple>
    <w:r/>
    <w:r/>
  </w:p>
  <w:p>
    <w:pPr>
      <w:pStyle w:val="81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jc w:val="both"/>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7"/>
      <w:jc w:val="both"/>
      <w:rPr>
        <w:rFonts w:eastAsia="华文新魏"/>
        <w:sz w:val="21"/>
      </w:rPr>
      <w:pBdr>
        <w:bottom w:val="none" w:color="000000" w:sz="0" w:space="1"/>
      </w:pBdr>
    </w:pPr>
    <w:r>
      <w:rPr>
        <w:rFonts w:hint="eastAsia" w:eastAsia="华文新魏"/>
        <w:sz w:val="21"/>
      </w:rPr>
      <w:t xml:space="preserve">  </w:t>
    </w:r>
    <w:r>
      <w:rPr>
        <w:rFonts w:hint="eastAsia"/>
      </w:rPr>
      <w:t xml:space="preserve">          </w:t>
    </w:r>
    <w:r>
      <w:rPr>
        <w:rFonts w:hint="eastAsia" w:eastAsia="华文新魏"/>
        <w:sz w:val="21"/>
      </w:rPr>
      <w:t xml:space="preserve">                        </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7"/>
      <w:jc w:val="both"/>
      <w:rPr>
        <w:rFonts w:eastAsia="华文新魏"/>
        <w:sz w:val="21"/>
      </w:rPr>
      <w:pBdr>
        <w:bottom w:val="none" w:color="000000" w:sz="0" w:space="1"/>
      </w:pBdr>
    </w:pPr>
    <w:r>
      <w:rPr>
        <w:rFonts w:hint="eastAsia" w:eastAsia="华文新魏"/>
        <w:sz w:val="21"/>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ind w:left="-62"/>
      </w:pPr>
      <w:rPr>
        <w:rFonts w:hint="eastAsia"/>
      </w:rPr>
    </w:lvl>
    <w:lvl w:ilvl="1">
      <w:start w:val="1"/>
      <w:numFmt w:val="bullet"/>
      <w:isLgl w:val="false"/>
      <w:suff w:val="tab"/>
      <w:lvlText w:val="o"/>
      <w:lvlJc w:val="left"/>
      <w:pPr>
        <w:ind w:left="1378" w:hanging="360"/>
      </w:pPr>
      <w:rPr>
        <w:rFonts w:hint="default" w:ascii="Courier New" w:hAnsi="Courier New" w:eastAsia="Courier New" w:cs="Courier New"/>
      </w:rPr>
    </w:lvl>
    <w:lvl w:ilvl="2">
      <w:start w:val="1"/>
      <w:numFmt w:val="bullet"/>
      <w:isLgl w:val="false"/>
      <w:suff w:val="tab"/>
      <w:lvlText w:val="§"/>
      <w:lvlJc w:val="left"/>
      <w:pPr>
        <w:ind w:left="2098" w:hanging="360"/>
      </w:pPr>
      <w:rPr>
        <w:rFonts w:hint="default" w:ascii="Wingdings" w:hAnsi="Wingdings" w:eastAsia="Wingdings" w:cs="Wingdings"/>
      </w:rPr>
    </w:lvl>
    <w:lvl w:ilvl="3">
      <w:start w:val="1"/>
      <w:numFmt w:val="bullet"/>
      <w:isLgl w:val="false"/>
      <w:suff w:val="tab"/>
      <w:lvlText w:val="·"/>
      <w:lvlJc w:val="left"/>
      <w:pPr>
        <w:ind w:left="2818" w:hanging="360"/>
      </w:pPr>
      <w:rPr>
        <w:rFonts w:hint="default" w:ascii="Symbol" w:hAnsi="Symbol" w:eastAsia="Symbol" w:cs="Symbol"/>
      </w:rPr>
    </w:lvl>
    <w:lvl w:ilvl="4">
      <w:start w:val="1"/>
      <w:numFmt w:val="bullet"/>
      <w:isLgl w:val="false"/>
      <w:suff w:val="tab"/>
      <w:lvlText w:val="o"/>
      <w:lvlJc w:val="left"/>
      <w:pPr>
        <w:ind w:left="3538" w:hanging="360"/>
      </w:pPr>
      <w:rPr>
        <w:rFonts w:hint="default" w:ascii="Courier New" w:hAnsi="Courier New" w:eastAsia="Courier New" w:cs="Courier New"/>
      </w:rPr>
    </w:lvl>
    <w:lvl w:ilvl="5">
      <w:start w:val="1"/>
      <w:numFmt w:val="bullet"/>
      <w:isLgl w:val="false"/>
      <w:suff w:val="tab"/>
      <w:lvlText w:val="§"/>
      <w:lvlJc w:val="left"/>
      <w:pPr>
        <w:ind w:left="4258" w:hanging="360"/>
      </w:pPr>
      <w:rPr>
        <w:rFonts w:hint="default" w:ascii="Wingdings" w:hAnsi="Wingdings" w:eastAsia="Wingdings" w:cs="Wingdings"/>
      </w:rPr>
    </w:lvl>
    <w:lvl w:ilvl="6">
      <w:start w:val="1"/>
      <w:numFmt w:val="bullet"/>
      <w:isLgl w:val="false"/>
      <w:suff w:val="tab"/>
      <w:lvlText w:val="·"/>
      <w:lvlJc w:val="left"/>
      <w:pPr>
        <w:ind w:left="4978" w:hanging="360"/>
      </w:pPr>
      <w:rPr>
        <w:rFonts w:hint="default" w:ascii="Symbol" w:hAnsi="Symbol" w:eastAsia="Symbol" w:cs="Symbol"/>
      </w:rPr>
    </w:lvl>
    <w:lvl w:ilvl="7">
      <w:start w:val="1"/>
      <w:numFmt w:val="bullet"/>
      <w:isLgl w:val="false"/>
      <w:suff w:val="tab"/>
      <w:lvlText w:val="o"/>
      <w:lvlJc w:val="left"/>
      <w:pPr>
        <w:ind w:left="5698" w:hanging="360"/>
      </w:pPr>
      <w:rPr>
        <w:rFonts w:hint="default" w:ascii="Courier New" w:hAnsi="Courier New" w:eastAsia="Courier New" w:cs="Courier New"/>
      </w:rPr>
    </w:lvl>
    <w:lvl w:ilvl="8">
      <w:start w:val="1"/>
      <w:numFmt w:val="bullet"/>
      <w:isLgl w:val="false"/>
      <w:suff w:val="tab"/>
      <w:lvlText w:val="§"/>
      <w:lvlJc w:val="left"/>
      <w:pPr>
        <w:ind w:left="6418"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234"/>
      <w:isLgl w:val="false"/>
      <w:suff w:val="nothing"/>
      <w:lvlText w:val="%1."/>
      <w:lvlJc w:val="left"/>
      <w:pPr>
        <w:ind w:left="709" w:hanging="709"/>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upperLetter"/>
      <w:pStyle w:val="122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japaneseCounting"/>
      <w:pStyle w:val="978"/>
      <w:isLgl w:val="false"/>
      <w:suff w:val="tab"/>
      <w:lvlText w:val="（%1)"/>
      <w:lvlJc w:val="left"/>
      <w:pPr>
        <w:ind w:left="840" w:hanging="720"/>
      </w:pPr>
    </w:lvl>
    <w:lvl w:ilvl="1">
      <w:start w:val="1"/>
      <w:numFmt w:val="lowerLetter"/>
      <w:isLgl w:val="false"/>
      <w:suff w:val="tab"/>
      <w:lvlText w:val="%2)"/>
      <w:lvlJc w:val="left"/>
      <w:pPr>
        <w:ind w:left="960" w:hanging="420"/>
      </w:pPr>
    </w:lvl>
    <w:lvl w:ilvl="2">
      <w:start w:val="1"/>
      <w:numFmt w:val="lowerRoman"/>
      <w:isLgl w:val="false"/>
      <w:suff w:val="tab"/>
      <w:lvlText w:val="%3."/>
      <w:lvlJc w:val="right"/>
      <w:pPr>
        <w:ind w:left="1380" w:hanging="420"/>
      </w:pPr>
    </w:lvl>
    <w:lvl w:ilvl="3">
      <w:start w:val="1"/>
      <w:numFmt w:val="decimal"/>
      <w:isLgl w:val="false"/>
      <w:suff w:val="tab"/>
      <w:lvlText w:val="%4."/>
      <w:lvlJc w:val="left"/>
      <w:pPr>
        <w:ind w:left="1800" w:hanging="420"/>
      </w:pPr>
    </w:lvl>
    <w:lvl w:ilvl="4">
      <w:start w:val="1"/>
      <w:numFmt w:val="lowerLetter"/>
      <w:isLgl w:val="false"/>
      <w:suff w:val="tab"/>
      <w:lvlText w:val="%5)"/>
      <w:lvlJc w:val="left"/>
      <w:pPr>
        <w:ind w:left="2220" w:hanging="420"/>
      </w:pPr>
    </w:lvl>
    <w:lvl w:ilvl="5">
      <w:start w:val="1"/>
      <w:numFmt w:val="lowerRoman"/>
      <w:isLgl w:val="false"/>
      <w:suff w:val="tab"/>
      <w:lvlText w:val="%6."/>
      <w:lvlJc w:val="right"/>
      <w:pPr>
        <w:ind w:left="2640" w:hanging="420"/>
      </w:pPr>
    </w:lvl>
    <w:lvl w:ilvl="6">
      <w:start w:val="1"/>
      <w:numFmt w:val="decimal"/>
      <w:isLgl w:val="false"/>
      <w:suff w:val="tab"/>
      <w:lvlText w:val="%7."/>
      <w:lvlJc w:val="left"/>
      <w:pPr>
        <w:ind w:left="3060" w:hanging="420"/>
      </w:pPr>
    </w:lvl>
    <w:lvl w:ilvl="7">
      <w:start w:val="1"/>
      <w:numFmt w:val="lowerLetter"/>
      <w:isLgl w:val="false"/>
      <w:suff w:val="tab"/>
      <w:lvlText w:val="%8)"/>
      <w:lvlJc w:val="left"/>
      <w:pPr>
        <w:ind w:left="3480" w:hanging="420"/>
      </w:pPr>
    </w:lvl>
    <w:lvl w:ilvl="8">
      <w:start w:val="1"/>
      <w:numFmt w:val="lowerRoman"/>
      <w:isLgl w:val="false"/>
      <w:suff w:val="tab"/>
      <w:lvlText w:val="%9."/>
      <w:lvlJc w:val="right"/>
      <w:pPr>
        <w:ind w:left="3900" w:hanging="420"/>
      </w:p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
      <w:numFmt w:val="upperLetter"/>
      <w:pStyle w:val="842"/>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8">
    <w:multiLevelType w:val="hybridMultilevel"/>
    <w:lvl w:ilvl="0">
      <w:start w:val="1"/>
      <w:numFmt w:val="japaneseCounting"/>
      <w:isLgl w:val="false"/>
      <w:suff w:val="tab"/>
      <w:lvlText w:val="%1、"/>
      <w:lvlJc w:val="left"/>
      <w:pPr>
        <w:ind w:left="450" w:hanging="450"/>
        <w:tabs>
          <w:tab w:val="left" w:pos="45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9">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1"/>
      <w:numFmt w:val="japaneseCounting"/>
      <w:isLgl w:val="false"/>
      <w:suff w:val="tab"/>
      <w:lvlText w:val="%1、"/>
      <w:lvlJc w:val="left"/>
      <w:pPr>
        <w:ind w:left="447"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735" w:hanging="420"/>
        <w:tabs>
          <w:tab w:val="left" w:pos="840" w:leader="none"/>
        </w:tabs>
      </w:pPr>
      <w:rPr>
        <w:rFonts w:cs="Times New Roman"/>
      </w:rPr>
    </w:lvl>
    <w:lvl w:ilvl="2">
      <w:start w:val="10"/>
      <w:numFmt w:val="decimal"/>
      <w:isLgl w:val="false"/>
      <w:suff w:val="tab"/>
      <w:lvlText w:val="%3."/>
      <w:lvlJc w:val="left"/>
      <w:pPr>
        <w:ind w:left="1095" w:hanging="360"/>
        <w:tabs>
          <w:tab w:val="left" w:pos="1200" w:leader="none"/>
        </w:tabs>
      </w:pPr>
      <w:rPr>
        <w:rFonts w:cs="Times New Roman"/>
      </w:rPr>
    </w:lvl>
    <w:lvl w:ilvl="3">
      <w:start w:val="1"/>
      <w:numFmt w:val="decimal"/>
      <w:isLgl w:val="false"/>
      <w:suff w:val="tab"/>
      <w:lvlText w:val="%4."/>
      <w:lvlJc w:val="left"/>
      <w:pPr>
        <w:ind w:left="1575" w:hanging="420"/>
        <w:tabs>
          <w:tab w:val="left" w:pos="1680" w:leader="none"/>
        </w:tabs>
      </w:pPr>
      <w:rPr>
        <w:rFonts w:cs="Times New Roman"/>
      </w:rPr>
    </w:lvl>
    <w:lvl w:ilvl="4">
      <w:start w:val="1"/>
      <w:numFmt w:val="lowerLetter"/>
      <w:isLgl w:val="false"/>
      <w:suff w:val="tab"/>
      <w:lvlText w:val="%5)"/>
      <w:lvlJc w:val="left"/>
      <w:pPr>
        <w:ind w:left="1995" w:hanging="420"/>
        <w:tabs>
          <w:tab w:val="left" w:pos="2100" w:leader="none"/>
        </w:tabs>
      </w:pPr>
      <w:rPr>
        <w:rFonts w:cs="Times New Roman"/>
      </w:rPr>
    </w:lvl>
    <w:lvl w:ilvl="5">
      <w:start w:val="1"/>
      <w:numFmt w:val="lowerRoman"/>
      <w:isLgl w:val="false"/>
      <w:suff w:val="tab"/>
      <w:lvlText w:val="%6."/>
      <w:lvlJc w:val="right"/>
      <w:pPr>
        <w:ind w:left="2415" w:hanging="420"/>
        <w:tabs>
          <w:tab w:val="left" w:pos="2520" w:leader="none"/>
        </w:tabs>
      </w:pPr>
      <w:rPr>
        <w:rFonts w:cs="Times New Roman"/>
      </w:rPr>
    </w:lvl>
    <w:lvl w:ilvl="6">
      <w:start w:val="1"/>
      <w:numFmt w:val="decimal"/>
      <w:isLgl w:val="false"/>
      <w:suff w:val="tab"/>
      <w:lvlText w:val="%7."/>
      <w:lvlJc w:val="left"/>
      <w:pPr>
        <w:ind w:left="2835" w:hanging="420"/>
        <w:tabs>
          <w:tab w:val="left" w:pos="2940" w:leader="none"/>
        </w:tabs>
      </w:pPr>
      <w:rPr>
        <w:rFonts w:cs="Times New Roman"/>
      </w:rPr>
    </w:lvl>
    <w:lvl w:ilvl="7">
      <w:start w:val="1"/>
      <w:numFmt w:val="lowerLetter"/>
      <w:isLgl w:val="false"/>
      <w:suff w:val="tab"/>
      <w:lvlText w:val="%8)"/>
      <w:lvlJc w:val="left"/>
      <w:pPr>
        <w:ind w:left="3255" w:hanging="420"/>
        <w:tabs>
          <w:tab w:val="left" w:pos="3360" w:leader="none"/>
        </w:tabs>
      </w:pPr>
      <w:rPr>
        <w:rFonts w:cs="Times New Roman"/>
      </w:rPr>
    </w:lvl>
    <w:lvl w:ilvl="8">
      <w:start w:val="1"/>
      <w:numFmt w:val="lowerRoman"/>
      <w:isLgl w:val="false"/>
      <w:suff w:val="tab"/>
      <w:lvlText w:val="%9."/>
      <w:lvlJc w:val="right"/>
      <w:pPr>
        <w:ind w:left="3675" w:hanging="420"/>
        <w:tabs>
          <w:tab w:val="left" w:pos="3780" w:leader="none"/>
        </w:tabs>
      </w:pPr>
      <w:rPr>
        <w:rFonts w:cs="Times New Roman"/>
      </w:rPr>
    </w:lvl>
  </w:abstractNum>
  <w:abstractNum w:abstractNumId="11">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160"/>
      <w:isLgl w:val="false"/>
      <w:suff w:val="nothing"/>
      <w:lvlText w:val=""/>
      <w:lvlJc w:val="left"/>
      <w:pPr>
        <w:ind w:left="0" w:firstLine="0"/>
      </w:pPr>
      <w:rPr>
        <w:rFonts w:hint="eastAsia"/>
      </w:rPr>
    </w:lvl>
    <w:lvl w:ilvl="6">
      <w:start w:val="1"/>
      <w:numFmt w:val="decimal"/>
      <w:pStyle w:val="1162"/>
      <w:isLgl w:val="false"/>
      <w:suff w:val="nothing"/>
      <w:lvlText w:val=""/>
      <w:lvlJc w:val="left"/>
      <w:pPr>
        <w:ind w:left="0" w:firstLine="0"/>
      </w:pPr>
      <w:rPr>
        <w:rFonts w:hint="eastAsia"/>
      </w:rPr>
    </w:lvl>
    <w:lvl w:ilvl="7">
      <w:start w:val="1"/>
      <w:numFmt w:val="decimal"/>
      <w:pStyle w:val="1164"/>
      <w:isLgl w:val="false"/>
      <w:suff w:val="nothing"/>
      <w:lvlText w:val=""/>
      <w:lvlJc w:val="left"/>
      <w:pPr>
        <w:ind w:left="0" w:firstLine="0"/>
      </w:pPr>
      <w:rPr>
        <w:rFonts w:hint="eastAsia"/>
      </w:rPr>
    </w:lvl>
    <w:lvl w:ilvl="8">
      <w:start w:val="1"/>
      <w:numFmt w:val="decimal"/>
      <w:pStyle w:val="1166"/>
      <w:isLgl w:val="false"/>
      <w:suff w:val="nothing"/>
      <w:lvlText w:val=""/>
      <w:lvlJc w:val="left"/>
      <w:pPr>
        <w:ind w:left="0" w:firstLine="0"/>
      </w:pPr>
      <w:rPr>
        <w:rFonts w:hint="eastAsia"/>
      </w:rPr>
    </w:lvl>
  </w:abstractNum>
  <w:abstractNum w:abstractNumId="13">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4"/>
  </w:num>
  <w:num w:numId="3">
    <w:abstractNumId w:val="12"/>
  </w:num>
  <w:num w:numId="4">
    <w:abstractNumId w:val="3"/>
  </w:num>
  <w:num w:numId="5">
    <w:abstractNumId w:val="2"/>
  </w:num>
  <w:num w:numId="6">
    <w:abstractNumId w:val="9"/>
  </w:num>
  <w:num w:numId="7">
    <w:abstractNumId w:val="11"/>
  </w:num>
  <w:num w:numId="8">
    <w:abstractNumId w:val="1"/>
  </w:num>
  <w:num w:numId="9">
    <w:abstractNumId w:val="13"/>
  </w:num>
  <w:num w:numId="10">
    <w:abstractNumId w:val="8"/>
  </w:num>
  <w:num w:numId="11">
    <w:abstractNumId w:val="0"/>
  </w:num>
  <w:num w:numId="12">
    <w:abstractNumId w:val="5"/>
  </w:num>
  <w:num w:numId="13">
    <w:abstractNumId w:val="10"/>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0" w:default="1">
    <w:name w:val="Normal"/>
    <w:uiPriority w:val="0"/>
    <w:qFormat/>
    <w:pPr>
      <w:jc w:val="both"/>
      <w:widowControl w:val="off"/>
    </w:pPr>
    <w:rPr>
      <w:rFonts w:hint="default" w:ascii="Calibri" w:hAnsi="Calibri" w:eastAsia="Arial" w:cs="Times New Roman"/>
      <w:sz w:val="21"/>
      <w:szCs w:val="22"/>
      <w:lang w:val="en-US" w:eastAsia="zh-CN" w:bidi="ar-SA"/>
    </w:rPr>
  </w:style>
  <w:style w:type="paragraph" w:styleId="791">
    <w:name w:val="Heading 1"/>
    <w:basedOn w:val="790"/>
    <w:next w:val="790"/>
    <w:uiPriority w:val="9"/>
    <w:qFormat/>
    <w:pPr>
      <w:keepLines/>
      <w:keepNext/>
      <w:spacing w:before="480" w:after="200"/>
      <w:outlineLvl w:val="0"/>
    </w:pPr>
    <w:rPr>
      <w:rFonts w:ascii="Arial" w:hAnsi="Arial" w:cs="Arial"/>
      <w:sz w:val="40"/>
      <w:szCs w:val="40"/>
    </w:rPr>
  </w:style>
  <w:style w:type="paragraph" w:styleId="792">
    <w:name w:val="Heading 2"/>
    <w:basedOn w:val="790"/>
    <w:next w:val="790"/>
    <w:uiPriority w:val="9"/>
    <w:unhideWhenUsed/>
    <w:qFormat/>
    <w:pPr>
      <w:keepLines/>
      <w:keepNext/>
      <w:spacing w:before="360" w:after="200"/>
      <w:outlineLvl w:val="1"/>
    </w:pPr>
    <w:rPr>
      <w:rFonts w:ascii="Arial" w:hAnsi="Arial" w:cs="Arial"/>
      <w:sz w:val="34"/>
    </w:rPr>
  </w:style>
  <w:style w:type="paragraph" w:styleId="793">
    <w:name w:val="Heading 3"/>
    <w:basedOn w:val="790"/>
    <w:next w:val="790"/>
    <w:uiPriority w:val="9"/>
    <w:unhideWhenUsed/>
    <w:qFormat/>
    <w:pPr>
      <w:keepLines/>
      <w:keepNext/>
      <w:spacing w:before="320" w:after="200"/>
      <w:outlineLvl w:val="2"/>
    </w:pPr>
    <w:rPr>
      <w:rFonts w:ascii="Arial" w:hAnsi="Arial" w:cs="Arial"/>
      <w:sz w:val="30"/>
      <w:szCs w:val="30"/>
    </w:rPr>
  </w:style>
  <w:style w:type="paragraph" w:styleId="794">
    <w:name w:val="Heading 4"/>
    <w:basedOn w:val="790"/>
    <w:next w:val="790"/>
    <w:uiPriority w:val="9"/>
    <w:unhideWhenUsed/>
    <w:qFormat/>
    <w:pPr>
      <w:keepLines/>
      <w:keepNext/>
      <w:spacing w:before="320" w:after="200"/>
      <w:outlineLvl w:val="3"/>
    </w:pPr>
    <w:rPr>
      <w:rFonts w:ascii="Arial" w:hAnsi="Arial" w:cs="Arial"/>
      <w:b/>
      <w:bCs/>
      <w:sz w:val="26"/>
      <w:szCs w:val="26"/>
    </w:rPr>
  </w:style>
  <w:style w:type="paragraph" w:styleId="795">
    <w:name w:val="Heading 5"/>
    <w:basedOn w:val="790"/>
    <w:next w:val="790"/>
    <w:uiPriority w:val="9"/>
    <w:unhideWhenUsed/>
    <w:qFormat/>
    <w:pPr>
      <w:keepLines/>
      <w:keepNext/>
      <w:spacing w:before="320" w:after="200"/>
      <w:outlineLvl w:val="4"/>
    </w:pPr>
    <w:rPr>
      <w:rFonts w:ascii="Arial" w:hAnsi="Arial" w:cs="Arial"/>
      <w:b/>
      <w:bCs/>
      <w:sz w:val="24"/>
      <w:szCs w:val="24"/>
    </w:rPr>
  </w:style>
  <w:style w:type="paragraph" w:styleId="796">
    <w:name w:val="Heading 6"/>
    <w:basedOn w:val="790"/>
    <w:next w:val="790"/>
    <w:uiPriority w:val="9"/>
    <w:unhideWhenUsed/>
    <w:qFormat/>
    <w:pPr>
      <w:keepLines/>
      <w:keepNext/>
      <w:spacing w:before="320" w:after="200"/>
      <w:outlineLvl w:val="5"/>
    </w:pPr>
    <w:rPr>
      <w:rFonts w:ascii="Arial" w:hAnsi="Arial" w:cs="Arial"/>
      <w:b/>
      <w:bCs/>
      <w:sz w:val="22"/>
    </w:rPr>
  </w:style>
  <w:style w:type="paragraph" w:styleId="797">
    <w:name w:val="Heading 7"/>
    <w:basedOn w:val="790"/>
    <w:next w:val="790"/>
    <w:uiPriority w:val="9"/>
    <w:unhideWhenUsed/>
    <w:qFormat/>
    <w:pPr>
      <w:keepLines/>
      <w:keepNext/>
      <w:spacing w:before="320" w:after="200"/>
      <w:outlineLvl w:val="6"/>
    </w:pPr>
    <w:rPr>
      <w:rFonts w:ascii="Arial" w:hAnsi="Arial" w:cs="Arial"/>
      <w:b/>
      <w:bCs/>
      <w:i/>
      <w:iCs/>
      <w:sz w:val="22"/>
    </w:rPr>
  </w:style>
  <w:style w:type="paragraph" w:styleId="798">
    <w:name w:val="Heading 8"/>
    <w:basedOn w:val="790"/>
    <w:next w:val="790"/>
    <w:uiPriority w:val="9"/>
    <w:unhideWhenUsed/>
    <w:qFormat/>
    <w:pPr>
      <w:keepLines/>
      <w:keepNext/>
      <w:spacing w:before="320" w:after="200"/>
      <w:outlineLvl w:val="7"/>
    </w:pPr>
    <w:rPr>
      <w:rFonts w:ascii="Arial" w:hAnsi="Arial" w:cs="Arial"/>
      <w:i/>
      <w:iCs/>
      <w:sz w:val="22"/>
    </w:rPr>
  </w:style>
  <w:style w:type="paragraph" w:styleId="799">
    <w:name w:val="Heading 9"/>
    <w:basedOn w:val="790"/>
    <w:next w:val="790"/>
    <w:uiPriority w:val="9"/>
    <w:unhideWhenUsed/>
    <w:qFormat/>
    <w:pPr>
      <w:keepLines/>
      <w:keepNext/>
      <w:spacing w:before="320" w:after="200"/>
      <w:outlineLvl w:val="8"/>
    </w:pPr>
    <w:rPr>
      <w:rFonts w:ascii="Arial" w:hAnsi="Arial" w:cs="Arial"/>
      <w:i/>
      <w:iCs/>
      <w:szCs w:val="21"/>
    </w:rPr>
  </w:style>
  <w:style w:type="character" w:styleId="800" w:default="1">
    <w:name w:val="Default Paragraph Font"/>
    <w:uiPriority w:val="1"/>
    <w:semiHidden/>
    <w:unhideWhenUsed/>
    <w:qFormat/>
  </w:style>
  <w:style w:type="table" w:styleId="801" w:default="1">
    <w:name w:val="Normal Table"/>
    <w:uiPriority w:val="99"/>
    <w:semiHidden/>
    <w:unhideWhenUsed/>
    <w:qFormat/>
    <w:tblPr>
      <w:tblCellMar>
        <w:left w:w="108" w:type="dxa"/>
        <w:top w:w="0" w:type="dxa"/>
        <w:right w:w="108" w:type="dxa"/>
        <w:bottom w:w="0" w:type="dxa"/>
      </w:tblCellMar>
    </w:tblPr>
  </w:style>
  <w:style w:type="paragraph" w:styleId="802">
    <w:name w:val="toc 7"/>
    <w:basedOn w:val="790"/>
    <w:next w:val="790"/>
    <w:uiPriority w:val="39"/>
    <w:unhideWhenUsed/>
    <w:qFormat/>
    <w:pPr>
      <w:ind w:left="1701"/>
      <w:spacing w:after="57"/>
    </w:pPr>
  </w:style>
  <w:style w:type="paragraph" w:styleId="803">
    <w:name w:val="Caption"/>
    <w:basedOn w:val="790"/>
    <w:next w:val="79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04">
    <w:name w:val="annotation text"/>
    <w:basedOn w:val="790"/>
    <w:uiPriority w:val="99"/>
    <w:semiHidden/>
    <w:unhideWhenUsed/>
    <w:qFormat/>
    <w:pPr>
      <w:jc w:val="left"/>
    </w:pPr>
  </w:style>
  <w:style w:type="paragraph" w:styleId="805">
    <w:name w:val="Body Text"/>
    <w:basedOn w:val="790"/>
    <w:next w:val="790"/>
    <w:uiPriority w:val="99"/>
    <w:qFormat/>
    <w:rPr>
      <w:rFonts w:ascii="华文中宋" w:hAnsi="Times New Roman" w:eastAsia="华文中宋"/>
      <w:bCs/>
      <w:sz w:val="28"/>
      <w:szCs w:val="20"/>
    </w:rPr>
  </w:style>
  <w:style w:type="paragraph" w:styleId="806">
    <w:name w:val="Body Text Indent"/>
    <w:basedOn w:val="790"/>
    <w:next w:val="807"/>
    <w:uiPriority w:val="99"/>
    <w:qFormat/>
    <w:pPr>
      <w:ind w:firstLine="576"/>
    </w:pPr>
    <w:rPr>
      <w:rFonts w:ascii="Times New Roman" w:hAnsi="Times New Roman" w:eastAsia="宋体"/>
      <w:b/>
      <w:sz w:val="30"/>
      <w:szCs w:val="20"/>
    </w:rPr>
  </w:style>
  <w:style w:type="paragraph" w:styleId="807">
    <w:name w:val="envelope return"/>
    <w:basedOn w:val="790"/>
    <w:uiPriority w:val="99"/>
    <w:unhideWhenUsed/>
    <w:qFormat/>
    <w:rPr>
      <w:rFonts w:ascii="Arial" w:hAnsi="Arial"/>
    </w:rPr>
  </w:style>
  <w:style w:type="paragraph" w:styleId="808">
    <w:name w:val="toc 5"/>
    <w:basedOn w:val="790"/>
    <w:next w:val="790"/>
    <w:uiPriority w:val="39"/>
    <w:unhideWhenUsed/>
    <w:qFormat/>
    <w:pPr>
      <w:ind w:left="1134"/>
      <w:spacing w:after="57"/>
    </w:pPr>
  </w:style>
  <w:style w:type="paragraph" w:styleId="809">
    <w:name w:val="toc 3"/>
    <w:basedOn w:val="790"/>
    <w:next w:val="790"/>
    <w:uiPriority w:val="39"/>
    <w:unhideWhenUsed/>
    <w:qFormat/>
    <w:pPr>
      <w:ind w:left="567"/>
      <w:spacing w:after="57"/>
    </w:pPr>
  </w:style>
  <w:style w:type="paragraph" w:styleId="810">
    <w:name w:val="toc 8"/>
    <w:basedOn w:val="790"/>
    <w:next w:val="790"/>
    <w:uiPriority w:val="39"/>
    <w:unhideWhenUsed/>
    <w:qFormat/>
    <w:pPr>
      <w:ind w:left="1984"/>
      <w:spacing w:after="57"/>
    </w:pPr>
  </w:style>
  <w:style w:type="paragraph" w:styleId="811">
    <w:name w:val="endnote text"/>
    <w:basedOn w:val="790"/>
    <w:uiPriority w:val="99"/>
    <w:semiHidden/>
    <w:unhideWhenUsed/>
    <w:qFormat/>
    <w:rPr>
      <w:sz w:val="20"/>
    </w:rPr>
  </w:style>
  <w:style w:type="paragraph" w:styleId="812">
    <w:name w:val="Balloon Text"/>
    <w:basedOn w:val="790"/>
    <w:link w:val="1262"/>
    <w:uiPriority w:val="99"/>
    <w:semiHidden/>
    <w:unhideWhenUsed/>
    <w:qFormat/>
    <w:rPr>
      <w:sz w:val="18"/>
      <w:szCs w:val="18"/>
    </w:rPr>
  </w:style>
  <w:style w:type="paragraph" w:styleId="813">
    <w:name w:val="Footer"/>
    <w:basedOn w:val="790"/>
    <w:uiPriority w:val="99"/>
    <w:unhideWhenUsed/>
    <w:qFormat/>
    <w:pPr>
      <w:tabs>
        <w:tab w:val="center" w:pos="7143" w:leader="none"/>
        <w:tab w:val="right" w:pos="14287" w:leader="none"/>
      </w:tabs>
    </w:pPr>
  </w:style>
  <w:style w:type="paragraph" w:styleId="814">
    <w:name w:val="Header"/>
    <w:basedOn w:val="790"/>
    <w:uiPriority w:val="99"/>
    <w:unhideWhenUsed/>
    <w:qFormat/>
    <w:pPr>
      <w:tabs>
        <w:tab w:val="center" w:pos="7143" w:leader="none"/>
        <w:tab w:val="right" w:pos="14287" w:leader="none"/>
      </w:tabs>
    </w:pPr>
  </w:style>
  <w:style w:type="paragraph" w:styleId="815">
    <w:name w:val="toc 1"/>
    <w:basedOn w:val="790"/>
    <w:next w:val="790"/>
    <w:uiPriority w:val="39"/>
    <w:unhideWhenUsed/>
    <w:qFormat/>
    <w:pPr>
      <w:spacing w:after="57"/>
    </w:pPr>
  </w:style>
  <w:style w:type="paragraph" w:styleId="816">
    <w:name w:val="toc 4"/>
    <w:basedOn w:val="790"/>
    <w:next w:val="790"/>
    <w:uiPriority w:val="39"/>
    <w:unhideWhenUsed/>
    <w:qFormat/>
    <w:pPr>
      <w:ind w:left="850"/>
      <w:spacing w:after="57"/>
    </w:pPr>
  </w:style>
  <w:style w:type="paragraph" w:styleId="817">
    <w:name w:val="Subtitle"/>
    <w:basedOn w:val="790"/>
    <w:next w:val="790"/>
    <w:uiPriority w:val="11"/>
    <w:qFormat/>
    <w:pPr>
      <w:spacing w:before="200" w:after="200"/>
    </w:pPr>
    <w:rPr>
      <w:sz w:val="24"/>
      <w:szCs w:val="24"/>
    </w:rPr>
  </w:style>
  <w:style w:type="paragraph" w:styleId="818">
    <w:name w:val="List"/>
    <w:basedOn w:val="790"/>
    <w:uiPriority w:val="0"/>
    <w:qFormat/>
    <w:pPr>
      <w:ind w:left="360" w:hanging="360"/>
      <w:spacing w:after="20" w:line="288" w:lineRule="auto"/>
      <w:tabs>
        <w:tab w:val="left" w:pos="360" w:leader="none"/>
      </w:tabs>
    </w:pPr>
    <w:rPr>
      <w:szCs w:val="20"/>
      <w:lang w:val="en-GB"/>
    </w:rPr>
  </w:style>
  <w:style w:type="paragraph" w:styleId="819">
    <w:name w:val="footnote text"/>
    <w:basedOn w:val="790"/>
    <w:uiPriority w:val="99"/>
    <w:semiHidden/>
    <w:unhideWhenUsed/>
    <w:qFormat/>
    <w:pPr>
      <w:spacing w:after="40"/>
    </w:pPr>
    <w:rPr>
      <w:sz w:val="18"/>
    </w:rPr>
  </w:style>
  <w:style w:type="paragraph" w:styleId="820">
    <w:name w:val="toc 6"/>
    <w:basedOn w:val="790"/>
    <w:next w:val="790"/>
    <w:uiPriority w:val="39"/>
    <w:unhideWhenUsed/>
    <w:qFormat/>
    <w:pPr>
      <w:ind w:left="1417"/>
      <w:spacing w:after="57"/>
    </w:pPr>
  </w:style>
  <w:style w:type="paragraph" w:styleId="821">
    <w:name w:val="table of figures"/>
    <w:basedOn w:val="790"/>
    <w:next w:val="790"/>
    <w:uiPriority w:val="99"/>
    <w:unhideWhenUsed/>
    <w:qFormat/>
  </w:style>
  <w:style w:type="paragraph" w:styleId="822">
    <w:name w:val="toc 2"/>
    <w:basedOn w:val="790"/>
    <w:next w:val="790"/>
    <w:uiPriority w:val="39"/>
    <w:unhideWhenUsed/>
    <w:qFormat/>
    <w:pPr>
      <w:ind w:left="283"/>
      <w:spacing w:after="57"/>
    </w:pPr>
  </w:style>
  <w:style w:type="paragraph" w:styleId="823">
    <w:name w:val="toc 9"/>
    <w:basedOn w:val="790"/>
    <w:next w:val="790"/>
    <w:uiPriority w:val="39"/>
    <w:unhideWhenUsed/>
    <w:qFormat/>
    <w:pPr>
      <w:ind w:left="2268"/>
      <w:spacing w:after="57"/>
    </w:pPr>
  </w:style>
  <w:style w:type="paragraph" w:styleId="824">
    <w:name w:val="Normal (Web)"/>
    <w:basedOn w:val="790"/>
    <w:uiPriority w:val="0"/>
    <w:qFormat/>
    <w:pPr>
      <w:ind w:firstLine="420"/>
      <w:jc w:val="left"/>
      <w:spacing w:before="100" w:beforeAutospacing="1" w:after="100" w:afterAutospacing="1" w:line="288" w:lineRule="auto"/>
      <w:widowControl/>
    </w:pPr>
    <w:rPr>
      <w:rFonts w:ascii="宋体" w:hAnsi="宋体"/>
      <w:sz w:val="24"/>
    </w:rPr>
  </w:style>
  <w:style w:type="paragraph" w:styleId="825">
    <w:name w:val="Title"/>
    <w:basedOn w:val="790"/>
    <w:next w:val="790"/>
    <w:uiPriority w:val="10"/>
    <w:qFormat/>
    <w:pPr>
      <w:contextualSpacing/>
      <w:spacing w:before="300" w:after="200"/>
    </w:pPr>
    <w:rPr>
      <w:sz w:val="48"/>
      <w:szCs w:val="48"/>
    </w:rPr>
  </w:style>
  <w:style w:type="paragraph" w:styleId="826">
    <w:name w:val="Body Text First Indent"/>
    <w:basedOn w:val="805"/>
    <w:uiPriority w:val="99"/>
    <w:unhideWhenUsed/>
    <w:qFormat/>
    <w:pPr>
      <w:ind w:firstLine="420"/>
      <w:spacing w:after="120"/>
    </w:pPr>
    <w:rPr>
      <w:rFonts w:ascii="Calibri" w:hAnsi="Calibri" w:eastAsia="宋体"/>
      <w:sz w:val="21"/>
      <w:szCs w:val="22"/>
    </w:rPr>
  </w:style>
  <w:style w:type="paragraph" w:styleId="827">
    <w:name w:val="Body Text First Indent 2"/>
    <w:basedOn w:val="806"/>
    <w:next w:val="790"/>
    <w:uiPriority w:val="99"/>
    <w:semiHidden/>
    <w:unhideWhenUsed/>
    <w:qFormat/>
    <w:pPr>
      <w:ind w:left="420" w:firstLine="420"/>
      <w:spacing w:after="120"/>
    </w:pPr>
    <w:rPr>
      <w:rFonts w:asciiTheme="minorHAnsi" w:hAnsiTheme="minorHAnsi" w:eastAsiaTheme="minorEastAsia" w:cstheme="minorBidi"/>
      <w:b w:val="0"/>
      <w:sz w:val="21"/>
      <w:szCs w:val="22"/>
    </w:rPr>
  </w:style>
  <w:style w:type="table" w:styleId="82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9">
    <w:name w:val="Strong"/>
    <w:basedOn w:val="800"/>
    <w:uiPriority w:val="22"/>
    <w:qFormat/>
    <w:rPr>
      <w:b/>
    </w:rPr>
  </w:style>
  <w:style w:type="character" w:styleId="830">
    <w:name w:val="endnote reference"/>
    <w:uiPriority w:val="99"/>
    <w:semiHidden/>
    <w:unhideWhenUsed/>
    <w:qFormat/>
    <w:rPr>
      <w:vertAlign w:val="superscript"/>
    </w:rPr>
  </w:style>
  <w:style w:type="character" w:styleId="831">
    <w:name w:val="Emphasis"/>
    <w:uiPriority w:val="0"/>
    <w:qFormat/>
    <w:rPr>
      <w:rFonts w:ascii="Times New Roman" w:hAnsi="Times New Roman" w:eastAsia="宋体" w:cs="Times New Roman"/>
      <w:i/>
    </w:rPr>
  </w:style>
  <w:style w:type="character" w:styleId="832">
    <w:name w:val="Hyperlink"/>
    <w:basedOn w:val="800"/>
    <w:uiPriority w:val="99"/>
    <w:unhideWhenUsed/>
    <w:qFormat/>
    <w:rPr>
      <w:color w:val="0000ff" w:themeColor="hyperlink"/>
      <w:u w:val="single"/>
      <w14:textFill>
        <w14:solidFill>
          <w14:schemeClr w14:val="hlink"/>
        </w14:solidFill>
      </w14:textFill>
    </w:rPr>
  </w:style>
  <w:style w:type="character" w:styleId="833">
    <w:name w:val="annotation reference"/>
    <w:basedOn w:val="800"/>
    <w:uiPriority w:val="99"/>
    <w:semiHidden/>
    <w:unhideWhenUsed/>
    <w:qFormat/>
    <w:rPr>
      <w:sz w:val="21"/>
      <w:szCs w:val="21"/>
    </w:rPr>
  </w:style>
  <w:style w:type="character" w:styleId="834">
    <w:name w:val="footnote reference"/>
    <w:uiPriority w:val="99"/>
    <w:unhideWhenUsed/>
    <w:qFormat/>
    <w:rPr>
      <w:vertAlign w:val="superscript"/>
    </w:rPr>
  </w:style>
  <w:style w:type="paragraph" w:styleId="835" w:customStyle="1">
    <w:name w:val="TOC Heading"/>
    <w:uiPriority w:val="39"/>
    <w:unhideWhenUsed/>
    <w:qFormat/>
    <w:rPr>
      <w:rFonts w:hint="default" w:ascii="Times New Roman" w:hAnsi="Times New Roman" w:eastAsia="宋体" w:cs="Times New Roman"/>
    </w:rPr>
  </w:style>
  <w:style w:type="paragraph" w:styleId="836" w:customStyle="1">
    <w:name w:val="标题 111"/>
    <w:basedOn w:val="790"/>
    <w:next w:val="790"/>
    <w:link w:val="849"/>
    <w:uiPriority w:val="9"/>
    <w:qFormat/>
    <w:pPr>
      <w:jc w:val="center"/>
      <w:keepNext/>
      <w:outlineLvl w:val="0"/>
    </w:pPr>
    <w:rPr>
      <w:rFonts w:ascii="楷体_GB2312" w:hAnsi="Times New Roman" w:eastAsia="楷体_GB2312"/>
      <w:b/>
      <w:sz w:val="28"/>
      <w:szCs w:val="20"/>
    </w:rPr>
  </w:style>
  <w:style w:type="paragraph" w:styleId="837" w:customStyle="1">
    <w:name w:val="标题 211"/>
    <w:basedOn w:val="790"/>
    <w:next w:val="790"/>
    <w:link w:val="850"/>
    <w:uiPriority w:val="9"/>
    <w:qFormat/>
    <w:pPr>
      <w:jc w:val="center"/>
      <w:keepNext/>
      <w:outlineLvl w:val="1"/>
    </w:pPr>
    <w:rPr>
      <w:rFonts w:ascii="楷体_GB2312" w:hAnsi="Times New Roman" w:eastAsia="楷体_GB2312"/>
      <w:b/>
      <w:bCs/>
      <w:sz w:val="18"/>
      <w:szCs w:val="20"/>
    </w:rPr>
  </w:style>
  <w:style w:type="paragraph" w:styleId="838" w:customStyle="1">
    <w:name w:val="标题 311"/>
    <w:basedOn w:val="839"/>
    <w:next w:val="790"/>
    <w:link w:val="852"/>
    <w:uiPriority w:val="9"/>
    <w:qFormat/>
    <w:pPr>
      <w:jc w:val="left"/>
      <w:keepNext/>
    </w:pPr>
    <w:rPr>
      <w:rFonts w:ascii="Arial" w:hAnsi="Arial" w:eastAsia="Arial"/>
      <w:bCs/>
      <w:sz w:val="24"/>
      <w:szCs w:val="24"/>
      <w:lang w:eastAsia="zh-CN"/>
    </w:rPr>
  </w:style>
  <w:style w:type="paragraph" w:styleId="839" w:customStyle="1">
    <w:name w:val="Cn Heading3"/>
    <w:basedOn w:val="840"/>
    <w:uiPriority w:val="0"/>
    <w:qFormat/>
    <w:pPr>
      <w:ind w:firstLine="0"/>
      <w:spacing w:line="480" w:lineRule="auto"/>
      <w:outlineLvl w:val="2"/>
    </w:pPr>
    <w:rPr>
      <w:rFonts w:ascii="微软雅黑" w:hAnsi="微软雅黑" w:eastAsia="微软雅黑"/>
      <w:b/>
      <w:sz w:val="28"/>
      <w:szCs w:val="28"/>
      <w:lang w:eastAsia="ja-JP"/>
    </w:rPr>
  </w:style>
  <w:style w:type="paragraph" w:styleId="840" w:customStyle="1">
    <w:name w:val="列出段落1"/>
    <w:basedOn w:val="790"/>
    <w:link w:val="851"/>
    <w:uiPriority w:val="0"/>
    <w:qFormat/>
    <w:pPr>
      <w:ind w:firstLine="420"/>
      <w:spacing w:before="120" w:after="120" w:line="360" w:lineRule="auto"/>
    </w:pPr>
    <w:rPr>
      <w:rFonts w:eastAsia="宋体"/>
      <w:sz w:val="24"/>
    </w:rPr>
  </w:style>
  <w:style w:type="paragraph" w:styleId="841" w:customStyle="1">
    <w:name w:val="标题 411"/>
    <w:basedOn w:val="790"/>
    <w:next w:val="790"/>
    <w:link w:val="853"/>
    <w:uiPriority w:val="9"/>
    <w:qFormat/>
    <w:pPr>
      <w:keepNext/>
      <w:outlineLvl w:val="3"/>
    </w:pPr>
    <w:rPr>
      <w:rFonts w:ascii="Times New Roman" w:hAnsi="Times New Roman" w:eastAsia="楷体_GB2312"/>
      <w:b/>
      <w:bCs/>
      <w:sz w:val="15"/>
      <w:szCs w:val="20"/>
    </w:rPr>
  </w:style>
  <w:style w:type="paragraph" w:styleId="842" w:customStyle="1">
    <w:name w:val="标题 511"/>
    <w:basedOn w:val="790"/>
    <w:next w:val="790"/>
    <w:link w:val="854"/>
    <w:uiPriority w:val="9"/>
    <w:qFormat/>
    <w:pPr>
      <w:numPr>
        <w:ilvl w:val="0"/>
        <w:numId w:val="1"/>
      </w:numPr>
      <w:keepNext/>
      <w:outlineLvl w:val="4"/>
    </w:pPr>
    <w:rPr>
      <w:rFonts w:ascii="楷体_GB2312" w:hAnsi="Times New Roman" w:eastAsia="楷体_GB2312"/>
      <w:bCs/>
      <w:sz w:val="28"/>
      <w:szCs w:val="20"/>
    </w:rPr>
  </w:style>
  <w:style w:type="paragraph" w:styleId="843" w:customStyle="1">
    <w:name w:val="标题 611"/>
    <w:basedOn w:val="790"/>
    <w:next w:val="790"/>
    <w:link w:val="855"/>
    <w:uiPriority w:val="9"/>
    <w:qFormat/>
    <w:pPr>
      <w:keepLines/>
      <w:keepNext/>
      <w:spacing w:before="320" w:after="200"/>
      <w:outlineLvl w:val="5"/>
    </w:pPr>
    <w:rPr>
      <w:rFonts w:ascii="Arial" w:hAnsi="Arial" w:cs="Arial"/>
      <w:b/>
      <w:bCs/>
      <w:sz w:val="22"/>
    </w:rPr>
  </w:style>
  <w:style w:type="paragraph" w:styleId="844" w:customStyle="1">
    <w:name w:val="标题 711"/>
    <w:basedOn w:val="790"/>
    <w:next w:val="790"/>
    <w:link w:val="856"/>
    <w:uiPriority w:val="9"/>
    <w:qFormat/>
    <w:pPr>
      <w:keepLines/>
      <w:keepNext/>
      <w:spacing w:before="320" w:after="200"/>
      <w:outlineLvl w:val="6"/>
    </w:pPr>
    <w:rPr>
      <w:rFonts w:ascii="Arial" w:hAnsi="Arial" w:cs="Arial"/>
      <w:b/>
      <w:bCs/>
      <w:i/>
      <w:iCs/>
      <w:sz w:val="22"/>
    </w:rPr>
  </w:style>
  <w:style w:type="paragraph" w:styleId="845" w:customStyle="1">
    <w:name w:val="标题 811"/>
    <w:basedOn w:val="790"/>
    <w:next w:val="790"/>
    <w:link w:val="857"/>
    <w:uiPriority w:val="9"/>
    <w:qFormat/>
    <w:pPr>
      <w:keepLines/>
      <w:keepNext/>
      <w:spacing w:before="320" w:after="200"/>
      <w:outlineLvl w:val="7"/>
    </w:pPr>
    <w:rPr>
      <w:rFonts w:ascii="Arial" w:hAnsi="Arial" w:cs="Arial"/>
      <w:i/>
      <w:iCs/>
      <w:sz w:val="22"/>
    </w:rPr>
  </w:style>
  <w:style w:type="paragraph" w:styleId="846" w:customStyle="1">
    <w:name w:val="标题 911"/>
    <w:basedOn w:val="790"/>
    <w:next w:val="790"/>
    <w:link w:val="858"/>
    <w:uiPriority w:val="9"/>
    <w:qFormat/>
    <w:pPr>
      <w:keepLines/>
      <w:keepNext/>
      <w:spacing w:before="320" w:after="200"/>
      <w:outlineLvl w:val="8"/>
    </w:pPr>
    <w:rPr>
      <w:rFonts w:ascii="Arial" w:hAnsi="Arial" w:cs="Arial"/>
      <w:i/>
      <w:iCs/>
      <w:szCs w:val="21"/>
    </w:rPr>
  </w:style>
  <w:style w:type="character" w:styleId="847" w:customStyle="1">
    <w:name w:val="默认段落字体11"/>
    <w:uiPriority w:val="1"/>
    <w:unhideWhenUsed/>
    <w:qFormat/>
  </w:style>
  <w:style w:type="table" w:styleId="848" w:customStyle="1">
    <w:name w:val="普通表格11"/>
    <w:uiPriority w:val="99"/>
    <w:unhideWhenUsed/>
    <w:qFormat/>
    <w:tblPr>
      <w:tblCellMar>
        <w:left w:w="0" w:type="dxa"/>
        <w:top w:w="0" w:type="dxa"/>
        <w:right w:w="0" w:type="dxa"/>
        <w:bottom w:w="0" w:type="dxa"/>
      </w:tblCellMar>
    </w:tblPr>
  </w:style>
  <w:style w:type="character" w:styleId="849" w:customStyle="1">
    <w:name w:val="标题 1 Char1"/>
    <w:basedOn w:val="847"/>
    <w:link w:val="836"/>
    <w:uiPriority w:val="9"/>
    <w:qFormat/>
    <w:rPr>
      <w:rFonts w:ascii="楷体_GB2312" w:hAnsi="Times New Roman" w:eastAsia="楷体_GB2312" w:cs="Times New Roman"/>
      <w:b/>
      <w:sz w:val="28"/>
      <w:szCs w:val="20"/>
    </w:rPr>
  </w:style>
  <w:style w:type="character" w:styleId="850" w:customStyle="1">
    <w:name w:val="标题 2 Char1"/>
    <w:basedOn w:val="847"/>
    <w:link w:val="837"/>
    <w:uiPriority w:val="9"/>
    <w:qFormat/>
    <w:rPr>
      <w:rFonts w:ascii="楷体_GB2312" w:hAnsi="Times New Roman" w:eastAsia="楷体_GB2312" w:cs="Times New Roman"/>
      <w:b/>
      <w:bCs/>
      <w:sz w:val="18"/>
      <w:szCs w:val="20"/>
    </w:rPr>
  </w:style>
  <w:style w:type="character" w:styleId="851" w:customStyle="1">
    <w:name w:val="列出段落 Char"/>
    <w:link w:val="840"/>
    <w:uiPriority w:val="0"/>
    <w:qFormat/>
    <w:rPr>
      <w:rFonts w:ascii="Calibri" w:hAnsi="Calibri" w:eastAsia="宋体" w:cs="Times New Roman"/>
      <w:sz w:val="24"/>
      <w:szCs w:val="22"/>
    </w:rPr>
  </w:style>
  <w:style w:type="character" w:styleId="852" w:customStyle="1">
    <w:name w:val="标题 3 Char1"/>
    <w:basedOn w:val="847"/>
    <w:link w:val="838"/>
    <w:uiPriority w:val="9"/>
    <w:qFormat/>
    <w:rPr>
      <w:rFonts w:ascii="Arial" w:hAnsi="Arial"/>
      <w:b/>
      <w:bCs/>
      <w:sz w:val="24"/>
      <w:szCs w:val="24"/>
    </w:rPr>
  </w:style>
  <w:style w:type="character" w:styleId="853" w:customStyle="1">
    <w:name w:val="标题 4 Char1"/>
    <w:basedOn w:val="847"/>
    <w:link w:val="841"/>
    <w:uiPriority w:val="9"/>
    <w:qFormat/>
    <w:rPr>
      <w:rFonts w:ascii="Times New Roman" w:hAnsi="Times New Roman" w:eastAsia="楷体_GB2312" w:cs="Times New Roman"/>
      <w:b/>
      <w:bCs/>
      <w:sz w:val="15"/>
    </w:rPr>
  </w:style>
  <w:style w:type="character" w:styleId="854" w:customStyle="1">
    <w:name w:val="标题 5 Char1"/>
    <w:basedOn w:val="847"/>
    <w:link w:val="842"/>
    <w:uiPriority w:val="9"/>
    <w:qFormat/>
    <w:rPr>
      <w:rFonts w:ascii="楷体_GB2312" w:hAnsi="Times New Roman" w:eastAsia="楷体_GB2312" w:cs="Times New Roman"/>
      <w:bCs/>
      <w:sz w:val="28"/>
    </w:rPr>
  </w:style>
  <w:style w:type="character" w:styleId="855" w:customStyle="1">
    <w:name w:val="标题 6 Char1"/>
    <w:basedOn w:val="847"/>
    <w:link w:val="843"/>
    <w:uiPriority w:val="9"/>
    <w:qFormat/>
    <w:rPr>
      <w:rFonts w:ascii="Arial" w:hAnsi="Arial" w:eastAsia="Arial" w:cs="Arial"/>
      <w:b/>
      <w:bCs/>
      <w:sz w:val="22"/>
      <w:szCs w:val="22"/>
    </w:rPr>
  </w:style>
  <w:style w:type="character" w:styleId="856" w:customStyle="1">
    <w:name w:val="标题 7 Char1"/>
    <w:basedOn w:val="847"/>
    <w:link w:val="844"/>
    <w:uiPriority w:val="9"/>
    <w:qFormat/>
    <w:rPr>
      <w:rFonts w:ascii="Arial" w:hAnsi="Arial" w:eastAsia="Arial" w:cs="Arial"/>
      <w:b/>
      <w:bCs/>
      <w:i/>
      <w:iCs/>
      <w:sz w:val="22"/>
      <w:szCs w:val="22"/>
    </w:rPr>
  </w:style>
  <w:style w:type="character" w:styleId="857" w:customStyle="1">
    <w:name w:val="标题 8 Char1"/>
    <w:basedOn w:val="847"/>
    <w:link w:val="845"/>
    <w:uiPriority w:val="9"/>
    <w:qFormat/>
    <w:rPr>
      <w:rFonts w:ascii="Arial" w:hAnsi="Arial" w:eastAsia="Arial" w:cs="Arial"/>
      <w:i/>
      <w:iCs/>
      <w:sz w:val="22"/>
      <w:szCs w:val="22"/>
    </w:rPr>
  </w:style>
  <w:style w:type="character" w:styleId="858" w:customStyle="1">
    <w:name w:val="标题 9 Char1"/>
    <w:basedOn w:val="847"/>
    <w:link w:val="846"/>
    <w:uiPriority w:val="9"/>
    <w:qFormat/>
    <w:rPr>
      <w:rFonts w:ascii="Arial" w:hAnsi="Arial" w:eastAsia="Arial" w:cs="Arial"/>
      <w:i/>
      <w:iCs/>
      <w:sz w:val="21"/>
      <w:szCs w:val="21"/>
    </w:rPr>
  </w:style>
  <w:style w:type="paragraph" w:styleId="859" w:customStyle="1">
    <w:name w:val="目录 7111"/>
    <w:basedOn w:val="790"/>
    <w:next w:val="790"/>
    <w:uiPriority w:val="39"/>
    <w:unhideWhenUsed/>
    <w:qFormat/>
    <w:pPr>
      <w:ind w:left="1701"/>
      <w:spacing w:after="57"/>
    </w:pPr>
    <w:rPr>
      <w:rFonts w:ascii="Times New Roman" w:hAnsi="Times New Roman" w:eastAsia="宋体"/>
      <w:szCs w:val="21"/>
    </w:rPr>
  </w:style>
  <w:style w:type="paragraph" w:styleId="860" w:customStyle="1">
    <w:name w:val="正文缩进11"/>
    <w:basedOn w:val="790"/>
    <w:uiPriority w:val="99"/>
    <w:qFormat/>
    <w:pPr>
      <w:ind w:firstLine="420"/>
    </w:pPr>
    <w:rPr>
      <w:rFonts w:ascii="Times New Roman" w:hAnsi="Times New Roman" w:eastAsia="宋体"/>
      <w:szCs w:val="20"/>
    </w:rPr>
  </w:style>
  <w:style w:type="paragraph" w:styleId="861" w:customStyle="1">
    <w:name w:val="题注1"/>
    <w:basedOn w:val="790"/>
    <w:next w:val="790"/>
    <w:uiPriority w:val="35"/>
    <w:qFormat/>
    <w:pPr>
      <w:spacing w:line="276" w:lineRule="auto"/>
    </w:pPr>
    <w:rPr>
      <w:rFonts w:ascii="Times New Roman" w:hAnsi="Times New Roman" w:eastAsia="宋体"/>
      <w:b/>
      <w:bCs/>
      <w:color w:val="4f81bd"/>
      <w:sz w:val="18"/>
      <w:szCs w:val="18"/>
    </w:rPr>
  </w:style>
  <w:style w:type="paragraph" w:styleId="862" w:customStyle="1">
    <w:name w:val="文档结构图11"/>
    <w:basedOn w:val="790"/>
    <w:link w:val="863"/>
    <w:uiPriority w:val="99"/>
    <w:semiHidden/>
    <w:qFormat/>
    <w:pPr>
      <w:shd w:val="clear" w:color="auto" w:fill="000080"/>
    </w:pPr>
    <w:rPr>
      <w:rFonts w:ascii="Times New Roman" w:hAnsi="Times New Roman" w:eastAsia="宋体"/>
      <w:sz w:val="20"/>
      <w:szCs w:val="20"/>
    </w:rPr>
  </w:style>
  <w:style w:type="character" w:styleId="863" w:customStyle="1">
    <w:name w:val="文档结构图 Char1"/>
    <w:basedOn w:val="847"/>
    <w:link w:val="862"/>
    <w:uiPriority w:val="99"/>
    <w:semiHidden/>
    <w:qFormat/>
    <w:rPr>
      <w:rFonts w:ascii="Times New Roman" w:hAnsi="Times New Roman" w:eastAsia="宋体" w:cs="Times New Roman"/>
      <w:sz w:val="20"/>
      <w:szCs w:val="20"/>
      <w:shd w:val="clear" w:color="auto" w:fill="000080"/>
    </w:rPr>
  </w:style>
  <w:style w:type="paragraph" w:styleId="864" w:customStyle="1">
    <w:name w:val="批注文字11"/>
    <w:basedOn w:val="790"/>
    <w:link w:val="865"/>
    <w:uiPriority w:val="99"/>
    <w:unhideWhenUsed/>
    <w:qFormat/>
    <w:pPr>
      <w:jc w:val="left"/>
    </w:pPr>
  </w:style>
  <w:style w:type="character" w:styleId="865" w:customStyle="1">
    <w:name w:val="批注文字 Char1"/>
    <w:basedOn w:val="847"/>
    <w:link w:val="864"/>
    <w:uiPriority w:val="99"/>
    <w:semiHidden/>
    <w:qFormat/>
  </w:style>
  <w:style w:type="paragraph" w:styleId="866" w:customStyle="1">
    <w:name w:val="正文文本11"/>
    <w:basedOn w:val="790"/>
    <w:link w:val="867"/>
    <w:uiPriority w:val="99"/>
    <w:qFormat/>
    <w:rPr>
      <w:rFonts w:ascii="华文中宋" w:hAnsi="Times New Roman" w:eastAsia="华文中宋"/>
      <w:bCs/>
      <w:sz w:val="28"/>
      <w:szCs w:val="20"/>
    </w:rPr>
  </w:style>
  <w:style w:type="character" w:styleId="867" w:customStyle="1">
    <w:name w:val="正文文本 Char1"/>
    <w:basedOn w:val="847"/>
    <w:link w:val="866"/>
    <w:uiPriority w:val="99"/>
    <w:qFormat/>
    <w:rPr>
      <w:rFonts w:ascii="华文中宋" w:hAnsi="Times New Roman" w:eastAsia="华文中宋" w:cs="Times New Roman"/>
      <w:bCs/>
      <w:sz w:val="28"/>
      <w:szCs w:val="20"/>
    </w:rPr>
  </w:style>
  <w:style w:type="paragraph" w:styleId="868" w:customStyle="1">
    <w:name w:val="正文文本缩进11"/>
    <w:basedOn w:val="790"/>
    <w:link w:val="869"/>
    <w:uiPriority w:val="99"/>
    <w:qFormat/>
    <w:pPr>
      <w:ind w:firstLine="576"/>
    </w:pPr>
    <w:rPr>
      <w:rFonts w:ascii="Times New Roman" w:hAnsi="Times New Roman" w:eastAsia="宋体"/>
      <w:b/>
      <w:sz w:val="30"/>
      <w:szCs w:val="20"/>
    </w:rPr>
  </w:style>
  <w:style w:type="character" w:styleId="869" w:customStyle="1">
    <w:name w:val="正文文本缩进 Char1"/>
    <w:basedOn w:val="847"/>
    <w:link w:val="868"/>
    <w:uiPriority w:val="99"/>
    <w:qFormat/>
    <w:rPr>
      <w:rFonts w:ascii="Times New Roman" w:hAnsi="Times New Roman" w:eastAsia="宋体" w:cs="Times New Roman"/>
      <w:b/>
      <w:sz w:val="30"/>
      <w:szCs w:val="20"/>
    </w:rPr>
  </w:style>
  <w:style w:type="paragraph" w:styleId="870" w:customStyle="1">
    <w:name w:val="索引 41"/>
    <w:basedOn w:val="790"/>
    <w:next w:val="790"/>
    <w:uiPriority w:val="99"/>
    <w:qFormat/>
    <w:pPr>
      <w:ind w:left="600"/>
    </w:pPr>
    <w:rPr>
      <w:szCs w:val="24"/>
    </w:rPr>
  </w:style>
  <w:style w:type="paragraph" w:styleId="871" w:customStyle="1">
    <w:name w:val="目录 5111"/>
    <w:basedOn w:val="790"/>
    <w:next w:val="790"/>
    <w:uiPriority w:val="39"/>
    <w:unhideWhenUsed/>
    <w:qFormat/>
    <w:pPr>
      <w:ind w:left="1134"/>
      <w:spacing w:after="57"/>
    </w:pPr>
    <w:rPr>
      <w:rFonts w:ascii="Times New Roman" w:hAnsi="Times New Roman" w:eastAsia="宋体"/>
      <w:szCs w:val="21"/>
    </w:rPr>
  </w:style>
  <w:style w:type="paragraph" w:styleId="872" w:customStyle="1">
    <w:name w:val="目录 3111"/>
    <w:basedOn w:val="790"/>
    <w:next w:val="790"/>
    <w:uiPriority w:val="39"/>
    <w:unhideWhenUsed/>
    <w:qFormat/>
    <w:pPr>
      <w:ind w:left="567"/>
      <w:spacing w:after="57"/>
    </w:pPr>
    <w:rPr>
      <w:rFonts w:ascii="Times New Roman" w:hAnsi="Times New Roman" w:eastAsia="宋体"/>
      <w:szCs w:val="21"/>
    </w:rPr>
  </w:style>
  <w:style w:type="paragraph" w:styleId="873" w:customStyle="1">
    <w:name w:val="纯文本11"/>
    <w:basedOn w:val="790"/>
    <w:uiPriority w:val="0"/>
    <w:qFormat/>
    <w:rPr>
      <w:rFonts w:ascii="黑体"/>
      <w:szCs w:val="21"/>
    </w:rPr>
  </w:style>
  <w:style w:type="paragraph" w:styleId="874" w:customStyle="1">
    <w:name w:val="目录 8111"/>
    <w:basedOn w:val="790"/>
    <w:next w:val="790"/>
    <w:uiPriority w:val="39"/>
    <w:unhideWhenUsed/>
    <w:qFormat/>
    <w:pPr>
      <w:ind w:left="1984"/>
      <w:spacing w:after="57"/>
    </w:pPr>
    <w:rPr>
      <w:rFonts w:ascii="Times New Roman" w:hAnsi="Times New Roman" w:eastAsia="宋体"/>
      <w:szCs w:val="21"/>
    </w:rPr>
  </w:style>
  <w:style w:type="paragraph" w:styleId="875" w:customStyle="1">
    <w:name w:val="日期11"/>
    <w:basedOn w:val="790"/>
    <w:next w:val="790"/>
    <w:link w:val="876"/>
    <w:uiPriority w:val="99"/>
    <w:qFormat/>
    <w:rPr>
      <w:rFonts w:ascii="Times New Roman" w:hAnsi="Times New Roman" w:eastAsia="黑体"/>
      <w:b/>
      <w:sz w:val="36"/>
      <w:szCs w:val="20"/>
    </w:rPr>
  </w:style>
  <w:style w:type="character" w:styleId="876" w:customStyle="1">
    <w:name w:val="日期 Char1"/>
    <w:basedOn w:val="847"/>
    <w:link w:val="875"/>
    <w:uiPriority w:val="99"/>
    <w:qFormat/>
    <w:rPr>
      <w:rFonts w:ascii="Times New Roman" w:hAnsi="Times New Roman" w:eastAsia="黑体" w:cs="Times New Roman"/>
      <w:b/>
      <w:sz w:val="36"/>
      <w:szCs w:val="20"/>
    </w:rPr>
  </w:style>
  <w:style w:type="paragraph" w:styleId="877" w:customStyle="1">
    <w:name w:val="正文文本缩进 211"/>
    <w:basedOn w:val="790"/>
    <w:link w:val="878"/>
    <w:uiPriority w:val="99"/>
    <w:qFormat/>
    <w:pPr>
      <w:ind w:left="900"/>
    </w:pPr>
    <w:rPr>
      <w:rFonts w:ascii="楷体_GB2312" w:hAnsi="Times New Roman" w:eastAsia="楷体_GB2312"/>
      <w:b/>
      <w:sz w:val="28"/>
      <w:szCs w:val="20"/>
    </w:rPr>
  </w:style>
  <w:style w:type="character" w:styleId="878" w:customStyle="1">
    <w:name w:val="正文文本缩进 2 Char1"/>
    <w:basedOn w:val="847"/>
    <w:link w:val="877"/>
    <w:uiPriority w:val="99"/>
    <w:qFormat/>
    <w:rPr>
      <w:rFonts w:ascii="楷体_GB2312" w:hAnsi="Times New Roman" w:eastAsia="楷体_GB2312" w:cs="Times New Roman"/>
      <w:b/>
      <w:sz w:val="28"/>
      <w:szCs w:val="20"/>
    </w:rPr>
  </w:style>
  <w:style w:type="paragraph" w:styleId="879" w:customStyle="1">
    <w:name w:val="尾注文本1"/>
    <w:basedOn w:val="790"/>
    <w:link w:val="880"/>
    <w:uiPriority w:val="99"/>
    <w:unhideWhenUsed/>
    <w:qFormat/>
    <w:rPr>
      <w:rFonts w:ascii="Times New Roman" w:hAnsi="Times New Roman" w:eastAsia="宋体"/>
      <w:sz w:val="20"/>
      <w:szCs w:val="21"/>
    </w:rPr>
  </w:style>
  <w:style w:type="character" w:styleId="880" w:customStyle="1">
    <w:name w:val="尾注文本 Char"/>
    <w:basedOn w:val="847"/>
    <w:link w:val="879"/>
    <w:uiPriority w:val="99"/>
    <w:qFormat/>
    <w:rPr>
      <w:rFonts w:ascii="Times New Roman" w:hAnsi="Times New Roman" w:eastAsia="宋体" w:cs="Times New Roman"/>
      <w:szCs w:val="21"/>
    </w:rPr>
  </w:style>
  <w:style w:type="paragraph" w:styleId="881" w:customStyle="1">
    <w:name w:val="批注框文本11"/>
    <w:basedOn w:val="790"/>
    <w:link w:val="882"/>
    <w:uiPriority w:val="99"/>
    <w:unhideWhenUsed/>
    <w:qFormat/>
    <w:rPr>
      <w:rFonts w:ascii="Times New Roman" w:hAnsi="Times New Roman" w:eastAsia="宋体"/>
      <w:sz w:val="18"/>
      <w:szCs w:val="18"/>
    </w:rPr>
  </w:style>
  <w:style w:type="character" w:styleId="882" w:customStyle="1">
    <w:name w:val="批注框文本 Char1"/>
    <w:basedOn w:val="847"/>
    <w:link w:val="881"/>
    <w:uiPriority w:val="99"/>
    <w:semiHidden/>
    <w:qFormat/>
    <w:rPr>
      <w:rFonts w:ascii="Times New Roman" w:hAnsi="Times New Roman" w:eastAsia="宋体" w:cs="Times New Roman"/>
      <w:sz w:val="18"/>
      <w:szCs w:val="18"/>
    </w:rPr>
  </w:style>
  <w:style w:type="paragraph" w:styleId="883" w:customStyle="1">
    <w:name w:val="页脚11"/>
    <w:basedOn w:val="790"/>
    <w:next w:val="884"/>
    <w:link w:val="885"/>
    <w:uiPriority w:val="99"/>
    <w:qFormat/>
    <w:pPr>
      <w:jc w:val="left"/>
      <w:tabs>
        <w:tab w:val="center" w:pos="4153" w:leader="none"/>
        <w:tab w:val="right" w:pos="8306" w:leader="none"/>
      </w:tabs>
    </w:pPr>
    <w:rPr>
      <w:rFonts w:ascii="Times New Roman" w:hAnsi="Times New Roman" w:eastAsia="宋体"/>
      <w:sz w:val="18"/>
      <w:szCs w:val="20"/>
    </w:rPr>
  </w:style>
  <w:style w:type="paragraph" w:styleId="884" w:customStyle="1">
    <w:name w:val="明显引用1"/>
    <w:next w:val="790"/>
    <w:uiPriority w:val="99"/>
    <w:qFormat/>
    <w:pPr>
      <w:ind w:left="950" w:right="950"/>
      <w:jc w:val="center"/>
      <w:spacing w:before="360" w:after="360"/>
    </w:pPr>
    <w:rPr>
      <w:rFonts w:hint="default" w:ascii="Times New Roman" w:hAnsi="Times New Roman" w:eastAsia="宋体" w:cs="Times New Roman"/>
      <w:i/>
      <w:iCs/>
      <w:sz w:val="21"/>
      <w:szCs w:val="21"/>
      <w:lang w:val="en-US" w:eastAsia="zh-CN" w:bidi="ar-SA"/>
    </w:rPr>
  </w:style>
  <w:style w:type="character" w:styleId="885" w:customStyle="1">
    <w:name w:val="页脚 Char1"/>
    <w:basedOn w:val="847"/>
    <w:link w:val="883"/>
    <w:uiPriority w:val="99"/>
    <w:qFormat/>
    <w:rPr>
      <w:rFonts w:ascii="Times New Roman" w:hAnsi="Times New Roman" w:eastAsia="宋体" w:cs="Times New Roman"/>
      <w:sz w:val="18"/>
      <w:szCs w:val="20"/>
    </w:rPr>
  </w:style>
  <w:style w:type="paragraph" w:styleId="886" w:customStyle="1">
    <w:name w:val="页眉11"/>
    <w:basedOn w:val="790"/>
    <w:link w:val="887"/>
    <w:uiPriority w:val="99"/>
    <w:qFormat/>
    <w:pPr>
      <w:jc w:val="center"/>
      <w:tabs>
        <w:tab w:val="center" w:pos="4153" w:leader="none"/>
        <w:tab w:val="right" w:pos="8306" w:leader="none"/>
      </w:tabs>
      <w:pBdr>
        <w:bottom w:val="single" w:color="000000" w:sz="6" w:space="1"/>
      </w:pBdr>
    </w:pPr>
    <w:rPr>
      <w:rFonts w:ascii="Times New Roman" w:hAnsi="Times New Roman" w:eastAsia="宋体"/>
      <w:sz w:val="18"/>
      <w:szCs w:val="20"/>
    </w:rPr>
  </w:style>
  <w:style w:type="character" w:styleId="887" w:customStyle="1">
    <w:name w:val="页眉 Char1"/>
    <w:basedOn w:val="847"/>
    <w:link w:val="886"/>
    <w:uiPriority w:val="99"/>
    <w:qFormat/>
    <w:rPr>
      <w:rFonts w:ascii="Times New Roman" w:hAnsi="Times New Roman" w:eastAsia="宋体" w:cs="Times New Roman"/>
      <w:sz w:val="18"/>
      <w:szCs w:val="20"/>
    </w:rPr>
  </w:style>
  <w:style w:type="paragraph" w:styleId="888" w:customStyle="1">
    <w:name w:val="目录 1112"/>
    <w:basedOn w:val="790"/>
    <w:next w:val="790"/>
    <w:uiPriority w:val="39"/>
    <w:unhideWhenUsed/>
    <w:qFormat/>
    <w:pPr>
      <w:spacing w:after="57"/>
    </w:pPr>
    <w:rPr>
      <w:rFonts w:ascii="Times New Roman" w:hAnsi="Times New Roman" w:eastAsia="宋体"/>
      <w:szCs w:val="21"/>
    </w:rPr>
  </w:style>
  <w:style w:type="paragraph" w:styleId="889" w:customStyle="1">
    <w:name w:val="目录 4111"/>
    <w:basedOn w:val="790"/>
    <w:next w:val="790"/>
    <w:uiPriority w:val="39"/>
    <w:unhideWhenUsed/>
    <w:qFormat/>
    <w:pPr>
      <w:ind w:left="850"/>
      <w:spacing w:after="57"/>
    </w:pPr>
    <w:rPr>
      <w:rFonts w:ascii="Times New Roman" w:hAnsi="Times New Roman" w:eastAsia="宋体"/>
      <w:szCs w:val="21"/>
    </w:rPr>
  </w:style>
  <w:style w:type="paragraph" w:styleId="890" w:customStyle="1">
    <w:name w:val="副标题1"/>
    <w:basedOn w:val="790"/>
    <w:next w:val="790"/>
    <w:link w:val="891"/>
    <w:uiPriority w:val="11"/>
    <w:qFormat/>
    <w:pPr>
      <w:ind w:firstLine="471"/>
      <w:jc w:val="center"/>
      <w:spacing w:before="240" w:after="60" w:line="312" w:lineRule="atLeast"/>
      <w:outlineLvl w:val="1"/>
    </w:pPr>
    <w:rPr>
      <w:rFonts w:ascii="Arial" w:hAnsi="Arial"/>
      <w:b/>
      <w:bCs/>
      <w:sz w:val="32"/>
      <w:szCs w:val="32"/>
    </w:rPr>
  </w:style>
  <w:style w:type="character" w:styleId="891" w:customStyle="1">
    <w:name w:val="副标题 Char"/>
    <w:link w:val="890"/>
    <w:uiPriority w:val="11"/>
    <w:qFormat/>
    <w:rPr>
      <w:rFonts w:ascii="Arial" w:hAnsi="Arial"/>
      <w:b/>
      <w:bCs/>
      <w:sz w:val="32"/>
      <w:szCs w:val="32"/>
    </w:rPr>
  </w:style>
  <w:style w:type="paragraph" w:styleId="892" w:customStyle="1">
    <w:name w:val="列表11"/>
    <w:basedOn w:val="790"/>
    <w:uiPriority w:val="0"/>
    <w:qFormat/>
    <w:pPr>
      <w:ind w:firstLine="480"/>
      <w:spacing w:after="20" w:line="360" w:lineRule="auto"/>
      <w:tabs>
        <w:tab w:val="left" w:pos="420" w:leader="none"/>
      </w:tabs>
    </w:pPr>
    <w:rPr>
      <w:rFonts w:ascii="宋体" w:hAnsi="宋体" w:eastAsia="宋体" w:cs="宋体"/>
      <w:sz w:val="24"/>
      <w:szCs w:val="24"/>
    </w:rPr>
  </w:style>
  <w:style w:type="paragraph" w:styleId="893" w:customStyle="1">
    <w:name w:val="脚注文本1"/>
    <w:basedOn w:val="790"/>
    <w:link w:val="894"/>
    <w:uiPriority w:val="99"/>
    <w:unhideWhenUsed/>
    <w:qFormat/>
    <w:pPr>
      <w:spacing w:after="40"/>
    </w:pPr>
    <w:rPr>
      <w:rFonts w:ascii="Times New Roman" w:hAnsi="Times New Roman" w:eastAsia="宋体"/>
      <w:sz w:val="18"/>
      <w:szCs w:val="21"/>
    </w:rPr>
  </w:style>
  <w:style w:type="character" w:styleId="894" w:customStyle="1">
    <w:name w:val="脚注文本 Char"/>
    <w:basedOn w:val="847"/>
    <w:link w:val="893"/>
    <w:uiPriority w:val="99"/>
    <w:qFormat/>
    <w:rPr>
      <w:rFonts w:ascii="Times New Roman" w:hAnsi="Times New Roman" w:eastAsia="宋体" w:cs="Times New Roman"/>
      <w:sz w:val="18"/>
      <w:szCs w:val="21"/>
    </w:rPr>
  </w:style>
  <w:style w:type="paragraph" w:styleId="895" w:customStyle="1">
    <w:name w:val="目录 6111"/>
    <w:basedOn w:val="790"/>
    <w:next w:val="790"/>
    <w:uiPriority w:val="39"/>
    <w:unhideWhenUsed/>
    <w:qFormat/>
    <w:pPr>
      <w:ind w:left="1417"/>
      <w:spacing w:after="57"/>
    </w:pPr>
    <w:rPr>
      <w:rFonts w:ascii="Times New Roman" w:hAnsi="Times New Roman" w:eastAsia="宋体"/>
      <w:szCs w:val="21"/>
    </w:rPr>
  </w:style>
  <w:style w:type="paragraph" w:styleId="896" w:customStyle="1">
    <w:name w:val="正文文本缩进 311"/>
    <w:basedOn w:val="790"/>
    <w:link w:val="897"/>
    <w:uiPriority w:val="99"/>
    <w:qFormat/>
    <w:pPr>
      <w:ind w:left="359" w:firstLine="359"/>
    </w:pPr>
    <w:rPr>
      <w:rFonts w:ascii="Times New Roman" w:hAnsi="Times New Roman" w:eastAsia="宋体"/>
      <w:sz w:val="20"/>
      <w:szCs w:val="20"/>
    </w:rPr>
  </w:style>
  <w:style w:type="character" w:styleId="897" w:customStyle="1">
    <w:name w:val="正文文本缩进 3 Char1"/>
    <w:basedOn w:val="847"/>
    <w:link w:val="896"/>
    <w:uiPriority w:val="99"/>
    <w:qFormat/>
    <w:rPr>
      <w:rFonts w:ascii="Times New Roman" w:hAnsi="Times New Roman" w:eastAsia="宋体" w:cs="Times New Roman"/>
      <w:sz w:val="20"/>
      <w:szCs w:val="20"/>
    </w:rPr>
  </w:style>
  <w:style w:type="paragraph" w:styleId="898" w:customStyle="1">
    <w:name w:val="图表目录11"/>
    <w:basedOn w:val="790"/>
    <w:next w:val="790"/>
    <w:uiPriority w:val="99"/>
    <w:unhideWhenUsed/>
    <w:qFormat/>
    <w:rPr>
      <w:rFonts w:ascii="Times New Roman" w:hAnsi="Times New Roman" w:eastAsia="宋体"/>
      <w:szCs w:val="21"/>
    </w:rPr>
  </w:style>
  <w:style w:type="paragraph" w:styleId="899" w:customStyle="1">
    <w:name w:val="目录 2111"/>
    <w:basedOn w:val="790"/>
    <w:next w:val="790"/>
    <w:uiPriority w:val="39"/>
    <w:unhideWhenUsed/>
    <w:qFormat/>
    <w:pPr>
      <w:ind w:left="283"/>
      <w:spacing w:after="57"/>
    </w:pPr>
    <w:rPr>
      <w:rFonts w:ascii="Times New Roman" w:hAnsi="Times New Roman" w:eastAsia="宋体"/>
      <w:szCs w:val="21"/>
    </w:rPr>
  </w:style>
  <w:style w:type="paragraph" w:styleId="900" w:customStyle="1">
    <w:name w:val="目录 9111"/>
    <w:basedOn w:val="790"/>
    <w:next w:val="790"/>
    <w:uiPriority w:val="39"/>
    <w:unhideWhenUsed/>
    <w:qFormat/>
    <w:pPr>
      <w:ind w:left="2268"/>
      <w:spacing w:after="57"/>
    </w:pPr>
    <w:rPr>
      <w:rFonts w:ascii="Times New Roman" w:hAnsi="Times New Roman" w:eastAsia="宋体"/>
      <w:szCs w:val="21"/>
    </w:rPr>
  </w:style>
  <w:style w:type="paragraph" w:styleId="901" w:customStyle="1">
    <w:name w:val="正文文本 211"/>
    <w:basedOn w:val="790"/>
    <w:link w:val="902"/>
    <w:uiPriority w:val="99"/>
    <w:qFormat/>
    <w:pPr>
      <w:spacing w:after="120" w:line="480" w:lineRule="auto"/>
    </w:pPr>
    <w:rPr>
      <w:rFonts w:ascii="Times New Roman" w:hAnsi="Times New Roman" w:eastAsia="宋体"/>
      <w:sz w:val="20"/>
      <w:szCs w:val="20"/>
    </w:rPr>
  </w:style>
  <w:style w:type="character" w:styleId="902" w:customStyle="1">
    <w:name w:val="正文文本 2 Char1"/>
    <w:basedOn w:val="847"/>
    <w:link w:val="901"/>
    <w:uiPriority w:val="99"/>
    <w:qFormat/>
    <w:rPr>
      <w:rFonts w:ascii="Times New Roman" w:hAnsi="Times New Roman" w:eastAsia="宋体" w:cs="Times New Roman"/>
      <w:sz w:val="20"/>
      <w:szCs w:val="20"/>
    </w:rPr>
  </w:style>
  <w:style w:type="paragraph" w:styleId="903" w:customStyle="1">
    <w:name w:val="普通(网站)11"/>
    <w:basedOn w:val="790"/>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904" w:customStyle="1">
    <w:name w:val="标题11"/>
    <w:basedOn w:val="790"/>
    <w:next w:val="790"/>
    <w:link w:val="905"/>
    <w:uiPriority w:val="10"/>
    <w:qFormat/>
    <w:pPr>
      <w:contextualSpacing/>
      <w:spacing w:before="300" w:after="200"/>
    </w:pPr>
    <w:rPr>
      <w:rFonts w:ascii="Times New Roman" w:hAnsi="Times New Roman" w:eastAsia="宋体"/>
      <w:sz w:val="48"/>
      <w:szCs w:val="48"/>
    </w:rPr>
  </w:style>
  <w:style w:type="character" w:styleId="905" w:customStyle="1">
    <w:name w:val="标题 Char"/>
    <w:basedOn w:val="847"/>
    <w:link w:val="904"/>
    <w:uiPriority w:val="10"/>
    <w:qFormat/>
    <w:rPr>
      <w:rFonts w:ascii="Times New Roman" w:hAnsi="Times New Roman" w:eastAsia="宋体" w:cs="Times New Roman"/>
      <w:sz w:val="48"/>
      <w:szCs w:val="48"/>
    </w:rPr>
  </w:style>
  <w:style w:type="paragraph" w:styleId="906" w:customStyle="1">
    <w:name w:val="批注主题11"/>
    <w:basedOn w:val="864"/>
    <w:next w:val="864"/>
    <w:link w:val="907"/>
    <w:uiPriority w:val="99"/>
    <w:unhideWhenUsed/>
    <w:qFormat/>
    <w:rPr>
      <w:b/>
      <w:bCs/>
    </w:rPr>
  </w:style>
  <w:style w:type="character" w:styleId="907" w:customStyle="1">
    <w:name w:val="批注主题 Char1"/>
    <w:basedOn w:val="865"/>
    <w:link w:val="906"/>
    <w:uiPriority w:val="99"/>
    <w:semiHidden/>
    <w:qFormat/>
    <w:rPr>
      <w:b/>
      <w:bCs/>
    </w:rPr>
  </w:style>
  <w:style w:type="paragraph" w:styleId="908" w:customStyle="1">
    <w:name w:val="正文首行缩进11"/>
    <w:basedOn w:val="866"/>
    <w:uiPriority w:val="99"/>
    <w:unhideWhenUsed/>
    <w:qFormat/>
    <w:pPr>
      <w:ind w:firstLine="420"/>
      <w:spacing w:after="120"/>
    </w:pPr>
    <w:rPr>
      <w:rFonts w:ascii="Calibri" w:hAnsi="Calibri" w:eastAsia="宋体"/>
      <w:sz w:val="21"/>
      <w:szCs w:val="22"/>
    </w:rPr>
  </w:style>
  <w:style w:type="paragraph" w:styleId="909" w:customStyle="1">
    <w:name w:val="正文首行缩进 211"/>
    <w:basedOn w:val="868"/>
    <w:next w:val="790"/>
    <w:link w:val="910"/>
    <w:uiPriority w:val="99"/>
    <w:unhideWhenUsed/>
    <w:qFormat/>
    <w:pPr>
      <w:ind w:left="420" w:firstLine="420"/>
      <w:spacing w:after="120"/>
    </w:pPr>
    <w:rPr>
      <w:rFonts w:ascii="Calibri" w:hAnsi="Calibri" w:eastAsia="Arial"/>
      <w:b w:val="0"/>
      <w:sz w:val="21"/>
      <w:szCs w:val="22"/>
    </w:rPr>
  </w:style>
  <w:style w:type="character" w:styleId="910" w:customStyle="1">
    <w:name w:val="正文首行缩进 2 Char1"/>
    <w:basedOn w:val="869"/>
    <w:link w:val="909"/>
    <w:uiPriority w:val="99"/>
    <w:semiHidden/>
    <w:qFormat/>
    <w:rPr>
      <w:rFonts w:ascii="Times New Roman" w:hAnsi="Times New Roman" w:eastAsia="宋体" w:cs="Times New Roman"/>
      <w:b w:val="0"/>
      <w:sz w:val="21"/>
      <w:szCs w:val="22"/>
    </w:rPr>
  </w:style>
  <w:style w:type="table" w:styleId="911" w:customStyle="1">
    <w:name w:val="网格型11"/>
    <w:basedOn w:val="848"/>
    <w:uiPriority w:val="59"/>
    <w:qFormat/>
    <w:rPr>
      <w:rFonts w:eastAsia="Times New Roman"/>
    </w:rPr>
    <w:tblPr>
      <w:tblCellMar>
        <w:left w:w="0" w:type="dxa"/>
        <w:top w:w="0" w:type="dxa"/>
        <w:right w:w="0" w:type="dxa"/>
        <w:bottom w:w="0" w:type="dxa"/>
      </w:tblCellMar>
    </w:tblPr>
  </w:style>
  <w:style w:type="character" w:styleId="912" w:customStyle="1">
    <w:name w:val="要点11"/>
    <w:uiPriority w:val="99"/>
    <w:qFormat/>
    <w:rPr>
      <w:rFonts w:cs="Times New Roman"/>
      <w:b/>
      <w:bCs/>
    </w:rPr>
  </w:style>
  <w:style w:type="character" w:styleId="913" w:customStyle="1">
    <w:name w:val="尾注引用1"/>
    <w:uiPriority w:val="99"/>
    <w:unhideWhenUsed/>
    <w:qFormat/>
    <w:rPr>
      <w:vertAlign w:val="superscript"/>
    </w:rPr>
  </w:style>
  <w:style w:type="character" w:styleId="914" w:customStyle="1">
    <w:name w:val="页码11"/>
    <w:uiPriority w:val="99"/>
    <w:qFormat/>
    <w:rPr>
      <w:rFonts w:cs="Times New Roman"/>
    </w:rPr>
  </w:style>
  <w:style w:type="character" w:styleId="915" w:customStyle="1">
    <w:name w:val="已访问的超链接11"/>
    <w:uiPriority w:val="99"/>
    <w:unhideWhenUsed/>
    <w:qFormat/>
    <w:rPr>
      <w:color w:val="800080"/>
      <w:u w:val="single"/>
    </w:rPr>
  </w:style>
  <w:style w:type="character" w:styleId="916" w:customStyle="1">
    <w:name w:val="HTML 打字机11"/>
    <w:uiPriority w:val="99"/>
    <w:qFormat/>
    <w:rPr>
      <w:rFonts w:ascii="宋体" w:hAnsi="宋体" w:eastAsia="宋体" w:cs="宋体"/>
      <w:sz w:val="24"/>
      <w:szCs w:val="24"/>
    </w:rPr>
  </w:style>
  <w:style w:type="character" w:styleId="917" w:customStyle="1">
    <w:name w:val="超链接11"/>
    <w:uiPriority w:val="99"/>
    <w:qFormat/>
    <w:rPr>
      <w:rFonts w:cs="Times New Roman"/>
      <w:color w:val="000000"/>
      <w:u w:val="none"/>
    </w:rPr>
  </w:style>
  <w:style w:type="character" w:styleId="918" w:customStyle="1">
    <w:name w:val="批注引用11"/>
    <w:basedOn w:val="847"/>
    <w:uiPriority w:val="0"/>
    <w:unhideWhenUsed/>
    <w:qFormat/>
    <w:rPr>
      <w:sz w:val="21"/>
      <w:szCs w:val="21"/>
    </w:rPr>
  </w:style>
  <w:style w:type="character" w:styleId="919" w:customStyle="1">
    <w:name w:val="脚注引用1"/>
    <w:uiPriority w:val="99"/>
    <w:unhideWhenUsed/>
    <w:qFormat/>
    <w:rPr>
      <w:vertAlign w:val="superscript"/>
    </w:rPr>
  </w:style>
  <w:style w:type="character" w:styleId="920" w:customStyle="1">
    <w:name w:val="批注引用1"/>
    <w:uiPriority w:val="0"/>
    <w:semiHidden/>
    <w:qFormat/>
    <w:rPr>
      <w:rFonts w:ascii="Calibri" w:hAnsi="Calibri" w:eastAsia="Arial" w:cs="Times New Roman"/>
      <w:sz w:val="21"/>
      <w:szCs w:val="22"/>
    </w:rPr>
  </w:style>
  <w:style w:type="paragraph" w:styleId="921" w:customStyle="1">
    <w:name w:val="段"/>
    <w:next w:val="790"/>
    <w:uiPriority w:val="0"/>
    <w:qFormat/>
    <w:pPr>
      <w:ind w:firstLine="200"/>
      <w:jc w:val="both"/>
    </w:pPr>
    <w:rPr>
      <w:rFonts w:hint="default" w:ascii="宋体" w:hAnsi="Times New Roman" w:eastAsia="宋体" w:cs="Times New Roman"/>
      <w:sz w:val="21"/>
      <w:lang w:val="en-US" w:eastAsia="zh-CN" w:bidi="ar-SA"/>
    </w:rPr>
  </w:style>
  <w:style w:type="paragraph" w:styleId="922" w:customStyle="1">
    <w:name w:val="TOC 标题1"/>
    <w:uiPriority w:val="39"/>
    <w:unhideWhenUsed/>
    <w:qFormat/>
    <w:rPr>
      <w:rFonts w:hint="default" w:ascii="Calibri" w:hAnsi="Calibri" w:eastAsia="Arial" w:cs="Times New Roman"/>
      <w:lang w:val="en-US" w:eastAsia="zh-CN" w:bidi="ar-SA"/>
    </w:rPr>
  </w:style>
  <w:style w:type="paragraph" w:styleId="923" w:customStyle="1">
    <w:name w:val="font5"/>
    <w:basedOn w:val="790"/>
    <w:uiPriority w:val="0"/>
    <w:qFormat/>
    <w:pPr>
      <w:jc w:val="left"/>
      <w:spacing w:before="100" w:beforeAutospacing="1" w:after="100" w:afterAutospacing="1"/>
      <w:widowControl/>
    </w:pPr>
    <w:rPr>
      <w:rFonts w:ascii="宋体" w:hAnsi="宋体" w:eastAsia="宋体"/>
      <w:sz w:val="18"/>
      <w:szCs w:val="18"/>
    </w:rPr>
  </w:style>
  <w:style w:type="paragraph" w:styleId="924" w:customStyle="1">
    <w:name w:val="font6"/>
    <w:basedOn w:val="790"/>
    <w:uiPriority w:val="0"/>
    <w:qFormat/>
    <w:pPr>
      <w:jc w:val="left"/>
      <w:spacing w:before="100" w:beforeAutospacing="1" w:after="100" w:afterAutospacing="1"/>
      <w:widowControl/>
    </w:pPr>
    <w:rPr>
      <w:rFonts w:ascii="宋体" w:hAnsi="宋体" w:eastAsia="宋体"/>
      <w:b/>
      <w:bCs/>
      <w:sz w:val="20"/>
      <w:szCs w:val="20"/>
    </w:rPr>
  </w:style>
  <w:style w:type="paragraph" w:styleId="925" w:customStyle="1">
    <w:name w:val="font7"/>
    <w:basedOn w:val="790"/>
    <w:uiPriority w:val="0"/>
    <w:qFormat/>
    <w:pPr>
      <w:jc w:val="left"/>
      <w:spacing w:before="100" w:beforeAutospacing="1" w:after="100" w:afterAutospacing="1"/>
      <w:widowControl/>
    </w:pPr>
    <w:rPr>
      <w:rFonts w:ascii="Times New Roman" w:hAnsi="Times New Roman" w:eastAsia="宋体"/>
      <w:b/>
      <w:bCs/>
      <w:i/>
      <w:iCs/>
      <w:sz w:val="20"/>
      <w:szCs w:val="20"/>
    </w:rPr>
  </w:style>
  <w:style w:type="paragraph" w:styleId="926" w:customStyle="1">
    <w:name w:val="font8"/>
    <w:basedOn w:val="790"/>
    <w:uiPriority w:val="99"/>
    <w:qFormat/>
    <w:pPr>
      <w:jc w:val="left"/>
      <w:spacing w:before="100" w:beforeAutospacing="1" w:after="100" w:afterAutospacing="1"/>
      <w:widowControl/>
    </w:pPr>
    <w:rPr>
      <w:rFonts w:ascii="宋体" w:hAnsi="宋体" w:eastAsia="宋体"/>
      <w:b/>
      <w:bCs/>
      <w:i/>
      <w:iCs/>
      <w:sz w:val="20"/>
      <w:szCs w:val="20"/>
    </w:rPr>
  </w:style>
  <w:style w:type="paragraph" w:styleId="927" w:customStyle="1">
    <w:name w:val="font9"/>
    <w:basedOn w:val="790"/>
    <w:uiPriority w:val="99"/>
    <w:qFormat/>
    <w:pPr>
      <w:jc w:val="left"/>
      <w:spacing w:before="100" w:beforeAutospacing="1" w:after="100" w:afterAutospacing="1"/>
      <w:widowControl/>
    </w:pPr>
    <w:rPr>
      <w:rFonts w:ascii="Times New Roman" w:hAnsi="Times New Roman" w:eastAsia="宋体"/>
      <w:b/>
      <w:bCs/>
      <w:sz w:val="20"/>
      <w:szCs w:val="20"/>
    </w:rPr>
  </w:style>
  <w:style w:type="paragraph" w:styleId="928" w:customStyle="1">
    <w:name w:val="xl24"/>
    <w:basedOn w:val="7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929" w:customStyle="1">
    <w:name w:val="xl25"/>
    <w:basedOn w:val="7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30" w:customStyle="1">
    <w:name w:val="xl26"/>
    <w:basedOn w:val="7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931" w:customStyle="1">
    <w:name w:val="xl27"/>
    <w:basedOn w:val="7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32" w:customStyle="1">
    <w:name w:val="xl28"/>
    <w:basedOn w:val="7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33" w:customStyle="1">
    <w:name w:val="xl29"/>
    <w:basedOn w:val="7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934" w:customStyle="1">
    <w:name w:val="xl30"/>
    <w:basedOn w:val="7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935" w:customStyle="1">
    <w:name w:val="xl31"/>
    <w:basedOn w:val="790"/>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b/>
      <w:bCs/>
      <w:sz w:val="24"/>
      <w:szCs w:val="24"/>
    </w:rPr>
  </w:style>
  <w:style w:type="paragraph" w:styleId="936" w:customStyle="1">
    <w:name w:val="xl32"/>
    <w:basedOn w:val="79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37" w:customStyle="1">
    <w:name w:val="xl33"/>
    <w:basedOn w:val="790"/>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938" w:customStyle="1">
    <w:name w:val="xl34"/>
    <w:basedOn w:val="79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39" w:customStyle="1">
    <w:name w:val="xl35"/>
    <w:basedOn w:val="79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i/>
      <w:iCs/>
      <w:sz w:val="20"/>
      <w:szCs w:val="20"/>
    </w:rPr>
  </w:style>
  <w:style w:type="paragraph" w:styleId="940" w:customStyle="1">
    <w:name w:val="xl36"/>
    <w:basedOn w:val="79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941" w:customStyle="1">
    <w:name w:val="xl37"/>
    <w:basedOn w:val="79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i/>
      <w:iCs/>
      <w:sz w:val="20"/>
      <w:szCs w:val="20"/>
    </w:rPr>
  </w:style>
  <w:style w:type="paragraph" w:styleId="942" w:customStyle="1">
    <w:name w:val="xl38"/>
    <w:basedOn w:val="79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943" w:customStyle="1">
    <w:name w:val="xl39"/>
    <w:basedOn w:val="79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4"/>
      <w:szCs w:val="24"/>
    </w:rPr>
  </w:style>
  <w:style w:type="paragraph" w:styleId="944" w:customStyle="1">
    <w:name w:val="xl40"/>
    <w:basedOn w:val="79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945" w:customStyle="1">
    <w:name w:val="xl41"/>
    <w:basedOn w:val="79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946" w:customStyle="1">
    <w:name w:val="xl42"/>
    <w:basedOn w:val="790"/>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947" w:customStyle="1">
    <w:name w:val="xl43"/>
    <w:basedOn w:val="790"/>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b/>
      <w:bCs/>
      <w:sz w:val="20"/>
      <w:szCs w:val="20"/>
    </w:rPr>
  </w:style>
  <w:style w:type="paragraph" w:styleId="948" w:customStyle="1">
    <w:name w:val="xl44"/>
    <w:basedOn w:val="790"/>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b/>
      <w:bCs/>
      <w:sz w:val="20"/>
      <w:szCs w:val="20"/>
    </w:rPr>
  </w:style>
  <w:style w:type="paragraph" w:styleId="949" w:customStyle="1">
    <w:name w:val="xl45"/>
    <w:basedOn w:val="790"/>
    <w:uiPriority w:val="99"/>
    <w:qFormat/>
    <w:pPr>
      <w:jc w:val="center"/>
      <w:spacing w:before="100" w:beforeAutospacing="1" w:after="100" w:afterAutospacing="1"/>
      <w:widowControl/>
      <w:pBdr>
        <w:left w:val="single" w:color="000000" w:sz="4" w:space="0"/>
        <w:right w:val="single" w:color="000000" w:sz="4" w:space="0"/>
      </w:pBdr>
    </w:pPr>
    <w:rPr>
      <w:rFonts w:ascii="宋体" w:hAnsi="宋体" w:eastAsia="宋体"/>
      <w:b/>
      <w:bCs/>
      <w:sz w:val="20"/>
      <w:szCs w:val="20"/>
    </w:rPr>
  </w:style>
  <w:style w:type="paragraph" w:styleId="950" w:customStyle="1">
    <w:name w:val="xl46"/>
    <w:basedOn w:val="790"/>
    <w:uiPriority w:val="99"/>
    <w:qFormat/>
    <w:pPr>
      <w:jc w:val="center"/>
      <w:spacing w:before="100" w:beforeAutospacing="1" w:after="100" w:afterAutospacing="1"/>
      <w:widowControl/>
      <w:pBdr>
        <w:left w:val="single" w:color="000000" w:sz="4" w:space="0"/>
        <w:right w:val="single" w:color="000000" w:sz="4" w:space="0"/>
      </w:pBdr>
    </w:pPr>
    <w:rPr>
      <w:rFonts w:ascii="宋体" w:hAnsi="宋体" w:eastAsia="宋体"/>
      <w:sz w:val="24"/>
      <w:szCs w:val="24"/>
    </w:rPr>
  </w:style>
  <w:style w:type="paragraph" w:styleId="951" w:customStyle="1">
    <w:name w:val="xl47"/>
    <w:basedOn w:val="790"/>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sz w:val="24"/>
      <w:szCs w:val="24"/>
    </w:rPr>
  </w:style>
  <w:style w:type="paragraph" w:styleId="952" w:customStyle="1">
    <w:name w:val="xl48"/>
    <w:basedOn w:val="790"/>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b/>
      <w:bCs/>
      <w:sz w:val="20"/>
      <w:szCs w:val="20"/>
    </w:rPr>
  </w:style>
  <w:style w:type="paragraph" w:styleId="953" w:customStyle="1">
    <w:name w:val="xl49"/>
    <w:basedOn w:val="790"/>
    <w:uiPriority w:val="99"/>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b/>
      <w:bCs/>
      <w:sz w:val="20"/>
      <w:szCs w:val="20"/>
    </w:rPr>
  </w:style>
  <w:style w:type="paragraph" w:styleId="954" w:customStyle="1">
    <w:name w:val="xl50"/>
    <w:basedOn w:val="790"/>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955" w:customStyle="1">
    <w:name w:val="xl51"/>
    <w:basedOn w:val="790"/>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b/>
      <w:bCs/>
      <w:i/>
      <w:iCs/>
      <w:sz w:val="20"/>
      <w:szCs w:val="20"/>
    </w:rPr>
  </w:style>
  <w:style w:type="paragraph" w:styleId="956" w:customStyle="1">
    <w:name w:val="xl52"/>
    <w:basedOn w:val="790"/>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b/>
      <w:bCs/>
      <w:i/>
      <w:iCs/>
      <w:sz w:val="20"/>
      <w:szCs w:val="20"/>
    </w:rPr>
  </w:style>
  <w:style w:type="paragraph" w:styleId="957" w:customStyle="1">
    <w:name w:val="xl53"/>
    <w:basedOn w:val="790"/>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58" w:customStyle="1">
    <w:name w:val="xl54"/>
    <w:basedOn w:val="790"/>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eastAsia="宋体"/>
      <w:b/>
      <w:bCs/>
      <w:sz w:val="20"/>
      <w:szCs w:val="20"/>
    </w:rPr>
  </w:style>
  <w:style w:type="paragraph" w:styleId="959" w:customStyle="1">
    <w:name w:val="xl55"/>
    <w:basedOn w:val="790"/>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b/>
      <w:bCs/>
      <w:sz w:val="20"/>
      <w:szCs w:val="20"/>
    </w:rPr>
  </w:style>
  <w:style w:type="paragraph" w:styleId="960" w:customStyle="1">
    <w:name w:val="xl56"/>
    <w:basedOn w:val="790"/>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961" w:customStyle="1">
    <w:name w:val="xl57"/>
    <w:basedOn w:val="790"/>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b/>
      <w:bCs/>
      <w:i/>
      <w:iCs/>
      <w:sz w:val="20"/>
      <w:szCs w:val="20"/>
    </w:rPr>
  </w:style>
  <w:style w:type="paragraph" w:styleId="962" w:customStyle="1">
    <w:name w:val="xl58"/>
    <w:basedOn w:val="790"/>
    <w:uiPriority w:val="99"/>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b/>
      <w:bCs/>
      <w:i/>
      <w:iCs/>
      <w:sz w:val="20"/>
      <w:szCs w:val="20"/>
    </w:rPr>
  </w:style>
  <w:style w:type="paragraph" w:styleId="963" w:customStyle="1">
    <w:name w:val="xl59"/>
    <w:basedOn w:val="790"/>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64" w:customStyle="1">
    <w:name w:val="xl60"/>
    <w:basedOn w:val="790"/>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b/>
      <w:bCs/>
      <w:i/>
      <w:iCs/>
      <w:sz w:val="20"/>
      <w:szCs w:val="20"/>
    </w:rPr>
  </w:style>
  <w:style w:type="paragraph" w:styleId="965" w:customStyle="1">
    <w:name w:val="xl61"/>
    <w:basedOn w:val="790"/>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b/>
      <w:bCs/>
      <w:i/>
      <w:iCs/>
      <w:sz w:val="20"/>
      <w:szCs w:val="20"/>
    </w:rPr>
  </w:style>
  <w:style w:type="paragraph" w:styleId="966" w:customStyle="1">
    <w:name w:val="xl62"/>
    <w:basedOn w:val="790"/>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67" w:customStyle="1">
    <w:name w:val="xl63"/>
    <w:basedOn w:val="790"/>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Times New Roman" w:hAnsi="Times New Roman" w:eastAsia="宋体"/>
      <w:b/>
      <w:bCs/>
      <w:sz w:val="20"/>
      <w:szCs w:val="20"/>
    </w:rPr>
  </w:style>
  <w:style w:type="paragraph" w:styleId="968" w:customStyle="1">
    <w:name w:val="font10"/>
    <w:basedOn w:val="790"/>
    <w:uiPriority w:val="99"/>
    <w:qFormat/>
    <w:pPr>
      <w:jc w:val="left"/>
      <w:spacing w:before="100" w:beforeAutospacing="1" w:after="100" w:afterAutospacing="1"/>
      <w:widowControl/>
    </w:pPr>
    <w:rPr>
      <w:rFonts w:ascii="楷体_GB2312" w:hAnsi="宋体" w:eastAsia="楷体_GB2312"/>
      <w:b/>
      <w:bCs/>
      <w:sz w:val="18"/>
      <w:szCs w:val="18"/>
    </w:rPr>
  </w:style>
  <w:style w:type="paragraph" w:styleId="969" w:customStyle="1">
    <w:name w:val="font11"/>
    <w:basedOn w:val="790"/>
    <w:uiPriority w:val="99"/>
    <w:qFormat/>
    <w:pPr>
      <w:jc w:val="left"/>
      <w:spacing w:before="100" w:beforeAutospacing="1" w:after="100" w:afterAutospacing="1"/>
      <w:widowControl/>
    </w:pPr>
    <w:rPr>
      <w:rFonts w:ascii="Times New Roman" w:hAnsi="Times New Roman" w:eastAsia="宋体"/>
      <w:b/>
      <w:bCs/>
      <w:sz w:val="18"/>
      <w:szCs w:val="18"/>
    </w:rPr>
  </w:style>
  <w:style w:type="paragraph" w:styleId="970" w:customStyle="1">
    <w:name w:val="font12"/>
    <w:basedOn w:val="790"/>
    <w:uiPriority w:val="99"/>
    <w:qFormat/>
    <w:pPr>
      <w:jc w:val="left"/>
      <w:spacing w:before="100" w:beforeAutospacing="1" w:after="100" w:afterAutospacing="1"/>
      <w:widowControl/>
    </w:pPr>
    <w:rPr>
      <w:rFonts w:ascii="宋体" w:hAnsi="宋体" w:eastAsia="宋体"/>
      <w:sz w:val="36"/>
      <w:szCs w:val="36"/>
    </w:rPr>
  </w:style>
  <w:style w:type="paragraph" w:styleId="971" w:customStyle="1">
    <w:name w:val="font13"/>
    <w:basedOn w:val="790"/>
    <w:uiPriority w:val="99"/>
    <w:qFormat/>
    <w:pPr>
      <w:jc w:val="left"/>
      <w:spacing w:before="100" w:beforeAutospacing="1" w:after="100" w:afterAutospacing="1"/>
      <w:widowControl/>
    </w:pPr>
    <w:rPr>
      <w:rFonts w:ascii="Times New Roman" w:hAnsi="Times New Roman" w:eastAsia="宋体"/>
      <w:i/>
      <w:iCs/>
      <w:sz w:val="36"/>
      <w:szCs w:val="36"/>
    </w:rPr>
  </w:style>
  <w:style w:type="paragraph" w:styleId="972" w:customStyle="1">
    <w:name w:val="font14"/>
    <w:basedOn w:val="790"/>
    <w:uiPriority w:val="99"/>
    <w:qFormat/>
    <w:pPr>
      <w:jc w:val="left"/>
      <w:spacing w:before="100" w:beforeAutospacing="1" w:after="100" w:afterAutospacing="1"/>
      <w:widowControl/>
    </w:pPr>
    <w:rPr>
      <w:rFonts w:ascii="Times New Roman" w:hAnsi="Times New Roman" w:eastAsia="宋体"/>
      <w:sz w:val="36"/>
      <w:szCs w:val="36"/>
    </w:rPr>
  </w:style>
  <w:style w:type="character" w:styleId="973" w:customStyle="1">
    <w:name w:val="case31"/>
    <w:uiPriority w:val="99"/>
    <w:qFormat/>
    <w:rPr>
      <w:rFonts w:cs="Times New Roman"/>
      <w:spacing w:val="390"/>
      <w:sz w:val="21"/>
      <w:szCs w:val="21"/>
    </w:rPr>
  </w:style>
  <w:style w:type="paragraph" w:styleId="974" w:customStyle="1">
    <w:name w:val="普通文字"/>
    <w:basedOn w:val="790"/>
    <w:next w:val="790"/>
    <w:uiPriority w:val="99"/>
    <w:qFormat/>
    <w:rPr>
      <w:rFonts w:ascii="宋体" w:hAnsi="Times New Roman" w:eastAsia="宋体"/>
      <w:sz w:val="24"/>
      <w:szCs w:val="20"/>
    </w:rPr>
  </w:style>
  <w:style w:type="paragraph" w:styleId="975" w:customStyle="1">
    <w:name w:val="默认段落字体 Para Char"/>
    <w:basedOn w:val="790"/>
    <w:uiPriority w:val="99"/>
    <w:qFormat/>
    <w:pPr>
      <w:ind w:left="552" w:hanging="420"/>
      <w:tabs>
        <w:tab w:val="left" w:pos="552" w:leader="none"/>
      </w:tabs>
    </w:pPr>
    <w:rPr>
      <w:rFonts w:ascii="Times New Roman" w:hAnsi="Times New Roman" w:eastAsia="宋体"/>
      <w:sz w:val="24"/>
      <w:szCs w:val="24"/>
    </w:rPr>
  </w:style>
  <w:style w:type="paragraph" w:styleId="976" w:customStyle="1">
    <w:name w:val="Char Char Char Char"/>
    <w:basedOn w:val="862"/>
    <w:uiPriority w:val="0"/>
    <w:qFormat/>
    <w:pPr>
      <w:spacing w:line="360" w:lineRule="auto"/>
    </w:pPr>
    <w:rPr>
      <w:rFonts w:ascii="Tahoma" w:hAnsi="Tahoma"/>
      <w:sz w:val="24"/>
      <w:szCs w:val="24"/>
    </w:rPr>
  </w:style>
  <w:style w:type="paragraph" w:styleId="977" w:customStyle="1">
    <w:name w:val="Char Char1 Char Char Char Char"/>
    <w:basedOn w:val="862"/>
    <w:uiPriority w:val="99"/>
    <w:qFormat/>
    <w:pPr>
      <w:ind w:left="357"/>
      <w:jc w:val="left"/>
      <w:spacing w:line="436" w:lineRule="exact"/>
      <w:outlineLvl w:val="3"/>
    </w:pPr>
    <w:rPr>
      <w:rFonts w:ascii="Tahoma" w:hAnsi="Tahoma"/>
      <w:b/>
      <w:sz w:val="24"/>
      <w:szCs w:val="24"/>
    </w:rPr>
  </w:style>
  <w:style w:type="paragraph" w:styleId="978">
    <w:name w:val="List Paragraph"/>
    <w:basedOn w:val="790"/>
    <w:uiPriority w:val="34"/>
    <w:qFormat/>
    <w:pPr>
      <w:numPr>
        <w:ilvl w:val="0"/>
        <w:numId w:val="2"/>
      </w:numPr>
      <w:spacing w:line="360" w:lineRule="auto"/>
    </w:pPr>
    <w:rPr>
      <w:rFonts w:ascii="Arial" w:hAnsi="Arial" w:eastAsia="宋体" w:cs="宋体"/>
      <w:b/>
      <w:sz w:val="24"/>
      <w:szCs w:val="20"/>
    </w:rPr>
  </w:style>
  <w:style w:type="paragraph" w:styleId="979" w:customStyle="1">
    <w:name w:val="修订1"/>
    <w:uiPriority w:val="99"/>
    <w:semiHidden/>
    <w:qFormat/>
    <w:rPr>
      <w:rFonts w:hint="default" w:ascii="Times New Roman" w:hAnsi="Times New Roman" w:eastAsia="宋体" w:cs="Times New Roman"/>
      <w:sz w:val="21"/>
      <w:lang w:val="en-US" w:eastAsia="zh-CN" w:bidi="ar-SA"/>
    </w:rPr>
  </w:style>
  <w:style w:type="paragraph" w:styleId="980" w:customStyle="1">
    <w:name w:val="列表段落1"/>
    <w:basedOn w:val="790"/>
    <w:uiPriority w:val="34"/>
    <w:qFormat/>
    <w:pPr>
      <w:ind w:firstLine="420"/>
    </w:pPr>
  </w:style>
  <w:style w:type="paragraph" w:styleId="981" w:customStyle="1">
    <w:name w:val="样式 小四 段前: 5 磅 段后: 5 磅 首行缩进:  2 字符"/>
    <w:basedOn w:val="790"/>
    <w:uiPriority w:val="0"/>
    <w:qFormat/>
    <w:pPr>
      <w:spacing w:line="360" w:lineRule="auto"/>
    </w:pPr>
    <w:rPr>
      <w:rFonts w:ascii="宋体" w:hAnsi="宋体"/>
      <w:szCs w:val="21"/>
    </w:rPr>
  </w:style>
  <w:style w:type="table" w:styleId="982" w:customStyle="1">
    <w:name w:val="网格型1"/>
    <w:basedOn w:val="848"/>
    <w:uiPriority w:val="59"/>
    <w:qFormat/>
    <w:tblPr>
      <w:tblCellMar>
        <w:left w:w="0" w:type="dxa"/>
        <w:top w:w="0" w:type="dxa"/>
        <w:right w:w="0" w:type="dxa"/>
        <w:bottom w:w="0" w:type="dxa"/>
      </w:tblCellMar>
    </w:tblPr>
  </w:style>
  <w:style w:type="table" w:styleId="983" w:customStyle="1">
    <w:name w:val="网格型2"/>
    <w:basedOn w:val="848"/>
    <w:uiPriority w:val="39"/>
    <w:qFormat/>
    <w:tblPr>
      <w:tblCellMar>
        <w:left w:w="0" w:type="dxa"/>
        <w:top w:w="0" w:type="dxa"/>
        <w:right w:w="0" w:type="dxa"/>
        <w:bottom w:w="0" w:type="dxa"/>
      </w:tblCellMar>
    </w:tblPr>
  </w:style>
  <w:style w:type="table" w:styleId="984" w:customStyle="1">
    <w:name w:val="网格型3"/>
    <w:basedOn w:val="848"/>
    <w:uiPriority w:val="39"/>
    <w:qFormat/>
    <w:tblPr>
      <w:tblCellMar>
        <w:left w:w="0" w:type="dxa"/>
        <w:top w:w="0" w:type="dxa"/>
        <w:right w:w="0" w:type="dxa"/>
        <w:bottom w:w="0" w:type="dxa"/>
      </w:tblCellMar>
    </w:tblPr>
  </w:style>
  <w:style w:type="table" w:styleId="985" w:customStyle="1">
    <w:name w:val="网格型4"/>
    <w:basedOn w:val="848"/>
    <w:uiPriority w:val="39"/>
    <w:qFormat/>
    <w:tblPr>
      <w:tblCellMar>
        <w:left w:w="0" w:type="dxa"/>
        <w:top w:w="0" w:type="dxa"/>
        <w:right w:w="0" w:type="dxa"/>
        <w:bottom w:w="0" w:type="dxa"/>
      </w:tblCellMar>
    </w:tblPr>
  </w:style>
  <w:style w:type="paragraph" w:styleId="986" w:customStyle="1">
    <w:name w:val="List Paragraph1"/>
    <w:basedOn w:val="790"/>
    <w:uiPriority w:val="0"/>
    <w:qFormat/>
    <w:pPr>
      <w:ind w:firstLine="420"/>
    </w:pPr>
    <w:rPr>
      <w:szCs w:val="21"/>
    </w:rPr>
  </w:style>
  <w:style w:type="paragraph" w:styleId="987" w:customStyle="1">
    <w:name w:val="标题 31"/>
    <w:basedOn w:val="790"/>
    <w:next w:val="790"/>
    <w:link w:val="988"/>
    <w:uiPriority w:val="0"/>
    <w:qFormat/>
    <w:pPr>
      <w:keepLines/>
      <w:keepNext/>
      <w:spacing w:before="260" w:after="260" w:line="416" w:lineRule="auto"/>
      <w:outlineLvl w:val="2"/>
    </w:pPr>
    <w:rPr>
      <w:rFonts w:ascii="Times New Roman" w:hAnsi="Times New Roman" w:eastAsia="宋体"/>
      <w:b/>
      <w:bCs/>
      <w:sz w:val="32"/>
      <w:szCs w:val="32"/>
      <w:lang w:eastAsia="en-US"/>
    </w:rPr>
  </w:style>
  <w:style w:type="character" w:styleId="988" w:customStyle="1">
    <w:name w:val="标题 3 Char"/>
    <w:link w:val="987"/>
    <w:uiPriority w:val="0"/>
    <w:qFormat/>
    <w:rPr>
      <w:rFonts w:ascii="Times New Roman" w:hAnsi="Times New Roman" w:eastAsia="宋体" w:cs="Times New Roman"/>
      <w:b/>
      <w:bCs/>
      <w:sz w:val="32"/>
      <w:szCs w:val="32"/>
      <w:lang w:eastAsia="en-US"/>
    </w:rPr>
  </w:style>
  <w:style w:type="character" w:styleId="989" w:customStyle="1">
    <w:name w:val="Heading 1 Char"/>
    <w:uiPriority w:val="9"/>
    <w:qFormat/>
    <w:rPr>
      <w:rFonts w:ascii="Arial" w:hAnsi="Arial" w:eastAsia="Arial" w:cs="Arial"/>
      <w:sz w:val="40"/>
      <w:szCs w:val="40"/>
    </w:rPr>
  </w:style>
  <w:style w:type="character" w:styleId="990" w:customStyle="1">
    <w:name w:val="Heading 2 Char"/>
    <w:uiPriority w:val="9"/>
    <w:qFormat/>
    <w:rPr>
      <w:rFonts w:ascii="Arial" w:hAnsi="Arial" w:eastAsia="Arial" w:cs="Arial"/>
      <w:sz w:val="34"/>
    </w:rPr>
  </w:style>
  <w:style w:type="character" w:styleId="991" w:customStyle="1">
    <w:name w:val="Heading 3 Char"/>
    <w:uiPriority w:val="9"/>
    <w:qFormat/>
    <w:rPr>
      <w:rFonts w:ascii="Arial" w:hAnsi="Arial" w:eastAsia="Arial" w:cs="Arial"/>
      <w:sz w:val="30"/>
      <w:szCs w:val="30"/>
    </w:rPr>
  </w:style>
  <w:style w:type="character" w:styleId="992" w:customStyle="1">
    <w:name w:val="Heading 4 Char"/>
    <w:uiPriority w:val="9"/>
    <w:qFormat/>
    <w:rPr>
      <w:rFonts w:ascii="Arial" w:hAnsi="Arial" w:eastAsia="Arial" w:cs="Arial"/>
      <w:b/>
      <w:bCs/>
      <w:sz w:val="26"/>
      <w:szCs w:val="26"/>
    </w:rPr>
  </w:style>
  <w:style w:type="character" w:styleId="993" w:customStyle="1">
    <w:name w:val="Heading 5 Char"/>
    <w:uiPriority w:val="9"/>
    <w:qFormat/>
    <w:rPr>
      <w:rFonts w:ascii="Arial" w:hAnsi="Arial" w:eastAsia="Arial" w:cs="Arial"/>
      <w:b/>
      <w:bCs/>
      <w:sz w:val="24"/>
      <w:szCs w:val="24"/>
    </w:rPr>
  </w:style>
  <w:style w:type="character" w:styleId="994" w:customStyle="1">
    <w:name w:val="Heading 6 Char"/>
    <w:uiPriority w:val="9"/>
    <w:qFormat/>
    <w:rPr>
      <w:rFonts w:ascii="Arial" w:hAnsi="Arial" w:eastAsia="Arial" w:cs="Arial"/>
      <w:b/>
      <w:bCs/>
      <w:sz w:val="22"/>
      <w:szCs w:val="22"/>
    </w:rPr>
  </w:style>
  <w:style w:type="character" w:styleId="995" w:customStyle="1">
    <w:name w:val="Heading 7 Char"/>
    <w:uiPriority w:val="9"/>
    <w:qFormat/>
    <w:rPr>
      <w:rFonts w:ascii="Arial" w:hAnsi="Arial" w:eastAsia="Arial" w:cs="Arial"/>
      <w:b/>
      <w:bCs/>
      <w:i/>
      <w:iCs/>
      <w:sz w:val="22"/>
      <w:szCs w:val="22"/>
    </w:rPr>
  </w:style>
  <w:style w:type="character" w:styleId="996" w:customStyle="1">
    <w:name w:val="Heading 8 Char"/>
    <w:uiPriority w:val="9"/>
    <w:qFormat/>
    <w:rPr>
      <w:rFonts w:ascii="Arial" w:hAnsi="Arial" w:eastAsia="Arial" w:cs="Arial"/>
      <w:i/>
      <w:iCs/>
      <w:sz w:val="22"/>
      <w:szCs w:val="22"/>
    </w:rPr>
  </w:style>
  <w:style w:type="character" w:styleId="997" w:customStyle="1">
    <w:name w:val="Heading 9 Char"/>
    <w:uiPriority w:val="9"/>
    <w:qFormat/>
    <w:rPr>
      <w:rFonts w:ascii="Arial" w:hAnsi="Arial" w:eastAsia="Arial" w:cs="Arial"/>
      <w:i/>
      <w:iCs/>
      <w:sz w:val="21"/>
      <w:szCs w:val="21"/>
    </w:rPr>
  </w:style>
  <w:style w:type="paragraph" w:styleId="998">
    <w:name w:val="No Spacing"/>
    <w:uiPriority w:val="1"/>
    <w:qFormat/>
    <w:rPr>
      <w:rFonts w:hint="default" w:ascii="Calibri" w:hAnsi="Calibri" w:eastAsia="宋体" w:cs="Times New Roman"/>
      <w:lang w:val="en-US" w:eastAsia="zh-CN" w:bidi="ar-SA"/>
    </w:rPr>
  </w:style>
  <w:style w:type="character" w:styleId="999" w:customStyle="1">
    <w:name w:val="Title Char"/>
    <w:uiPriority w:val="10"/>
    <w:qFormat/>
    <w:rPr>
      <w:sz w:val="48"/>
      <w:szCs w:val="48"/>
    </w:rPr>
  </w:style>
  <w:style w:type="character" w:styleId="1000" w:customStyle="1">
    <w:name w:val="Subtitle Char"/>
    <w:uiPriority w:val="11"/>
    <w:qFormat/>
    <w:rPr>
      <w:sz w:val="24"/>
      <w:szCs w:val="24"/>
    </w:rPr>
  </w:style>
  <w:style w:type="paragraph" w:styleId="1001">
    <w:name w:val="Quote"/>
    <w:basedOn w:val="790"/>
    <w:next w:val="790"/>
    <w:link w:val="1002"/>
    <w:uiPriority w:val="29"/>
    <w:qFormat/>
    <w:pPr>
      <w:ind w:left="720" w:right="720"/>
    </w:pPr>
    <w:rPr>
      <w:rFonts w:ascii="Times New Roman" w:hAnsi="Times New Roman" w:eastAsia="宋体"/>
      <w:i/>
      <w:szCs w:val="21"/>
    </w:rPr>
  </w:style>
  <w:style w:type="character" w:styleId="1002" w:customStyle="1">
    <w:name w:val="引用 Char"/>
    <w:basedOn w:val="847"/>
    <w:link w:val="1001"/>
    <w:uiPriority w:val="29"/>
    <w:qFormat/>
    <w:rPr>
      <w:rFonts w:ascii="Times New Roman" w:hAnsi="Times New Roman" w:eastAsia="宋体" w:cs="Times New Roman"/>
      <w:i/>
      <w:sz w:val="21"/>
      <w:szCs w:val="21"/>
    </w:rPr>
  </w:style>
  <w:style w:type="character" w:styleId="1003" w:customStyle="1">
    <w:name w:val="Quote Char"/>
    <w:uiPriority w:val="29"/>
    <w:qFormat/>
    <w:rPr>
      <w:i/>
    </w:rPr>
  </w:style>
  <w:style w:type="paragraph" w:styleId="1004">
    <w:name w:val="Intense Quote"/>
    <w:basedOn w:val="790"/>
    <w:next w:val="790"/>
    <w:link w:val="100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i/>
      <w:szCs w:val="21"/>
    </w:rPr>
  </w:style>
  <w:style w:type="character" w:styleId="1005" w:customStyle="1">
    <w:name w:val="明显引用 Char"/>
    <w:basedOn w:val="847"/>
    <w:link w:val="1004"/>
    <w:uiPriority w:val="30"/>
    <w:qFormat/>
    <w:rPr>
      <w:rFonts w:ascii="Times New Roman" w:hAnsi="Times New Roman" w:eastAsia="宋体" w:cs="Times New Roman"/>
      <w:i/>
      <w:sz w:val="21"/>
      <w:szCs w:val="21"/>
      <w:shd w:val="clear" w:color="auto" w:fill="f2f2f2"/>
    </w:rPr>
  </w:style>
  <w:style w:type="character" w:styleId="1006" w:customStyle="1">
    <w:name w:val="Intense Quote Char"/>
    <w:uiPriority w:val="30"/>
    <w:qFormat/>
    <w:rPr>
      <w:i/>
    </w:rPr>
  </w:style>
  <w:style w:type="character" w:styleId="1007" w:customStyle="1">
    <w:name w:val="Header Char"/>
    <w:uiPriority w:val="99"/>
    <w:qFormat/>
  </w:style>
  <w:style w:type="character" w:styleId="1008" w:customStyle="1">
    <w:name w:val="Footer Char"/>
    <w:uiPriority w:val="99"/>
    <w:qFormat/>
  </w:style>
  <w:style w:type="character" w:styleId="1009" w:customStyle="1">
    <w:name w:val="Caption Char"/>
    <w:uiPriority w:val="99"/>
    <w:qFormat/>
  </w:style>
  <w:style w:type="character" w:styleId="1010" w:customStyle="1">
    <w:name w:val="Footnote Text Char"/>
    <w:uiPriority w:val="99"/>
    <w:qFormat/>
    <w:rPr>
      <w:sz w:val="18"/>
    </w:rPr>
  </w:style>
  <w:style w:type="character" w:styleId="1011" w:customStyle="1">
    <w:name w:val="Endnote Text Char"/>
    <w:uiPriority w:val="99"/>
    <w:qFormat/>
    <w:rPr>
      <w:sz w:val="20"/>
    </w:rPr>
  </w:style>
  <w:style w:type="paragraph" w:styleId="1012" w:customStyle="1">
    <w:name w:val="目录 71"/>
    <w:basedOn w:val="790"/>
    <w:next w:val="790"/>
    <w:uiPriority w:val="39"/>
    <w:unhideWhenUsed/>
    <w:qFormat/>
    <w:pPr>
      <w:ind w:left="1701"/>
      <w:spacing w:after="57"/>
    </w:pPr>
    <w:rPr>
      <w:rFonts w:ascii="Times New Roman" w:hAnsi="Times New Roman" w:eastAsia="宋体"/>
      <w:szCs w:val="21"/>
    </w:rPr>
  </w:style>
  <w:style w:type="paragraph" w:styleId="1013" w:customStyle="1">
    <w:name w:val="目录 51"/>
    <w:basedOn w:val="790"/>
    <w:next w:val="790"/>
    <w:uiPriority w:val="39"/>
    <w:unhideWhenUsed/>
    <w:qFormat/>
    <w:pPr>
      <w:ind w:left="1134"/>
      <w:spacing w:after="57"/>
    </w:pPr>
    <w:rPr>
      <w:rFonts w:ascii="Times New Roman" w:hAnsi="Times New Roman" w:eastAsia="宋体"/>
      <w:szCs w:val="21"/>
    </w:rPr>
  </w:style>
  <w:style w:type="paragraph" w:styleId="1014" w:customStyle="1">
    <w:name w:val="目录 31"/>
    <w:basedOn w:val="790"/>
    <w:next w:val="790"/>
    <w:uiPriority w:val="39"/>
    <w:unhideWhenUsed/>
    <w:qFormat/>
    <w:pPr>
      <w:ind w:left="567"/>
      <w:spacing w:after="57"/>
    </w:pPr>
    <w:rPr>
      <w:rFonts w:ascii="Times New Roman" w:hAnsi="Times New Roman" w:eastAsia="宋体"/>
      <w:szCs w:val="21"/>
    </w:rPr>
  </w:style>
  <w:style w:type="paragraph" w:styleId="1015" w:customStyle="1">
    <w:name w:val="目录 81"/>
    <w:basedOn w:val="790"/>
    <w:next w:val="790"/>
    <w:uiPriority w:val="39"/>
    <w:unhideWhenUsed/>
    <w:qFormat/>
    <w:pPr>
      <w:ind w:left="1984"/>
      <w:spacing w:after="57"/>
    </w:pPr>
    <w:rPr>
      <w:rFonts w:ascii="Times New Roman" w:hAnsi="Times New Roman" w:eastAsia="宋体"/>
      <w:szCs w:val="21"/>
    </w:rPr>
  </w:style>
  <w:style w:type="character" w:styleId="1016" w:customStyle="1">
    <w:name w:val="页脚 字符1"/>
    <w:uiPriority w:val="99"/>
    <w:qFormat/>
  </w:style>
  <w:style w:type="paragraph" w:styleId="1017" w:customStyle="1">
    <w:name w:val="目录 11"/>
    <w:basedOn w:val="790"/>
    <w:next w:val="790"/>
    <w:uiPriority w:val="39"/>
    <w:unhideWhenUsed/>
    <w:qFormat/>
    <w:pPr>
      <w:spacing w:after="57"/>
    </w:pPr>
    <w:rPr>
      <w:rFonts w:ascii="Times New Roman" w:hAnsi="Times New Roman" w:eastAsia="宋体"/>
      <w:szCs w:val="21"/>
    </w:rPr>
  </w:style>
  <w:style w:type="paragraph" w:styleId="1018" w:customStyle="1">
    <w:name w:val="目录 41"/>
    <w:basedOn w:val="790"/>
    <w:next w:val="790"/>
    <w:uiPriority w:val="39"/>
    <w:unhideWhenUsed/>
    <w:qFormat/>
    <w:pPr>
      <w:ind w:left="850"/>
      <w:spacing w:after="57"/>
    </w:pPr>
    <w:rPr>
      <w:rFonts w:ascii="Times New Roman" w:hAnsi="Times New Roman" w:eastAsia="宋体"/>
      <w:szCs w:val="21"/>
    </w:rPr>
  </w:style>
  <w:style w:type="paragraph" w:styleId="1019" w:customStyle="1">
    <w:name w:val="目录 61"/>
    <w:basedOn w:val="790"/>
    <w:next w:val="790"/>
    <w:uiPriority w:val="39"/>
    <w:unhideWhenUsed/>
    <w:qFormat/>
    <w:pPr>
      <w:ind w:left="1417"/>
      <w:spacing w:after="57"/>
    </w:pPr>
    <w:rPr>
      <w:rFonts w:ascii="Times New Roman" w:hAnsi="Times New Roman" w:eastAsia="宋体"/>
      <w:szCs w:val="21"/>
    </w:rPr>
  </w:style>
  <w:style w:type="paragraph" w:styleId="1020" w:customStyle="1">
    <w:name w:val="目录 21"/>
    <w:basedOn w:val="790"/>
    <w:next w:val="790"/>
    <w:uiPriority w:val="39"/>
    <w:unhideWhenUsed/>
    <w:qFormat/>
    <w:pPr>
      <w:ind w:left="283"/>
      <w:spacing w:after="57"/>
    </w:pPr>
    <w:rPr>
      <w:rFonts w:ascii="Times New Roman" w:hAnsi="Times New Roman" w:eastAsia="宋体"/>
      <w:szCs w:val="21"/>
    </w:rPr>
  </w:style>
  <w:style w:type="paragraph" w:styleId="1021" w:customStyle="1">
    <w:name w:val="目录 91"/>
    <w:basedOn w:val="790"/>
    <w:next w:val="790"/>
    <w:uiPriority w:val="39"/>
    <w:unhideWhenUsed/>
    <w:qFormat/>
    <w:pPr>
      <w:ind w:left="2268"/>
      <w:spacing w:after="57"/>
    </w:pPr>
    <w:rPr>
      <w:rFonts w:ascii="Times New Roman" w:hAnsi="Times New Roman" w:eastAsia="宋体"/>
      <w:szCs w:val="21"/>
    </w:rPr>
  </w:style>
  <w:style w:type="character" w:styleId="1022" w:customStyle="1">
    <w:name w:val="font5 Char"/>
    <w:uiPriority w:val="0"/>
    <w:qFormat/>
    <w:rPr>
      <w:rFonts w:ascii="宋体" w:hAnsi="宋体" w:eastAsia="宋体"/>
      <w:sz w:val="28"/>
      <w:szCs w:val="28"/>
      <w:lang w:val="en-US" w:eastAsia="zh-CN" w:bidi="ar-SA"/>
    </w:rPr>
  </w:style>
  <w:style w:type="paragraph" w:styleId="1023" w:customStyle="1">
    <w:name w:val="列出段落2"/>
    <w:basedOn w:val="790"/>
    <w:uiPriority w:val="34"/>
    <w:qFormat/>
    <w:pPr>
      <w:contextualSpacing/>
      <w:ind w:left="720"/>
    </w:pPr>
    <w:rPr>
      <w:rFonts w:ascii="Times New Roman" w:hAnsi="Times New Roman" w:eastAsia="宋体"/>
      <w:szCs w:val="21"/>
    </w:rPr>
  </w:style>
  <w:style w:type="table" w:styleId="1024" w:customStyle="1">
    <w:name w:val="Table Grid Light"/>
    <w:uiPriority w:val="59"/>
    <w:qFormat/>
    <w:rPr>
      <w:rFonts w:ascii="Calibri" w:hAnsi="Calibri"/>
    </w:rPr>
    <w:tblPr>
      <w:tblCellMar>
        <w:left w:w="0" w:type="dxa"/>
        <w:top w:w="0" w:type="dxa"/>
        <w:right w:w="0" w:type="dxa"/>
        <w:bottom w:w="0" w:type="dxa"/>
      </w:tblCellMar>
    </w:tblPr>
  </w:style>
  <w:style w:type="table" w:styleId="1025" w:customStyle="1">
    <w:name w:val="Plain Table 1"/>
    <w:uiPriority w:val="59"/>
    <w:qFormat/>
    <w:rPr>
      <w:rFonts w:ascii="Calibri" w:hAnsi="Calibri"/>
    </w:rPr>
    <w:tblPr>
      <w:tblCellMar>
        <w:left w:w="0" w:type="dxa"/>
        <w:top w:w="0" w:type="dxa"/>
        <w:right w:w="0" w:type="dxa"/>
        <w:bottom w:w="0" w:type="dxa"/>
      </w:tblCellMar>
    </w:tblPr>
  </w:style>
  <w:style w:type="table" w:styleId="1026" w:customStyle="1">
    <w:name w:val="Plain Table 2"/>
    <w:uiPriority w:val="59"/>
    <w:qFormat/>
    <w:rPr>
      <w:rFonts w:ascii="Calibri" w:hAnsi="Calibri"/>
    </w:rPr>
    <w:tblPr>
      <w:tblCellMar>
        <w:left w:w="0" w:type="dxa"/>
        <w:top w:w="0" w:type="dxa"/>
        <w:right w:w="0" w:type="dxa"/>
        <w:bottom w:w="0" w:type="dxa"/>
      </w:tblCellMar>
    </w:tblPr>
  </w:style>
  <w:style w:type="table" w:styleId="1027" w:customStyle="1">
    <w:name w:val="Plain Table 3"/>
    <w:uiPriority w:val="99"/>
    <w:qFormat/>
    <w:rPr>
      <w:rFonts w:ascii="Calibri" w:hAnsi="Calibri"/>
    </w:rPr>
    <w:tblPr>
      <w:tblCellMar>
        <w:left w:w="0" w:type="dxa"/>
        <w:top w:w="0" w:type="dxa"/>
        <w:right w:w="0" w:type="dxa"/>
        <w:bottom w:w="0" w:type="dxa"/>
      </w:tblCellMar>
    </w:tblPr>
  </w:style>
  <w:style w:type="table" w:styleId="1028" w:customStyle="1">
    <w:name w:val="Plain Table 4"/>
    <w:uiPriority w:val="99"/>
    <w:qFormat/>
    <w:rPr>
      <w:rFonts w:ascii="Calibri" w:hAnsi="Calibri"/>
    </w:rPr>
    <w:tblPr>
      <w:tblCellMar>
        <w:left w:w="0" w:type="dxa"/>
        <w:top w:w="0" w:type="dxa"/>
        <w:right w:w="0" w:type="dxa"/>
        <w:bottom w:w="0" w:type="dxa"/>
      </w:tblCellMar>
    </w:tblPr>
  </w:style>
  <w:style w:type="table" w:styleId="1029" w:customStyle="1">
    <w:name w:val="Plain Table 5"/>
    <w:uiPriority w:val="99"/>
    <w:qFormat/>
    <w:rPr>
      <w:rFonts w:ascii="Calibri" w:hAnsi="Calibri"/>
    </w:rPr>
    <w:tblPr>
      <w:tblCellMar>
        <w:left w:w="0" w:type="dxa"/>
        <w:top w:w="0" w:type="dxa"/>
        <w:right w:w="0" w:type="dxa"/>
        <w:bottom w:w="0" w:type="dxa"/>
      </w:tblCellMar>
    </w:tblPr>
  </w:style>
  <w:style w:type="table" w:styleId="1030" w:customStyle="1">
    <w:name w:val="Grid Table 1 Light"/>
    <w:uiPriority w:val="99"/>
    <w:qFormat/>
    <w:rPr>
      <w:rFonts w:ascii="Calibri" w:hAnsi="Calibri"/>
    </w:rPr>
    <w:tblPr>
      <w:tblCellMar>
        <w:left w:w="0" w:type="dxa"/>
        <w:top w:w="0" w:type="dxa"/>
        <w:right w:w="0" w:type="dxa"/>
        <w:bottom w:w="0" w:type="dxa"/>
      </w:tblCellMar>
    </w:tblPr>
  </w:style>
  <w:style w:type="table" w:styleId="1031" w:customStyle="1">
    <w:name w:val="Grid Table 1 Light - Accent 1"/>
    <w:uiPriority w:val="99"/>
    <w:qFormat/>
    <w:rPr>
      <w:rFonts w:ascii="Calibri" w:hAnsi="Calibri"/>
    </w:rPr>
    <w:tblPr>
      <w:tblCellMar>
        <w:left w:w="0" w:type="dxa"/>
        <w:top w:w="0" w:type="dxa"/>
        <w:right w:w="0" w:type="dxa"/>
        <w:bottom w:w="0" w:type="dxa"/>
      </w:tblCellMar>
    </w:tblPr>
  </w:style>
  <w:style w:type="table" w:styleId="1032" w:customStyle="1">
    <w:name w:val="Grid Table 1 Light - Accent 2"/>
    <w:uiPriority w:val="99"/>
    <w:qFormat/>
    <w:rPr>
      <w:rFonts w:ascii="Calibri" w:hAnsi="Calibri"/>
    </w:rPr>
    <w:tblPr>
      <w:tblCellMar>
        <w:left w:w="0" w:type="dxa"/>
        <w:top w:w="0" w:type="dxa"/>
        <w:right w:w="0" w:type="dxa"/>
        <w:bottom w:w="0" w:type="dxa"/>
      </w:tblCellMar>
    </w:tblPr>
  </w:style>
  <w:style w:type="table" w:styleId="1033" w:customStyle="1">
    <w:name w:val="Grid Table 1 Light - Accent 3"/>
    <w:uiPriority w:val="99"/>
    <w:qFormat/>
    <w:rPr>
      <w:rFonts w:ascii="Calibri" w:hAnsi="Calibri"/>
    </w:rPr>
    <w:tblPr>
      <w:tblCellMar>
        <w:left w:w="0" w:type="dxa"/>
        <w:top w:w="0" w:type="dxa"/>
        <w:right w:w="0" w:type="dxa"/>
        <w:bottom w:w="0" w:type="dxa"/>
      </w:tblCellMar>
    </w:tblPr>
  </w:style>
  <w:style w:type="table" w:styleId="1034" w:customStyle="1">
    <w:name w:val="Grid Table 1 Light - Accent 4"/>
    <w:uiPriority w:val="99"/>
    <w:qFormat/>
    <w:rPr>
      <w:rFonts w:ascii="Calibri" w:hAnsi="Calibri"/>
    </w:rPr>
    <w:tblPr>
      <w:tblCellMar>
        <w:left w:w="0" w:type="dxa"/>
        <w:top w:w="0" w:type="dxa"/>
        <w:right w:w="0" w:type="dxa"/>
        <w:bottom w:w="0" w:type="dxa"/>
      </w:tblCellMar>
    </w:tblPr>
  </w:style>
  <w:style w:type="table" w:styleId="1035" w:customStyle="1">
    <w:name w:val="Grid Table 1 Light - Accent 5"/>
    <w:uiPriority w:val="99"/>
    <w:qFormat/>
    <w:rPr>
      <w:rFonts w:ascii="Calibri" w:hAnsi="Calibri"/>
    </w:rPr>
    <w:tblPr>
      <w:tblCellMar>
        <w:left w:w="0" w:type="dxa"/>
        <w:top w:w="0" w:type="dxa"/>
        <w:right w:w="0" w:type="dxa"/>
        <w:bottom w:w="0" w:type="dxa"/>
      </w:tblCellMar>
    </w:tblPr>
  </w:style>
  <w:style w:type="table" w:styleId="1036" w:customStyle="1">
    <w:name w:val="Grid Table 1 Light - Accent 6"/>
    <w:uiPriority w:val="99"/>
    <w:qFormat/>
    <w:rPr>
      <w:rFonts w:ascii="Calibri" w:hAnsi="Calibri"/>
    </w:rPr>
    <w:tblPr>
      <w:tblCellMar>
        <w:left w:w="0" w:type="dxa"/>
        <w:top w:w="0" w:type="dxa"/>
        <w:right w:w="0" w:type="dxa"/>
        <w:bottom w:w="0" w:type="dxa"/>
      </w:tblCellMar>
    </w:tblPr>
  </w:style>
  <w:style w:type="table" w:styleId="1037" w:customStyle="1">
    <w:name w:val="Grid Table 2"/>
    <w:uiPriority w:val="99"/>
    <w:qFormat/>
    <w:rPr>
      <w:rFonts w:ascii="Calibri" w:hAnsi="Calibri"/>
    </w:rPr>
    <w:tblPr>
      <w:tblCellMar>
        <w:left w:w="0" w:type="dxa"/>
        <w:top w:w="0" w:type="dxa"/>
        <w:right w:w="0" w:type="dxa"/>
        <w:bottom w:w="0" w:type="dxa"/>
      </w:tblCellMar>
    </w:tblPr>
  </w:style>
  <w:style w:type="table" w:styleId="1038" w:customStyle="1">
    <w:name w:val="Grid Table 2 - Accent 1"/>
    <w:uiPriority w:val="99"/>
    <w:qFormat/>
    <w:rPr>
      <w:rFonts w:ascii="Calibri" w:hAnsi="Calibri"/>
    </w:rPr>
    <w:tblPr>
      <w:tblCellMar>
        <w:left w:w="0" w:type="dxa"/>
        <w:top w:w="0" w:type="dxa"/>
        <w:right w:w="0" w:type="dxa"/>
        <w:bottom w:w="0" w:type="dxa"/>
      </w:tblCellMar>
    </w:tblPr>
  </w:style>
  <w:style w:type="table" w:styleId="1039" w:customStyle="1">
    <w:name w:val="Grid Table 2 - Accent 2"/>
    <w:uiPriority w:val="99"/>
    <w:qFormat/>
    <w:rPr>
      <w:rFonts w:ascii="Calibri" w:hAnsi="Calibri"/>
    </w:rPr>
    <w:tblPr>
      <w:tblCellMar>
        <w:left w:w="0" w:type="dxa"/>
        <w:top w:w="0" w:type="dxa"/>
        <w:right w:w="0" w:type="dxa"/>
        <w:bottom w:w="0" w:type="dxa"/>
      </w:tblCellMar>
    </w:tblPr>
  </w:style>
  <w:style w:type="table" w:styleId="1040" w:customStyle="1">
    <w:name w:val="Grid Table 2 - Accent 3"/>
    <w:uiPriority w:val="99"/>
    <w:qFormat/>
    <w:rPr>
      <w:rFonts w:ascii="Calibri" w:hAnsi="Calibri"/>
    </w:rPr>
    <w:tblPr>
      <w:tblCellMar>
        <w:left w:w="0" w:type="dxa"/>
        <w:top w:w="0" w:type="dxa"/>
        <w:right w:w="0" w:type="dxa"/>
        <w:bottom w:w="0" w:type="dxa"/>
      </w:tblCellMar>
    </w:tblPr>
  </w:style>
  <w:style w:type="table" w:styleId="1041" w:customStyle="1">
    <w:name w:val="Grid Table 2 - Accent 4"/>
    <w:uiPriority w:val="99"/>
    <w:qFormat/>
    <w:rPr>
      <w:rFonts w:ascii="Calibri" w:hAnsi="Calibri"/>
    </w:rPr>
    <w:tblPr>
      <w:tblCellMar>
        <w:left w:w="0" w:type="dxa"/>
        <w:top w:w="0" w:type="dxa"/>
        <w:right w:w="0" w:type="dxa"/>
        <w:bottom w:w="0" w:type="dxa"/>
      </w:tblCellMar>
    </w:tblPr>
  </w:style>
  <w:style w:type="table" w:styleId="1042" w:customStyle="1">
    <w:name w:val="Grid Table 2 - Accent 5"/>
    <w:uiPriority w:val="99"/>
    <w:qFormat/>
    <w:rPr>
      <w:rFonts w:ascii="Calibri" w:hAnsi="Calibri"/>
    </w:rPr>
    <w:tblPr>
      <w:tblCellMar>
        <w:left w:w="0" w:type="dxa"/>
        <w:top w:w="0" w:type="dxa"/>
        <w:right w:w="0" w:type="dxa"/>
        <w:bottom w:w="0" w:type="dxa"/>
      </w:tblCellMar>
    </w:tblPr>
  </w:style>
  <w:style w:type="table" w:styleId="1043" w:customStyle="1">
    <w:name w:val="Grid Table 2 - Accent 6"/>
    <w:uiPriority w:val="99"/>
    <w:qFormat/>
    <w:rPr>
      <w:rFonts w:ascii="Calibri" w:hAnsi="Calibri"/>
    </w:rPr>
    <w:tblPr>
      <w:tblCellMar>
        <w:left w:w="0" w:type="dxa"/>
        <w:top w:w="0" w:type="dxa"/>
        <w:right w:w="0" w:type="dxa"/>
        <w:bottom w:w="0" w:type="dxa"/>
      </w:tblCellMar>
    </w:tblPr>
  </w:style>
  <w:style w:type="table" w:styleId="1044" w:customStyle="1">
    <w:name w:val="Grid Table 3"/>
    <w:uiPriority w:val="99"/>
    <w:qFormat/>
    <w:rPr>
      <w:rFonts w:ascii="Calibri" w:hAnsi="Calibri"/>
    </w:rPr>
    <w:tblPr>
      <w:tblCellMar>
        <w:left w:w="0" w:type="dxa"/>
        <w:top w:w="0" w:type="dxa"/>
        <w:right w:w="0" w:type="dxa"/>
        <w:bottom w:w="0" w:type="dxa"/>
      </w:tblCellMar>
    </w:tblPr>
  </w:style>
  <w:style w:type="table" w:styleId="1045" w:customStyle="1">
    <w:name w:val="Grid Table 3 - Accent 1"/>
    <w:uiPriority w:val="99"/>
    <w:qFormat/>
    <w:rPr>
      <w:rFonts w:ascii="Calibri" w:hAnsi="Calibri"/>
    </w:rPr>
    <w:tblPr>
      <w:tblCellMar>
        <w:left w:w="0" w:type="dxa"/>
        <w:top w:w="0" w:type="dxa"/>
        <w:right w:w="0" w:type="dxa"/>
        <w:bottom w:w="0" w:type="dxa"/>
      </w:tblCellMar>
    </w:tblPr>
  </w:style>
  <w:style w:type="table" w:styleId="1046" w:customStyle="1">
    <w:name w:val="Grid Table 3 - Accent 2"/>
    <w:uiPriority w:val="99"/>
    <w:qFormat/>
    <w:rPr>
      <w:rFonts w:ascii="Calibri" w:hAnsi="Calibri"/>
    </w:rPr>
    <w:tblPr>
      <w:tblCellMar>
        <w:left w:w="0" w:type="dxa"/>
        <w:top w:w="0" w:type="dxa"/>
        <w:right w:w="0" w:type="dxa"/>
        <w:bottom w:w="0" w:type="dxa"/>
      </w:tblCellMar>
    </w:tblPr>
  </w:style>
  <w:style w:type="table" w:styleId="1047" w:customStyle="1">
    <w:name w:val="Grid Table 3 - Accent 3"/>
    <w:uiPriority w:val="99"/>
    <w:qFormat/>
    <w:rPr>
      <w:rFonts w:ascii="Calibri" w:hAnsi="Calibri"/>
    </w:rPr>
    <w:tblPr>
      <w:tblCellMar>
        <w:left w:w="0" w:type="dxa"/>
        <w:top w:w="0" w:type="dxa"/>
        <w:right w:w="0" w:type="dxa"/>
        <w:bottom w:w="0" w:type="dxa"/>
      </w:tblCellMar>
    </w:tblPr>
  </w:style>
  <w:style w:type="table" w:styleId="1048" w:customStyle="1">
    <w:name w:val="Grid Table 3 - Accent 4"/>
    <w:uiPriority w:val="99"/>
    <w:qFormat/>
    <w:rPr>
      <w:rFonts w:ascii="Calibri" w:hAnsi="Calibri"/>
    </w:rPr>
    <w:tblPr>
      <w:tblCellMar>
        <w:left w:w="0" w:type="dxa"/>
        <w:top w:w="0" w:type="dxa"/>
        <w:right w:w="0" w:type="dxa"/>
        <w:bottom w:w="0" w:type="dxa"/>
      </w:tblCellMar>
    </w:tblPr>
  </w:style>
  <w:style w:type="table" w:styleId="1049" w:customStyle="1">
    <w:name w:val="Grid Table 3 - Accent 5"/>
    <w:uiPriority w:val="99"/>
    <w:qFormat/>
    <w:rPr>
      <w:rFonts w:ascii="Calibri" w:hAnsi="Calibri"/>
    </w:rPr>
    <w:tblPr>
      <w:tblCellMar>
        <w:left w:w="0" w:type="dxa"/>
        <w:top w:w="0" w:type="dxa"/>
        <w:right w:w="0" w:type="dxa"/>
        <w:bottom w:w="0" w:type="dxa"/>
      </w:tblCellMar>
    </w:tblPr>
  </w:style>
  <w:style w:type="table" w:styleId="1050" w:customStyle="1">
    <w:name w:val="Grid Table 3 - Accent 6"/>
    <w:uiPriority w:val="99"/>
    <w:qFormat/>
    <w:rPr>
      <w:rFonts w:ascii="Calibri" w:hAnsi="Calibri"/>
    </w:rPr>
    <w:tblPr>
      <w:tblCellMar>
        <w:left w:w="0" w:type="dxa"/>
        <w:top w:w="0" w:type="dxa"/>
        <w:right w:w="0" w:type="dxa"/>
        <w:bottom w:w="0" w:type="dxa"/>
      </w:tblCellMar>
    </w:tblPr>
  </w:style>
  <w:style w:type="table" w:styleId="1051" w:customStyle="1">
    <w:name w:val="Grid Table 4"/>
    <w:uiPriority w:val="59"/>
    <w:qFormat/>
    <w:rPr>
      <w:rFonts w:ascii="Calibri" w:hAnsi="Calibri"/>
    </w:rPr>
    <w:tblPr>
      <w:tblCellMar>
        <w:left w:w="0" w:type="dxa"/>
        <w:top w:w="0" w:type="dxa"/>
        <w:right w:w="0" w:type="dxa"/>
        <w:bottom w:w="0" w:type="dxa"/>
      </w:tblCellMar>
    </w:tblPr>
  </w:style>
  <w:style w:type="table" w:styleId="1052" w:customStyle="1">
    <w:name w:val="Grid Table 4 - Accent 1"/>
    <w:uiPriority w:val="59"/>
    <w:qFormat/>
    <w:rPr>
      <w:rFonts w:ascii="Calibri" w:hAnsi="Calibri"/>
    </w:rPr>
    <w:tblPr>
      <w:tblCellMar>
        <w:left w:w="0" w:type="dxa"/>
        <w:top w:w="0" w:type="dxa"/>
        <w:right w:w="0" w:type="dxa"/>
        <w:bottom w:w="0" w:type="dxa"/>
      </w:tblCellMar>
    </w:tblPr>
  </w:style>
  <w:style w:type="table" w:styleId="1053" w:customStyle="1">
    <w:name w:val="Grid Table 4 - Accent 2"/>
    <w:uiPriority w:val="59"/>
    <w:qFormat/>
    <w:rPr>
      <w:rFonts w:ascii="Calibri" w:hAnsi="Calibri"/>
    </w:rPr>
    <w:tblPr>
      <w:tblCellMar>
        <w:left w:w="0" w:type="dxa"/>
        <w:top w:w="0" w:type="dxa"/>
        <w:right w:w="0" w:type="dxa"/>
        <w:bottom w:w="0" w:type="dxa"/>
      </w:tblCellMar>
    </w:tblPr>
  </w:style>
  <w:style w:type="table" w:styleId="1054" w:customStyle="1">
    <w:name w:val="Grid Table 4 - Accent 3"/>
    <w:uiPriority w:val="59"/>
    <w:qFormat/>
    <w:rPr>
      <w:rFonts w:ascii="Calibri" w:hAnsi="Calibri"/>
    </w:rPr>
    <w:tblPr>
      <w:tblCellMar>
        <w:left w:w="0" w:type="dxa"/>
        <w:top w:w="0" w:type="dxa"/>
        <w:right w:w="0" w:type="dxa"/>
        <w:bottom w:w="0" w:type="dxa"/>
      </w:tblCellMar>
    </w:tblPr>
  </w:style>
  <w:style w:type="table" w:styleId="1055" w:customStyle="1">
    <w:name w:val="Grid Table 4 - Accent 4"/>
    <w:uiPriority w:val="59"/>
    <w:qFormat/>
    <w:rPr>
      <w:rFonts w:ascii="Calibri" w:hAnsi="Calibri"/>
    </w:rPr>
    <w:tblPr>
      <w:tblCellMar>
        <w:left w:w="0" w:type="dxa"/>
        <w:top w:w="0" w:type="dxa"/>
        <w:right w:w="0" w:type="dxa"/>
        <w:bottom w:w="0" w:type="dxa"/>
      </w:tblCellMar>
    </w:tblPr>
  </w:style>
  <w:style w:type="table" w:styleId="1056" w:customStyle="1">
    <w:name w:val="Grid Table 4 - Accent 5"/>
    <w:uiPriority w:val="59"/>
    <w:qFormat/>
    <w:rPr>
      <w:rFonts w:ascii="Calibri" w:hAnsi="Calibri"/>
    </w:rPr>
    <w:tblPr>
      <w:tblCellMar>
        <w:left w:w="0" w:type="dxa"/>
        <w:top w:w="0" w:type="dxa"/>
        <w:right w:w="0" w:type="dxa"/>
        <w:bottom w:w="0" w:type="dxa"/>
      </w:tblCellMar>
    </w:tblPr>
  </w:style>
  <w:style w:type="table" w:styleId="1057" w:customStyle="1">
    <w:name w:val="Grid Table 4 - Accent 6"/>
    <w:uiPriority w:val="59"/>
    <w:qFormat/>
    <w:rPr>
      <w:rFonts w:ascii="Calibri" w:hAnsi="Calibri"/>
    </w:rPr>
    <w:tblPr>
      <w:tblCellMar>
        <w:left w:w="0" w:type="dxa"/>
        <w:top w:w="0" w:type="dxa"/>
        <w:right w:w="0" w:type="dxa"/>
        <w:bottom w:w="0" w:type="dxa"/>
      </w:tblCellMar>
    </w:tblPr>
  </w:style>
  <w:style w:type="table" w:styleId="1058" w:customStyle="1">
    <w:name w:val="Grid Table 5 Dark"/>
    <w:uiPriority w:val="99"/>
    <w:qFormat/>
    <w:rPr>
      <w:rFonts w:ascii="Calibri" w:hAnsi="Calibri"/>
    </w:rPr>
    <w:tblPr>
      <w:tblCellMar>
        <w:left w:w="0" w:type="dxa"/>
        <w:top w:w="0" w:type="dxa"/>
        <w:right w:w="0" w:type="dxa"/>
        <w:bottom w:w="0" w:type="dxa"/>
      </w:tblCellMar>
    </w:tblPr>
  </w:style>
  <w:style w:type="table" w:styleId="1059" w:customStyle="1">
    <w:name w:val="Grid Table 5 Dark- Accent 1"/>
    <w:uiPriority w:val="99"/>
    <w:qFormat/>
    <w:rPr>
      <w:rFonts w:ascii="Calibri" w:hAnsi="Calibri"/>
    </w:rPr>
    <w:tblPr>
      <w:tblCellMar>
        <w:left w:w="0" w:type="dxa"/>
        <w:top w:w="0" w:type="dxa"/>
        <w:right w:w="0" w:type="dxa"/>
        <w:bottom w:w="0" w:type="dxa"/>
      </w:tblCellMar>
    </w:tblPr>
  </w:style>
  <w:style w:type="table" w:styleId="1060" w:customStyle="1">
    <w:name w:val="Grid Table 5 Dark - Accent 2"/>
    <w:uiPriority w:val="99"/>
    <w:qFormat/>
    <w:rPr>
      <w:rFonts w:ascii="Calibri" w:hAnsi="Calibri"/>
    </w:rPr>
    <w:tblPr>
      <w:tblCellMar>
        <w:left w:w="0" w:type="dxa"/>
        <w:top w:w="0" w:type="dxa"/>
        <w:right w:w="0" w:type="dxa"/>
        <w:bottom w:w="0" w:type="dxa"/>
      </w:tblCellMar>
    </w:tblPr>
  </w:style>
  <w:style w:type="table" w:styleId="1061" w:customStyle="1">
    <w:name w:val="Grid Table 5 Dark - Accent 3"/>
    <w:uiPriority w:val="99"/>
    <w:qFormat/>
    <w:rPr>
      <w:rFonts w:ascii="Calibri" w:hAnsi="Calibri"/>
    </w:rPr>
    <w:tblPr>
      <w:tblCellMar>
        <w:left w:w="0" w:type="dxa"/>
        <w:top w:w="0" w:type="dxa"/>
        <w:right w:w="0" w:type="dxa"/>
        <w:bottom w:w="0" w:type="dxa"/>
      </w:tblCellMar>
    </w:tblPr>
  </w:style>
  <w:style w:type="table" w:styleId="1062" w:customStyle="1">
    <w:name w:val="Grid Table 5 Dark- Accent 4"/>
    <w:uiPriority w:val="99"/>
    <w:qFormat/>
    <w:rPr>
      <w:rFonts w:ascii="Calibri" w:hAnsi="Calibri"/>
    </w:rPr>
    <w:tblPr>
      <w:tblCellMar>
        <w:left w:w="0" w:type="dxa"/>
        <w:top w:w="0" w:type="dxa"/>
        <w:right w:w="0" w:type="dxa"/>
        <w:bottom w:w="0" w:type="dxa"/>
      </w:tblCellMar>
    </w:tblPr>
  </w:style>
  <w:style w:type="table" w:styleId="1063" w:customStyle="1">
    <w:name w:val="Grid Table 5 Dark - Accent 5"/>
    <w:uiPriority w:val="99"/>
    <w:qFormat/>
    <w:rPr>
      <w:rFonts w:ascii="Calibri" w:hAnsi="Calibri"/>
    </w:rPr>
    <w:tblPr>
      <w:tblCellMar>
        <w:left w:w="0" w:type="dxa"/>
        <w:top w:w="0" w:type="dxa"/>
        <w:right w:w="0" w:type="dxa"/>
        <w:bottom w:w="0" w:type="dxa"/>
      </w:tblCellMar>
    </w:tblPr>
  </w:style>
  <w:style w:type="table" w:styleId="1064" w:customStyle="1">
    <w:name w:val="Grid Table 5 Dark - Accent 6"/>
    <w:uiPriority w:val="99"/>
    <w:qFormat/>
    <w:rPr>
      <w:rFonts w:ascii="Calibri" w:hAnsi="Calibri"/>
    </w:rPr>
    <w:tblPr>
      <w:tblCellMar>
        <w:left w:w="0" w:type="dxa"/>
        <w:top w:w="0" w:type="dxa"/>
        <w:right w:w="0" w:type="dxa"/>
        <w:bottom w:w="0" w:type="dxa"/>
      </w:tblCellMar>
    </w:tblPr>
  </w:style>
  <w:style w:type="table" w:styleId="1065" w:customStyle="1">
    <w:name w:val="Grid Table 6 Colorful"/>
    <w:uiPriority w:val="99"/>
    <w:qFormat/>
    <w:rPr>
      <w:rFonts w:ascii="Calibri" w:hAnsi="Calibri"/>
    </w:rPr>
    <w:tblPr>
      <w:tblCellMar>
        <w:left w:w="0" w:type="dxa"/>
        <w:top w:w="0" w:type="dxa"/>
        <w:right w:w="0" w:type="dxa"/>
        <w:bottom w:w="0" w:type="dxa"/>
      </w:tblCellMar>
    </w:tblPr>
  </w:style>
  <w:style w:type="table" w:styleId="1066" w:customStyle="1">
    <w:name w:val="Grid Table 6 Colorful - Accent 1"/>
    <w:uiPriority w:val="99"/>
    <w:qFormat/>
    <w:rPr>
      <w:rFonts w:ascii="Calibri" w:hAnsi="Calibri"/>
    </w:rPr>
    <w:tblPr>
      <w:tblCellMar>
        <w:left w:w="0" w:type="dxa"/>
        <w:top w:w="0" w:type="dxa"/>
        <w:right w:w="0" w:type="dxa"/>
        <w:bottom w:w="0" w:type="dxa"/>
      </w:tblCellMar>
    </w:tblPr>
  </w:style>
  <w:style w:type="table" w:styleId="1067" w:customStyle="1">
    <w:name w:val="Grid Table 6 Colorful - Accent 2"/>
    <w:uiPriority w:val="99"/>
    <w:qFormat/>
    <w:rPr>
      <w:rFonts w:ascii="Calibri" w:hAnsi="Calibri"/>
    </w:rPr>
    <w:tblPr>
      <w:tblCellMar>
        <w:left w:w="0" w:type="dxa"/>
        <w:top w:w="0" w:type="dxa"/>
        <w:right w:w="0" w:type="dxa"/>
        <w:bottom w:w="0" w:type="dxa"/>
      </w:tblCellMar>
    </w:tblPr>
  </w:style>
  <w:style w:type="table" w:styleId="1068" w:customStyle="1">
    <w:name w:val="Grid Table 6 Colorful - Accent 3"/>
    <w:uiPriority w:val="99"/>
    <w:qFormat/>
    <w:rPr>
      <w:rFonts w:ascii="Calibri" w:hAnsi="Calibri"/>
    </w:rPr>
    <w:tblPr>
      <w:tblCellMar>
        <w:left w:w="0" w:type="dxa"/>
        <w:top w:w="0" w:type="dxa"/>
        <w:right w:w="0" w:type="dxa"/>
        <w:bottom w:w="0" w:type="dxa"/>
      </w:tblCellMar>
    </w:tblPr>
  </w:style>
  <w:style w:type="table" w:styleId="1069" w:customStyle="1">
    <w:name w:val="Grid Table 6 Colorful - Accent 4"/>
    <w:uiPriority w:val="99"/>
    <w:qFormat/>
    <w:rPr>
      <w:rFonts w:ascii="Calibri" w:hAnsi="Calibri"/>
    </w:rPr>
    <w:tblPr>
      <w:tblCellMar>
        <w:left w:w="0" w:type="dxa"/>
        <w:top w:w="0" w:type="dxa"/>
        <w:right w:w="0" w:type="dxa"/>
        <w:bottom w:w="0" w:type="dxa"/>
      </w:tblCellMar>
    </w:tblPr>
  </w:style>
  <w:style w:type="table" w:styleId="1070" w:customStyle="1">
    <w:name w:val="Grid Table 6 Colorful - Accent 5"/>
    <w:uiPriority w:val="99"/>
    <w:qFormat/>
    <w:rPr>
      <w:rFonts w:ascii="Calibri" w:hAnsi="Calibri"/>
    </w:rPr>
    <w:tblPr>
      <w:tblCellMar>
        <w:left w:w="0" w:type="dxa"/>
        <w:top w:w="0" w:type="dxa"/>
        <w:right w:w="0" w:type="dxa"/>
        <w:bottom w:w="0" w:type="dxa"/>
      </w:tblCellMar>
    </w:tblPr>
  </w:style>
  <w:style w:type="table" w:styleId="1071" w:customStyle="1">
    <w:name w:val="Grid Table 6 Colorful - Accent 6"/>
    <w:uiPriority w:val="99"/>
    <w:qFormat/>
    <w:rPr>
      <w:rFonts w:ascii="Calibri" w:hAnsi="Calibri"/>
    </w:rPr>
    <w:tblPr>
      <w:tblCellMar>
        <w:left w:w="0" w:type="dxa"/>
        <w:top w:w="0" w:type="dxa"/>
        <w:right w:w="0" w:type="dxa"/>
        <w:bottom w:w="0" w:type="dxa"/>
      </w:tblCellMar>
    </w:tblPr>
  </w:style>
  <w:style w:type="table" w:styleId="1072" w:customStyle="1">
    <w:name w:val="Grid Table 7 Colorful"/>
    <w:uiPriority w:val="99"/>
    <w:qFormat/>
    <w:rPr>
      <w:rFonts w:ascii="Calibri" w:hAnsi="Calibri"/>
    </w:rPr>
    <w:tblPr>
      <w:tblCellMar>
        <w:left w:w="0" w:type="dxa"/>
        <w:top w:w="0" w:type="dxa"/>
        <w:right w:w="0" w:type="dxa"/>
        <w:bottom w:w="0" w:type="dxa"/>
      </w:tblCellMar>
    </w:tblPr>
  </w:style>
  <w:style w:type="table" w:styleId="1073" w:customStyle="1">
    <w:name w:val="Grid Table 7 Colorful - Accent 1"/>
    <w:uiPriority w:val="99"/>
    <w:qFormat/>
    <w:rPr>
      <w:rFonts w:ascii="Calibri" w:hAnsi="Calibri"/>
    </w:rPr>
    <w:tblPr>
      <w:tblCellMar>
        <w:left w:w="0" w:type="dxa"/>
        <w:top w:w="0" w:type="dxa"/>
        <w:right w:w="0" w:type="dxa"/>
        <w:bottom w:w="0" w:type="dxa"/>
      </w:tblCellMar>
    </w:tblPr>
  </w:style>
  <w:style w:type="table" w:styleId="1074" w:customStyle="1">
    <w:name w:val="Grid Table 7 Colorful - Accent 2"/>
    <w:uiPriority w:val="99"/>
    <w:qFormat/>
    <w:rPr>
      <w:rFonts w:ascii="Calibri" w:hAnsi="Calibri"/>
    </w:rPr>
    <w:tblPr>
      <w:tblCellMar>
        <w:left w:w="0" w:type="dxa"/>
        <w:top w:w="0" w:type="dxa"/>
        <w:right w:w="0" w:type="dxa"/>
        <w:bottom w:w="0" w:type="dxa"/>
      </w:tblCellMar>
    </w:tblPr>
  </w:style>
  <w:style w:type="table" w:styleId="1075" w:customStyle="1">
    <w:name w:val="Grid Table 7 Colorful - Accent 3"/>
    <w:uiPriority w:val="99"/>
    <w:qFormat/>
    <w:rPr>
      <w:rFonts w:ascii="Calibri" w:hAnsi="Calibri"/>
    </w:rPr>
    <w:tblPr>
      <w:tblCellMar>
        <w:left w:w="0" w:type="dxa"/>
        <w:top w:w="0" w:type="dxa"/>
        <w:right w:w="0" w:type="dxa"/>
        <w:bottom w:w="0" w:type="dxa"/>
      </w:tblCellMar>
    </w:tblPr>
  </w:style>
  <w:style w:type="table" w:styleId="1076" w:customStyle="1">
    <w:name w:val="Grid Table 7 Colorful - Accent 4"/>
    <w:uiPriority w:val="99"/>
    <w:qFormat/>
    <w:rPr>
      <w:rFonts w:ascii="Calibri" w:hAnsi="Calibri"/>
    </w:rPr>
    <w:tblPr>
      <w:tblCellMar>
        <w:left w:w="0" w:type="dxa"/>
        <w:top w:w="0" w:type="dxa"/>
        <w:right w:w="0" w:type="dxa"/>
        <w:bottom w:w="0" w:type="dxa"/>
      </w:tblCellMar>
    </w:tblPr>
  </w:style>
  <w:style w:type="table" w:styleId="1077" w:customStyle="1">
    <w:name w:val="Grid Table 7 Colorful - Accent 5"/>
    <w:uiPriority w:val="99"/>
    <w:qFormat/>
    <w:rPr>
      <w:rFonts w:ascii="Calibri" w:hAnsi="Calibri"/>
    </w:rPr>
    <w:tblPr>
      <w:tblCellMar>
        <w:left w:w="0" w:type="dxa"/>
        <w:top w:w="0" w:type="dxa"/>
        <w:right w:w="0" w:type="dxa"/>
        <w:bottom w:w="0" w:type="dxa"/>
      </w:tblCellMar>
    </w:tblPr>
  </w:style>
  <w:style w:type="table" w:styleId="1078" w:customStyle="1">
    <w:name w:val="Grid Table 7 Colorful - Accent 6"/>
    <w:uiPriority w:val="99"/>
    <w:qFormat/>
    <w:rPr>
      <w:rFonts w:ascii="Calibri" w:hAnsi="Calibri"/>
    </w:rPr>
    <w:tblPr>
      <w:tblCellMar>
        <w:left w:w="0" w:type="dxa"/>
        <w:top w:w="0" w:type="dxa"/>
        <w:right w:w="0" w:type="dxa"/>
        <w:bottom w:w="0" w:type="dxa"/>
      </w:tblCellMar>
    </w:tblPr>
  </w:style>
  <w:style w:type="table" w:styleId="1079" w:customStyle="1">
    <w:name w:val="List Table 1 Light"/>
    <w:uiPriority w:val="99"/>
    <w:qFormat/>
    <w:rPr>
      <w:rFonts w:ascii="Calibri" w:hAnsi="Calibri"/>
    </w:rPr>
    <w:tblPr>
      <w:tblCellMar>
        <w:left w:w="0" w:type="dxa"/>
        <w:top w:w="0" w:type="dxa"/>
        <w:right w:w="0" w:type="dxa"/>
        <w:bottom w:w="0" w:type="dxa"/>
      </w:tblCellMar>
    </w:tblPr>
  </w:style>
  <w:style w:type="table" w:styleId="1080" w:customStyle="1">
    <w:name w:val="List Table 1 Light - Accent 1"/>
    <w:uiPriority w:val="99"/>
    <w:qFormat/>
    <w:rPr>
      <w:rFonts w:ascii="Calibri" w:hAnsi="Calibri"/>
    </w:rPr>
    <w:tblPr>
      <w:tblCellMar>
        <w:left w:w="0" w:type="dxa"/>
        <w:top w:w="0" w:type="dxa"/>
        <w:right w:w="0" w:type="dxa"/>
        <w:bottom w:w="0" w:type="dxa"/>
      </w:tblCellMar>
    </w:tblPr>
  </w:style>
  <w:style w:type="table" w:styleId="1081" w:customStyle="1">
    <w:name w:val="List Table 1 Light - Accent 2"/>
    <w:uiPriority w:val="99"/>
    <w:qFormat/>
    <w:rPr>
      <w:rFonts w:ascii="Calibri" w:hAnsi="Calibri"/>
    </w:rPr>
    <w:tblPr>
      <w:tblCellMar>
        <w:left w:w="0" w:type="dxa"/>
        <w:top w:w="0" w:type="dxa"/>
        <w:right w:w="0" w:type="dxa"/>
        <w:bottom w:w="0" w:type="dxa"/>
      </w:tblCellMar>
    </w:tblPr>
  </w:style>
  <w:style w:type="table" w:styleId="1082" w:customStyle="1">
    <w:name w:val="List Table 1 Light - Accent 3"/>
    <w:uiPriority w:val="99"/>
    <w:qFormat/>
    <w:rPr>
      <w:rFonts w:ascii="Calibri" w:hAnsi="Calibri"/>
    </w:rPr>
    <w:tblPr>
      <w:tblCellMar>
        <w:left w:w="0" w:type="dxa"/>
        <w:top w:w="0" w:type="dxa"/>
        <w:right w:w="0" w:type="dxa"/>
        <w:bottom w:w="0" w:type="dxa"/>
      </w:tblCellMar>
    </w:tblPr>
  </w:style>
  <w:style w:type="table" w:styleId="1083" w:customStyle="1">
    <w:name w:val="List Table 1 Light - Accent 4"/>
    <w:uiPriority w:val="99"/>
    <w:qFormat/>
    <w:rPr>
      <w:rFonts w:ascii="Calibri" w:hAnsi="Calibri"/>
    </w:rPr>
    <w:tblPr>
      <w:tblCellMar>
        <w:left w:w="0" w:type="dxa"/>
        <w:top w:w="0" w:type="dxa"/>
        <w:right w:w="0" w:type="dxa"/>
        <w:bottom w:w="0" w:type="dxa"/>
      </w:tblCellMar>
    </w:tblPr>
  </w:style>
  <w:style w:type="table" w:styleId="1084" w:customStyle="1">
    <w:name w:val="List Table 1 Light - Accent 5"/>
    <w:uiPriority w:val="99"/>
    <w:qFormat/>
    <w:rPr>
      <w:rFonts w:ascii="Calibri" w:hAnsi="Calibri"/>
    </w:rPr>
    <w:tblPr>
      <w:tblCellMar>
        <w:left w:w="0" w:type="dxa"/>
        <w:top w:w="0" w:type="dxa"/>
        <w:right w:w="0" w:type="dxa"/>
        <w:bottom w:w="0" w:type="dxa"/>
      </w:tblCellMar>
    </w:tblPr>
  </w:style>
  <w:style w:type="table" w:styleId="1085" w:customStyle="1">
    <w:name w:val="List Table 1 Light - Accent 6"/>
    <w:uiPriority w:val="99"/>
    <w:qFormat/>
    <w:rPr>
      <w:rFonts w:ascii="Calibri" w:hAnsi="Calibri"/>
    </w:rPr>
    <w:tblPr>
      <w:tblCellMar>
        <w:left w:w="0" w:type="dxa"/>
        <w:top w:w="0" w:type="dxa"/>
        <w:right w:w="0" w:type="dxa"/>
        <w:bottom w:w="0" w:type="dxa"/>
      </w:tblCellMar>
    </w:tblPr>
  </w:style>
  <w:style w:type="table" w:styleId="1086" w:customStyle="1">
    <w:name w:val="List Table 2"/>
    <w:uiPriority w:val="99"/>
    <w:qFormat/>
    <w:rPr>
      <w:rFonts w:ascii="Calibri" w:hAnsi="Calibri"/>
    </w:rPr>
    <w:tblPr>
      <w:tblCellMar>
        <w:left w:w="0" w:type="dxa"/>
        <w:top w:w="0" w:type="dxa"/>
        <w:right w:w="0" w:type="dxa"/>
        <w:bottom w:w="0" w:type="dxa"/>
      </w:tblCellMar>
    </w:tblPr>
  </w:style>
  <w:style w:type="table" w:styleId="1087" w:customStyle="1">
    <w:name w:val="List Table 2 - Accent 1"/>
    <w:uiPriority w:val="99"/>
    <w:qFormat/>
    <w:rPr>
      <w:rFonts w:ascii="Calibri" w:hAnsi="Calibri"/>
    </w:rPr>
    <w:tblPr>
      <w:tblCellMar>
        <w:left w:w="0" w:type="dxa"/>
        <w:top w:w="0" w:type="dxa"/>
        <w:right w:w="0" w:type="dxa"/>
        <w:bottom w:w="0" w:type="dxa"/>
      </w:tblCellMar>
    </w:tblPr>
  </w:style>
  <w:style w:type="table" w:styleId="1088" w:customStyle="1">
    <w:name w:val="List Table 2 - Accent 2"/>
    <w:uiPriority w:val="99"/>
    <w:qFormat/>
    <w:rPr>
      <w:rFonts w:ascii="Calibri" w:hAnsi="Calibri"/>
    </w:rPr>
    <w:tblPr>
      <w:tblCellMar>
        <w:left w:w="0" w:type="dxa"/>
        <w:top w:w="0" w:type="dxa"/>
        <w:right w:w="0" w:type="dxa"/>
        <w:bottom w:w="0" w:type="dxa"/>
      </w:tblCellMar>
    </w:tblPr>
  </w:style>
  <w:style w:type="table" w:styleId="1089" w:customStyle="1">
    <w:name w:val="List Table 2 - Accent 3"/>
    <w:uiPriority w:val="99"/>
    <w:qFormat/>
    <w:rPr>
      <w:rFonts w:ascii="Calibri" w:hAnsi="Calibri"/>
    </w:rPr>
    <w:tblPr>
      <w:tblCellMar>
        <w:left w:w="0" w:type="dxa"/>
        <w:top w:w="0" w:type="dxa"/>
        <w:right w:w="0" w:type="dxa"/>
        <w:bottom w:w="0" w:type="dxa"/>
      </w:tblCellMar>
    </w:tblPr>
  </w:style>
  <w:style w:type="table" w:styleId="1090" w:customStyle="1">
    <w:name w:val="List Table 2 - Accent 4"/>
    <w:uiPriority w:val="99"/>
    <w:qFormat/>
    <w:rPr>
      <w:rFonts w:ascii="Calibri" w:hAnsi="Calibri"/>
    </w:rPr>
    <w:tblPr>
      <w:tblCellMar>
        <w:left w:w="0" w:type="dxa"/>
        <w:top w:w="0" w:type="dxa"/>
        <w:right w:w="0" w:type="dxa"/>
        <w:bottom w:w="0" w:type="dxa"/>
      </w:tblCellMar>
    </w:tblPr>
  </w:style>
  <w:style w:type="table" w:styleId="1091" w:customStyle="1">
    <w:name w:val="List Table 2 - Accent 5"/>
    <w:uiPriority w:val="99"/>
    <w:qFormat/>
    <w:rPr>
      <w:rFonts w:ascii="Calibri" w:hAnsi="Calibri"/>
    </w:rPr>
    <w:tblPr>
      <w:tblCellMar>
        <w:left w:w="0" w:type="dxa"/>
        <w:top w:w="0" w:type="dxa"/>
        <w:right w:w="0" w:type="dxa"/>
        <w:bottom w:w="0" w:type="dxa"/>
      </w:tblCellMar>
    </w:tblPr>
  </w:style>
  <w:style w:type="table" w:styleId="1092" w:customStyle="1">
    <w:name w:val="List Table 2 - Accent 6"/>
    <w:uiPriority w:val="99"/>
    <w:qFormat/>
    <w:rPr>
      <w:rFonts w:ascii="Calibri" w:hAnsi="Calibri"/>
    </w:rPr>
    <w:tblPr>
      <w:tblCellMar>
        <w:left w:w="0" w:type="dxa"/>
        <w:top w:w="0" w:type="dxa"/>
        <w:right w:w="0" w:type="dxa"/>
        <w:bottom w:w="0" w:type="dxa"/>
      </w:tblCellMar>
    </w:tblPr>
  </w:style>
  <w:style w:type="table" w:styleId="1093" w:customStyle="1">
    <w:name w:val="List Table 3"/>
    <w:uiPriority w:val="99"/>
    <w:qFormat/>
    <w:rPr>
      <w:rFonts w:ascii="Calibri" w:hAnsi="Calibri"/>
    </w:rPr>
    <w:tblPr>
      <w:tblCellMar>
        <w:left w:w="0" w:type="dxa"/>
        <w:top w:w="0" w:type="dxa"/>
        <w:right w:w="0" w:type="dxa"/>
        <w:bottom w:w="0" w:type="dxa"/>
      </w:tblCellMar>
    </w:tblPr>
  </w:style>
  <w:style w:type="table" w:styleId="1094" w:customStyle="1">
    <w:name w:val="List Table 3 - Accent 1"/>
    <w:uiPriority w:val="99"/>
    <w:qFormat/>
    <w:rPr>
      <w:rFonts w:ascii="Calibri" w:hAnsi="Calibri"/>
    </w:rPr>
    <w:tblPr>
      <w:tblCellMar>
        <w:left w:w="0" w:type="dxa"/>
        <w:top w:w="0" w:type="dxa"/>
        <w:right w:w="0" w:type="dxa"/>
        <w:bottom w:w="0" w:type="dxa"/>
      </w:tblCellMar>
    </w:tblPr>
  </w:style>
  <w:style w:type="table" w:styleId="1095" w:customStyle="1">
    <w:name w:val="List Table 3 - Accent 2"/>
    <w:uiPriority w:val="99"/>
    <w:qFormat/>
    <w:rPr>
      <w:rFonts w:ascii="Calibri" w:hAnsi="Calibri"/>
    </w:rPr>
    <w:tblPr>
      <w:tblCellMar>
        <w:left w:w="0" w:type="dxa"/>
        <w:top w:w="0" w:type="dxa"/>
        <w:right w:w="0" w:type="dxa"/>
        <w:bottom w:w="0" w:type="dxa"/>
      </w:tblCellMar>
    </w:tblPr>
  </w:style>
  <w:style w:type="table" w:styleId="1096" w:customStyle="1">
    <w:name w:val="List Table 3 - Accent 3"/>
    <w:uiPriority w:val="99"/>
    <w:qFormat/>
    <w:rPr>
      <w:rFonts w:ascii="Calibri" w:hAnsi="Calibri"/>
    </w:rPr>
    <w:tblPr>
      <w:tblCellMar>
        <w:left w:w="0" w:type="dxa"/>
        <w:top w:w="0" w:type="dxa"/>
        <w:right w:w="0" w:type="dxa"/>
        <w:bottom w:w="0" w:type="dxa"/>
      </w:tblCellMar>
    </w:tblPr>
  </w:style>
  <w:style w:type="table" w:styleId="1097" w:customStyle="1">
    <w:name w:val="List Table 3 - Accent 4"/>
    <w:uiPriority w:val="99"/>
    <w:qFormat/>
    <w:rPr>
      <w:rFonts w:ascii="Calibri" w:hAnsi="Calibri"/>
    </w:rPr>
    <w:tblPr>
      <w:tblCellMar>
        <w:left w:w="0" w:type="dxa"/>
        <w:top w:w="0" w:type="dxa"/>
        <w:right w:w="0" w:type="dxa"/>
        <w:bottom w:w="0" w:type="dxa"/>
      </w:tblCellMar>
    </w:tblPr>
  </w:style>
  <w:style w:type="table" w:styleId="1098" w:customStyle="1">
    <w:name w:val="List Table 3 - Accent 5"/>
    <w:uiPriority w:val="99"/>
    <w:qFormat/>
    <w:rPr>
      <w:rFonts w:ascii="Calibri" w:hAnsi="Calibri"/>
    </w:rPr>
    <w:tblPr>
      <w:tblCellMar>
        <w:left w:w="0" w:type="dxa"/>
        <w:top w:w="0" w:type="dxa"/>
        <w:right w:w="0" w:type="dxa"/>
        <w:bottom w:w="0" w:type="dxa"/>
      </w:tblCellMar>
    </w:tblPr>
  </w:style>
  <w:style w:type="table" w:styleId="1099" w:customStyle="1">
    <w:name w:val="List Table 3 - Accent 6"/>
    <w:uiPriority w:val="99"/>
    <w:qFormat/>
    <w:rPr>
      <w:rFonts w:ascii="Calibri" w:hAnsi="Calibri"/>
    </w:rPr>
    <w:tblPr>
      <w:tblCellMar>
        <w:left w:w="0" w:type="dxa"/>
        <w:top w:w="0" w:type="dxa"/>
        <w:right w:w="0" w:type="dxa"/>
        <w:bottom w:w="0" w:type="dxa"/>
      </w:tblCellMar>
    </w:tblPr>
  </w:style>
  <w:style w:type="table" w:styleId="1100" w:customStyle="1">
    <w:name w:val="List Table 4"/>
    <w:uiPriority w:val="99"/>
    <w:qFormat/>
    <w:rPr>
      <w:rFonts w:ascii="Calibri" w:hAnsi="Calibri"/>
    </w:rPr>
    <w:tblPr>
      <w:tblCellMar>
        <w:left w:w="0" w:type="dxa"/>
        <w:top w:w="0" w:type="dxa"/>
        <w:right w:w="0" w:type="dxa"/>
        <w:bottom w:w="0" w:type="dxa"/>
      </w:tblCellMar>
    </w:tblPr>
  </w:style>
  <w:style w:type="table" w:styleId="1101" w:customStyle="1">
    <w:name w:val="List Table 4 - Accent 1"/>
    <w:uiPriority w:val="99"/>
    <w:qFormat/>
    <w:rPr>
      <w:rFonts w:ascii="Calibri" w:hAnsi="Calibri"/>
    </w:rPr>
    <w:tblPr>
      <w:tblCellMar>
        <w:left w:w="0" w:type="dxa"/>
        <w:top w:w="0" w:type="dxa"/>
        <w:right w:w="0" w:type="dxa"/>
        <w:bottom w:w="0" w:type="dxa"/>
      </w:tblCellMar>
    </w:tblPr>
  </w:style>
  <w:style w:type="table" w:styleId="1102" w:customStyle="1">
    <w:name w:val="List Table 4 - Accent 2"/>
    <w:uiPriority w:val="99"/>
    <w:qFormat/>
    <w:rPr>
      <w:rFonts w:ascii="Calibri" w:hAnsi="Calibri"/>
    </w:rPr>
    <w:tblPr>
      <w:tblCellMar>
        <w:left w:w="0" w:type="dxa"/>
        <w:top w:w="0" w:type="dxa"/>
        <w:right w:w="0" w:type="dxa"/>
        <w:bottom w:w="0" w:type="dxa"/>
      </w:tblCellMar>
    </w:tblPr>
  </w:style>
  <w:style w:type="table" w:styleId="1103" w:customStyle="1">
    <w:name w:val="List Table 4 - Accent 3"/>
    <w:uiPriority w:val="99"/>
    <w:qFormat/>
    <w:rPr>
      <w:rFonts w:ascii="Calibri" w:hAnsi="Calibri"/>
    </w:rPr>
    <w:tblPr>
      <w:tblCellMar>
        <w:left w:w="0" w:type="dxa"/>
        <w:top w:w="0" w:type="dxa"/>
        <w:right w:w="0" w:type="dxa"/>
        <w:bottom w:w="0" w:type="dxa"/>
      </w:tblCellMar>
    </w:tblPr>
  </w:style>
  <w:style w:type="table" w:styleId="1104" w:customStyle="1">
    <w:name w:val="List Table 4 - Accent 4"/>
    <w:uiPriority w:val="99"/>
    <w:qFormat/>
    <w:rPr>
      <w:rFonts w:ascii="Calibri" w:hAnsi="Calibri"/>
    </w:rPr>
    <w:tblPr>
      <w:tblCellMar>
        <w:left w:w="0" w:type="dxa"/>
        <w:top w:w="0" w:type="dxa"/>
        <w:right w:w="0" w:type="dxa"/>
        <w:bottom w:w="0" w:type="dxa"/>
      </w:tblCellMar>
    </w:tblPr>
  </w:style>
  <w:style w:type="table" w:styleId="1105" w:customStyle="1">
    <w:name w:val="List Table 4 - Accent 5"/>
    <w:uiPriority w:val="99"/>
    <w:qFormat/>
    <w:rPr>
      <w:rFonts w:ascii="Calibri" w:hAnsi="Calibri"/>
    </w:rPr>
    <w:tblPr>
      <w:tblCellMar>
        <w:left w:w="0" w:type="dxa"/>
        <w:top w:w="0" w:type="dxa"/>
        <w:right w:w="0" w:type="dxa"/>
        <w:bottom w:w="0" w:type="dxa"/>
      </w:tblCellMar>
    </w:tblPr>
  </w:style>
  <w:style w:type="table" w:styleId="1106" w:customStyle="1">
    <w:name w:val="List Table 4 - Accent 6"/>
    <w:uiPriority w:val="99"/>
    <w:qFormat/>
    <w:rPr>
      <w:rFonts w:ascii="Calibri" w:hAnsi="Calibri"/>
    </w:rPr>
    <w:tblPr>
      <w:tblCellMar>
        <w:left w:w="0" w:type="dxa"/>
        <w:top w:w="0" w:type="dxa"/>
        <w:right w:w="0" w:type="dxa"/>
        <w:bottom w:w="0" w:type="dxa"/>
      </w:tblCellMar>
    </w:tblPr>
  </w:style>
  <w:style w:type="table" w:styleId="1107" w:customStyle="1">
    <w:name w:val="List Table 5 Dark"/>
    <w:uiPriority w:val="99"/>
    <w:qFormat/>
    <w:rPr>
      <w:rFonts w:ascii="Calibri" w:hAnsi="Calibri"/>
    </w:rPr>
    <w:tblPr>
      <w:tblCellMar>
        <w:left w:w="0" w:type="dxa"/>
        <w:top w:w="0" w:type="dxa"/>
        <w:right w:w="0" w:type="dxa"/>
        <w:bottom w:w="0" w:type="dxa"/>
      </w:tblCellMar>
    </w:tblPr>
  </w:style>
  <w:style w:type="table" w:styleId="1108" w:customStyle="1">
    <w:name w:val="List Table 5 Dark - Accent 1"/>
    <w:uiPriority w:val="99"/>
    <w:qFormat/>
    <w:rPr>
      <w:rFonts w:ascii="Calibri" w:hAnsi="Calibri"/>
    </w:rPr>
    <w:tblPr>
      <w:tblCellMar>
        <w:left w:w="0" w:type="dxa"/>
        <w:top w:w="0" w:type="dxa"/>
        <w:right w:w="0" w:type="dxa"/>
        <w:bottom w:w="0" w:type="dxa"/>
      </w:tblCellMar>
    </w:tblPr>
  </w:style>
  <w:style w:type="table" w:styleId="1109" w:customStyle="1">
    <w:name w:val="List Table 5 Dark - Accent 2"/>
    <w:uiPriority w:val="99"/>
    <w:qFormat/>
    <w:rPr>
      <w:rFonts w:ascii="Calibri" w:hAnsi="Calibri"/>
    </w:rPr>
    <w:tblPr>
      <w:tblCellMar>
        <w:left w:w="0" w:type="dxa"/>
        <w:top w:w="0" w:type="dxa"/>
        <w:right w:w="0" w:type="dxa"/>
        <w:bottom w:w="0" w:type="dxa"/>
      </w:tblCellMar>
    </w:tblPr>
  </w:style>
  <w:style w:type="table" w:styleId="1110" w:customStyle="1">
    <w:name w:val="List Table 5 Dark - Accent 3"/>
    <w:uiPriority w:val="99"/>
    <w:qFormat/>
    <w:rPr>
      <w:rFonts w:ascii="Calibri" w:hAnsi="Calibri"/>
    </w:rPr>
    <w:tblPr>
      <w:tblCellMar>
        <w:left w:w="0" w:type="dxa"/>
        <w:top w:w="0" w:type="dxa"/>
        <w:right w:w="0" w:type="dxa"/>
        <w:bottom w:w="0" w:type="dxa"/>
      </w:tblCellMar>
    </w:tblPr>
  </w:style>
  <w:style w:type="table" w:styleId="1111" w:customStyle="1">
    <w:name w:val="List Table 5 Dark - Accent 4"/>
    <w:uiPriority w:val="99"/>
    <w:qFormat/>
    <w:rPr>
      <w:rFonts w:ascii="Calibri" w:hAnsi="Calibri"/>
    </w:rPr>
    <w:tblPr>
      <w:tblCellMar>
        <w:left w:w="0" w:type="dxa"/>
        <w:top w:w="0" w:type="dxa"/>
        <w:right w:w="0" w:type="dxa"/>
        <w:bottom w:w="0" w:type="dxa"/>
      </w:tblCellMar>
    </w:tblPr>
  </w:style>
  <w:style w:type="table" w:styleId="1112" w:customStyle="1">
    <w:name w:val="List Table 5 Dark - Accent 5"/>
    <w:uiPriority w:val="99"/>
    <w:qFormat/>
    <w:rPr>
      <w:rFonts w:ascii="Calibri" w:hAnsi="Calibri"/>
    </w:rPr>
    <w:tblPr>
      <w:tblCellMar>
        <w:left w:w="0" w:type="dxa"/>
        <w:top w:w="0" w:type="dxa"/>
        <w:right w:w="0" w:type="dxa"/>
        <w:bottom w:w="0" w:type="dxa"/>
      </w:tblCellMar>
    </w:tblPr>
  </w:style>
  <w:style w:type="table" w:styleId="1113" w:customStyle="1">
    <w:name w:val="List Table 5 Dark - Accent 6"/>
    <w:uiPriority w:val="99"/>
    <w:qFormat/>
    <w:rPr>
      <w:rFonts w:ascii="Calibri" w:hAnsi="Calibri"/>
    </w:rPr>
    <w:tblPr>
      <w:tblCellMar>
        <w:left w:w="0" w:type="dxa"/>
        <w:top w:w="0" w:type="dxa"/>
        <w:right w:w="0" w:type="dxa"/>
        <w:bottom w:w="0" w:type="dxa"/>
      </w:tblCellMar>
    </w:tblPr>
  </w:style>
  <w:style w:type="table" w:styleId="1114" w:customStyle="1">
    <w:name w:val="List Table 6 Colorful"/>
    <w:uiPriority w:val="99"/>
    <w:qFormat/>
    <w:rPr>
      <w:rFonts w:ascii="Calibri" w:hAnsi="Calibri"/>
    </w:rPr>
    <w:tblPr>
      <w:tblCellMar>
        <w:left w:w="0" w:type="dxa"/>
        <w:top w:w="0" w:type="dxa"/>
        <w:right w:w="0" w:type="dxa"/>
        <w:bottom w:w="0" w:type="dxa"/>
      </w:tblCellMar>
    </w:tblPr>
  </w:style>
  <w:style w:type="table" w:styleId="1115" w:customStyle="1">
    <w:name w:val="List Table 6 Colorful - Accent 1"/>
    <w:uiPriority w:val="99"/>
    <w:qFormat/>
    <w:rPr>
      <w:rFonts w:ascii="Calibri" w:hAnsi="Calibri"/>
    </w:rPr>
    <w:tblPr>
      <w:tblCellMar>
        <w:left w:w="0" w:type="dxa"/>
        <w:top w:w="0" w:type="dxa"/>
        <w:right w:w="0" w:type="dxa"/>
        <w:bottom w:w="0" w:type="dxa"/>
      </w:tblCellMar>
    </w:tblPr>
  </w:style>
  <w:style w:type="table" w:styleId="1116" w:customStyle="1">
    <w:name w:val="List Table 6 Colorful - Accent 2"/>
    <w:uiPriority w:val="99"/>
    <w:qFormat/>
    <w:rPr>
      <w:rFonts w:ascii="Calibri" w:hAnsi="Calibri"/>
    </w:rPr>
    <w:tblPr>
      <w:tblCellMar>
        <w:left w:w="0" w:type="dxa"/>
        <w:top w:w="0" w:type="dxa"/>
        <w:right w:w="0" w:type="dxa"/>
        <w:bottom w:w="0" w:type="dxa"/>
      </w:tblCellMar>
    </w:tblPr>
  </w:style>
  <w:style w:type="table" w:styleId="1117" w:customStyle="1">
    <w:name w:val="List Table 6 Colorful - Accent 3"/>
    <w:uiPriority w:val="99"/>
    <w:qFormat/>
    <w:rPr>
      <w:rFonts w:ascii="Calibri" w:hAnsi="Calibri"/>
    </w:rPr>
    <w:tblPr>
      <w:tblCellMar>
        <w:left w:w="0" w:type="dxa"/>
        <w:top w:w="0" w:type="dxa"/>
        <w:right w:w="0" w:type="dxa"/>
        <w:bottom w:w="0" w:type="dxa"/>
      </w:tblCellMar>
    </w:tblPr>
  </w:style>
  <w:style w:type="table" w:styleId="1118" w:customStyle="1">
    <w:name w:val="List Table 6 Colorful - Accent 4"/>
    <w:uiPriority w:val="99"/>
    <w:qFormat/>
    <w:rPr>
      <w:rFonts w:ascii="Calibri" w:hAnsi="Calibri"/>
    </w:rPr>
    <w:tblPr>
      <w:tblCellMar>
        <w:left w:w="0" w:type="dxa"/>
        <w:top w:w="0" w:type="dxa"/>
        <w:right w:w="0" w:type="dxa"/>
        <w:bottom w:w="0" w:type="dxa"/>
      </w:tblCellMar>
    </w:tblPr>
  </w:style>
  <w:style w:type="table" w:styleId="1119" w:customStyle="1">
    <w:name w:val="List Table 6 Colorful - Accent 5"/>
    <w:uiPriority w:val="99"/>
    <w:qFormat/>
    <w:rPr>
      <w:rFonts w:ascii="Calibri" w:hAnsi="Calibri"/>
    </w:rPr>
    <w:tblPr>
      <w:tblCellMar>
        <w:left w:w="0" w:type="dxa"/>
        <w:top w:w="0" w:type="dxa"/>
        <w:right w:w="0" w:type="dxa"/>
        <w:bottom w:w="0" w:type="dxa"/>
      </w:tblCellMar>
    </w:tblPr>
  </w:style>
  <w:style w:type="table" w:styleId="1120" w:customStyle="1">
    <w:name w:val="List Table 6 Colorful - Accent 6"/>
    <w:uiPriority w:val="99"/>
    <w:qFormat/>
    <w:rPr>
      <w:rFonts w:ascii="Calibri" w:hAnsi="Calibri"/>
    </w:rPr>
    <w:tblPr>
      <w:tblCellMar>
        <w:left w:w="0" w:type="dxa"/>
        <w:top w:w="0" w:type="dxa"/>
        <w:right w:w="0" w:type="dxa"/>
        <w:bottom w:w="0" w:type="dxa"/>
      </w:tblCellMar>
    </w:tblPr>
  </w:style>
  <w:style w:type="table" w:styleId="1121" w:customStyle="1">
    <w:name w:val="List Table 7 Colorful"/>
    <w:uiPriority w:val="99"/>
    <w:qFormat/>
    <w:rPr>
      <w:rFonts w:ascii="Calibri" w:hAnsi="Calibri"/>
    </w:rPr>
    <w:tblPr>
      <w:tblCellMar>
        <w:left w:w="0" w:type="dxa"/>
        <w:top w:w="0" w:type="dxa"/>
        <w:right w:w="0" w:type="dxa"/>
        <w:bottom w:w="0" w:type="dxa"/>
      </w:tblCellMar>
    </w:tblPr>
  </w:style>
  <w:style w:type="table" w:styleId="1122" w:customStyle="1">
    <w:name w:val="List Table 7 Colorful - Accent 1"/>
    <w:uiPriority w:val="99"/>
    <w:qFormat/>
    <w:rPr>
      <w:rFonts w:ascii="Calibri" w:hAnsi="Calibri"/>
    </w:rPr>
    <w:tblPr>
      <w:tblCellMar>
        <w:left w:w="0" w:type="dxa"/>
        <w:top w:w="0" w:type="dxa"/>
        <w:right w:w="0" w:type="dxa"/>
        <w:bottom w:w="0" w:type="dxa"/>
      </w:tblCellMar>
    </w:tblPr>
  </w:style>
  <w:style w:type="table" w:styleId="1123" w:customStyle="1">
    <w:name w:val="List Table 7 Colorful - Accent 2"/>
    <w:uiPriority w:val="99"/>
    <w:qFormat/>
    <w:rPr>
      <w:rFonts w:ascii="Calibri" w:hAnsi="Calibri"/>
    </w:rPr>
    <w:tblPr>
      <w:tblCellMar>
        <w:left w:w="0" w:type="dxa"/>
        <w:top w:w="0" w:type="dxa"/>
        <w:right w:w="0" w:type="dxa"/>
        <w:bottom w:w="0" w:type="dxa"/>
      </w:tblCellMar>
    </w:tblPr>
  </w:style>
  <w:style w:type="table" w:styleId="1124" w:customStyle="1">
    <w:name w:val="List Table 7 Colorful - Accent 3"/>
    <w:uiPriority w:val="99"/>
    <w:qFormat/>
    <w:rPr>
      <w:rFonts w:ascii="Calibri" w:hAnsi="Calibri"/>
    </w:rPr>
    <w:tblPr>
      <w:tblCellMar>
        <w:left w:w="0" w:type="dxa"/>
        <w:top w:w="0" w:type="dxa"/>
        <w:right w:w="0" w:type="dxa"/>
        <w:bottom w:w="0" w:type="dxa"/>
      </w:tblCellMar>
    </w:tblPr>
  </w:style>
  <w:style w:type="table" w:styleId="1125" w:customStyle="1">
    <w:name w:val="List Table 7 Colorful - Accent 4"/>
    <w:uiPriority w:val="99"/>
    <w:qFormat/>
    <w:rPr>
      <w:rFonts w:ascii="Calibri" w:hAnsi="Calibri"/>
    </w:rPr>
    <w:tblPr>
      <w:tblCellMar>
        <w:left w:w="0" w:type="dxa"/>
        <w:top w:w="0" w:type="dxa"/>
        <w:right w:w="0" w:type="dxa"/>
        <w:bottom w:w="0" w:type="dxa"/>
      </w:tblCellMar>
    </w:tblPr>
  </w:style>
  <w:style w:type="table" w:styleId="1126" w:customStyle="1">
    <w:name w:val="List Table 7 Colorful - Accent 5"/>
    <w:uiPriority w:val="99"/>
    <w:qFormat/>
    <w:rPr>
      <w:rFonts w:ascii="Calibri" w:hAnsi="Calibri"/>
    </w:rPr>
    <w:tblPr>
      <w:tblCellMar>
        <w:left w:w="0" w:type="dxa"/>
        <w:top w:w="0" w:type="dxa"/>
        <w:right w:w="0" w:type="dxa"/>
        <w:bottom w:w="0" w:type="dxa"/>
      </w:tblCellMar>
    </w:tblPr>
  </w:style>
  <w:style w:type="table" w:styleId="1127" w:customStyle="1">
    <w:name w:val="List Table 7 Colorful - Accent 6"/>
    <w:uiPriority w:val="99"/>
    <w:qFormat/>
    <w:rPr>
      <w:rFonts w:ascii="Calibri" w:hAnsi="Calibri"/>
    </w:rPr>
    <w:tblPr>
      <w:tblCellMar>
        <w:left w:w="0" w:type="dxa"/>
        <w:top w:w="0" w:type="dxa"/>
        <w:right w:w="0" w:type="dxa"/>
        <w:bottom w:w="0" w:type="dxa"/>
      </w:tblCellMar>
    </w:tblPr>
  </w:style>
  <w:style w:type="table" w:styleId="1128" w:customStyle="1">
    <w:name w:val="Lined - Accent"/>
    <w:uiPriority w:val="99"/>
    <w:qFormat/>
    <w:rPr>
      <w:rFonts w:ascii="Calibri" w:hAnsi="Calibri"/>
      <w:color w:val="404040"/>
    </w:rPr>
    <w:tblPr>
      <w:tblCellMar>
        <w:left w:w="0" w:type="dxa"/>
        <w:top w:w="0" w:type="dxa"/>
        <w:right w:w="0" w:type="dxa"/>
        <w:bottom w:w="0" w:type="dxa"/>
      </w:tblCellMar>
    </w:tblPr>
  </w:style>
  <w:style w:type="table" w:styleId="1129" w:customStyle="1">
    <w:name w:val="Lined - Accent 1"/>
    <w:uiPriority w:val="99"/>
    <w:qFormat/>
    <w:rPr>
      <w:rFonts w:ascii="Calibri" w:hAnsi="Calibri"/>
      <w:color w:val="404040"/>
    </w:rPr>
    <w:tblPr>
      <w:tblCellMar>
        <w:left w:w="0" w:type="dxa"/>
        <w:top w:w="0" w:type="dxa"/>
        <w:right w:w="0" w:type="dxa"/>
        <w:bottom w:w="0" w:type="dxa"/>
      </w:tblCellMar>
    </w:tblPr>
  </w:style>
  <w:style w:type="table" w:styleId="1130" w:customStyle="1">
    <w:name w:val="Lined - Accent 2"/>
    <w:uiPriority w:val="99"/>
    <w:qFormat/>
    <w:rPr>
      <w:rFonts w:ascii="Calibri" w:hAnsi="Calibri"/>
      <w:color w:val="404040"/>
    </w:rPr>
    <w:tblPr>
      <w:tblCellMar>
        <w:left w:w="0" w:type="dxa"/>
        <w:top w:w="0" w:type="dxa"/>
        <w:right w:w="0" w:type="dxa"/>
        <w:bottom w:w="0" w:type="dxa"/>
      </w:tblCellMar>
    </w:tblPr>
  </w:style>
  <w:style w:type="table" w:styleId="1131" w:customStyle="1">
    <w:name w:val="Lined - Accent 3"/>
    <w:uiPriority w:val="99"/>
    <w:qFormat/>
    <w:rPr>
      <w:rFonts w:ascii="Calibri" w:hAnsi="Calibri"/>
      <w:color w:val="404040"/>
    </w:rPr>
    <w:tblPr>
      <w:tblCellMar>
        <w:left w:w="0" w:type="dxa"/>
        <w:top w:w="0" w:type="dxa"/>
        <w:right w:w="0" w:type="dxa"/>
        <w:bottom w:w="0" w:type="dxa"/>
      </w:tblCellMar>
    </w:tblPr>
  </w:style>
  <w:style w:type="table" w:styleId="1132" w:customStyle="1">
    <w:name w:val="Lined - Accent 4"/>
    <w:uiPriority w:val="99"/>
    <w:qFormat/>
    <w:rPr>
      <w:rFonts w:ascii="Calibri" w:hAnsi="Calibri"/>
      <w:color w:val="404040"/>
    </w:rPr>
    <w:tblPr>
      <w:tblCellMar>
        <w:left w:w="0" w:type="dxa"/>
        <w:top w:w="0" w:type="dxa"/>
        <w:right w:w="0" w:type="dxa"/>
        <w:bottom w:w="0" w:type="dxa"/>
      </w:tblCellMar>
    </w:tblPr>
  </w:style>
  <w:style w:type="table" w:styleId="1133" w:customStyle="1">
    <w:name w:val="Lined - Accent 5"/>
    <w:uiPriority w:val="99"/>
    <w:qFormat/>
    <w:rPr>
      <w:rFonts w:ascii="Calibri" w:hAnsi="Calibri"/>
      <w:color w:val="404040"/>
    </w:rPr>
    <w:tblPr>
      <w:tblCellMar>
        <w:left w:w="0" w:type="dxa"/>
        <w:top w:w="0" w:type="dxa"/>
        <w:right w:w="0" w:type="dxa"/>
        <w:bottom w:w="0" w:type="dxa"/>
      </w:tblCellMar>
    </w:tblPr>
  </w:style>
  <w:style w:type="table" w:styleId="1134" w:customStyle="1">
    <w:name w:val="Lined - Accent 6"/>
    <w:uiPriority w:val="99"/>
    <w:qFormat/>
    <w:rPr>
      <w:rFonts w:ascii="Calibri" w:hAnsi="Calibri"/>
      <w:color w:val="404040"/>
    </w:rPr>
    <w:tblPr>
      <w:tblCellMar>
        <w:left w:w="0" w:type="dxa"/>
        <w:top w:w="0" w:type="dxa"/>
        <w:right w:w="0" w:type="dxa"/>
        <w:bottom w:w="0" w:type="dxa"/>
      </w:tblCellMar>
    </w:tblPr>
  </w:style>
  <w:style w:type="table" w:styleId="1135" w:customStyle="1">
    <w:name w:val="Bordered &amp; Lined - Accent"/>
    <w:uiPriority w:val="99"/>
    <w:qFormat/>
    <w:rPr>
      <w:rFonts w:ascii="Calibri" w:hAnsi="Calibri"/>
      <w:color w:val="404040"/>
    </w:rPr>
    <w:tblPr>
      <w:tblCellMar>
        <w:left w:w="0" w:type="dxa"/>
        <w:top w:w="0" w:type="dxa"/>
        <w:right w:w="0" w:type="dxa"/>
        <w:bottom w:w="0" w:type="dxa"/>
      </w:tblCellMar>
    </w:tblPr>
  </w:style>
  <w:style w:type="table" w:styleId="1136" w:customStyle="1">
    <w:name w:val="Bordered &amp; Lined - Accent 1"/>
    <w:uiPriority w:val="99"/>
    <w:qFormat/>
    <w:rPr>
      <w:rFonts w:ascii="Calibri" w:hAnsi="Calibri"/>
      <w:color w:val="404040"/>
    </w:rPr>
    <w:tblPr>
      <w:tblCellMar>
        <w:left w:w="0" w:type="dxa"/>
        <w:top w:w="0" w:type="dxa"/>
        <w:right w:w="0" w:type="dxa"/>
        <w:bottom w:w="0" w:type="dxa"/>
      </w:tblCellMar>
    </w:tblPr>
  </w:style>
  <w:style w:type="table" w:styleId="1137" w:customStyle="1">
    <w:name w:val="Bordered &amp; Lined - Accent 2"/>
    <w:uiPriority w:val="99"/>
    <w:qFormat/>
    <w:rPr>
      <w:rFonts w:ascii="Calibri" w:hAnsi="Calibri"/>
      <w:color w:val="404040"/>
    </w:rPr>
    <w:tblPr>
      <w:tblCellMar>
        <w:left w:w="0" w:type="dxa"/>
        <w:top w:w="0" w:type="dxa"/>
        <w:right w:w="0" w:type="dxa"/>
        <w:bottom w:w="0" w:type="dxa"/>
      </w:tblCellMar>
    </w:tblPr>
  </w:style>
  <w:style w:type="table" w:styleId="1138" w:customStyle="1">
    <w:name w:val="Bordered &amp; Lined - Accent 3"/>
    <w:uiPriority w:val="99"/>
    <w:qFormat/>
    <w:rPr>
      <w:rFonts w:ascii="Calibri" w:hAnsi="Calibri"/>
      <w:color w:val="404040"/>
    </w:rPr>
    <w:tblPr>
      <w:tblCellMar>
        <w:left w:w="0" w:type="dxa"/>
        <w:top w:w="0" w:type="dxa"/>
        <w:right w:w="0" w:type="dxa"/>
        <w:bottom w:w="0" w:type="dxa"/>
      </w:tblCellMar>
    </w:tblPr>
  </w:style>
  <w:style w:type="table" w:styleId="1139" w:customStyle="1">
    <w:name w:val="Bordered &amp; Lined - Accent 4"/>
    <w:uiPriority w:val="99"/>
    <w:qFormat/>
    <w:rPr>
      <w:rFonts w:ascii="Calibri" w:hAnsi="Calibri"/>
      <w:color w:val="404040"/>
    </w:rPr>
    <w:tblPr>
      <w:tblCellMar>
        <w:left w:w="0" w:type="dxa"/>
        <w:top w:w="0" w:type="dxa"/>
        <w:right w:w="0" w:type="dxa"/>
        <w:bottom w:w="0" w:type="dxa"/>
      </w:tblCellMar>
    </w:tblPr>
  </w:style>
  <w:style w:type="table" w:styleId="1140" w:customStyle="1">
    <w:name w:val="Bordered &amp; Lined - Accent 5"/>
    <w:uiPriority w:val="99"/>
    <w:qFormat/>
    <w:rPr>
      <w:rFonts w:ascii="Calibri" w:hAnsi="Calibri"/>
      <w:color w:val="404040"/>
    </w:rPr>
    <w:tblPr>
      <w:tblCellMar>
        <w:left w:w="0" w:type="dxa"/>
        <w:top w:w="0" w:type="dxa"/>
        <w:right w:w="0" w:type="dxa"/>
        <w:bottom w:w="0" w:type="dxa"/>
      </w:tblCellMar>
    </w:tblPr>
  </w:style>
  <w:style w:type="table" w:styleId="1141" w:customStyle="1">
    <w:name w:val="Bordered &amp; Lined - Accent 6"/>
    <w:uiPriority w:val="99"/>
    <w:qFormat/>
    <w:rPr>
      <w:rFonts w:ascii="Calibri" w:hAnsi="Calibri"/>
      <w:color w:val="404040"/>
    </w:rPr>
    <w:tblPr>
      <w:tblCellMar>
        <w:left w:w="0" w:type="dxa"/>
        <w:top w:w="0" w:type="dxa"/>
        <w:right w:w="0" w:type="dxa"/>
        <w:bottom w:w="0" w:type="dxa"/>
      </w:tblCellMar>
    </w:tblPr>
  </w:style>
  <w:style w:type="table" w:styleId="1142" w:customStyle="1">
    <w:name w:val="Bordered"/>
    <w:uiPriority w:val="99"/>
    <w:qFormat/>
    <w:rPr>
      <w:rFonts w:ascii="Calibri" w:hAnsi="Calibri"/>
    </w:rPr>
    <w:tblPr>
      <w:tblCellMar>
        <w:left w:w="0" w:type="dxa"/>
        <w:top w:w="0" w:type="dxa"/>
        <w:right w:w="0" w:type="dxa"/>
        <w:bottom w:w="0" w:type="dxa"/>
      </w:tblCellMar>
    </w:tblPr>
  </w:style>
  <w:style w:type="table" w:styleId="1143" w:customStyle="1">
    <w:name w:val="Bordered - Accent 1"/>
    <w:uiPriority w:val="99"/>
    <w:qFormat/>
    <w:rPr>
      <w:rFonts w:ascii="Calibri" w:hAnsi="Calibri"/>
    </w:rPr>
    <w:tblPr>
      <w:tblCellMar>
        <w:left w:w="0" w:type="dxa"/>
        <w:top w:w="0" w:type="dxa"/>
        <w:right w:w="0" w:type="dxa"/>
        <w:bottom w:w="0" w:type="dxa"/>
      </w:tblCellMar>
    </w:tblPr>
  </w:style>
  <w:style w:type="table" w:styleId="1144" w:customStyle="1">
    <w:name w:val="Bordered - Accent 2"/>
    <w:uiPriority w:val="99"/>
    <w:qFormat/>
    <w:rPr>
      <w:rFonts w:ascii="Calibri" w:hAnsi="Calibri"/>
    </w:rPr>
    <w:tblPr>
      <w:tblCellMar>
        <w:left w:w="0" w:type="dxa"/>
        <w:top w:w="0" w:type="dxa"/>
        <w:right w:w="0" w:type="dxa"/>
        <w:bottom w:w="0" w:type="dxa"/>
      </w:tblCellMar>
    </w:tblPr>
  </w:style>
  <w:style w:type="table" w:styleId="1145" w:customStyle="1">
    <w:name w:val="Bordered - Accent 3"/>
    <w:uiPriority w:val="99"/>
    <w:qFormat/>
    <w:rPr>
      <w:rFonts w:ascii="Calibri" w:hAnsi="Calibri"/>
    </w:rPr>
    <w:tblPr>
      <w:tblCellMar>
        <w:left w:w="0" w:type="dxa"/>
        <w:top w:w="0" w:type="dxa"/>
        <w:right w:w="0" w:type="dxa"/>
        <w:bottom w:w="0" w:type="dxa"/>
      </w:tblCellMar>
    </w:tblPr>
  </w:style>
  <w:style w:type="table" w:styleId="1146" w:customStyle="1">
    <w:name w:val="Bordered - Accent 4"/>
    <w:uiPriority w:val="99"/>
    <w:qFormat/>
    <w:rPr>
      <w:rFonts w:ascii="Calibri" w:hAnsi="Calibri"/>
    </w:rPr>
    <w:tblPr>
      <w:tblCellMar>
        <w:left w:w="0" w:type="dxa"/>
        <w:top w:w="0" w:type="dxa"/>
        <w:right w:w="0" w:type="dxa"/>
        <w:bottom w:w="0" w:type="dxa"/>
      </w:tblCellMar>
    </w:tblPr>
  </w:style>
  <w:style w:type="table" w:styleId="1147" w:customStyle="1">
    <w:name w:val="Bordered - Accent 5"/>
    <w:uiPriority w:val="99"/>
    <w:qFormat/>
    <w:rPr>
      <w:rFonts w:ascii="Calibri" w:hAnsi="Calibri"/>
    </w:rPr>
    <w:tblPr>
      <w:tblCellMar>
        <w:left w:w="0" w:type="dxa"/>
        <w:top w:w="0" w:type="dxa"/>
        <w:right w:w="0" w:type="dxa"/>
        <w:bottom w:w="0" w:type="dxa"/>
      </w:tblCellMar>
    </w:tblPr>
  </w:style>
  <w:style w:type="table" w:styleId="1148" w:customStyle="1">
    <w:name w:val="Bordered - Accent 6"/>
    <w:uiPriority w:val="99"/>
    <w:qFormat/>
    <w:rPr>
      <w:rFonts w:ascii="Calibri" w:hAnsi="Calibri"/>
    </w:rPr>
    <w:tblPr>
      <w:tblCellMar>
        <w:left w:w="0" w:type="dxa"/>
        <w:top w:w="0" w:type="dxa"/>
        <w:right w:w="0" w:type="dxa"/>
        <w:bottom w:w="0" w:type="dxa"/>
      </w:tblCellMar>
    </w:tblPr>
  </w:style>
  <w:style w:type="paragraph" w:styleId="1149" w:customStyle="1">
    <w:name w:val="TOC 标题11"/>
    <w:uiPriority w:val="39"/>
    <w:unhideWhenUsed/>
    <w:qFormat/>
    <w:rPr>
      <w:rFonts w:hint="default" w:ascii="Calibri" w:hAnsi="Calibri" w:eastAsia="宋体" w:cs="Times New Roman"/>
      <w:lang w:val="en-US" w:eastAsia="zh-CN" w:bidi="ar-SA"/>
    </w:rPr>
  </w:style>
  <w:style w:type="paragraph" w:styleId="1150" w:customStyle="1">
    <w:name w:val="标题 11"/>
    <w:basedOn w:val="790"/>
    <w:next w:val="790"/>
    <w:link w:val="1151"/>
    <w:uiPriority w:val="0"/>
    <w:qFormat/>
    <w:pPr>
      <w:jc w:val="center"/>
      <w:keepNext/>
      <w:outlineLvl w:val="0"/>
    </w:pPr>
    <w:rPr>
      <w:rFonts w:ascii="楷体_GB2312" w:hAnsi="Times New Roman" w:eastAsia="楷体_GB2312"/>
      <w:sz w:val="28"/>
      <w:szCs w:val="28"/>
      <w:lang w:eastAsia="en-US"/>
    </w:rPr>
  </w:style>
  <w:style w:type="character" w:styleId="1151" w:customStyle="1">
    <w:name w:val="标题 1 Char"/>
    <w:link w:val="1150"/>
    <w:uiPriority w:val="0"/>
    <w:qFormat/>
    <w:rPr>
      <w:rFonts w:ascii="楷体_GB2312" w:hAnsi="Times New Roman" w:eastAsia="楷体_GB2312" w:cs="Times New Roman"/>
      <w:sz w:val="28"/>
      <w:szCs w:val="28"/>
      <w:lang w:eastAsia="en-US"/>
    </w:rPr>
  </w:style>
  <w:style w:type="paragraph" w:styleId="1152" w:customStyle="1">
    <w:name w:val="标题 21"/>
    <w:basedOn w:val="790"/>
    <w:next w:val="1153"/>
    <w:link w:val="1154"/>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1153" w:customStyle="1">
    <w:name w:val="正文缩进1"/>
    <w:basedOn w:val="790"/>
    <w:link w:val="1155"/>
    <w:uiPriority w:val="0"/>
    <w:qFormat/>
    <w:pPr>
      <w:ind w:firstLine="420"/>
    </w:pPr>
    <w:rPr>
      <w:rFonts w:ascii="Times New Roman" w:hAnsi="Times New Roman" w:eastAsia="宋体"/>
      <w:sz w:val="20"/>
      <w:szCs w:val="21"/>
      <w:lang w:eastAsia="en-US"/>
    </w:rPr>
  </w:style>
  <w:style w:type="character" w:styleId="1154" w:customStyle="1">
    <w:name w:val="标题 2 Char"/>
    <w:link w:val="1152"/>
    <w:uiPriority w:val="0"/>
    <w:qFormat/>
    <w:rPr>
      <w:rFonts w:ascii="Arial" w:hAnsi="Arial" w:eastAsia="幼圆" w:cs="Times New Roman"/>
      <w:b/>
      <w:bCs/>
      <w:sz w:val="44"/>
      <w:szCs w:val="44"/>
      <w:lang w:eastAsia="en-US"/>
    </w:rPr>
  </w:style>
  <w:style w:type="character" w:styleId="1155" w:customStyle="1">
    <w:name w:val="正文缩进 Char"/>
    <w:link w:val="1153"/>
    <w:uiPriority w:val="0"/>
    <w:qFormat/>
    <w:rPr>
      <w:rFonts w:ascii="Times New Roman" w:hAnsi="Times New Roman" w:eastAsia="宋体" w:cs="Times New Roman"/>
      <w:szCs w:val="21"/>
      <w:lang w:eastAsia="en-US"/>
    </w:rPr>
  </w:style>
  <w:style w:type="paragraph" w:styleId="1156" w:customStyle="1">
    <w:name w:val="标题 41"/>
    <w:basedOn w:val="790"/>
    <w:next w:val="1153"/>
    <w:link w:val="1157"/>
    <w:uiPriority w:val="0"/>
    <w:qFormat/>
    <w:pPr>
      <w:keepLines/>
      <w:keepNext/>
      <w:spacing w:before="280" w:after="290" w:line="376" w:lineRule="auto"/>
      <w:outlineLvl w:val="3"/>
    </w:pPr>
    <w:rPr>
      <w:rFonts w:ascii="Arial" w:hAnsi="Arial" w:eastAsia="黑体"/>
      <w:b/>
      <w:bCs/>
      <w:sz w:val="28"/>
      <w:szCs w:val="28"/>
      <w:lang w:eastAsia="en-US"/>
    </w:rPr>
  </w:style>
  <w:style w:type="character" w:styleId="1157" w:customStyle="1">
    <w:name w:val="标题 4 Char"/>
    <w:link w:val="1156"/>
    <w:uiPriority w:val="0"/>
    <w:qFormat/>
    <w:rPr>
      <w:rFonts w:ascii="Arial" w:hAnsi="Arial" w:eastAsia="黑体" w:cs="Times New Roman"/>
      <w:b/>
      <w:bCs/>
      <w:sz w:val="28"/>
      <w:szCs w:val="28"/>
      <w:lang w:eastAsia="en-US"/>
    </w:rPr>
  </w:style>
  <w:style w:type="paragraph" w:styleId="1158" w:customStyle="1">
    <w:name w:val="标题 51"/>
    <w:basedOn w:val="790"/>
    <w:next w:val="1153"/>
    <w:link w:val="1159"/>
    <w:uiPriority w:val="0"/>
    <w:qFormat/>
    <w:pPr>
      <w:keepNext/>
      <w:outlineLvl w:val="4"/>
    </w:pPr>
    <w:rPr>
      <w:rFonts w:ascii="宋体" w:hAnsi="Times New Roman" w:eastAsia="宋体"/>
      <w:color w:val="000000"/>
      <w:sz w:val="28"/>
      <w:szCs w:val="28"/>
      <w:lang w:eastAsia="en-US"/>
    </w:rPr>
  </w:style>
  <w:style w:type="character" w:styleId="1159" w:customStyle="1">
    <w:name w:val="标题 5 Char"/>
    <w:link w:val="1158"/>
    <w:uiPriority w:val="0"/>
    <w:qFormat/>
    <w:rPr>
      <w:rFonts w:ascii="宋体" w:hAnsi="Times New Roman" w:eastAsia="宋体" w:cs="Times New Roman"/>
      <w:color w:val="000000"/>
      <w:sz w:val="28"/>
      <w:szCs w:val="28"/>
      <w:lang w:eastAsia="en-US"/>
    </w:rPr>
  </w:style>
  <w:style w:type="paragraph" w:styleId="1160" w:customStyle="1">
    <w:name w:val="标题 61"/>
    <w:basedOn w:val="790"/>
    <w:next w:val="790"/>
    <w:link w:val="1161"/>
    <w:uiPriority w:val="0"/>
    <w:qFormat/>
    <w:pPr>
      <w:numPr>
        <w:ilvl w:val="5"/>
        <w:numId w:val="3"/>
      </w:numPr>
      <w:keepLines/>
      <w:keepNext/>
      <w:spacing w:before="240" w:after="64" w:line="320" w:lineRule="auto"/>
      <w:outlineLvl w:val="5"/>
    </w:pPr>
    <w:rPr>
      <w:rFonts w:ascii="Arial" w:hAnsi="Arial" w:eastAsia="黑体"/>
      <w:b/>
      <w:bCs/>
      <w:sz w:val="24"/>
      <w:szCs w:val="24"/>
      <w:lang w:eastAsia="en-US"/>
    </w:rPr>
  </w:style>
  <w:style w:type="character" w:styleId="1161" w:customStyle="1">
    <w:name w:val="标题 6 Char"/>
    <w:link w:val="1160"/>
    <w:uiPriority w:val="0"/>
    <w:qFormat/>
    <w:rPr>
      <w:rFonts w:ascii="Arial" w:hAnsi="Arial" w:eastAsia="黑体" w:cs="Times New Roman"/>
      <w:b/>
      <w:bCs/>
      <w:sz w:val="24"/>
      <w:szCs w:val="24"/>
      <w:lang w:eastAsia="en-US"/>
    </w:rPr>
  </w:style>
  <w:style w:type="paragraph" w:styleId="1162" w:customStyle="1">
    <w:name w:val="标题 71"/>
    <w:basedOn w:val="790"/>
    <w:next w:val="790"/>
    <w:link w:val="1163"/>
    <w:uiPriority w:val="0"/>
    <w:qFormat/>
    <w:pPr>
      <w:numPr>
        <w:ilvl w:val="6"/>
        <w:numId w:val="3"/>
      </w:numPr>
      <w:keepLines/>
      <w:keepNext/>
      <w:spacing w:before="240" w:after="64" w:line="320" w:lineRule="auto"/>
      <w:outlineLvl w:val="6"/>
    </w:pPr>
    <w:rPr>
      <w:rFonts w:ascii="Times New Roman" w:hAnsi="Times New Roman" w:eastAsia="宋体"/>
      <w:b/>
      <w:bCs/>
      <w:sz w:val="24"/>
      <w:szCs w:val="24"/>
      <w:lang w:eastAsia="en-US"/>
    </w:rPr>
  </w:style>
  <w:style w:type="character" w:styleId="1163" w:customStyle="1">
    <w:name w:val="标题 7 Char"/>
    <w:link w:val="1162"/>
    <w:uiPriority w:val="0"/>
    <w:qFormat/>
    <w:rPr>
      <w:rFonts w:ascii="Times New Roman" w:hAnsi="Times New Roman" w:eastAsia="宋体" w:cs="Times New Roman"/>
      <w:b/>
      <w:bCs/>
      <w:sz w:val="24"/>
      <w:szCs w:val="24"/>
      <w:lang w:eastAsia="en-US"/>
    </w:rPr>
  </w:style>
  <w:style w:type="paragraph" w:styleId="1164" w:customStyle="1">
    <w:name w:val="标题 81"/>
    <w:basedOn w:val="790"/>
    <w:next w:val="790"/>
    <w:link w:val="1165"/>
    <w:uiPriority w:val="0"/>
    <w:qFormat/>
    <w:pPr>
      <w:numPr>
        <w:ilvl w:val="7"/>
        <w:numId w:val="3"/>
      </w:numPr>
      <w:keepLines/>
      <w:keepNext/>
      <w:spacing w:before="240" w:after="64" w:line="320" w:lineRule="auto"/>
      <w:outlineLvl w:val="7"/>
    </w:pPr>
    <w:rPr>
      <w:rFonts w:ascii="Arial" w:hAnsi="Arial" w:eastAsia="黑体"/>
      <w:sz w:val="24"/>
      <w:szCs w:val="24"/>
      <w:lang w:eastAsia="en-US"/>
    </w:rPr>
  </w:style>
  <w:style w:type="character" w:styleId="1165" w:customStyle="1">
    <w:name w:val="标题 8 Char"/>
    <w:link w:val="1164"/>
    <w:uiPriority w:val="0"/>
    <w:qFormat/>
    <w:rPr>
      <w:rFonts w:ascii="Arial" w:hAnsi="Arial" w:eastAsia="黑体" w:cs="Times New Roman"/>
      <w:sz w:val="24"/>
      <w:szCs w:val="24"/>
      <w:lang w:eastAsia="en-US"/>
    </w:rPr>
  </w:style>
  <w:style w:type="paragraph" w:styleId="1166" w:customStyle="1">
    <w:name w:val="标题 91"/>
    <w:basedOn w:val="790"/>
    <w:next w:val="790"/>
    <w:link w:val="1167"/>
    <w:uiPriority w:val="0"/>
    <w:qFormat/>
    <w:pPr>
      <w:numPr>
        <w:ilvl w:val="8"/>
        <w:numId w:val="3"/>
      </w:numPr>
      <w:keepLines/>
      <w:keepNext/>
      <w:spacing w:before="240" w:after="64" w:line="320" w:lineRule="auto"/>
      <w:outlineLvl w:val="8"/>
    </w:pPr>
    <w:rPr>
      <w:rFonts w:ascii="Arial" w:hAnsi="Arial" w:eastAsia="黑体"/>
      <w:sz w:val="20"/>
      <w:szCs w:val="21"/>
      <w:lang w:eastAsia="en-US"/>
    </w:rPr>
  </w:style>
  <w:style w:type="character" w:styleId="1167" w:customStyle="1">
    <w:name w:val="标题 9 Char"/>
    <w:link w:val="1166"/>
    <w:uiPriority w:val="0"/>
    <w:qFormat/>
    <w:rPr>
      <w:rFonts w:ascii="Arial" w:hAnsi="Arial" w:eastAsia="黑体" w:cs="Times New Roman"/>
      <w:szCs w:val="21"/>
      <w:lang w:eastAsia="en-US"/>
    </w:rPr>
  </w:style>
  <w:style w:type="character" w:styleId="1168" w:customStyle="1">
    <w:name w:val="默认段落字体1"/>
    <w:uiPriority w:val="1"/>
    <w:unhideWhenUsed/>
    <w:qFormat/>
  </w:style>
  <w:style w:type="table" w:styleId="1169" w:customStyle="1">
    <w:name w:val="普通表格1"/>
    <w:uiPriority w:val="99"/>
    <w:unhideWhenUsed/>
    <w:qFormat/>
    <w:rPr>
      <w:rFonts w:ascii="Calibri" w:hAnsi="Calibri"/>
    </w:rPr>
    <w:tblPr>
      <w:tblCellMar>
        <w:left w:w="0" w:type="dxa"/>
        <w:top w:w="0" w:type="dxa"/>
        <w:right w:w="0" w:type="dxa"/>
        <w:bottom w:w="0" w:type="dxa"/>
      </w:tblCellMar>
    </w:tblPr>
  </w:style>
  <w:style w:type="paragraph" w:styleId="1170" w:customStyle="1">
    <w:name w:val="列表 31"/>
    <w:basedOn w:val="790"/>
    <w:uiPriority w:val="0"/>
    <w:qFormat/>
    <w:pPr>
      <w:ind w:left="100" w:hanging="200"/>
    </w:pPr>
    <w:rPr>
      <w:rFonts w:ascii="Times New Roman" w:hAnsi="Times New Roman" w:eastAsia="宋体"/>
      <w:szCs w:val="21"/>
    </w:rPr>
  </w:style>
  <w:style w:type="paragraph" w:styleId="1171" w:customStyle="1">
    <w:name w:val="目录 711"/>
    <w:basedOn w:val="790"/>
    <w:next w:val="790"/>
    <w:uiPriority w:val="0"/>
    <w:semiHidden/>
    <w:qFormat/>
    <w:pPr>
      <w:ind w:left="1260"/>
      <w:jc w:val="left"/>
    </w:pPr>
    <w:rPr>
      <w:rFonts w:ascii="Times New Roman" w:hAnsi="Times New Roman" w:eastAsia="宋体"/>
      <w:szCs w:val="21"/>
    </w:rPr>
  </w:style>
  <w:style w:type="paragraph" w:styleId="1172" w:customStyle="1">
    <w:name w:val="文档结构图1"/>
    <w:basedOn w:val="790"/>
    <w:link w:val="1173"/>
    <w:uiPriority w:val="0"/>
    <w:semiHidden/>
    <w:qFormat/>
    <w:pPr>
      <w:shd w:val="clear" w:color="auto" w:fill="000080"/>
    </w:pPr>
    <w:rPr>
      <w:rFonts w:ascii="Times New Roman" w:hAnsi="Times New Roman" w:eastAsia="宋体"/>
      <w:sz w:val="20"/>
      <w:szCs w:val="21"/>
      <w:lang w:eastAsia="en-US"/>
    </w:rPr>
  </w:style>
  <w:style w:type="character" w:styleId="1173" w:customStyle="1">
    <w:name w:val="文档结构图 Char"/>
    <w:link w:val="1172"/>
    <w:uiPriority w:val="0"/>
    <w:semiHidden/>
    <w:qFormat/>
    <w:rPr>
      <w:rFonts w:ascii="Times New Roman" w:hAnsi="Times New Roman" w:eastAsia="宋体" w:cs="Times New Roman"/>
      <w:szCs w:val="21"/>
      <w:shd w:val="clear" w:color="auto" w:fill="000080"/>
      <w:lang w:eastAsia="en-US"/>
    </w:rPr>
  </w:style>
  <w:style w:type="paragraph" w:styleId="1174" w:customStyle="1">
    <w:name w:val="批注文字1"/>
    <w:basedOn w:val="790"/>
    <w:link w:val="1175"/>
    <w:uiPriority w:val="0"/>
    <w:semiHidden/>
    <w:qFormat/>
    <w:pPr>
      <w:jc w:val="left"/>
    </w:pPr>
    <w:rPr>
      <w:rFonts w:ascii="Times New Roman" w:hAnsi="Times New Roman" w:eastAsia="宋体"/>
      <w:sz w:val="20"/>
      <w:szCs w:val="21"/>
      <w:lang w:eastAsia="en-US"/>
    </w:rPr>
  </w:style>
  <w:style w:type="character" w:styleId="1175" w:customStyle="1">
    <w:name w:val="批注文字 Char"/>
    <w:link w:val="1174"/>
    <w:uiPriority w:val="0"/>
    <w:semiHidden/>
    <w:qFormat/>
    <w:rPr>
      <w:rFonts w:ascii="Times New Roman" w:hAnsi="Times New Roman" w:eastAsia="宋体" w:cs="Times New Roman"/>
      <w:szCs w:val="21"/>
      <w:lang w:eastAsia="en-US"/>
    </w:rPr>
  </w:style>
  <w:style w:type="paragraph" w:styleId="1176" w:customStyle="1">
    <w:name w:val="正文文本 31"/>
    <w:basedOn w:val="790"/>
    <w:link w:val="1177"/>
    <w:uiPriority w:val="0"/>
    <w:qFormat/>
    <w:rPr>
      <w:rFonts w:ascii="仿宋_GB2312" w:hAnsi="Arial" w:eastAsia="仿宋_GB2312"/>
      <w:sz w:val="32"/>
      <w:szCs w:val="32"/>
      <w:lang w:eastAsia="en-US"/>
    </w:rPr>
  </w:style>
  <w:style w:type="character" w:styleId="1177" w:customStyle="1">
    <w:name w:val="正文文本 3 Char"/>
    <w:link w:val="1176"/>
    <w:uiPriority w:val="0"/>
    <w:qFormat/>
    <w:rPr>
      <w:rFonts w:ascii="仿宋_GB2312" w:hAnsi="Arial" w:eastAsia="仿宋_GB2312" w:cs="Times New Roman"/>
      <w:sz w:val="32"/>
      <w:szCs w:val="32"/>
      <w:lang w:eastAsia="en-US"/>
    </w:rPr>
  </w:style>
  <w:style w:type="paragraph" w:styleId="1178" w:customStyle="1">
    <w:name w:val="正文文本1"/>
    <w:basedOn w:val="790"/>
    <w:link w:val="1179"/>
    <w:uiPriority w:val="0"/>
    <w:qFormat/>
    <w:rPr>
      <w:rFonts w:ascii="楷体_GB2312" w:hAnsi="Arial" w:eastAsia="楷体_GB2312"/>
      <w:sz w:val="28"/>
      <w:szCs w:val="28"/>
      <w:lang w:eastAsia="en-US"/>
    </w:rPr>
  </w:style>
  <w:style w:type="character" w:styleId="1179" w:customStyle="1">
    <w:name w:val="正文文本 Char"/>
    <w:link w:val="1178"/>
    <w:uiPriority w:val="0"/>
    <w:qFormat/>
    <w:rPr>
      <w:rFonts w:ascii="楷体_GB2312" w:hAnsi="Arial" w:eastAsia="楷体_GB2312" w:cs="Times New Roman"/>
      <w:sz w:val="28"/>
      <w:szCs w:val="28"/>
      <w:lang w:eastAsia="en-US"/>
    </w:rPr>
  </w:style>
  <w:style w:type="paragraph" w:styleId="1180" w:customStyle="1">
    <w:name w:val="正文文本缩进1"/>
    <w:basedOn w:val="790"/>
    <w:next w:val="1181"/>
    <w:link w:val="1182"/>
    <w:uiPriority w:val="0"/>
    <w:qFormat/>
    <w:pPr>
      <w:ind w:firstLine="645"/>
    </w:pPr>
    <w:rPr>
      <w:rFonts w:ascii="楷体_GB2312" w:hAnsi="Times New Roman" w:eastAsia="楷体_GB2312"/>
      <w:sz w:val="32"/>
      <w:szCs w:val="32"/>
      <w:lang w:eastAsia="en-US"/>
    </w:rPr>
  </w:style>
  <w:style w:type="paragraph" w:styleId="1181" w:customStyle="1">
    <w:name w:val="寄信人地址1"/>
    <w:basedOn w:val="790"/>
    <w:uiPriority w:val="99"/>
    <w:unhideWhenUsed/>
    <w:qFormat/>
    <w:rPr>
      <w:rFonts w:ascii="Arial" w:hAnsi="Arial"/>
    </w:rPr>
  </w:style>
  <w:style w:type="character" w:styleId="1182" w:customStyle="1">
    <w:name w:val="正文文本缩进 Char"/>
    <w:link w:val="1180"/>
    <w:uiPriority w:val="0"/>
    <w:qFormat/>
    <w:rPr>
      <w:rFonts w:ascii="楷体_GB2312" w:hAnsi="Times New Roman" w:eastAsia="楷体_GB2312" w:cs="Times New Roman"/>
      <w:sz w:val="32"/>
      <w:szCs w:val="32"/>
      <w:lang w:eastAsia="en-US"/>
    </w:rPr>
  </w:style>
  <w:style w:type="paragraph" w:styleId="1183" w:customStyle="1">
    <w:name w:val="列表 21"/>
    <w:basedOn w:val="790"/>
    <w:uiPriority w:val="0"/>
    <w:qFormat/>
    <w:pPr>
      <w:ind w:left="100" w:hanging="200"/>
    </w:pPr>
    <w:rPr>
      <w:rFonts w:ascii="Times New Roman" w:hAnsi="Times New Roman" w:eastAsia="宋体"/>
      <w:szCs w:val="21"/>
    </w:rPr>
  </w:style>
  <w:style w:type="paragraph" w:styleId="1184" w:customStyle="1">
    <w:name w:val="目录 511"/>
    <w:basedOn w:val="790"/>
    <w:next w:val="790"/>
    <w:uiPriority w:val="0"/>
    <w:semiHidden/>
    <w:qFormat/>
    <w:pPr>
      <w:ind w:left="840"/>
      <w:jc w:val="left"/>
    </w:pPr>
    <w:rPr>
      <w:rFonts w:ascii="Times New Roman" w:hAnsi="Times New Roman" w:eastAsia="宋体"/>
      <w:szCs w:val="21"/>
    </w:rPr>
  </w:style>
  <w:style w:type="paragraph" w:styleId="1185" w:customStyle="1">
    <w:name w:val="目录 311"/>
    <w:basedOn w:val="790"/>
    <w:next w:val="790"/>
    <w:uiPriority w:val="0"/>
    <w:semiHidden/>
    <w:qFormat/>
    <w:pPr>
      <w:ind w:left="420"/>
      <w:jc w:val="left"/>
    </w:pPr>
    <w:rPr>
      <w:rFonts w:ascii="Times New Roman" w:hAnsi="Times New Roman" w:eastAsia="宋体"/>
      <w:i/>
      <w:iCs/>
      <w:szCs w:val="24"/>
    </w:rPr>
  </w:style>
  <w:style w:type="paragraph" w:styleId="1186" w:customStyle="1">
    <w:name w:val="纯文本1"/>
    <w:basedOn w:val="790"/>
    <w:link w:val="1187"/>
    <w:uiPriority w:val="0"/>
    <w:qFormat/>
    <w:rPr>
      <w:rFonts w:ascii="宋体" w:hAnsi="Courier New" w:eastAsia="宋体"/>
      <w:sz w:val="20"/>
      <w:szCs w:val="21"/>
      <w:lang w:eastAsia="en-US"/>
    </w:rPr>
  </w:style>
  <w:style w:type="character" w:styleId="1187" w:customStyle="1">
    <w:name w:val="纯文本 Char"/>
    <w:link w:val="1186"/>
    <w:uiPriority w:val="0"/>
    <w:qFormat/>
    <w:rPr>
      <w:rFonts w:ascii="宋体" w:hAnsi="Courier New" w:eastAsia="宋体" w:cs="Times New Roman"/>
      <w:szCs w:val="21"/>
      <w:lang w:eastAsia="en-US"/>
    </w:rPr>
  </w:style>
  <w:style w:type="paragraph" w:styleId="1188" w:customStyle="1">
    <w:name w:val="目录 811"/>
    <w:basedOn w:val="790"/>
    <w:next w:val="790"/>
    <w:uiPriority w:val="0"/>
    <w:semiHidden/>
    <w:qFormat/>
    <w:pPr>
      <w:ind w:left="1470"/>
      <w:jc w:val="left"/>
    </w:pPr>
    <w:rPr>
      <w:rFonts w:ascii="Times New Roman" w:hAnsi="Times New Roman" w:eastAsia="宋体"/>
      <w:szCs w:val="21"/>
    </w:rPr>
  </w:style>
  <w:style w:type="paragraph" w:styleId="1189" w:customStyle="1">
    <w:name w:val="日期1"/>
    <w:basedOn w:val="790"/>
    <w:next w:val="790"/>
    <w:link w:val="1190"/>
    <w:uiPriority w:val="0"/>
    <w:qFormat/>
    <w:rPr>
      <w:rFonts w:ascii="Times New Roman" w:hAnsi="Times New Roman" w:eastAsia="宋体"/>
      <w:sz w:val="24"/>
      <w:szCs w:val="24"/>
      <w:lang w:eastAsia="en-US"/>
    </w:rPr>
  </w:style>
  <w:style w:type="character" w:styleId="1190" w:customStyle="1">
    <w:name w:val="日期 Char"/>
    <w:link w:val="1189"/>
    <w:uiPriority w:val="0"/>
    <w:qFormat/>
    <w:rPr>
      <w:rFonts w:ascii="Times New Roman" w:hAnsi="Times New Roman" w:eastAsia="宋体" w:cs="Times New Roman"/>
      <w:sz w:val="24"/>
      <w:szCs w:val="24"/>
      <w:lang w:eastAsia="en-US"/>
    </w:rPr>
  </w:style>
  <w:style w:type="paragraph" w:styleId="1191" w:customStyle="1">
    <w:name w:val="正文文本缩进 21"/>
    <w:basedOn w:val="790"/>
    <w:link w:val="1192"/>
    <w:uiPriority w:val="0"/>
    <w:qFormat/>
    <w:pPr>
      <w:ind w:left="630" w:firstLine="645"/>
    </w:pPr>
    <w:rPr>
      <w:rFonts w:ascii="Arial" w:hAnsi="Arial" w:eastAsia="仿宋_GB2312"/>
      <w:sz w:val="32"/>
      <w:szCs w:val="32"/>
      <w:lang w:eastAsia="en-US"/>
    </w:rPr>
  </w:style>
  <w:style w:type="character" w:styleId="1192" w:customStyle="1">
    <w:name w:val="正文文本缩进 2 Char"/>
    <w:link w:val="1191"/>
    <w:uiPriority w:val="0"/>
    <w:qFormat/>
    <w:rPr>
      <w:rFonts w:ascii="Arial" w:hAnsi="Arial" w:eastAsia="仿宋_GB2312" w:cs="Times New Roman"/>
      <w:sz w:val="32"/>
      <w:szCs w:val="32"/>
      <w:lang w:eastAsia="en-US"/>
    </w:rPr>
  </w:style>
  <w:style w:type="paragraph" w:styleId="1193" w:customStyle="1">
    <w:name w:val="批注框文本1"/>
    <w:basedOn w:val="790"/>
    <w:link w:val="1194"/>
    <w:uiPriority w:val="0"/>
    <w:semiHidden/>
    <w:qFormat/>
    <w:rPr>
      <w:rFonts w:ascii="Times New Roman" w:hAnsi="Times New Roman" w:eastAsia="宋体"/>
      <w:sz w:val="18"/>
      <w:szCs w:val="18"/>
      <w:lang w:eastAsia="en-US"/>
    </w:rPr>
  </w:style>
  <w:style w:type="character" w:styleId="1194" w:customStyle="1">
    <w:name w:val="批注框文本 Char"/>
    <w:link w:val="1193"/>
    <w:uiPriority w:val="0"/>
    <w:semiHidden/>
    <w:qFormat/>
    <w:rPr>
      <w:rFonts w:ascii="Times New Roman" w:hAnsi="Times New Roman" w:eastAsia="宋体" w:cs="Times New Roman"/>
      <w:sz w:val="18"/>
      <w:szCs w:val="18"/>
      <w:lang w:eastAsia="en-US"/>
    </w:rPr>
  </w:style>
  <w:style w:type="paragraph" w:styleId="1195" w:customStyle="1">
    <w:name w:val="页脚1"/>
    <w:basedOn w:val="790"/>
    <w:link w:val="1196"/>
    <w:uiPriority w:val="0"/>
    <w:qFormat/>
    <w:pPr>
      <w:jc w:val="left"/>
      <w:tabs>
        <w:tab w:val="center" w:pos="4153" w:leader="none"/>
        <w:tab w:val="right" w:pos="8306" w:leader="none"/>
      </w:tabs>
    </w:pPr>
    <w:rPr>
      <w:rFonts w:ascii="Times New Roman" w:hAnsi="Times New Roman" w:eastAsia="宋体"/>
      <w:sz w:val="18"/>
      <w:szCs w:val="18"/>
      <w:lang w:eastAsia="en-US"/>
    </w:rPr>
  </w:style>
  <w:style w:type="character" w:styleId="1196" w:customStyle="1">
    <w:name w:val="页脚 Char"/>
    <w:link w:val="1195"/>
    <w:uiPriority w:val="0"/>
    <w:qFormat/>
    <w:rPr>
      <w:rFonts w:ascii="Times New Roman" w:hAnsi="Times New Roman" w:eastAsia="宋体" w:cs="Times New Roman"/>
      <w:sz w:val="18"/>
      <w:szCs w:val="18"/>
      <w:lang w:eastAsia="en-US"/>
    </w:rPr>
  </w:style>
  <w:style w:type="paragraph" w:styleId="1197" w:customStyle="1">
    <w:name w:val="页眉1"/>
    <w:basedOn w:val="790"/>
    <w:link w:val="1198"/>
    <w:uiPriority w:val="99"/>
    <w:qFormat/>
    <w:pPr>
      <w:jc w:val="center"/>
      <w:tabs>
        <w:tab w:val="center" w:pos="4153" w:leader="none"/>
        <w:tab w:val="right" w:pos="8306" w:leader="none"/>
      </w:tabs>
      <w:pBdr>
        <w:bottom w:val="single" w:color="000000" w:sz="6" w:space="1"/>
      </w:pBdr>
    </w:pPr>
    <w:rPr>
      <w:rFonts w:ascii="Times New Roman" w:hAnsi="Times New Roman" w:eastAsia="宋体"/>
      <w:sz w:val="18"/>
      <w:szCs w:val="18"/>
      <w:lang w:eastAsia="en-US"/>
    </w:rPr>
  </w:style>
  <w:style w:type="character" w:styleId="1198" w:customStyle="1">
    <w:name w:val="页眉 Char"/>
    <w:link w:val="1197"/>
    <w:uiPriority w:val="99"/>
    <w:qFormat/>
    <w:rPr>
      <w:rFonts w:ascii="Times New Roman" w:hAnsi="Times New Roman" w:eastAsia="宋体" w:cs="Times New Roman"/>
      <w:sz w:val="18"/>
      <w:szCs w:val="18"/>
      <w:lang w:eastAsia="en-US"/>
    </w:rPr>
  </w:style>
  <w:style w:type="paragraph" w:styleId="1199" w:customStyle="1">
    <w:name w:val="目录 1111"/>
    <w:basedOn w:val="790"/>
    <w:next w:val="790"/>
    <w:uiPriority w:val="0"/>
    <w:semiHidden/>
    <w:qFormat/>
    <w:pPr>
      <w:jc w:val="left"/>
      <w:spacing w:before="120" w:after="120" w:line="400" w:lineRule="exact"/>
      <w:tabs>
        <w:tab w:val="right" w:pos="8720" w:leader="dot"/>
      </w:tabs>
    </w:pPr>
    <w:rPr>
      <w:rFonts w:ascii="宋体" w:hAnsi="宋体" w:eastAsia="宋体"/>
      <w:caps/>
      <w:sz w:val="24"/>
      <w:szCs w:val="24"/>
    </w:rPr>
  </w:style>
  <w:style w:type="paragraph" w:styleId="1200" w:customStyle="1">
    <w:name w:val="目录 411"/>
    <w:basedOn w:val="790"/>
    <w:next w:val="790"/>
    <w:uiPriority w:val="0"/>
    <w:semiHidden/>
    <w:qFormat/>
    <w:pPr>
      <w:ind w:left="630"/>
      <w:jc w:val="left"/>
    </w:pPr>
    <w:rPr>
      <w:rFonts w:ascii="Times New Roman" w:hAnsi="Times New Roman" w:eastAsia="宋体"/>
      <w:szCs w:val="21"/>
    </w:rPr>
  </w:style>
  <w:style w:type="paragraph" w:styleId="1201" w:customStyle="1">
    <w:name w:val="列表1"/>
    <w:basedOn w:val="790"/>
    <w:uiPriority w:val="0"/>
    <w:qFormat/>
    <w:pPr>
      <w:ind w:left="200" w:hanging="200"/>
    </w:pPr>
    <w:rPr>
      <w:rFonts w:ascii="Times New Roman" w:hAnsi="Times New Roman" w:eastAsia="宋体"/>
      <w:szCs w:val="21"/>
    </w:rPr>
  </w:style>
  <w:style w:type="paragraph" w:styleId="1202" w:customStyle="1">
    <w:name w:val="目录 611"/>
    <w:basedOn w:val="790"/>
    <w:next w:val="790"/>
    <w:uiPriority w:val="0"/>
    <w:semiHidden/>
    <w:qFormat/>
    <w:pPr>
      <w:ind w:left="1050"/>
      <w:jc w:val="left"/>
    </w:pPr>
    <w:rPr>
      <w:rFonts w:ascii="Times New Roman" w:hAnsi="Times New Roman" w:eastAsia="宋体"/>
      <w:szCs w:val="21"/>
    </w:rPr>
  </w:style>
  <w:style w:type="paragraph" w:styleId="1203" w:customStyle="1">
    <w:name w:val="正文文本缩进 31"/>
    <w:basedOn w:val="790"/>
    <w:link w:val="1204"/>
    <w:uiPriority w:val="0"/>
    <w:qFormat/>
    <w:pPr>
      <w:ind w:left="645" w:firstLine="645"/>
    </w:pPr>
    <w:rPr>
      <w:rFonts w:ascii="Arial" w:hAnsi="Arial" w:eastAsia="仿宋_GB2312"/>
      <w:color w:val="ffff00"/>
      <w:sz w:val="32"/>
      <w:szCs w:val="32"/>
      <w:lang w:eastAsia="en-US"/>
    </w:rPr>
  </w:style>
  <w:style w:type="character" w:styleId="1204" w:customStyle="1">
    <w:name w:val="正文文本缩进 3 Char"/>
    <w:link w:val="1203"/>
    <w:uiPriority w:val="0"/>
    <w:qFormat/>
    <w:rPr>
      <w:rFonts w:ascii="Arial" w:hAnsi="Arial" w:eastAsia="仿宋_GB2312" w:cs="Times New Roman"/>
      <w:color w:val="ffff00"/>
      <w:sz w:val="32"/>
      <w:szCs w:val="32"/>
      <w:lang w:eastAsia="en-US"/>
    </w:rPr>
  </w:style>
  <w:style w:type="paragraph" w:styleId="1205" w:customStyle="1">
    <w:name w:val="图表目录1"/>
    <w:basedOn w:val="790"/>
    <w:next w:val="790"/>
    <w:uiPriority w:val="0"/>
    <w:semiHidden/>
    <w:qFormat/>
    <w:pPr>
      <w:ind w:left="840" w:hanging="420"/>
    </w:pPr>
    <w:rPr>
      <w:rFonts w:ascii="Times New Roman" w:hAnsi="Times New Roman" w:eastAsia="宋体"/>
      <w:szCs w:val="21"/>
    </w:rPr>
  </w:style>
  <w:style w:type="paragraph" w:styleId="1206" w:customStyle="1">
    <w:name w:val="目录 211"/>
    <w:basedOn w:val="790"/>
    <w:next w:val="790"/>
    <w:uiPriority w:val="0"/>
    <w:semiHidden/>
    <w:qFormat/>
    <w:pPr>
      <w:ind w:left="210"/>
      <w:jc w:val="left"/>
    </w:pPr>
    <w:rPr>
      <w:rFonts w:ascii="Times New Roman" w:hAnsi="Times New Roman" w:eastAsia="宋体"/>
      <w:smallCaps/>
      <w:szCs w:val="24"/>
    </w:rPr>
  </w:style>
  <w:style w:type="paragraph" w:styleId="1207" w:customStyle="1">
    <w:name w:val="目录 911"/>
    <w:basedOn w:val="790"/>
    <w:next w:val="790"/>
    <w:uiPriority w:val="0"/>
    <w:semiHidden/>
    <w:qFormat/>
    <w:pPr>
      <w:ind w:left="1680"/>
      <w:jc w:val="left"/>
    </w:pPr>
    <w:rPr>
      <w:rFonts w:ascii="Times New Roman" w:hAnsi="Times New Roman" w:eastAsia="宋体"/>
      <w:szCs w:val="21"/>
    </w:rPr>
  </w:style>
  <w:style w:type="paragraph" w:styleId="1208" w:customStyle="1">
    <w:name w:val="正文文本 21"/>
    <w:basedOn w:val="790"/>
    <w:link w:val="1209"/>
    <w:uiPriority w:val="0"/>
    <w:qFormat/>
    <w:pPr>
      <w:jc w:val="center"/>
      <w:widowControl/>
    </w:pPr>
    <w:rPr>
      <w:rFonts w:ascii="楷体_GB2312" w:hAnsi="Times New Roman" w:eastAsia="楷体_GB2312"/>
      <w:sz w:val="28"/>
      <w:szCs w:val="28"/>
      <w:lang w:eastAsia="en-US"/>
    </w:rPr>
  </w:style>
  <w:style w:type="character" w:styleId="1209" w:customStyle="1">
    <w:name w:val="正文文本 2 Char"/>
    <w:link w:val="1208"/>
    <w:uiPriority w:val="0"/>
    <w:qFormat/>
    <w:rPr>
      <w:rFonts w:ascii="楷体_GB2312" w:hAnsi="Times New Roman" w:eastAsia="楷体_GB2312" w:cs="Times New Roman"/>
      <w:sz w:val="28"/>
      <w:szCs w:val="28"/>
      <w:lang w:eastAsia="en-US"/>
    </w:rPr>
  </w:style>
  <w:style w:type="paragraph" w:styleId="1210" w:customStyle="1">
    <w:name w:val="普通(网站)1"/>
    <w:basedOn w:val="790"/>
    <w:uiPriority w:val="99"/>
    <w:qFormat/>
    <w:pPr>
      <w:jc w:val="left"/>
      <w:spacing w:before="100" w:beforeAutospacing="1" w:after="100" w:afterAutospacing="1"/>
      <w:widowControl/>
    </w:pPr>
    <w:rPr>
      <w:rFonts w:ascii="宋体" w:hAnsi="宋体" w:eastAsia="宋体" w:cs="宋体"/>
      <w:sz w:val="24"/>
      <w:szCs w:val="24"/>
    </w:rPr>
  </w:style>
  <w:style w:type="paragraph" w:styleId="1211" w:customStyle="1">
    <w:name w:val="索引 11"/>
    <w:basedOn w:val="790"/>
    <w:next w:val="790"/>
    <w:uiPriority w:val="0"/>
    <w:semiHidden/>
    <w:qFormat/>
    <w:pPr>
      <w:spacing w:line="240" w:lineRule="atLeast"/>
    </w:pPr>
    <w:rPr>
      <w:rFonts w:ascii="Times New Roman" w:hAnsi="Times New Roman" w:eastAsia="宋体"/>
      <w:b/>
      <w:bCs/>
      <w:szCs w:val="21"/>
    </w:rPr>
  </w:style>
  <w:style w:type="paragraph" w:styleId="1212" w:customStyle="1">
    <w:name w:val="批注主题1"/>
    <w:basedOn w:val="1174"/>
    <w:next w:val="1174"/>
    <w:link w:val="1213"/>
    <w:uiPriority w:val="0"/>
    <w:semiHidden/>
    <w:qFormat/>
    <w:rPr>
      <w:b/>
      <w:bCs/>
    </w:rPr>
  </w:style>
  <w:style w:type="character" w:styleId="1213" w:customStyle="1">
    <w:name w:val="批注主题 Char"/>
    <w:link w:val="1212"/>
    <w:uiPriority w:val="0"/>
    <w:semiHidden/>
    <w:qFormat/>
    <w:rPr>
      <w:rFonts w:ascii="Times New Roman" w:hAnsi="Times New Roman" w:eastAsia="宋体" w:cs="Times New Roman"/>
      <w:b/>
      <w:bCs/>
      <w:szCs w:val="21"/>
      <w:lang w:eastAsia="en-US"/>
    </w:rPr>
  </w:style>
  <w:style w:type="paragraph" w:styleId="1214" w:customStyle="1">
    <w:name w:val="正文首行缩进1"/>
    <w:basedOn w:val="790"/>
    <w:link w:val="1215"/>
    <w:uiPriority w:val="0"/>
    <w:qFormat/>
    <w:pPr>
      <w:ind w:firstLine="200"/>
      <w:spacing w:line="360" w:lineRule="auto"/>
    </w:pPr>
    <w:rPr>
      <w:rFonts w:ascii="仿宋_GB2312" w:hAnsi="Times New Roman" w:eastAsia="仿宋_GB2312"/>
      <w:sz w:val="30"/>
      <w:szCs w:val="30"/>
      <w:lang w:eastAsia="en-US"/>
    </w:rPr>
  </w:style>
  <w:style w:type="character" w:styleId="1215" w:customStyle="1">
    <w:name w:val="正文首行缩进 Char"/>
    <w:link w:val="1214"/>
    <w:uiPriority w:val="0"/>
    <w:qFormat/>
    <w:rPr>
      <w:rFonts w:ascii="仿宋_GB2312" w:hAnsi="Times New Roman" w:eastAsia="仿宋_GB2312" w:cs="Times New Roman"/>
      <w:sz w:val="30"/>
      <w:szCs w:val="30"/>
      <w:lang w:eastAsia="en-US"/>
    </w:rPr>
  </w:style>
  <w:style w:type="paragraph" w:styleId="1216" w:customStyle="1">
    <w:name w:val="正文首行缩进 21"/>
    <w:basedOn w:val="1180"/>
    <w:next w:val="790"/>
    <w:link w:val="1217"/>
    <w:uiPriority w:val="0"/>
    <w:qFormat/>
    <w:pPr>
      <w:ind w:firstLine="420"/>
      <w:spacing w:line="360" w:lineRule="auto"/>
    </w:pPr>
    <w:rPr>
      <w:rFonts w:ascii="宋体" w:hAnsi="宋体" w:eastAsia="宋体"/>
      <w:szCs w:val="20"/>
    </w:rPr>
  </w:style>
  <w:style w:type="character" w:styleId="1217" w:customStyle="1">
    <w:name w:val="正文首行缩进 2 Char"/>
    <w:link w:val="1216"/>
    <w:uiPriority w:val="0"/>
    <w:qFormat/>
    <w:rPr>
      <w:rFonts w:ascii="宋体" w:hAnsi="宋体" w:eastAsia="宋体" w:cs="Times New Roman"/>
      <w:sz w:val="32"/>
      <w:lang w:eastAsia="en-US"/>
    </w:rPr>
  </w:style>
  <w:style w:type="character" w:styleId="1218" w:customStyle="1">
    <w:name w:val="要点1"/>
    <w:uiPriority w:val="0"/>
    <w:qFormat/>
    <w:rPr>
      <w:b/>
      <w:bCs/>
    </w:rPr>
  </w:style>
  <w:style w:type="character" w:styleId="1219" w:customStyle="1">
    <w:name w:val="页码1"/>
    <w:uiPriority w:val="0"/>
    <w:qFormat/>
  </w:style>
  <w:style w:type="character" w:styleId="1220" w:customStyle="1">
    <w:name w:val="已访问的超链接1"/>
    <w:uiPriority w:val="0"/>
    <w:qFormat/>
    <w:rPr>
      <w:color w:val="800080"/>
      <w:u w:val="single"/>
    </w:rPr>
  </w:style>
  <w:style w:type="character" w:styleId="1221" w:customStyle="1">
    <w:name w:val="HTML 打字机1"/>
    <w:uiPriority w:val="99"/>
    <w:qFormat/>
    <w:rPr>
      <w:rFonts w:ascii="宋体" w:hAnsi="宋体" w:eastAsia="宋体" w:cs="宋体"/>
      <w:sz w:val="24"/>
      <w:szCs w:val="24"/>
    </w:rPr>
  </w:style>
  <w:style w:type="character" w:styleId="1222" w:customStyle="1">
    <w:name w:val="超链接1"/>
    <w:uiPriority w:val="0"/>
    <w:qFormat/>
    <w:rPr>
      <w:color w:val="0000ff"/>
      <w:u w:val="single"/>
    </w:rPr>
  </w:style>
  <w:style w:type="character" w:styleId="1223" w:customStyle="1">
    <w:name w:val="二级目录 Char"/>
    <w:link w:val="1224"/>
    <w:uiPriority w:val="0"/>
    <w:qFormat/>
    <w:rPr>
      <w:b/>
      <w:sz w:val="30"/>
      <w:szCs w:val="28"/>
    </w:rPr>
  </w:style>
  <w:style w:type="paragraph" w:styleId="1224" w:customStyle="1">
    <w:name w:val="二级目录"/>
    <w:next w:val="790"/>
    <w:link w:val="1223"/>
    <w:uiPriority w:val="0"/>
    <w:qFormat/>
    <w:pPr>
      <w:numPr>
        <w:ilvl w:val="0"/>
        <w:numId w:val="4"/>
      </w:numPr>
      <w:tabs>
        <w:tab w:val="left" w:pos="1145" w:leader="none"/>
      </w:tabs>
      <w:outlineLvl w:val="1"/>
    </w:pPr>
    <w:rPr>
      <w:rFonts w:hint="default" w:ascii="Calibri" w:hAnsi="Calibri" w:eastAsia="Arial" w:cs="Times New Roman"/>
      <w:b/>
      <w:sz w:val="30"/>
      <w:szCs w:val="28"/>
      <w:lang w:val="en-US" w:eastAsia="zh-CN" w:bidi="ar-SA"/>
    </w:rPr>
  </w:style>
  <w:style w:type="paragraph" w:styleId="1225" w:customStyle="1">
    <w:name w:val="Body Text(ch)"/>
    <w:basedOn w:val="790"/>
    <w:next w:val="1178"/>
    <w:uiPriority w:val="0"/>
    <w:qFormat/>
    <w:pPr>
      <w:spacing w:after="120"/>
    </w:pPr>
    <w:rPr>
      <w:rFonts w:ascii="宋体" w:hAnsi="Arial" w:eastAsia="宋体"/>
      <w:bCs/>
      <w:iCs/>
      <w:szCs w:val="24"/>
    </w:rPr>
  </w:style>
  <w:style w:type="paragraph" w:styleId="1226" w:customStyle="1">
    <w:name w:val="Char"/>
    <w:basedOn w:val="790"/>
    <w:uiPriority w:val="0"/>
    <w:qFormat/>
    <w:pPr>
      <w:ind w:firstLine="200"/>
      <w:tabs>
        <w:tab w:val="left" w:pos="360" w:leader="none"/>
      </w:tabs>
    </w:pPr>
    <w:rPr>
      <w:rFonts w:ascii="Times New Roman" w:hAnsi="Times New Roman" w:eastAsia="宋体"/>
      <w:sz w:val="28"/>
      <w:szCs w:val="30"/>
    </w:rPr>
  </w:style>
  <w:style w:type="paragraph" w:styleId="1227" w:customStyle="1">
    <w:name w:val="普通正文"/>
    <w:basedOn w:val="790"/>
    <w:uiPriority w:val="0"/>
    <w:qFormat/>
    <w:pPr>
      <w:ind w:firstLine="480"/>
      <w:jc w:val="left"/>
      <w:spacing w:before="120" w:after="120" w:line="360" w:lineRule="auto"/>
    </w:pPr>
    <w:rPr>
      <w:rFonts w:ascii="Arial" w:hAnsi="Arial" w:eastAsia="宋体"/>
      <w:sz w:val="24"/>
      <w:szCs w:val="24"/>
    </w:rPr>
  </w:style>
  <w:style w:type="paragraph" w:styleId="1228" w:customStyle="1">
    <w:name w:val="table_lines"/>
    <w:basedOn w:val="790"/>
    <w:uiPriority w:val="0"/>
    <w:qFormat/>
    <w:pPr>
      <w:jc w:val="left"/>
      <w:widowControl/>
    </w:pPr>
    <w:rPr>
      <w:rFonts w:ascii="Times New Roman" w:hAnsi="Times New Roman" w:eastAsia="宋体"/>
      <w:sz w:val="20"/>
      <w:szCs w:val="20"/>
      <w:lang w:val="de-DE" w:eastAsia="de-DE"/>
    </w:rPr>
  </w:style>
  <w:style w:type="paragraph" w:styleId="1229"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230" w:customStyle="1">
    <w:name w:val="列出段落21"/>
    <w:basedOn w:val="790"/>
    <w:uiPriority w:val="99"/>
    <w:qFormat/>
    <w:pPr>
      <w:contextualSpacing/>
      <w:ind w:left="720"/>
      <w:jc w:val="left"/>
      <w:widowControl/>
    </w:pPr>
    <w:rPr>
      <w:rFonts w:eastAsia="宋体"/>
      <w:sz w:val="24"/>
      <w:szCs w:val="24"/>
      <w:lang w:eastAsia="en-US" w:bidi="en-US"/>
    </w:rPr>
  </w:style>
  <w:style w:type="paragraph" w:styleId="1231" w:customStyle="1">
    <w:name w:val="4"/>
    <w:basedOn w:val="790"/>
    <w:next w:val="1203"/>
    <w:uiPriority w:val="0"/>
    <w:qFormat/>
    <w:pPr>
      <w:ind w:firstLine="420"/>
      <w:spacing w:line="360" w:lineRule="auto"/>
    </w:pPr>
    <w:rPr>
      <w:rFonts w:ascii="Times New Roman" w:hAnsi="Times New Roman" w:eastAsia="宋体"/>
      <w:color w:val="ff0000"/>
      <w:sz w:val="24"/>
      <w:szCs w:val="24"/>
    </w:rPr>
  </w:style>
  <w:style w:type="paragraph" w:styleId="1232" w:customStyle="1">
    <w:name w:val="普通 (Web)"/>
    <w:basedOn w:val="790"/>
    <w:uiPriority w:val="0"/>
    <w:qFormat/>
    <w:pPr>
      <w:jc w:val="left"/>
      <w:spacing w:before="100" w:beforeAutospacing="1" w:after="100" w:afterAutospacing="1"/>
      <w:widowControl/>
    </w:pPr>
    <w:rPr>
      <w:rFonts w:ascii="宋体" w:hAnsi="宋体" w:eastAsia="宋体"/>
      <w:sz w:val="24"/>
      <w:szCs w:val="24"/>
    </w:rPr>
  </w:style>
  <w:style w:type="paragraph" w:styleId="1233" w:customStyle="1">
    <w:name w:val="Char Char Char Char Char Char Char Char Char Char"/>
    <w:basedOn w:val="790"/>
    <w:uiPriority w:val="0"/>
    <w:qFormat/>
    <w:pPr>
      <w:spacing w:line="360" w:lineRule="auto"/>
    </w:pPr>
    <w:rPr>
      <w:rFonts w:ascii="Times New Roman" w:hAnsi="Times New Roman" w:eastAsia="宋体"/>
      <w:sz w:val="24"/>
      <w:szCs w:val="20"/>
    </w:rPr>
  </w:style>
  <w:style w:type="paragraph" w:styleId="1234" w:customStyle="1">
    <w:name w:val="样式1"/>
    <w:basedOn w:val="790"/>
    <w:uiPriority w:val="0"/>
    <w:qFormat/>
    <w:pPr>
      <w:numPr>
        <w:ilvl w:val="0"/>
        <w:numId w:val="5"/>
      </w:numPr>
      <w:tabs>
        <w:tab w:val="left" w:pos="709" w:leader="none"/>
      </w:tabs>
    </w:pPr>
    <w:rPr>
      <w:rFonts w:ascii="宋体" w:hAnsi="宋体" w:eastAsia="宋体"/>
      <w:szCs w:val="21"/>
    </w:rPr>
  </w:style>
  <w:style w:type="paragraph" w:styleId="1235" w:customStyle="1">
    <w:name w:val="图标"/>
    <w:basedOn w:val="790"/>
    <w:next w:val="790"/>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36" w:customStyle="1">
    <w:name w:val="标题3"/>
    <w:basedOn w:val="790"/>
    <w:next w:val="790"/>
    <w:uiPriority w:val="0"/>
    <w:qFormat/>
    <w:pPr>
      <w:ind w:firstLine="624"/>
      <w:spacing w:line="590" w:lineRule="atLeast"/>
    </w:pPr>
    <w:rPr>
      <w:rFonts w:ascii="方正黑体_GBK" w:hAnsi="Times New Roman" w:eastAsia="方正黑体_GBK"/>
      <w:sz w:val="32"/>
      <w:szCs w:val="32"/>
    </w:rPr>
  </w:style>
  <w:style w:type="paragraph" w:styleId="1237" w:customStyle="1">
    <w:name w:val="Char Char Char Char Char Char Char Char"/>
    <w:basedOn w:val="790"/>
    <w:uiPriority w:val="0"/>
    <w:qFormat/>
    <w:pPr>
      <w:jc w:val="left"/>
      <w:spacing w:after="160" w:line="240" w:lineRule="exact"/>
      <w:widowControl/>
    </w:pPr>
    <w:rPr>
      <w:rFonts w:ascii="Verdana" w:hAnsi="Verdana" w:eastAsia="宋体"/>
      <w:sz w:val="20"/>
      <w:szCs w:val="20"/>
      <w:lang w:eastAsia="en-US"/>
    </w:rPr>
  </w:style>
  <w:style w:type="paragraph" w:styleId="1238" w:customStyle="1">
    <w:name w:val="table_1stline"/>
    <w:basedOn w:val="790"/>
    <w:uiPriority w:val="0"/>
    <w:qFormat/>
    <w:pPr>
      <w:jc w:val="left"/>
      <w:spacing w:before="120"/>
      <w:widowControl/>
    </w:pPr>
    <w:rPr>
      <w:rFonts w:ascii="Times New Roman" w:hAnsi="Times New Roman" w:eastAsia="宋体"/>
      <w:bCs/>
      <w:sz w:val="20"/>
      <w:szCs w:val="20"/>
      <w:lang w:val="de-DE" w:eastAsia="de-DE"/>
    </w:rPr>
  </w:style>
  <w:style w:type="paragraph" w:styleId="1239" w:customStyle="1">
    <w:name w:val="标题1"/>
    <w:basedOn w:val="790"/>
    <w:next w:val="790"/>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40" w:customStyle="1">
    <w:name w:val="修订2"/>
    <w:uiPriority w:val="99"/>
    <w:semiHidden/>
    <w:qFormat/>
    <w:rPr>
      <w:rFonts w:hint="default" w:ascii="Times New Roman" w:hAnsi="Times New Roman" w:eastAsia="宋体" w:cs="Times New Roman"/>
      <w:sz w:val="21"/>
      <w:szCs w:val="21"/>
      <w:lang w:val="en-US" w:eastAsia="zh-CN" w:bidi="ar-SA"/>
    </w:rPr>
  </w:style>
  <w:style w:type="paragraph" w:styleId="1241"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242" w:customStyle="1">
    <w:name w:val="目录 111"/>
    <w:basedOn w:val="790"/>
    <w:next w:val="790"/>
    <w:uiPriority w:val="39"/>
    <w:unhideWhenUsed/>
    <w:qFormat/>
    <w:pPr>
      <w:jc w:val="left"/>
      <w:spacing w:after="100" w:line="259" w:lineRule="auto"/>
      <w:widowControl/>
    </w:pPr>
    <w:rPr>
      <w:rFonts w:eastAsia="宋体"/>
      <w:sz w:val="22"/>
    </w:rPr>
  </w:style>
  <w:style w:type="table" w:styleId="1243" w:customStyle="1">
    <w:name w:val="网格型5"/>
    <w:basedOn w:val="848"/>
    <w:uiPriority w:val="0"/>
    <w:qFormat/>
    <w:pPr>
      <w:jc w:val="both"/>
      <w:widowControl w:val="off"/>
    </w:pPr>
    <w:tblPr>
      <w:tblCellMar>
        <w:left w:w="0" w:type="dxa"/>
        <w:top w:w="0" w:type="dxa"/>
        <w:right w:w="0" w:type="dxa"/>
        <w:bottom w:w="0" w:type="dxa"/>
      </w:tblCellMar>
    </w:tblPr>
  </w:style>
  <w:style w:type="paragraph" w:styleId="1244" w:customStyle="1">
    <w:name w:val="a0"/>
    <w:basedOn w:val="790"/>
    <w:uiPriority w:val="0"/>
    <w:qFormat/>
    <w:pPr>
      <w:jc w:val="left"/>
      <w:spacing w:before="100" w:beforeAutospacing="1" w:after="100" w:afterAutospacing="1"/>
      <w:widowControl/>
    </w:pPr>
    <w:rPr>
      <w:rFonts w:ascii="宋体" w:hAnsi="宋体" w:cs="宋体"/>
    </w:rPr>
  </w:style>
  <w:style w:type="character" w:styleId="1245" w:customStyle="1">
    <w:name w:val="NormalCharacter1"/>
    <w:uiPriority w:val="0"/>
    <w:qFormat/>
  </w:style>
  <w:style w:type="paragraph" w:styleId="1246" w:customStyle="1">
    <w:name w:val="_Style 1"/>
    <w:basedOn w:val="790"/>
    <w:uiPriority w:val="34"/>
    <w:qFormat/>
    <w:pPr>
      <w:ind w:firstLine="420"/>
    </w:pPr>
  </w:style>
  <w:style w:type="paragraph" w:styleId="1247" w:customStyle="1">
    <w:name w:val="UserStyle_0"/>
    <w:basedOn w:val="790"/>
    <w:uiPriority w:val="0"/>
    <w:qFormat/>
    <w:pPr>
      <w:ind w:left="420" w:firstLine="420"/>
      <w:spacing w:after="120"/>
      <w:widowControl/>
    </w:pPr>
    <w:rPr>
      <w:rFonts w:ascii="Times New Roman" w:hAnsi="Times New Roman"/>
      <w:szCs w:val="20"/>
    </w:rPr>
  </w:style>
  <w:style w:type="paragraph" w:styleId="1248" w:customStyle="1">
    <w:name w:val="UserStyle_87"/>
    <w:basedOn w:val="790"/>
    <w:uiPriority w:val="0"/>
    <w:qFormat/>
    <w:pPr>
      <w:ind w:firstLine="420"/>
      <w:widowControl/>
    </w:pPr>
  </w:style>
  <w:style w:type="character" w:styleId="1249" w:customStyle="1">
    <w:name w:val="UserStyle_88"/>
    <w:uiPriority w:val="0"/>
    <w:qFormat/>
  </w:style>
  <w:style w:type="paragraph" w:styleId="1250" w:customStyle="1">
    <w:name w:val="BodyText1I21"/>
    <w:basedOn w:val="790"/>
    <w:uiPriority w:val="0"/>
    <w:qFormat/>
    <w:pPr>
      <w:ind w:left="420" w:firstLine="420"/>
      <w:spacing w:after="120"/>
    </w:pPr>
    <w:rPr>
      <w:rFonts w:ascii="Times New Roman" w:hAnsi="Times New Roman"/>
      <w:szCs w:val="20"/>
    </w:rPr>
  </w:style>
  <w:style w:type="paragraph" w:styleId="1251" w:customStyle="1">
    <w:name w:val="Table Text"/>
    <w:basedOn w:val="790"/>
    <w:uiPriority w:val="0"/>
    <w:semiHidden/>
    <w:qFormat/>
    <w:rPr>
      <w:rFonts w:ascii="宋体" w:hAnsi="宋体" w:eastAsia="宋体" w:cs="宋体"/>
      <w:sz w:val="24"/>
      <w:szCs w:val="24"/>
      <w:lang w:eastAsia="en-US"/>
    </w:rPr>
  </w:style>
  <w:style w:type="character" w:styleId="1252" w:customStyle="1">
    <w:name w:val="font91"/>
    <w:basedOn w:val="800"/>
    <w:uiPriority w:val="0"/>
    <w:qFormat/>
    <w:rPr>
      <w:rFonts w:hint="eastAsia" w:ascii="宋体" w:hAnsi="宋体" w:eastAsia="宋体" w:cs="宋体"/>
      <w:color w:val="000000"/>
      <w:sz w:val="20"/>
      <w:szCs w:val="20"/>
      <w:u w:val="none"/>
    </w:rPr>
  </w:style>
  <w:style w:type="character" w:styleId="1253" w:customStyle="1">
    <w:name w:val="font41"/>
    <w:basedOn w:val="800"/>
    <w:uiPriority w:val="0"/>
    <w:qFormat/>
    <w:rPr>
      <w:rFonts w:hint="eastAsia" w:ascii="宋体" w:hAnsi="宋体" w:eastAsia="宋体" w:cs="宋体"/>
      <w:color w:val="000000"/>
      <w:sz w:val="20"/>
      <w:szCs w:val="20"/>
      <w:u w:val="none"/>
    </w:rPr>
  </w:style>
  <w:style w:type="character" w:styleId="1254" w:customStyle="1">
    <w:name w:val="font51"/>
    <w:basedOn w:val="800"/>
    <w:uiPriority w:val="0"/>
    <w:qFormat/>
    <w:rPr>
      <w:rFonts w:hint="default" w:ascii="仿宋_GB2312" w:eastAsia="仿宋_GB2312" w:cs="仿宋_GB2312"/>
      <w:color w:val="000000"/>
      <w:sz w:val="20"/>
      <w:szCs w:val="20"/>
      <w:u w:val="none"/>
    </w:rPr>
  </w:style>
  <w:style w:type="character" w:styleId="1255" w:customStyle="1">
    <w:name w:val="font141"/>
    <w:basedOn w:val="800"/>
    <w:uiPriority w:val="0"/>
    <w:qFormat/>
    <w:rPr>
      <w:rFonts w:hint="default" w:ascii="仿宋_GB2312" w:eastAsia="仿宋_GB2312" w:cs="仿宋_GB2312"/>
      <w:b/>
      <w:bCs/>
      <w:color w:val="000000"/>
      <w:sz w:val="20"/>
      <w:szCs w:val="20"/>
      <w:u w:val="none"/>
    </w:rPr>
  </w:style>
  <w:style w:type="character" w:styleId="1256" w:customStyle="1">
    <w:name w:val="font01"/>
    <w:basedOn w:val="800"/>
    <w:uiPriority w:val="0"/>
    <w:qFormat/>
    <w:rPr>
      <w:rFonts w:hint="eastAsia" w:ascii="宋体" w:hAnsi="宋体" w:eastAsia="宋体" w:cs="宋体"/>
      <w:color w:val="000000"/>
      <w:sz w:val="22"/>
      <w:szCs w:val="22"/>
      <w:u w:val="none"/>
    </w:rPr>
  </w:style>
  <w:style w:type="character" w:styleId="1257" w:customStyle="1">
    <w:name w:val="font61"/>
    <w:basedOn w:val="800"/>
    <w:uiPriority w:val="0"/>
    <w:qFormat/>
    <w:rPr>
      <w:rFonts w:hint="default" w:ascii="仿宋_GB2312" w:eastAsia="仿宋_GB2312" w:cs="仿宋_GB2312"/>
      <w:color w:val="000000"/>
      <w:sz w:val="20"/>
      <w:szCs w:val="20"/>
      <w:u w:val="none"/>
    </w:rPr>
  </w:style>
  <w:style w:type="character" w:styleId="1258" w:customStyle="1">
    <w:name w:val="font151"/>
    <w:basedOn w:val="800"/>
    <w:uiPriority w:val="0"/>
    <w:qFormat/>
    <w:rPr>
      <w:rFonts w:ascii="Arial" w:hAnsi="Arial" w:cs="Arial"/>
      <w:color w:val="000000"/>
      <w:sz w:val="20"/>
      <w:szCs w:val="20"/>
      <w:u w:val="none"/>
    </w:rPr>
  </w:style>
  <w:style w:type="character" w:styleId="1259" w:customStyle="1">
    <w:name w:val="font31"/>
    <w:basedOn w:val="800"/>
    <w:uiPriority w:val="0"/>
    <w:qFormat/>
    <w:rPr>
      <w:rFonts w:hint="eastAsia" w:ascii="仿宋" w:hAnsi="仿宋" w:eastAsia="仿宋" w:cs="仿宋"/>
      <w:color w:val="000000"/>
      <w:sz w:val="16"/>
      <w:szCs w:val="16"/>
      <w:u w:val="none"/>
    </w:rPr>
  </w:style>
  <w:style w:type="character" w:styleId="1260" w:customStyle="1">
    <w:name w:val="font101"/>
    <w:basedOn w:val="800"/>
    <w:uiPriority w:val="0"/>
    <w:qFormat/>
    <w:rPr>
      <w:rFonts w:hint="eastAsia" w:ascii="宋体" w:hAnsi="宋体" w:eastAsia="宋体" w:cs="宋体"/>
      <w:color w:val="000000"/>
      <w:sz w:val="18"/>
      <w:szCs w:val="18"/>
      <w:u w:val="none"/>
      <w:vertAlign w:val="subscript"/>
    </w:rPr>
  </w:style>
  <w:style w:type="character" w:styleId="1261" w:customStyle="1">
    <w:name w:val="font71"/>
    <w:basedOn w:val="800"/>
    <w:uiPriority w:val="0"/>
    <w:qFormat/>
    <w:rPr>
      <w:rFonts w:hint="eastAsia" w:ascii="宋体" w:hAnsi="宋体" w:eastAsia="宋体" w:cs="宋体"/>
      <w:color w:val="000000"/>
      <w:sz w:val="18"/>
      <w:szCs w:val="18"/>
      <w:u w:val="none"/>
    </w:rPr>
  </w:style>
  <w:style w:type="character" w:styleId="1262" w:customStyle="1">
    <w:name w:val="批注框文本 Char2"/>
    <w:basedOn w:val="800"/>
    <w:link w:val="812"/>
    <w:uiPriority w:val="99"/>
    <w:semiHidden/>
    <w:qFormat/>
    <w:rPr>
      <w:rFonts w:ascii="Calibri" w:hAnsi="Calibri" w:eastAsia="Arial"/>
      <w:sz w:val="18"/>
      <w:szCs w:val="18"/>
    </w:rPr>
  </w:style>
  <w:style w:type="numbering" w:styleId="126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82cf2995-0c9c-485b-b61c-76e3d0d060a9</errorID>
      <errorWord>采   购   </errorWord>
      <group>L1_AI</group>
      <groupName>深度校对</groupName>
      <ability>L2_AI_Grammar</ability>
      <abilityName>语法纠错</abilityName>
      <candidateList>
        <item>采购</item>
      </candidateList>
      <explain/>
      <paraID> A06BF7D</paraID>
      <start>0</start>
      <end>8</end>
      <status>ignored</status>
      <modifiedWord/>
      <trackRevisions>false</trackRevisions>
    </reviewItem>
    <reviewItem>
      <errorID>7e8cea79-82ee-43d1-a2f5-6b7035d4e58d</errorID>
      <errorWord>具体</errorWord>
      <group>L1_AI</group>
      <groupName>深度校对</groupName>
      <ability>L2_AI_Punc</ability>
      <abilityName>标点纠错</abilityName>
      <candidateList>
        <item>。具体</item>
      </candidateList>
      <explain/>
      <paraID>430FC3AB</paraID>
      <start>102</start>
      <end>105</end>
      <status>modified</status>
      <modifiedWord>。具体</modifiedWord>
      <trackRevisions>false</trackRevisions>
    </reviewItem>
    <reviewItem>
      <errorID>7149f1e7-0f00-4a82-b384-1c2d22e0dc0e</errorID>
      <errorWord>之日起开始</errorWord>
      <group>L1_AI</group>
      <groupName>深度校对</groupName>
      <ability>L2_AI_Grammar</ability>
      <abilityName>语法纠错</abilityName>
      <candidateList>
        <item>之日起</item>
      </candidateList>
      <explain/>
      <paraID> 1AB3267</paraID>
      <start>22</start>
      <end>27</end>
      <status>ignored</status>
      <modifiedWord/>
      <trackRevisions>false</trackRevisions>
    </reviewItem>
    <reviewItem>
      <errorID>c4937f34-fb91-4b95-953a-82f1c4a98a42</errorID>
      <errorWord>终生</errorWord>
      <group>L1_Word</group>
      <groupName>字词问题</groupName>
      <ability>L2_Typo</ability>
      <abilityName>字词错误</abilityName>
      <candidateList>
        <item>终身</item>
      </candidateList>
      <explain>存在发音相近字词的误用。</explain>
      <paraID> 1AB3267</paraID>
      <start>37</start>
      <end>39</end>
      <status>modified</status>
      <modifiedWord>终身</modifiedWord>
      <trackRevisions>false</trackRevisions>
    </reviewItem>
    <reviewItem>
      <errorID>77f1fcc7-2f67-4842-b6ef-1c2feb95f7a0</errorID>
      <errorWord>(</errorWord>
      <group>L1_Format</group>
      <groupName>格式问题</groupName>
      <ability>L2_HalfPunc</ability>
      <abilityName>全半角检查</abilityName>
      <candidateList>
        <item>（</item>
      </candidateList>
      <explain>文本全半角错误。</explain>
      <paraID>7868B481</paraID>
      <start>73</start>
      <end>74</end>
      <status>ignored</status>
      <modifiedWord/>
      <trackRevisions>false</trackRevisions>
    </reviewItem>
    <reviewItem>
      <errorID>a98bdc7e-2174-4d3d-9416-3a749f43f078</errorID>
      <errorWord>)</errorWord>
      <group>L1_Format</group>
      <groupName>格式问题</groupName>
      <ability>L2_HalfPunc</ability>
      <abilityName>全半角检查</abilityName>
      <candidateList>
        <item>）</item>
      </candidateList>
      <explain>文本全半角错误。</explain>
      <paraID>7868B481</paraID>
      <start>79</start>
      <end>80</end>
      <status>ignored</status>
      <modifiedWord/>
      <trackRevisions>false</trackRevisions>
    </reviewItem>
    <reviewItem>
      <errorID>a25ffaf1-a079-408c-9e4f-691c37c112dd</errorID>
      <errorWord>(</errorWord>
      <group>L1_Format</group>
      <groupName>格式问题</groupName>
      <ability>L2_HalfPunc</ability>
      <abilityName>全半角检查</abilityName>
      <candidateList>
        <item>（</item>
      </candidateList>
      <explain>文本全半角错误。</explain>
      <paraID>7868B481</paraID>
      <start>116</start>
      <end>117</end>
      <status>ignored</status>
      <modifiedWord/>
      <trackRevisions>false</trackRevisions>
    </reviewItem>
    <reviewItem>
      <errorID>daa705c0-e28d-4156-a639-8e03525b3f10</errorID>
      <errorWord>)</errorWord>
      <group>L1_Format</group>
      <groupName>格式问题</groupName>
      <ability>L2_HalfPunc</ability>
      <abilityName>全半角检查</abilityName>
      <candidateList>
        <item>）</item>
      </candidateList>
      <explain>文本全半角错误。</explain>
      <paraID>7868B481</paraID>
      <start>126</start>
      <end>127</end>
      <status>ignored</status>
      <modifiedWord/>
      <trackRevisions>false</trackRevisions>
    </reviewItem>
    <reviewItem>
      <errorID>2e6eb5ca-41c5-4236-a2fc-81bc5dd3051f</errorID>
      <errorWord>(</errorWord>
      <group>L1_Format</group>
      <groupName>格式问题</groupName>
      <ability>L2_HalfPunc</ability>
      <abilityName>全半角检查</abilityName>
      <candidateList>
        <item>（</item>
      </candidateList>
      <explain>文本全半角错误。</explain>
      <paraID>7868B481</paraID>
      <start>175</start>
      <end>176</end>
      <status>ignored</status>
      <modifiedWord/>
      <trackRevisions>false</trackRevisions>
    </reviewItem>
    <reviewItem>
      <errorID>be706ddb-0246-48c0-bb2d-878a4c89e433</errorID>
      <errorWord>)</errorWord>
      <group>L1_Format</group>
      <groupName>格式问题</groupName>
      <ability>L2_HalfPunc</ability>
      <abilityName>全半角检查</abilityName>
      <candidateList>
        <item>）</item>
      </candidateList>
      <explain>文本全半角错误。</explain>
      <paraID>7868B481</paraID>
      <start>181</start>
      <end>182</end>
      <status>ignored</status>
      <modifiedWord/>
      <trackRevisions>false</trackRevisions>
    </reviewItem>
    <reviewItem>
      <errorID>43d68540-ea00-4bfd-920f-ea3069e801f1</errorID>
      <errorWord>具备</errorWord>
      <group>L1_AI</group>
      <groupName>深度校对</groupName>
      <ability>L2_AI_Word</ability>
      <abilityName>字词纠错</abilityName>
      <candidateList>
        <item>应具备</item>
      </candidateList>
      <explain/>
      <paraID> C0B3797</paraID>
      <start>33</start>
      <end>36</end>
      <status>modified</status>
      <modifiedWord>应具备</modifiedWord>
      <trackRevisions>false</trackRevisions>
    </reviewItem>
    <reviewItem>
      <errorID>896ac28f-963a-4ed8-9308-ff839aa765da</errorID>
      <errorWord>及</errorWord>
      <group>L1_AI</group>
      <groupName>深度校对</groupName>
      <ability>L2_AI_Word</ability>
      <abilityName>字词纠错</abilityName>
      <candidateList>
        <item>以及</item>
      </candidateList>
      <explain/>
      <paraID> C0B3797</paraID>
      <start>48</start>
      <end>50</end>
      <status>modified</status>
      <modifiedWord>以及</modifiedWord>
      <trackRevisions>false</trackRevisions>
    </reviewItem>
    <reviewItem>
      <errorID>af4ac323-7a87-4005-8f98-f50dedb31cd5</errorID>
      <errorWord>本</errorWord>
      <group>L1_AI</group>
      <groupName>深度校对</groupName>
      <ability>L2_AI_Word</ability>
      <abilityName>字词纠错</abilityName>
      <candidateList>
        <item>的本</item>
      </candidateList>
      <explain/>
      <paraID> C0B3797</paraID>
      <start>95</start>
      <end>96</end>
      <status>ignored</status>
      <modifiedWord/>
      <trackRevisions>false</trackRevisions>
    </reviewItem>
    <reviewItem>
      <errorID>7f2fc832-3ec7-4bd6-8365-67505965f83e</errorID>
      <errorWord>、</errorWord>
      <group>L1_AI</group>
      <groupName>深度校对</groupName>
      <ability>L2_AI_Punc</ability>
      <abilityName>标点纠错</abilityName>
      <candidateList>
        <item>，</item>
      </candidateList>
      <explain/>
      <paraID> C0B3797</paraID>
      <start>143</start>
      <end>144</end>
      <status>ignored</status>
      <modifiedWord/>
      <trackRevisions>false</trackRevisions>
    </reviewItem>
    <reviewItem>
      <errorID>d0e21645-fbb7-4c5f-9173-f636e7024ed7</errorID>
      <errorWord> </errorWord>
      <group>L1_AI</group>
      <groupName>深度校对</groupName>
      <ability>L2_AI_Punc</ability>
      <abilityName>标点纠错</abilityName>
      <candidateList>
        <item/>
      </candidateList>
      <explain>此处空格冗余，建议删除。</explain>
      <paraID>21ABFB66</paraID>
      <start>14</start>
      <end>15</end>
      <status>ignored</status>
      <modifiedWord/>
      <trackRevisions>false</trackRevisions>
    </reviewItem>
    <reviewItem>
      <errorID>6c54bad1-2ae2-4e6f-83ac-50083b5af5d5</errorID>
      <errorWord>59时止</errorWord>
      <group>L1_AI</group>
      <groupName>深度校对</groupName>
      <ability>L2_AI_Grammar</ability>
      <abilityName>语法纠错</abilityName>
      <candidateList>
        <item>59</item>
      </candidateList>
      <explain/>
      <paraID>21ABFB66</paraID>
      <start>30</start>
      <end>34</end>
      <status>ignored</status>
      <modifiedWord/>
      <trackRevisions>false</trackRevisions>
    </reviewItem>
    <reviewItem>
      <errorID>49d1db98-7711-431a-9641-544f0413e44f</errorID>
      <errorWord>-</errorWord>
      <group>L1_Format</group>
      <groupName>格式问题</groupName>
      <ability>L2_HalfPunc</ability>
      <abilityName>全半角检查</abilityName>
      <candidateList>
        <item>－</item>
      </candidateList>
      <explain>文本全半角错误。</explain>
      <paraID>6AABD594</paraID>
      <start>78</start>
      <end>79</end>
      <status>ignored</status>
      <modifiedWord/>
      <trackRevisions>false</trackRevisions>
    </reviewItem>
    <reviewItem>
      <errorID>353b78d8-c891-46db-b365-953054813645</errorID>
      <errorWord>找到</errorWord>
      <group>L1_AI</group>
      <groupName>深度校对</groupName>
      <ability>L2_AI_Word</ability>
      <abilityName>字词纠错</abilityName>
      <candidateList>
        <item>中找到</item>
      </candidateList>
      <explain/>
      <paraID>6AABD594</paraID>
      <start>85</start>
      <end>87</end>
      <status>ignored</status>
      <modifiedWord/>
      <trackRevisions>false</trackRevisions>
    </reviewItem>
    <reviewItem>
      <errorID>f9a1b00e-c4ac-4401-a4de-48f6086376f5</errorID>
      <errorWord>-</errorWord>
      <group>L1_Format</group>
      <groupName>格式问题</groupName>
      <ability>L2_HalfPunc</ability>
      <abilityName>全半角检查</abilityName>
      <candidateList>
        <item>－</item>
      </candidateList>
      <explain>文本全半角错误。</explain>
      <paraID>6AABD594</paraID>
      <start>108</start>
      <end>109</end>
      <status>ignored</status>
      <modifiedWord/>
      <trackRevisions>false</trackRevisions>
    </reviewItem>
    <reviewItem>
      <errorID>740feb35-891b-4b8a-8d6c-51e213c03a45</errorID>
      <errorWord>-</errorWord>
      <group>L1_Format</group>
      <groupName>格式问题</groupName>
      <ability>L2_HalfPunc</ability>
      <abilityName>全半角检查</abilityName>
      <candidateList>
        <item>－</item>
      </candidateList>
      <explain>文本全半角错误。</explain>
      <paraID>6AABD594</paraID>
      <start>115</start>
      <end>116</end>
      <status>ignored</status>
      <modifiedWord/>
      <trackRevisions>false</trackRevisions>
    </reviewItem>
    <reviewItem>
      <errorID>f55699e5-c42c-47e3-80af-307158a23241</errorID>
      <errorWord>“.</errorWord>
      <group>L1_Punc</group>
      <groupName>标点问题</groupName>
      <ability>L2_Punc</ability>
      <abilityName>标点符号检查</abilityName>
      <candidateList>
        <item>“</item>
      </candidateList>
      <explain/>
      <paraID>6AABD594</paraID>
      <start>149</start>
      <end>151</end>
      <status>ignored</status>
      <modifiedWord/>
      <trackRevisions>false</trackRevisions>
    </reviewItem>
    <reviewItem>
      <errorID>0e4f6713-ab91-4d99-b0d9-d654c4fd1d5b</errorID>
      <errorWord>00时</errorWord>
      <group>L1_AI</group>
      <groupName>深度校对</groupName>
      <ability>L2_AI_Word</ability>
      <abilityName>字词纠错</abilityName>
      <candidateList>
        <item>00</item>
      </candidateList>
      <explain/>
      <paraID>1EFE7808</paraID>
      <start>32</start>
      <end>35</end>
      <status>ignored</status>
      <modifiedWord/>
      <trackRevisions>false</trackRevisions>
    </reviewItem>
    <reviewItem>
      <errorID>6e52615c-fd61-40d0-b01a-b8271bad4b3a</errorID>
      <errorWord>在</errorWord>
      <group>L1_AI</group>
      <groupName>深度校对</groupName>
      <ability>L2_AI_Word</ability>
      <abilityName>字词纠错</abilityName>
      <candidateList>
        <item>应在</item>
      </candidateList>
      <explain/>
      <paraID>61235F05</paraID>
      <start>31</start>
      <end>32</end>
      <status>ignored</status>
      <modifiedWord/>
      <trackRevisions>false</trackRevisions>
    </reviewItem>
    <reviewItem>
      <errorID>59c96dd3-795a-4eae-8412-54074dfbfc21</errorID>
      <errorWord> </errorWord>
      <group>L1_AI</group>
      <groupName>深度校对</groupName>
      <ability>L2_AI_Punc</ability>
      <abilityName>标点纠错</abilityName>
      <candidateList>
        <item/>
      </candidateList>
      <explain>此处空格冗余，建议删除。</explain>
      <paraID>6CE47CAA</paraID>
      <start>18</start>
      <end>19</end>
      <status>ignored</status>
      <modifiedWord/>
      <trackRevisions>false</trackRevisions>
    </reviewItem>
    <reviewItem>
      <errorID>eaa85078-ab45-4fd3-ba3c-c20ec71f1f6c</errorID>
      <errorWord> </errorWord>
      <group>L1_AI</group>
      <groupName>深度校对</groupName>
      <ability>L2_AI_Punc</ability>
      <abilityName>标点纠错</abilityName>
      <candidateList>
        <item/>
      </candidateList>
      <explain>此处空格冗余，建议删除。</explain>
      <paraID>6CE47CAA</paraID>
      <start>21</start>
      <end>22</end>
      <status>ignored</status>
      <modifiedWord/>
      <trackRevisions>false</trackRevisions>
    </reviewItem>
    <reviewItem>
      <errorID>8b14ba3c-41f1-40ba-8be1-53895a1c2664</errorID>
      <errorWord> </errorWord>
      <group>L1_AI</group>
      <groupName>深度校对</groupName>
      <ability>L2_AI_Punc</ability>
      <abilityName>标点纠错</abilityName>
      <candidateList>
        <item/>
      </candidateList>
      <explain>此处空格冗余，建议删除。</explain>
      <paraID>6CE47CAA</paraID>
      <start>23</start>
      <end>24</end>
      <status>ignored</status>
      <modifiedWord/>
      <trackRevisions>false</trackRevisions>
    </reviewItem>
    <reviewItem>
      <errorID>2e867aaa-86c9-40b8-a8a4-cae67a170e06</errorID>
      <errorWord> </errorWord>
      <group>L1_AI</group>
      <groupName>深度校对</groupName>
      <ability>L2_AI_Punc</ability>
      <abilityName>标点纠错</abilityName>
      <candidateList>
        <item/>
      </candidateList>
      <explain>此处空格冗余，建议删除。</explain>
      <paraID>30B5884E</paraID>
      <start>18</start>
      <end>19</end>
      <status>ignored</status>
      <modifiedWord/>
      <trackRevisions>false</trackRevisions>
    </reviewItem>
    <reviewItem>
      <errorID>7cc5af88-8abb-435d-8e83-da8a7344d89c</errorID>
      <errorWord> </errorWord>
      <group>L1_AI</group>
      <groupName>深度校对</groupName>
      <ability>L2_AI_Punc</ability>
      <abilityName>标点纠错</abilityName>
      <candidateList>
        <item/>
      </candidateList>
      <explain>此处空格冗余，建议删除。</explain>
      <paraID>30B5884E</paraID>
      <start>21</start>
      <end>22</end>
      <status>ignored</status>
      <modifiedWord/>
      <trackRevisions>false</trackRevisions>
    </reviewItem>
    <reviewItem>
      <errorID>12d8bb29-7c32-4e31-838d-2c4b9a2146f6</errorID>
      <errorWord> </errorWord>
      <group>L1_AI</group>
      <groupName>深度校对</groupName>
      <ability>L2_AI_Punc</ability>
      <abilityName>标点纠错</abilityName>
      <candidateList>
        <item/>
      </candidateList>
      <explain>此处空格冗余，建议删除。</explain>
      <paraID>30B5884E</paraID>
      <start>23</start>
      <end>24</end>
      <status>ignored</status>
      <modifiedWord/>
      <trackRevisions>false</trackRevisions>
    </reviewItem>
    <reviewItem>
      <errorID>5252bdc3-a0e0-418c-9f8c-e7be3a0be27d</errorID>
      <errorWord>  </errorWord>
      <group>L1_AI</group>
      <groupName>深度校对</groupName>
      <ability>L2_AI_Punc</ability>
      <abilityName>标点纠错</abilityName>
      <candidateList>
        <item/>
      </candidateList>
      <explain>此处空格冗余，建议删除。</explain>
      <paraID>7CEA17CC</paraID>
      <start>1</start>
      <end>3</end>
      <status>ignored</status>
      <modifiedWord/>
      <trackRevisions>false</trackRevisions>
    </reviewItem>
    <reviewItem>
      <errorID>cc7922c3-0421-4da2-8d4d-cff7ca7647df</errorID>
      <errorWord>选择</errorWord>
      <group>L1_AI</group>
      <groupName>深度校对</groupName>
      <ability>L2_AI_Word</ability>
      <abilityName>字词纠错</abilityName>
      <candidateList>
        <item>的</item>
      </candidateList>
      <explain/>
      <paraID> 3562E6B</paraID>
      <start>34</start>
      <end>36</end>
      <status>ignored</status>
      <modifiedWord/>
      <trackRevisions>false</trackRevisions>
    </reviewItem>
    <reviewItem>
      <errorID>f6859c63-b1bd-489b-bdc5-3fd387cdcfb2</errorID>
      <errorWord>，</errorWord>
      <group>L1_AI</group>
      <groupName>深度校对</groupName>
      <ability>L2_AI_Punc</ability>
      <abilityName>标点纠错</abilityName>
      <candidateList>
        <item>。</item>
      </candidateList>
      <explain/>
      <paraID> 3562E6B</paraID>
      <start>59</start>
      <end>60</end>
      <status>ignored</status>
      <modifiedWord/>
      <trackRevisions>false</trackRevisions>
    </reviewItem>
    <reviewItem>
      <errorID>b7b007d4-ee63-42d0-8a31-a91b43aca98a</errorID>
      <errorWord>需</errorWord>
      <group>L1_AI</group>
      <groupName>深度校对</groupName>
      <ability>L2_AI_Punc</ability>
      <abilityName>标点纠错</abilityName>
      <candidateList>
        <item>，需</item>
      </candidateList>
      <explain/>
      <paraID> 3562E6B</paraID>
      <start>65</start>
      <end>66</end>
      <status>ignored</status>
      <modifiedWord/>
      <trackRevisions>false</trackRevisions>
    </reviewItem>
    <reviewItem>
      <errorID>28b5ea22-5273-41f4-a201-c87592adea9e</errorID>
      <errorWord>CA</errorWord>
      <group>L1_AI</group>
      <groupName>深度校对</groupName>
      <ability>L2_AI_Word</ability>
      <abilityName>字词纠错</abilityName>
      <candidateList>
        <item>的CA</item>
      </candidateList>
      <explain/>
      <paraID>44999585</paraID>
      <start>24</start>
      <end>26</end>
      <status>ignored</status>
      <modifiedWord/>
      <trackRevisions>false</trackRevisions>
    </reviewItem>
    <reviewItem>
      <errorID>b29f0ad0-d6a2-4b38-b38a-43d8d787badc</errorID>
      <errorWord>CA</errorWord>
      <group>L1_AI</group>
      <groupName>深度校对</groupName>
      <ability>L2_AI_Word</ability>
      <abilityName>字词纠错</abilityName>
      <candidateList>
        <item>的CA</item>
      </candidateList>
      <explain/>
      <paraID>44999585</paraID>
      <start>62</start>
      <end>64</end>
      <status>ignored</status>
      <modifiedWord/>
      <trackRevisions>false</trackRevisions>
    </reviewItem>
    <reviewItem>
      <errorID>6e22e7aa-dd8a-4cc6-b178-2b42f69a43fa</errorID>
      <errorWord>“江苏省政府采购数字证书CA及电子签章办理指南”</errorWord>
      <group>L1_AI</group>
      <groupName>深度校对</groupName>
      <ability>L2_AI_Punc</ability>
      <abilityName>标点纠错</abilityName>
      <candidateList>
        <item>《江苏省政府采购数字证书CA及电子签章办理指南》</item>
      </candidateList>
      <explain/>
      <paraID>44999585</paraID>
      <start>99</start>
      <end>123</end>
      <status>ignored</status>
      <modifiedWord/>
      <trackRevisions>false</trackRevisions>
    </reviewItem>
    <reviewItem>
      <errorID>9cdd5cf6-01cd-4f57-b04a-cbd5b957e8fa</errorID>
      <errorWord>可以</errorWord>
      <group>L1_AI</group>
      <groupName>深度校对</groupName>
      <ability>L2_AI_Punc</ability>
      <abilityName>标点纠错</abilityName>
      <candidateList>
        <item>，可以</item>
      </candidateList>
      <explain/>
      <paraID>714655DC</paraID>
      <start>50</start>
      <end>52</end>
      <status>ignored</status>
      <modifiedWord/>
      <trackRevisions>false</trackRevisions>
    </reviewItem>
    <reviewItem>
      <errorID>944efd35-f054-4f75-9bce-667598dea927</errorID>
      <errorWord>，</errorWord>
      <group>L1_AI</group>
      <groupName>深度校对</groupName>
      <ability>L2_AI_Punc</ability>
      <abilityName>标点纠错</abilityName>
      <candidateList>
        <item>。</item>
      </candidateList>
      <explain/>
      <paraID>714655DC</paraID>
      <start>61</start>
      <end>62</end>
      <status>ignored</status>
      <modifiedWord/>
      <trackRevisions>false</trackRevisions>
    </reviewItem>
    <reviewItem>
      <errorID>ff3feab9-0ca1-4fd9-bb7c-516263871701</errorID>
      <errorWord> 9:00</errorWord>
      <group>L1_AI</group>
      <groupName>深度校对</groupName>
      <ability>L2_AI_Word</ability>
      <abilityName>字词纠错</abilityName>
      <candidateList>
        <item>9:00 </item>
      </candidateList>
      <explain/>
      <paraID>7CB5688B</paraID>
      <start>29</start>
      <end>34</end>
      <status>ignored</status>
      <modifiedWord/>
      <trackRevisions>false</trackRevisions>
    </reviewItem>
    <reviewItem>
      <errorID>f3681a01-cee1-47cf-8209-24ad564bf355</errorID>
      <errorWord>,</errorWord>
      <group>L1_AI</group>
      <groupName>深度校对</groupName>
      <ability>L2_AI_Punc</ability>
      <abilityName>标点纠错</abilityName>
      <candidateList>
        <item>，</item>
      </candidateList>
      <explain/>
      <paraID>7CB5688B</paraID>
      <start>40</start>
      <end>41</end>
      <status>ignored</status>
      <modifiedWord/>
      <trackRevisions>false</trackRevisions>
    </reviewItem>
    <reviewItem>
      <errorID>61072fe7-441e-4637-8772-09ccd08e641e</errorID>
      <errorWord>方可</errorWord>
      <group>L1_AI</group>
      <groupName>深度校对</groupName>
      <ability>L2_AI_Punc</ability>
      <abilityName>标点纠错</abilityName>
      <candidateList>
        <item>，方可</item>
      </candidateList>
      <explain/>
      <paraID>2326545D</paraID>
      <start>19</start>
      <end>21</end>
      <status>ignored</status>
      <modifiedWord/>
      <trackRevisions>false</trackRevisions>
    </reviewItem>
    <reviewItem>
      <errorID>f7d918bf-d3db-4d92-ad11-173eb85b516a</errorID>
      <errorWord>—</errorWord>
      <group>L1_AI</group>
      <groupName>深度校对</groupName>
      <ability>L2_AI_Punc</ability>
      <abilityName>标点纠错</abilityName>
      <candidateList>
        <item/>
      </candidateList>
      <explain/>
      <paraID>2326545D</paraID>
      <start>61</start>
      <end>62</end>
      <status>ignored</status>
      <modifiedWord/>
      <trackRevisions>false</trackRevisions>
    </reviewItem>
    <reviewItem>
      <errorID>200be193-b22d-47f2-b10a-8a85e0ab06a6</errorID>
      <errorWord>“</errorWord>
      <group>L1_AI</group>
      <groupName>深度校对</groupName>
      <ability>L2_AI_Word</ability>
      <abilityName>字词纠错</abilityName>
      <candidateList>
        <item>在“</item>
      </candidateList>
      <explain/>
      <paraID>2C507586</paraID>
      <start>61</start>
      <end>62</end>
      <status>ignored</status>
      <modifiedWord/>
      <trackRevisions>false</trackRevisions>
    </reviewItem>
    <reviewItem>
      <errorID>cb68953c-d86f-4f04-89ca-ecb2c7d66ed1</errorID>
      <errorWord>—</errorWord>
      <group>L1_AI</group>
      <groupName>深度校对</groupName>
      <ability>L2_AI_Punc</ability>
      <abilityName>标点纠错</abilityName>
      <candidateList>
        <item/>
      </candidateList>
      <explain/>
      <paraID>2C507586</paraID>
      <start>67</start>
      <end>68</end>
      <status>ignored</status>
      <modifiedWord/>
      <trackRevisions>false</trackRevisions>
    </reviewItem>
    <reviewItem>
      <errorID>60b29e28-82a3-4828-b33a-24de2a766813</errorID>
      <errorWord>找到</errorWord>
      <group>L1_AI</group>
      <groupName>深度校对</groupName>
      <ability>L2_AI_Word</ability>
      <abilityName>字词纠错</abilityName>
      <candidateList>
        <item>中找到</item>
      </candidateList>
      <explain/>
      <paraID>2C507586</paraID>
      <start>77</start>
      <end>79</end>
      <status>ignored</status>
      <modifiedWord/>
      <trackRevisions>false</trackRevisions>
    </reviewItem>
    <reviewItem>
      <errorID>4817a9b6-ef28-4616-933a-c8b616dc7437</errorID>
      <errorWord>—</errorWord>
      <group>L1_AI</group>
      <groupName>深度校对</groupName>
      <ability>L2_AI_Punc</ability>
      <abilityName>标点纠错</abilityName>
      <candidateList>
        <item/>
      </candidateList>
      <explain/>
      <paraID>2C507586</paraID>
      <start>99</start>
      <end>100</end>
      <status>ignored</status>
      <modifiedWord/>
      <trackRevisions>false</trackRevisions>
    </reviewItem>
    <reviewItem>
      <errorID>e3ab4b41-be79-4ead-87c1-078c840cc0b3</errorID>
      <errorWord>—</errorWord>
      <group>L1_AI</group>
      <groupName>深度校对</groupName>
      <ability>L2_AI_Punc</ability>
      <abilityName>标点纠错</abilityName>
      <candidateList>
        <item/>
      </candidateList>
      <explain/>
      <paraID>2C507586</paraID>
      <start>107</start>
      <end>108</end>
      <status>ignored</status>
      <modifiedWord/>
      <trackRevisions>false</trackRevisions>
    </reviewItem>
    <reviewItem>
      <errorID>7839c932-c7f2-408f-8ed5-d053b9fc8577</errorID>
      <errorWord>“</errorWord>
      <group>L1_AI</group>
      <groupName>深度校对</groupName>
      <ability>L2_AI_Word</ability>
      <abilityName>字词纠错</abilityName>
      <candidateList>
        <item>从“</item>
      </candidateList>
      <explain/>
      <paraID>2C507586</paraID>
      <start>125</start>
      <end>126</end>
      <status>ignored</status>
      <modifiedWord/>
      <trackRevisions>false</trackRevisions>
    </reviewItem>
    <reviewItem>
      <errorID>c734d5f8-9320-41a8-8053-3b273a8d7ff4</errorID>
      <errorWord>“.</errorWord>
      <group>L1_Punc</group>
      <groupName>标点问题</groupName>
      <ability>L2_Punc</ability>
      <abilityName>标点符号检查</abilityName>
      <candidateList>
        <item>“</item>
      </candidateList>
      <explain/>
      <paraID>2C507586</paraID>
      <start>145</start>
      <end>147</end>
      <status>unmodified</status>
      <modifiedWord/>
      <trackRevisions>false</trackRevisions>
    </reviewItem>
    <reviewItem>
      <errorID>e58b15c1-07f1-4224-a646-ae3e31e4776c</errorID>
      <errorWord>文件</errorWord>
      <group>L1_AI</group>
      <groupName>深度校对</groupName>
      <ability>L2_AI_Punc</ability>
      <abilityName>标点纠错</abilityName>
      <candidateList>
        <item>文件。</item>
      </candidateList>
      <explain/>
      <paraID>2C507586</paraID>
      <start>178</start>
      <end>180</end>
      <status>ignored</status>
      <modifiedWord/>
      <trackRevisions>false</trackRevisions>
    </reviewItem>
    <reviewItem>
      <errorID>dae7475d-4e9f-4f39-b9b0-5526d1515a24</errorID>
      <errorWord>(2002)1980号</errorWord>
      <group>L1_Knowledge</group>
      <groupName>知识性问题</groupName>
      <ability>L2_Knowledge</ability>
      <abilityName>其他知识</abilityName>
      <candidateList>
        <item>〔2002〕1980号</item>
      </candidateList>
      <explain>发文字号格式错误。</explain>
      <paraID> EE23809</paraID>
      <start>53</start>
      <end>64</end>
      <status>modified</status>
      <modifiedWord>〔2002〕1980号</modifiedWord>
      <trackRevisions>false</trackRevisions>
    </reviewItem>
    <reviewItem>
      <errorID>b3582a18-fe45-4a87-b815-75ac97be010b</errorID>
      <errorWord>(</errorWord>
      <group>L1_Format</group>
      <groupName>格式问题</groupName>
      <ability>L2_HalfPunc</ability>
      <abilityName>全半角检查</abilityName>
      <candidateList>
        <item>（</item>
      </candidateList>
      <explain>文本全半角错误。</explain>
      <paraID> EE23809</paraID>
      <start>104</start>
      <end>105</end>
      <status>unmodified</status>
      <modifiedWord/>
      <trackRevisions>false</trackRevisions>
    </reviewItem>
    <reviewItem>
      <errorID>778009dd-309b-4f00-a890-cf017033831f</errorID>
      <errorWord>)</errorWord>
      <group>L1_Format</group>
      <groupName>格式问题</groupName>
      <ability>L2_HalfPunc</ability>
      <abilityName>全半角检查</abilityName>
      <candidateList>
        <item>）</item>
      </candidateList>
      <explain>文本全半角错误。</explain>
      <paraID> EE23809</paraID>
      <start>118</start>
      <end>119</end>
      <status>unmodified</status>
      <modifiedWord/>
      <trackRevisions>false</trackRevisions>
    </reviewItem>
    <reviewItem>
      <errorID>5ff0e168-561f-4e1f-bf5c-f4ed26a6e48f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209F7EA2</paraID>
      <start>0</start>
      <end>2</end>
      <status>unmodified</status>
      <modifiedWord/>
      <trackRevisions>false</trackRevisions>
    </reviewItem>
    <reviewItem>
      <errorID>8fd2f95c-e0dd-45cb-98d3-5a2437346678</errorID>
      <errorWord>不得有</errorWord>
      <group>L1_Word</group>
      <groupName>字词问题</groupName>
      <ability>L2_Typo</ability>
      <abilityName>字词错误</abilityName>
      <candidateList>
        <item>不得</item>
      </candidateList>
      <explain>〈助〉用在动词、形容词后面，表示不可以或不能够：去～｜要～｜动弹～｜马虎～｜老虎屁股摸～｜科学上来～半点虚假。</explain>
      <paraID>62A631CA</paraID>
      <start>78</start>
      <end>80</end>
      <status>modified</status>
      <modifiedWord>不得</modifiedWord>
      <trackRevisions>false</trackRevisions>
    </reviewItem>
    <reviewItem>
      <errorID>6ea1a280-a227-49ea-9bfa-172c461e8e56</errorID>
      <errorWord>无需设置</errorWord>
      <group>L1_Word</group>
      <groupName>字词问题</groupName>
      <ability>L2_Alias</ability>
      <abilityName>也作/曾用词</abilityName>
      <candidateList>
        <item>无须设置</item>
      </candidateList>
      <explain>词汇[无需设置]为不规范表述或旧称，其规范书面表述为[无须设置]。</explain>
      <paraID>62A631CA</paraID>
      <start>92</start>
      <end>96</end>
      <status>modified</status>
      <modifiedWord>无须设置</modifiedWord>
      <trackRevisions>false</trackRevisions>
    </reviewItem>
    <reviewItem>
      <errorID>157d4cbd-d614-4590-ad73-c0d23ca9be03</errorID>
      <errorWord>做</errorWord>
      <group>L1_Word</group>
      <groupName>字词问题</groupName>
      <ability>L2_Typo</ability>
      <abilityName>字词错误</abilityName>
      <candidateList>
        <item>作</item>
      </candidateList>
      <explain>存在发音相同字词的误用。</explain>
      <paraID>17A8174A</paraID>
      <start>70</start>
      <end>71</end>
      <status>modified</status>
      <modifiedWord>作</modifiedWord>
      <trackRevisions>false</trackRevisions>
    </reviewItem>
    <reviewItem>
      <errorID>cf5e3160-b7e2-421a-8561-48a426be830a</errorID>
      <errorWord>（</errorWord>
      <group>L1_Punc</group>
      <groupName>标点问题</groupName>
      <ability>L2_Punc</ability>
      <abilityName>标点符号检查</abilityName>
      <candidateList/>
      <explain>同一形式括号套用。</explain>
      <paraID>37642605</paraID>
      <start>78</start>
      <end>79</end>
      <status>unmodified</status>
      <modifiedWord/>
      <trackRevisions>false</trackRevisions>
    </reviewItem>
    <reviewItem>
      <errorID>579b4547-ce31-4837-81b0-ae515ec99c02</errorID>
      <errorWord>）</errorWord>
      <group>L1_Punc</group>
      <groupName>标点问题</groupName>
      <ability>L2_Punc</ability>
      <abilityName>标点符号检查</abilityName>
      <candidateList/>
      <explain>同一形式括号套用。</explain>
      <paraID>37642605</paraID>
      <start>82</start>
      <end>83</end>
      <status>unmodified</status>
      <modifiedWord/>
      <trackRevisions>false</trackRevisions>
    </reviewItem>
    <reviewItem>
      <errorID>bae97109-61f1-4c39-b61d-439d3523bc02</errorID>
      <errorWord>属</errorWord>
      <group>L1_Word</group>
      <groupName>字词问题</groupName>
      <ability>L2_Typo</ability>
      <abilityName>字词错误</abilityName>
      <candidateList>
        <item>属于</item>
      </candidateList>
      <explain/>
      <paraID>1AE7C68A</paraID>
      <start>22</start>
      <end>24</end>
      <status>modified</status>
      <modifiedWord>属于</modifiedWord>
      <trackRevisions>false</trackRevisions>
    </reviewItem>
    <reviewItem>
      <errorID>543336c5-dafb-462e-964b-97f598a5fc30</errorID>
      <errorWord>涉及到</errorWord>
      <group>L1_Grammar</group>
      <groupName>语法问题</groupName>
      <ability>L2_Grammar</ability>
      <abilityName>语法错误</abilityName>
      <candidateList>
        <item>涉及</item>
      </candidateList>
      <explain>〈动〉牵涉到；关联到：案子～好几个人｜这个问题～面很广。</explain>
      <paraID>6DA1C8EA</paraID>
      <start>12</start>
      <end>14</end>
      <status>modified</status>
      <modifiedWord>涉及</modifiedWord>
      <trackRevisions>false</trackRevisions>
    </reviewItem>
    <reviewItem>
      <errorID>95bc99f0-90cc-4fc4-ae81-6c987667250b</errorID>
      <errorWord>,</errorWord>
      <group>L1_Format</group>
      <groupName>格式问题</groupName>
      <ability>L2_HalfPunc</ability>
      <abilityName>全半角检查</abilityName>
      <candidateList>
        <item>，</item>
      </candidateList>
      <explain>文本全半角错误。</explain>
      <paraID>436E478C</paraID>
      <start>30</start>
      <end>31</end>
      <status>unmodified</status>
      <modifiedWord/>
      <trackRevisions>false</trackRevisions>
    </reviewItem>
    <reviewItem>
      <errorID>7a053a41-3dee-48d4-b223-9d842881fa74</errorID>
      <errorWord>涉及到</errorWord>
      <group>L1_Grammar</group>
      <groupName>语法问题</groupName>
      <ability>L2_Grammar</ability>
      <abilityName>语法错误</abilityName>
      <candidateList>
        <item>涉及</item>
      </candidateList>
      <explain>〈动〉牵涉到；关联到：案子～好几个人｜这个问题～面很广。</explain>
      <paraID>5A26C91F</paraID>
      <start>8</start>
      <end>10</end>
      <status>modified</status>
      <modifiedWord>涉及</modifiedWord>
      <trackRevisions>false</trackRevisions>
    </reviewItem>
    <reviewItem>
      <errorID>15876eec-d251-47f0-a6df-9f513ac15ea8</errorID>
      <errorWord>:</errorWord>
      <group>L1_Format</group>
      <groupName>格式问题</groupName>
      <ability>L2_HalfPunc</ability>
      <abilityName>全半角检查</abilityName>
      <candidateList>
        <item>：</item>
      </candidateList>
      <explain>文本全半角错误。</explain>
      <paraID>4B1AEE8F</paraID>
      <start>17</start>
      <end>18</end>
      <status>unmodified</status>
      <modifiedWord/>
      <trackRevisions>false</trackRevisions>
    </reviewItem>
    <reviewItem>
      <errorID>859af3aa-6ddd-4801-b0e2-64dec4c4863f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1D76168F</paraID>
      <start>0</start>
      <end>2</end>
      <status>unmodified</status>
      <modifiedWord/>
      <trackRevisions>false</trackRevisions>
    </reviewItem>
    <reviewItem>
      <errorID>ff2d19d9-304a-47da-a3ad-f88a4b759a46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564C2EA2</paraID>
      <start>0</start>
      <end>2</end>
      <status>unmodified</status>
      <modifiedWord/>
      <trackRevisions>false</trackRevisions>
    </reviewItem>
    <reviewItem>
      <errorID>77eaac5c-a67d-4b12-93c2-686f85dcae92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43A5F004</paraID>
      <start>0</start>
      <end>2</end>
      <status>unmodified</status>
      <modifiedWord/>
      <trackRevisions>false</trackRevisions>
    </reviewItem>
    <reviewItem>
      <errorID>6a279ddc-6b4a-47a7-b4da-7c0b899bef09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4FF5AA43</paraID>
      <start>0</start>
      <end>2</end>
      <status>unmodified</status>
      <modifiedWord/>
      <trackRevisions>false</trackRevisions>
    </reviewItem>
    <reviewItem>
      <errorID>452bd955-0ce9-45c3-a1bf-380d45b0c361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1E9199E5</paraID>
      <start>0</start>
      <end>2</end>
      <status>unmodified</status>
      <modifiedWord/>
      <trackRevisions>false</trackRevisions>
    </reviewItem>
    <reviewItem>
      <errorID>0f4ed328-7612-46f1-ae92-86cdf60ba1e9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52C99997</paraID>
      <start>0</start>
      <end>2</end>
      <status>unmodified</status>
      <modifiedWord/>
      <trackRevisions>false</trackRevisions>
    </reviewItem>
    <reviewItem>
      <errorID>9dc7da7c-4e59-4a3e-a75e-3045f4f91b11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1B1626ED</paraID>
      <start>0</start>
      <end>2</end>
      <status>unmodified</status>
      <modifiedWord/>
      <trackRevisions>false</trackRevisions>
    </reviewItem>
    <reviewItem>
      <errorID>53a708dd-868f-45c2-9aaf-c9831035086a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3BE0093F</paraID>
      <start>0</start>
      <end>2</end>
      <status>unmodified</status>
      <modifiedWord/>
      <trackRevisions>false</trackRevisions>
    </reviewItem>
    <reviewItem>
      <errorID>302c1cec-1cec-4b3c-aade-9b075deec35c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5FFDB8EF</paraID>
      <start>0</start>
      <end>2</end>
      <status>unmodified</status>
      <modifiedWord/>
      <trackRevisions>false</trackRevisions>
    </reviewItem>
    <reviewItem>
      <errorID>a0987f5c-246c-4a3c-a655-48cddf08b312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23AC8969</paraID>
      <start>0</start>
      <end>2</end>
      <status>unmodified</status>
      <modifiedWord/>
      <trackRevisions>false</trackRevisions>
    </reviewItem>
    <reviewItem>
      <errorID>48ed96ce-4d43-4aa7-a03f-a86d0596c7e6</errorID>
      <errorWord>其它</errorWord>
      <group>L1_Word</group>
      <groupName>字词问题</groupName>
      <ability>L2_Alias</ability>
      <abilityName>也作/曾用词</abilityName>
      <candidateList>
        <item>其他</item>
      </candidateList>
      <explain>词汇[其它]为不规范表述或旧称，其规范书面表述为[其他]。</explain>
      <paraID>4855E083</paraID>
      <start>50</start>
      <end>52</end>
      <status>modified</status>
      <modifiedWord>其他</modifiedWord>
      <trackRevisions>false</trackRevisions>
    </reviewItem>
    <reviewItem>
      <errorID>e17d442c-efe0-4d39-9801-016b4733909a</errorID>
      <errorWord>其它</errorWord>
      <group>L1_Word</group>
      <groupName>字词问题</groupName>
      <ability>L2_Alias</ability>
      <abilityName>也作/曾用词</abilityName>
      <candidateList>
        <item>其他</item>
      </candidateList>
      <explain>词汇[其它]为不规范表述或旧称，其规范书面表述为[其他]。</explain>
      <paraID>1ABDA0A2</paraID>
      <start>25</start>
      <end>27</end>
      <status>modified</status>
      <modifiedWord>其他</modifiedWord>
      <trackRevisions>false</trackRevisions>
    </reviewItem>
    <reviewItem>
      <errorID>c598f298-af98-4c07-8dd7-cb4210229f56</errorID>
      <errorWord>符</errorWord>
      <group>L1_Word</group>
      <groupName>字词问题</groupName>
      <ability>L2_Typo</ability>
      <abilityName>字词错误</abilityName>
      <candidateList>
        <item>符合</item>
      </candidateList>
      <explain>〈动〉（数量、形状、情节等）相合：～事实｜这些产品不～质量标准。</explain>
      <paraID>533C5376</paraID>
      <start>22</start>
      <end>24</end>
      <status>modified</status>
      <modifiedWord>符合</modifiedWord>
      <trackRevisions>false</trackRevisions>
    </reviewItem>
    <reviewItem>
      <errorID>adfa630b-ad39-4869-a911-ef499feaf9a9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77022C3E</paraID>
      <start>0</start>
      <end>2</end>
      <status>unmodified</status>
      <modifiedWord/>
      <trackRevisions>false</trackRevisions>
    </reviewItem>
    <reviewItem>
      <errorID>51e5e72b-2663-49c4-9b5b-5c51ebfd9a09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29683C50</paraID>
      <start>0</start>
      <end>2</end>
      <status>unmodified</status>
      <modifiedWord/>
      <trackRevisions>false</trackRevisions>
    </reviewItem>
    <reviewItem>
      <errorID>0750432d-f4ca-4074-a697-92ba9d096f8a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1EDE9139</paraID>
      <start>0</start>
      <end>2</end>
      <status>unmodified</status>
      <modifiedWord/>
      <trackRevisions>false</trackRevisions>
    </reviewItem>
    <reviewItem>
      <errorID>59589ea3-f7e4-4b1f-85ba-b7d3170f5bb3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5B75E81C</paraID>
      <start>0</start>
      <end>2</end>
      <status>unmodified</status>
      <modifiedWord/>
      <trackRevisions>false</trackRevisions>
    </reviewItem>
    <reviewItem>
      <errorID>226d1920-e6a6-44cd-9418-cb8bd60a9747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5556610C</paraID>
      <start>0</start>
      <end>2</end>
      <status>unmodified</status>
      <modifiedWord/>
      <trackRevisions>false</trackRevisions>
    </reviewItem>
    <reviewItem>
      <errorID>d5ae842a-97e6-432d-a11b-e3c4e7b4277d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6DD5F242</paraID>
      <start>0</start>
      <end>2</end>
      <status>unmodified</status>
      <modifiedWord/>
      <trackRevisions>false</trackRevisions>
    </reviewItem>
    <reviewItem>
      <errorID>d5f5e45a-3b13-4bab-a317-9ccc85dd911b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5A79979E</paraID>
      <start>0</start>
      <end>2</end>
      <status>unmodified</status>
      <modifiedWord/>
      <trackRevisions>false</trackRevisions>
    </reviewItem>
    <reviewItem>
      <errorID>1a1cd75d-502d-4c27-a907-265bceb6d3bc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5BA5EA5</paraID>
      <start>0</start>
      <end>2</end>
      <status>unmodified</status>
      <modifiedWord/>
      <trackRevisions>false</trackRevisions>
    </reviewItem>
    <reviewItem>
      <errorID>dac8e4c1-40b1-4b63-9127-2ec368ab9cea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4588C50F</paraID>
      <start>0</start>
      <end>2</end>
      <status>unmodified</status>
      <modifiedWord/>
      <trackRevisions>false</trackRevisions>
    </reviewItem>
    <reviewItem>
      <errorID>eb2bec7f-c1e5-4f0d-ae23-a7df0673d57c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2AFCABCA</paraID>
      <start>0</start>
      <end>2</end>
      <status>unmodified</status>
      <modifiedWord/>
      <trackRevisions>false</trackRevisions>
    </reviewItem>
    <reviewItem>
      <errorID>1045922e-9188-497c-9a95-247caf0f3986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3A5727F8</paraID>
      <start>0</start>
      <end>2</end>
      <status>unmodified</status>
      <modifiedWord/>
      <trackRevisions>false</trackRevisions>
    </reviewItem>
    <reviewItem>
      <errorID>70548571-e2ec-48ca-8dbb-94c668800557</errorID>
      <errorWord>-</errorWord>
      <group>L1_Format</group>
      <groupName>格式问题</groupName>
      <ability>L2_HalfPunc</ability>
      <abilityName>全半角检查</abilityName>
      <candidateList>
        <item>－</item>
      </candidateList>
      <explain>文本全半角错误。</explain>
      <paraID>7EA253AF</paraID>
      <start>50</start>
      <end>51</end>
      <status>unmodified</status>
      <modifiedWord/>
      <trackRevisions>false</trackRevisions>
    </reviewItem>
    <reviewItem>
      <errorID>b0854ea6-0f66-4b15-8240-666afb98b1ae</errorID>
      <errorWord>胶粘剂</errorWord>
      <group>L1_Word</group>
      <groupName>字词问题</groupName>
      <ability>L2_Typo</ability>
      <abilityName>字词错误</abilityName>
      <candidateList>
        <item>胶黏剂</item>
      </candidateList>
      <explain/>
      <paraID>40E46515</paraID>
      <start>14</start>
      <end>17</end>
      <status>ignored</status>
      <modifiedWord/>
      <trackRevisions>false</trackRevisions>
    </reviewItem>
    <reviewItem>
      <errorID>8f23eb60-03bb-476a-b92a-2747d14e0e99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5B8DF6C</paraID>
      <start>0</start>
      <end>2</end>
      <status>unmodified</status>
      <modifiedWord/>
      <trackRevisions>false</trackRevisions>
    </reviewItem>
    <reviewItem>
      <errorID>544ecaab-cf4a-4276-8d88-86056c40250a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33D52F07</paraID>
      <start>0</start>
      <end>2</end>
      <status>unmodified</status>
      <modifiedWord/>
      <trackRevisions>false</trackRevisions>
    </reviewItem>
    <reviewItem>
      <errorID>634487af-ab8e-4fae-b68d-badcbdce81cf</errorID>
      <errorWord>涉及到</errorWord>
      <group>L1_Grammar</group>
      <groupName>语法问题</groupName>
      <ability>L2_Grammar</ability>
      <abilityName>语法错误</abilityName>
      <candidateList>
        <item>涉及</item>
      </candidateList>
      <explain>〈动〉牵涉到；关联到：案子～好几个人｜这个问题～面很广。</explain>
      <paraID>33D52F07</paraID>
      <start>10</start>
      <end>12</end>
      <status>modified</status>
      <modifiedWord>涉及</modifiedWord>
      <trackRevisions>false</trackRevisions>
    </reviewItem>
    <reviewItem>
      <errorID>8e359a43-bed5-4288-84ed-81e6a4f6a936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43C534D9</paraID>
      <start>0</start>
      <end>2</end>
      <status>unmodified</status>
      <modifiedWord/>
      <trackRevisions>false</trackRevisions>
    </reviewItem>
    <reviewItem>
      <errorID>9b90b2c0-57bc-4309-bfe2-c95136f29388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68B64646</paraID>
      <start>0</start>
      <end>2</end>
      <status>unmodified</status>
      <modifiedWord/>
      <trackRevisions>false</trackRevisions>
    </reviewItem>
    <reviewItem>
      <errorID>5a1c1861-1856-4ce3-abed-e6f02830f934</errorID>
      <errorWord>终生</errorWord>
      <group>L1_Word</group>
      <groupName>字词问题</groupName>
      <ability>L2_Typo</ability>
      <abilityName>字词错误</abilityName>
      <candidateList>
        <item>终身</item>
      </candidateList>
      <explain>存在发音相近字词的误用。</explain>
      <paraID>25C39600</paraID>
      <start>37</start>
      <end>39</end>
      <status>modified</status>
      <modifiedWord>终身</modifiedWord>
      <trackRevisions>false</trackRevisions>
    </reviewItem>
    <reviewItem>
      <errorID>4a5416b8-588a-4c53-9300-875f6dc4ff97</errorID>
      <errorWord>位</errorWord>
      <group>L1_Word</group>
      <groupName>字词问题</groupName>
      <ability>L2_Typo</ability>
      <abilityName>字词错误</abilityName>
      <candidateList>
        <item>位在</item>
      </candidateList>
      <explain/>
      <paraID>19AED815</paraID>
      <start>163</start>
      <end>164</end>
      <status>ignored</status>
      <modifiedWord/>
      <trackRevisions>false</trackRevisions>
    </reviewItem>
    <reviewItem>
      <errorID>5b5931fa-63bc-4669-8538-33e63f0d704b</errorID>
      <errorWord>[2017]141号</errorWord>
      <group>L1_Knowledge</group>
      <groupName>知识性问题</groupName>
      <ability>L2_Knowledge</ability>
      <abilityName>其他知识</abilityName>
      <candidateList>
        <item>〔2017〕141号</item>
      </candidateList>
      <explain>发文字号格式错误。</explain>
      <paraID>38BFB501</paraID>
      <start>105</start>
      <end>115</end>
      <status>modified</status>
      <modifiedWord>〔2017〕141号</modifiedWord>
      <trackRevisions>false</trackRevisions>
    </reviewItem>
    <reviewItem>
      <errorID>2bf2beed-6d38-4320-a7f5-f6ed4b690789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36582FAE</paraID>
      <start>0</start>
      <end>2</end>
      <status>unmodified</status>
      <modifiedWord/>
      <trackRevisions>false</trackRevisions>
    </reviewItem>
    <reviewItem>
      <errorID>e87e1dfd-217b-4541-850a-fc50cd5dc7b4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20394794</paraID>
      <start>0</start>
      <end>2</end>
      <status>unmodified</status>
      <modifiedWord/>
      <trackRevisions>false</trackRevisions>
    </reviewItem>
    <reviewItem>
      <errorID>6cae0d76-5065-4cb2-bbd7-02ad7c581657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483778F0</paraID>
      <start>0</start>
      <end>2</end>
      <status>unmodified</status>
      <modifiedWord/>
      <trackRevisions>false</trackRevisions>
    </reviewItem>
    <reviewItem>
      <errorID>b7240a5e-93b4-4a00-a8e7-3bc2f16c5f54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60C5DB7E</paraID>
      <start>0</start>
      <end>2</end>
      <status>unmodified</status>
      <modifiedWord/>
      <trackRevisions>false</trackRevisions>
    </reviewItem>
    <reviewItem>
      <errorID>233268e1-f1ce-4171-8976-5d13a8648746</errorID>
      <errorWord>(</errorWord>
      <group>L1_Format</group>
      <groupName>格式问题</groupName>
      <ability>L2_HalfPunc</ability>
      <abilityName>全半角检查</abilityName>
      <candidateList>
        <item>（</item>
      </candidateList>
      <explain>文本全半角错误。</explain>
      <paraID>60C5DB7E</paraID>
      <start>20</start>
      <end>21</end>
      <status>unmodified</status>
      <modifiedWord/>
      <trackRevisions>false</trackRevisions>
    </reviewItem>
    <reviewItem>
      <errorID>fc11d70d-de6b-4632-a406-29452c708278</errorID>
      <errorWord>)</errorWord>
      <group>L1_Format</group>
      <groupName>格式问题</groupName>
      <ability>L2_HalfPunc</ability>
      <abilityName>全半角检查</abilityName>
      <candidateList>
        <item>）</item>
      </candidateList>
      <explain>文本全半角错误。</explain>
      <paraID>60C5DB7E</paraID>
      <start>23</start>
      <end>24</end>
      <status>unmodified</status>
      <modifiedWord/>
      <trackRevisions>false</trackRevisions>
    </reviewItem>
    <reviewItem>
      <errorID>7c7a37c8-57fd-4d58-8aef-1d5fa5ee496f</errorID>
      <errorWord>(</errorWord>
      <group>L1_Format</group>
      <groupName>格式问题</groupName>
      <ability>L2_HalfPunc</ability>
      <abilityName>全半角检查</abilityName>
      <candidateList>
        <item>（</item>
      </candidateList>
      <explain>文本全半角错误。</explain>
      <paraID>60C5DB7E</paraID>
      <start>44</start>
      <end>45</end>
      <status>unmodified</status>
      <modifiedWord/>
      <trackRevisions>false</trackRevisions>
    </reviewItem>
    <reviewItem>
      <errorID>02bfffd6-5392-4b6a-84db-fa395cec9380</errorID>
      <errorWord>)</errorWord>
      <group>L1_Format</group>
      <groupName>格式问题</groupName>
      <ability>L2_HalfPunc</ability>
      <abilityName>全半角检查</abilityName>
      <candidateList>
        <item>）</item>
      </candidateList>
      <explain>文本全半角错误。</explain>
      <paraID>60C5DB7E</paraID>
      <start>47</start>
      <end>48</end>
      <status>unmodified</status>
      <modifiedWord/>
      <trackRevisions>false</trackRevisions>
    </reviewItem>
    <reviewItem>
      <errorID>e473ba3e-2df2-4a3e-9e66-3657502e2536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5715333E</paraID>
      <start>0</start>
      <end>2</end>
      <status>unmodified</status>
      <modifiedWord/>
      <trackRevisions>false</trackRevisions>
    </reviewItem>
    <reviewItem>
      <errorID>e70484c5-8445-4fd9-abd9-78309cf9af90</errorID>
      <errorWord>-</errorWord>
      <group>L1_Format</group>
      <groupName>格式问题</groupName>
      <ability>L2_HalfPunc</ability>
      <abilityName>全半角检查</abilityName>
      <candidateList>
        <item>－</item>
      </candidateList>
      <explain>文本全半角错误。</explain>
      <paraID>427F38C2</paraID>
      <start>104</start>
      <end>105</end>
      <status>unmodified</status>
      <modifiedWord/>
      <trackRevisions>false</trackRevisions>
    </reviewItem>
    <reviewItem>
      <errorID>36d7495b-a21a-4baf-8fbb-a9d6f05eaa97</errorID>
      <errorWord>-</errorWord>
      <group>L1_Format</group>
      <groupName>格式问题</groupName>
      <ability>L2_HalfPunc</ability>
      <abilityName>全半角检查</abilityName>
      <candidateList>
        <item>－</item>
      </candidateList>
      <explain>文本全半角错误。</explain>
      <paraID>427F38C2</paraID>
      <start>149</start>
      <end>150</end>
      <status>unmodified</status>
      <modifiedWord/>
      <trackRevisions>false</trackRevisions>
    </reviewItem>
    <reviewItem>
      <errorID>c721aa09-c109-4ad1-8e81-6e617638577f</errorID>
      <errorWord>:</errorWord>
      <group>L1_Format</group>
      <groupName>格式问题</groupName>
      <ability>L2_HalfPunc</ability>
      <abilityName>全半角检查</abilityName>
      <candidateList>
        <item>：</item>
      </candidateList>
      <explain>文本全半角错误。</explain>
      <paraID>3DBC8F62</paraID>
      <start>13</start>
      <end>14</end>
      <status>unmodified</status>
      <modifiedWord/>
      <trackRevisions>false</trackRevisions>
    </reviewItem>
    <reviewItem>
      <errorID>e5d58186-c50e-4ffa-aa7b-cdbd48792aea</errorID>
      <errorWord>,</errorWord>
      <group>L1_Format</group>
      <groupName>格式问题</groupName>
      <ability>L2_HalfPunc</ability>
      <abilityName>全半角检查</abilityName>
      <candidateList>
        <item>，</item>
      </candidateList>
      <explain>文本全半角错误。</explain>
      <paraID>1B84E3DE</paraID>
      <start>27</start>
      <end>28</end>
      <status>unmodified</status>
      <modifiedWord/>
      <trackRevisions>false</trackRevisions>
    </reviewItem>
    <reviewItem>
      <errorID>d32ef31f-503f-4d17-b972-2254cdfcdf4d</errorID>
      <errorWord>:</errorWord>
      <group>L1_Format</group>
      <groupName>格式问题</groupName>
      <ability>L2_HalfPunc</ability>
      <abilityName>全半角检查</abilityName>
      <candidateList>
        <item>：</item>
      </candidateList>
      <explain>文本全半角错误。</explain>
      <paraID>4267F6A6</paraID>
      <start>6</start>
      <end>7</end>
      <status>unmodified</status>
      <modifiedWord/>
      <trackRevisions>false</trackRevisions>
    </reviewItem>
    <reviewItem>
      <errorID>dcc96478-527f-41d3-a4ae-6e902e58dc13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5CBB68CD</paraID>
      <start>55</start>
      <end>56</end>
      <status>unmodified</status>
      <modifiedWord/>
      <trackRevisions>false</trackRevisions>
    </reviewItem>
    <reviewItem>
      <errorID>f4c4cfb6-2df4-4f4e-bb01-8722b58b7aa7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5CBB68CD</paraID>
      <start>64</start>
      <end>65</end>
      <status>unmodified</status>
      <modifiedWord/>
      <trackRevisions>false</trackRevisions>
    </reviewItem>
    <reviewItem>
      <errorID>0d63c3c9-e2e4-4f77-bcc7-0ccde80e091e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4F8566C</paraID>
      <start>0</start>
      <end>2</end>
      <status>unmodified</status>
      <modifiedWord/>
      <trackRevisions>false</trackRevisions>
    </reviewItem>
    <reviewItem>
      <errorID>24253892-3db5-4c53-96e5-9555cf6089b7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23E93D4C</paraID>
      <start>0</start>
      <end>2</end>
      <status>unmodified</status>
      <modifiedWord/>
      <trackRevisions>false</trackRevisions>
    </reviewItem>
    <reviewItem>
      <errorID>c7e52849-700e-4128-bab1-0f135b69b7c3</errorID>
      <errorWord>(</errorWord>
      <group>L1_Format</group>
      <groupName>格式问题</groupName>
      <ability>L2_HalfPunc</ability>
      <abilityName>全半角检查</abilityName>
      <candidateList>
        <item>（</item>
      </candidateList>
      <explain>文本全半角错误。</explain>
      <paraID> 88C3850</paraID>
      <start>31</start>
      <end>32</end>
      <status>unmodified</status>
      <modifiedWord/>
      <trackRevisions>false</trackRevisions>
    </reviewItem>
    <reviewItem>
      <errorID>59055f17-b78e-4981-ba17-dac31c1b5e89</errorID>
      <errorWord>)</errorWord>
      <group>L1_Format</group>
      <groupName>格式问题</groupName>
      <ability>L2_HalfPunc</ability>
      <abilityName>全半角检查</abilityName>
      <candidateList>
        <item>）</item>
      </candidateList>
      <explain>文本全半角错误。</explain>
      <paraID> 88C3850</paraID>
      <start>131</start>
      <end>132</end>
      <status>unmodified</status>
      <modifiedWord/>
      <trackRevisions>false</trackRevisions>
    </reviewItem>
    <reviewItem>
      <errorID>6f73a860-6496-4cd7-9a44-8ad3f856f9ad</errorID>
      <errorWord>(</errorWord>
      <group>L1_Format</group>
      <groupName>格式问题</groupName>
      <ability>L2_HalfPunc</ability>
      <abilityName>全半角检查</abilityName>
      <candidateList>
        <item>（</item>
      </candidateList>
      <explain>文本全半角错误。</explain>
      <paraID>1F6D3608</paraID>
      <start>23</start>
      <end>24</end>
      <status>unmodified</status>
      <modifiedWord/>
      <trackRevisions>false</trackRevisions>
    </reviewItem>
    <reviewItem>
      <errorID>91dc3e08-99f0-4d13-bdb0-885d63d73e16</errorID>
      <errorWord>)</errorWord>
      <group>L1_Format</group>
      <groupName>格式问题</groupName>
      <ability>L2_HalfPunc</ability>
      <abilityName>全半角检查</abilityName>
      <candidateList>
        <item>）</item>
      </candidateList>
      <explain>文本全半角错误。</explain>
      <paraID>1F6D3608</paraID>
      <start>30</start>
      <end>31</end>
      <status>unmodified</status>
      <modifiedWord/>
      <trackRevisions>false</trackRevisions>
    </reviewItem>
    <reviewItem>
      <errorID>ae55c772-a78f-43f4-b276-6c59a9c9fc31</errorID>
      <errorWord>:</errorWord>
      <group>L1_Format</group>
      <groupName>格式问题</groupName>
      <ability>L2_HalfPunc</ability>
      <abilityName>全半角检查</abilityName>
      <candidateList>
        <item>：</item>
      </candidateList>
      <explain>文本全半角错误。</explain>
      <paraID>5BE9750D</paraID>
      <start>14</start>
      <end>15</end>
      <status>unmodified</status>
      <modifiedWord/>
      <trackRevisions>false</trackRevisions>
    </reviewItem>
    <reviewItem>
      <errorID>243f3599-8892-4cca-ba8f-70b988bc1696</errorID>
      <errorWord>:</errorWord>
      <group>L1_Format</group>
      <groupName>格式问题</groupName>
      <ability>L2_HalfPunc</ability>
      <abilityName>全半角检查</abilityName>
      <candidateList>
        <item>：</item>
      </candidateList>
      <explain>文本全半角错误。</explain>
      <paraID>5BE9750D</paraID>
      <start>34</start>
      <end>35</end>
      <status>unmodified</status>
      <modifiedWord/>
      <trackRevisions>false</trackRevisions>
    </reviewItem>
    <reviewItem>
      <errorID>a91a1ff8-41d0-49f8-923c-d33d67b9272b</errorID>
      <errorWord>;</errorWord>
      <group>L1_Format</group>
      <groupName>格式问题</groupName>
      <ability>L2_HalfPunc</ability>
      <abilityName>全半角检查</abilityName>
      <candidateList>
        <item>；</item>
      </candidateList>
      <explain>文本全半角错误。</explain>
      <paraID>5BE9750D</paraID>
      <start>50</start>
      <end>51</end>
      <status>unmodified</status>
      <modifiedWord/>
      <trackRevisions>false</trackRevisions>
    </reviewItem>
    <reviewItem>
      <errorID>9f96936c-0b04-4f48-8348-60d2b136e444</errorID>
      <errorWord>:</errorWord>
      <group>L1_Format</group>
      <groupName>格式问题</groupName>
      <ability>L2_HalfPunc</ability>
      <abilityName>全半角检查</abilityName>
      <candidateList>
        <item>：</item>
      </candidateList>
      <explain>文本全半角错误。</explain>
      <paraID>263C6CBC</paraID>
      <start>14</start>
      <end>15</end>
      <status>unmodified</status>
      <modifiedWord/>
      <trackRevisions>false</trackRevisions>
    </reviewItem>
    <reviewItem>
      <errorID>528c49c9-c36c-4bbe-95af-335bc20c238e</errorID>
      <errorWord>(</errorWord>
      <group>L1_Format</group>
      <groupName>格式问题</groupName>
      <ability>L2_HalfPunc</ability>
      <abilityName>全半角检查</abilityName>
      <candidateList>
        <item>（</item>
      </candidateList>
      <explain>文本全半角错误。</explain>
      <paraID>263C6CBC</paraID>
      <start>56</start>
      <end>57</end>
      <status>unmodified</status>
      <modifiedWord/>
      <trackRevisions>false</trackRevisions>
    </reviewItem>
    <reviewItem>
      <errorID>70f40627-6127-433b-bfdf-3554fd8fb1db</errorID>
      <errorWord>)</errorWord>
      <group>L1_Format</group>
      <groupName>格式问题</groupName>
      <ability>L2_HalfPunc</ability>
      <abilityName>全半角检查</abilityName>
      <candidateList>
        <item>）</item>
      </candidateList>
      <explain>文本全半角错误。</explain>
      <paraID>263C6CBC</paraID>
      <start>59</start>
      <end>60</end>
      <status>unmodified</status>
      <modifiedWord/>
      <trackRevisions>false</trackRevisions>
    </reviewItem>
    <reviewItem>
      <errorID>b232e0c5-9f89-41b0-ba39-126fe68fc368</errorID>
      <errorWord>-</errorWord>
      <group>L1_Format</group>
      <groupName>格式问题</groupName>
      <ability>L2_HalfPunc</ability>
      <abilityName>全半角检查</abilityName>
      <candidateList>
        <item>－</item>
      </candidateList>
      <explain>文本全半角错误。</explain>
      <paraID>3BA593D7</paraID>
      <start>21</start>
      <end>22</end>
      <status>unmodified</status>
      <modifiedWord/>
      <trackRevisions>false</trackRevisions>
    </reviewItem>
    <reviewItem>
      <errorID>93f298a4-b48d-476a-b820-ce9dbb5d04d7</errorID>
      <errorWord>-</errorWord>
      <group>L1_Format</group>
      <groupName>格式问题</groupName>
      <ability>L2_HalfPunc</ability>
      <abilityName>全半角检查</abilityName>
      <candidateList>
        <item>－</item>
      </candidateList>
      <explain>文本全半角错误。</explain>
      <paraID>3BA593D7</paraID>
      <start>22</start>
      <end>23</end>
      <status>unmodified</status>
      <modifiedWord/>
      <trackRevisions>false</trackRevisions>
    </reviewItem>
    <reviewItem>
      <errorID>1c5265da-1311-495b-9c73-5b7182f223b0</errorID>
      <errorWord>:</errorWord>
      <group>L1_Format</group>
      <groupName>格式问题</groupName>
      <ability>L2_HalfPunc</ability>
      <abilityName>全半角检查</abilityName>
      <candidateList>
        <item>：</item>
      </candidateList>
      <explain>文本全半角错误。</explain>
      <paraID>3A1091D2</paraID>
      <start>1</start>
      <end>2</end>
      <status>unmodified</status>
      <modifiedWord/>
      <trackRevisions>false</trackRevisions>
    </reviewItem>
    <reviewItem>
      <errorID>41bf31e3-c74c-4843-ad23-ce1934160627</errorID>
      <errorWord>详实</errorWord>
      <group>L1_Word</group>
      <groupName>字词问题</groupName>
      <ability>L2_Typo</ability>
      <abilityName>字词错误</abilityName>
      <candidateList>
        <item>翔实</item>
      </candidateList>
      <explain/>
      <paraID>5A45CB32</paraID>
      <start>9</start>
      <end>11</end>
      <status>ignored</status>
      <modifiedWord/>
      <trackRevisions>false</trackRevisions>
    </reviewItem>
    <reviewItem>
      <errorID>9f4d93df-fcdd-4fe1-ab9b-31030ebecdb9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10441F9F</paraID>
      <start>0</start>
      <end>2</end>
      <status>unmodified</status>
      <modifiedWord/>
      <trackRevisions>false</trackRevisions>
    </reviewItem>
    <reviewItem>
      <errorID>5e2d8056-2334-44c5-9771-0bb487506012</errorID>
      <errorWord>、</errorWord>
      <group>L1_Word</group>
      <groupName>字词问题</groupName>
      <ability>L2_Typo</ability>
      <abilityName>字词错误</abilityName>
      <candidateList>
        <item>、具</item>
      </candidateList>
      <explain/>
      <paraID>1F676CE0</paraID>
      <start>11</start>
      <end>13</end>
      <status>modified</status>
      <modifiedWord>、具</modifiedWord>
      <trackRevisions>false</trackRevisions>
    </reviewItem>
    <reviewItem>
      <errorID>ee74ca24-637f-4a93-ba43-7b7faf0a9221</errorID>
      <errorWord>属</errorWord>
      <group>L1_Word</group>
      <groupName>字词问题</groupName>
      <ability>L2_Typo</ability>
      <abilityName>字词错误</abilityName>
      <candidateList>
        <item>属于</item>
      </candidateList>
      <explain/>
      <paraID>79C77F91</paraID>
      <start>93</start>
      <end>95</end>
      <status>modified</status>
      <modifiedWord>属于</modifiedWord>
      <trackRevisions>false</trackRevisions>
    </reviewItem>
    <reviewItem>
      <errorID>015dd244-4961-49ea-a1df-08d0ef56a6ea</errorID>
      <errorWord>如是</errorWord>
      <group>L1_Word</group>
      <groupName>字词问题</groupName>
      <ability>L2_Typo</ability>
      <abilityName>字词错误</abilityName>
      <candidateList>
        <item>如</item>
      </candidateList>
      <explain/>
      <paraID>6D50ED42</paraID>
      <start>51</start>
      <end>53</end>
      <status>ignored</status>
      <modifiedWord/>
      <trackRevisions>false</trackRevisions>
    </reviewItem>
    <reviewItem>
      <errorID>4bb58f26-118f-4496-b470-55cba0ea86b8</errorID>
      <errorWord>（</errorWord>
      <group>L1_Punc</group>
      <groupName>标点问题</groupName>
      <ability>L2_Punc</ability>
      <abilityName>标点符号检查</abilityName>
      <candidateList/>
      <explain>同一形式括号套用。</explain>
      <paraID>126E582A</paraID>
      <start>50</start>
      <end>51</end>
      <status>unmodified</status>
      <modifiedWord/>
      <trackRevisions>false</trackRevisions>
    </reviewItem>
    <reviewItem>
      <errorID>19169f27-8bbb-4d33-9340-5da9a4841585</errorID>
      <errorWord>）</errorWord>
      <group>L1_Punc</group>
      <groupName>标点问题</groupName>
      <ability>L2_Punc</ability>
      <abilityName>标点符号检查</abilityName>
      <candidateList/>
      <explain>同一形式括号套用。</explain>
      <paraID>126E582A</paraID>
      <start>57</start>
      <end>58</end>
      <status>unmodified</status>
      <modifiedWord/>
      <trackRevisions>false</trackRevisions>
    </reviewItem>
    <reviewItem>
      <errorID>6efd6bb7-c93a-445c-96bc-672723ab1994</errorID>
      <errorWord>(</errorWord>
      <group>L1_Format</group>
      <groupName>格式问题</groupName>
      <ability>L2_HalfPunc</ability>
      <abilityName>全半角检查</abilityName>
      <candidateList>
        <item>（</item>
      </candidateList>
      <explain>文本全半角错误。</explain>
      <paraID>3D254700</paraID>
      <start>10</start>
      <end>11</end>
      <status>unmodified</status>
      <modifiedWord/>
      <trackRevisions>false</trackRevisions>
    </reviewItem>
    <reviewItem>
      <errorID>fb8aa999-d197-4ec1-ac7e-62f88f0ddb4c</errorID>
      <errorWord>)</errorWord>
      <group>L1_Format</group>
      <groupName>格式问题</groupName>
      <ability>L2_HalfPunc</ability>
      <abilityName>全半角检查</abilityName>
      <candidateList>
        <item>）</item>
      </candidateList>
      <explain>文本全半角错误。</explain>
      <paraID>3D254700</paraID>
      <start>25</start>
      <end>26</end>
      <status>unmodified</status>
      <modifiedWord/>
      <trackRevisions>false</trackRevisions>
    </reviewItem>
    <reviewItem>
      <errorID>cbcce775-892b-4e13-9b23-8ceb747e954b</errorID>
      <errorWord>不须</errorWord>
      <group>L1_Word</group>
      <groupName>字词问题</groupName>
      <ability>L2_Typo</ability>
      <abilityName>字词错误</abilityName>
      <candidateList>
        <item>无需</item>
      </candidateList>
      <explain>同“无须”。</explain>
      <paraID>359EEDC0</paraID>
      <start>43</start>
      <end>45</end>
      <status>modified</status>
      <modifiedWord>无需</modifiedWord>
      <trackRevisions>false</trackRevisions>
    </reviewItem>
    <reviewItem>
      <errorID>a3be87c7-881d-4784-9432-45e55fefc432</errorID>
      <errorWord>(</errorWord>
      <group>L1_Format</group>
      <groupName>格式问题</groupName>
      <ability>L2_HalfPunc</ability>
      <abilityName>全半角检查</abilityName>
      <candidateList>
        <item>（</item>
      </candidateList>
      <explain>文本全半角错误。</explain>
      <paraID>64A1138A</paraID>
      <start>13</start>
      <end>14</end>
      <status>unmodified</status>
      <modifiedWord/>
      <trackRevisions>false</trackRevisions>
    </reviewItem>
    <reviewItem>
      <errorID>f4100453-4a60-4a65-ba9d-3a77c1b07b28</errorID>
      <errorWord>)</errorWord>
      <group>L1_Format</group>
      <groupName>格式问题</groupName>
      <ability>L2_HalfPunc</ability>
      <abilityName>全半角检查</abilityName>
      <candidateList>
        <item>）</item>
      </candidateList>
      <explain>文本全半角错误。</explain>
      <paraID>64A1138A</paraID>
      <start>28</start>
      <end>29</end>
      <status>unmodified</status>
      <modifiedWord/>
      <trackRevisions>false</trackRevisions>
    </reviewItem>
    <reviewItem>
      <errorID>4c430d70-3d71-4f05-a023-b1237ea0b432</errorID>
      <errorWord>不得有</errorWord>
      <group>L1_Word</group>
      <groupName>字词问题</groupName>
      <ability>L2_Typo</ability>
      <abilityName>字词错误</abilityName>
      <candidateList>
        <item>不得</item>
      </candidateList>
      <explain>〈助〉用在动词、形容词后面，表示不可以或不能够：去～｜要～｜动弹～｜马虎～｜老虎屁股摸～｜科学上来～半点虚假。</explain>
      <paraID>76FCA40B</paraID>
      <start>73</start>
      <end>75</end>
      <status>modified</status>
      <modifiedWord>不得</modifiedWord>
      <trackRevisions>false</trackRevisions>
    </reviewItem>
    <reviewItem>
      <errorID>308471bb-8315-406b-97d8-56affd315d4a</errorID>
      <errorWord>无需设置</errorWord>
      <group>L1_Word</group>
      <groupName>字词问题</groupName>
      <ability>L2_Alias</ability>
      <abilityName>也作/曾用词</abilityName>
      <candidateList>
        <item>无须设置</item>
      </candidateList>
      <explain>词汇[无需设置]为不规范表述或旧称，其规范书面表述为[无须设置]。</explain>
      <paraID>76FCA40B</paraID>
      <start>87</start>
      <end>91</end>
      <status>modified</status>
      <modifiedWord>无须设置</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F7357E09-07C3-432A-9B5C-51EB3C15AFB6}"/>
</file>

<file path=customXml/itemProps2.xml><?xml version="1.0" encoding="utf-8"?>
<ds:datastoreItem xmlns:ds="http://schemas.openxmlformats.org/officeDocument/2006/customXml" ds:itemID="{85D49E58-55F3-44D9-A781-D2A4093791CA}"/>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黄</dc:creator>
  <cp:lastModifiedBy>丁娅屏</cp:lastModifiedBy>
  <cp:revision>28</cp:revision>
  <dcterms:created xsi:type="dcterms:W3CDTF">2024-04-28T03:01:00Z</dcterms:created>
  <dcterms:modified xsi:type="dcterms:W3CDTF">2026-04-08T03:16:20Z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eyJoZGlkIjoiZjZlZmI4OTdjM2RjYzBlMWY0MGNjZTA4OGI0ZTgxOGYiLCJ1c2VySWQiOiIxOTc0Mzc3MzEifQ==</vt:lpwstr>
  </property>
  <property fmtid="{D5CDD505-2E9C-101B-9397-08002B2CF9AE}" pid="3" name="KSOProductBuildVer">
    <vt:lpwstr>2052-12.1.0.25865</vt:lpwstr>
  </property>
  <property fmtid="{D5CDD505-2E9C-101B-9397-08002B2CF9AE}" pid="4" name="ICV">
    <vt:lpwstr>855EB0C0BDD240EF97A13F46864F4A6B_13</vt:lpwstr>
  </property>
</Properties>
</file>