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916"/>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916"/>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海安市人民医院心脏彩色多普勒超声诊断仪采购项目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JSZC-320685-RBGC-C2026-0005</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0"/>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0"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916"/>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3440"/>
      <w:r/>
      <w:bookmarkStart w:id="3" w:name="_Toc16818"/>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四月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925"/>
            <w:tabs>
              <w:tab w:val="right" w:pos="9026" w:leader="hyphen"/>
            </w:tabs>
            <w:rPr>
              <w:sz w:val="28"/>
              <w:szCs w:val="32"/>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_Toc10534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sz w:val="28"/>
              <w:szCs w:val="56"/>
              <w:highlight w:val="none"/>
            </w:rPr>
            <w:t xml:space="preserve">第一章  磋商邀请</w:t>
          </w:r>
          <w:r>
            <w:rPr>
              <w:sz w:val="28"/>
              <w:szCs w:val="32"/>
            </w:rPr>
            <w:tab/>
          </w:r>
          <w:r>
            <w:rPr>
              <w:sz w:val="28"/>
              <w:szCs w:val="32"/>
            </w:rPr>
            <w:fldChar w:fldCharType="begin"/>
          </w:r>
          <w:r>
            <w:rPr>
              <w:sz w:val="28"/>
              <w:szCs w:val="32"/>
            </w:rPr>
            <w:instrText xml:space="preserve"> PAGEREF _Toc10534 \h </w:instrText>
          </w:r>
          <w:r>
            <w:rPr>
              <w:sz w:val="28"/>
              <w:szCs w:val="32"/>
            </w:rPr>
            <w:fldChar w:fldCharType="separate"/>
          </w:r>
          <w:r>
            <w:rPr>
              <w:sz w:val="28"/>
              <w:szCs w:val="32"/>
            </w:rPr>
            <w:t xml:space="preserve">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5"/>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_Toc23332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rPr>
            <w:t xml:space="preserve">第二章 </w:t>
          </w:r>
          <w:r>
            <w:rPr>
              <w:rFonts w:hint="eastAsia" w:ascii="黑体" w:hAnsi="Arial" w:eastAsia="黑体" w:cs="Arial"/>
              <w:bCs/>
              <w:sz w:val="28"/>
              <w:szCs w:val="56"/>
              <w:lang w:val="en-US" w:eastAsia="zh-CN"/>
            </w:rPr>
            <w:t xml:space="preserve"> </w:t>
          </w:r>
          <w:r>
            <w:rPr>
              <w:rFonts w:hint="eastAsia" w:ascii="黑体" w:hAnsi="Arial" w:eastAsia="黑体" w:cs="Arial"/>
              <w:bCs/>
              <w:sz w:val="28"/>
              <w:szCs w:val="56"/>
              <w:highlight w:val="none"/>
            </w:rPr>
            <w:t xml:space="preserve">供应商须知</w:t>
          </w:r>
          <w:r>
            <w:rPr>
              <w:sz w:val="28"/>
              <w:szCs w:val="32"/>
            </w:rPr>
            <w:tab/>
          </w:r>
          <w:r>
            <w:rPr>
              <w:sz w:val="28"/>
              <w:szCs w:val="32"/>
            </w:rPr>
            <w:fldChar w:fldCharType="begin"/>
          </w:r>
          <w:r>
            <w:rPr>
              <w:sz w:val="28"/>
              <w:szCs w:val="32"/>
            </w:rPr>
            <w:instrText xml:space="preserve"> PAGEREF _Toc23332 \h </w:instrText>
          </w:r>
          <w:r>
            <w:rPr>
              <w:sz w:val="28"/>
              <w:szCs w:val="32"/>
            </w:rPr>
            <w:fldChar w:fldCharType="separate"/>
          </w:r>
          <w:r>
            <w:rPr>
              <w:sz w:val="28"/>
              <w:szCs w:val="32"/>
            </w:rPr>
            <w:t xml:space="preserve">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5"/>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_Toc6233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第三章 </w:t>
          </w:r>
          <w:r>
            <w:rPr>
              <w:rFonts w:hint="eastAsia" w:ascii="黑体" w:hAnsi="Arial" w:eastAsia="黑体" w:cs="Arial"/>
              <w:bCs/>
              <w:sz w:val="28"/>
              <w:szCs w:val="56"/>
              <w:highlight w:val="none"/>
              <w:lang w:val="en-US" w:eastAsia="zh-CN"/>
            </w:rPr>
            <w:t xml:space="preserve"> </w:t>
          </w:r>
          <w:r>
            <w:rPr>
              <w:rFonts w:hint="eastAsia" w:ascii="黑体" w:hAnsi="Arial" w:eastAsia="黑体" w:cs="Arial"/>
              <w:bCs/>
              <w:sz w:val="28"/>
              <w:szCs w:val="56"/>
              <w:highlight w:val="none"/>
            </w:rPr>
            <w:t xml:space="preserve">采购需求</w:t>
          </w:r>
          <w:r>
            <w:rPr>
              <w:sz w:val="28"/>
              <w:szCs w:val="32"/>
            </w:rPr>
            <w:tab/>
          </w:r>
          <w:r>
            <w:rPr>
              <w:sz w:val="28"/>
              <w:szCs w:val="32"/>
            </w:rPr>
            <w:fldChar w:fldCharType="begin"/>
          </w:r>
          <w:r>
            <w:rPr>
              <w:sz w:val="28"/>
              <w:szCs w:val="32"/>
            </w:rPr>
            <w:instrText xml:space="preserve"> PAGEREF _Toc6233 \h </w:instrText>
          </w:r>
          <w:r>
            <w:rPr>
              <w:sz w:val="28"/>
              <w:szCs w:val="32"/>
            </w:rPr>
            <w:fldChar w:fldCharType="separate"/>
          </w:r>
          <w:r>
            <w:rPr>
              <w:sz w:val="28"/>
              <w:szCs w:val="32"/>
            </w:rPr>
            <w:t xml:space="preserve">21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5"/>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_Toc5981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第四</w:t>
          </w:r>
          <w:r>
            <w:rPr>
              <w:rFonts w:hint="eastAsia" w:ascii="黑体" w:hAnsi="Arial" w:eastAsia="黑体" w:cs="Arial"/>
              <w:bCs/>
              <w:sz w:val="28"/>
              <w:szCs w:val="56"/>
              <w:highlight w:val="none"/>
              <w:lang w:val="en-US" w:eastAsia="zh-CN"/>
            </w:rPr>
            <w:t xml:space="preserve">章  </w:t>
          </w:r>
          <w:r>
            <w:rPr>
              <w:rFonts w:hint="eastAsia" w:ascii="黑体" w:hAnsi="Arial" w:eastAsia="黑体" w:cs="Arial"/>
              <w:bCs/>
              <w:sz w:val="28"/>
              <w:szCs w:val="56"/>
              <w:highlight w:val="none"/>
            </w:rPr>
            <w:t xml:space="preserve">合同</w:t>
          </w:r>
          <w:r>
            <w:rPr>
              <w:rFonts w:hint="eastAsia" w:ascii="黑体" w:hAnsi="Arial" w:eastAsia="黑体" w:cs="Arial"/>
              <w:bCs/>
              <w:sz w:val="28"/>
              <w:szCs w:val="56"/>
              <w:highlight w:val="none"/>
              <w:lang w:val="en-US" w:eastAsia="zh-CN"/>
            </w:rPr>
            <w:t xml:space="preserve">条款</w:t>
          </w:r>
          <w:r>
            <w:rPr>
              <w:sz w:val="28"/>
              <w:szCs w:val="32"/>
            </w:rPr>
            <w:tab/>
          </w:r>
          <w:r>
            <w:rPr>
              <w:sz w:val="28"/>
              <w:szCs w:val="32"/>
            </w:rPr>
            <w:fldChar w:fldCharType="begin"/>
          </w:r>
          <w:r>
            <w:rPr>
              <w:sz w:val="28"/>
              <w:szCs w:val="32"/>
            </w:rPr>
            <w:instrText xml:space="preserve"> PAGEREF _Toc5981 \h </w:instrText>
          </w:r>
          <w:r>
            <w:rPr>
              <w:sz w:val="28"/>
              <w:szCs w:val="32"/>
            </w:rPr>
            <w:fldChar w:fldCharType="separate"/>
          </w:r>
          <w:r>
            <w:rPr>
              <w:sz w:val="28"/>
              <w:szCs w:val="32"/>
            </w:rPr>
            <w:t xml:space="preserve">29</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5"/>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_Toc9683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五</w:t>
          </w:r>
          <w:r>
            <w:rPr>
              <w:rFonts w:hint="eastAsia" w:ascii="黑体" w:hAnsi="Times New Roman" w:eastAsia="黑体"/>
              <w:bCs/>
              <w:sz w:val="28"/>
              <w:szCs w:val="40"/>
              <w:highlight w:val="none"/>
            </w:rPr>
            <w:t xml:space="preserve">章 </w:t>
          </w:r>
          <w:r>
            <w:rPr>
              <w:rFonts w:hint="eastAsia" w:ascii="黑体" w:eastAsia="黑体"/>
              <w:bCs/>
              <w:sz w:val="28"/>
              <w:szCs w:val="40"/>
              <w:highlight w:val="none"/>
              <w:lang w:val="en-US" w:eastAsia="zh-CN"/>
            </w:rPr>
            <w:t xml:space="preserve"> </w:t>
          </w:r>
          <w:r>
            <w:rPr>
              <w:rFonts w:hint="eastAsia" w:ascii="黑体" w:hAnsi="Times New Roman" w:eastAsia="黑体"/>
              <w:bCs/>
              <w:sz w:val="28"/>
              <w:szCs w:val="40"/>
              <w:highlight w:val="none"/>
            </w:rPr>
            <w:t xml:space="preserve">评审方法与评审标准</w:t>
          </w:r>
          <w:r>
            <w:rPr>
              <w:sz w:val="28"/>
              <w:szCs w:val="32"/>
            </w:rPr>
            <w:tab/>
          </w:r>
          <w:r>
            <w:rPr>
              <w:sz w:val="28"/>
              <w:szCs w:val="32"/>
            </w:rPr>
            <w:fldChar w:fldCharType="begin"/>
          </w:r>
          <w:r>
            <w:rPr>
              <w:sz w:val="28"/>
              <w:szCs w:val="32"/>
            </w:rPr>
            <w:instrText xml:space="preserve"> PAGEREF _Toc9683 \h </w:instrText>
          </w:r>
          <w:r>
            <w:rPr>
              <w:sz w:val="28"/>
              <w:szCs w:val="32"/>
            </w:rPr>
            <w:fldChar w:fldCharType="separate"/>
          </w:r>
          <w:r>
            <w:rPr>
              <w:sz w:val="28"/>
              <w:szCs w:val="32"/>
            </w:rPr>
            <w:t xml:space="preserve">44</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5"/>
            <w:tabs>
              <w:tab w:val="right" w:pos="9026" w:leader="hyphen"/>
            </w:tabs>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_Toc2464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六</w:t>
          </w:r>
          <w:r>
            <w:rPr>
              <w:rFonts w:hint="eastAsia" w:ascii="黑体" w:hAnsi="Times New Roman" w:eastAsia="黑体"/>
              <w:bCs/>
              <w:sz w:val="28"/>
              <w:szCs w:val="40"/>
              <w:highlight w:val="none"/>
            </w:rPr>
            <w:t xml:space="preserve">章 </w:t>
          </w:r>
          <w:r>
            <w:rPr>
              <w:rFonts w:hint="eastAsia" w:ascii="黑体" w:eastAsia="黑体"/>
              <w:bCs/>
              <w:sz w:val="28"/>
              <w:szCs w:val="40"/>
              <w:highlight w:val="none"/>
              <w:lang w:val="en-US" w:eastAsia="zh-CN"/>
            </w:rPr>
            <w:t xml:space="preserve"> </w:t>
          </w:r>
          <w:r>
            <w:rPr>
              <w:rFonts w:hint="eastAsia" w:ascii="黑体" w:hAnsi="Times New Roman" w:eastAsia="黑体"/>
              <w:bCs/>
              <w:sz w:val="28"/>
              <w:szCs w:val="40"/>
              <w:highlight w:val="none"/>
            </w:rPr>
            <w:t xml:space="preserve">响应文件格式</w:t>
          </w:r>
          <w:r>
            <w:rPr>
              <w:sz w:val="28"/>
              <w:szCs w:val="32"/>
            </w:rPr>
            <w:tab/>
          </w:r>
          <w:r>
            <w:rPr>
              <w:sz w:val="28"/>
              <w:szCs w:val="32"/>
            </w:rPr>
            <w:fldChar w:fldCharType="begin"/>
          </w:r>
          <w:r>
            <w:rPr>
              <w:sz w:val="28"/>
              <w:szCs w:val="32"/>
            </w:rPr>
            <w:instrText xml:space="preserve"> PAGEREF _Toc2464 \h </w:instrText>
          </w:r>
          <w:r>
            <w:rPr>
              <w:sz w:val="28"/>
              <w:szCs w:val="32"/>
            </w:rPr>
            <w:fldChar w:fldCharType="separate"/>
          </w:r>
          <w:r>
            <w:rPr>
              <w:sz w:val="28"/>
              <w:szCs w:val="32"/>
            </w:rPr>
            <w:t xml:space="preserve">52</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10534"/>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海安市人民医院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海安市人民医院心脏彩色多普勒超声诊断仪采购项目（JSZC-320685-RBGC-C2026-0005）</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海安市人民医院心脏彩色多普勒超声诊断仪采购项目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ff0000"/>
          <w:sz w:val="24"/>
          <w:szCs w:val="24"/>
          <w:highlight w:val="none"/>
          <w:u w:val="single"/>
          <w:lang w:val="en-US" w:eastAsia="zh-CN"/>
        </w:rPr>
        <w:t xml:space="preserve">2026年4月23日13时30分</w:t>
      </w:r>
      <w:r>
        <w:rPr>
          <w:rFonts w:hint="eastAsia" w:ascii="宋体" w:hAnsi="宋体" w:cs="宋体"/>
          <w:b/>
          <w:bCs/>
          <w:color w:val="auto"/>
          <w:sz w:val="24"/>
          <w:szCs w:val="24"/>
          <w:highlight w:val="none"/>
          <w:u w:val="single"/>
          <w:lang w:val="en-US" w:eastAsia="zh-CN"/>
        </w:rPr>
        <w:t xml:space="preserve">（北京时间）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28359002"/>
      <w:r/>
      <w:bookmarkStart w:id="8" w:name="_Toc35393790"/>
      <w:r/>
      <w:bookmarkStart w:id="9" w:name="_Toc38985263"/>
      <w:r/>
      <w:bookmarkStart w:id="10" w:name="_Toc35393621"/>
      <w:r/>
      <w:bookmarkStart w:id="11" w:name="_Toc28359079"/>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4050"/>
      <w:r/>
      <w:bookmarkStart w:id="14" w:name="_Toc586"/>
      <w:r/>
      <w:bookmarkStart w:id="15" w:name="_Toc11770"/>
      <w:r/>
      <w:bookmarkStart w:id="16" w:name="_Toc6079"/>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JSZC-320685-RBGC-C2026-0005</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海安市人民医院心脏彩色多普勒超声诊断仪采购项目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225万元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8985264"/>
      <w:r/>
      <w:bookmarkStart w:id="18" w:name="_Toc35393791"/>
      <w:r/>
      <w:bookmarkStart w:id="19" w:name="_Toc35393622"/>
      <w:r/>
      <w:bookmarkStart w:id="20" w:name="_Toc28359080"/>
      <w:r/>
      <w:bookmarkStart w:id="21" w:name="_Toc28359003"/>
      <w:r>
        <w:rPr>
          <w:rFonts w:hint="eastAsia" w:ascii="宋体" w:hAnsi="宋体" w:cs="宋体"/>
          <w:color w:val="auto"/>
          <w:sz w:val="24"/>
          <w:szCs w:val="24"/>
          <w:highlight w:val="none"/>
          <w:lang w:val="en-US" w:eastAsia="zh-CN"/>
        </w:rPr>
        <w:t xml:space="preserve">详见竞争性磋商文件</w:t>
      </w:r>
      <w:r/>
    </w:p>
    <w:tbl>
      <w:tblPr>
        <w:tblStyle w:val="913"/>
        <w:tblpPr w:horzAnchor="page" w:tblpXSpec="center" w:vertAnchor="text" w:tblpY="98"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cs="宋体"/>
                <w:color w:val="auto"/>
                <w:sz w:val="24"/>
                <w:szCs w:val="24"/>
                <w:highlight w:val="none"/>
                <w:lang w:val="en-US" w:eastAsia="zh-CN"/>
              </w:rPr>
              <w:t xml:space="preserve">心脏彩色多普勒超声诊断仪</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台</w:t>
            </w:r>
            <w:r/>
          </w:p>
        </w:tc>
        <w:tc>
          <w:tcPr>
            <w:tcW w:w="1226"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五年</w:t>
            </w:r>
            <w:r/>
          </w:p>
        </w:tc>
        <w:tc>
          <w:tcPr>
            <w:tcW w:w="132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是</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合同履行期限：合同签订后30天内交货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28094"/>
      <w:r/>
      <w:bookmarkStart w:id="23" w:name="_Toc30635"/>
      <w:r/>
      <w:bookmarkStart w:id="24" w:name="_Toc25468"/>
      <w:r/>
      <w:bookmarkStart w:id="25" w:name="_Toc1215"/>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38985265"/>
      <w:r/>
      <w:bookmarkStart w:id="27" w:name="_Toc35393792"/>
      <w:r/>
      <w:bookmarkStart w:id="28" w:name="_Toc28359004"/>
      <w:r/>
      <w:bookmarkStart w:id="29" w:name="_Toc35393623"/>
      <w:r/>
      <w:bookmarkStart w:id="30" w:name="_Toc28359081"/>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27405"/>
      <w:r/>
      <w:bookmarkStart w:id="32" w:name="_Toc7517"/>
      <w:r/>
      <w:bookmarkStart w:id="33" w:name="_Toc8824"/>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6023"/>
      <w:r/>
      <w:bookmarkStart w:id="35" w:name="_Toc30614"/>
      <w:r/>
      <w:bookmarkStart w:id="36" w:name="_Toc28888"/>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9946"/>
      <w:r/>
      <w:bookmarkStart w:id="38" w:name="_Toc10127"/>
      <w:r/>
      <w:bookmarkStart w:id="39" w:name="_Toc23443"/>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val="0"/>
          <w:bCs w:val="0"/>
          <w:color w:val="ff0000"/>
          <w:sz w:val="24"/>
          <w:szCs w:val="24"/>
          <w:highlight w:val="none"/>
          <w:lang w:val="en-US" w:eastAsia="zh-CN"/>
        </w:rPr>
        <w:outlineLvl w:val="9"/>
      </w:pPr>
      <w:r/>
      <w:bookmarkStart w:id="40" w:name="_Toc24463"/>
      <w:r/>
      <w:bookmarkStart w:id="41" w:name="_Toc6938"/>
      <w:r/>
      <w:bookmarkStart w:id="42" w:name="_Toc23714"/>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bookmarkEnd w:id="40"/>
      <w:r/>
      <w:bookmarkEnd w:id="41"/>
      <w:r/>
      <w:bookmarkEnd w:id="42"/>
      <w:r>
        <w:rPr>
          <w:rFonts w:hint="eastAsia" w:ascii="宋体" w:hAnsi="宋体" w:cs="宋体"/>
          <w:b w:val="0"/>
          <w:bCs w:val="0"/>
          <w:color w:val="auto"/>
          <w:sz w:val="24"/>
          <w:szCs w:val="24"/>
          <w:highlight w:val="none"/>
          <w:lang w:val="en-US" w:eastAsia="zh-CN"/>
        </w:rPr>
        <w:t xml:space="preserve">本项目属于专门面向中小企业采购的项目,货物类项目的货物生产企业或者服务类项目的服务提供商应为中小微企业、监狱和戒毒企业、残疾人福利性单位。须按照磋商文件要求提供《中小企业声明函》、《残疾人福利性单位声明函》或监狱和戒毒企业证明材料。</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27013"/>
      <w:r/>
      <w:bookmarkStart w:id="44" w:name="_Toc27584"/>
      <w:r/>
      <w:bookmarkStart w:id="45" w:name="_Toc878"/>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p>
      <w:pPr>
        <w:numPr>
          <w:ilvl w:val="0"/>
          <w:numId w:val="0"/>
        </w:numPr>
        <w:ind w:firstLine="480"/>
        <w:rPr>
          <w:rFonts w:hint="default"/>
          <w:color w:val="auto"/>
          <w:highlight w:val="none"/>
          <w:lang w:val="en-US" w:eastAsia="zh-CN"/>
        </w:rPr>
        <w:outlineLvl w:val="9"/>
      </w:pPr>
      <w:r>
        <w:rPr>
          <w:rFonts w:hint="eastAsia" w:ascii="宋体" w:hAnsi="宋体" w:cs="Times New Roman"/>
          <w:color w:val="auto"/>
          <w:sz w:val="24"/>
          <w:szCs w:val="24"/>
          <w:highlight w:val="none"/>
          <w:lang w:val="en-US" w:eastAsia="zh-CN"/>
        </w:rPr>
        <w:t xml:space="preserve">2、投标产品应根据注册类别须具有《医疗器械注册证》或者《医疗器械备案凭证》（复印件）。</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46" w:name="_Toc10444"/>
      <w:r/>
      <w:bookmarkStart w:id="47" w:name="_Toc22987"/>
      <w:r/>
      <w:bookmarkStart w:id="48" w:name="_Toc29194"/>
      <w:r/>
      <w:bookmarkStart w:id="49" w:name="_Toc4289"/>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82"/>
      <w:r/>
      <w:bookmarkStart w:id="51" w:name="_Toc28359005"/>
      <w:r/>
      <w:bookmarkStart w:id="52" w:name="_Toc38985266"/>
      <w:r/>
      <w:bookmarkStart w:id="53" w:name="_Toc35393624"/>
      <w:r/>
      <w:bookmarkStart w:id="54" w:name="_Toc35393793"/>
      <w:r>
        <w:rPr>
          <w:rFonts w:hint="eastAsia" w:ascii="宋体" w:hAnsi="宋体" w:eastAsia="宋体" w:cs="Times New Roman"/>
          <w:color w:val="auto"/>
          <w:sz w:val="24"/>
          <w:szCs w:val="24"/>
          <w:highlight w:val="none"/>
        </w:rPr>
        <w:t xml:space="preserve">1.时间：自</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w:t>
      </w:r>
      <w:r>
        <w:rPr>
          <w:rFonts w:hint="eastAsia" w:ascii="宋体" w:hAnsi="宋体" w:eastAsia="宋体" w:cs="Times New Roman"/>
          <w:b/>
          <w:bCs/>
          <w:color w:val="ff0000"/>
          <w:sz w:val="24"/>
          <w:szCs w:val="24"/>
          <w:highlight w:val="none"/>
        </w:rPr>
        <w:t xml:space="preserve">202</w:t>
      </w:r>
      <w:r>
        <w:rPr>
          <w:rFonts w:hint="eastAsia" w:ascii="宋体" w:hAnsi="宋体" w:cs="Times New Roman"/>
          <w:b/>
          <w:bCs/>
          <w:color w:val="ff0000"/>
          <w:sz w:val="24"/>
          <w:szCs w:val="24"/>
          <w:highlight w:val="none"/>
          <w:lang w:val="en-US" w:eastAsia="zh-CN"/>
        </w:rPr>
        <w:t xml:space="preserve">6</w:t>
      </w:r>
      <w:r>
        <w:rPr>
          <w:rFonts w:hint="eastAsia" w:ascii="宋体" w:hAnsi="宋体" w:eastAsia="宋体" w:cs="Times New Roman"/>
          <w:b/>
          <w:bCs/>
          <w:color w:val="ff0000"/>
          <w:sz w:val="24"/>
          <w:szCs w:val="24"/>
          <w:highlight w:val="none"/>
        </w:rPr>
        <w:t xml:space="preserve">年</w:t>
      </w:r>
      <w:r>
        <w:rPr>
          <w:rFonts w:hint="eastAsia" w:ascii="宋体" w:hAnsi="宋体" w:cs="Times New Roman"/>
          <w:b/>
          <w:bCs/>
          <w:color w:val="ff0000"/>
          <w:sz w:val="24"/>
          <w:szCs w:val="24"/>
          <w:highlight w:val="none"/>
          <w:lang w:val="en-US" w:eastAsia="zh-CN"/>
        </w:rPr>
        <w:t xml:space="preserve">4</w:t>
      </w:r>
      <w:r>
        <w:rPr>
          <w:rFonts w:hint="eastAsia" w:ascii="宋体" w:hAnsi="宋体" w:eastAsia="宋体" w:cs="Times New Roman"/>
          <w:b/>
          <w:bCs/>
          <w:color w:val="ff0000"/>
          <w:sz w:val="24"/>
          <w:szCs w:val="24"/>
          <w:highlight w:val="none"/>
        </w:rPr>
        <w:t xml:space="preserve">月</w:t>
      </w:r>
      <w:r>
        <w:rPr>
          <w:rFonts w:hint="eastAsia" w:ascii="宋体" w:hAnsi="宋体" w:cs="Times New Roman"/>
          <w:b/>
          <w:bCs/>
          <w:color w:val="ff0000"/>
          <w:sz w:val="24"/>
          <w:szCs w:val="24"/>
          <w:highlight w:val="none"/>
          <w:lang w:val="en-US" w:eastAsia="zh-CN"/>
        </w:rPr>
        <w:t xml:space="preserve">17</w:t>
      </w:r>
      <w:r>
        <w:rPr>
          <w:rFonts w:hint="eastAsia" w:ascii="宋体" w:hAnsi="宋体" w:eastAsia="宋体" w:cs="Times New Roman"/>
          <w:b/>
          <w:bCs/>
          <w:color w:val="ff0000"/>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1277"/>
      <w:r/>
      <w:bookmarkStart w:id="56" w:name="_Toc24114"/>
      <w:r/>
      <w:bookmarkStart w:id="57" w:name="_Toc23650"/>
      <w:r/>
      <w:bookmarkStart w:id="58" w:name="_Toc14930"/>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ff0000"/>
          <w:sz w:val="24"/>
          <w:szCs w:val="24"/>
          <w:highlight w:val="none"/>
          <w:u w:val="single"/>
          <w:lang w:val="en-US" w:eastAsia="zh-CN"/>
        </w:rPr>
        <w:t xml:space="preserve">2026年4月23日13时30分</w:t>
      </w:r>
      <w:r>
        <w:rPr>
          <w:rFonts w:hint="eastAsia" w:ascii="宋体" w:hAnsi="宋体" w:cs="宋体"/>
          <w:b/>
          <w:bCs/>
          <w:color w:val="auto"/>
          <w:sz w:val="24"/>
          <w:szCs w:val="24"/>
          <w:highlight w:val="none"/>
          <w:u w:val="single"/>
          <w:lang w:val="en-US" w:eastAsia="zh-CN"/>
        </w:rPr>
        <w:t xml:space="preserve">（北京时间）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28359007"/>
      <w:r/>
      <w:bookmarkStart w:id="61" w:name="_Toc35393625"/>
      <w:r/>
      <w:bookmarkStart w:id="62" w:name="_Toc38985267"/>
      <w:r/>
      <w:bookmarkStart w:id="63" w:name="_Toc28359084"/>
      <w:r/>
      <w:bookmarkStart w:id="64" w:name="_Toc35393794"/>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8745"/>
      <w:r/>
      <w:bookmarkStart w:id="66" w:name="_Toc24619"/>
      <w:r/>
      <w:bookmarkStart w:id="67" w:name="_Toc13559"/>
      <w:r/>
      <w:bookmarkStart w:id="68" w:name="_Toc20933"/>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5393795"/>
      <w:r/>
      <w:bookmarkStart w:id="71" w:name="_Toc38985268"/>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992"/>
      <w:r/>
      <w:bookmarkStart w:id="73" w:name="_Toc22029"/>
      <w:r/>
      <w:bookmarkStart w:id="74" w:name="_Toc31138"/>
      <w:r/>
      <w:bookmarkStart w:id="75" w:name="_Toc1922"/>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5393627"/>
      <w:r/>
      <w:bookmarkStart w:id="78" w:name="_Toc28359085"/>
      <w:r/>
      <w:bookmarkStart w:id="79" w:name="_Toc38985269"/>
      <w:r/>
      <w:bookmarkStart w:id="80" w:name="_Toc28359008"/>
      <w:r/>
      <w:bookmarkStart w:id="81" w:name="_Toc35393796"/>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6796"/>
      <w:r/>
      <w:bookmarkStart w:id="83" w:name="_Toc31707"/>
      <w:r/>
      <w:bookmarkStart w:id="84" w:name="_Toc14095"/>
      <w:r/>
      <w:bookmarkStart w:id="85" w:name="_Toc21311"/>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bookmarkEnd w:id="87"/>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val="en-US" w:eastAsia="zh-CN"/>
        </w:rPr>
        <w:t xml:space="preserve">海安市人民医院</w:t>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rPr>
        <w:t xml:space="preserve">海安市中坝中路17号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sz w:val="24"/>
          <w:szCs w:val="24"/>
          <w:highlight w:val="none"/>
        </w:rPr>
        <w:t xml:space="preserve">朱老师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联系方式：0513-88906680</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地址：南京市鼓楼区中央路19号金峰大厦1909室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9964"/>
      <w:r/>
      <w:bookmarkStart w:id="92" w:name="_Toc1744"/>
      <w:r/>
      <w:bookmarkStart w:id="93" w:name="_Toc7813"/>
      <w:r/>
      <w:bookmarkStart w:id="94" w:name="_Toc15935"/>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916"/>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2026年4月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4982"/>
      <w:r/>
      <w:bookmarkStart w:id="98" w:name="_Toc2128"/>
      <w:r/>
      <w:bookmarkStart w:id="99" w:name="_Toc23332"/>
      <w:r/>
      <w:bookmarkStart w:id="100" w:name="_Toc26429"/>
      <w:r/>
      <w:bookmarkStart w:id="101" w:name="_Toc29672"/>
      <w:r/>
      <w:bookmarkStart w:id="102" w:name="_Toc18360"/>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5404"/>
      <w:r/>
      <w:bookmarkStart w:id="104" w:name="_Toc31447"/>
      <w:r/>
      <w:bookmarkStart w:id="105" w:name="_Toc6127"/>
      <w:r/>
      <w:bookmarkStart w:id="106" w:name="_Toc19241"/>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918"/>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929"/>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915"/>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935"/>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
                <w:bCs w:val="0"/>
                <w:color w:val="auto"/>
                <w:sz w:val="24"/>
                <w:szCs w:val="24"/>
                <w:highlight w:val="none"/>
                <w:u w:val="single"/>
                <w:lang w:val="en-US" w:eastAsia="zh-CN"/>
              </w:rPr>
              <w:t xml:space="preserve">海安市人民医院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海安市人民医院心脏彩色多普勒超声诊断仪采购项目</w:t>
            </w:r>
            <w:r/>
          </w:p>
        </w:tc>
      </w:tr>
      <w:tr>
        <w:trPr>
          <w:jc w:val="center"/>
          <w:trHeight w:val="1119"/>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915"/>
              <w:ind w:firstLine="482"/>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w:t>
            </w:r>
            <w:r>
              <w:rPr>
                <w:rFonts w:hint="eastAsia" w:ascii="宋体" w:hAnsi="宋体" w:eastAsia="宋体" w:cs="宋体"/>
                <w:color w:val="auto"/>
                <w:sz w:val="24"/>
                <w:szCs w:val="24"/>
                <w:highlight w:val="none"/>
                <w:lang w:val="en-US" w:eastAsia="zh-CN" w:bidi="ar-SA"/>
              </w:rPr>
              <w:t xml:space="preserve">，核心产品为：</w:t>
            </w:r>
            <w:r>
              <w:rPr>
                <w:rFonts w:hint="eastAsia" w:ascii="宋体" w:hAnsi="宋体" w:eastAsia="宋体" w:cs="宋体"/>
                <w:color w:val="auto"/>
                <w:sz w:val="24"/>
                <w:szCs w:val="24"/>
                <w:highlight w:val="none"/>
                <w:u w:val="single"/>
                <w:lang w:val="en-US" w:eastAsia="zh-CN" w:bidi="ar-SA"/>
              </w:rPr>
              <w:t xml:space="preserve">       </w:t>
            </w:r>
            <w:r/>
          </w:p>
          <w:p>
            <w:pPr>
              <w:pStyle w:val="915"/>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935"/>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935"/>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915"/>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915"/>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915"/>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915"/>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eastAsia="宋体" w:cs="宋体"/>
                <w:b/>
                <w:bCs/>
                <w:color w:val="auto"/>
                <w:sz w:val="24"/>
                <w:szCs w:val="24"/>
                <w:highlight w:val="none"/>
                <w:u w:val="single"/>
                <w:lang w:val="en-US" w:eastAsia="zh-CN" w:bidi="ar-SA"/>
              </w:rPr>
              <w:t xml:space="preserve">详见磋商公告</w:t>
            </w:r>
            <w:r/>
          </w:p>
        </w:tc>
      </w:tr>
      <w:tr>
        <w:trPr>
          <w:jc w:val="center"/>
          <w:trHeight w:val="1615"/>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w:t>
            </w:r>
            <w:r>
              <w:rPr>
                <w:rFonts w:hint="eastAsia" w:ascii="宋体" w:hAnsi="宋体" w:cs="宋体"/>
                <w:b w:val="0"/>
                <w:bCs w:val="0"/>
                <w:color w:val="auto"/>
                <w:sz w:val="24"/>
                <w:szCs w:val="24"/>
                <w:highlight w:val="none"/>
                <w:lang w:val="en-US" w:eastAsia="zh-CN" w:bidi="ar-SA"/>
              </w:rPr>
              <w:t xml:space="preserve">接受</w:t>
            </w:r>
            <w:r>
              <w:rPr>
                <w:rFonts w:hint="eastAsia" w:ascii="宋体" w:hAnsi="宋体" w:eastAsia="宋体" w:cs="宋体"/>
                <w:b w:val="0"/>
                <w:bCs w:val="0"/>
                <w:color w:val="auto"/>
                <w:sz w:val="24"/>
                <w:szCs w:val="24"/>
                <w:highlight w:val="none"/>
                <w:lang w:val="en-US" w:eastAsia="zh-CN" w:bidi="ar-SA"/>
              </w:rPr>
              <w:t xml:space="preserve">进口产品，</w:t>
            </w:r>
            <w:r>
              <w:rPr>
                <w:rFonts w:hint="eastAsia" w:ascii="宋体" w:hAnsi="宋体" w:eastAsia="宋体" w:cs="宋体"/>
                <w:color w:val="auto"/>
                <w:sz w:val="24"/>
                <w:szCs w:val="24"/>
                <w:highlight w:val="none"/>
                <w:lang w:val="en-US" w:eastAsia="zh-CN" w:bidi="ar-SA"/>
              </w:rPr>
              <w:t xml:space="preserve">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p>
        </w:tc>
      </w:tr>
      <w:tr>
        <w:trPr>
          <w:jc w:val="center"/>
          <w:trHeight w:val="291"/>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915"/>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915"/>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915"/>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915"/>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915"/>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915"/>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915"/>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915"/>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915"/>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915"/>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915"/>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C按照《江苏省招标代理服务收费的指导意见》（苏招协〔2022〕2号）</w:t>
            </w:r>
            <w:r>
              <w:rPr>
                <w:rFonts w:hint="eastAsia" w:ascii="宋体" w:hAnsi="宋体" w:cs="宋体"/>
                <w:b/>
                <w:bCs/>
                <w:color w:val="auto"/>
                <w:sz w:val="24"/>
                <w:szCs w:val="24"/>
                <w:highlight w:val="none"/>
                <w:lang w:val="en-US" w:eastAsia="zh-CN" w:bidi="ar-SA"/>
              </w:rPr>
              <w:t xml:space="preserve">的80%</w:t>
            </w:r>
            <w:r>
              <w:rPr>
                <w:rFonts w:hint="eastAsia" w:ascii="宋体" w:hAnsi="宋体" w:eastAsia="宋体" w:cs="宋体"/>
                <w:b/>
                <w:bCs/>
                <w:color w:val="auto"/>
                <w:sz w:val="24"/>
                <w:szCs w:val="24"/>
                <w:highlight w:val="none"/>
                <w:lang w:val="en-US" w:eastAsia="zh-CN" w:bidi="ar-SA"/>
              </w:rPr>
              <w:t xml:space="preserve">收取；</w:t>
            </w:r>
            <w:r/>
          </w:p>
          <w:p>
            <w:pPr>
              <w:pStyle w:val="915"/>
              <w:ind w:firstLine="720"/>
              <w:pageBreakBefore w:val="0"/>
              <w:spacing w:line="240" w:lineRule="auto"/>
              <w:rPr>
                <w:rFonts w:hint="default" w:ascii="宋体" w:hAnsi="宋体" w:eastAsia="宋体" w:cs="宋体"/>
                <w:b/>
                <w:bCs/>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D其他方式：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915"/>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915"/>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本项目的</w:t>
            </w:r>
            <w:r>
              <w:rPr>
                <w:rFonts w:hint="eastAsia" w:ascii="宋体" w:hAnsi="宋体" w:cs="Times New Roman"/>
                <w:color w:val="auto"/>
                <w:sz w:val="24"/>
                <w:szCs w:val="24"/>
                <w:highlight w:val="none"/>
                <w:lang w:val="en-US" w:eastAsia="zh-CN"/>
              </w:rPr>
              <w:t xml:space="preserve">磋商费用</w:t>
            </w:r>
            <w:r>
              <w:rPr>
                <w:rFonts w:hint="eastAsia" w:ascii="宋体" w:hAnsi="宋体" w:eastAsia="宋体" w:cs="Times New Roman"/>
                <w:color w:val="auto"/>
                <w:sz w:val="24"/>
                <w:szCs w:val="24"/>
                <w:highlight w:val="none"/>
              </w:rPr>
              <w:t xml:space="preserve">由中标、成交供应商支付，供应商在报价时应当将</w:t>
            </w:r>
            <w:r>
              <w:rPr>
                <w:rFonts w:hint="eastAsia" w:ascii="宋体" w:hAnsi="宋体" w:cs="Times New Roman"/>
                <w:color w:val="auto"/>
                <w:sz w:val="24"/>
                <w:szCs w:val="24"/>
                <w:highlight w:val="none"/>
                <w:lang w:val="en-US" w:eastAsia="zh-CN"/>
              </w:rPr>
              <w:t xml:space="preserve">磋商费用</w:t>
            </w:r>
            <w:r>
              <w:rPr>
                <w:rFonts w:hint="eastAsia" w:ascii="宋体" w:hAnsi="宋体" w:eastAsia="宋体" w:cs="Times New Roman"/>
                <w:color w:val="auto"/>
                <w:sz w:val="24"/>
                <w:szCs w:val="24"/>
                <w:highlight w:val="none"/>
              </w:rPr>
              <w:t xml:space="preserve">综合考虑纳入总报价中。</w:t>
            </w:r>
            <w:r/>
          </w:p>
        </w:tc>
      </w:tr>
    </w:tbl>
    <w:p>
      <w:pPr>
        <w:pageBreakBefore w:val="0"/>
        <w:spacing w:line="240" w:lineRule="auto"/>
        <w:rPr>
          <w:rFonts w:hint="eastAsia" w:ascii="Times New Roman" w:hAnsi="Times New Roman"/>
          <w:b/>
          <w:bCs/>
          <w:color w:val="auto"/>
          <w:sz w:val="32"/>
          <w:szCs w:val="32"/>
          <w:highlight w:val="none"/>
        </w:rPr>
      </w:pPr>
      <w:r/>
      <w:bookmarkStart w:id="107" w:name="_Toc16938519"/>
      <w:r/>
      <w:bookmarkStart w:id="108" w:name="_Toc20823275"/>
      <w:r/>
      <w:bookmarkStart w:id="109" w:name="_Toc120614214"/>
      <w:r/>
      <w:bookmarkStart w:id="110" w:name="_Toc513029203"/>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8893"/>
      <w:r/>
      <w:bookmarkStart w:id="112" w:name="_Toc20048"/>
      <w:r/>
      <w:bookmarkStart w:id="113" w:name="_Toc24311"/>
      <w:r/>
      <w:bookmarkStart w:id="114" w:name="_Toc20601"/>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16938520"/>
      <w:r/>
      <w:bookmarkStart w:id="118" w:name="_Toc513029204"/>
      <w:r/>
      <w:bookmarkStart w:id="119" w:name="_Toc20823276"/>
      <w:r/>
      <w:bookmarkStart w:id="120" w:name="_Toc14209"/>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20823277"/>
      <w:r/>
      <w:bookmarkStart w:id="122" w:name="_Toc513029205"/>
      <w:r/>
      <w:bookmarkStart w:id="123" w:name="_Toc16938521"/>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16938522"/>
      <w:r/>
      <w:bookmarkStart w:id="126" w:name="_Toc20823278"/>
      <w:r/>
      <w:bookmarkStart w:id="127" w:name="_Toc513029206"/>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bookmarkStart w:id="132" w:name="_Toc16938523"/>
      <w:r/>
      <w:bookmarkStart w:id="133" w:name="_Toc462564067"/>
      <w:r/>
      <w:bookmarkStart w:id="134" w:name="_Toc513029207"/>
      <w:r/>
      <w:bookmarkStart w:id="135" w:name="_Toc20823279"/>
      <w:r/>
      <w:bookmarkStart w:id="136" w:name="_Toc18163"/>
      <w:r>
        <w:rPr>
          <w:rFonts w:hint="eastAsia" w:ascii="宋体" w:hAnsi="宋体" w:eastAsia="宋体" w:cs="宋体"/>
          <w:b/>
          <w:bCs/>
          <w:sz w:val="24"/>
          <w:highlight w:val="none"/>
          <w:lang w:val="en-US" w:eastAsia="zh-CN"/>
        </w:rPr>
        <w:t xml:space="preserve">3.6</w:t>
      </w:r>
      <w:r>
        <w:rPr>
          <w:rFonts w:hint="eastAsia" w:ascii="宋体" w:hAnsi="宋体" w:eastAsia="宋体" w:cs="宋体"/>
          <w:b/>
          <w:bCs/>
          <w:sz w:val="24"/>
          <w:highlight w:val="none"/>
        </w:rPr>
        <w:t xml:space="preserve">本项目对采购本国产品给予政策支持</w:t>
      </w:r>
      <w:r>
        <w:rPr>
          <w:rFonts w:hint="eastAsia" w:ascii="宋体" w:hAnsi="宋体" w:eastAsia="宋体" w:cs="宋体"/>
          <w:sz w:val="24"/>
          <w:highlight w:val="none"/>
        </w:rPr>
        <w:t xml:space="preserve">，具体内容见招标文件“第五章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4.1本项目的</w:t>
      </w:r>
      <w:r>
        <w:rPr>
          <w:rFonts w:hint="eastAsia" w:ascii="宋体" w:hAnsi="宋体" w:cs="Times New Roman"/>
          <w:color w:val="auto"/>
          <w:sz w:val="24"/>
          <w:szCs w:val="24"/>
          <w:highlight w:val="none"/>
          <w:lang w:val="en-US" w:eastAsia="zh-CN"/>
        </w:rPr>
        <w:t xml:space="preserve">磋商费用</w:t>
      </w:r>
      <w:r>
        <w:rPr>
          <w:rFonts w:hint="eastAsia" w:ascii="宋体" w:hAnsi="宋体" w:eastAsia="宋体" w:cs="Times New Roman"/>
          <w:color w:val="auto"/>
          <w:sz w:val="24"/>
          <w:szCs w:val="24"/>
          <w:highlight w:val="none"/>
        </w:rPr>
        <w:t xml:space="preserve">由中标、成交供应商支付，供应商在报价时应当将</w:t>
      </w:r>
      <w:r>
        <w:rPr>
          <w:rFonts w:hint="eastAsia" w:ascii="宋体" w:hAnsi="宋体" w:cs="Times New Roman"/>
          <w:color w:val="auto"/>
          <w:sz w:val="24"/>
          <w:szCs w:val="24"/>
          <w:highlight w:val="none"/>
          <w:lang w:val="en-US" w:eastAsia="zh-CN"/>
        </w:rPr>
        <w:t xml:space="preserve">磋商费用</w:t>
      </w:r>
      <w:r>
        <w:rPr>
          <w:rFonts w:hint="eastAsia" w:ascii="宋体" w:hAnsi="宋体" w:eastAsia="宋体" w:cs="Times New Roman"/>
          <w:color w:val="auto"/>
          <w:sz w:val="24"/>
          <w:szCs w:val="24"/>
          <w:highlight w:val="none"/>
        </w:rPr>
        <w:t xml:space="preserve">综合考虑纳入总报价中。供应商应自行承担所有与参加磋商有关的费用，无论磋商过程中的做法和结果如何，采购人在任何情况下均无义务和责任承担这些费用。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4.3</w:t>
      </w:r>
      <w:r>
        <w:rPr>
          <w:rFonts w:hint="eastAsia" w:ascii="宋体" w:hAnsi="宋体" w:eastAsia="宋体" w:cs="Times New Roman"/>
          <w:color w:val="auto"/>
          <w:sz w:val="24"/>
          <w:szCs w:val="24"/>
          <w:highlight w:val="none"/>
          <w:lang w:val="en-US" w:eastAsia="zh-CN"/>
        </w:rPr>
        <w:t xml:space="preserve">招标代理费收费标准：详见本章《前附表》相关内容（下附表格为该标准细则）</w:t>
      </w:r>
      <w:r/>
    </w:p>
    <w:tbl>
      <w:tblPr>
        <w:tblStyle w:val="929"/>
        <w:tblpPr w:horzAnchor="page" w:tblpX="2269" w:vertAnchor="text" w:tblpY="2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7"/>
        <w:gridCol w:w="744"/>
        <w:gridCol w:w="856"/>
        <w:gridCol w:w="700"/>
      </w:tblGrid>
      <w:tr>
        <w:trPr>
          <w:trHeight w:val="197"/>
        </w:trPr>
        <w:tc>
          <w:tcPr>
            <w:tcW w:w="1937" w:type="dxa"/>
            <w:vAlign w:val="center"/>
            <w:vMerge w:val="restart"/>
            <w:textDirection w:val="lrTb"/>
            <w:noWrap w:val="false"/>
          </w:tcPr>
          <w:p>
            <w:pPr>
              <w:jc w:val="center"/>
              <w:spacing w:after="0" w:line="240" w:lineRule="auto"/>
              <w:rPr>
                <w:rFonts w:hint="default" w:ascii="宋体" w:hAnsi="宋体" w:cs="宋体"/>
                <w:b/>
                <w:bCs/>
                <w:sz w:val="11"/>
                <w:szCs w:val="11"/>
                <w:highlight w:val="none"/>
                <w:vertAlign w:val="baseline"/>
                <w:lang w:val="en-US" w:eastAsia="zh-CN"/>
              </w:rPr>
              <w:outlineLvl w:val="9"/>
            </w:pPr>
            <w:r>
              <w:rPr>
                <w:sz w:val="11"/>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-61595</wp:posOffset>
                      </wp:positionH>
                      <wp:positionV relativeFrom="paragraph">
                        <wp:posOffset>-4445</wp:posOffset>
                      </wp:positionV>
                      <wp:extent cx="1207135" cy="398145"/>
                      <wp:effectExtent l="1270" t="4445" r="10795" b="1651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1207135" cy="39814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72576;mso-wrap-distance-left:9.0pt;mso-wrap-distance-top:0.0pt;mso-wrap-distance-right:9.0pt;mso-wrap-distance-bottom:0.0pt;visibility:visible;" from="-4.8pt,-0.3pt" to="90.2pt,31.0pt" filled="f" strokecolor="#000000" strokeweight="0.75pt">
                      <v:stroke dashstyle="solid"/>
                    </v:line>
                  </w:pict>
                </mc:Fallback>
              </mc:AlternateContent>
            </w:r>
            <w:r>
              <w:rPr>
                <w:rFonts w:hint="eastAsia" w:ascii="宋体" w:hAnsi="宋体" w:cs="宋体"/>
                <w:b/>
                <w:bCs/>
                <w:sz w:val="11"/>
                <w:szCs w:val="11"/>
                <w:highlight w:val="none"/>
                <w:vertAlign w:val="baseline"/>
                <w:lang w:val="en-US" w:eastAsia="zh-CN"/>
              </w:rPr>
              <w:t xml:space="preserve">              费率</w:t>
            </w:r>
            <w:r/>
          </w:p>
          <w:p>
            <w:pPr>
              <w:jc w:val="both"/>
              <w:spacing w:after="0" w:line="240" w:lineRule="auto"/>
              <w:rPr>
                <w:rFonts w:hint="default" w:ascii="宋体" w:hAnsi="宋体" w:eastAsia="宋体" w:cs="宋体"/>
                <w:b/>
                <w:bCs/>
                <w:sz w:val="11"/>
                <w:szCs w:val="11"/>
                <w:highlight w:val="none"/>
                <w:vertAlign w:val="baseline"/>
                <w:lang w:val="en-US" w:eastAsia="zh-CN"/>
              </w:rPr>
              <w:outlineLvl w:val="9"/>
            </w:pPr>
            <w:r>
              <w:rPr>
                <w:rFonts w:hint="eastAsia" w:ascii="宋体" w:hAnsi="宋体" w:cs="宋体"/>
                <w:b/>
                <w:bCs/>
                <w:sz w:val="11"/>
                <w:szCs w:val="11"/>
                <w:highlight w:val="none"/>
                <w:vertAlign w:val="baseline"/>
                <w:lang w:val="en-US" w:eastAsia="zh-CN"/>
              </w:rPr>
              <w:t xml:space="preserve">中标金额</w:t>
            </w:r>
            <w:r/>
          </w:p>
        </w:tc>
        <w:tc>
          <w:tcPr>
            <w:gridSpan w:val="3"/>
            <w:tcW w:w="2300" w:type="dxa"/>
            <w:vAlign w:val="center"/>
            <w:textDirection w:val="lrTb"/>
            <w:noWrap w:val="false"/>
          </w:tcPr>
          <w:p>
            <w:pPr>
              <w:jc w:val="center"/>
              <w:spacing w:after="0" w:line="240" w:lineRule="auto"/>
              <w:rPr>
                <w:rFonts w:hint="default" w:ascii="宋体" w:hAnsi="宋体" w:eastAsia="宋体" w:cs="宋体"/>
                <w:b/>
                <w:bCs/>
                <w:sz w:val="11"/>
                <w:szCs w:val="11"/>
                <w:highlight w:val="none"/>
                <w:vertAlign w:val="baseline"/>
                <w:lang w:val="en-US" w:eastAsia="zh-CN"/>
              </w:rPr>
              <w:outlineLvl w:val="9"/>
            </w:pPr>
            <w:r>
              <w:rPr>
                <w:rFonts w:hint="eastAsia" w:ascii="宋体" w:hAnsi="宋体" w:eastAsia="宋体" w:cs="宋体"/>
                <w:b/>
                <w:bCs/>
                <w:sz w:val="11"/>
                <w:szCs w:val="11"/>
                <w:highlight w:val="none"/>
                <w:vertAlign w:val="baseline"/>
                <w:lang w:val="en-US" w:eastAsia="zh-CN"/>
              </w:rPr>
              <w:t xml:space="preserve">分档累计费率</w:t>
            </w:r>
            <w:r/>
          </w:p>
        </w:tc>
      </w:tr>
      <w:tr>
        <w:trPr>
          <w:trHeight w:val="132"/>
        </w:trPr>
        <w:tc>
          <w:tcPr>
            <w:tcW w:w="1937" w:type="dxa"/>
            <w:vAlign w:val="center"/>
            <w:vMerge w:val="continue"/>
            <w:textDirection w:val="lrTb"/>
            <w:noWrap w:val="false"/>
          </w:tcPr>
          <w:p>
            <w:pPr>
              <w:jc w:val="center"/>
              <w:spacing w:after="0" w:line="240" w:lineRule="auto"/>
              <w:rPr>
                <w:b/>
                <w:bCs/>
                <w:sz w:val="15"/>
                <w:szCs w:val="16"/>
              </w:rPr>
              <w:outlineLvl w:val="9"/>
            </w:pPr>
            <w:r>
              <w:rPr>
                <w:b/>
                <w:bCs/>
                <w:sz w:val="15"/>
                <w:szCs w:val="16"/>
              </w:rPr>
            </w:r>
            <w:r/>
          </w:p>
        </w:tc>
        <w:tc>
          <w:tcPr>
            <w:tcW w:w="744" w:type="dxa"/>
            <w:vAlign w:val="center"/>
            <w:textDirection w:val="lrTb"/>
            <w:noWrap w:val="false"/>
          </w:tcPr>
          <w:p>
            <w:pPr>
              <w:jc w:val="center"/>
              <w:spacing w:after="0" w:line="240" w:lineRule="auto"/>
              <w:rPr>
                <w:rFonts w:hint="eastAsia" w:ascii="宋体" w:hAnsi="宋体" w:eastAsia="宋体" w:cs="宋体"/>
                <w:b/>
                <w:bCs/>
                <w:sz w:val="11"/>
                <w:szCs w:val="11"/>
                <w:highlight w:val="none"/>
                <w:vertAlign w:val="baseline"/>
                <w:lang w:val="en-US" w:eastAsia="zh-CN"/>
              </w:rPr>
              <w:outlineLvl w:val="9"/>
            </w:pPr>
            <w:r>
              <w:rPr>
                <w:rFonts w:hint="eastAsia" w:ascii="宋体" w:hAnsi="宋体" w:eastAsia="宋体" w:cs="宋体"/>
                <w:b/>
                <w:bCs/>
                <w:sz w:val="11"/>
                <w:szCs w:val="11"/>
                <w:highlight w:val="none"/>
                <w:vertAlign w:val="baseline"/>
                <w:lang w:val="en-US" w:eastAsia="zh-CN"/>
              </w:rPr>
              <w:t xml:space="preserve">货物招标</w:t>
            </w:r>
            <w:r/>
          </w:p>
        </w:tc>
        <w:tc>
          <w:tcPr>
            <w:tcW w:w="856" w:type="dxa"/>
            <w:vAlign w:val="center"/>
            <w:textDirection w:val="lrTb"/>
            <w:noWrap w:val="false"/>
          </w:tcPr>
          <w:p>
            <w:pPr>
              <w:jc w:val="center"/>
              <w:spacing w:after="0" w:line="240" w:lineRule="auto"/>
              <w:rPr>
                <w:rFonts w:hint="eastAsia" w:ascii="宋体" w:hAnsi="宋体" w:eastAsia="宋体" w:cs="宋体"/>
                <w:b/>
                <w:bCs/>
                <w:sz w:val="11"/>
                <w:szCs w:val="11"/>
                <w:highlight w:val="none"/>
                <w:vertAlign w:val="baseline"/>
                <w:lang w:val="en-US" w:eastAsia="zh-CN"/>
              </w:rPr>
              <w:outlineLvl w:val="9"/>
            </w:pPr>
            <w:r>
              <w:rPr>
                <w:rFonts w:hint="eastAsia" w:ascii="宋体" w:hAnsi="宋体" w:eastAsia="宋体" w:cs="宋体"/>
                <w:b/>
                <w:bCs/>
                <w:sz w:val="11"/>
                <w:szCs w:val="11"/>
                <w:highlight w:val="none"/>
                <w:vertAlign w:val="baseline"/>
                <w:lang w:val="en-US" w:eastAsia="zh-CN"/>
              </w:rPr>
              <w:t xml:space="preserve">服务招标</w:t>
            </w:r>
            <w:r/>
          </w:p>
        </w:tc>
        <w:tc>
          <w:tcPr>
            <w:tcW w:w="700" w:type="dxa"/>
            <w:vAlign w:val="center"/>
            <w:textDirection w:val="lrTb"/>
            <w:noWrap w:val="false"/>
          </w:tcPr>
          <w:p>
            <w:pPr>
              <w:jc w:val="center"/>
              <w:spacing w:after="0" w:line="240" w:lineRule="auto"/>
              <w:rPr>
                <w:rFonts w:hint="default" w:ascii="宋体" w:hAnsi="宋体" w:eastAsia="宋体" w:cs="宋体"/>
                <w:b/>
                <w:bCs/>
                <w:sz w:val="11"/>
                <w:szCs w:val="11"/>
                <w:highlight w:val="none"/>
                <w:vertAlign w:val="baseline"/>
                <w:lang w:val="en-US" w:eastAsia="zh-CN"/>
              </w:rPr>
              <w:outlineLvl w:val="9"/>
            </w:pPr>
            <w:r>
              <w:rPr>
                <w:rFonts w:hint="eastAsia" w:ascii="宋体" w:hAnsi="宋体" w:eastAsia="宋体" w:cs="宋体"/>
                <w:b/>
                <w:bCs/>
                <w:sz w:val="11"/>
                <w:szCs w:val="11"/>
                <w:highlight w:val="none"/>
                <w:vertAlign w:val="baseline"/>
                <w:lang w:val="en-US" w:eastAsia="zh-CN"/>
              </w:rPr>
              <w:t xml:space="preserve">工程招标</w:t>
            </w:r>
            <w:r/>
          </w:p>
        </w:tc>
      </w:tr>
      <w:tr>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50万元以下（含50万元）</w:t>
            </w:r>
            <w:r/>
          </w:p>
        </w:tc>
        <w:tc>
          <w:tcPr>
            <w:tcW w:w="744"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1万元</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1万元</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1万元</w:t>
            </w:r>
            <w:r/>
          </w:p>
        </w:tc>
      </w:tr>
      <w:tr>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50-400万元（含400万元）</w:t>
            </w:r>
            <w:r/>
          </w:p>
        </w:tc>
        <w:tc>
          <w:tcPr>
            <w:tcW w:w="744"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1.5%</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1.5%</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1.5%</w:t>
            </w:r>
            <w:r/>
          </w:p>
        </w:tc>
      </w:tr>
      <w:tr>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400-1000万元（含1000万元）</w:t>
            </w:r>
            <w:r/>
          </w:p>
        </w:tc>
        <w:tc>
          <w:tcPr>
            <w:tcW w:w="744"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1.1%</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0.9%</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0.8%</w:t>
            </w:r>
            <w:r/>
          </w:p>
        </w:tc>
      </w:tr>
      <w:tr>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1000-5000万元（含5000万元）</w:t>
            </w:r>
            <w:r/>
          </w:p>
        </w:tc>
        <w:tc>
          <w:tcPr>
            <w:tcW w:w="744"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0.8%</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0.45%</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0.525%</w:t>
            </w:r>
            <w:r/>
          </w:p>
        </w:tc>
      </w:tr>
      <w:tr>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5000-1亿元（含1亿元）</w:t>
            </w:r>
            <w:r/>
          </w:p>
        </w:tc>
        <w:tc>
          <w:tcPr>
            <w:tcW w:w="744"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0.25%</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0.15%</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0.20%</w:t>
            </w:r>
            <w:r/>
          </w:p>
        </w:tc>
      </w:tr>
      <w:tr>
        <w:trPr>
          <w:trHeight w:val="323"/>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1-10亿元（含10亿元）</w:t>
            </w:r>
            <w:r/>
          </w:p>
        </w:tc>
        <w:tc>
          <w:tcPr>
            <w:tcW w:w="744"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0.05%</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0.05%</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0.05%</w:t>
            </w:r>
            <w:r/>
          </w:p>
        </w:tc>
      </w:tr>
      <w:tr>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10-50亿元（含50亿元）</w:t>
            </w:r>
            <w:r/>
          </w:p>
        </w:tc>
        <w:tc>
          <w:tcPr>
            <w:tcW w:w="744" w:type="dxa"/>
            <w:vAlign w:val="center"/>
            <w:textDirection w:val="lrTb"/>
            <w:noWrap w:val="false"/>
          </w:tcPr>
          <w:p>
            <w:pPr>
              <w:jc w:val="center"/>
              <w:spacing w:after="0" w:line="240" w:lineRule="auto"/>
              <w:rPr>
                <w:rFonts w:hint="default"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0.01%</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0.01%</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0.01%</w:t>
            </w:r>
            <w:r/>
          </w:p>
        </w:tc>
      </w:tr>
      <w:tr>
        <w:trPr>
          <w:trHeight w:val="90"/>
        </w:trPr>
        <w:tc>
          <w:tcPr>
            <w:tcW w:w="1937" w:type="dxa"/>
            <w:vAlign w:val="center"/>
            <w:textDirection w:val="lrTb"/>
            <w:noWrap w:val="false"/>
          </w:tcPr>
          <w:p>
            <w:pPr>
              <w:jc w:val="center"/>
              <w:spacing w:after="0" w:line="240" w:lineRule="auto"/>
              <w:rPr>
                <w:rFonts w:hint="default" w:ascii="宋体" w:hAnsi="宋体" w:eastAsia="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50亿元以上</w:t>
            </w:r>
            <w:r/>
          </w:p>
        </w:tc>
        <w:tc>
          <w:tcPr>
            <w:tcW w:w="744" w:type="dxa"/>
            <w:vAlign w:val="center"/>
            <w:textDirection w:val="lrTb"/>
            <w:noWrap w:val="false"/>
          </w:tcPr>
          <w:p>
            <w:pPr>
              <w:jc w:val="center"/>
              <w:spacing w:after="0" w:line="240" w:lineRule="auto"/>
              <w:rPr>
                <w:rFonts w:hint="default"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0.005%</w:t>
            </w:r>
            <w:r/>
          </w:p>
        </w:tc>
        <w:tc>
          <w:tcPr>
            <w:tcW w:w="856"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0.005%</w:t>
            </w:r>
            <w:r/>
          </w:p>
        </w:tc>
        <w:tc>
          <w:tcPr>
            <w:tcW w:w="700" w:type="dxa"/>
            <w:vAlign w:val="center"/>
            <w:textDirection w:val="lrTb"/>
            <w:noWrap w:val="false"/>
          </w:tcPr>
          <w:p>
            <w:pPr>
              <w:jc w:val="center"/>
              <w:spacing w:after="0" w:line="240" w:lineRule="auto"/>
              <w:rPr>
                <w:rFonts w:hint="eastAsia" w:ascii="宋体" w:hAnsi="宋体" w:cs="宋体"/>
                <w:sz w:val="11"/>
                <w:szCs w:val="11"/>
                <w:highlight w:val="none"/>
                <w:vertAlign w:val="baseline"/>
                <w:lang w:val="en-US" w:eastAsia="zh-CN"/>
              </w:rPr>
              <w:outlineLvl w:val="9"/>
            </w:pPr>
            <w:r>
              <w:rPr>
                <w:rFonts w:hint="eastAsia" w:ascii="宋体" w:hAnsi="宋体" w:cs="宋体"/>
                <w:sz w:val="11"/>
                <w:szCs w:val="11"/>
                <w:highlight w:val="none"/>
                <w:vertAlign w:val="baseline"/>
                <w:lang w:val="en-US" w:eastAsia="zh-CN"/>
              </w:rPr>
              <w:t xml:space="preserve">0.005%</w:t>
            </w:r>
            <w:r/>
          </w:p>
        </w:tc>
      </w:tr>
    </w:tbl>
    <w:p>
      <w:pPr>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pageBreakBefore w:val="0"/>
        <w:spacing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120614215"/>
      <w:r/>
      <w:bookmarkStart w:id="139" w:name="_Toc20823281"/>
      <w:r/>
      <w:bookmarkStart w:id="140" w:name="_Toc16938525"/>
      <w:r/>
      <w:bookmarkStart w:id="141" w:name="_Toc513029209"/>
      <w:r/>
      <w:bookmarkStart w:id="142" w:name="_Toc6902"/>
      <w:r/>
      <w:bookmarkStart w:id="143" w:name="_Toc11074"/>
      <w:r/>
      <w:bookmarkStart w:id="144" w:name="_Toc5354"/>
      <w:r/>
      <w:bookmarkStart w:id="145" w:name="_Toc284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20823282"/>
      <w:r/>
      <w:bookmarkStart w:id="147" w:name="_Toc16938526"/>
      <w:r/>
      <w:bookmarkStart w:id="148" w:name="_Toc30434"/>
      <w:r/>
      <w:bookmarkStart w:id="149" w:name="_Toc513029210"/>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513029211"/>
      <w:r/>
      <w:bookmarkStart w:id="152" w:name="_Toc462564070"/>
      <w:r/>
      <w:bookmarkStart w:id="153" w:name="_Toc20823283"/>
      <w:r/>
      <w:bookmarkStart w:id="154" w:name="_Toc16938527"/>
      <w:r/>
      <w:bookmarkEnd w:id="151"/>
      <w:bookmarkEnd w:id="152"/>
      <w:bookmarkEnd w:id="153"/>
      <w:bookmarkEnd w:id="154"/>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30442"/>
      <w:r/>
      <w:bookmarkStart w:id="156" w:name="_Toc462564072"/>
      <w:r/>
      <w:bookmarkStart w:id="157" w:name="_Toc17904"/>
      <w:r/>
      <w:bookmarkStart w:id="158" w:name="_Toc120614216"/>
      <w:r/>
      <w:bookmarkStart w:id="159" w:name="_Toc139"/>
      <w:r/>
      <w:bookmarkStart w:id="160" w:name="_Toc16938529"/>
      <w:r/>
      <w:bookmarkStart w:id="161" w:name="_Toc20823285"/>
      <w:r/>
      <w:bookmarkStart w:id="162" w:name="_Toc513029213"/>
      <w:r/>
      <w:bookmarkStart w:id="163" w:name="_Toc1582"/>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numPr>
          <w:ilvl w:val="0"/>
          <w:numId w:val="2"/>
        </w:numPr>
        <w:ind w:firstLine="562"/>
        <w:pageBreakBefore w:val="0"/>
        <w:spacing w:line="24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发布书面更正公告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如澄清或修改公告有重新发布</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513029214"/>
      <w:r/>
      <w:bookmarkStart w:id="165" w:name="_Toc20823286"/>
      <w:r/>
      <w:bookmarkStart w:id="166" w:name="_Toc16938530"/>
      <w:r/>
      <w:bookmarkStart w:id="167" w:name="_Toc462564073"/>
      <w:r/>
      <w:bookmarkStart w:id="168" w:name="_Toc985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16938531"/>
      <w:r/>
      <w:bookmarkStart w:id="170" w:name="_Toc12994"/>
      <w:r/>
      <w:bookmarkStart w:id="171" w:name="_Toc462564074"/>
      <w:r/>
      <w:bookmarkStart w:id="172" w:name="_Toc513029215"/>
      <w:r/>
      <w:bookmarkStart w:id="173" w:name="_Toc20823287"/>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eastAsia="宋体" w:cs="Times New Roman"/>
          <w:b/>
          <w:bCs w:val="0"/>
          <w:color w:val="auto"/>
          <w:sz w:val="24"/>
          <w:szCs w:val="24"/>
          <w:highlight w:val="none"/>
          <w:u w:val="single"/>
        </w:rPr>
        <w:t xml:space="preserve">商务响应承诺</w:t>
      </w:r>
      <w:r>
        <w:rPr>
          <w:rFonts w:hint="eastAsia" w:ascii="宋体" w:hAnsi="宋体" w:eastAsia="宋体" w:cs="Times New Roman"/>
          <w:b/>
          <w:bCs w:val="0"/>
          <w:color w:val="auto"/>
          <w:sz w:val="24"/>
          <w:szCs w:val="24"/>
          <w:highlight w:val="none"/>
          <w:u w:val="single"/>
          <w:lang w:val="en-US" w:eastAsia="zh-CN"/>
        </w:rPr>
        <w:t xml:space="preserve">函</w:t>
      </w:r>
      <w:r>
        <w:rPr>
          <w:rFonts w:hint="eastAsia" w:ascii="宋体" w:hAnsi="宋体"/>
          <w:b/>
          <w:bCs/>
          <w:color w:val="auto"/>
          <w:sz w:val="24"/>
          <w:szCs w:val="21"/>
          <w:highlight w:val="none"/>
          <w:u w:val="single"/>
        </w:rPr>
        <w:t xml:space="preserve">、其他证明文件、磋商响应函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954838"/>
      <w:r/>
      <w:bookmarkEnd w:id="174"/>
      <w:r/>
      <w:bookmarkStart w:id="175" w:name="_Hlt26670360"/>
      <w:r/>
      <w:bookmarkEnd w:id="175"/>
      <w:r/>
      <w:bookmarkStart w:id="176" w:name="_Hlt26668975"/>
      <w:r/>
      <w:bookmarkEnd w:id="176"/>
      <w:r/>
      <w:bookmarkStart w:id="177" w:name="_Toc513029219"/>
      <w:r/>
      <w:bookmarkStart w:id="178" w:name="_Toc14577357"/>
      <w:r/>
      <w:bookmarkStart w:id="179" w:name="_Toc49090509"/>
      <w:r/>
      <w:bookmarkStart w:id="180" w:name="_Toc16278"/>
      <w:r/>
      <w:bookmarkStart w:id="181" w:name="_Toc513029216"/>
      <w:r/>
      <w:bookmarkStart w:id="182" w:name="_Toc14577354"/>
      <w:r/>
      <w:bookmarkStart w:id="183" w:name="_Toc49090507"/>
      <w:r/>
      <w:bookmarkStart w:id="184" w:name="_Toc14577355"/>
      <w:r/>
      <w:bookmarkStart w:id="185" w:name="_Toc4909050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bookmarkEnd w:id="182"/>
      <w:bookmarkEnd w:id="183"/>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bookmarkEnd w:id="185"/>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670486"/>
      <w:r/>
      <w:bookmarkEnd w:id="187"/>
      <w:r/>
      <w:bookmarkStart w:id="188" w:name="_Hlt26954731"/>
      <w:r/>
      <w:bookmarkEnd w:id="188"/>
      <w:r/>
      <w:bookmarkStart w:id="189" w:name="_Hlt26954848"/>
      <w:r/>
      <w:bookmarkEnd w:id="189"/>
      <w:r/>
      <w:bookmarkStart w:id="190" w:name="_Hlt26670482"/>
      <w:r/>
      <w:bookmarkEnd w:id="190"/>
      <w:r/>
      <w:bookmarkStart w:id="191" w:name="_Hlt26954846"/>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技术部分正负偏离表、</w:t>
      </w:r>
      <w:r>
        <w:rPr>
          <w:rFonts w:hint="eastAsia" w:ascii="宋体" w:hAnsi="宋体" w:cs="宋体"/>
          <w:b/>
          <w:bCs/>
          <w:color w:val="auto"/>
          <w:sz w:val="28"/>
          <w:szCs w:val="28"/>
          <w:highlight w:val="none"/>
          <w:lang w:eastAsia="zh-CN"/>
        </w:rPr>
        <w:t xml:space="preserve">商务响应承诺函</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color w:val="auto"/>
          <w:sz w:val="24"/>
          <w:szCs w:val="24"/>
          <w:highlight w:val="none"/>
          <w:lang w:val="en-US" w:eastAsia="zh-CN"/>
        </w:rPr>
        <w:t xml:space="preserve">13.6 </w:t>
      </w:r>
      <w:r>
        <w:rPr>
          <w:rFonts w:hint="eastAsia" w:ascii="宋体" w:hAnsi="宋体" w:cs="Times New Roman"/>
          <w:b/>
          <w:bCs/>
          <w:color w:val="auto"/>
          <w:sz w:val="24"/>
          <w:szCs w:val="24"/>
          <w:highlight w:val="none"/>
          <w:u w:val="single"/>
          <w:lang w:val="en-US" w:eastAsia="zh-CN"/>
        </w:rPr>
        <w:t xml:space="preserve">供应商应全部满足磋商文件《第三章：采购需求》和第四章合同条款中所有的商务要求，并出具相应的商务要求响应承诺书。</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14577359"/>
      <w:r/>
      <w:bookmarkStart w:id="196" w:name="_Toc4909051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95"/>
      <w:bookmarkEnd w:id="196"/>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18949"/>
      <w:r/>
      <w:bookmarkStart w:id="198" w:name="_Toc14577360"/>
      <w:r/>
      <w:bookmarkStart w:id="199" w:name="_Toc49090511"/>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739"/>
      <w:r/>
      <w:bookmarkEnd w:id="201"/>
      <w:r/>
      <w:bookmarkStart w:id="202" w:name="_Hlt26954852"/>
      <w:r/>
      <w:bookmarkEnd w:id="202"/>
      <w:r/>
      <w:bookmarkStart w:id="203" w:name="_Toc513029224"/>
      <w:r/>
      <w:bookmarkStart w:id="204" w:name="_Toc16938540"/>
      <w:r/>
      <w:bookmarkStart w:id="205" w:name="_Toc12140"/>
      <w:r/>
      <w:bookmarkStart w:id="206" w:name="_Toc20823296"/>
      <w:r/>
      <w:bookmarkStart w:id="207" w:name="_Toc19822"/>
      <w:r/>
      <w:bookmarkStart w:id="208" w:name="_Toc120614217"/>
      <w:r/>
      <w:bookmarkStart w:id="209" w:name="_Toc27479"/>
      <w:r/>
      <w:bookmarkStart w:id="210" w:name="_Toc635"/>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16938541"/>
      <w:r/>
      <w:bookmarkStart w:id="212" w:name="_Toc462564084"/>
      <w:r/>
      <w:bookmarkStart w:id="213" w:name="_Toc513029225"/>
      <w:r/>
      <w:bookmarkStart w:id="214" w:name="_Toc20823297"/>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20823298"/>
      <w:r/>
      <w:bookmarkStart w:id="217" w:name="_Toc513029226"/>
      <w:r/>
      <w:bookmarkStart w:id="218" w:name="_Toc1693854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网络环境、网络带宽等风险因素，如因供应商自身原因造成的电子响应文件上传不成功的按照无效响应处理。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20823299"/>
      <w:r/>
      <w:bookmarkStart w:id="221" w:name="_Toc513029227"/>
      <w:r/>
      <w:bookmarkStart w:id="222" w:name="_Toc16938543"/>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32258"/>
      <w:r/>
      <w:bookmarkStart w:id="225" w:name="_Toc16938544"/>
      <w:r/>
      <w:bookmarkStart w:id="226" w:name="_Toc513029228"/>
      <w:r/>
      <w:bookmarkStart w:id="227" w:name="_Toc2082330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18977"/>
      <w:r/>
      <w:bookmarkStart w:id="229" w:name="_Toc513029229"/>
      <w:r/>
      <w:bookmarkStart w:id="230" w:name="_Toc120614218"/>
      <w:r/>
      <w:bookmarkStart w:id="231" w:name="_Toc16938545"/>
      <w:r/>
      <w:bookmarkStart w:id="232" w:name="_Toc15535"/>
      <w:r/>
      <w:bookmarkStart w:id="233" w:name="_Toc949"/>
      <w:r/>
      <w:bookmarkStart w:id="234" w:name="_Toc20823301"/>
      <w:r/>
      <w:bookmarkStart w:id="235" w:name="_Toc1427"/>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513029230"/>
      <w:r/>
      <w:bookmarkStart w:id="237" w:name="_Toc20823302"/>
      <w:r/>
      <w:bookmarkStart w:id="238" w:name="_Toc16938546"/>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20823303"/>
      <w:r/>
      <w:bookmarkStart w:id="242" w:name="_Toc16938547"/>
      <w:r/>
      <w:bookmarkStart w:id="243" w:name="_Toc51302923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w:t>
      </w:r>
      <w:r>
        <w:rPr>
          <w:rFonts w:hint="eastAsia" w:ascii="宋体" w:hAnsi="宋体" w:cs="Times New Roman"/>
          <w:color w:val="auto"/>
          <w:sz w:val="24"/>
          <w:szCs w:val="24"/>
          <w:highlight w:val="none"/>
        </w:rPr>
        <w:t xml:space="preserve">超过公开招标限额标准的项目，磋商小组应当由5人以上单数组成。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bookmarkEnd w:id="242"/>
      <w:bookmarkEnd w:id="243"/>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w:t>
      </w:r>
      <w:r>
        <w:rPr>
          <w:rFonts w:hint="eastAsia" w:ascii="宋体" w:hAnsi="宋体"/>
          <w:color w:val="auto"/>
          <w:sz w:val="24"/>
          <w:szCs w:val="24"/>
          <w:highlight w:val="none"/>
        </w:rPr>
        <w:t xml:space="preserve">无效响应文件。</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25137"/>
      <w:r/>
      <w:bookmarkStart w:id="246" w:name="_Toc16938548"/>
      <w:r/>
      <w:bookmarkStart w:id="247" w:name="_Toc513029232"/>
      <w:r/>
      <w:bookmarkStart w:id="248" w:name="_Toc20823304"/>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有助于对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16938549"/>
      <w:r/>
      <w:bookmarkStart w:id="251" w:name="_Toc513029233"/>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磋商小组将对确定为实质性响应的文件进行进一步审核，看其是否有计算上或累加上的算术错误，修正错误的原则如下：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w:t>
      </w:r>
      <w:r>
        <w:rPr>
          <w:rFonts w:hint="eastAsia" w:ascii="宋体" w:hAnsi="宋体" w:eastAsia="宋体" w:cs="Times New Roman"/>
          <w:color w:val="auto"/>
          <w:sz w:val="24"/>
          <w:szCs w:val="24"/>
          <w:highlight w:val="none"/>
        </w:rPr>
        <w:t xml:space="preserve">响应文件中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w:t>
      </w:r>
      <w:r>
        <w:rPr>
          <w:rFonts w:hint="eastAsia" w:ascii="宋体" w:hAnsi="宋体" w:eastAsia="宋体" w:cs="Times New Roman"/>
          <w:color w:val="auto"/>
          <w:sz w:val="24"/>
          <w:szCs w:val="24"/>
          <w:highlight w:val="none"/>
        </w:rPr>
        <w:t xml:space="preserve">大写金额和小写金额不一致的，以大写金额为准。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w:t>
      </w:r>
      <w:r>
        <w:rPr>
          <w:rFonts w:hint="eastAsia" w:ascii="宋体" w:hAnsi="宋体" w:eastAsia="宋体" w:cs="Times New Roman"/>
          <w:color w:val="auto"/>
          <w:sz w:val="24"/>
          <w:szCs w:val="24"/>
          <w:highlight w:val="none"/>
        </w:rPr>
        <w:t xml:space="preserve">单价金额小数点或者百分比有明显错位的，以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w:t>
      </w:r>
      <w:r>
        <w:rPr>
          <w:rFonts w:hint="eastAsia" w:ascii="宋体" w:hAnsi="宋体" w:eastAsia="宋体" w:cs="Times New Roman"/>
          <w:color w:val="auto"/>
          <w:sz w:val="24"/>
          <w:szCs w:val="24"/>
          <w:highlight w:val="none"/>
        </w:rPr>
        <w:t xml:space="preserve">总价金额与按单价汇总金额不一致的，以单价金额计算结果为准。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20823306"/>
      <w:r/>
      <w:bookmarkStart w:id="254" w:name="_Toc16938550"/>
      <w:r/>
      <w:bookmarkStart w:id="255" w:name="_Toc513029234"/>
      <w:r>
        <w:rPr>
          <w:rFonts w:hint="eastAsia" w:ascii="宋体" w:hAnsi="宋体" w:cs="Times New Roman"/>
          <w:color w:val="auto"/>
          <w:sz w:val="24"/>
          <w:szCs w:val="24"/>
          <w:highlight w:val="none"/>
          <w:lang w:val="en-US" w:eastAsia="zh-CN"/>
        </w:rPr>
        <w:t xml:space="preserve">26.6提供相同品牌产品且通过资格审查、符合性审查的不同供应商参加同一合同项下投标的，按一家供应商计算，评审后得分最高的同品牌供应商获得成交供应商推荐资格；评审得分相同的，由磋商小组根据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27.有下列情形之一的，视为供应商串通投标：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27.1不同供应商的响应文件由同一单位或者个人编制；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27.2不同供应商委托同一单位或者个人办理磋商事宜；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27.3不同供应商的响应文件载明的项目管理成员或者联系人员为同一人；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27.4不同供应商的响应文件异常一致或者磋商报价呈规律性差异；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27.5不同供应商的响应文件经系统查询Mac地址、标书制作工具客户端标识码相同或部分相同（符合本条款不同的供应商不得参加本项目的后续采购事项，并移送政府采购监管部门进行处理）。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不同供应商的响应文件经系统查询互联网协议地址（IP地址）相同，经磋商小组认定符合串标情形的（符合本条款不同的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w:t>
      </w:r>
      <w:r>
        <w:rPr>
          <w:rFonts w:hint="eastAsia" w:ascii="宋体" w:hAnsi="宋体" w:eastAsia="宋体" w:cs="Times New Roman"/>
          <w:b/>
          <w:bCs/>
          <w:color w:val="auto"/>
          <w:sz w:val="28"/>
          <w:szCs w:val="28"/>
          <w:highlight w:val="none"/>
          <w:lang w:val="en-US" w:eastAsia="zh-CN"/>
        </w:rPr>
        <w:t xml:space="preserve">无效投标条款和废标条款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.1无效投标条款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w:t>
      </w:r>
      <w:r>
        <w:rPr>
          <w:rFonts w:hint="eastAsia" w:ascii="宋体" w:hAnsi="宋体" w:eastAsia="宋体" w:cs="Times New Roman"/>
          <w:color w:val="auto"/>
          <w:sz w:val="24"/>
          <w:szCs w:val="24"/>
          <w:highlight w:val="none"/>
          <w:lang w:val="en-US" w:eastAsia="zh-CN"/>
        </w:rPr>
        <w:t xml:space="preserve">供应商在苏采云系统规定的时间内未成功解密电子响应文件的。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的或上传的文件打不开的。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w:t>
      </w:r>
      <w:r>
        <w:rPr>
          <w:rFonts w:hint="eastAsia" w:ascii="宋体" w:hAnsi="宋体" w:eastAsia="宋体" w:cs="Times New Roman"/>
          <w:color w:val="auto"/>
          <w:sz w:val="24"/>
          <w:szCs w:val="24"/>
          <w:highlight w:val="none"/>
          <w:lang w:val="en-US" w:eastAsia="zh-CN"/>
        </w:rPr>
        <w:t xml:space="preserve">同一</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w:t>
      </w:r>
      <w:r>
        <w:rPr>
          <w:rFonts w:hint="eastAsia" w:ascii="宋体" w:hAnsi="宋体" w:eastAsia="宋体" w:cs="Times New Roman"/>
          <w:color w:val="auto"/>
          <w:sz w:val="24"/>
          <w:szCs w:val="24"/>
          <w:highlight w:val="none"/>
          <w:lang w:val="en-US" w:eastAsia="zh-CN"/>
        </w:rPr>
        <w:t xml:space="preserve">未通过资格审查的。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w:t>
      </w:r>
      <w:r>
        <w:rPr>
          <w:rFonts w:hint="eastAsia" w:ascii="宋体" w:hAnsi="宋体" w:eastAsia="宋体" w:cs="Times New Roman"/>
          <w:color w:val="auto"/>
          <w:sz w:val="24"/>
          <w:szCs w:val="24"/>
          <w:highlight w:val="none"/>
          <w:lang w:val="en-US" w:eastAsia="zh-CN"/>
        </w:rPr>
        <w:t xml:space="preserve">未通过符合性审查的。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w:t>
      </w:r>
      <w:r>
        <w:rPr>
          <w:rFonts w:hint="eastAsia" w:ascii="宋体" w:hAnsi="宋体" w:eastAsia="宋体" w:cs="Times New Roman"/>
          <w:color w:val="auto"/>
          <w:sz w:val="24"/>
          <w:szCs w:val="24"/>
          <w:highlight w:val="none"/>
          <w:lang w:val="en-US" w:eastAsia="zh-CN"/>
        </w:rPr>
        <w:t xml:space="preserve">不符合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w:t>
      </w:r>
      <w:r>
        <w:rPr>
          <w:rFonts w:hint="eastAsia" w:ascii="宋体" w:hAnsi="宋体" w:eastAsia="宋体" w:cs="Times New Roman"/>
          <w:color w:val="auto"/>
          <w:sz w:val="24"/>
          <w:szCs w:val="24"/>
          <w:highlight w:val="none"/>
          <w:lang w:val="en-US" w:eastAsia="zh-CN"/>
        </w:rPr>
        <w:t xml:space="preserve">报价明显低于其自身合理成本且又无法提供有效证明的；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w:t>
      </w:r>
      <w:r>
        <w:rPr>
          <w:rFonts w:hint="eastAsia" w:ascii="宋体" w:hAnsi="宋体" w:eastAsia="宋体" w:cs="Times New Roman"/>
          <w:color w:val="auto"/>
          <w:sz w:val="24"/>
          <w:szCs w:val="24"/>
          <w:highlight w:val="none"/>
          <w:lang w:val="en-US" w:eastAsia="zh-CN"/>
        </w:rPr>
        <w:t xml:space="preserve">本项目采购产品被财政部、国家发展和改革委员会、生态环境部等列入“节能产品品目清单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28.1.10供应商的商务技术部分得分相差异常悬殊，磋商小组一致认为得分畸低者有可能影响产品质量或者不能诚信履约的或商务技术得分低于总分值的50%。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w:t>
      </w:r>
      <w:r>
        <w:rPr>
          <w:rFonts w:hint="eastAsia" w:ascii="宋体" w:hAnsi="宋体" w:eastAsia="宋体" w:cs="Times New Roman"/>
          <w:color w:val="auto"/>
          <w:sz w:val="24"/>
          <w:szCs w:val="24"/>
          <w:highlight w:val="none"/>
          <w:lang w:val="en-US" w:eastAsia="zh-CN"/>
        </w:rPr>
        <w:t xml:space="preserve">其他法律、法规及本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w:t>
      </w:r>
      <w:r>
        <w:rPr>
          <w:rFonts w:hint="eastAsia" w:ascii="宋体" w:hAnsi="宋体" w:eastAsia="宋体" w:cs="Times New Roman"/>
          <w:color w:val="auto"/>
          <w:sz w:val="24"/>
          <w:szCs w:val="24"/>
          <w:highlight w:val="none"/>
          <w:lang w:val="en-US" w:eastAsia="zh-CN"/>
        </w:rPr>
        <w:t xml:space="preserve">符合条件的供应商或者对磋商文件作实质响应的供应商不足3家的（市场竞争不充分的科研项目，以及需要扶持的科技成果转化项目可以是2家）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w:t>
      </w:r>
      <w:r>
        <w:rPr>
          <w:rFonts w:hint="eastAsia" w:ascii="宋体" w:hAnsi="宋体" w:eastAsia="宋体" w:cs="Times New Roman"/>
          <w:color w:val="auto"/>
          <w:sz w:val="24"/>
          <w:szCs w:val="24"/>
          <w:highlight w:val="none"/>
          <w:lang w:val="en-US" w:eastAsia="zh-CN"/>
        </w:rPr>
        <w:t xml:space="preserve">出现影响采购公正的违法、违规行为的。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w:t>
      </w:r>
      <w:r>
        <w:rPr>
          <w:rFonts w:hint="eastAsia" w:ascii="宋体" w:hAnsi="宋体" w:eastAsia="宋体" w:cs="Times New Roman"/>
          <w:color w:val="auto"/>
          <w:sz w:val="24"/>
          <w:szCs w:val="24"/>
          <w:highlight w:val="none"/>
          <w:lang w:val="en-US" w:eastAsia="zh-CN"/>
        </w:rPr>
        <w:t xml:space="preserve">因重大变故，采购任务取消的。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w:t>
      </w:r>
      <w:r>
        <w:rPr>
          <w:rFonts w:hint="eastAsia" w:ascii="宋体" w:hAnsi="宋体" w:eastAsia="宋体" w:cs="Times New Roman"/>
          <w:color w:val="auto"/>
          <w:sz w:val="24"/>
          <w:szCs w:val="24"/>
          <w:highlight w:val="none"/>
          <w:lang w:val="en-US" w:eastAsia="zh-CN"/>
        </w:rPr>
        <w:t xml:space="preserve">因苏采云系统故障原因造成磋商不成功的。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w:t>
      </w:r>
      <w:r>
        <w:rPr>
          <w:rFonts w:hint="eastAsia" w:ascii="宋体" w:hAnsi="宋体" w:eastAsia="宋体" w:cs="Times New Roman"/>
          <w:color w:val="auto"/>
          <w:sz w:val="24"/>
          <w:szCs w:val="24"/>
          <w:highlight w:val="none"/>
          <w:lang w:val="en-US" w:eastAsia="zh-CN"/>
        </w:rPr>
        <w:t xml:space="preserve">磋商结束后，递交最后报价的供应商不足三家的；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w:t>
      </w:r>
      <w:r>
        <w:rPr>
          <w:rFonts w:hint="eastAsia" w:ascii="宋体" w:hAnsi="宋体" w:eastAsia="宋体" w:cs="Times New Roman"/>
          <w:color w:val="auto"/>
          <w:sz w:val="24"/>
          <w:szCs w:val="24"/>
          <w:highlight w:val="none"/>
          <w:lang w:val="en-US" w:eastAsia="zh-CN"/>
        </w:rPr>
        <w:t xml:space="preserve">磋商小组认定竞争性磋商文件存在歧义、重大缺陷导致评审工作无法进行；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或者在评审期间对磋商文件做出实质响应的供应商不足三家情况，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w:t>
      </w:r>
      <w:r>
        <w:rPr>
          <w:rFonts w:hint="eastAsia" w:ascii="宋体" w:hAnsi="宋体" w:eastAsia="宋体" w:cs="宋体"/>
          <w:b w:val="0"/>
          <w:bCs w:val="0"/>
          <w:color w:val="auto"/>
          <w:sz w:val="24"/>
          <w:szCs w:val="24"/>
          <w:highlight w:val="none"/>
        </w:rPr>
        <w:t xml:space="preserve">程序：</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投标(响应)报价低于全部通过符合性审查供应商投标(响应)报价平均值50%的，即投标(响应)报价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全部通过符合性审查供应商投标(响应)报价平均值</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投标(响应)报价低于通过符合性审查的次低报价供应商投标(响应)报价50%的，即投标(响应)报价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通过符合性审查的次低报价供应商投标(响应)报价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投标(响应)报价低于采购项目最高限价45%的，即投标(响应)报价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45%</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numPr>
          <w:ilvl w:val="0"/>
          <w:numId w:val="3"/>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9"/>
        <w:pageBreakBefore w:val="0"/>
        <w:spacing w:line="240" w:lineRule="auto"/>
        <w:widowControl w:val="off"/>
        <w:tabs>
          <w:tab w:val="left" w:pos="900" w:leader="none"/>
        </w:tabs>
        <w:rPr>
          <w:rFonts w:hint="eastAsia" w:ascii="宋体" w:hAnsi="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20823307"/>
      <w:r/>
      <w:bookmarkStart w:id="258" w:name="_Toc16938551"/>
      <w:r/>
      <w:bookmarkStart w:id="259" w:name="_Toc120614219"/>
      <w:r/>
      <w:bookmarkStart w:id="260" w:name="_Toc513029235"/>
      <w:r/>
      <w:bookmarkStart w:id="261" w:name="_Toc8614"/>
      <w:r/>
      <w:bookmarkStart w:id="262" w:name="_Toc30950"/>
      <w:r/>
      <w:bookmarkStart w:id="263" w:name="_Toc23778"/>
      <w:r/>
      <w:bookmarkStart w:id="264" w:name="_Toc5953"/>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20823310"/>
      <w:r/>
      <w:bookmarkStart w:id="267" w:name="_Toc16938554"/>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.2采购人应根据磋商小组推荐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采购人确定成交供应商后，</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将在“江苏政府采购网”发布成交结果公告，公告期限为1个工作日。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.3若有充分证据证明，成交供应商出现下列情况之一的，一经查实，将被取消成交资格：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.3.1提供虚假材料谋取成交的。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.3.2与评审专家、采购人、其他供应商或者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.3.3向评审专家、采购人或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.3.4恶意竞争，最后报价明显低于其自身合理成本且又无法提供证明的。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.3.5不满足本磋商文件规定的实质性要求，但在评审过程中又未被磋商小组发现的。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.3.6成交后无正当理由拒不与采购人签订政府采购合同或者未按照磋商文件确定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.3.7将政府采购合同转包的。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.3.8采取不正当手段诋毁、排挤其他供应商的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w:t>
      </w:r>
      <w:r>
        <w:rPr>
          <w:rFonts w:hint="eastAsia" w:ascii="宋体" w:hAnsi="宋体" w:eastAsia="宋体" w:cs="宋体"/>
          <w:b/>
          <w:bCs w:val="0"/>
          <w:color w:val="auto"/>
          <w:sz w:val="30"/>
          <w:szCs w:val="30"/>
          <w:highlight w:val="none"/>
        </w:rPr>
        <w:t xml:space="preserve">质疑处理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.2.1对可以质疑的采购文件提出质疑的，为收到采购文件之日或者采购文件公告期限届满之日。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.2.2对采购过程提出质疑的，为各采购程序环节结束之日。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.2.3对成交结果提出质疑的，为成交结果公告期限届满之日。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采购方式、采购文件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可以组织原评审委员会协助答复质疑。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w:t>
      </w:r>
      <w:r>
        <w:rPr>
          <w:rFonts w:hint="eastAsia" w:ascii="宋体" w:hAnsi="宋体" w:eastAsia="宋体" w:cs="Times New Roman"/>
          <w:bCs/>
          <w:color w:val="auto"/>
          <w:sz w:val="24"/>
          <w:szCs w:val="21"/>
          <w:highlight w:val="none"/>
        </w:rPr>
        <w:t xml:space="preserve">内容不符合《政府采购质疑和投诉办法》第十二条规定的质疑。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w:t>
      </w:r>
      <w:r>
        <w:rPr>
          <w:rFonts w:hint="eastAsia" w:ascii="宋体" w:hAnsi="宋体" w:eastAsia="宋体" w:cs="Times New Roman"/>
          <w:bCs/>
          <w:color w:val="auto"/>
          <w:sz w:val="24"/>
          <w:szCs w:val="21"/>
          <w:highlight w:val="none"/>
        </w:rPr>
        <w:t xml:space="preserve">超出政府采购法定期限的质疑。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w:t>
      </w:r>
      <w:r>
        <w:rPr>
          <w:rFonts w:hint="eastAsia" w:ascii="宋体" w:hAnsi="宋体" w:eastAsia="宋体" w:cs="Times New Roman"/>
          <w:bCs/>
          <w:color w:val="auto"/>
          <w:sz w:val="24"/>
          <w:szCs w:val="21"/>
          <w:highlight w:val="none"/>
        </w:rPr>
        <w:t xml:space="preserve">以传真、电子邮件等方式递交的非原件形式的质疑。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w:t>
      </w:r>
      <w:r>
        <w:rPr>
          <w:rFonts w:hint="eastAsia" w:ascii="宋体" w:hAnsi="宋体" w:eastAsia="宋体" w:cs="Times New Roman"/>
          <w:bCs/>
          <w:color w:val="auto"/>
          <w:sz w:val="24"/>
          <w:szCs w:val="21"/>
          <w:highlight w:val="none"/>
        </w:rPr>
        <w:t xml:space="preserve">未参加磋商活动的供应商或在磋商活动中自身权益未受到损害的供应商所提出的质疑。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w:t>
      </w:r>
      <w:r>
        <w:rPr>
          <w:rFonts w:hint="eastAsia" w:ascii="宋体" w:hAnsi="宋体" w:eastAsia="宋体" w:cs="Times New Roman"/>
          <w:bCs/>
          <w:color w:val="auto"/>
          <w:sz w:val="24"/>
          <w:szCs w:val="21"/>
          <w:highlight w:val="none"/>
        </w:rPr>
        <w:t xml:space="preserve">供应商组成联合体参加磋商，联合体中任何一方或多方未按要求签字、盖章、加盖公章的质疑。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eastAsia="宋体" w:cs="Times New Roman"/>
          <w:bCs/>
          <w:color w:val="auto"/>
          <w:sz w:val="24"/>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成交通知书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.1成交结果确定后，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2162"/>
      <w:r/>
      <w:bookmarkStart w:id="273" w:name="_Toc11332"/>
      <w:r/>
      <w:bookmarkStart w:id="274" w:name="_Toc120614220"/>
      <w:r/>
      <w:bookmarkStart w:id="275" w:name="_Toc20588"/>
      <w:r/>
      <w:bookmarkStart w:id="276" w:name="_Toc15236"/>
      <w:r/>
      <w:bookmarkStart w:id="277" w:name="_Toc16938552"/>
      <w:r/>
      <w:bookmarkStart w:id="278" w:name="_Toc513029236"/>
      <w:r/>
      <w:bookmarkStart w:id="279" w:name="_Toc2082330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bookmarkEnd w:id="278"/>
      <w:bookmarkEnd w:id="279"/>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20823309"/>
      <w:r/>
      <w:bookmarkStart w:id="282" w:name="_Toc513029237"/>
      <w:r/>
      <w:bookmarkStart w:id="283" w:name="_Toc16938553"/>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.l成交供应商应当在成交通知书发出之日起三十日内，按照磋商文件确定的事项与采购人签订政府采购合同。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.2磋商文件、成交供应商的响应文件及磋商过程中有关澄清、承诺文件均应作为合同附件。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标的物的追加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w:t>
      </w:r>
      <w:r>
        <w:rPr>
          <w:rFonts w:hint="eastAsia" w:ascii="宋体" w:hAnsi="宋体" w:cs="Times New Roman"/>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bookmarkEnd w:id="282"/>
      <w:bookmarkEnd w:id="283"/>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513029242"/>
      <w:r/>
      <w:bookmarkStart w:id="287" w:name="_Toc120614221"/>
      <w:r/>
      <w:bookmarkStart w:id="288" w:name="_Toc16938558"/>
      <w:r/>
      <w:bookmarkStart w:id="289" w:name="_Toc479757207"/>
      <w:r/>
      <w:bookmarkStart w:id="290" w:name="_Toc20823314"/>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政府采购履约资金扶持政策</w:t>
      </w:r>
      <w:bookmarkEnd w:id="285"/>
      <w:r/>
      <w:bookmarkEnd w:id="286"/>
      <w:bookmarkEnd w:id="287"/>
      <w:bookmarkEnd w:id="288"/>
      <w:bookmarkEnd w:id="289"/>
      <w:bookmarkEnd w:id="290"/>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16938590"/>
      <w:r/>
      <w:bookmarkStart w:id="293" w:name="_Toc20823346"/>
      <w:r/>
      <w:bookmarkStart w:id="294" w:name="_Toc120614244"/>
      <w:r/>
      <w:bookmarkStart w:id="295" w:name="_Toc462564139"/>
      <w:r/>
      <w:bookmarkStart w:id="296" w:name="_Toc479757211"/>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29035"/>
      <w:r/>
      <w:bookmarkStart w:id="298" w:name="_Toc23644"/>
      <w:r/>
      <w:bookmarkStart w:id="299" w:name="_Toc6233"/>
      <w:r/>
      <w:bookmarkStart w:id="300" w:name="_Toc8698"/>
      <w:r/>
      <w:bookmarkStart w:id="301" w:name="_Toc25986"/>
      <w:r/>
      <w:bookmarkStart w:id="302" w:name="_Toc3461"/>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26554093"/>
      <w:r/>
      <w:bookmarkStart w:id="304" w:name="_Toc49090575"/>
      <w:r/>
      <w:r/>
    </w:p>
    <w:p>
      <w:pPr>
        <w:numPr>
          <w:ilvl w:val="0"/>
          <w:numId w:val="0"/>
        </w:numPr>
        <w:ind w:firstLine="482"/>
        <w:spacing w:line="240" w:lineRule="auto"/>
        <w:rPr>
          <w:rFonts w:hint="eastAsia" w:ascii="宋体" w:hAnsi="宋体" w:eastAsia="宋体" w:cs="宋体"/>
          <w:b/>
          <w:bCs/>
          <w:sz w:val="24"/>
          <w:szCs w:val="24"/>
          <w:lang w:eastAsia="zh-CN"/>
        </w:rPr>
      </w:pPr>
      <w:r/>
      <w:bookmarkStart w:id="305" w:name="_Toc23805"/>
      <w:r/>
      <w:bookmarkStart w:id="306" w:name="_Toc21058"/>
      <w:r/>
      <w:bookmarkStart w:id="307" w:name="_Toc24185"/>
      <w:r/>
      <w:bookmarkStart w:id="308" w:name="_Toc14447"/>
      <w:r/>
      <w:bookmarkStart w:id="309" w:name="_Toc28814"/>
      <w:r/>
      <w:bookmarkStart w:id="310" w:name="_Toc28628"/>
      <w:r/>
      <w:bookmarkStart w:id="311" w:name="_Toc120614281"/>
      <w:r>
        <w:rPr>
          <w:rFonts w:hint="eastAsia" w:ascii="宋体" w:hAnsi="宋体" w:eastAsia="宋体" w:cs="宋体"/>
          <w:b/>
          <w:bCs/>
          <w:sz w:val="24"/>
          <w:szCs w:val="24"/>
        </w:rPr>
        <w:t xml:space="preserve">项目属性：货物类项目</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工业</w:t>
      </w:r>
      <w:r>
        <w:rPr>
          <w:rFonts w:hint="eastAsia" w:ascii="宋体" w:hAnsi="宋体" w:cs="宋体"/>
          <w:b/>
          <w:bCs/>
          <w:sz w:val="24"/>
          <w:szCs w:val="24"/>
          <w:lang w:eastAsia="zh-CN"/>
        </w:rPr>
        <w:t xml:space="preserve">）</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采购需求包括拟采购的标的及其需要满足的技术、商务要求。</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（一）技术要求是指对采购标的功能和质量要求，包括性能、材料、结构、外观、安全，或者服务内容和标准等。</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24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其内容包含但不限于以下内容：</w:t>
      </w:r>
      <w:r/>
    </w:p>
    <w:p>
      <w:pPr>
        <w:spacing w:line="240" w:lineRule="auto"/>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采购标的需实现的功能或者目标，以及为落实政府采购政策需满足的要求：</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1.近年来，随着诊疗人次的持续增长，医院现有设备功能已难以满足临床诊疗需求。为提升医疗服务能力，海安市人民医院计划采购心脏彩色多普勒超声诊断仪设备1台。</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2.本项目不接受进口产品。</w:t>
      </w:r>
      <w:r/>
    </w:p>
    <w:p>
      <w:pPr>
        <w:ind w:firstLine="48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本项目属于专门面向中小企业采购的项目,货物类项目的货物生产企业或者服务类项目的服务提供商应为中小微企业、监狱和戒毒企业、残疾人福利性单位。须按照磋商文件要求提供《中小企业声明函》、《残疾人福利性单位声明函》或监狱和戒毒企业证明材料。</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27"/>
        <w:ind w:left="0" w:firstLine="0"/>
        <w:keepLines w:val="0"/>
        <w:keepNext w:val="0"/>
        <w:pageBreakBefore w:val="0"/>
        <w:spacing w:beforeAutospacing="0" w:afterAutospacing="0"/>
        <w:widowControl/>
        <w:rPr>
          <w:rFonts w:hint="eastAsia" w:ascii="宋体" w:hAnsi="宋体" w:eastAsia="宋体" w:cs="宋体"/>
          <w:b/>
          <w:bCs/>
          <w:sz w:val="24"/>
          <w:szCs w:val="24"/>
          <w:lang w:val="en-US" w:eastAsia="zh-CN" w:bidi="ar-SA"/>
        </w:rPr>
        <w:outlineLvl w:val="1"/>
        <w:suppressLineNumbers w:val="0"/>
      </w:pPr>
      <w:r>
        <w:rPr>
          <w:rFonts w:hint="eastAsia" w:ascii="宋体" w:hAnsi="宋体" w:cs="宋体"/>
          <w:b/>
          <w:bCs/>
          <w:sz w:val="24"/>
          <w:szCs w:val="24"/>
          <w:lang w:val="en-US" w:eastAsia="zh-CN" w:bidi="ar-SA"/>
        </w:rPr>
        <w:t xml:space="preserve">二、</w:t>
      </w:r>
      <w:r>
        <w:rPr>
          <w:rFonts w:hint="eastAsia" w:ascii="宋体" w:hAnsi="宋体" w:eastAsia="宋体" w:cs="宋体"/>
          <w:b/>
          <w:bCs/>
          <w:sz w:val="24"/>
          <w:szCs w:val="24"/>
          <w:lang w:val="en-US" w:eastAsia="zh-CN" w:bidi="ar-SA"/>
        </w:rPr>
        <w:t xml:space="preserve">采购标的需执行的国家相关标准、行业标准、地方标准或者其他标准、规范：</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p>
      <w:pPr>
        <w:ind w:firstLine="480"/>
        <w:keepLines w:val="0"/>
        <w:keepNext w:val="0"/>
        <w:pageBreakBefore w:val="0"/>
        <w:spacing w:line="24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2.本项目投标产品根据注册的类别，须具有《医疗器械注册证》或者《医疗器械备案凭证》。</w:t>
      </w:r>
      <w:r/>
    </w:p>
    <w:p>
      <w:pPr>
        <w:numPr>
          <w:ilvl w:val="0"/>
          <w:numId w:val="0"/>
        </w:numP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spacing w:line="240" w:lineRule="auto"/>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采购标的需满足的质量、安全、技术规格、物理特性等要求：</w:t>
      </w:r>
      <w:r/>
    </w:p>
    <w:p>
      <w:pPr>
        <w:ind w:left="2160" w:hanging="2168"/>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）设备用途说明：心脏、腹部、血管等。</w:t>
      </w:r>
      <w:r/>
    </w:p>
    <w:p>
      <w:pPr>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主要技术规格及系统概述：</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1.主机系统性能概括</w:t>
      </w:r>
      <w:r/>
    </w:p>
    <w:p>
      <w:pPr>
        <w:ind w:firstLine="283"/>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1.1全新集束精准发射技术，全程动态聚焦发射声束，海量并行处理</w:t>
      </w:r>
      <w:r/>
    </w:p>
    <w:p>
      <w:pPr>
        <w:ind w:firstLine="141"/>
        <w:spacing w:line="240" w:lineRule="auto"/>
        <w:rPr>
          <w:rFonts w:hint="eastAsia" w:ascii="宋体" w:hAnsi="宋体" w:eastAsia="宋体" w:cs="宋体"/>
          <w:b w:val="0"/>
          <w:bCs w:val="0"/>
          <w:i/>
          <w:color w:val="auto"/>
          <w:sz w:val="24"/>
          <w:szCs w:val="24"/>
          <w:lang w:eastAsia="zh-CN"/>
        </w:rPr>
      </w:pPr>
      <w:r>
        <w:rPr>
          <w:rFonts w:hint="eastAsia" w:ascii="宋体" w:hAnsi="宋体" w:eastAsia="宋体" w:cs="宋体"/>
          <w:b w:val="0"/>
          <w:bCs w:val="0"/>
          <w:color w:val="auto"/>
          <w:sz w:val="24"/>
          <w:szCs w:val="24"/>
          <w:lang w:eastAsia="zh-CN"/>
        </w:rPr>
        <w:t xml:space="preserve">▲1.2数字处理通道数≥700万</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1.3动态范围≥3</w:t>
      </w:r>
      <w:r>
        <w:rPr>
          <w:rFonts w:hint="eastAsia" w:ascii="宋体" w:hAnsi="宋体" w:eastAsia="宋体" w:cs="宋体"/>
          <w:b w:val="0"/>
          <w:bCs w:val="0"/>
          <w:color w:val="auto"/>
          <w:sz w:val="24"/>
          <w:szCs w:val="24"/>
          <w:lang w:val="en-US" w:eastAsia="zh-CN"/>
        </w:rPr>
        <w:t xml:space="preserve">90</w:t>
      </w:r>
      <w:r>
        <w:rPr>
          <w:rFonts w:hint="eastAsia" w:ascii="宋体" w:hAnsi="宋体" w:eastAsia="宋体" w:cs="宋体"/>
          <w:b w:val="0"/>
          <w:bCs w:val="0"/>
          <w:color w:val="auto"/>
          <w:sz w:val="24"/>
          <w:szCs w:val="24"/>
          <w:lang w:eastAsia="zh-CN"/>
        </w:rPr>
        <w:t xml:space="preserve">DB</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1.4数字化二维灰阶成像、M型和解剖M型技术</w:t>
      </w:r>
      <w:r/>
    </w:p>
    <w:p>
      <w:pPr>
        <w:spacing w:line="240" w:lineRule="auto"/>
        <w:tabs>
          <w:tab w:val="left" w:pos="0"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1.5彩色多普勒成像技术</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1.6彩色多普勒能量图、方向性能量图技术</w:t>
      </w:r>
      <w:r/>
    </w:p>
    <w:p>
      <w:pPr>
        <w:ind w:left="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1.7实时动态频谱多普勒显示及多参数分析系统</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1.8组织多普勒成像技术想</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1.9负荷超声心动图，支持二维和三维</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1.10二维及三维心脏造影技术</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1.11二维、彩色血流和频率多普勒三同步功能, 可用于心脏模式</w:t>
      </w:r>
      <w:r/>
    </w:p>
    <w:p>
      <w:pPr>
        <w:ind w:left="965" w:hanging="816"/>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1.12脉冲反相谐波技术, 可与复合成像技术同时使用</w:t>
      </w:r>
      <w:r/>
    </w:p>
    <w:p>
      <w:pPr>
        <w:ind w:left="950" w:hanging="696"/>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1.13实时复合成像技术(多角度实时发射和接收，可达≥9种角度,提供曲别针试验图片)</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1.14磁共振相素优化技术，改善边界显示，提高分辨率，减少伪像，可分级调节≥5级</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1.15自适应彩色成像技术: 根据聚焦点的深度不同而自动选择最佳频率,在显视器上可视</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▲1.16 LGC侧向增益补偿技术，可视可调</w:t>
      </w:r>
      <w:r/>
    </w:p>
    <w:p>
      <w:pPr>
        <w:ind w:left="833" w:hanging="936"/>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1.17智能扫查技术（AutoScan）：实时iScan技术，实时自动优化增益和TGC</w:t>
      </w:r>
      <w:r/>
    </w:p>
    <w:p>
      <w:pPr>
        <w:ind w:left="902" w:hanging="753"/>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1.18智能多普勒技术(AutoDoppler), 实时自动调节取样框位置和偏转，实时自动调节多普勒取样容积位置和取样线角度</w:t>
      </w:r>
      <w:r/>
    </w:p>
    <w:p>
      <w:pPr>
        <w:ind w:left="890" w:hanging="636"/>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1.19扫查专家技术（SmartExam）：规范检查流程，自动检查记录及自动模式切换，自动加标注及体表标志，极大提高检查效率和检查的规范性 </w:t>
      </w:r>
      <w:r/>
    </w:p>
    <w:p>
      <w:pPr>
        <w:ind w:left="915" w:hanging="600"/>
        <w:jc w:val="both"/>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1.20超宽视野成像扫描技术，可与复合成像等技术结合使用，具有测量和电影回放功能，扫查长度≥60cm </w:t>
      </w:r>
      <w:r/>
    </w:p>
    <w:p>
      <w:pPr>
        <w:ind w:left="262" w:firstLine="21"/>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1.21 实时、触发心肌灌注造影成像：高机械指数（MI）造影成像，低机械指数（MI）造影成像，闪烁造影成像</w:t>
      </w:r>
      <w:r/>
    </w:p>
    <w:p>
      <w:pPr>
        <w:ind w:left="911" w:hanging="657"/>
        <w:jc w:val="both"/>
        <w:spacing w:line="24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color w:val="auto"/>
          <w:sz w:val="24"/>
          <w:szCs w:val="24"/>
          <w:lang w:eastAsia="zh-CN"/>
        </w:rPr>
        <w:t xml:space="preserve">1.2</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多影像实时对比联合诊断技术：主机可直接获取和浏览CT/NM/M</w:t>
      </w:r>
      <w:r>
        <w:rPr>
          <w:rFonts w:hint="eastAsia" w:ascii="宋体" w:hAnsi="宋体" w:eastAsia="宋体" w:cs="宋体"/>
          <w:b w:val="0"/>
          <w:bCs w:val="0"/>
          <w:sz w:val="24"/>
          <w:szCs w:val="24"/>
          <w:lang w:eastAsia="zh-CN"/>
        </w:rPr>
        <w:t xml:space="preserve">R，乳房X线/超声的DICOM图像，同屏对比既往和目前的超声图像，回顾实时的、存储的、输出的图像进行对比诊断</w:t>
      </w:r>
      <w:r/>
    </w:p>
    <w:p>
      <w:pPr>
        <w:ind w:left="705" w:hanging="60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纯净波单晶体矩阵探头，≥3000个振元同时发射声束，提供实时三维成像。全功能，单探头解决方案，包括二维及三维,结构和功能定量</w:t>
      </w:r>
      <w:r/>
    </w:p>
    <w:p>
      <w:pPr>
        <w:ind w:left="704" w:hanging="36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实时三维成像，动态空间彩色显像，三维图像质量指数</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w:t>
      </w:r>
      <w:r>
        <w:rPr>
          <w:rFonts w:hint="eastAsia" w:ascii="宋体" w:hAnsi="宋体" w:eastAsia="宋体" w:cs="宋体"/>
          <w:b w:val="0"/>
          <w:bCs w:val="0"/>
          <w:color w:val="auto"/>
          <w:sz w:val="24"/>
          <w:szCs w:val="24"/>
          <w:lang w:val="en-US" w:eastAsia="zh-CN"/>
        </w:rPr>
        <w:t xml:space="preserve">25</w:t>
      </w:r>
      <w:r>
        <w:rPr>
          <w:rFonts w:hint="eastAsia" w:ascii="宋体" w:hAnsi="宋体" w:eastAsia="宋体" w:cs="宋体"/>
          <w:b w:val="0"/>
          <w:bCs w:val="0"/>
          <w:color w:val="auto"/>
          <w:sz w:val="24"/>
          <w:szCs w:val="24"/>
          <w:lang w:eastAsia="zh-CN"/>
        </w:rPr>
        <w:t xml:space="preserve">实时三维成像速率：深度15cm，角度75°X75°，容积速率≥ 32容积/秒</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eastAsia="zh-CN"/>
        </w:rPr>
        <w:t xml:space="preserve">实时三维血流成像</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eastAsia="zh-CN"/>
        </w:rPr>
        <w:t xml:space="preserve">实时三维放大成像，实时三维血流放大成像</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1.2</w:t>
      </w:r>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lang w:eastAsia="zh-CN"/>
        </w:rPr>
        <w:t xml:space="preserve">三维灰阶全容积成像(Full Volume)，三维血流全容积成像(Full Volume Color)</w:t>
      </w:r>
      <w:r/>
    </w:p>
    <w:p>
      <w:pPr>
        <w:ind w:firstLine="12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w:t>
      </w:r>
      <w:r>
        <w:rPr>
          <w:rFonts w:hint="eastAsia" w:ascii="宋体" w:hAnsi="宋体" w:eastAsia="宋体" w:cs="宋体"/>
          <w:b w:val="0"/>
          <w:bCs w:val="0"/>
          <w:color w:val="auto"/>
          <w:sz w:val="24"/>
          <w:szCs w:val="24"/>
          <w:lang w:val="en-US" w:eastAsia="zh-CN"/>
        </w:rPr>
        <w:t xml:space="preserve">29</w:t>
      </w:r>
      <w:r>
        <w:rPr>
          <w:rFonts w:hint="eastAsia" w:ascii="宋体" w:hAnsi="宋体" w:eastAsia="宋体" w:cs="宋体"/>
          <w:b w:val="0"/>
          <w:bCs w:val="0"/>
          <w:color w:val="auto"/>
          <w:sz w:val="24"/>
          <w:szCs w:val="24"/>
          <w:lang w:eastAsia="zh-CN"/>
        </w:rPr>
        <w:t xml:space="preserve">实时双容积成像，同时显示两幅实时的容积三维图像，可支持对面观及内面观</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1.3</w:t>
      </w:r>
      <w:r>
        <w:rPr>
          <w:rFonts w:hint="eastAsia" w:ascii="宋体" w:hAnsi="宋体" w:eastAsia="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lang w:eastAsia="zh-CN"/>
        </w:rPr>
        <w:t xml:space="preserve"> 三维单心动周期容积成像(不需心电图)</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1.3</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 三维多心动周期(2,4,6)容积成像</w:t>
      </w:r>
      <w:r/>
    </w:p>
    <w:p>
      <w:pPr>
        <w:ind w:left="690"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1.3</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三维奔流容积高帧频成像(XVR), 三维容积频率可以通过“帧频与分辨率”旋钮进行调节，同时拓宽近场视野和近场图像质量</w:t>
      </w:r>
      <w:r/>
    </w:p>
    <w:p>
      <w:pPr>
        <w:ind w:left="690"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1.3</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三维智能切割(iCrop）: 360度取样可在二维参考切面的图像中进行任意切割，同时获得二维图像和相应的三维图像，实时的从二维进入三维</w:t>
      </w:r>
      <w:r/>
    </w:p>
    <w:p>
      <w:pPr>
        <w:ind w:left="673" w:hanging="60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1.3</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智能旋转(iRotate): 无需移动探头，实现0－360度任意平面显像，支持二维及彩色模式。在同一个视窗即可获取如4腔，2腔，3腔心切面</w:t>
      </w:r>
      <w:r/>
    </w:p>
    <w:p>
      <w:pPr>
        <w:ind w:left="709"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1.3</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eastAsia="zh-CN"/>
        </w:rPr>
        <w:t xml:space="preserve">实时双平面成像(xPlane)：同屏显示任意相交互的两幅图像，支持二维及彩色模式，同步心功能定量</w:t>
      </w:r>
      <w:r/>
    </w:p>
    <w:p>
      <w:pPr>
        <w:ind w:left="780" w:hanging="631"/>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▲1.3</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eastAsia="zh-CN"/>
        </w:rPr>
        <w:t xml:space="preserve"> 心腔镜成像(TrueVue)：可以逼真的显示三维容积图像，同时支持用户在此容积图像的任何角度应用虚拟光源技术。</w:t>
      </w:r>
      <w:r>
        <w:rPr>
          <w:rFonts w:hint="eastAsia" w:ascii="宋体" w:hAnsi="宋体" w:eastAsia="宋体" w:cs="宋体"/>
          <w:b w:val="0"/>
          <w:bCs w:val="0"/>
          <w:color w:val="auto"/>
          <w:sz w:val="24"/>
          <w:szCs w:val="24"/>
          <w:lang w:val="en-US" w:eastAsia="zh-CN"/>
        </w:rPr>
        <w:t xml:space="preserve">可</w:t>
      </w:r>
      <w:r>
        <w:rPr>
          <w:rFonts w:hint="eastAsia" w:ascii="宋体" w:hAnsi="宋体" w:eastAsia="宋体" w:cs="宋体"/>
          <w:b w:val="0"/>
          <w:bCs w:val="0"/>
          <w:color w:val="auto"/>
          <w:sz w:val="24"/>
          <w:szCs w:val="24"/>
          <w:lang w:eastAsia="zh-CN"/>
        </w:rPr>
        <w:t xml:space="preserve">全方位光源移动，帮助医生深入了解解剖信息。</w:t>
      </w:r>
      <w:r>
        <w:rPr>
          <w:rFonts w:hint="eastAsia" w:ascii="宋体" w:hAnsi="宋体" w:eastAsia="宋体" w:cs="宋体"/>
          <w:b w:val="0"/>
          <w:bCs w:val="0"/>
          <w:color w:val="auto"/>
          <w:sz w:val="24"/>
          <w:szCs w:val="24"/>
          <w:lang w:val="en-US" w:eastAsia="zh-CN"/>
        </w:rPr>
        <w:t xml:space="preserve">具有</w:t>
      </w:r>
      <w:r>
        <w:rPr>
          <w:rFonts w:hint="eastAsia" w:ascii="宋体" w:hAnsi="宋体" w:eastAsia="宋体" w:cs="宋体"/>
          <w:b w:val="0"/>
          <w:bCs w:val="0"/>
          <w:color w:val="auto"/>
          <w:sz w:val="24"/>
          <w:szCs w:val="24"/>
          <w:lang w:eastAsia="zh-CN"/>
        </w:rPr>
        <w:t xml:space="preserve">光源深度调节（Z轴）</w:t>
      </w:r>
      <w:r>
        <w:rPr>
          <w:rFonts w:hint="eastAsia" w:ascii="宋体" w:hAnsi="宋体" w:eastAsia="宋体" w:cs="宋体"/>
          <w:b w:val="0"/>
          <w:bCs w:val="0"/>
          <w:color w:val="auto"/>
          <w:sz w:val="24"/>
          <w:szCs w:val="24"/>
          <w:lang w:val="en-US" w:eastAsia="zh-CN"/>
        </w:rPr>
        <w:t xml:space="preserve">功能</w:t>
      </w:r>
      <w:r>
        <w:rPr>
          <w:rFonts w:hint="eastAsia" w:ascii="宋体" w:hAnsi="宋体" w:eastAsia="宋体" w:cs="宋体"/>
          <w:b w:val="0"/>
          <w:bCs w:val="0"/>
          <w:color w:val="auto"/>
          <w:sz w:val="24"/>
          <w:szCs w:val="24"/>
          <w:lang w:eastAsia="zh-CN"/>
        </w:rPr>
        <w:t xml:space="preserve">。心腔镜技术可用于实时成像</w:t>
      </w:r>
      <w:r/>
    </w:p>
    <w:p>
      <w:pPr>
        <w:ind w:left="721"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1.3</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eastAsia="zh-CN"/>
        </w:rPr>
        <w:t xml:space="preserve">触屏控制三维图像显示(TouchVue)：显示器和触摸屏上实时显示三维图像，利用手指在触摸屏上完成三维图像调节，加快工作流程，减少按键操作，可结合多种功能使用                </w:t>
      </w:r>
      <w:r/>
    </w:p>
    <w:p>
      <w:pPr>
        <w:ind w:left="721"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w:t>
      </w:r>
      <w:r>
        <w:rPr>
          <w:rFonts w:hint="eastAsia" w:ascii="宋体" w:hAnsi="宋体" w:eastAsia="宋体" w:cs="宋体"/>
          <w:b w:val="0"/>
          <w:bCs w:val="0"/>
          <w:color w:val="auto"/>
          <w:sz w:val="24"/>
          <w:szCs w:val="24"/>
          <w:lang w:val="en-US" w:eastAsia="zh-CN"/>
        </w:rPr>
        <w:t xml:space="preserve">38</w:t>
      </w:r>
      <w:r>
        <w:rPr>
          <w:rFonts w:hint="eastAsia" w:ascii="宋体" w:hAnsi="宋体" w:eastAsia="宋体" w:cs="宋体"/>
          <w:b w:val="0"/>
          <w:bCs w:val="0"/>
          <w:color w:val="auto"/>
          <w:sz w:val="24"/>
          <w:szCs w:val="24"/>
          <w:lang w:eastAsia="zh-CN"/>
        </w:rPr>
        <w:t xml:space="preserve">智能三维辅助多平面显示(MultiVue)：三维结构指导二维切面快速获取，精准测量感兴趣区大小，指导人工装置选择，精确术前、术中、术后评估</w:t>
      </w:r>
      <w:r/>
    </w:p>
    <w:p>
      <w:pPr>
        <w:ind w:left="810"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w:t>
      </w:r>
      <w:r>
        <w:rPr>
          <w:rFonts w:hint="eastAsia" w:ascii="宋体" w:hAnsi="宋体" w:eastAsia="宋体" w:cs="宋体"/>
          <w:b w:val="0"/>
          <w:bCs w:val="0"/>
          <w:color w:val="auto"/>
          <w:sz w:val="24"/>
          <w:szCs w:val="24"/>
          <w:lang w:val="en-US" w:eastAsia="zh-CN"/>
        </w:rPr>
        <w:t xml:space="preserve">39</w:t>
      </w:r>
      <w:r>
        <w:rPr>
          <w:rFonts w:hint="eastAsia" w:ascii="宋体" w:hAnsi="宋体" w:eastAsia="宋体" w:cs="宋体"/>
          <w:b w:val="0"/>
          <w:bCs w:val="0"/>
          <w:color w:val="auto"/>
          <w:sz w:val="24"/>
          <w:szCs w:val="24"/>
          <w:lang w:eastAsia="zh-CN"/>
        </w:rPr>
        <w:t xml:space="preserve">自动左心房功能定量分析，提供2D图像上左心房的自动和半自动边界检测，生成左心房的容积曲线，并提供左心房最大、最小体积和LAEF等测量值 </w:t>
      </w:r>
      <w:r/>
    </w:p>
    <w:p>
      <w:pPr>
        <w:ind w:left="720" w:hanging="72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1.</w:t>
      </w:r>
      <w:r>
        <w:rPr>
          <w:rFonts w:hint="eastAsia" w:ascii="宋体" w:hAnsi="宋体" w:eastAsia="宋体" w:cs="宋体"/>
          <w:b w:val="0"/>
          <w:bCs w:val="0"/>
          <w:color w:val="auto"/>
          <w:sz w:val="24"/>
          <w:szCs w:val="24"/>
          <w:lang w:val="en-US" w:eastAsia="zh-CN"/>
        </w:rPr>
        <w:t xml:space="preserve">40</w:t>
      </w:r>
      <w:r>
        <w:rPr>
          <w:rFonts w:hint="eastAsia" w:ascii="宋体" w:hAnsi="宋体" w:eastAsia="宋体" w:cs="宋体"/>
          <w:b w:val="0"/>
          <w:bCs w:val="0"/>
          <w:color w:val="auto"/>
          <w:sz w:val="24"/>
          <w:szCs w:val="24"/>
          <w:lang w:eastAsia="zh-CN"/>
        </w:rPr>
        <w:t xml:space="preserve">自动左室应变定量：全自动化识别、追踪、分析心脏超声切面，几秒内获取LV GLS、整体和节段应变、应变率、达峰时间、左心室长径等参数显示。ECG和非ECG图像均可分析                                             </w:t>
      </w:r>
      <w:r/>
    </w:p>
    <w:p>
      <w:pPr>
        <w:ind w:left="930" w:hanging="72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1.4</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自动左房应变定量：专用LA模型，一键式左房不同时相及LA功能分析，如储备功能LASr、导管功能LAScd和收缩功能LASct等     </w:t>
      </w:r>
      <w:r/>
    </w:p>
    <w:p>
      <w:pPr>
        <w:ind w:left="7410" w:hanging="7200"/>
        <w:spacing w:line="24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 xml:space="preserve">1.4</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自动右室应变定量：专用RV模型，提供RV整体及游离壁节段的纵向应</w:t>
      </w:r>
      <w:r>
        <w:rPr>
          <w:rFonts w:hint="eastAsia" w:ascii="宋体" w:hAnsi="宋体" w:eastAsia="宋体" w:cs="宋体"/>
          <w:b w:val="0"/>
          <w:bCs w:val="0"/>
          <w:color w:val="auto"/>
          <w:sz w:val="24"/>
          <w:szCs w:val="24"/>
          <w:lang w:val="en-US" w:eastAsia="zh-CN"/>
        </w:rPr>
        <w:t xml:space="preserve">变值和曲线</w:t>
      </w:r>
      <w:r/>
    </w:p>
    <w:p>
      <w:pPr>
        <w:ind w:left="690"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1.4</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三维自动右室定量：超声切面自动识别，智能化追踪右心室边界，结合斑点追踪技术，15s内快速获得标准化右心室量化参数</w:t>
      </w:r>
      <w:r/>
    </w:p>
    <w:p>
      <w:pPr>
        <w:ind w:left="551"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▲1.4</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 动态心脏模型：同步分析左室和左房容积，1-5心动周期分析。分析左室容积时间曲线，显示射血和充盈动态指标相关结果；分析左房容积时间曲线，显示充盈和排空动态指标相关结果                                        </w:t>
      </w:r>
      <w:r/>
    </w:p>
    <w:p>
      <w:pPr>
        <w:ind w:left="690"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1.4</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eastAsia="zh-CN"/>
        </w:rPr>
        <w:t xml:space="preserve">透视心腔镜成像：全新容积建模和算法，可显示心脏结构铸型，容积图像透明度可根据需求更改，心脏结构形态、空间关系更清晰，帮助更直观理解心脏形态学，支持深度光源成像，应用于所有心脏容积图像                </w:t>
      </w:r>
      <w:r/>
    </w:p>
    <w:p>
      <w:pPr>
        <w:ind w:left="690"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1.4</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eastAsia="zh-CN"/>
        </w:rPr>
        <w:t xml:space="preserve"> 彩色心腔镜成像：彩色血流和透视模式联合使用，带有阴影的光源产生更逼真的彩色多普勒渲染，帮助更简易评估实时三维血流空间状态，支持深度光源成像</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2.测量和分析(B型、M型、频谱多普勒、彩色多普勒)</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2.1一般测量</w:t>
      </w:r>
      <w:r/>
    </w:p>
    <w:p>
      <w:pPr>
        <w:ind w:firstLine="240"/>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2.2多普勒血流测量及分析</w:t>
      </w:r>
      <w:r/>
    </w:p>
    <w:p>
      <w:pPr>
        <w:ind w:firstLine="240"/>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2.3 心脏功能测量与分析</w:t>
      </w:r>
      <w:r/>
    </w:p>
    <w:p>
      <w:pPr>
        <w:ind w:firstLine="240"/>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2.4腹部测量与分析</w:t>
      </w:r>
      <w:r/>
    </w:p>
    <w:p>
      <w:pPr>
        <w:ind w:firstLine="240"/>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2.5小器官测量与分析</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3.主要的先进临床应用功能</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3.1二维定量分析组件</w:t>
      </w:r>
      <w:r/>
    </w:p>
    <w:p>
      <w:pPr>
        <w:ind w:left="840" w:hanging="8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(a)ROI感兴趣区域自动跟踪定量分析(可对灰阶、彩色、能量及造影图像进行分析),取样区域≥10个</w:t>
      </w:r>
      <w:r/>
    </w:p>
    <w:p>
      <w:pPr>
        <w:ind w:left="277" w:hanging="439"/>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(b)IMT自动血管内膜中膜增厚度测量</w:t>
      </w:r>
      <w:r/>
    </w:p>
    <w:p>
      <w:pPr>
        <w:ind w:left="785" w:hanging="636"/>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(c)心肌应变成像定量(包括速度、应变和应变率等),心肌取样最多可到32节段      </w:t>
      </w:r>
      <w:r/>
    </w:p>
    <w:p>
      <w:pPr>
        <w:ind w:left="868"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(d) 智能心功能定量分析: 依据选择的心脏切面，无需任何点击，超声图像就会与LV解剖模型自动匹配，自动追踪识别左室心内膜边界，自动计算EF，ESV，EDV。TMAD可以自动对房室瓣环运动进行可视化及定量化分析，用以快速评估心脏整体功能，不依赖图像质量</w:t>
      </w:r>
      <w:r/>
    </w:p>
    <w:p>
      <w:pPr>
        <w:ind w:left="868" w:hanging="48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(e) 智能心肌运动定量：基于斑点追踪技术，依据选择的心脏切面自动描记相应节段，进而自动测量整体和节段功能并生成表格，≥17节段牛眼图，并可显示各种曲线。此外还可计算LVEF、ESV、EDV。可选多层心肌进行网状分析（类同核磁）</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3.2三维定量分析组件</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(a) 面积，长度，左室容积，左室质量，射血分数等</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(b) 整体心功能及≥17节段心功能分析；iSlice MRI观</w:t>
      </w:r>
      <w:r/>
    </w:p>
    <w:p>
      <w:pPr>
        <w:ind w:firstLine="24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(c) 三维时序及位移显像，包括位移平均值、位移标准偏差、位移最大值、位移最小值</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4. 图像存储 (电影) 回放重显，硬盘≥1TB, DVD/USB图像存储,电影回放重现单元≥2200帧</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5.参考信号：心电、心电触发</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6. 输入/输出信号</w:t>
      </w:r>
      <w:r/>
    </w:p>
    <w:p>
      <w:pPr>
        <w:ind w:firstLine="72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输入：VCR、外部视频、RGB彩色视频</w:t>
      </w:r>
      <w:r/>
    </w:p>
    <w:p>
      <w:pPr>
        <w:ind w:firstLine="72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输出：复合视频、RGB 彩色视频/S-视频、HD高清输出</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7. 超声图像及病案管理系统</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7.1病案管理单元包括病人资料、报告、图像等的存储、修改、检索和打印等</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7.2可根据检查要求对工作站参数（存储、压缩、回放）进行编程调节</w:t>
      </w:r>
      <w:r/>
    </w:p>
    <w:p>
      <w:pPr>
        <w:ind w:firstLine="261"/>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7.3报告存储、检索和统计</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8.医学数字图像和通信DICOM3.0接口</w:t>
      </w:r>
      <w:r/>
    </w:p>
    <w:p>
      <w:pPr>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）技术参数及要求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1.系统通用功能</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  OLED显示器≥21.5英寸, 对比度≥22</w:t>
      </w:r>
      <w:r>
        <w:rPr>
          <w:rFonts w:hint="eastAsia" w:ascii="宋体" w:hAnsi="宋体" w:eastAsia="宋体" w:cs="宋体"/>
          <w:color w:val="auto"/>
          <w:sz w:val="24"/>
          <w:szCs w:val="24"/>
          <w:lang w:val="en-US" w:eastAsia="zh-CN"/>
        </w:rPr>
        <w:t xml:space="preserve">00</w:t>
      </w:r>
      <w:r>
        <w:rPr>
          <w:rFonts w:hint="eastAsia" w:ascii="宋体" w:hAnsi="宋体" w:eastAsia="宋体" w:cs="宋体"/>
          <w:color w:val="auto"/>
          <w:sz w:val="24"/>
          <w:szCs w:val="24"/>
          <w:lang w:eastAsia="zh-CN"/>
        </w:rPr>
        <w:t xml:space="preserve">0:1，无闪烁，可上下左右旋转、可前后折叠</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1.2 MaxVue全屏高清成像：高清高分辨力全屏显示16:9超声图像。附图证明</w:t>
      </w:r>
      <w:r/>
    </w:p>
    <w:p>
      <w:pPr>
        <w:ind w:left="690" w:hanging="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1.3操作面板具备液晶触摸屏≥12寸，滑屏翻页功能，操作面板可上下左右进行调整及旋转，最大旋转角度达720度</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1.4探头接口≥4个，全激活可互换通用，接口有背景光设计</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1.5安全性能：符合</w:t>
      </w:r>
      <w:r>
        <w:rPr>
          <w:rFonts w:hint="eastAsia" w:ascii="宋体" w:hAnsi="宋体" w:eastAsia="宋体" w:cs="宋体"/>
          <w:color w:val="auto"/>
          <w:sz w:val="24"/>
          <w:szCs w:val="24"/>
          <w:lang w:val="en-US" w:eastAsia="zh-CN"/>
        </w:rPr>
        <w:t xml:space="preserve">国家</w:t>
      </w:r>
      <w:r>
        <w:rPr>
          <w:rFonts w:hint="eastAsia" w:ascii="宋体" w:hAnsi="宋体" w:eastAsia="宋体" w:cs="宋体"/>
          <w:color w:val="auto"/>
          <w:sz w:val="24"/>
          <w:szCs w:val="24"/>
          <w:lang w:eastAsia="zh-CN"/>
        </w:rPr>
        <w:t xml:space="preserve">安全质量要求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2.探头规格</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 频率：超宽频带探头，频率 1 MHz 到15 MHz</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 二维、彩色、多普勒均可独立变频</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 类型：电子扇扫、线阵、凸阵 、电子矩阵</w:t>
      </w:r>
      <w:r/>
    </w:p>
    <w:p>
      <w:pPr>
        <w:ind w:left="1005" w:hanging="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 电子线阵探头有效阵元数≥256，电子凸阵探头有效阵元数≥192，电子相控阵探头有效阵元数≥80</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扫描深度≥30cm</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探头频率范围：</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三维矩阵纯净波心脏探头：频率 1-5MHZ,≥3000阵元，单探头解决方案</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纯净波凸阵探头（腹部）:频率1-5MHZ</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线阵探头：频率3-12MHZ</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 二维灰阶显像主要参数:</w:t>
      </w:r>
      <w:r/>
    </w:p>
    <w:p>
      <w:pPr>
        <w:ind w:left="771" w:hanging="49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3.1成像速度：相控阵探头，全视野，17cm深度时，帧速度≥60帧/秒</w:t>
      </w:r>
      <w:r/>
    </w:p>
    <w:p>
      <w:pPr>
        <w:ind w:firstLine="192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凸阵探头，全视野，18cm深度时，帧速率≥45帧/秒</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线阵探头，全视野，4cm深度时，帧速率≥140帧/秒</w:t>
      </w:r>
      <w:r/>
    </w:p>
    <w:p>
      <w:pPr>
        <w:ind w:left="812" w:hanging="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3.2心脏探头谐波成像频率个数≥3,小器官血管探头的谐波频率个数≥3个,腹部探头的谐波频率个数≥3个</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 增益调节：TGC增益补偿≥8 段，LGC侧向增益补偿≥4 段，B/M/Color 可独立调节</w:t>
      </w:r>
      <w:r/>
    </w:p>
    <w:p>
      <w:pPr>
        <w:ind w:left="771" w:hanging="49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3.4数字声束形成器：数字式全程动态聚焦，数字式可变孔径及动态变迹，A/D≥12bit</w:t>
      </w:r>
      <w:r/>
    </w:p>
    <w:p>
      <w:pPr>
        <w:ind w:left="771" w:hanging="49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3.5 高分辨率放大：放大时增加信息量，提高分辨率及帧率</w:t>
      </w:r>
      <w:r/>
    </w:p>
    <w:p>
      <w:pPr>
        <w:ind w:left="771" w:hanging="49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3.6二维灰阶成像 </w:t>
      </w:r>
      <w:r>
        <w:rPr>
          <w:rFonts w:ascii="Symbol" w:hAnsi="Symbol" w:eastAsia="Symbol" w:cs="Symbol"/>
          <w:color w:val="auto"/>
          <w:sz w:val="24"/>
          <w:szCs w:val="24"/>
          <w:lang w:eastAsia="zh-CN"/>
        </w:rPr>
        <w:t xml:space="preserve">³</w:t>
      </w:r>
      <w:r>
        <w:rPr>
          <w:rFonts w:hint="eastAsia" w:ascii="宋体" w:hAnsi="宋体" w:eastAsia="宋体" w:cs="宋体"/>
          <w:color w:val="auto"/>
          <w:sz w:val="24"/>
          <w:szCs w:val="24"/>
          <w:lang w:eastAsia="zh-CN"/>
        </w:rPr>
        <w:t xml:space="preserve"> 256 灰阶</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 . 频谱多普勒：</w:t>
      </w:r>
      <w:r/>
    </w:p>
    <w:p>
      <w:pPr>
        <w:ind w:left="771" w:hanging="49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 显示模式：脉冲多普勒 (PWD)、 高脉冲重复频率 (HPRF)、连续波多普勒（CW）</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 最低测量速度：≤ 1mm/s (非噪音信号)</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 Doppler及M型电影回放：</w:t>
      </w:r>
      <w:r>
        <w:rPr>
          <w:rFonts w:ascii="Symbol" w:hAnsi="Symbol" w:eastAsia="Symbol" w:cs="Symbol"/>
          <w:color w:val="auto"/>
          <w:sz w:val="24"/>
          <w:szCs w:val="24"/>
          <w:lang w:eastAsia="zh-CN"/>
        </w:rPr>
        <w:t xml:space="preserve">³</w:t>
      </w:r>
      <w:r>
        <w:rPr>
          <w:rFonts w:hint="eastAsia" w:ascii="宋体" w:hAnsi="宋体" w:eastAsia="宋体" w:cs="宋体"/>
          <w:color w:val="auto"/>
          <w:sz w:val="24"/>
          <w:szCs w:val="24"/>
          <w:lang w:eastAsia="zh-CN"/>
        </w:rPr>
        <w:t xml:space="preserve">48 秒</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 滤波器：高通滤波或低通滤波两种，分级选择</w:t>
      </w:r>
      <w:r/>
    </w:p>
    <w:p>
      <w:pPr>
        <w:ind w:firstLine="12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 取样宽度及位置范围：宽度 0.5mm至20mm多级可调</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 零位移动：</w:t>
      </w:r>
      <w:r>
        <w:rPr>
          <w:rFonts w:ascii="Symbol" w:hAnsi="Symbol" w:eastAsia="Symbol" w:cs="Symbol"/>
          <w:color w:val="auto"/>
          <w:sz w:val="24"/>
          <w:szCs w:val="24"/>
          <w:lang w:eastAsia="zh-CN"/>
        </w:rPr>
        <w:t xml:space="preserve">³</w:t>
      </w:r>
      <w:r>
        <w:rPr>
          <w:rFonts w:hint="eastAsia" w:ascii="宋体" w:hAnsi="宋体" w:eastAsia="宋体" w:cs="宋体"/>
          <w:color w:val="auto"/>
          <w:sz w:val="24"/>
          <w:szCs w:val="24"/>
          <w:lang w:eastAsia="zh-CN"/>
        </w:rPr>
        <w:t xml:space="preserve"> 6级</w:t>
      </w:r>
      <w:r/>
    </w:p>
    <w:p>
      <w:pPr>
        <w:ind w:firstLine="24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显示控制：反转显示 (上/下)、零移位、B-刷新、D 扩展、B/D 扩展，局放及移位</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 彩色多普勒：</w:t>
      </w:r>
      <w:r/>
    </w:p>
    <w:p>
      <w:pPr>
        <w:ind w:left="756" w:hanging="37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 显示方式：速度方差显示、能量显示、速度显示、方差显示</w:t>
      </w:r>
      <w:r/>
    </w:p>
    <w:p>
      <w:pPr>
        <w:ind w:firstLine="36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5.2彩色显示角度: 20-90度选择</w:t>
      </w:r>
      <w:r/>
    </w:p>
    <w:p>
      <w:pPr>
        <w:ind w:left="756" w:hanging="37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5.3 扫描速率：相控阵探头，85度，18 cm 深度时，彩色帧率 </w:t>
      </w:r>
      <w:r>
        <w:rPr>
          <w:rFonts w:ascii="Symbol" w:hAnsi="Symbol" w:eastAsia="Symbol" w:cs="Symbol"/>
          <w:color w:val="auto"/>
          <w:sz w:val="24"/>
          <w:szCs w:val="24"/>
          <w:lang w:eastAsia="zh-CN"/>
        </w:rPr>
        <w:t xml:space="preserve">³</w:t>
      </w:r>
      <w:r>
        <w:rPr>
          <w:rFonts w:hint="eastAsia" w:ascii="宋体" w:hAnsi="宋体" w:eastAsia="宋体" w:cs="宋体"/>
          <w:color w:val="auto"/>
          <w:sz w:val="24"/>
          <w:szCs w:val="24"/>
          <w:lang w:eastAsia="zh-CN"/>
        </w:rPr>
        <w:t xml:space="preserve"> 10 帧/秒</w:t>
      </w:r>
      <w:r/>
    </w:p>
    <w:p>
      <w:pPr>
        <w:ind w:firstLine="36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5.4组织多普勒帧频：相控阵探头，85度，18cm深度，帧频≥110帧/秒</w:t>
      </w:r>
      <w:r/>
    </w:p>
    <w:p>
      <w:pPr>
        <w:ind w:left="756" w:hanging="37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5.5 彩色增强功能：彩色多普勒能量图(CDE/CPI)</w:t>
      </w:r>
      <w:r/>
    </w:p>
    <w:p>
      <w:pPr>
        <w:ind w:left="756" w:hanging="37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5.6 显示控制：零位移动分</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lang w:eastAsia="zh-CN"/>
        </w:rPr>
        <w:t xml:space="preserve">15级，黑白与彩色比较，彩色对比</w:t>
      </w:r>
      <w:r/>
    </w:p>
    <w:p>
      <w:pPr>
        <w:ind w:left="756" w:hanging="376"/>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5.7显示位置调整：线阵扫描感兴趣的图像范围：-20°～ +20°</w:t>
      </w:r>
      <w:r/>
    </w:p>
    <w:p>
      <w:pPr>
        <w:numPr>
          <w:ilvl w:val="0"/>
          <w:numId w:val="4"/>
        </w:numPr>
        <w:spacing w:line="240" w:lineRule="auto"/>
        <w:rPr>
          <w:rFonts w:hint="eastAsia" w:ascii="宋体" w:hAnsi="宋体" w:cs="宋体"/>
          <w:b/>
          <w:bCs/>
          <w:sz w:val="24"/>
          <w:szCs w:val="24"/>
          <w:lang w:val="en-US" w:eastAsia="zh-CN"/>
        </w:rPr>
      </w:pPr>
      <w:r>
        <w:rPr>
          <w:rFonts w:hint="eastAsia" w:ascii="宋体" w:hAnsi="宋体" w:eastAsia="宋体" w:cs="宋体"/>
          <w:color w:val="auto"/>
          <w:sz w:val="24"/>
          <w:szCs w:val="24"/>
          <w:lang w:eastAsia="zh-CN"/>
        </w:rPr>
        <w:t xml:space="preserve">超声功率输出调节: B/M、 PWD、彩色多普勒输出功率分级可调</w:t>
      </w:r>
      <w:r/>
    </w:p>
    <w:p>
      <w:pPr>
        <w:rPr>
          <w:rFonts w:hint="eastAsia" w:ascii="宋体" w:hAnsi="宋体" w:cs="宋体"/>
          <w:b/>
          <w:bCs/>
          <w:sz w:val="24"/>
          <w:szCs w:val="24"/>
          <w:lang w:val="en-US" w:eastAsia="zh-CN"/>
        </w:rPr>
        <w:outlineLvl w:val="9"/>
      </w:pPr>
      <w:r>
        <w:rPr>
          <w:rFonts w:hint="eastAsia" w:ascii="宋体" w:hAnsi="宋体" w:cs="宋体"/>
          <w:b/>
          <w:bCs/>
          <w:sz w:val="24"/>
          <w:szCs w:val="24"/>
          <w:lang w:val="en-US" w:eastAsia="zh-CN"/>
        </w:rPr>
      </w:r>
      <w:r/>
    </w:p>
    <w:p>
      <w:pPr>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采购标的的数量、采购项目交付或者实施的时间和地点： </w:t>
      </w:r>
      <w:r/>
    </w:p>
    <w:tbl>
      <w:tblPr>
        <w:tblStyle w:val="913"/>
        <w:tblpPr w:horzAnchor="page" w:tblpXSpec="center" w:vertAnchor="text" w:tblpY="98"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4"/>
        <w:gridCol w:w="1168"/>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844"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68"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交货期</w:t>
            </w:r>
            <w:r/>
          </w:p>
        </w:tc>
        <w:tc>
          <w:tcPr>
            <w:tcW w:w="1200"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交货地点</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844"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cs="宋体"/>
                <w:color w:val="auto"/>
                <w:sz w:val="24"/>
                <w:szCs w:val="24"/>
                <w:highlight w:val="none"/>
                <w:lang w:val="en-US" w:eastAsia="zh-CN"/>
              </w:rPr>
              <w:t xml:space="preserve">心脏彩色多普勒超声诊断仪</w:t>
            </w:r>
            <w:r/>
          </w:p>
        </w:tc>
        <w:tc>
          <w:tcPr>
            <w:tcW w:w="1168"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台</w:t>
            </w:r>
            <w:r/>
          </w:p>
        </w:tc>
        <w:tc>
          <w:tcPr>
            <w:tcW w:w="1226"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五年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30天</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医院</w:t>
            </w:r>
            <w:r/>
          </w:p>
        </w:tc>
      </w:tr>
    </w:tbl>
    <w:p>
      <w:pPr>
        <w:numPr>
          <w:ilvl w:val="0"/>
          <w:numId w:val="0"/>
        </w:numPr>
        <w:spacing w:line="240" w:lineRule="auto"/>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r>
      <w:r/>
    </w:p>
    <w:p>
      <w:pPr>
        <w:numPr>
          <w:ilvl w:val="0"/>
          <w:numId w:val="0"/>
        </w:numPr>
        <w:spacing w:line="240" w:lineRule="auto"/>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bidi="ar-SA"/>
        </w:rPr>
        <w:t xml:space="preserve">五、</w:t>
      </w:r>
      <w:r>
        <w:rPr>
          <w:rFonts w:hint="eastAsia" w:ascii="宋体" w:hAnsi="宋体" w:eastAsia="宋体" w:cs="宋体"/>
          <w:b/>
          <w:bCs/>
          <w:sz w:val="24"/>
          <w:szCs w:val="24"/>
        </w:rPr>
        <w:t xml:space="preserve">采购标的的验收标准：</w:t>
      </w:r>
      <w:r>
        <w:rPr>
          <w:rFonts w:hint="eastAsia" w:ascii="宋体" w:hAnsi="宋体" w:eastAsia="宋体" w:cs="宋体"/>
          <w:b w:val="0"/>
          <w:bCs w:val="0"/>
          <w:sz w:val="24"/>
          <w:szCs w:val="24"/>
        </w:rPr>
        <w:t xml:space="preserve">现行国家/行业标准，企业标准及</w:t>
      </w:r>
      <w:r>
        <w:rPr>
          <w:rFonts w:hint="eastAsia" w:ascii="宋体" w:hAnsi="宋体" w:cs="宋体"/>
          <w:b w:val="0"/>
          <w:bCs w:val="0"/>
          <w:sz w:val="24"/>
          <w:szCs w:val="24"/>
          <w:highlight w:val="none"/>
          <w:lang w:val="en-US" w:eastAsia="zh-CN"/>
        </w:rPr>
        <w:t xml:space="preserve">本次采购需求</w:t>
      </w:r>
      <w:r>
        <w:rPr>
          <w:rFonts w:hint="eastAsia" w:ascii="宋体" w:hAnsi="宋体" w:eastAsia="宋体" w:cs="宋体"/>
          <w:b w:val="0"/>
          <w:bCs w:val="0"/>
          <w:sz w:val="24"/>
          <w:szCs w:val="24"/>
        </w:rPr>
        <w:t xml:space="preserve">。</w:t>
      </w:r>
      <w:r/>
    </w:p>
    <w:p>
      <w:pPr>
        <w:numPr>
          <w:ilvl w:val="0"/>
          <w:numId w:val="0"/>
        </w:numPr>
        <w:spacing w:line="240" w:lineRule="auto"/>
        <w:rPr>
          <w:rFonts w:hint="eastAsia" w:ascii="宋体" w:hAnsi="宋体" w:cs="宋体"/>
          <w:b/>
          <w:bCs/>
          <w:sz w:val="24"/>
          <w:szCs w:val="24"/>
          <w:lang w:val="en-US" w:eastAsia="zh-CN" w:bidi="ar-SA"/>
        </w:rPr>
        <w:outlineLvl w:val="9"/>
      </w:pPr>
      <w:r>
        <w:rPr>
          <w:rFonts w:hint="eastAsia" w:ascii="宋体" w:hAnsi="宋体" w:cs="宋体"/>
          <w:b/>
          <w:bCs/>
          <w:sz w:val="24"/>
          <w:szCs w:val="24"/>
          <w:lang w:val="en-US" w:eastAsia="zh-CN" w:bidi="ar-SA"/>
        </w:rPr>
      </w:r>
      <w:r/>
    </w:p>
    <w:p>
      <w:pPr>
        <w:numPr>
          <w:ilvl w:val="0"/>
          <w:numId w:val="0"/>
        </w:numPr>
        <w:spacing w:line="240" w:lineRule="auto"/>
        <w:rPr>
          <w:rFonts w:hint="eastAsia" w:ascii="宋体" w:hAnsi="宋体" w:eastAsia="宋体" w:cs="宋体"/>
          <w:b/>
          <w:bCs/>
          <w:sz w:val="24"/>
          <w:szCs w:val="24"/>
        </w:rPr>
        <w:outlineLvl w:val="1"/>
      </w:pPr>
      <w:r>
        <w:rPr>
          <w:rFonts w:hint="eastAsia" w:ascii="宋体" w:hAnsi="宋体" w:cs="宋体"/>
          <w:b/>
          <w:bCs/>
          <w:sz w:val="24"/>
          <w:szCs w:val="24"/>
          <w:lang w:val="en-US" w:eastAsia="zh-CN" w:bidi="ar-SA"/>
        </w:rPr>
        <w:t xml:space="preserve">六、</w:t>
      </w:r>
      <w:r>
        <w:rPr>
          <w:rFonts w:hint="eastAsia" w:ascii="宋体" w:hAnsi="宋体" w:eastAsia="宋体" w:cs="宋体"/>
          <w:b/>
          <w:bCs/>
          <w:sz w:val="24"/>
          <w:szCs w:val="24"/>
          <w:u w:val="single"/>
        </w:rPr>
        <w:t xml:space="preserve">采购需求中必须满足的实质性要求</w:t>
      </w:r>
      <w:r>
        <w:rPr>
          <w:rFonts w:hint="eastAsia" w:ascii="宋体" w:hAnsi="宋体" w:eastAsia="宋体" w:cs="宋体"/>
          <w:b/>
          <w:bCs/>
          <w:sz w:val="24"/>
          <w:szCs w:val="24"/>
        </w:rPr>
        <w:t xml:space="preserve">：</w:t>
      </w:r>
      <w:r/>
    </w:p>
    <w:p>
      <w:pPr>
        <w:numPr>
          <w:ilvl w:val="0"/>
          <w:numId w:val="0"/>
        </w:numPr>
        <w:spacing w:line="240" w:lineRule="auto"/>
        <w:rPr>
          <w:rFonts w:hint="eastAsia" w:ascii="宋体" w:hAnsi="宋体" w:eastAsia="宋体" w:cs="宋体"/>
          <w:b w:val="0"/>
          <w:bCs w:val="0"/>
          <w:sz w:val="24"/>
          <w:szCs w:val="24"/>
        </w:rPr>
      </w:pPr>
      <w:r>
        <w:rPr>
          <w:rFonts w:hint="eastAsia" w:ascii="宋体" w:hAnsi="宋体" w:cs="宋体"/>
          <w:b w:val="0"/>
          <w:bCs w:val="0"/>
          <w:sz w:val="24"/>
          <w:szCs w:val="24"/>
          <w:lang w:val="en-US" w:eastAsia="zh-CN" w:bidi="ar-SA"/>
        </w:rPr>
        <w:t xml:space="preserve">1.</w:t>
      </w:r>
      <w:r>
        <w:rPr>
          <w:rFonts w:hint="eastAsia" w:ascii="宋体" w:hAnsi="宋体" w:eastAsia="宋体" w:cs="宋体"/>
          <w:b w:val="0"/>
          <w:bCs w:val="0"/>
          <w:sz w:val="24"/>
          <w:szCs w:val="24"/>
        </w:rPr>
        <w:t xml:space="preserve">加注“★”符号的关键技术条款，不</w:t>
      </w:r>
      <w:r>
        <w:rPr>
          <w:rFonts w:hint="eastAsia" w:ascii="宋体" w:hAnsi="宋体" w:cs="宋体"/>
          <w:b w:val="0"/>
          <w:bCs w:val="0"/>
          <w:sz w:val="24"/>
          <w:szCs w:val="24"/>
          <w:lang w:val="en-US" w:eastAsia="zh-CN"/>
        </w:rPr>
        <w:t xml:space="preserve">接受</w:t>
      </w:r>
      <w:r>
        <w:rPr>
          <w:rFonts w:hint="eastAsia" w:ascii="宋体" w:hAnsi="宋体" w:eastAsia="宋体" w:cs="宋体"/>
          <w:b w:val="0"/>
          <w:bCs w:val="0"/>
          <w:sz w:val="24"/>
          <w:szCs w:val="24"/>
        </w:rPr>
        <w:t xml:space="preserve">任何负偏离。</w:t>
      </w:r>
      <w:r/>
    </w:p>
    <w:p>
      <w:pPr>
        <w:numPr>
          <w:ilvl w:val="0"/>
          <w:numId w:val="0"/>
        </w:numPr>
        <w:spacing w:line="240" w:lineRule="auto"/>
        <w:rPr>
          <w:rFonts w:hint="eastAsia" w:ascii="宋体" w:hAnsi="宋体" w:eastAsia="宋体" w:cs="宋体"/>
          <w:b w:val="0"/>
          <w:bCs w:val="0"/>
          <w:sz w:val="24"/>
          <w:szCs w:val="24"/>
        </w:rPr>
      </w:pP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rPr>
        <w:t xml:space="preserve">商务要求不</w:t>
      </w:r>
      <w:r>
        <w:rPr>
          <w:rFonts w:hint="eastAsia" w:ascii="宋体" w:hAnsi="宋体" w:cs="宋体"/>
          <w:b w:val="0"/>
          <w:bCs w:val="0"/>
          <w:sz w:val="24"/>
          <w:szCs w:val="24"/>
          <w:lang w:val="en-US" w:eastAsia="zh-CN"/>
        </w:rPr>
        <w:t xml:space="preserve">接受</w:t>
      </w:r>
      <w:r>
        <w:rPr>
          <w:rFonts w:hint="eastAsia" w:ascii="宋体" w:hAnsi="宋体" w:eastAsia="宋体" w:cs="宋体"/>
          <w:b w:val="0"/>
          <w:bCs w:val="0"/>
          <w:sz w:val="24"/>
          <w:szCs w:val="24"/>
        </w:rPr>
        <w:t xml:space="preserve">任何负偏离，须提供《商务响应承诺函》，否则响应无效。</w:t>
      </w:r>
      <w:r/>
    </w:p>
    <w:p>
      <w:pPr>
        <w:spacing w:line="240" w:lineRule="auto"/>
        <w:rPr>
          <w:rFonts w:hint="eastAsia" w:ascii="宋体" w:hAnsi="宋体" w:cs="宋体"/>
          <w:sz w:val="24"/>
          <w:szCs w:val="24"/>
          <w:lang w:val="en-US" w:eastAsia="zh-CN"/>
        </w:rPr>
        <w:outlineLvl w:val="9"/>
      </w:pPr>
      <w:r>
        <w:rPr>
          <w:rFonts w:hint="eastAsia" w:ascii="宋体" w:hAnsi="宋体" w:cs="宋体"/>
          <w:sz w:val="24"/>
          <w:szCs w:val="24"/>
          <w:lang w:val="en-US" w:eastAsia="zh-CN"/>
        </w:rPr>
      </w:r>
      <w:r/>
    </w:p>
    <w:p>
      <w:pPr>
        <w:numPr>
          <w:ilvl w:val="0"/>
          <w:numId w:val="0"/>
        </w:numPr>
        <w:ind w:left="0" w:firstLine="0"/>
        <w:spacing w:line="240" w:lineRule="auto"/>
        <w:rPr>
          <w:rFonts w:hint="eastAsia" w:ascii="宋体" w:hAnsi="宋体" w:cs="宋体"/>
          <w:b/>
          <w:bCs/>
          <w:sz w:val="24"/>
          <w:szCs w:val="24"/>
          <w:lang w:val="en-US" w:eastAsia="zh-CN" w:bidi="ar-SA"/>
        </w:rPr>
        <w:outlineLvl w:val="1"/>
      </w:pPr>
      <w:r>
        <w:rPr>
          <w:rFonts w:hint="eastAsia" w:ascii="宋体" w:hAnsi="宋体" w:cs="宋体"/>
          <w:b/>
          <w:bCs/>
          <w:sz w:val="24"/>
          <w:szCs w:val="24"/>
          <w:lang w:val="en-US" w:eastAsia="zh-CN" w:bidi="ar-SA"/>
        </w:rPr>
        <w:t xml:space="preserve">七、采购标的的其他技术、服务等要求：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lang w:val="en-US" w:eastAsia="zh-CN" w:bidi="ar-SA"/>
        </w:rPr>
        <w:t xml:space="preserve">1.</w:t>
      </w:r>
      <w:r>
        <w:rPr>
          <w:rFonts w:hint="eastAsia" w:ascii="宋体" w:hAnsi="宋体" w:eastAsia="宋体" w:cs="宋体"/>
          <w:b/>
          <w:bCs/>
          <w:sz w:val="24"/>
          <w:szCs w:val="24"/>
          <w:highlight w:val="none"/>
          <w:lang w:val="en-US" w:eastAsia="zh-CN"/>
        </w:rPr>
        <w:t xml:space="preserve">包装要求：</w:t>
      </w:r>
      <w:r>
        <w:rPr>
          <w:rFonts w:hint="eastAsia" w:ascii="宋体" w:hAnsi="宋体" w:eastAsia="宋体" w:cs="宋体"/>
          <w:sz w:val="24"/>
          <w:szCs w:val="24"/>
          <w:highlight w:val="none"/>
          <w:lang w:val="en-US" w:eastAsia="zh-CN"/>
        </w:rPr>
        <w:t xml:space="preserve"> </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highlight w:val="none"/>
          <w:lang w:val="en-US" w:eastAsia="zh-CN"/>
        </w:rPr>
        <w:t xml:space="preserve">商品包装环保要求：应当按《关于印发〈商品包装政府采购需求标准（试行）〉、〈快递包装政府采购需求标准（试行）〉的通知》（财办库〔2020〕123号）文件执行。</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highlight w:val="none"/>
          <w:lang w:val="en-US" w:eastAsia="zh-CN"/>
        </w:rPr>
        <w:t xml:space="preserve">商品包装层数不得超过 3 层，空隙率不大于 40%；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highlight w:val="none"/>
          <w:lang w:val="en-US" w:eastAsia="zh-CN"/>
        </w:rPr>
        <w:t xml:space="preserve">商品包装尽可能使用单一材质的包装材料，如因功能需求必需使用不同材质，不同材质间应便于分离；</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1.4</w:t>
      </w:r>
      <w:r>
        <w:rPr>
          <w:rFonts w:hint="eastAsia" w:ascii="宋体" w:hAnsi="宋体" w:eastAsia="宋体" w:cs="宋体"/>
          <w:sz w:val="24"/>
          <w:szCs w:val="24"/>
          <w:highlight w:val="none"/>
          <w:lang w:val="en-US" w:eastAsia="zh-CN"/>
        </w:rPr>
        <w:t xml:space="preserve">商品包装中铅、汞、镉、六价铬的总含量应不大于100mg/kg；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1.5</w:t>
      </w:r>
      <w:r>
        <w:rPr>
          <w:rFonts w:hint="eastAsia" w:ascii="宋体" w:hAnsi="宋体" w:eastAsia="宋体" w:cs="宋体"/>
          <w:sz w:val="24"/>
          <w:szCs w:val="24"/>
          <w:highlight w:val="none"/>
          <w:lang w:val="en-US" w:eastAsia="zh-CN"/>
        </w:rPr>
        <w:t xml:space="preserve">商品包装印刷使用的油墨中挥发性有机化合物(VOCs)含量应不大于 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1.6</w:t>
      </w:r>
      <w:r>
        <w:rPr>
          <w:rFonts w:hint="eastAsia" w:ascii="宋体" w:hAnsi="宋体" w:eastAsia="宋体" w:cs="宋体"/>
          <w:sz w:val="24"/>
          <w:szCs w:val="24"/>
          <w:highlight w:val="none"/>
          <w:lang w:val="en-US" w:eastAsia="zh-CN"/>
        </w:rPr>
        <w:t xml:space="preserve">塑料材质商品包装上呈现的印刷颜色不得超过6色；</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1.7</w:t>
      </w:r>
      <w:r>
        <w:rPr>
          <w:rFonts w:hint="eastAsia" w:ascii="宋体" w:hAnsi="宋体" w:eastAsia="宋体" w:cs="宋体"/>
          <w:sz w:val="24"/>
          <w:szCs w:val="24"/>
          <w:highlight w:val="none"/>
          <w:lang w:val="en-US" w:eastAsia="zh-CN"/>
        </w:rPr>
        <w:t xml:space="preserve">纸质商品包装应使用75%以上的可再生纤维原料生产；</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1.8</w:t>
      </w:r>
      <w:r>
        <w:rPr>
          <w:rFonts w:hint="eastAsia" w:ascii="宋体" w:hAnsi="宋体" w:eastAsia="宋体" w:cs="宋体"/>
          <w:sz w:val="24"/>
          <w:szCs w:val="24"/>
          <w:highlight w:val="none"/>
          <w:lang w:val="en-US" w:eastAsia="zh-CN"/>
        </w:rPr>
        <w:t xml:space="preserve">木质商品包装的原料应来源于可持续性森林。</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highlight w:val="none"/>
          <w:lang w:val="en-US" w:eastAsia="zh-CN"/>
        </w:rPr>
        <w:t xml:space="preserve">快递包装环保要求：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w:t>
      </w:r>
      <w:r>
        <w:rPr>
          <w:rFonts w:hint="eastAsia" w:ascii="宋体" w:hAnsi="宋体" w:eastAsia="宋体" w:cs="宋体"/>
          <w:sz w:val="24"/>
          <w:szCs w:val="24"/>
          <w:highlight w:val="none"/>
          <w:lang w:val="en-US" w:eastAsia="zh-CN"/>
        </w:rPr>
        <w:t xml:space="preserve">快递包装中重金属（铅、汞、镉、六价铬）总量应不大于 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2.2</w:t>
      </w:r>
      <w:r>
        <w:rPr>
          <w:rFonts w:hint="eastAsia" w:ascii="宋体" w:hAnsi="宋体" w:eastAsia="宋体" w:cs="宋体"/>
          <w:sz w:val="24"/>
          <w:szCs w:val="24"/>
          <w:highlight w:val="none"/>
          <w:lang w:val="en-US" w:eastAsia="zh-CN"/>
        </w:rPr>
        <w:t xml:space="preserve">快递包装印刷使用的油墨中不应添加邻苯二甲酸酯，其挥发性有机化合物(VOCs)含量应不大于5%（以重量计）；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2.3</w:t>
      </w:r>
      <w:r>
        <w:rPr>
          <w:rFonts w:hint="eastAsia" w:ascii="宋体" w:hAnsi="宋体" w:eastAsia="宋体" w:cs="宋体"/>
          <w:sz w:val="24"/>
          <w:szCs w:val="24"/>
          <w:highlight w:val="none"/>
          <w:lang w:val="en-US" w:eastAsia="zh-CN"/>
        </w:rPr>
        <w:t xml:space="preserve">快递包装中使用纸基材的包装材料，纸基材中的有机氯的含量应不大于 150 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2.4</w:t>
      </w:r>
      <w:r>
        <w:rPr>
          <w:rFonts w:hint="eastAsia" w:ascii="宋体" w:hAnsi="宋体" w:eastAsia="宋体" w:cs="宋体"/>
          <w:sz w:val="24"/>
          <w:szCs w:val="24"/>
          <w:highlight w:val="none"/>
          <w:lang w:val="en-US" w:eastAsia="zh-CN"/>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2.5</w:t>
      </w:r>
      <w:r>
        <w:rPr>
          <w:rFonts w:hint="eastAsia" w:ascii="宋体" w:hAnsi="宋体" w:eastAsia="宋体" w:cs="宋体"/>
          <w:sz w:val="24"/>
          <w:szCs w:val="24"/>
          <w:highlight w:val="none"/>
          <w:lang w:val="en-US" w:eastAsia="zh-CN"/>
        </w:rPr>
        <w:t xml:space="preserve">快递中使用的塑料包装袋不得使用聚氯乙烯作为原料，且原料应为单一材质制成，生物分解率大于60%；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2.6</w:t>
      </w:r>
      <w:r>
        <w:rPr>
          <w:rFonts w:hint="eastAsia" w:ascii="宋体" w:hAnsi="宋体" w:eastAsia="宋体" w:cs="宋体"/>
          <w:sz w:val="24"/>
          <w:szCs w:val="24"/>
          <w:highlight w:val="none"/>
          <w:lang w:val="en-US" w:eastAsia="zh-CN"/>
        </w:rPr>
        <w:t xml:space="preserve">快递中使用的充气类填充物不得使用聚氯乙烯作为 原料，且原料为单一材质制成，生物分解率大于60%；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2.7</w:t>
      </w:r>
      <w:r>
        <w:rPr>
          <w:rFonts w:hint="eastAsia" w:ascii="宋体" w:hAnsi="宋体" w:eastAsia="宋体" w:cs="宋体"/>
          <w:sz w:val="24"/>
          <w:szCs w:val="24"/>
          <w:highlight w:val="none"/>
          <w:lang w:val="en-US" w:eastAsia="zh-CN"/>
        </w:rPr>
        <w:t xml:space="preserve">快递中使用的集装袋应为单一材质制成，其重复使用次数应不小于 80 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2.8</w:t>
      </w:r>
      <w:r>
        <w:rPr>
          <w:rFonts w:hint="eastAsia" w:ascii="宋体" w:hAnsi="宋体" w:eastAsia="宋体" w:cs="宋体"/>
          <w:sz w:val="24"/>
          <w:szCs w:val="24"/>
          <w:highlight w:val="none"/>
          <w:lang w:val="en-US" w:eastAsia="zh-CN"/>
        </w:rPr>
        <w:t xml:space="preserve">快递中应使用幅宽不大于45mm 的生物降解胶带；</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2.9</w:t>
      </w:r>
      <w:r>
        <w:rPr>
          <w:rFonts w:hint="eastAsia" w:ascii="宋体" w:hAnsi="宋体" w:eastAsia="宋体" w:cs="宋体"/>
          <w:sz w:val="24"/>
          <w:szCs w:val="24"/>
          <w:highlight w:val="none"/>
          <w:lang w:val="en-US" w:eastAsia="zh-CN"/>
        </w:rPr>
        <w:t xml:space="preserve">快递包装中不得使用溶剂型胶粘剂；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2.10</w:t>
      </w:r>
      <w:r>
        <w:rPr>
          <w:rFonts w:hint="eastAsia" w:ascii="宋体" w:hAnsi="宋体" w:eastAsia="宋体" w:cs="宋体"/>
          <w:sz w:val="24"/>
          <w:szCs w:val="24"/>
          <w:highlight w:val="none"/>
          <w:lang w:val="en-US" w:eastAsia="zh-CN"/>
        </w:rPr>
        <w:t xml:space="preserve">快递应使用电子面单；</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2.11</w:t>
      </w:r>
      <w:r>
        <w:rPr>
          <w:rFonts w:hint="eastAsia" w:ascii="宋体" w:hAnsi="宋体" w:eastAsia="宋体" w:cs="宋体"/>
          <w:sz w:val="24"/>
          <w:szCs w:val="24"/>
          <w:highlight w:val="none"/>
          <w:lang w:val="en-US" w:eastAsia="zh-CN"/>
        </w:rPr>
        <w:t xml:space="preserve">直接使用商品包装作为快递包装的商品，其商品包装满足《商品包装政府采购需求标准（试行）》即可；</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2.12</w:t>
      </w:r>
      <w:r>
        <w:rPr>
          <w:rFonts w:hint="eastAsia" w:ascii="宋体" w:hAnsi="宋体" w:eastAsia="宋体" w:cs="宋体"/>
          <w:sz w:val="24"/>
          <w:szCs w:val="24"/>
          <w:highlight w:val="none"/>
          <w:lang w:val="en-US" w:eastAsia="zh-CN"/>
        </w:rPr>
        <w:t xml:space="preserve">快递包装产品质量和封装方式应符合相关国家或行业标准技术指标要求。</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绿色数据中心</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低挥发性有机化合物产品：</w:t>
      </w:r>
      <w:r>
        <w:rPr>
          <w:rFonts w:hint="eastAsia" w:ascii="宋体" w:hAnsi="宋体" w:eastAsia="宋体" w:cs="宋体"/>
          <w:sz w:val="24"/>
          <w:szCs w:val="24"/>
          <w:highlight w:val="none"/>
          <w:lang w:val="en-US"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节能环保产品</w:t>
      </w:r>
      <w:r>
        <w:rPr>
          <w:rFonts w:hint="eastAsia" w:ascii="宋体" w:hAnsi="宋体" w:eastAsia="宋体" w:cs="宋体"/>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spacing w:line="240" w:lineRule="auto"/>
        <w:rPr>
          <w:rFonts w:hint="eastAsia" w:ascii="宋体" w:hAnsi="宋体" w:cs="宋体"/>
          <w:b w:val="0"/>
          <w:bCs w:val="0"/>
          <w:sz w:val="24"/>
          <w:szCs w:val="24"/>
          <w:lang w:val="en-US" w:eastAsia="zh-CN" w:bidi="ar-SA"/>
        </w:rPr>
      </w:pP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绿色低碳管理目标和服务要求：</w:t>
      </w:r>
      <w:r>
        <w:rPr>
          <w:rFonts w:hint="eastAsia" w:ascii="宋体" w:hAnsi="宋体" w:eastAsia="宋体" w:cs="宋体"/>
          <w:sz w:val="24"/>
          <w:szCs w:val="24"/>
          <w:highlight w:val="none"/>
          <w:lang w:val="en-US" w:eastAsia="zh-CN"/>
        </w:rPr>
        <w:t xml:space="preserve">在物业、合同能源管理等服务类采购项目需求</w:t>
      </w:r>
      <w:r>
        <w:rPr>
          <w:rFonts w:hint="eastAsia" w:ascii="宋体" w:hAnsi="宋体" w:eastAsia="宋体" w:cs="宋体"/>
          <w:b w:val="0"/>
          <w:bCs w:val="0"/>
          <w:sz w:val="24"/>
          <w:szCs w:val="24"/>
          <w:highlight w:val="none"/>
          <w:lang w:val="en-US" w:eastAsia="zh-CN"/>
        </w:rPr>
        <w:t xml:space="preserve">中，要强化绿色低碳管理目标和服务要求，促进绿色产品和服务推广应用。</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7.运输、安装及验收</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7.1 供应商确保设备安全无损地运抵采购人指定现场，并承担设备的运费、保险费、装卸费等费用。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7.2 供应商派出的安装人员应具备相关的专业知识、技术水平、相应资质和能力，熟悉本合同所述货物的规格、技术指标及安装工艺，有足够能力安装本合同的货物并使之达到本合同要求。</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7.3 如供应商提供的设备设有维修软件密码，应保证无条件地为采购人永久免费打开。</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7.4 设备安装、调试、培训结束，采购人对设备试用后进行验收（时间由双方商定），供应商免费派工程师到达现场协助验收工作，填好相应的安装、调试、培训及验收等相关表格并签字。</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7.6 供应商提供设备安装和维修所需的专业工具和辅助材料。</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val="0"/>
          <w:bCs w:val="0"/>
          <w:sz w:val="24"/>
          <w:szCs w:val="24"/>
          <w:lang w:val="en-US" w:eastAsia="zh-CN" w:bidi="ar-SA"/>
        </w:rPr>
        <w:t xml:space="preserve">7.7 验收标准：现行国家/行业标准，企业标准及上述技术规格。</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8.技术培训</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8.1 在安装过程中或安装结束后，供应商工程师或有关人员有义务对采购人用户单位工程师和操作人员进行现场维修、保养、操作培训，解答用户单位人员提出的问题。</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8.2 供应商应派专业技术人员在现场对采购人医院使用人员进行培训指导，在使用一段时间后可根据医院及科室的要求另行安排培训计划。</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8.3供应商提供设备的使用说明和相关要求及注意事项，协助采购人制定设备操作规程。</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9.质保期</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bCs/>
          <w:color w:val="auto"/>
          <w:sz w:val="24"/>
          <w:szCs w:val="24"/>
          <w:lang w:val="en-US" w:eastAsia="zh-CN" w:bidi="ar-SA"/>
        </w:rPr>
        <w:t xml:space="preserve">上述设备整机免费原</w:t>
      </w:r>
      <w:r>
        <w:rPr>
          <w:rFonts w:hint="eastAsia" w:ascii="宋体" w:hAnsi="宋体" w:cs="宋体"/>
          <w:b/>
          <w:bCs/>
          <w:color w:val="auto"/>
          <w:sz w:val="24"/>
          <w:szCs w:val="24"/>
          <w:highlight w:val="none"/>
          <w:lang w:val="en-US" w:eastAsia="zh-CN" w:bidi="ar-SA"/>
        </w:rPr>
        <w:t xml:space="preserve">厂质保五年</w:t>
      </w:r>
      <w:r>
        <w:rPr>
          <w:rFonts w:hint="eastAsia" w:ascii="宋体" w:hAnsi="宋体" w:cs="宋体"/>
          <w:b w:val="0"/>
          <w:bCs w:val="0"/>
          <w:color w:val="auto"/>
          <w:sz w:val="24"/>
          <w:szCs w:val="24"/>
          <w:lang w:val="en-US" w:eastAsia="zh-CN" w:bidi="ar-SA"/>
        </w:rPr>
        <w:t xml:space="preserve">，设</w:t>
      </w:r>
      <w:r>
        <w:rPr>
          <w:rFonts w:hint="eastAsia" w:ascii="宋体" w:hAnsi="宋体" w:cs="宋体"/>
          <w:b w:val="0"/>
          <w:bCs w:val="0"/>
          <w:sz w:val="24"/>
          <w:szCs w:val="24"/>
          <w:lang w:val="en-US" w:eastAsia="zh-CN" w:bidi="ar-SA"/>
        </w:rPr>
        <w:t xml:space="preserve">备验收时须提供有效的质保证明材料；供应商应按生产厂家的保修规定和响应文件说明的服务承诺做好免费保修等服务；保修期内免收材料及人工等一切费用。保修期满后，维修方须终身提供维修服务且只收取维修材料成本费，免收其他一切费用。</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10.售后服务</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10.1 供应商确保设备保修期内开机率为95%，如设备故障停机率超过5%（一年按365天计算，每年18天），每超过一天，保修期延长两周。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10.2 保修期结束后，中标人提供维修服务，只收配件费用。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10.3无论在保修期内还是保修期外，中标人必须上门维修，中标人工程师至采购人单位维修本设备，必须事先与医院设备耗材科取得联系，并做相应登记；在维修过程中与采购人工程师共同完成维修工作。否则引起的一切责任由中标人负责。提供质保期外全包维修服务、零配件、耗材优惠供应方案。质保期内定期对设备进行免费保养和维护，提供终身维护和保养服务（请提供技术援助电话和售后服务电话）。</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10.4在安装过程中或安装结束后，中标人工程师或有关人员有义务对采购人工程师和操作人员进行现场维修、保养、操作培训并提供快捷操作指南（过塑封好，挂在设备上），解答采购方人员提出的问题。必要时提供正规培训班培训，确保操作人员掌握完成日常工作所需的基本操作方法为止，工程师掌握基本的维护保养操作技术为止。并负责承担一切费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10.5中标人接故障通知1小时内响应，一般问题在4小时内解决；遇到大的问题，6小时内派技术人员到达现场维修。</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11.资料、备件及其他</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11.1资料：中标人需在交货后五个工作日内免费提供全套资料，含产品合格证（国产设备）、出厂计量合格证（强检设备）、操作手册、维修手册（含详细电路图）、如技术资料不全，采购人有权不支付货款或退货，因此产生的损失由中标人自行承担。</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11.2若设备无法在规定时间完成维修工作的，提供备用件。</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11.3投标产品必须是整套全新的符合国家有关质量标准制造，满足本采购需求的技术指标的设备。否则，采购人有权解除合同，同时报有关监督管理部门处理备案，由此造成采购人的经济损失由中标人全部承担赔偿。</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numPr>
          <w:ilvl w:val="0"/>
          <w:numId w:val="0"/>
        </w:numPr>
        <w:ind w:left="0" w:firstLine="0"/>
        <w:spacing w:line="240" w:lineRule="auto"/>
        <w:rPr>
          <w:rFonts w:hint="eastAsia" w:ascii="宋体" w:hAnsi="宋体" w:cs="宋体"/>
          <w:b/>
          <w:bCs/>
          <w:sz w:val="24"/>
          <w:szCs w:val="24"/>
          <w:lang w:eastAsia="zh-CN"/>
        </w:rPr>
        <w:outlineLvl w:val="1"/>
      </w:pPr>
      <w:r>
        <w:rPr>
          <w:rFonts w:hint="eastAsia" w:ascii="宋体" w:hAnsi="宋体" w:cs="宋体"/>
          <w:b/>
          <w:bCs/>
          <w:sz w:val="24"/>
          <w:szCs w:val="24"/>
          <w:lang w:val="en-US" w:eastAsia="zh-CN" w:bidi="ar-SA"/>
        </w:rPr>
        <w:t xml:space="preserve">八、</w:t>
      </w:r>
      <w:r>
        <w:rPr>
          <w:rFonts w:hint="eastAsia" w:ascii="宋体" w:hAnsi="宋体" w:eastAsia="宋体" w:cs="宋体"/>
          <w:b/>
          <w:bCs/>
          <w:sz w:val="24"/>
          <w:szCs w:val="24"/>
        </w:rPr>
        <w:t xml:space="preserve">付款方式</w:t>
      </w:r>
      <w:r>
        <w:rPr>
          <w:rFonts w:hint="eastAsia" w:ascii="宋体" w:hAnsi="宋体" w:cs="宋体"/>
          <w:b/>
          <w:bCs/>
          <w:sz w:val="24"/>
          <w:szCs w:val="24"/>
          <w:lang w:eastAsia="zh-CN"/>
        </w:rPr>
        <w:t xml:space="preserve">：</w:t>
      </w:r>
      <w:r/>
    </w:p>
    <w:p>
      <w:pPr>
        <w:numPr>
          <w:ilvl w:val="0"/>
          <w:numId w:val="0"/>
        </w:numPr>
        <w:ind w:left="0"/>
        <w:spacing w:line="240" w:lineRule="auto"/>
        <w:rPr>
          <w:rFonts w:hint="eastAsia" w:ascii="宋体" w:hAnsi="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设备到货、安装、调试、培训、试运行、验收合格后30日内凭发票支付合同总款的90%，设备使用</w:t>
      </w:r>
      <w:r>
        <w:rPr>
          <w:rFonts w:hint="eastAsia" w:ascii="宋体" w:hAnsi="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lang w:val="en-US" w:eastAsia="zh-CN"/>
        </w:rPr>
        <w:t xml:space="preserve">3年</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支付合同款的8%，设备使用满5年</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支付合同款的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%。以上付款均不计息。</w:t>
      </w:r>
      <w:r/>
    </w:p>
    <w:p>
      <w:pPr>
        <w:numPr>
          <w:ilvl w:val="0"/>
          <w:numId w:val="0"/>
        </w:numPr>
        <w:ind w:left="0"/>
        <w:spacing w:line="240" w:lineRule="auto"/>
        <w:rPr>
          <w:rFonts w:hint="eastAsia" w:ascii="宋体" w:hAnsi="宋体" w:cs="宋体"/>
          <w:sz w:val="24"/>
          <w:szCs w:val="24"/>
          <w:lang w:val="en-US" w:eastAsia="zh-CN"/>
        </w:rPr>
      </w:pPr>
      <w:r>
        <w:rPr>
          <w:rFonts w:hint="eastAsia" w:ascii="宋体" w:hAnsi="宋体" w:cs="宋体"/>
          <w:sz w:val="24"/>
          <w:szCs w:val="24"/>
          <w:lang w:val="en-US" w:eastAsia="zh-CN" w:bidi="ar-SA"/>
        </w:rPr>
        <w:t xml:space="preserve">2.</w:t>
      </w:r>
      <w:r>
        <w:rPr>
          <w:rFonts w:hint="eastAsia" w:ascii="宋体" w:hAnsi="宋体" w:eastAsia="宋体" w:cs="宋体"/>
          <w:sz w:val="24"/>
          <w:szCs w:val="24"/>
          <w:highlight w:val="none"/>
          <w:lang w:val="en-US" w:eastAsia="zh-CN"/>
        </w:rPr>
        <w:t xml:space="preserve">采购资金由</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支付，</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向</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开具合法票据，通过信函或当面送达</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，发票不得由第三方代开，</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未提供合法票据的，</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有权拒绝支付合同款项，产生的损失由</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承担。</w:t>
      </w:r>
      <w:r/>
    </w:p>
    <w:p>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numPr>
          <w:ilvl w:val="0"/>
          <w:numId w:val="0"/>
        </w:numPr>
        <w:spacing w:line="240" w:lineRule="auto"/>
        <w:rPr>
          <w:rFonts w:hint="eastAsia" w:ascii="宋体" w:hAnsi="宋体" w:eastAsia="宋体" w:cs="宋体"/>
          <w:sz w:val="24"/>
          <w:szCs w:val="24"/>
        </w:rPr>
        <w:outlineLvl w:val="1"/>
      </w:pPr>
      <w:r>
        <w:rPr>
          <w:rFonts w:hint="eastAsia" w:ascii="宋体" w:hAnsi="宋体" w:eastAsia="宋体" w:cs="宋体"/>
          <w:b/>
          <w:bCs/>
          <w:sz w:val="24"/>
          <w:szCs w:val="24"/>
          <w:lang w:val="en-US" w:eastAsia="zh-CN" w:bidi="ar-SA"/>
        </w:rPr>
        <w:t xml:space="preserve">九、</w:t>
      </w:r>
      <w:r>
        <w:rPr>
          <w:rFonts w:hint="eastAsia" w:ascii="宋体" w:hAnsi="宋体" w:eastAsia="宋体" w:cs="宋体"/>
          <w:b/>
          <w:bCs/>
          <w:sz w:val="24"/>
          <w:szCs w:val="24"/>
        </w:rPr>
        <w:t xml:space="preserve">履约保证金：</w:t>
      </w:r>
      <w:r>
        <w:rPr>
          <w:rFonts w:hint="eastAsia" w:ascii="宋体" w:hAnsi="宋体" w:eastAsia="宋体" w:cs="宋体"/>
          <w:sz w:val="24"/>
          <w:szCs w:val="24"/>
        </w:rPr>
        <w:t xml:space="preserve">本项目免收履约保证金。</w:t>
      </w:r>
      <w:r/>
    </w:p>
    <w:p>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pageBreakBefore w:val="0"/>
        <w:spacing w:line="240" w:lineRule="auto"/>
        <w:rPr>
          <w:rFonts w:hint="eastAsia" w:ascii="黑体" w:hAnsi="Arial" w:eastAsia="黑体" w:cs="Arial"/>
          <w:b/>
          <w:bCs/>
          <w:color w:val="auto"/>
          <w:sz w:val="44"/>
          <w:szCs w:val="44"/>
          <w:highlight w:val="none"/>
          <w:lang w:eastAsia="zh-CN"/>
        </w:rPr>
        <w:outlineLvl w:val="0"/>
      </w:pPr>
      <w:r/>
      <w:bookmarkStart w:id="312" w:name="_Toc5981"/>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2"/>
      <w:r/>
      <w:r/>
    </w:p>
    <w:p>
      <w:pPr>
        <w:pStyle w:val="917"/>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3" w:name="_Toc30021"/>
      <w:r/>
      <w:r/>
    </w:p>
    <w:p>
      <w:pPr>
        <w:pStyle w:val="917"/>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917"/>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3"/>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4" w:name="_Toc22209"/>
      <w:r/>
      <w:bookmarkStart w:id="315" w:name="_Toc5843"/>
      <w:r>
        <w:rPr>
          <w:rFonts w:hint="eastAsia" w:ascii="宋体" w:hAnsi="宋体" w:eastAsia="宋体" w:cs="宋体"/>
          <w:b/>
          <w:bCs/>
          <w:color w:val="auto"/>
          <w:sz w:val="28"/>
          <w:szCs w:val="28"/>
          <w:highlight w:val="none"/>
        </w:rPr>
        <w:t xml:space="preserve">第一节 政府采购合同协议书</w:t>
      </w:r>
      <w:bookmarkEnd w:id="314"/>
      <w:r/>
      <w:bookmarkEnd w:id="315"/>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918"/>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5"/>
        </w:numPr>
        <w:ind w:firstLine="422"/>
        <w:pageBreakBefore w:val="0"/>
        <w:spacing w:before="0" w:line="360" w:lineRule="auto"/>
        <w:rPr>
          <w:rFonts w:hint="eastAsia" w:ascii="宋体" w:hAnsi="宋体" w:eastAsia="宋体" w:cs="宋体"/>
          <w:b/>
          <w:color w:val="auto"/>
          <w:szCs w:val="21"/>
          <w:highlight w:val="none"/>
        </w:rPr>
        <w:outlineLvl w:val="9"/>
      </w:pPr>
      <w:r/>
      <w:bookmarkStart w:id="316" w:name="_Toc11608"/>
      <w:r>
        <w:rPr>
          <w:rFonts w:hint="eastAsia" w:ascii="宋体" w:hAnsi="宋体" w:eastAsia="宋体" w:cs="宋体"/>
          <w:b/>
          <w:color w:val="auto"/>
          <w:szCs w:val="21"/>
          <w:highlight w:val="none"/>
        </w:rPr>
        <w:t xml:space="preserve">项目信息</w:t>
      </w:r>
      <w:bookmarkEnd w:id="316"/>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941"/>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941"/>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941"/>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41"/>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941"/>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941"/>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941"/>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941"/>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941"/>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941"/>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941"/>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941"/>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941"/>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941"/>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941"/>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5"/>
        </w:numPr>
        <w:ind w:firstLine="422"/>
        <w:pageBreakBefore w:val="0"/>
        <w:spacing w:before="0" w:line="360" w:lineRule="auto"/>
        <w:rPr>
          <w:rFonts w:hint="eastAsia" w:ascii="宋体" w:hAnsi="宋体" w:eastAsia="宋体" w:cs="宋体"/>
          <w:b/>
          <w:color w:val="auto"/>
          <w:szCs w:val="21"/>
          <w:highlight w:val="none"/>
        </w:rPr>
        <w:outlineLvl w:val="9"/>
      </w:pPr>
      <w:r/>
      <w:bookmarkStart w:id="317" w:name="_Toc18353"/>
      <w:r>
        <w:rPr>
          <w:rFonts w:hint="eastAsia" w:ascii="宋体" w:hAnsi="宋体" w:eastAsia="宋体" w:cs="宋体"/>
          <w:b/>
          <w:color w:val="auto"/>
          <w:szCs w:val="21"/>
          <w:highlight w:val="none"/>
        </w:rPr>
        <w:t xml:space="preserve">合同金额</w:t>
      </w:r>
      <w:bookmarkEnd w:id="317"/>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942"/>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5"/>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18" w:name="_Toc12443"/>
      <w:r>
        <w:rPr>
          <w:rFonts w:hint="eastAsia" w:ascii="宋体" w:hAnsi="宋体" w:eastAsia="宋体" w:cs="宋体"/>
          <w:b/>
          <w:bCs w:val="0"/>
          <w:color w:val="auto"/>
          <w:szCs w:val="21"/>
          <w:highlight w:val="none"/>
        </w:rPr>
        <w:t xml:space="preserve">合同履行</w:t>
      </w:r>
      <w:bookmarkEnd w:id="318"/>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941"/>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941"/>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5"/>
        </w:numPr>
        <w:ind w:firstLine="422"/>
        <w:pageBreakBefore w:val="0"/>
        <w:spacing w:before="0" w:line="360" w:lineRule="auto"/>
        <w:rPr>
          <w:rFonts w:hint="eastAsia" w:ascii="宋体" w:hAnsi="宋体" w:eastAsia="宋体" w:cs="宋体"/>
          <w:b/>
          <w:color w:val="auto"/>
          <w:szCs w:val="21"/>
          <w:highlight w:val="none"/>
        </w:rPr>
        <w:outlineLvl w:val="9"/>
      </w:pPr>
      <w:r/>
      <w:bookmarkStart w:id="319" w:name="_Toc6378"/>
      <w:r>
        <w:rPr>
          <w:rFonts w:hint="eastAsia" w:ascii="宋体" w:hAnsi="宋体" w:eastAsia="宋体" w:cs="宋体"/>
          <w:b/>
          <w:color w:val="auto"/>
          <w:szCs w:val="21"/>
          <w:highlight w:val="none"/>
        </w:rPr>
        <w:t xml:space="preserve">合同验收</w:t>
      </w:r>
      <w:bookmarkEnd w:id="319"/>
      <w:r/>
      <w:r/>
    </w:p>
    <w:p>
      <w:pPr>
        <w:numPr>
          <w:ilvl w:val="0"/>
          <w:numId w:val="6"/>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941"/>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5"/>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22020"/>
      <w:r>
        <w:rPr>
          <w:rFonts w:hint="eastAsia" w:ascii="宋体" w:hAnsi="宋体" w:eastAsia="宋体" w:cs="宋体"/>
          <w:b/>
          <w:color w:val="auto"/>
          <w:szCs w:val="21"/>
          <w:highlight w:val="none"/>
        </w:rPr>
        <w:t xml:space="preserve">组成合同的文件</w:t>
      </w:r>
      <w:bookmarkEnd w:id="320"/>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941"/>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5"/>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24341"/>
      <w:r>
        <w:rPr>
          <w:rFonts w:hint="eastAsia" w:ascii="宋体" w:hAnsi="宋体" w:eastAsia="宋体" w:cs="宋体"/>
          <w:b/>
          <w:color w:val="auto"/>
          <w:szCs w:val="21"/>
          <w:highlight w:val="none"/>
        </w:rPr>
        <w:t xml:space="preserve">合同生效</w:t>
      </w:r>
      <w:bookmarkEnd w:id="321"/>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5"/>
        </w:numPr>
        <w:ind w:firstLine="422"/>
        <w:pageBreakBefore w:val="0"/>
        <w:spacing w:before="0" w:line="360" w:lineRule="auto"/>
        <w:rPr>
          <w:rFonts w:hint="eastAsia" w:ascii="宋体" w:hAnsi="宋体" w:eastAsia="宋体" w:cs="宋体"/>
          <w:b/>
          <w:color w:val="auto"/>
          <w:szCs w:val="21"/>
          <w:highlight w:val="none"/>
        </w:rPr>
        <w:outlineLvl w:val="9"/>
      </w:pPr>
      <w:r/>
      <w:bookmarkStart w:id="322" w:name="_Toc23415"/>
      <w:r>
        <w:rPr>
          <w:rFonts w:hint="eastAsia" w:ascii="宋体" w:hAnsi="宋体" w:eastAsia="宋体" w:cs="宋体"/>
          <w:b/>
          <w:color w:val="auto"/>
          <w:szCs w:val="21"/>
          <w:highlight w:val="none"/>
        </w:rPr>
        <w:t xml:space="preserve">合同份数</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942"/>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942"/>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91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918"/>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3" w:name="_Toc27624"/>
      <w:r/>
      <w:bookmarkStart w:id="324" w:name="_Toc21891"/>
      <w:r>
        <w:rPr>
          <w:rFonts w:hint="eastAsia" w:ascii="宋体" w:hAnsi="宋体" w:eastAsia="宋体" w:cs="宋体"/>
          <w:b/>
          <w:bCs/>
          <w:color w:val="auto"/>
          <w:sz w:val="28"/>
          <w:szCs w:val="28"/>
          <w:highlight w:val="none"/>
        </w:rPr>
        <w:t xml:space="preserve">第二节 政府采购合同通用条款</w:t>
      </w:r>
      <w:bookmarkEnd w:id="323"/>
      <w:r/>
      <w:bookmarkEnd w:id="324"/>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5"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7"/>
        </w:numPr>
        <w:jc w:val="left"/>
        <w:pageBreakBefore w:val="0"/>
        <w:spacing w:before="0" w:line="360" w:lineRule="auto"/>
        <w:rPr>
          <w:rFonts w:hint="eastAsia" w:ascii="宋体" w:hAnsi="宋体" w:eastAsia="宋体" w:cs="宋体"/>
          <w:b/>
          <w:bCs/>
          <w:color w:val="auto"/>
          <w:sz w:val="24"/>
          <w:highlight w:val="none"/>
        </w:rPr>
        <w:outlineLvl w:val="9"/>
      </w:pPr>
      <w:r/>
      <w:bookmarkStart w:id="326" w:name="_Toc1083"/>
      <w:r>
        <w:rPr>
          <w:rFonts w:hint="eastAsia" w:ascii="宋体" w:hAnsi="宋体" w:eastAsia="宋体" w:cs="宋体"/>
          <w:b/>
          <w:color w:val="auto"/>
          <w:sz w:val="24"/>
          <w:highlight w:val="none"/>
        </w:rPr>
        <w:t xml:space="preserve">合同标的及金额</w:t>
      </w:r>
      <w:bookmarkEnd w:id="326"/>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27"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2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28"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2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29"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917"/>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917"/>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8"/>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0"/>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1"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941"/>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2"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2"/>
      <w:r/>
      <w:r/>
    </w:p>
    <w:p>
      <w:pPr>
        <w:pStyle w:val="921"/>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921"/>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4"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5"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5"/>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6"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36"/>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37"/>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917"/>
        <w:pageBreakBefore w:val="0"/>
        <w:spacing w:after="0" w:line="360" w:lineRule="auto"/>
        <w:rPr>
          <w:rFonts w:hint="eastAsia" w:ascii="宋体" w:hAnsi="宋体" w:eastAsia="宋体" w:cs="宋体"/>
          <w:b/>
          <w:bCs/>
          <w:color w:val="auto"/>
          <w:sz w:val="24"/>
          <w:szCs w:val="24"/>
          <w:highlight w:val="none"/>
        </w:rPr>
        <w:outlineLvl w:val="9"/>
      </w:pPr>
      <w:r/>
      <w:bookmarkStart w:id="338"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39"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3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941"/>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0"/>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9"/>
        </w:numPr>
        <w:jc w:val="left"/>
        <w:pageBreakBefore w:val="0"/>
        <w:spacing w:before="0" w:line="360" w:lineRule="auto"/>
        <w:rPr>
          <w:rFonts w:hint="eastAsia" w:ascii="宋体" w:hAnsi="宋体" w:eastAsia="宋体" w:cs="宋体"/>
          <w:b/>
          <w:color w:val="auto"/>
          <w:sz w:val="24"/>
          <w:highlight w:val="none"/>
        </w:rPr>
        <w:outlineLvl w:val="9"/>
      </w:pPr>
      <w:r/>
      <w:bookmarkStart w:id="341"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1"/>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941"/>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2"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3"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4"/>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5"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5"/>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17"/>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46"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46"/>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47"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47"/>
      <w:r/>
      <w:r/>
    </w:p>
    <w:p>
      <w:pPr>
        <w:pStyle w:val="941"/>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941"/>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0"/>
        </w:numPr>
        <w:jc w:val="left"/>
        <w:pageBreakBefore w:val="0"/>
        <w:spacing w:before="0" w:line="360" w:lineRule="auto"/>
        <w:rPr>
          <w:rFonts w:hint="eastAsia" w:ascii="宋体" w:hAnsi="宋体" w:eastAsia="宋体" w:cs="宋体"/>
          <w:b/>
          <w:bCs/>
          <w:color w:val="auto"/>
          <w:sz w:val="24"/>
          <w:highlight w:val="none"/>
        </w:rPr>
        <w:outlineLvl w:val="9"/>
      </w:pPr>
      <w:r/>
      <w:bookmarkStart w:id="348" w:name="_Toc7670"/>
      <w:r>
        <w:rPr>
          <w:rFonts w:hint="eastAsia" w:ascii="宋体" w:hAnsi="宋体" w:eastAsia="宋体" w:cs="宋体"/>
          <w:b/>
          <w:bCs/>
          <w:color w:val="auto"/>
          <w:sz w:val="24"/>
          <w:highlight w:val="none"/>
        </w:rPr>
        <w:t xml:space="preserve">合同未尽事项</w:t>
      </w:r>
      <w:bookmarkEnd w:id="348"/>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49"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0" w:name="_Toc6892"/>
      <w:r>
        <w:rPr>
          <w:rFonts w:hint="eastAsia" w:ascii="宋体" w:hAnsi="宋体" w:eastAsia="宋体" w:cs="宋体"/>
          <w:b/>
          <w:bCs/>
          <w:color w:val="auto"/>
          <w:sz w:val="28"/>
          <w:szCs w:val="28"/>
          <w:highlight w:val="none"/>
        </w:rPr>
        <w:t xml:space="preserve">第三节 政府采购合同专用条款</w:t>
      </w:r>
      <w:bookmarkEnd w:id="349"/>
      <w:r/>
      <w:bookmarkEnd w:id="350"/>
      <w:r/>
      <w:r/>
    </w:p>
    <w:tbl>
      <w:tblPr>
        <w:tblStyle w:val="913"/>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1" w:name="_Toc9683"/>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51"/>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2" w:name="_Toc25842"/>
      <w:r/>
      <w:bookmarkStart w:id="353" w:name="_Toc428"/>
      <w:r/>
      <w:bookmarkStart w:id="354" w:name="_Toc12686"/>
      <w:r/>
      <w:bookmarkStart w:id="355" w:name="_Toc19303"/>
      <w:r>
        <w:rPr>
          <w:rFonts w:hint="eastAsia" w:ascii="宋体" w:hAnsi="宋体" w:eastAsia="宋体" w:cs="宋体"/>
          <w:b/>
          <w:bCs/>
          <w:color w:val="auto"/>
          <w:sz w:val="24"/>
          <w:szCs w:val="24"/>
          <w:highlight w:val="none"/>
          <w:lang w:val="en-US" w:eastAsia="zh-CN"/>
        </w:rPr>
        <w:t xml:space="preserve">一、评审方法</w:t>
      </w:r>
      <w:bookmarkEnd w:id="352"/>
      <w:r/>
      <w:bookmarkEnd w:id="353"/>
      <w:r/>
      <w:bookmarkEnd w:id="354"/>
      <w:r/>
      <w:bookmarkEnd w:id="355"/>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6" w:name="_Toc13550"/>
      <w:r/>
      <w:bookmarkStart w:id="357" w:name="_Toc29321"/>
      <w:r/>
      <w:bookmarkStart w:id="358" w:name="_Toc24984"/>
      <w:r>
        <w:rPr>
          <w:rFonts w:hint="eastAsia" w:ascii="宋体" w:hAnsi="宋体" w:eastAsia="宋体" w:cs="宋体"/>
          <w:b/>
          <w:bCs/>
          <w:color w:val="auto"/>
          <w:sz w:val="24"/>
          <w:szCs w:val="24"/>
          <w:highlight w:val="none"/>
          <w:lang w:eastAsia="zh-CN"/>
        </w:rPr>
        <w:t xml:space="preserve">1.资格审查</w:t>
      </w:r>
      <w:bookmarkEnd w:id="356"/>
      <w:r/>
      <w:bookmarkEnd w:id="357"/>
      <w:r/>
      <w:bookmarkEnd w:id="358"/>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9" w:name="_Toc1685"/>
      <w:r/>
      <w:bookmarkStart w:id="360" w:name="_Toc11698"/>
      <w:r/>
      <w:bookmarkStart w:id="361" w:name="_Toc24372"/>
      <w:r>
        <w:rPr>
          <w:rFonts w:hint="eastAsia" w:ascii="宋体" w:hAnsi="宋体" w:eastAsia="宋体" w:cs="宋体"/>
          <w:b/>
          <w:bCs/>
          <w:color w:val="auto"/>
          <w:sz w:val="24"/>
          <w:szCs w:val="24"/>
          <w:highlight w:val="none"/>
          <w:lang w:eastAsia="zh-CN"/>
        </w:rPr>
        <w:t xml:space="preserve">2.符合性审查</w:t>
      </w:r>
      <w:bookmarkEnd w:id="359"/>
      <w:r/>
      <w:bookmarkEnd w:id="360"/>
      <w:r/>
      <w:bookmarkEnd w:id="361"/>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2" w:name="_Toc5830"/>
      <w:r/>
      <w:bookmarkStart w:id="363" w:name="_Toc4205"/>
      <w:r/>
      <w:bookmarkStart w:id="364" w:name="_Toc23724"/>
      <w:r>
        <w:rPr>
          <w:rFonts w:hint="eastAsia" w:ascii="宋体" w:hAnsi="宋体" w:eastAsia="宋体" w:cs="宋体"/>
          <w:b/>
          <w:bCs/>
          <w:color w:val="auto"/>
          <w:sz w:val="24"/>
          <w:szCs w:val="24"/>
          <w:highlight w:val="none"/>
          <w:lang w:eastAsia="zh-CN"/>
        </w:rPr>
        <w:t xml:space="preserve">3.响应文件的澄清</w:t>
      </w:r>
      <w:bookmarkEnd w:id="362"/>
      <w:r/>
      <w:bookmarkEnd w:id="363"/>
      <w:r/>
      <w:bookmarkEnd w:id="364"/>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5" w:name="_Toc11158"/>
      <w:r/>
      <w:bookmarkStart w:id="366" w:name="_Toc978"/>
      <w:r/>
      <w:bookmarkStart w:id="367" w:name="_Toc7715"/>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5"/>
      <w:r/>
      <w:bookmarkEnd w:id="366"/>
      <w:r/>
      <w:bookmarkEnd w:id="367"/>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8" w:name="_Toc24376"/>
      <w:r/>
      <w:bookmarkStart w:id="369" w:name="_Toc20672"/>
      <w:r/>
      <w:bookmarkStart w:id="370"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68"/>
      <w:r/>
      <w:bookmarkEnd w:id="369"/>
      <w:r/>
      <w:bookmarkEnd w:id="370"/>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1" w:name="_Toc22905"/>
      <w:r/>
      <w:bookmarkStart w:id="372" w:name="_Toc28930"/>
      <w:r/>
      <w:bookmarkStart w:id="373" w:name="_Toc31550"/>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1"/>
      <w:r/>
      <w:bookmarkEnd w:id="372"/>
      <w:r/>
      <w:bookmarkEnd w:id="373"/>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4" w:name="_Toc20552"/>
      <w:r/>
      <w:bookmarkStart w:id="375" w:name="_Toc1035"/>
      <w:r/>
      <w:bookmarkStart w:id="376" w:name="_Toc29696"/>
      <w:r/>
      <w:bookmarkStart w:id="377" w:name="_Toc2151"/>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4"/>
      <w:r/>
      <w:bookmarkEnd w:id="375"/>
      <w:r/>
      <w:bookmarkEnd w:id="376"/>
      <w:r/>
      <w:bookmarkEnd w:id="377"/>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8" w:name="_Toc24573"/>
      <w:r>
        <w:rPr>
          <w:rFonts w:hint="eastAsia" w:ascii="宋体" w:hAnsi="宋体" w:eastAsia="宋体" w:cs="Times New Roman"/>
          <w:b/>
          <w:bCs/>
          <w:color w:val="auto"/>
          <w:sz w:val="24"/>
          <w:szCs w:val="24"/>
          <w:highlight w:val="none"/>
          <w:lang w:eastAsia="zh-CN"/>
        </w:rPr>
        <w:t xml:space="preserve">1.小微型企业价格扣除</w:t>
      </w:r>
      <w:bookmarkEnd w:id="378"/>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（2）供应商需按照采购文件的要求提供相应的《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9" w:name="_Toc13263"/>
      <w:r>
        <w:rPr>
          <w:rFonts w:hint="eastAsia" w:ascii="宋体" w:hAnsi="宋体" w:eastAsia="宋体" w:cs="Times New Roman"/>
          <w:b/>
          <w:bCs/>
          <w:color w:val="auto"/>
          <w:sz w:val="24"/>
          <w:szCs w:val="24"/>
          <w:highlight w:val="none"/>
          <w:lang w:eastAsia="zh-CN"/>
        </w:rPr>
        <w:t xml:space="preserve">2.残疾人福利单位价格扣除</w:t>
      </w:r>
      <w:bookmarkEnd w:id="379"/>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（2）残疾人福利单位需按照采购文件的要求提供《残疾人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0" w:name="_Toc20871"/>
      <w:r>
        <w:rPr>
          <w:rFonts w:hint="eastAsia" w:ascii="宋体" w:hAnsi="宋体" w:eastAsia="宋体" w:cs="Times New Roman"/>
          <w:b/>
          <w:bCs/>
          <w:color w:val="auto"/>
          <w:sz w:val="24"/>
          <w:szCs w:val="24"/>
          <w:highlight w:val="none"/>
          <w:lang w:eastAsia="zh-CN"/>
        </w:rPr>
        <w:t xml:space="preserve">3.监狱和戒毒企业价格扣除</w:t>
      </w:r>
      <w:bookmarkEnd w:id="380"/>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w:t>
      </w:r>
      <w:r>
        <w:rPr>
          <w:rFonts w:hint="eastAsia" w:ascii="宋体" w:hAnsi="宋体" w:cs="Times New Roman"/>
          <w:b/>
          <w:bCs/>
          <w:color w:val="auto"/>
          <w:sz w:val="24"/>
          <w:szCs w:val="24"/>
          <w:highlight w:val="none"/>
          <w:lang w:val="en-US" w:eastAsia="zh-CN"/>
        </w:rPr>
        <w:t xml:space="preserve">以上</w:t>
      </w:r>
      <w:r>
        <w:rPr>
          <w:rFonts w:hint="eastAsia" w:ascii="宋体" w:hAnsi="宋体" w:eastAsia="宋体" w:cs="Times New Roman"/>
          <w:b/>
          <w:bCs/>
          <w:color w:val="auto"/>
          <w:sz w:val="24"/>
          <w:szCs w:val="24"/>
          <w:highlight w:val="none"/>
          <w:lang w:eastAsia="zh-CN"/>
        </w:rPr>
        <w:t xml:space="preserve">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9</w:t>
      </w:r>
      <w:r>
        <w:rPr>
          <w:rFonts w:hint="eastAsia" w:ascii="宋体" w:hAnsi="宋体" w:eastAsia="宋体" w:cs="Times New Roman"/>
          <w:b/>
          <w:bCs/>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1" w:name="_Toc12996"/>
      <w:r/>
      <w:bookmarkStart w:id="382" w:name="_Toc3701"/>
      <w:r/>
      <w:bookmarkStart w:id="383" w:name="_Toc8469"/>
      <w:r/>
      <w:bookmarkStart w:id="384" w:name="_Toc29185"/>
      <w:r>
        <w:rPr>
          <w:rFonts w:hint="eastAsia" w:ascii="宋体" w:hAnsi="宋体" w:eastAsia="宋体" w:cs="宋体"/>
          <w:b/>
          <w:bCs/>
          <w:color w:val="auto"/>
          <w:sz w:val="24"/>
          <w:szCs w:val="24"/>
          <w:highlight w:val="none"/>
          <w:lang w:val="en-US" w:eastAsia="zh-CN"/>
        </w:rPr>
        <w:t xml:space="preserve">三、评审标准</w:t>
      </w:r>
      <w:bookmarkEnd w:id="381"/>
      <w:r/>
      <w:bookmarkEnd w:id="382"/>
      <w:r/>
      <w:bookmarkEnd w:id="383"/>
      <w:r/>
      <w:bookmarkEnd w:id="384"/>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5" w:name="_Toc5152"/>
      <w:r/>
      <w:bookmarkStart w:id="386" w:name="_Toc14998"/>
      <w:r/>
      <w:bookmarkStart w:id="387" w:name="_Toc10391"/>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5"/>
      <w:r/>
      <w:bookmarkEnd w:id="386"/>
      <w:r/>
      <w:bookmarkEnd w:id="387"/>
      <w:r/>
      <w:r/>
    </w:p>
    <w:tbl>
      <w:tblPr>
        <w:tblStyle w:val="913"/>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927"/>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536"/>
          <w:tblHeader/>
        </w:trPr>
        <w:tc>
          <w:tcPr>
            <w:tcW w:w="2023" w:type="dxa"/>
            <w:vAlign w:val="center"/>
            <w:textDirection w:val="lrTb"/>
            <w:noWrap w:val="false"/>
          </w:tcPr>
          <w:p>
            <w:pPr>
              <w:numPr>
                <w:ilvl w:val="0"/>
                <w:numId w:val="0"/>
              </w:numPr>
              <w:jc w:val="center"/>
              <w:pageBreakBefore w:val="0"/>
              <w:spacing w:line="24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政府采购政策功能落实</w:t>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本项目专门面向中小企业采购，须提供《中小企业声明函》、《残疾人福利性单位声明函》或监狱和戒毒企业证明材料。</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eastAsia"/>
                <w:color w:val="auto"/>
                <w:sz w:val="24"/>
                <w:szCs w:val="24"/>
                <w:highlight w:val="none"/>
              </w:rPr>
              <w:t xml:space="preserve">本投标产品属于医疗器械注册范畴，根据注册的类别，如供应商为经营单位的须具有《医疗器械经营许可证》或者《医疗器械经营备案凭证》；如供应商为生产企业的须提供《医疗器械生产许可证》（复印件）；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pageBreakBefore w:val="0"/>
              <w:spacing w:line="240" w:lineRule="auto"/>
              <w:rPr>
                <w:color w:val="auto"/>
                <w:highlight w:val="none"/>
              </w:rPr>
            </w:pPr>
            <w:r>
              <w:rPr>
                <w:color w:val="auto"/>
                <w:highlight w:val="none"/>
              </w:rPr>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2</w:t>
            </w:r>
            <w:r>
              <w:rPr>
                <w:rFonts w:hint="eastAsia"/>
                <w:color w:val="auto"/>
                <w:sz w:val="24"/>
                <w:szCs w:val="24"/>
                <w:highlight w:val="none"/>
                <w:lang w:val="en-US" w:eastAsia="zh-CN"/>
              </w:rPr>
              <w:t xml:space="preserve">.</w:t>
            </w:r>
            <w:r>
              <w:rPr>
                <w:rFonts w:hint="eastAsia"/>
                <w:color w:val="auto"/>
                <w:sz w:val="24"/>
                <w:szCs w:val="24"/>
                <w:highlight w:val="none"/>
              </w:rPr>
              <w:t xml:space="preserve">投标产品根据注册的类别</w:t>
            </w:r>
            <w:r>
              <w:rPr>
                <w:rFonts w:hint="eastAsia"/>
                <w:color w:val="auto"/>
                <w:sz w:val="24"/>
                <w:szCs w:val="24"/>
                <w:highlight w:val="none"/>
                <w:lang w:eastAsia="zh-CN"/>
              </w:rPr>
              <w:t xml:space="preserve">，</w:t>
            </w:r>
            <w:r>
              <w:rPr>
                <w:rFonts w:hint="eastAsia"/>
                <w:color w:val="auto"/>
                <w:sz w:val="24"/>
                <w:szCs w:val="24"/>
                <w:highlight w:val="none"/>
              </w:rPr>
              <w:t xml:space="preserve">须具有《医疗器械注册证》或者《医疗器械备案凭证》（复印件）</w:t>
            </w:r>
            <w:r>
              <w:rPr>
                <w:rFonts w:hint="eastAsia"/>
                <w:color w:val="auto"/>
                <w:sz w:val="24"/>
                <w:szCs w:val="24"/>
                <w:highlight w:val="none"/>
                <w:lang w:eastAsia="zh-CN"/>
              </w:rPr>
              <w:t xml:space="preserve">。</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88" w:name="_Toc30364"/>
      <w:r/>
      <w:bookmarkStart w:id="389" w:name="_Toc4560"/>
      <w:r/>
      <w:bookmarkStart w:id="390" w:name="_Toc17599"/>
      <w:r>
        <w:rPr>
          <w:rFonts w:hint="eastAsia" w:ascii="宋体" w:hAnsi="宋体" w:eastAsia="宋体" w:cs="Times New Roman"/>
          <w:b/>
          <w:bCs/>
          <w:color w:val="auto"/>
          <w:sz w:val="24"/>
          <w:szCs w:val="24"/>
          <w:highlight w:val="none"/>
          <w:lang w:val="en-US" w:eastAsia="zh-CN"/>
        </w:rPr>
        <w:t xml:space="preserve">2.符合性审查标准</w:t>
      </w:r>
      <w:bookmarkEnd w:id="388"/>
      <w:r/>
      <w:bookmarkEnd w:id="389"/>
      <w:r/>
      <w:bookmarkEnd w:id="390"/>
      <w:r/>
      <w:r/>
    </w:p>
    <w:tbl>
      <w:tblPr>
        <w:tblStyle w:val="913"/>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和磋商文件规定的其他无效情形。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商务要求不</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lang w:val="en-US" w:eastAsia="zh-CN"/>
              </w:rPr>
              <w:t xml:space="preserve">任何负偏离，须提供《商务响应承诺函》，否则</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1" w:name="_Toc27771"/>
      <w:r/>
      <w:bookmarkStart w:id="392" w:name="_Toc24715"/>
      <w:r/>
      <w:bookmarkStart w:id="393" w:name="_Toc29459"/>
      <w:r>
        <w:rPr>
          <w:rFonts w:hint="eastAsia" w:ascii="宋体" w:hAnsi="宋体" w:eastAsia="宋体" w:cs="Times New Roman"/>
          <w:b/>
          <w:bCs/>
          <w:color w:val="auto"/>
          <w:sz w:val="24"/>
          <w:szCs w:val="24"/>
          <w:highlight w:val="none"/>
          <w:lang w:val="en-US" w:eastAsia="zh-CN"/>
        </w:rPr>
        <w:t xml:space="preserve">3.综合评分标准</w:t>
      </w:r>
      <w:bookmarkEnd w:id="391"/>
      <w:r/>
      <w:bookmarkEnd w:id="392"/>
      <w:r/>
      <w:bookmarkEnd w:id="393"/>
      <w:r/>
      <w:r/>
    </w:p>
    <w:tbl>
      <w:tblPr>
        <w:tblStyle w:val="929"/>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pStyle w:val="934"/>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ff0000"/>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ff0000"/>
                <w:sz w:val="24"/>
                <w:szCs w:val="24"/>
                <w:highlight w:val="none"/>
                <w:lang w:val="en-US" w:eastAsia="zh-CN"/>
              </w:rPr>
              <w:t xml:space="preserve">92</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每负偏离一项扣0.</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auto"/>
                <w:sz w:val="24"/>
                <w:szCs w:val="24"/>
                <w:highlight w:val="none"/>
                <w:u w:val="single"/>
                <w:lang w:val="en-US" w:eastAsia="zh-CN"/>
              </w:rPr>
              <w:t xml:space="preserve">所有技术指标都应提供有效的佐证材料（如带有广告批准文号的设备彩页、原厂技术白皮书、注册证及附表或具有CMA标识的检测报告等）。为便于磋商小组评审，标注“★”或“▲”的技术指标请提供有效的佐证材料，并在证明材料中予以显著标明。同时，建议在备注栏中注明具体查找位置，或使用苏采云系统中的“响应点定位”功能进行定位。如因未标明或未定位导致磋商小组无法有效核实的，相应技术指标可能被视为负偏离。</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磋商小组根据响应文件中有关投标产品的经营业绩进行评审：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供应商或该产品制造商</w:t>
            </w:r>
            <w:r>
              <w:rPr>
                <w:rFonts w:hint="eastAsia" w:ascii="宋体" w:hAnsi="宋体" w:cs="宋体"/>
                <w:color w:val="auto"/>
                <w:sz w:val="24"/>
                <w:szCs w:val="24"/>
                <w:highlight w:val="none"/>
                <w:lang w:val="en-US" w:eastAsia="zh-CN"/>
              </w:rPr>
              <w:t xml:space="preserve">提供</w:t>
            </w:r>
            <w:r>
              <w:rPr>
                <w:rFonts w:hint="eastAsia" w:ascii="宋体" w:hAnsi="宋体" w:cs="宋体"/>
                <w:b/>
                <w:bCs/>
                <w:color w:val="ff0000"/>
                <w:sz w:val="24"/>
                <w:szCs w:val="24"/>
                <w:highlight w:val="none"/>
                <w:lang w:val="en-US" w:eastAsia="zh-CN"/>
              </w:rPr>
              <w:t xml:space="preserve">近三年</w:t>
            </w:r>
            <w:r>
              <w:rPr>
                <w:rFonts w:hint="eastAsia" w:ascii="宋体" w:hAnsi="宋体" w:cs="宋体"/>
                <w:color w:val="auto"/>
                <w:sz w:val="24"/>
                <w:szCs w:val="24"/>
                <w:highlight w:val="none"/>
                <w:lang w:val="en-US" w:eastAsia="zh-CN"/>
              </w:rPr>
              <w:t xml:space="preserve">来</w:t>
            </w:r>
            <w:r>
              <w:rPr>
                <w:rFonts w:hint="eastAsia" w:ascii="宋体" w:hAnsi="宋体" w:eastAsia="宋体" w:cs="宋体"/>
                <w:color w:val="auto"/>
                <w:sz w:val="24"/>
                <w:szCs w:val="24"/>
                <w:highlight w:val="none"/>
                <w:lang w:val="en-US" w:eastAsia="zh-CN"/>
              </w:rPr>
              <w:t xml:space="preserve">同类产品的销售合同（复印件），每提供1份有效合同得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分；须在《类似业绩一览表》里注明采购单位、联系人、联系方式、签订时间等，便于磋商小组需要时予以验证。</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在满足磋商文件质保期要求的基础上</w:t>
            </w:r>
            <w:r>
              <w:rPr>
                <w:rFonts w:hint="eastAsia" w:ascii="宋体" w:hAnsi="宋体" w:cs="宋体"/>
                <w:color w:val="auto"/>
                <w:sz w:val="24"/>
                <w:szCs w:val="24"/>
                <w:highlight w:val="none"/>
                <w:lang w:val="en-US" w:eastAsia="zh-CN"/>
              </w:rPr>
              <w:t xml:space="preserve">（5年）</w:t>
            </w:r>
            <w:r>
              <w:rPr>
                <w:rFonts w:hint="eastAsia" w:ascii="宋体" w:hAnsi="宋体" w:eastAsia="宋体" w:cs="宋体"/>
                <w:color w:val="auto"/>
                <w:sz w:val="24"/>
                <w:szCs w:val="24"/>
                <w:highlight w:val="none"/>
                <w:lang w:val="en-US" w:eastAsia="zh-CN"/>
              </w:rPr>
              <w:t xml:space="preserve">，每增加1年质保期得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供应商承诺（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供应商出具加盖CA电子签章的《承诺函》得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分，格式自拟，未提供不得分，内容包括但不限于：</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1.承诺所投型号非生产厂家临近停产或已停产的产品；</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2.承诺每项投标响应的参数都可作为验收的依据，</w:t>
            </w:r>
            <w:r>
              <w:rPr>
                <w:rFonts w:hint="eastAsia" w:ascii="宋体" w:hAnsi="宋体" w:cs="宋体"/>
                <w:color w:val="auto"/>
                <w:sz w:val="24"/>
                <w:szCs w:val="24"/>
                <w:highlight w:val="none"/>
                <w:lang w:val="en-US" w:eastAsia="zh-CN"/>
              </w:rPr>
              <w:t xml:space="preserve">如项目验收不合格，采购人将停止支付采购资金，并按照采购合同的约定追究供应商违约责任</w:t>
            </w:r>
            <w:r>
              <w:rPr>
                <w:rFonts w:hint="eastAsia" w:ascii="宋体" w:hAnsi="宋体" w:eastAsia="宋体" w:cs="宋体"/>
                <w:color w:val="auto"/>
                <w:sz w:val="24"/>
                <w:szCs w:val="24"/>
                <w:highlight w:val="none"/>
                <w:lang w:val="en-US" w:eastAsia="zh-CN"/>
              </w:rPr>
              <w:t xml:space="preserve">。</w:t>
            </w:r>
            <w:r/>
          </w:p>
        </w:tc>
      </w:tr>
      <w:tr>
        <w:trPr>
          <w:jc w:val="center"/>
          <w:trHeight w:val="201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cs="宋体"/>
                <w:b/>
                <w:bCs/>
                <w:color w:val="auto"/>
                <w:sz w:val="24"/>
                <w:szCs w:val="24"/>
                <w:highlight w:val="none"/>
                <w:u w:val="single"/>
                <w:lang w:val="en-US" w:eastAsia="zh-CN"/>
              </w:rPr>
              <w:t xml:space="preserve">实施</w:t>
            </w:r>
            <w:r>
              <w:rPr>
                <w:rFonts w:hint="eastAsia" w:ascii="宋体" w:hAnsi="宋体" w:eastAsia="宋体" w:cs="宋体"/>
                <w:b/>
                <w:bCs/>
                <w:color w:val="auto"/>
                <w:sz w:val="24"/>
                <w:szCs w:val="24"/>
                <w:highlight w:val="none"/>
                <w:u w:val="single"/>
              </w:rPr>
              <w:t xml:space="preserve">方案</w:t>
            </w:r>
            <w:r>
              <w:rPr>
                <w:rFonts w:hint="eastAsia" w:ascii="宋体" w:hAnsi="宋体" w:eastAsia="宋体" w:cs="宋体"/>
                <w:color w:val="auto"/>
                <w:sz w:val="24"/>
                <w:szCs w:val="24"/>
                <w:highlight w:val="none"/>
              </w:rPr>
              <w:t xml:space="preserve">进行独立评审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color w:val="auto"/>
                <w:sz w:val="24"/>
                <w:szCs w:val="24"/>
                <w:highlight w:val="none"/>
              </w:rPr>
              <w:t xml:space="preserve">完全响应且针对采购人实际情况的得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分，每有一处方案内容存在缺陷、不足或提供无关联性内容的扣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w:t>
            </w: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方案的不得分。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1374"/>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eastAsia="宋体" w:cs="宋体"/>
                <w:b/>
                <w:bCs w:val="0"/>
                <w:color w:val="auto"/>
                <w:sz w:val="24"/>
                <w:szCs w:val="24"/>
                <w:highlight w:val="none"/>
                <w:u w:val="single"/>
                <w:lang w:val="en-US" w:eastAsia="zh-CN"/>
              </w:rPr>
              <w:t xml:space="preserve">售后</w:t>
            </w:r>
            <w:r>
              <w:rPr>
                <w:rFonts w:hint="eastAsia" w:ascii="宋体" w:hAnsi="宋体" w:eastAsia="宋体" w:cs="宋体"/>
                <w:b/>
                <w:bCs w:val="0"/>
                <w:color w:val="auto"/>
                <w:sz w:val="24"/>
                <w:szCs w:val="24"/>
                <w:highlight w:val="none"/>
                <w:u w:val="single"/>
              </w:rPr>
              <w:t xml:space="preserve">服务方案</w:t>
            </w:r>
            <w:r>
              <w:rPr>
                <w:rFonts w:hint="eastAsia" w:ascii="宋体" w:hAnsi="宋体" w:eastAsia="宋体" w:cs="宋体"/>
                <w:bCs/>
                <w:color w:val="auto"/>
                <w:sz w:val="24"/>
                <w:szCs w:val="24"/>
                <w:highlight w:val="none"/>
              </w:rPr>
              <w:t xml:space="preserve">进行独立评审，方案内容包括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rPr>
              <w:t xml:space="preserve">响应时间、人员保障、日常巡检</w:t>
            </w:r>
            <w:r>
              <w:rPr>
                <w:rFonts w:hint="eastAsia" w:ascii="宋体" w:hAnsi="宋体" w:cs="宋体"/>
                <w:b/>
                <w:bCs/>
                <w:i w:val="0"/>
                <w:iCs w:val="0"/>
                <w:color w:val="auto"/>
                <w:sz w:val="24"/>
                <w:szCs w:val="24"/>
                <w:highlight w:val="none"/>
                <w:u w:val="single"/>
                <w:lang w:val="en-US" w:eastAsia="zh-CN"/>
              </w:rPr>
              <w:t xml:space="preserve">与</w:t>
            </w:r>
            <w:r>
              <w:rPr>
                <w:rFonts w:hint="eastAsia" w:ascii="宋体" w:hAnsi="宋体" w:eastAsia="宋体" w:cs="宋体"/>
                <w:b/>
                <w:bCs/>
                <w:i w:val="0"/>
                <w:iCs w:val="0"/>
                <w:color w:val="auto"/>
                <w:sz w:val="24"/>
                <w:szCs w:val="24"/>
                <w:highlight w:val="none"/>
                <w:u w:val="single"/>
                <w:lang w:val="en-US" w:eastAsia="zh-CN"/>
              </w:rPr>
              <w:t xml:space="preserve">维修服务、应急处理</w:t>
            </w:r>
            <w:r>
              <w:rPr>
                <w:rFonts w:hint="eastAsia" w:ascii="宋体" w:hAnsi="宋体" w:cs="宋体"/>
                <w:b/>
                <w:bCs/>
                <w:i w:val="0"/>
                <w:iCs w:val="0"/>
                <w:color w:val="auto"/>
                <w:sz w:val="24"/>
                <w:szCs w:val="24"/>
                <w:highlight w:val="none"/>
                <w:u w:val="single"/>
                <w:lang w:val="en-US" w:eastAsia="zh-CN"/>
              </w:rPr>
              <w:t xml:space="preserve">与</w:t>
            </w:r>
            <w:r>
              <w:rPr>
                <w:rFonts w:hint="eastAsia" w:ascii="宋体" w:hAnsi="宋体" w:eastAsia="宋体" w:cs="宋体"/>
                <w:b/>
                <w:bCs/>
                <w:i w:val="0"/>
                <w:iCs w:val="0"/>
                <w:color w:val="auto"/>
                <w:sz w:val="24"/>
                <w:szCs w:val="24"/>
                <w:highlight w:val="none"/>
                <w:u w:val="single"/>
                <w:lang w:val="en-US" w:eastAsia="zh-CN"/>
              </w:rPr>
              <w:t xml:space="preserve">备件供应、</w:t>
            </w:r>
            <w:r>
              <w:rPr>
                <w:rFonts w:hint="eastAsia" w:ascii="宋体" w:hAnsi="宋体" w:eastAsia="宋体" w:cs="宋体"/>
                <w:b/>
                <w:bCs/>
                <w:i w:val="0"/>
                <w:iCs w:val="0"/>
                <w:color w:val="auto"/>
                <w:sz w:val="24"/>
                <w:szCs w:val="24"/>
                <w:highlight w:val="none"/>
                <w:u w:val="single"/>
              </w:rPr>
              <w:t xml:space="preserve">软件升级</w:t>
            </w:r>
            <w:r>
              <w:rPr>
                <w:rFonts w:hint="eastAsia" w:ascii="宋体" w:hAnsi="宋体" w:cs="宋体"/>
                <w:b/>
                <w:bCs/>
                <w:i w:val="0"/>
                <w:iCs w:val="0"/>
                <w:color w:val="auto"/>
                <w:sz w:val="24"/>
                <w:szCs w:val="24"/>
                <w:highlight w:val="none"/>
                <w:u w:val="single"/>
                <w:lang w:val="en-US" w:eastAsia="zh-CN"/>
              </w:rPr>
              <w:t xml:space="preserve">和</w:t>
            </w:r>
            <w:r>
              <w:rPr>
                <w:rFonts w:hint="eastAsia" w:ascii="宋体" w:hAnsi="宋体" w:eastAsia="宋体" w:cs="宋体"/>
                <w:b/>
                <w:bCs/>
                <w:i w:val="0"/>
                <w:iCs w:val="0"/>
                <w:color w:val="auto"/>
                <w:sz w:val="24"/>
                <w:szCs w:val="24"/>
                <w:highlight w:val="none"/>
                <w:u w:val="single"/>
              </w:rPr>
              <w:t xml:space="preserve">系统扩展</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b/>
                <w:bCs/>
                <w:i w:val="0"/>
                <w:iCs w:val="0"/>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bCs/>
                <w:color w:val="auto"/>
                <w:sz w:val="24"/>
                <w:szCs w:val="24"/>
                <w:highlight w:val="none"/>
              </w:rPr>
              <w:t xml:space="preserve">完全响应且</w:t>
            </w:r>
            <w:r>
              <w:rPr>
                <w:rFonts w:hint="eastAsia" w:ascii="宋体" w:hAnsi="宋体" w:eastAsia="宋体" w:cs="宋体"/>
                <w:color w:val="auto"/>
                <w:sz w:val="24"/>
                <w:szCs w:val="24"/>
                <w:highlight w:val="none"/>
              </w:rPr>
              <w:t xml:space="preserve">针对采购人实际情况</w:t>
            </w:r>
            <w:r>
              <w:rPr>
                <w:rFonts w:hint="eastAsia" w:ascii="宋体" w:hAnsi="宋体" w:eastAsia="宋体" w:cs="宋体"/>
                <w:bCs/>
                <w:color w:val="auto"/>
                <w:sz w:val="24"/>
                <w:szCs w:val="24"/>
                <w:highlight w:val="none"/>
              </w:rPr>
              <w:t xml:space="preserve">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分，每缺少一项内容扣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分，每有一处方案内容存在缺陷、不足或提供无关联性内容的扣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分，扣完为止。未提供</w:t>
            </w:r>
            <w:r>
              <w:rPr>
                <w:rFonts w:hint="eastAsia" w:ascii="宋体" w:hAnsi="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服务方案的不得分。</w:t>
            </w:r>
            <w:r>
              <w:rPr>
                <w:rFonts w:hint="eastAsia" w:ascii="宋体" w:hAnsi="宋体" w:eastAsia="宋体" w:cs="宋体"/>
                <w:b/>
                <w:bCs/>
                <w:color w:val="auto"/>
                <w:sz w:val="24"/>
                <w:szCs w:val="24"/>
                <w:highlight w:val="none"/>
                <w:lang w:val="en-US" w:eastAsia="zh-CN"/>
              </w:rPr>
              <w:t xml:space="preserve">（缺陷或不满足同上描述）</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磋商小组根据供应商针对本项目提出的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进行独立评审，方案内容应包括但不限于：</w:t>
            </w:r>
            <w:r>
              <w:rPr>
                <w:rFonts w:hint="eastAsia" w:ascii="宋体" w:hAnsi="宋体" w:eastAsia="宋体" w:cs="宋体"/>
                <w:b/>
                <w:bCs/>
                <w:i w:val="0"/>
                <w:iCs w:val="0"/>
                <w:color w:val="auto"/>
                <w:sz w:val="24"/>
                <w:szCs w:val="24"/>
                <w:highlight w:val="none"/>
                <w:u w:val="single"/>
                <w:lang w:val="en-US" w:eastAsia="zh-CN"/>
              </w:rPr>
              <w:t xml:space="preserve">培训计划、培训内容、人员安排、计划实施、效果考核等</w:t>
            </w:r>
            <w:r>
              <w:rPr>
                <w:rFonts w:hint="eastAsia" w:ascii="宋体" w:hAnsi="宋体" w:eastAsia="宋体" w:cs="宋体"/>
                <w:bCs/>
                <w:color w:val="auto"/>
                <w:sz w:val="24"/>
                <w:szCs w:val="24"/>
                <w:highlight w:val="none"/>
                <w:lang w:val="en-US" w:eastAsia="zh-CN"/>
              </w:rPr>
              <w:t xml:space="preserve">。按顺序逐条完全响应</w:t>
            </w:r>
            <w:r>
              <w:rPr>
                <w:rFonts w:hint="eastAsia" w:ascii="宋体" w:hAnsi="宋体" w:eastAsia="宋体" w:cs="宋体"/>
                <w:color w:val="auto"/>
                <w:sz w:val="24"/>
                <w:szCs w:val="24"/>
                <w:highlight w:val="none"/>
              </w:rPr>
              <w:t xml:space="preserve">针对采购人实际情况的</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分，每缺少一项内容扣1分，每有一处方案内容存在缺陷、不足或提供无关联性内容的扣0.5分，扣完为止。未提供培训方案的不得分。（缺陷或不满足同上描述）</w:t>
            </w:r>
            <w:r/>
          </w:p>
        </w:tc>
      </w:tr>
    </w:tbl>
    <w:p>
      <w:pPr>
        <w:pageBreakBefore w:val="0"/>
        <w:spacing w:line="240" w:lineRule="auto"/>
        <w:rPr>
          <w:rFonts w:hint="eastAsia" w:ascii="宋体" w:hAnsi="宋体" w:eastAsia="宋体" w:cs="宋体"/>
          <w:color w:val="auto"/>
          <w:sz w:val="21"/>
          <w:szCs w:val="21"/>
          <w:highlight w:val="none"/>
          <w:lang w:val="en-US" w:eastAsia="zh-CN"/>
        </w:rPr>
      </w:pPr>
      <w:r/>
      <w:bookmarkStart w:id="476" w:name="_GoBack"/>
      <w:r/>
      <w:bookmarkEnd w:id="476"/>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采购结束后，采购人将对成交单位上述响应文件中所提供的相关材料进行核实，如发现虚假或与事实不符的，将取消其中标资格。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4" w:name="_Toc2952"/>
      <w:r/>
      <w:bookmarkStart w:id="395" w:name="_Toc29260"/>
      <w:r/>
      <w:bookmarkStart w:id="396" w:name="_Toc295"/>
      <w:r/>
      <w:bookmarkStart w:id="397" w:name="_Toc11420"/>
      <w:r/>
      <w:bookmarkStart w:id="398" w:name="_Toc7042"/>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399" w:name="_Toc2464"/>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w:t>
      </w:r>
      <w:bookmarkEnd w:id="303"/>
      <w:r/>
      <w:bookmarkEnd w:id="304"/>
      <w:r/>
      <w:bookmarkEnd w:id="311"/>
      <w:r>
        <w:rPr>
          <w:rFonts w:hint="eastAsia" w:ascii="黑体" w:hAnsi="Times New Roman" w:eastAsia="黑体"/>
          <w:bCs/>
          <w:color w:val="auto"/>
          <w:sz w:val="44"/>
          <w:szCs w:val="28"/>
          <w:highlight w:val="none"/>
        </w:rPr>
        <w:t xml:space="preserve">响应文件格式</w:t>
      </w:r>
      <w:bookmarkEnd w:id="394"/>
      <w:r/>
      <w:bookmarkEnd w:id="395"/>
      <w:r/>
      <w:bookmarkEnd w:id="396"/>
      <w:r/>
      <w:bookmarkEnd w:id="397"/>
      <w:r/>
      <w:bookmarkEnd w:id="398"/>
      <w:r/>
      <w:bookmarkEnd w:id="399"/>
      <w:r/>
      <w:r/>
    </w:p>
    <w:p>
      <w:pPr>
        <w:jc w:val="center"/>
        <w:pageBreakBefore w:val="0"/>
        <w:spacing w:line="240" w:lineRule="auto"/>
        <w:rPr>
          <w:rFonts w:hint="eastAsia" w:ascii="宋体" w:hAnsi="宋体"/>
          <w:b/>
          <w:color w:val="auto"/>
          <w:sz w:val="72"/>
          <w:szCs w:val="21"/>
          <w:highlight w:val="none"/>
        </w:rPr>
      </w:pPr>
      <w:r/>
      <w:bookmarkStart w:id="400" w:name="_Hlt26671244"/>
      <w:r/>
      <w:bookmarkEnd w:id="400"/>
      <w:r/>
      <w:bookmarkStart w:id="401" w:name="_Hlt26955039"/>
      <w:r/>
      <w:bookmarkEnd w:id="401"/>
      <w:r/>
      <w:bookmarkStart w:id="402" w:name="_Toc49090576"/>
      <w:r/>
      <w:bookmarkStart w:id="403" w:name="_Toc120614282"/>
      <w:r/>
      <w:bookmarkStart w:id="404" w:name="_Toc26554094"/>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w:t>
      </w:r>
      <w:bookmarkStart w:id="405" w:name="_Toc3160"/>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bookmarkEnd w:id="405"/>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6" w:name="_Toc10597"/>
      <w:r>
        <w:rPr>
          <w:rFonts w:hint="eastAsia" w:ascii="Times New Roman" w:hAnsi="Times New Roman" w:eastAsia="宋体" w:cs="Times New Roman"/>
          <w:b/>
          <w:bCs/>
          <w:color w:val="auto"/>
          <w:sz w:val="28"/>
          <w:szCs w:val="28"/>
          <w:highlight w:val="none"/>
          <w:lang w:val="en-US" w:eastAsia="zh-CN" w:bidi="zh-CN"/>
        </w:rPr>
        <w:t xml:space="preserve">一、资格审查证明材料</w:t>
      </w:r>
      <w:bookmarkEnd w:id="406"/>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bookmarkStart w:id="407" w:name="_Toc19330"/>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cs="宋体"/>
          <w:b w:val="0"/>
          <w:bCs w:val="0"/>
          <w:color w:val="ff0000"/>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落实政府采购政策</w:t>
      </w:r>
      <w:r>
        <w:rPr>
          <w:rFonts w:hint="eastAsia" w:ascii="宋体" w:hAnsi="宋体" w:eastAsia="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提供《中小企业声明函》等材料，详见附件10-12；</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.特定资格要求：</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1）投标产品属于医疗器械注册范畴的，根据注册的类别，供应商为经营单位须具有《医疗器械经营许可证》或者《医疗器械经营备案凭证》，供应商为生产企业须提供《医疗器械生产许可证》；</w:t>
      </w:r>
      <w:r/>
    </w:p>
    <w:p>
      <w:pPr>
        <w:numPr>
          <w:ilvl w:val="0"/>
          <w:numId w:val="0"/>
        </w:numPr>
        <w:ind w:firstLine="480"/>
        <w:keepLines w:val="0"/>
        <w:keepNext w:val="0"/>
        <w:pageBreakBefore w:val="0"/>
        <w:widowControl w:val="off"/>
        <w:rPr>
          <w:rFonts w:hint="default" w:ascii="宋体" w:hAnsi="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同时投标产品根据注册的类别</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具有《医疗器械注册证》或者《医疗器械备案凭证》（复印件）；</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bookmarkEnd w:id="407"/>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响应承诺函（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bookmarkStart w:id="408" w:name="_Toc20861"/>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bookmarkEnd w:id="408"/>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9" w:name="_Toc17048"/>
      <w:r>
        <w:rPr>
          <w:rFonts w:hint="eastAsia" w:ascii="Times New Roman" w:hAnsi="Times New Roman" w:eastAsia="宋体" w:cs="Times New Roman"/>
          <w:b/>
          <w:bCs/>
          <w:color w:val="auto"/>
          <w:sz w:val="28"/>
          <w:szCs w:val="28"/>
          <w:highlight w:val="none"/>
          <w:lang w:val="en-US" w:eastAsia="zh-CN" w:bidi="zh-CN"/>
        </w:rPr>
        <w:t xml:space="preserve">三、价格标</w:t>
      </w:r>
      <w:bookmarkEnd w:id="409"/>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bookmarkStart w:id="410" w:name="_Toc16398"/>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4.关于符合本国产品标准的声明函（格式见附件16）。</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 xml:space="preserve">四、其他资料（如有）</w:t>
      </w:r>
      <w:bookmarkEnd w:id="410"/>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bookmarkStart w:id="411" w:name="_Toc2841"/>
      <w:r/>
      <w:bookmarkStart w:id="412" w:name="_Toc29088"/>
      <w:r/>
      <w:bookmarkStart w:id="413" w:name="_Toc1929"/>
      <w:r>
        <w:rPr>
          <w:rFonts w:ascii="Times New Roman" w:hAnsi="Times New Roman" w:eastAsia="方正黑体_GBK"/>
          <w:color w:val="auto"/>
          <w:sz w:val="32"/>
          <w:szCs w:val="32"/>
          <w:highlight w:val="none"/>
          <w:lang w:val="zh-CN"/>
        </w:rPr>
        <w:t xml:space="preserve">附件1</w:t>
      </w:r>
      <w:bookmarkEnd w:id="411"/>
      <w:r/>
      <w:bookmarkEnd w:id="412"/>
      <w:r/>
      <w:bookmarkEnd w:id="413"/>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bookmarkStart w:id="414" w:name="_Toc26310"/>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bookmarkEnd w:id="414"/>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bookmarkStart w:id="415" w:name="_Toc20523"/>
      <w:r/>
      <w:bookmarkStart w:id="416" w:name="_Toc6700"/>
      <w:r/>
      <w:bookmarkStart w:id="417" w:name="_Toc26107"/>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bookmarkEnd w:id="415"/>
      <w:r/>
      <w:bookmarkEnd w:id="416"/>
      <w:r/>
      <w:bookmarkEnd w:id="41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/海安市人民医院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bookmarkStart w:id="418" w:name="_Toc8601"/>
      <w:r>
        <w:rPr>
          <w:rFonts w:hint="eastAsia" w:ascii="宋体" w:hAnsi="宋体" w:eastAsia="宋体" w:cs="宋体"/>
          <w:color w:val="auto"/>
          <w:sz w:val="24"/>
          <w:szCs w:val="21"/>
          <w:highlight w:val="none"/>
        </w:rPr>
        <w:t xml:space="preserve">2.我们完全理解贵方不一定将合同授予最低报价的供应商。</w:t>
      </w:r>
      <w:bookmarkEnd w:id="418"/>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并保证在磋商文件规定的时间完成项目，交付买方验收、使用。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bookmarkStart w:id="419" w:name="_Toc24444"/>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.我方与本磋商有关的正式通讯地址为：</w:t>
      </w:r>
      <w:bookmarkEnd w:id="419"/>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bookmarkStart w:id="420" w:name="_Toc15953"/>
      <w:r/>
      <w:bookmarkStart w:id="421" w:name="_Toc25718"/>
      <w:r/>
      <w:bookmarkStart w:id="422" w:name="_Toc6092"/>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bookmarkEnd w:id="420"/>
      <w:r/>
      <w:bookmarkEnd w:id="421"/>
      <w:r/>
      <w:bookmarkEnd w:id="422"/>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913"/>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bookmarkStart w:id="423" w:name="_Toc22595"/>
      <w:r/>
      <w:bookmarkStart w:id="424" w:name="_Toc25038"/>
      <w:r/>
      <w:bookmarkStart w:id="425" w:name="_Toc11711"/>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bookmarkEnd w:id="423"/>
      <w:r/>
      <w:bookmarkEnd w:id="424"/>
      <w:r/>
      <w:bookmarkEnd w:id="425"/>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bookmarkEnd w:id="402"/>
      <w:bookmarkEnd w:id="403"/>
      <w:bookmarkEnd w:id="404"/>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bookmarkStart w:id="426" w:name="_Toc120614284"/>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913"/>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913"/>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bookmarkStart w:id="427" w:name="_Toc12501"/>
      <w:r/>
      <w:bookmarkStart w:id="428" w:name="_Toc10055"/>
      <w:r/>
      <w:bookmarkStart w:id="429" w:name="_Toc15767"/>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bookmarkEnd w:id="427"/>
      <w:r/>
      <w:bookmarkEnd w:id="428"/>
      <w:r/>
      <w:bookmarkEnd w:id="42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913"/>
        <w:tblpPr w:horzAnchor="page" w:tblpXSpec="center" w:vertAnchor="text" w:tblpY="201"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b/>
          <w:bCs/>
          <w:color w:val="auto"/>
          <w:sz w:val="22"/>
          <w:szCs w:val="22"/>
          <w:highlight w:val="none"/>
          <w:lang w:val="en-US"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val="en-US" w:eastAsia="zh-CN"/>
        </w:rPr>
        <w:t xml:space="preserve">（1）所有技术指标都应提供有效的佐证材料（如带有广告批准文号的设备彩页、原厂技术白皮书、注册证及附表或具有CMA标识的检测报告等）。为便于磋商小组评审，标注“★”或“▲”的技术指标请提供有效的佐证材料，并在证明材料中予以显著标明。同时，建议在备注栏中注明具体查找位置，或使用苏采云系统中的“响应点定位”功能进行定位。如因未标明或未定位导致磋商小组无法有效核实的，相应技术指标可能被视为负偏离。</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contextualSpacing/>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宋体" w:hAnsi="宋体"/>
          <w:bCs/>
          <w:color w:val="auto"/>
          <w:sz w:val="24"/>
          <w:szCs w:val="21"/>
          <w:highlight w:val="none"/>
        </w:rPr>
        <w:br w:type="page" w:clear="all"/>
      </w:r>
      <w:bookmarkStart w:id="430" w:name="_Toc25376"/>
      <w:r/>
      <w:bookmarkStart w:id="431" w:name="_Toc7056"/>
      <w:r/>
      <w:bookmarkStart w:id="432" w:name="_Toc4198"/>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bookmarkEnd w:id="430"/>
      <w:r/>
      <w:bookmarkEnd w:id="431"/>
      <w:r/>
      <w:bookmarkEnd w:id="432"/>
      <w:r/>
      <w:r/>
    </w:p>
    <w:p>
      <w:pPr>
        <w:contextualSpacing/>
        <w:jc w:val="center"/>
        <w:spacing w:line="240" w:lineRule="auto"/>
        <w:rPr>
          <w:rFonts w:hint="eastAsia" w:ascii="宋体" w:hAnsi="宋体"/>
          <w:b/>
          <w:color w:val="auto"/>
          <w:sz w:val="32"/>
          <w:szCs w:val="32"/>
          <w:highlight w:val="none"/>
          <w:lang w:val="en-US" w:eastAsia="zh-CN"/>
        </w:rPr>
        <w:outlineLvl w:val="9"/>
      </w:pPr>
      <w:r/>
      <w:bookmarkStart w:id="433" w:name="_Toc161"/>
      <w:r/>
      <w:bookmarkStart w:id="434" w:name="_Toc30497"/>
      <w:r/>
      <w:bookmarkStart w:id="435" w:name="_Toc25120"/>
      <w:r>
        <w:rPr>
          <w:rFonts w:hint="eastAsia" w:ascii="宋体" w:hAnsi="宋体"/>
          <w:b/>
          <w:color w:val="auto"/>
          <w:sz w:val="32"/>
          <w:szCs w:val="32"/>
          <w:highlight w:val="none"/>
          <w:lang w:eastAsia="zh-CN"/>
        </w:rPr>
        <w:t xml:space="preserve">商务</w:t>
      </w:r>
      <w:r>
        <w:rPr>
          <w:rFonts w:hint="eastAsia" w:ascii="宋体" w:hAnsi="宋体"/>
          <w:b/>
          <w:color w:val="auto"/>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default"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致海安市人民医院：</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   </w:t>
      </w:r>
      <w:r/>
    </w:p>
    <w:p>
      <w:pPr>
        <w:ind w:firstLine="480"/>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需求》中</w:t>
      </w:r>
      <w:r>
        <w:rPr>
          <w:rFonts w:hint="eastAsia" w:ascii="宋体" w:hAnsi="宋体" w:cs="宋体"/>
          <w:sz w:val="24"/>
          <w:szCs w:val="24"/>
          <w:highlight w:val="none"/>
          <w:lang w:val="en-US" w:eastAsia="zh-CN"/>
        </w:rPr>
        <w:t xml:space="preserve">所有</w:t>
      </w:r>
      <w:r>
        <w:rPr>
          <w:rFonts w:hint="eastAsia" w:ascii="宋体" w:hAnsi="宋体" w:eastAsia="宋体" w:cs="宋体"/>
          <w:sz w:val="24"/>
          <w:szCs w:val="24"/>
          <w:highlight w:val="none"/>
          <w:lang w:val="en-US" w:eastAsia="zh-CN"/>
        </w:rPr>
        <w:t xml:space="preserve">商务要求，无任何负偏离。</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bCs/>
          <w:color w:val="auto"/>
          <w:sz w:val="22"/>
          <w:szCs w:val="22"/>
          <w:highlight w:val="none"/>
        </w:rPr>
      </w:pPr>
      <w:r>
        <w:rPr>
          <w:rFonts w:hint="eastAsia" w:ascii="宋体" w:hAnsi="宋体"/>
          <w:bCs/>
          <w:color w:val="auto"/>
          <w:sz w:val="22"/>
          <w:szCs w:val="22"/>
          <w:highlight w:val="none"/>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bookmarkEnd w:id="433"/>
      <w:r/>
      <w:bookmarkEnd w:id="434"/>
      <w:r/>
      <w:bookmarkEnd w:id="435"/>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913"/>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bookmarkStart w:id="436" w:name="_Toc26515"/>
      <w:r/>
      <w:bookmarkStart w:id="437" w:name="_Toc26256"/>
      <w:r/>
      <w:bookmarkStart w:id="438" w:name="_Toc2634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bookmarkEnd w:id="436"/>
      <w:r/>
      <w:bookmarkEnd w:id="437"/>
      <w:r/>
      <w:bookmarkEnd w:id="438"/>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480"/>
        <w:pageBreakBefore w:val="0"/>
        <w:spacing w:line="24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p>
      <w:pPr>
        <w:contextualSpacing/>
        <w:ind w:firstLine="480"/>
        <w:pageBreakBefore w:val="0"/>
        <w:spacing w:line="24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p>
      <w:pPr>
        <w:contextualSpacing/>
        <w:ind w:firstLine="480"/>
        <w:pageBreakBefore w:val="0"/>
        <w:spacing w:line="24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p>
      <w:pPr>
        <w:contextualSpacing/>
        <w:ind w:firstLine="480"/>
        <w:pageBreakBefore w:val="0"/>
        <w:spacing w:line="240" w:lineRule="auto"/>
        <w:rPr>
          <w:rFonts w:hint="default" w:ascii="宋体" w:hAnsi="宋体"/>
          <w:color w:val="auto"/>
          <w:sz w:val="22"/>
          <w:szCs w:val="22"/>
          <w:highlight w:val="none"/>
          <w:lang w:val="en-US" w:eastAsia="zh-CN"/>
        </w:rPr>
      </w:pPr>
      <w:r>
        <w:rPr>
          <w:rFonts w:hint="eastAsia" w:ascii="宋体" w:hAnsi="宋体" w:cs="宋体"/>
          <w:color w:val="auto"/>
          <w:sz w:val="24"/>
          <w:szCs w:val="24"/>
          <w:highlight w:val="none"/>
          <w:lang w:val="en-US" w:eastAsia="zh-CN" w:bidi="ar-SA"/>
        </w:rPr>
        <w:t xml:space="preserve">注：本项目的磋商费用由中标、成交供应商支付，供应商在报价时应当将磋商费用综合考虑纳入总报价中。</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39" w:name="_Toc17439"/>
      <w:r/>
      <w:bookmarkStart w:id="440" w:name="_Toc31831"/>
      <w:r/>
      <w:bookmarkStart w:id="441" w:name="_Toc18808"/>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bookmarkEnd w:id="439"/>
      <w:r/>
      <w:bookmarkEnd w:id="440"/>
      <w:r/>
      <w:bookmarkEnd w:id="441"/>
      <w:r/>
      <w:r/>
    </w:p>
    <w:p>
      <w:pPr>
        <w:jc w:val="center"/>
        <w:spacing w:line="240" w:lineRule="auto"/>
        <w:rPr>
          <w:rFonts w:hint="eastAsia" w:ascii="宋体" w:hAnsi="宋体" w:eastAsia="宋体" w:cs="宋体"/>
          <w:sz w:val="24"/>
          <w:szCs w:val="24"/>
          <w:highlight w:val="none"/>
          <w:shd w:val="clear" w:color="auto" w:fill="auto"/>
        </w:rPr>
      </w:pPr>
      <w:r/>
      <w:bookmarkStart w:id="442" w:name="_Toc16960"/>
      <w:r/>
      <w:bookmarkStart w:id="443" w:name="_Toc23475"/>
      <w:r/>
      <w:bookmarkStart w:id="444" w:name="_Toc5132"/>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913"/>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contextualSpacing/>
        <w:ind w:firstLine="440"/>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p>
    <w:p>
      <w:pPr>
        <w:contextualSpacing/>
        <w:ind w:firstLine="440"/>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w:t>
      </w:r>
      <w:r>
        <w:rPr>
          <w:rFonts w:hint="eastAsia" w:ascii="宋体" w:hAnsi="宋体"/>
          <w:color w:val="ff0000"/>
          <w:sz w:val="22"/>
          <w:szCs w:val="22"/>
          <w:highlight w:val="none"/>
          <w:lang w:val="en-US" w:eastAsia="zh-CN"/>
        </w:rPr>
        <w:t xml:space="preserve">80%</w:t>
      </w:r>
      <w:r>
        <w:rPr>
          <w:rFonts w:hint="eastAsia" w:ascii="宋体" w:hAnsi="宋体"/>
          <w:color w:val="auto"/>
          <w:sz w:val="22"/>
          <w:szCs w:val="22"/>
          <w:highlight w:val="none"/>
          <w:lang w:val="en-US" w:eastAsia="zh-CN"/>
        </w:rPr>
        <w:t xml:space="preserve">的，将不享受本国产品价格评审优惠。</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default" w:ascii="宋体" w:hAnsi="宋体"/>
          <w:color w:val="auto"/>
          <w:sz w:val="22"/>
          <w:szCs w:val="22"/>
          <w:highlight w:val="none"/>
          <w:lang w:val="en-US" w:eastAsia="zh-CN"/>
        </w:rPr>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bookmarkEnd w:id="442"/>
      <w:r/>
      <w:bookmarkEnd w:id="443"/>
      <w:r/>
      <w:bookmarkEnd w:id="444"/>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注：1.如项目属性为“货物”，请按本表填写。</w:t>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3.</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4.中标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eastAsia="宋体" w:cs="宋体"/>
          <w:b/>
          <w:bCs/>
          <w:color w:val="auto"/>
          <w:sz w:val="21"/>
          <w:szCs w:val="21"/>
          <w:highlight w:val="none"/>
          <w:lang w:val="en-US" w:bidi="zh-CN"/>
        </w:rPr>
        <w:t xml:space="preserve">5.</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919"/>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5" w:name="_Toc13661"/>
      <w:r/>
      <w:bookmarkStart w:id="446" w:name="_Toc4515"/>
      <w:r/>
      <w:bookmarkStart w:id="447" w:name="_Toc1462"/>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bookmarkEnd w:id="445"/>
      <w:r/>
      <w:bookmarkEnd w:id="446"/>
      <w:r/>
      <w:bookmarkEnd w:id="44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8" w:name="_Toc5618"/>
      <w:r/>
      <w:bookmarkStart w:id="449" w:name="_Toc23446"/>
      <w:r/>
      <w:bookmarkStart w:id="450" w:name="_Toc32019"/>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bookmarkEnd w:id="448"/>
      <w:r/>
      <w:bookmarkEnd w:id="449"/>
      <w:r/>
      <w:bookmarkEnd w:id="45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bookmarkStart w:id="451" w:name="_Toc13312"/>
      <w:r/>
      <w:bookmarkStart w:id="452" w:name="_Toc21785"/>
      <w:r/>
      <w:bookmarkStart w:id="453" w:name="_Toc2694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bookmarkEnd w:id="451"/>
      <w:r/>
      <w:bookmarkEnd w:id="452"/>
      <w:r/>
      <w:bookmarkEnd w:id="453"/>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bookmarkStart w:id="454" w:name="_Toc24729"/>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bookmarkStart w:id="455" w:name="_Toc2099"/>
      <w:r/>
      <w:bookmarkStart w:id="456" w:name="_Toc123"/>
      <w:r/>
      <w:bookmarkStart w:id="457" w:name="_Toc9069"/>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bookmarkEnd w:id="455"/>
      <w:r/>
      <w:bookmarkEnd w:id="456"/>
      <w:r/>
      <w:bookmarkEnd w:id="457"/>
      <w:r/>
      <w:r/>
    </w:p>
    <w:p>
      <w:pPr>
        <w:pStyle w:val="938"/>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bookmarkEnd w:id="454"/>
      <w:r/>
      <w:r/>
    </w:p>
    <w:p>
      <w:pPr>
        <w:pStyle w:val="938"/>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93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93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bookmarkStart w:id="458" w:name="_Toc12779"/>
      <w:r/>
      <w:bookmarkStart w:id="459" w:name="_Toc1288"/>
      <w:r/>
      <w:bookmarkStart w:id="460" w:name="_Toc13562"/>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bookmarkEnd w:id="458"/>
      <w:r/>
      <w:bookmarkEnd w:id="459"/>
      <w:r/>
      <w:bookmarkEnd w:id="46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61" w:name="_Toc7575_WPSOffice_Level2"/>
      <w:r/>
      <w:bookmarkStart w:id="462" w:name="_Toc29358"/>
      <w:r>
        <w:rPr>
          <w:rFonts w:hint="eastAsia" w:ascii="Times New Roman" w:hAnsi="Times New Roman" w:eastAsia="宋体" w:cs="Times New Roman"/>
          <w:b/>
          <w:bCs/>
          <w:color w:val="auto"/>
          <w:sz w:val="28"/>
          <w:szCs w:val="28"/>
          <w:highlight w:val="none"/>
          <w:lang w:val="en-US" w:eastAsia="zh-CN" w:bidi="zh-CN"/>
        </w:rPr>
        <w:t xml:space="preserve">无重大违法行为声明</w:t>
      </w:r>
      <w:bookmarkEnd w:id="461"/>
      <w:r/>
      <w:bookmarkEnd w:id="462"/>
      <w:r/>
      <w:r/>
    </w:p>
    <w:p>
      <w:pPr>
        <w:pStyle w:val="93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939"/>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939"/>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939"/>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9"/>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bookmarkStart w:id="463" w:name="_Toc16539"/>
      <w:r/>
      <w:bookmarkStart w:id="464" w:name="_Toc28057"/>
      <w:r/>
      <w:bookmarkStart w:id="465" w:name="_Toc17121"/>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11"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13"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14"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0288;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932"/>
          <w:rFonts w:hint="eastAsia" w:ascii="宋体" w:hAnsi="宋体" w:eastAsia="宋体" w:cs="宋体"/>
          <w:i w:val="0"/>
          <w:color w:val="ff0000"/>
          <w:sz w:val="24"/>
          <w:szCs w:val="24"/>
          <w:highlight w:val="none"/>
          <w:u w:val="single"/>
          <w:shd w:val="clear" w:color="auto" w:fill="ffffff"/>
        </w:rPr>
        <w:t xml:space="preserve">（产品名称1）</w:t>
      </w:r>
      <w:r>
        <w:rPr>
          <w:rStyle w:val="932"/>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932"/>
          <w:rFonts w:hint="eastAsia" w:ascii="宋体" w:hAnsi="宋体" w:eastAsia="宋体" w:cs="宋体"/>
          <w:i w:val="0"/>
          <w:color w:val="ff0000"/>
          <w:sz w:val="24"/>
          <w:szCs w:val="24"/>
          <w:highlight w:val="none"/>
          <w:u w:val="single"/>
          <w:shd w:val="clear" w:color="auto" w:fill="ffffff"/>
        </w:rPr>
        <w:t xml:space="preserve">（厂名）</w:t>
      </w:r>
      <w:r>
        <w:rPr>
          <w:rStyle w:val="932"/>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932"/>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932"/>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932"/>
          <w:rFonts w:hint="eastAsia" w:ascii="宋体" w:hAnsi="宋体" w:eastAsia="宋体" w:cs="宋体"/>
          <w:i w:val="0"/>
          <w:color w:val="ff0000"/>
          <w:sz w:val="24"/>
          <w:szCs w:val="24"/>
          <w:highlight w:val="none"/>
          <w:u w:val="single"/>
          <w:shd w:val="clear" w:color="auto" w:fill="ffffff"/>
        </w:rPr>
        <w:t xml:space="preserve">（规定比例）</w:t>
      </w:r>
      <w:r>
        <w:rPr>
          <w:rStyle w:val="932"/>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932"/>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932"/>
          <w:rFonts w:hint="eastAsia" w:ascii="宋体" w:hAnsi="宋体" w:eastAsia="宋体" w:cs="宋体"/>
          <w:i w:val="0"/>
          <w:color w:val="ff0000"/>
          <w:sz w:val="24"/>
          <w:szCs w:val="24"/>
          <w:highlight w:val="none"/>
          <w:u w:val="single"/>
          <w:shd w:val="clear" w:color="auto" w:fill="ffffff"/>
        </w:rPr>
        <w:t xml:space="preserve">（关键组件）</w:t>
      </w:r>
      <w:r>
        <w:rPr>
          <w:rStyle w:val="932"/>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932"/>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932"/>
          <w:rFonts w:hint="eastAsia" w:ascii="宋体" w:hAnsi="宋体" w:eastAsia="宋体" w:cs="宋体"/>
          <w:i w:val="0"/>
          <w:color w:val="ff0000"/>
          <w:sz w:val="24"/>
          <w:szCs w:val="24"/>
          <w:highlight w:val="none"/>
          <w:u w:val="single"/>
          <w:shd w:val="clear" w:color="auto" w:fill="ffffff"/>
        </w:rPr>
        <w:t xml:space="preserve">（关键工序）</w:t>
      </w:r>
      <w:r>
        <w:rPr>
          <w:rStyle w:val="932"/>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7"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8"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9"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20"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21"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932"/>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932"/>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932"/>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932"/>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932"/>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932"/>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932"/>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932"/>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932"/>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bookmarkEnd w:id="463"/>
      <w:r/>
      <w:bookmarkEnd w:id="464"/>
      <w:r/>
      <w:bookmarkEnd w:id="465"/>
      <w:r>
        <w:rPr>
          <w:rFonts w:hint="eastAsia" w:eastAsia="方正黑体_GBK" w:cs="Times New Roman"/>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bookmarkStart w:id="466" w:name="_Toc2157"/>
      <w:r>
        <w:rPr>
          <w:rFonts w:hint="eastAsia" w:ascii="宋体" w:hAnsi="宋体" w:cs="仿宋"/>
          <w:bCs/>
          <w:color w:val="auto"/>
          <w:sz w:val="24"/>
          <w:szCs w:val="24"/>
          <w:highlight w:val="none"/>
        </w:rPr>
        <w:t xml:space="preserve">一、质疑供应商基本信息</w:t>
      </w:r>
      <w:bookmarkEnd w:id="466"/>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67" w:name="_Toc29665"/>
      <w:r>
        <w:rPr>
          <w:rFonts w:hint="eastAsia" w:ascii="宋体" w:hAnsi="宋体" w:cs="仿宋"/>
          <w:bCs/>
          <w:color w:val="auto"/>
          <w:sz w:val="24"/>
          <w:szCs w:val="24"/>
          <w:highlight w:val="none"/>
        </w:rPr>
        <w:t xml:space="preserve">二、质疑项目基本情况</w:t>
      </w:r>
      <w:bookmarkEnd w:id="467"/>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68" w:name="_Toc5896"/>
      <w:r>
        <w:rPr>
          <w:rFonts w:hint="eastAsia" w:ascii="宋体" w:hAnsi="宋体" w:cs="仿宋"/>
          <w:bCs/>
          <w:color w:val="auto"/>
          <w:sz w:val="24"/>
          <w:szCs w:val="24"/>
          <w:highlight w:val="none"/>
        </w:rPr>
        <w:t xml:space="preserve">三、质疑事项具体内容</w:t>
      </w:r>
      <w:bookmarkEnd w:id="468"/>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bookmarkStart w:id="469" w:name="_Toc31417"/>
      <w:r>
        <w:rPr>
          <w:rFonts w:hint="eastAsia" w:ascii="宋体" w:hAnsi="宋体" w:cs="仿宋"/>
          <w:bCs/>
          <w:color w:val="auto"/>
          <w:sz w:val="24"/>
          <w:szCs w:val="24"/>
          <w:highlight w:val="none"/>
        </w:rPr>
        <w:t xml:space="preserve">四、与质疑事项相关的质疑请求</w:t>
      </w:r>
      <w:bookmarkEnd w:id="469"/>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bookmarkStart w:id="470" w:name="_Toc12071"/>
      <w:r>
        <w:rPr>
          <w:rFonts w:hint="eastAsia" w:ascii="宋体" w:hAnsi="宋体"/>
          <w:color w:val="auto"/>
          <w:sz w:val="24"/>
          <w:szCs w:val="24"/>
          <w:highlight w:val="none"/>
        </w:rPr>
        <w:t xml:space="preserve">1.供应商提出质疑时，应提交质疑函和必要的证明材料。</w:t>
      </w:r>
      <w:bookmarkEnd w:id="470"/>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bookmarkStart w:id="471" w:name="_Toc24202"/>
      <w:r>
        <w:rPr>
          <w:rFonts w:hint="eastAsia" w:ascii="宋体" w:hAnsi="宋体"/>
          <w:color w:val="auto"/>
          <w:sz w:val="24"/>
          <w:szCs w:val="24"/>
          <w:highlight w:val="none"/>
        </w:rPr>
        <w:t xml:space="preserve">5.质疑函的质疑请求应与质疑事项相关。</w:t>
      </w:r>
      <w:bookmarkEnd w:id="471"/>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95"/>
      <w:bookmarkEnd w:id="296"/>
      <w:bookmarkEnd w:id="426"/>
      <w:r/>
    </w:p>
    <w:p>
      <w:pPr>
        <w:pageBreakBefore w:val="0"/>
        <w:spacing w:line="240" w:lineRule="auto"/>
        <w:rPr>
          <w:rFonts w:hint="default" w:ascii="仿宋_GB2312" w:eastAsia="方正黑体_GBK"/>
          <w:b/>
          <w:color w:val="auto"/>
          <w:sz w:val="32"/>
          <w:szCs w:val="32"/>
          <w:highlight w:val="none"/>
          <w:lang w:val="en-US" w:eastAsia="zh-CN"/>
        </w:rPr>
        <w:outlineLvl w:val="2"/>
      </w:pPr>
      <w:r/>
      <w:bookmarkStart w:id="472" w:name="_Toc26828"/>
      <w:r/>
      <w:bookmarkStart w:id="473" w:name="_Toc4800"/>
      <w:r/>
      <w:bookmarkStart w:id="474" w:name="_Toc21909"/>
      <w:r>
        <w:rPr>
          <w:rFonts w:ascii="Times New Roman" w:hAnsi="Times New Roman" w:eastAsia="方正黑体_GBK"/>
          <w:color w:val="auto"/>
          <w:sz w:val="32"/>
          <w:szCs w:val="32"/>
          <w:highlight w:val="none"/>
        </w:rPr>
        <w:t xml:space="preserve">附件</w:t>
      </w:r>
      <w:bookmarkEnd w:id="472"/>
      <w:r/>
      <w:bookmarkEnd w:id="473"/>
      <w:r/>
      <w:bookmarkEnd w:id="474"/>
      <w:r>
        <w:rPr>
          <w:rFonts w:hint="eastAsia" w:eastAsia="方正黑体_GBK"/>
          <w:color w:val="auto"/>
          <w:sz w:val="32"/>
          <w:szCs w:val="32"/>
          <w:highlight w:val="none"/>
          <w:lang w:val="en-US" w:eastAsia="zh-CN"/>
        </w:rPr>
        <w:t xml:space="preserve">18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75" w:name="_Toc17784"/>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bookmarkEnd w:id="475"/>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922"/>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7"/>
  </w:num>
  <w:num w:numId="4">
    <w:abstractNumId w:val="6"/>
  </w:num>
  <w:num w:numId="5">
    <w:abstractNumId w:val="8"/>
  </w:num>
  <w:num w:numId="6">
    <w:abstractNumId w:val="4"/>
  </w:num>
  <w:num w:numId="7">
    <w:abstractNumId w:val="2"/>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2"/>
    <w:link w:val="909"/>
    <w:uiPriority w:val="9"/>
    <w:rPr>
      <w:rFonts w:ascii="Arial" w:hAnsi="Arial" w:eastAsia="Arial" w:cs="Arial"/>
      <w:sz w:val="40"/>
      <w:szCs w:val="40"/>
    </w:rPr>
  </w:style>
  <w:style w:type="character" w:styleId="15">
    <w:name w:val="Heading 2 Char"/>
    <w:basedOn w:val="912"/>
    <w:link w:val="910"/>
    <w:uiPriority w:val="9"/>
    <w:rPr>
      <w:rFonts w:ascii="Arial" w:hAnsi="Arial" w:eastAsia="Arial" w:cs="Arial"/>
      <w:sz w:val="34"/>
    </w:rPr>
  </w:style>
  <w:style w:type="paragraph" w:styleId="16">
    <w:name w:val="Heading 3"/>
    <w:basedOn w:val="908"/>
    <w:next w:val="9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12"/>
    <w:link w:val="16"/>
    <w:uiPriority w:val="9"/>
    <w:rPr>
      <w:rFonts w:ascii="Arial" w:hAnsi="Arial" w:eastAsia="Arial" w:cs="Arial"/>
      <w:sz w:val="30"/>
      <w:szCs w:val="30"/>
    </w:rPr>
  </w:style>
  <w:style w:type="character" w:styleId="19">
    <w:name w:val="Heading 4 Char"/>
    <w:basedOn w:val="912"/>
    <w:link w:val="911"/>
    <w:uiPriority w:val="9"/>
    <w:rPr>
      <w:rFonts w:ascii="Arial" w:hAnsi="Arial" w:eastAsia="Arial" w:cs="Arial"/>
      <w:b/>
      <w:bCs/>
      <w:sz w:val="26"/>
      <w:szCs w:val="26"/>
    </w:rPr>
  </w:style>
  <w:style w:type="paragraph" w:styleId="20">
    <w:name w:val="Heading 5"/>
    <w:basedOn w:val="908"/>
    <w:next w:val="9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12"/>
    <w:link w:val="20"/>
    <w:uiPriority w:val="9"/>
    <w:rPr>
      <w:rFonts w:ascii="Arial" w:hAnsi="Arial" w:eastAsia="Arial" w:cs="Arial"/>
      <w:b/>
      <w:bCs/>
      <w:sz w:val="24"/>
      <w:szCs w:val="24"/>
    </w:rPr>
  </w:style>
  <w:style w:type="paragraph" w:styleId="22">
    <w:name w:val="Heading 6"/>
    <w:basedOn w:val="908"/>
    <w:next w:val="9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12"/>
    <w:link w:val="22"/>
    <w:uiPriority w:val="9"/>
    <w:rPr>
      <w:rFonts w:ascii="Arial" w:hAnsi="Arial" w:eastAsia="Arial" w:cs="Arial"/>
      <w:b/>
      <w:bCs/>
      <w:sz w:val="22"/>
      <w:szCs w:val="22"/>
    </w:rPr>
  </w:style>
  <w:style w:type="paragraph" w:styleId="24">
    <w:name w:val="Heading 7"/>
    <w:basedOn w:val="908"/>
    <w:next w:val="9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12"/>
    <w:link w:val="24"/>
    <w:uiPriority w:val="9"/>
    <w:rPr>
      <w:rFonts w:ascii="Arial" w:hAnsi="Arial" w:eastAsia="Arial" w:cs="Arial"/>
      <w:b/>
      <w:bCs/>
      <w:i/>
      <w:iCs/>
      <w:sz w:val="22"/>
      <w:szCs w:val="22"/>
    </w:rPr>
  </w:style>
  <w:style w:type="paragraph" w:styleId="26">
    <w:name w:val="Heading 8"/>
    <w:basedOn w:val="908"/>
    <w:next w:val="9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12"/>
    <w:link w:val="26"/>
    <w:uiPriority w:val="9"/>
    <w:rPr>
      <w:rFonts w:ascii="Arial" w:hAnsi="Arial" w:eastAsia="Arial" w:cs="Arial"/>
      <w:i/>
      <w:iCs/>
      <w:sz w:val="22"/>
      <w:szCs w:val="22"/>
    </w:rPr>
  </w:style>
  <w:style w:type="paragraph" w:styleId="28">
    <w:name w:val="Heading 9"/>
    <w:basedOn w:val="908"/>
    <w:next w:val="9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1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8"/>
    <w:next w:val="908"/>
    <w:link w:val="34"/>
    <w:uiPriority w:val="10"/>
    <w:qFormat/>
    <w:pPr>
      <w:contextualSpacing/>
      <w:spacing w:before="300" w:after="200"/>
    </w:pPr>
    <w:rPr>
      <w:sz w:val="48"/>
      <w:szCs w:val="48"/>
    </w:rPr>
  </w:style>
  <w:style w:type="character" w:styleId="34">
    <w:name w:val="Title Char"/>
    <w:basedOn w:val="912"/>
    <w:link w:val="33"/>
    <w:uiPriority w:val="10"/>
    <w:rPr>
      <w:sz w:val="48"/>
      <w:szCs w:val="48"/>
    </w:rPr>
  </w:style>
  <w:style w:type="paragraph" w:styleId="35">
    <w:name w:val="Subtitle"/>
    <w:basedOn w:val="908"/>
    <w:next w:val="908"/>
    <w:link w:val="36"/>
    <w:uiPriority w:val="11"/>
    <w:qFormat/>
    <w:pPr>
      <w:spacing w:before="200" w:after="200"/>
    </w:pPr>
    <w:rPr>
      <w:sz w:val="24"/>
      <w:szCs w:val="24"/>
    </w:rPr>
  </w:style>
  <w:style w:type="character" w:styleId="36">
    <w:name w:val="Subtitle Char"/>
    <w:basedOn w:val="912"/>
    <w:link w:val="35"/>
    <w:uiPriority w:val="11"/>
    <w:rPr>
      <w:sz w:val="24"/>
      <w:szCs w:val="24"/>
    </w:rPr>
  </w:style>
  <w:style w:type="paragraph" w:styleId="37">
    <w:name w:val="Quote"/>
    <w:basedOn w:val="908"/>
    <w:next w:val="908"/>
    <w:link w:val="38"/>
    <w:uiPriority w:val="29"/>
    <w:qFormat/>
    <w:pPr>
      <w:ind w:left="720" w:right="720"/>
    </w:pPr>
    <w:rPr>
      <w:i/>
    </w:rPr>
  </w:style>
  <w:style w:type="character" w:styleId="38">
    <w:name w:val="Quote Char"/>
    <w:link w:val="37"/>
    <w:uiPriority w:val="29"/>
    <w:rPr>
      <w:i/>
    </w:rPr>
  </w:style>
  <w:style w:type="paragraph" w:styleId="39">
    <w:name w:val="Intense Quote"/>
    <w:basedOn w:val="908"/>
    <w:next w:val="9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2"/>
    <w:link w:val="924"/>
    <w:uiPriority w:val="99"/>
  </w:style>
  <w:style w:type="character" w:styleId="44">
    <w:name w:val="Footer Char"/>
    <w:basedOn w:val="912"/>
    <w:link w:val="922"/>
    <w:uiPriority w:val="99"/>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character" w:styleId="46">
    <w:name w:val="Caption Char"/>
    <w:basedOn w:val="45"/>
    <w:link w:val="922"/>
    <w:uiPriority w:val="99"/>
  </w:style>
  <w:style w:type="table" w:styleId="48">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2"/>
    <w:uiPriority w:val="99"/>
    <w:unhideWhenUsed/>
    <w:rPr>
      <w:vertAlign w:val="superscript"/>
    </w:rPr>
  </w:style>
  <w:style w:type="paragraph" w:styleId="177">
    <w:name w:val="endnote text"/>
    <w:basedOn w:val="9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2"/>
    <w:uiPriority w:val="99"/>
    <w:semiHidden/>
    <w:unhideWhenUsed/>
    <w:rPr>
      <w:vertAlign w:val="superscript"/>
    </w:rPr>
  </w:style>
  <w:style w:type="paragraph" w:styleId="183">
    <w:name w:val="toc 4"/>
    <w:basedOn w:val="908"/>
    <w:next w:val="908"/>
    <w:uiPriority w:val="39"/>
    <w:unhideWhenUsed/>
    <w:pPr>
      <w:ind w:left="850" w:right="0" w:firstLine="0"/>
      <w:spacing w:after="57"/>
    </w:pPr>
  </w:style>
  <w:style w:type="paragraph" w:styleId="184">
    <w:name w:val="toc 5"/>
    <w:basedOn w:val="908"/>
    <w:next w:val="908"/>
    <w:uiPriority w:val="39"/>
    <w:unhideWhenUsed/>
    <w:pPr>
      <w:ind w:left="1134" w:right="0" w:firstLine="0"/>
      <w:spacing w:after="57"/>
    </w:pPr>
  </w:style>
  <w:style w:type="paragraph" w:styleId="185">
    <w:name w:val="toc 6"/>
    <w:basedOn w:val="908"/>
    <w:next w:val="908"/>
    <w:uiPriority w:val="39"/>
    <w:unhideWhenUsed/>
    <w:pPr>
      <w:ind w:left="1417" w:right="0" w:firstLine="0"/>
      <w:spacing w:after="57"/>
    </w:pPr>
  </w:style>
  <w:style w:type="paragraph" w:styleId="186">
    <w:name w:val="toc 7"/>
    <w:basedOn w:val="908"/>
    <w:next w:val="908"/>
    <w:uiPriority w:val="39"/>
    <w:unhideWhenUsed/>
    <w:pPr>
      <w:ind w:left="1701" w:right="0" w:firstLine="0"/>
      <w:spacing w:after="57"/>
    </w:pPr>
  </w:style>
  <w:style w:type="paragraph" w:styleId="187">
    <w:name w:val="toc 8"/>
    <w:basedOn w:val="908"/>
    <w:next w:val="908"/>
    <w:uiPriority w:val="39"/>
    <w:unhideWhenUsed/>
    <w:pPr>
      <w:ind w:left="1984" w:right="0" w:firstLine="0"/>
      <w:spacing w:after="57"/>
    </w:pPr>
  </w:style>
  <w:style w:type="paragraph" w:styleId="188">
    <w:name w:val="toc 9"/>
    <w:basedOn w:val="908"/>
    <w:next w:val="9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8"/>
    <w:next w:val="908"/>
    <w:uiPriority w:val="99"/>
    <w:unhideWhenUsed/>
    <w:pPr>
      <w:spacing w:after="0" w:afterAutospacing="0"/>
    </w:pPr>
  </w:style>
  <w:style w:type="paragraph" w:styleId="90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09">
    <w:name w:val="Heading 1"/>
    <w:basedOn w:val="908"/>
    <w:next w:val="908"/>
    <w:uiPriority w:val="0"/>
    <w:qFormat/>
    <w:pPr>
      <w:ind w:left="100" w:right="100"/>
      <w:keepLines/>
      <w:keepNext/>
      <w:spacing w:before="120" w:after="120"/>
      <w:outlineLvl w:val="0"/>
    </w:pPr>
    <w:rPr>
      <w:b/>
      <w:bCs/>
      <w:szCs w:val="44"/>
    </w:rPr>
  </w:style>
  <w:style w:type="paragraph" w:styleId="910">
    <w:name w:val="Heading 2"/>
    <w:basedOn w:val="908"/>
    <w:next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1">
    <w:name w:val="Heading 4"/>
    <w:basedOn w:val="908"/>
    <w:next w:val="908"/>
    <w:uiPriority w:val="0"/>
    <w:qFormat/>
    <w:pPr>
      <w:keepLines/>
      <w:keepNext/>
      <w:spacing w:before="280" w:after="290" w:line="376" w:lineRule="auto"/>
      <w:outlineLvl w:val="3"/>
    </w:pPr>
    <w:rPr>
      <w:rFonts w:ascii="Arial" w:hAnsi="Arial" w:eastAsia="黑体" w:cs="Arial"/>
      <w:b/>
      <w:bCs/>
      <w:sz w:val="28"/>
      <w:szCs w:val="28"/>
    </w:r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Note Heading"/>
    <w:basedOn w:val="908"/>
    <w:next w:val="908"/>
    <w:uiPriority w:val="99"/>
    <w:qFormat/>
    <w:rPr>
      <w:rFonts w:ascii="Verdana" w:hAnsi="Verdana"/>
      <w:szCs w:val="20"/>
    </w:rPr>
  </w:style>
  <w:style w:type="paragraph" w:styleId="915">
    <w:name w:val="Normal Indent"/>
    <w:basedOn w:val="908"/>
    <w:uiPriority w:val="0"/>
    <w:qFormat/>
    <w:pPr>
      <w:ind w:firstLine="420"/>
    </w:pPr>
    <w:rPr>
      <w:sz w:val="20"/>
      <w:szCs w:val="21"/>
    </w:rPr>
  </w:style>
  <w:style w:type="paragraph" w:styleId="916">
    <w:name w:val="toa heading"/>
    <w:basedOn w:val="908"/>
    <w:next w:val="908"/>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917">
    <w:name w:val="Body Text"/>
    <w:basedOn w:val="908"/>
    <w:next w:val="908"/>
    <w:uiPriority w:val="1"/>
    <w:qFormat/>
    <w:pPr>
      <w:ind w:left="120"/>
      <w:spacing w:before="150"/>
    </w:pPr>
    <w:rPr>
      <w:sz w:val="24"/>
      <w:szCs w:val="24"/>
    </w:rPr>
  </w:style>
  <w:style w:type="paragraph" w:styleId="918">
    <w:name w:val="Body Text Indent"/>
    <w:basedOn w:val="908"/>
    <w:uiPriority w:val="0"/>
    <w:unhideWhenUsed/>
    <w:qFormat/>
    <w:pPr>
      <w:ind w:left="420"/>
      <w:spacing w:after="120"/>
    </w:pPr>
  </w:style>
  <w:style w:type="paragraph" w:styleId="919">
    <w:name w:val="Block Text"/>
    <w:basedOn w:val="908"/>
    <w:uiPriority w:val="0"/>
    <w:qFormat/>
    <w:pPr>
      <w:ind w:left="1440" w:right="700"/>
      <w:spacing w:after="120"/>
    </w:pPr>
    <w:rPr>
      <w:rFonts w:ascii="Times New Roman" w:hAnsi="Times New Roman"/>
    </w:rPr>
  </w:style>
  <w:style w:type="paragraph" w:styleId="920">
    <w:name w:val="toc 3"/>
    <w:basedOn w:val="908"/>
    <w:next w:val="908"/>
    <w:uiPriority w:val="0"/>
    <w:qFormat/>
    <w:pPr>
      <w:ind w:left="840"/>
    </w:pPr>
  </w:style>
  <w:style w:type="paragraph" w:styleId="921">
    <w:name w:val="Plain Text"/>
    <w:basedOn w:val="908"/>
    <w:uiPriority w:val="0"/>
    <w:qFormat/>
    <w:rPr>
      <w:rFonts w:ascii="宋体" w:hAnsi="Courier New" w:eastAsia="宋体" w:cs="Courier New"/>
      <w:szCs w:val="21"/>
    </w:rPr>
  </w:style>
  <w:style w:type="paragraph" w:styleId="922">
    <w:name w:val="Footer"/>
    <w:basedOn w:val="908"/>
    <w:uiPriority w:val="99"/>
    <w:qFormat/>
    <w:pPr>
      <w:jc w:val="left"/>
      <w:tabs>
        <w:tab w:val="center" w:pos="4153" w:leader="none"/>
        <w:tab w:val="right" w:pos="8306" w:leader="none"/>
      </w:tabs>
    </w:pPr>
    <w:rPr>
      <w:rFonts w:ascii="Times New Roman" w:hAnsi="Times New Roman"/>
      <w:sz w:val="18"/>
      <w:szCs w:val="18"/>
    </w:rPr>
  </w:style>
  <w:style w:type="paragraph" w:styleId="923">
    <w:name w:val="envelope return"/>
    <w:basedOn w:val="908"/>
    <w:uiPriority w:val="99"/>
    <w:unhideWhenUsed/>
    <w:qFormat/>
    <w:rPr>
      <w:rFonts w:ascii="Arial" w:hAnsi="Arial" w:cs="Arial"/>
    </w:rPr>
  </w:style>
  <w:style w:type="paragraph" w:styleId="924">
    <w:name w:val="Header"/>
    <w:basedOn w:val="90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25">
    <w:name w:val="toc 1"/>
    <w:basedOn w:val="908"/>
    <w:next w:val="908"/>
    <w:uiPriority w:val="0"/>
    <w:qFormat/>
  </w:style>
  <w:style w:type="paragraph" w:styleId="926">
    <w:name w:val="toc 2"/>
    <w:basedOn w:val="908"/>
    <w:next w:val="908"/>
    <w:uiPriority w:val="0"/>
    <w:qFormat/>
    <w:pPr>
      <w:ind w:left="420"/>
    </w:pPr>
  </w:style>
  <w:style w:type="paragraph" w:styleId="927">
    <w:name w:val="Normal (Web)"/>
    <w:basedOn w:val="908"/>
    <w:uiPriority w:val="0"/>
    <w:qFormat/>
    <w:pPr>
      <w:ind w:left="0" w:right="0"/>
      <w:jc w:val="left"/>
      <w:spacing w:before="0" w:beforeAutospacing="1" w:after="0" w:afterAutospacing="1"/>
    </w:pPr>
    <w:rPr>
      <w:sz w:val="24"/>
      <w:lang w:val="en-US" w:eastAsia="zh-CN" w:bidi="ar"/>
    </w:rPr>
  </w:style>
  <w:style w:type="paragraph" w:styleId="928">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929">
    <w:name w:val="Table Grid"/>
    <w:basedOn w:val="91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basedOn w:val="912"/>
    <w:uiPriority w:val="0"/>
    <w:qFormat/>
    <w:rPr>
      <w:b/>
    </w:rPr>
  </w:style>
  <w:style w:type="character" w:styleId="931">
    <w:name w:val="page number"/>
    <w:uiPriority w:val="0"/>
    <w:qFormat/>
  </w:style>
  <w:style w:type="character" w:styleId="932">
    <w:name w:val="Emphasis"/>
    <w:uiPriority w:val="0"/>
    <w:unhideWhenUsed/>
    <w:qFormat/>
    <w:rPr>
      <w:rFonts w:hint="default"/>
      <w:i/>
      <w:sz w:val="24"/>
      <w:szCs w:val="24"/>
    </w:rPr>
  </w:style>
  <w:style w:type="character" w:styleId="933">
    <w:name w:val="Hyperlink"/>
    <w:uiPriority w:val="0"/>
    <w:qFormat/>
    <w:rPr>
      <w:color w:val="0000ff"/>
      <w:u w:val="single"/>
    </w:rPr>
  </w:style>
  <w:style w:type="paragraph" w:styleId="934">
    <w:name w:val="List Paragraph"/>
    <w:basedOn w:val="908"/>
    <w:uiPriority w:val="34"/>
    <w:unhideWhenUsed/>
    <w:qFormat/>
    <w:pPr>
      <w:ind w:firstLine="420"/>
    </w:pPr>
  </w:style>
  <w:style w:type="paragraph" w:styleId="935" w:customStyle="1">
    <w:name w:val="论文正文"/>
    <w:basedOn w:val="908"/>
    <w:uiPriority w:val="99"/>
    <w:qFormat/>
    <w:pPr>
      <w:ind w:firstLine="200"/>
      <w:spacing w:line="360" w:lineRule="auto"/>
    </w:pPr>
    <w:rPr>
      <w:rFonts w:eastAsia="宋体"/>
    </w:rPr>
  </w:style>
  <w:style w:type="paragraph" w:styleId="93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937" w:customStyle="1">
    <w:name w:val="bot_zi"/>
    <w:basedOn w:val="912"/>
    <w:uiPriority w:val="0"/>
    <w:qFormat/>
  </w:style>
  <w:style w:type="paragraph" w:styleId="938"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9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42" w:customStyle="1">
    <w:name w:val="列出段落1"/>
    <w:basedOn w:val="908"/>
    <w:uiPriority w:val="0"/>
    <w:qFormat/>
    <w:pPr>
      <w:contextualSpacing/>
      <w:ind w:left="720"/>
      <w:jc w:val="left"/>
      <w:widowControl/>
    </w:pPr>
    <w:rPr>
      <w:rFonts w:ascii="Calibri" w:hAnsi="Calibri"/>
      <w:sz w:val="24"/>
      <w:szCs w:val="24"/>
      <w:lang w:eastAsia="en-US" w:bidi="en-US"/>
    </w:rPr>
  </w:style>
  <w:style w:type="paragraph" w:styleId="943" w:customStyle="1">
    <w:name w:val="WPSOffice手动目录 1"/>
    <w:uiPriority w:val="0"/>
    <w:qFormat/>
    <w:rPr>
      <w:rFonts w:ascii="Times New Roman" w:hAnsi="Times New Roman" w:eastAsia="宋体" w:cs="Times New Roman"/>
      <w:sz w:val="20"/>
      <w:szCs w:val="20"/>
    </w:rPr>
  </w:style>
  <w:style w:type="paragraph" w:styleId="944" w:customStyle="1">
    <w:name w:val="WPSOffice手动目录 2"/>
    <w:uiPriority w:val="0"/>
    <w:qFormat/>
    <w:rPr>
      <w:rFonts w:ascii="Times New Roman" w:hAnsi="Times New Roman" w:eastAsia="宋体" w:cs="Times New Roman"/>
      <w:sz w:val="20"/>
      <w:szCs w:val="20"/>
    </w:rPr>
  </w:style>
  <w:style w:type="paragraph" w:styleId="945" w:customStyle="1">
    <w:name w:val="WPSOffice手动目录 3"/>
    <w:uiPriority w:val="0"/>
    <w:qFormat/>
    <w:rPr>
      <w:rFonts w:ascii="Times New Roman" w:hAnsi="Times New Roman" w:eastAsia="宋体" w:cs="Times New Roman"/>
      <w:sz w:val="20"/>
      <w:szCs w:val="20"/>
    </w:rPr>
  </w:style>
  <w:style w:type="paragraph" w:styleId="946" w:customStyle="1">
    <w:name w:val="正文首行缩进1"/>
    <w:basedOn w:val="947"/>
    <w:uiPriority w:val="0"/>
    <w:unhideWhenUsed/>
    <w:qFormat/>
    <w:pPr>
      <w:ind w:firstLine="420"/>
    </w:pPr>
  </w:style>
  <w:style w:type="paragraph" w:styleId="947" w:customStyle="1">
    <w:name w:val="正文文本11"/>
    <w:basedOn w:val="908"/>
    <w:next w:val="948"/>
    <w:uiPriority w:val="0"/>
    <w:qFormat/>
    <w:rPr>
      <w:rFonts w:ascii="楷体_GB2312" w:hAnsi="Arial" w:eastAsia="楷体_GB2312"/>
      <w:sz w:val="28"/>
      <w:szCs w:val="20"/>
    </w:rPr>
  </w:style>
  <w:style w:type="paragraph" w:styleId="948" w:customStyle="1">
    <w:name w:val="正文文本 21"/>
    <w:basedOn w:val="908"/>
    <w:uiPriority w:val="99"/>
    <w:qFormat/>
    <w:pPr>
      <w:jc w:val="center"/>
    </w:pPr>
    <w:rPr>
      <w:rFonts w:ascii="仿宋_GB2312" w:eastAsia="仿宋_GB2312"/>
      <w:sz w:val="44"/>
    </w:rPr>
  </w:style>
  <w:style w:type="paragraph" w:styleId="949" w:customStyle="1">
    <w:name w:val="纯文本1"/>
    <w:basedOn w:val="908"/>
    <w:uiPriority w:val="0"/>
    <w:qFormat/>
    <w:rPr>
      <w:rFonts w:ascii="宋体" w:hAnsi="Courier New" w:eastAsia="楷体_GB2312"/>
      <w:sz w:val="26"/>
      <w:szCs w:val="22"/>
    </w:rPr>
  </w:style>
  <w:style w:type="paragraph" w:styleId="950" w:customStyle="1">
    <w:name w:val="首行缩进_0"/>
    <w:basedOn w:val="951"/>
    <w:uiPriority w:val="0"/>
    <w:qFormat/>
    <w:pPr>
      <w:ind w:firstLine="480"/>
      <w:jc w:val="left"/>
      <w:spacing w:line="360" w:lineRule="auto"/>
    </w:pPr>
    <w:rPr>
      <w:rFonts w:ascii="宋体" w:hAnsi="宋体"/>
      <w:sz w:val="24"/>
    </w:rPr>
  </w:style>
  <w:style w:type="paragraph" w:styleId="951" w:customStyle="1">
    <w:name w:val="Normal_0"/>
    <w:basedOn w:val="952"/>
    <w:next w:val="952"/>
    <w:uiPriority w:val="0"/>
    <w:qFormat/>
    <w:pPr>
      <w:ind w:firstLine="200"/>
      <w:jc w:val="both"/>
      <w:spacing w:line="440" w:lineRule="exact"/>
      <w:widowControl w:val="off"/>
    </w:pPr>
    <w:rPr>
      <w:rFonts w:eastAsia="宋体"/>
      <w:sz w:val="21"/>
    </w:rPr>
  </w:style>
  <w:style w:type="paragraph" w:styleId="952" w:customStyle="1">
    <w:name w:val="Normal_1"/>
    <w:next w:val="95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3" w:customStyle="1">
    <w:name w:val="首行缩进_0_0"/>
    <w:basedOn w:val="952"/>
    <w:uiPriority w:val="0"/>
    <w:qFormat/>
    <w:pPr>
      <w:ind w:firstLine="480"/>
      <w:spacing w:line="360" w:lineRule="auto"/>
    </w:pPr>
    <w:rPr>
      <w:rFonts w:ascii="宋体" w:hAnsi="宋体"/>
    </w:rPr>
  </w:style>
  <w:style w:type="paragraph" w:styleId="954"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5" w:customStyle="1">
    <w:name w:val="Normal_5"/>
    <w:next w:val="95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6" w:customStyle="1">
    <w:name w:val="+正文"/>
    <w:basedOn w:val="908"/>
    <w:uiPriority w:val="0"/>
    <w:qFormat/>
    <w:pPr>
      <w:ind w:firstLine="200"/>
      <w:spacing w:line="360" w:lineRule="auto"/>
    </w:pPr>
    <w:rPr>
      <w:rFonts w:ascii="Times New Roman" w:hAnsi="Times New Roman"/>
      <w:sz w:val="24"/>
      <w:szCs w:val="28"/>
    </w:rPr>
  </w:style>
  <w:style w:type="paragraph" w:styleId="957" w:customStyle="1">
    <w:name w:val="彩色列表1"/>
    <w:basedOn w:val="908"/>
    <w:uiPriority w:val="0"/>
    <w:qFormat/>
    <w:pPr>
      <w:ind w:firstLine="420"/>
    </w:pPr>
  </w:style>
  <w:style w:type="paragraph" w:styleId="958" w:customStyle="1">
    <w:name w:val="正文文本1"/>
    <w:basedOn w:val="908"/>
    <w:next w:val="908"/>
    <w:uiPriority w:val="0"/>
    <w:qFormat/>
    <w:rPr>
      <w:rFonts w:ascii="宋体" w:eastAsia="宋体"/>
      <w:sz w:val="28"/>
    </w:rPr>
  </w:style>
  <w:style w:type="numbering" w:styleId="16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潘保婕</cp:lastModifiedBy>
  <cp:revision>2</cp:revision>
  <dcterms:created xsi:type="dcterms:W3CDTF">2024-04-24T14:46:00Z</dcterms:created>
  <dcterms:modified xsi:type="dcterms:W3CDTF">2026-04-08T02:58:52Z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B2CD603BCCA841EDAD2627D24CD0275F_13</vt:lpwstr>
  </property>
  <property fmtid="{D5CDD505-2E9C-101B-9397-08002B2CF9AE}" pid="4" name="KSOTemplateDocerSaveRecord">
    <vt:lpwstr>eyJoZGlkIjoiNzNmNzE2NTViM2MyZDhkM2Q0ZjBiNDE1ZWQ1NGRjYjkiLCJ1c2VySWQiOiI0NTQwNzYzOTEifQ==</vt:lpwstr>
  </property>
</Properties>
</file>