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1D5626">
      <w:pPr>
        <w:pStyle w:val="27"/>
        <w:spacing w:before="0" w:after="0"/>
        <w:ind w:firstLine="0" w:firstLineChars="0"/>
        <w:textAlignment w:val="baseline"/>
        <w:rPr>
          <w:rFonts w:hint="eastAsia" w:ascii="仿宋" w:hAnsi="仿宋" w:eastAsia="仿宋" w:cs="仿宋"/>
          <w:b/>
          <w:bCs/>
          <w:sz w:val="84"/>
          <w:highlight w:val="none"/>
        </w:rPr>
      </w:pPr>
    </w:p>
    <w:p w14:paraId="098916E9">
      <w:pPr>
        <w:jc w:val="center"/>
        <w:rPr>
          <w:rFonts w:hint="eastAsia" w:ascii="仿宋" w:hAnsi="仿宋" w:eastAsia="仿宋" w:cs="仿宋"/>
          <w:b/>
          <w:bCs/>
          <w:color w:val="auto"/>
          <w:sz w:val="96"/>
          <w:szCs w:val="96"/>
          <w:highlight w:val="none"/>
        </w:rPr>
      </w:pPr>
      <w:r>
        <w:rPr>
          <w:rFonts w:hint="eastAsia" w:ascii="仿宋" w:hAnsi="仿宋" w:eastAsia="仿宋" w:cs="仿宋"/>
          <w:b/>
          <w:bCs/>
          <w:color w:val="auto"/>
          <w:sz w:val="96"/>
          <w:szCs w:val="96"/>
          <w:highlight w:val="none"/>
        </w:rPr>
        <w:t>竞争性磋商文件</w:t>
      </w:r>
    </w:p>
    <w:p w14:paraId="116C81D1">
      <w:pPr>
        <w:pStyle w:val="27"/>
        <w:spacing w:before="0" w:after="0"/>
        <w:ind w:firstLine="1687"/>
        <w:jc w:val="center"/>
        <w:textAlignment w:val="baseline"/>
        <w:rPr>
          <w:rFonts w:hint="eastAsia" w:ascii="仿宋" w:hAnsi="仿宋" w:eastAsia="仿宋" w:cs="仿宋"/>
          <w:b/>
          <w:bCs/>
          <w:color w:val="auto"/>
          <w:sz w:val="84"/>
          <w:highlight w:val="none"/>
        </w:rPr>
      </w:pPr>
    </w:p>
    <w:p w14:paraId="1CC0134F">
      <w:pPr>
        <w:pStyle w:val="27"/>
        <w:spacing w:before="0" w:after="0"/>
        <w:ind w:firstLine="723"/>
        <w:textAlignment w:val="baseline"/>
        <w:rPr>
          <w:rFonts w:hint="eastAsia" w:ascii="仿宋" w:hAnsi="仿宋" w:eastAsia="仿宋" w:cs="仿宋"/>
          <w:b/>
          <w:bCs/>
          <w:color w:val="auto"/>
          <w:sz w:val="36"/>
          <w:szCs w:val="36"/>
          <w:highlight w:val="none"/>
        </w:rPr>
      </w:pPr>
    </w:p>
    <w:p w14:paraId="77B125A3">
      <w:pPr>
        <w:pStyle w:val="27"/>
        <w:spacing w:before="0" w:after="0"/>
        <w:ind w:firstLine="723"/>
        <w:textAlignment w:val="baseline"/>
        <w:rPr>
          <w:rFonts w:hint="eastAsia" w:ascii="仿宋" w:hAnsi="仿宋" w:eastAsia="仿宋" w:cs="仿宋"/>
          <w:b/>
          <w:bCs/>
          <w:color w:val="auto"/>
          <w:sz w:val="36"/>
          <w:szCs w:val="36"/>
          <w:highlight w:val="none"/>
        </w:rPr>
      </w:pPr>
    </w:p>
    <w:p w14:paraId="14151D25">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项目名称：江苏省农业农村厅2026年度部分信息化</w:t>
      </w:r>
    </w:p>
    <w:p w14:paraId="7AEE1889">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基础设施升级维护项目</w:t>
      </w:r>
    </w:p>
    <w:p w14:paraId="6FC9EF06">
      <w:pPr>
        <w:spacing w:line="600" w:lineRule="auto"/>
        <w:jc w:val="center"/>
        <w:rPr>
          <w:rFonts w:hint="eastAsia" w:ascii="仿宋" w:hAnsi="仿宋" w:eastAsia="仿宋" w:cs="仿宋"/>
          <w:b/>
          <w:bCs/>
          <w:color w:val="auto"/>
          <w:sz w:val="36"/>
          <w:szCs w:val="36"/>
          <w:highlight w:val="none"/>
          <w:u w:val="single"/>
          <w:lang w:eastAsia="zh-CN"/>
        </w:rPr>
      </w:pPr>
      <w:r>
        <w:rPr>
          <w:rFonts w:hint="eastAsia" w:ascii="仿宋" w:hAnsi="仿宋" w:eastAsia="仿宋" w:cs="仿宋"/>
          <w:b/>
          <w:bCs/>
          <w:color w:val="auto"/>
          <w:sz w:val="36"/>
          <w:szCs w:val="36"/>
          <w:highlight w:val="none"/>
        </w:rPr>
        <w:t>项目编号：</w:t>
      </w:r>
      <w:r>
        <w:rPr>
          <w:rFonts w:hint="eastAsia" w:ascii="仿宋" w:hAnsi="仿宋" w:eastAsia="仿宋" w:cs="仿宋"/>
          <w:b/>
          <w:bCs/>
          <w:color w:val="auto"/>
          <w:sz w:val="36"/>
          <w:szCs w:val="36"/>
          <w:highlight w:val="none"/>
          <w:lang w:eastAsia="zh-CN"/>
        </w:rPr>
        <w:t>JSZC-320000-SDCX-C2026-0002</w:t>
      </w:r>
    </w:p>
    <w:p w14:paraId="1142199F">
      <w:pPr>
        <w:pStyle w:val="27"/>
        <w:spacing w:before="0" w:after="0"/>
        <w:ind w:firstLine="723"/>
        <w:jc w:val="both"/>
        <w:textAlignment w:val="baseline"/>
        <w:rPr>
          <w:rFonts w:hint="eastAsia" w:ascii="仿宋" w:hAnsi="仿宋" w:eastAsia="仿宋" w:cs="仿宋"/>
          <w:b/>
          <w:bCs/>
          <w:color w:val="auto"/>
          <w:sz w:val="36"/>
          <w:szCs w:val="36"/>
          <w:highlight w:val="none"/>
        </w:rPr>
      </w:pPr>
    </w:p>
    <w:p w14:paraId="5F71B01C">
      <w:pPr>
        <w:pStyle w:val="27"/>
        <w:spacing w:before="0" w:after="0"/>
        <w:ind w:firstLine="0" w:firstLineChars="0"/>
        <w:jc w:val="both"/>
        <w:textAlignment w:val="baseline"/>
        <w:rPr>
          <w:rFonts w:hint="eastAsia" w:ascii="仿宋" w:hAnsi="仿宋" w:eastAsia="仿宋" w:cs="仿宋"/>
          <w:b/>
          <w:bCs/>
          <w:color w:val="auto"/>
          <w:sz w:val="36"/>
          <w:szCs w:val="36"/>
          <w:highlight w:val="none"/>
        </w:rPr>
      </w:pPr>
    </w:p>
    <w:p w14:paraId="32B675E6">
      <w:pPr>
        <w:pStyle w:val="27"/>
        <w:spacing w:before="0" w:after="0"/>
        <w:ind w:firstLine="0" w:firstLineChars="0"/>
        <w:jc w:val="both"/>
        <w:textAlignment w:val="baseline"/>
        <w:rPr>
          <w:rFonts w:hint="eastAsia" w:ascii="仿宋" w:hAnsi="仿宋" w:eastAsia="仿宋" w:cs="仿宋"/>
          <w:b/>
          <w:bCs/>
          <w:color w:val="auto"/>
          <w:sz w:val="36"/>
          <w:szCs w:val="36"/>
          <w:highlight w:val="none"/>
        </w:rPr>
      </w:pPr>
    </w:p>
    <w:p w14:paraId="5FD356B5">
      <w:pPr>
        <w:pStyle w:val="27"/>
        <w:spacing w:before="0" w:after="0"/>
        <w:ind w:firstLine="723"/>
        <w:jc w:val="both"/>
        <w:textAlignment w:val="baseline"/>
        <w:rPr>
          <w:rFonts w:hint="eastAsia" w:ascii="仿宋" w:hAnsi="仿宋" w:eastAsia="仿宋" w:cs="仿宋"/>
          <w:b/>
          <w:bCs/>
          <w:color w:val="auto"/>
          <w:sz w:val="36"/>
          <w:szCs w:val="36"/>
          <w:highlight w:val="none"/>
        </w:rPr>
      </w:pPr>
    </w:p>
    <w:p w14:paraId="2038061D">
      <w:pPr>
        <w:pStyle w:val="27"/>
        <w:spacing w:before="0" w:after="0"/>
        <w:ind w:firstLine="723"/>
        <w:jc w:val="both"/>
        <w:textAlignment w:val="baseline"/>
        <w:rPr>
          <w:rFonts w:hint="eastAsia" w:ascii="仿宋" w:hAnsi="仿宋" w:eastAsia="仿宋" w:cs="仿宋"/>
          <w:b/>
          <w:bCs/>
          <w:color w:val="auto"/>
          <w:sz w:val="36"/>
          <w:szCs w:val="36"/>
          <w:highlight w:val="none"/>
        </w:rPr>
      </w:pPr>
    </w:p>
    <w:p w14:paraId="7FA4311F">
      <w:pPr>
        <w:pStyle w:val="27"/>
        <w:spacing w:before="0" w:after="0"/>
        <w:ind w:firstLine="723"/>
        <w:jc w:val="both"/>
        <w:textAlignment w:val="baseline"/>
        <w:rPr>
          <w:rFonts w:hint="eastAsia" w:ascii="仿宋" w:hAnsi="仿宋" w:eastAsia="仿宋" w:cs="仿宋"/>
          <w:b/>
          <w:bCs/>
          <w:color w:val="auto"/>
          <w:sz w:val="36"/>
          <w:szCs w:val="36"/>
          <w:highlight w:val="none"/>
        </w:rPr>
      </w:pPr>
    </w:p>
    <w:p w14:paraId="0C7D64EA">
      <w:pPr>
        <w:pStyle w:val="27"/>
        <w:spacing w:before="0" w:after="0" w:line="600" w:lineRule="auto"/>
        <w:ind w:firstLine="0" w:firstLineChars="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采 购 人：江苏省农业信息中心</w:t>
      </w:r>
    </w:p>
    <w:p w14:paraId="2255A2D4">
      <w:pPr>
        <w:pStyle w:val="27"/>
        <w:spacing w:before="0" w:after="0" w:line="600" w:lineRule="auto"/>
        <w:ind w:firstLine="0" w:firstLineChars="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代理机构：江苏达琛鑫项目管理有限公司</w:t>
      </w:r>
    </w:p>
    <w:p w14:paraId="354A00F5">
      <w:pPr>
        <w:spacing w:line="600" w:lineRule="auto"/>
        <w:jc w:val="center"/>
        <w:rPr>
          <w:rFonts w:hint="eastAsia" w:ascii="仿宋" w:hAnsi="仿宋" w:eastAsia="仿宋" w:cs="仿宋"/>
          <w:b/>
          <w:bCs/>
          <w:color w:val="auto"/>
          <w:szCs w:val="36"/>
          <w:highlight w:val="none"/>
        </w:rPr>
      </w:pPr>
      <w:r>
        <w:rPr>
          <w:rFonts w:hint="eastAsia" w:ascii="仿宋" w:hAnsi="仿宋" w:eastAsia="仿宋" w:cs="仿宋"/>
          <w:b/>
          <w:bCs/>
          <w:color w:val="auto"/>
          <w:sz w:val="36"/>
          <w:szCs w:val="36"/>
          <w:highlight w:val="none"/>
        </w:rPr>
        <w:t>二 〇 二 六 年 四</w:t>
      </w:r>
      <w:r>
        <w:rPr>
          <w:rFonts w:hint="eastAsia" w:ascii="仿宋" w:hAnsi="仿宋" w:eastAsia="仿宋" w:cs="仿宋"/>
          <w:b/>
          <w:bCs/>
          <w:color w:val="auto"/>
          <w:sz w:val="32"/>
          <w:szCs w:val="32"/>
          <w:highlight w:val="none"/>
        </w:rPr>
        <w:t xml:space="preserve"> 月</w:t>
      </w:r>
    </w:p>
    <w:p w14:paraId="2EC18AEC">
      <w:pPr>
        <w:spacing w:line="600" w:lineRule="auto"/>
        <w:jc w:val="center"/>
        <w:textAlignment w:val="baseline"/>
        <w:rPr>
          <w:rFonts w:hint="eastAsia" w:ascii="仿宋" w:hAnsi="仿宋" w:eastAsia="仿宋" w:cs="仿宋"/>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624" w:footer="964" w:gutter="0"/>
          <w:cols w:space="720" w:num="1"/>
          <w:titlePg/>
          <w:docGrid w:type="lines" w:linePitch="312" w:charSpace="0"/>
        </w:sectPr>
      </w:pPr>
    </w:p>
    <w:sdt>
      <w:sdtPr>
        <w:rPr>
          <w:rFonts w:hint="eastAsia" w:ascii="仿宋" w:hAnsi="仿宋" w:eastAsia="仿宋" w:cs="仿宋"/>
          <w:b/>
          <w:bCs/>
          <w:color w:val="auto"/>
          <w:highlight w:val="none"/>
        </w:rPr>
        <w:id w:val="147452488"/>
        <w15:color w:val="DBDBDB"/>
      </w:sdtPr>
      <w:sdtEndPr>
        <w:rPr>
          <w:rFonts w:hint="eastAsia" w:ascii="仿宋" w:hAnsi="仿宋" w:eastAsia="仿宋" w:cs="仿宋"/>
          <w:b/>
          <w:bCs/>
          <w:color w:val="auto"/>
          <w:highlight w:val="none"/>
        </w:rPr>
      </w:sdtEndPr>
      <w:sdtContent>
        <w:p w14:paraId="10A58F9C">
          <w:pPr>
            <w:spacing w:after="0" w:line="240" w:lineRule="auto"/>
            <w:jc w:val="center"/>
            <w:rPr>
              <w:rFonts w:hint="eastAsia" w:ascii="仿宋" w:hAnsi="仿宋" w:eastAsia="仿宋" w:cs="仿宋"/>
              <w:b/>
              <w:bCs/>
              <w:color w:val="auto"/>
              <w:sz w:val="28"/>
              <w:szCs w:val="28"/>
              <w:highlight w:val="none"/>
            </w:rPr>
          </w:pPr>
          <w:bookmarkStart w:id="0" w:name="_Toc29723"/>
          <w:bookmarkStart w:id="1" w:name="_Toc21936"/>
          <w:bookmarkStart w:id="2" w:name="_Toc2312"/>
          <w:bookmarkStart w:id="3" w:name="_Toc21586"/>
          <w:bookmarkStart w:id="4" w:name="_Toc21568"/>
          <w:bookmarkStart w:id="5" w:name="_Toc17453"/>
          <w:bookmarkStart w:id="6" w:name="_Toc13193"/>
          <w:bookmarkStart w:id="7" w:name="_Toc31010"/>
          <w:bookmarkStart w:id="8" w:name="_Toc5114"/>
          <w:bookmarkStart w:id="9" w:name="_Toc2039"/>
          <w:r>
            <w:rPr>
              <w:rFonts w:hint="eastAsia" w:ascii="仿宋" w:hAnsi="仿宋" w:eastAsia="仿宋" w:cs="仿宋"/>
              <w:b/>
              <w:bCs/>
              <w:color w:val="auto"/>
              <w:sz w:val="28"/>
              <w:szCs w:val="28"/>
              <w:highlight w:val="none"/>
            </w:rPr>
            <w:t>目  录</w:t>
          </w:r>
        </w:p>
        <w:p w14:paraId="0001F1F2">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TOC \o "1-1" \h \u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"_Toc22635"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第一章 采购邀请（采购公告）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_Toc22635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39C6201">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"_Toc14414"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第二章 磋商须知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_Toc14414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20ADFB80">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"_Toc10878"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第三章 合同条款及格式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_Toc10878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EAA81CC">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"_Toc25683"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56"/>
              <w:highlight w:val="none"/>
            </w:rPr>
            <w:t>第四章 项目需求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_Toc25683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C5C0A33">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"_Toc29652"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第五章 评审方法与评审标准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_Toc29652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46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5B50FB1F">
          <w:pPr>
            <w:pStyle w:val="14"/>
            <w:tabs>
              <w:tab w:val="right" w:leader="dot" w:pos="9746"/>
            </w:tabs>
            <w:rPr>
              <w:rFonts w:hint="eastAsia" w:ascii="仿宋" w:hAnsi="仿宋" w:eastAsia="仿宋" w:cs="仿宋"/>
              <w:color w:val="auto"/>
              <w:sz w:val="24"/>
              <w:szCs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"_Toc965"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第六章 响应文件格式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_Toc965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49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B0B149">
          <w:pPr>
            <w:rPr>
              <w:rFonts w:hint="eastAsia" w:ascii="仿宋" w:hAnsi="仿宋" w:eastAsia="仿宋" w:cs="仿宋"/>
              <w:color w:val="auto"/>
              <w:highlight w:val="none"/>
            </w:rPr>
          </w:pPr>
          <w:r>
            <w:rPr>
              <w:rFonts w:hint="eastAsia" w:ascii="仿宋" w:hAnsi="仿宋" w:eastAsia="仿宋" w:cs="仿宋"/>
              <w:color w:val="auto"/>
              <w:sz w:val="28"/>
              <w:szCs w:val="36"/>
              <w:highlight w:val="none"/>
            </w:rPr>
            <w:fldChar w:fldCharType="end"/>
          </w:r>
        </w:p>
      </w:sdtContent>
    </w:sdt>
    <w:p w14:paraId="19EB3EC2">
      <w:pPr>
        <w:pageBreakBefore/>
        <w:widowControl/>
        <w:ind w:left="630" w:leftChars="300" w:right="1049"/>
        <w:jc w:val="center"/>
        <w:textAlignment w:val="baseline"/>
        <w:outlineLvl w:val="0"/>
        <w:rPr>
          <w:rFonts w:hint="eastAsia" w:ascii="仿宋" w:hAnsi="仿宋" w:eastAsia="仿宋" w:cs="仿宋"/>
          <w:b/>
          <w:bCs/>
          <w:color w:val="auto"/>
          <w:sz w:val="40"/>
          <w:highlight w:val="none"/>
        </w:rPr>
      </w:pPr>
      <w:bookmarkStart w:id="10" w:name="_Toc24230"/>
      <w:bookmarkStart w:id="11" w:name="_Toc22635"/>
      <w:r>
        <w:rPr>
          <w:rFonts w:hint="eastAsia" w:ascii="仿宋" w:hAnsi="仿宋" w:eastAsia="仿宋" w:cs="仿宋"/>
          <w:b/>
          <w:bCs/>
          <w:color w:val="auto"/>
          <w:sz w:val="40"/>
          <w:highlight w:val="none"/>
        </w:rPr>
        <w:t>第一章 采购邀请</w:t>
      </w:r>
      <w:bookmarkEnd w:id="0"/>
      <w:bookmarkEnd w:id="1"/>
      <w:bookmarkEnd w:id="2"/>
      <w:bookmarkEnd w:id="3"/>
      <w:bookmarkEnd w:id="4"/>
      <w:bookmarkEnd w:id="5"/>
      <w:bookmarkEnd w:id="6"/>
      <w:bookmarkEnd w:id="7"/>
      <w:bookmarkEnd w:id="8"/>
      <w:bookmarkEnd w:id="9"/>
      <w:bookmarkEnd w:id="10"/>
      <w:r>
        <w:rPr>
          <w:rFonts w:hint="eastAsia" w:ascii="仿宋" w:hAnsi="仿宋" w:eastAsia="仿宋" w:cs="仿宋"/>
          <w:b/>
          <w:bCs/>
          <w:color w:val="auto"/>
          <w:sz w:val="40"/>
          <w:highlight w:val="none"/>
        </w:rPr>
        <w:t>（采购公告）</w:t>
      </w:r>
      <w:bookmarkEnd w:id="11"/>
    </w:p>
    <w:p w14:paraId="1091938E">
      <w:pPr>
        <w:snapToGrid w:val="0"/>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江苏达琛鑫项目管理有限公司受</w:t>
      </w:r>
      <w:r>
        <w:rPr>
          <w:rFonts w:hint="eastAsia" w:ascii="仿宋" w:hAnsi="仿宋" w:eastAsia="仿宋" w:cs="仿宋"/>
          <w:b/>
          <w:bCs/>
          <w:color w:val="auto"/>
          <w:sz w:val="24"/>
          <w:szCs w:val="24"/>
          <w:highlight w:val="none"/>
        </w:rPr>
        <w:t>江苏省农业信息中心</w:t>
      </w:r>
      <w:r>
        <w:rPr>
          <w:rFonts w:hint="eastAsia" w:ascii="仿宋" w:hAnsi="仿宋" w:eastAsia="仿宋" w:cs="仿宋"/>
          <w:color w:val="auto"/>
          <w:sz w:val="24"/>
          <w:szCs w:val="24"/>
          <w:highlight w:val="none"/>
        </w:rPr>
        <w:t>的委托，就</w:t>
      </w:r>
      <w:bookmarkStart w:id="12" w:name="OLE_LINK1"/>
      <w:r>
        <w:rPr>
          <w:rFonts w:hint="eastAsia" w:ascii="仿宋" w:hAnsi="仿宋" w:eastAsia="仿宋" w:cs="仿宋"/>
          <w:b/>
          <w:bCs/>
          <w:color w:val="auto"/>
          <w:sz w:val="24"/>
          <w:szCs w:val="24"/>
          <w:highlight w:val="none"/>
        </w:rPr>
        <w:t>江苏省农业农村厅2026年度部分信息化基础设施升级维护</w:t>
      </w:r>
      <w:bookmarkEnd w:id="12"/>
      <w:r>
        <w:rPr>
          <w:rFonts w:hint="eastAsia" w:ascii="仿宋" w:hAnsi="仿宋" w:eastAsia="仿宋" w:cs="仿宋"/>
          <w:b/>
          <w:bCs/>
          <w:color w:val="auto"/>
          <w:sz w:val="24"/>
          <w:szCs w:val="24"/>
          <w:highlight w:val="none"/>
        </w:rPr>
        <w:t>项目</w:t>
      </w:r>
      <w:r>
        <w:rPr>
          <w:rFonts w:hint="eastAsia" w:ascii="仿宋" w:hAnsi="仿宋" w:eastAsia="仿宋" w:cs="仿宋"/>
          <w:color w:val="auto"/>
          <w:sz w:val="24"/>
          <w:szCs w:val="24"/>
          <w:highlight w:val="none"/>
        </w:rPr>
        <w:t>实施竞争性磋商采购，兹邀请符合条件的供应商参加磋商及报价。</w:t>
      </w:r>
      <w:bookmarkStart w:id="13" w:name="_Toc8153"/>
      <w:bookmarkStart w:id="14" w:name="_Toc2936"/>
      <w:bookmarkStart w:id="15" w:name="_Toc10111"/>
      <w:bookmarkStart w:id="16" w:name="_Toc7488"/>
      <w:bookmarkStart w:id="17" w:name="_Toc14696"/>
      <w:bookmarkStart w:id="18" w:name="_Toc6109"/>
      <w:bookmarkStart w:id="19" w:name="_Toc6028"/>
      <w:bookmarkStart w:id="20" w:name="_Toc4777"/>
      <w:bookmarkStart w:id="21" w:name="_Toc18014"/>
    </w:p>
    <w:p w14:paraId="37AE70CA">
      <w:pPr>
        <w:pBdr>
          <w:top w:val="single" w:color="auto" w:sz="4" w:space="1"/>
          <w:left w:val="single" w:color="auto" w:sz="4" w:space="0"/>
          <w:bottom w:val="single" w:color="auto" w:sz="4" w:space="1"/>
          <w:right w:val="single" w:color="auto" w:sz="4" w:space="4"/>
        </w:pBdr>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项目概况</w:t>
      </w:r>
    </w:p>
    <w:p w14:paraId="111388ED">
      <w:pPr>
        <w:pBdr>
          <w:top w:val="single" w:color="auto" w:sz="4" w:space="1"/>
          <w:left w:val="single" w:color="auto" w:sz="4" w:space="0"/>
          <w:bottom w:val="single" w:color="auto" w:sz="4" w:space="1"/>
          <w:right w:val="single" w:color="auto" w:sz="4" w:space="4"/>
        </w:pBdr>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江苏省农业农村厅2026年度部分信息化基础设施升级维护项目 </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lang w:eastAsia="zh-CN"/>
        </w:rPr>
        <w:t>“苏采云”系统内下载（</w:t>
      </w:r>
      <w:r>
        <w:rPr>
          <w:rFonts w:hint="eastAsia" w:ascii="仿宋" w:hAnsi="仿宋" w:eastAsia="仿宋" w:cs="仿宋"/>
          <w:color w:val="auto"/>
          <w:sz w:val="24"/>
          <w:szCs w:val="24"/>
          <w:highlight w:val="none"/>
          <w:lang w:val="en-US" w:eastAsia="zh-CN"/>
        </w:rPr>
        <w:t>供应商必须在苏采云系统中获取采购文件，方能参与政府采购项目</w:t>
      </w: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rPr>
        <w:t>采购文件，并于</w:t>
      </w:r>
      <w:r>
        <w:rPr>
          <w:rFonts w:hint="eastAsia" w:ascii="仿宋" w:hAnsi="仿宋" w:eastAsia="仿宋" w:cs="仿宋"/>
          <w:color w:val="auto"/>
          <w:sz w:val="24"/>
          <w:szCs w:val="24"/>
          <w:highlight w:val="none"/>
          <w:u w:val="single"/>
          <w:lang w:eastAsia="zh-CN"/>
        </w:rPr>
        <w:t>2026年04月</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u w:val="single"/>
        </w:rPr>
        <w:t>点</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0分</w:t>
      </w:r>
      <w:r>
        <w:rPr>
          <w:rFonts w:hint="eastAsia" w:ascii="仿宋" w:hAnsi="仿宋" w:eastAsia="仿宋" w:cs="仿宋"/>
          <w:bCs/>
          <w:color w:val="auto"/>
          <w:sz w:val="24"/>
          <w:szCs w:val="24"/>
          <w:highlight w:val="none"/>
        </w:rPr>
        <w:t>（北京时间）前提交响应文件</w:t>
      </w:r>
      <w:r>
        <w:rPr>
          <w:rFonts w:hint="eastAsia" w:ascii="仿宋" w:hAnsi="仿宋" w:eastAsia="仿宋" w:cs="仿宋"/>
          <w:color w:val="auto"/>
          <w:sz w:val="24"/>
          <w:szCs w:val="24"/>
          <w:highlight w:val="none"/>
        </w:rPr>
        <w:t>。</w:t>
      </w:r>
    </w:p>
    <w:p w14:paraId="0EE459F9">
      <w:pPr>
        <w:snapToGrid w:val="0"/>
        <w:spacing w:line="360" w:lineRule="auto"/>
        <w:rPr>
          <w:rFonts w:hint="eastAsia" w:ascii="仿宋" w:hAnsi="仿宋" w:eastAsia="仿宋" w:cs="仿宋"/>
          <w:b/>
          <w:color w:val="auto"/>
          <w:highlight w:val="none"/>
        </w:rPr>
      </w:pPr>
    </w:p>
    <w:p w14:paraId="5EBC0EF2">
      <w:pPr>
        <w:numPr>
          <w:ilvl w:val="0"/>
          <w:numId w:val="2"/>
        </w:numPr>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项目基本概况</w:t>
      </w:r>
    </w:p>
    <w:p w14:paraId="20245934">
      <w:pPr>
        <w:pStyle w:val="30"/>
        <w:spacing w:line="360" w:lineRule="auto"/>
        <w:ind w:left="420"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JSZC-320000-SDCX-C2026-0002</w:t>
      </w:r>
    </w:p>
    <w:p w14:paraId="00B25B33">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2.项目名称：江苏省农业农村厅2026年度部分信息化基础设施升级维护项目</w:t>
      </w:r>
    </w:p>
    <w:p w14:paraId="11D99121">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3.分包划分：</w:t>
      </w:r>
    </w:p>
    <w:p w14:paraId="7A6AC433">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分包一：沅江路、汉中门办公区及溧水白马基地、扬州家禽所网络系统升级维护</w:t>
      </w:r>
    </w:p>
    <w:p w14:paraId="7EABC687">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分包二：江苏农林大厦3楼大会议室视频会议基础设施优化升级</w:t>
      </w:r>
    </w:p>
    <w:p w14:paraId="1C8F5E1F">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4.预算总金额：人民币118.4万元整</w:t>
      </w:r>
    </w:p>
    <w:p w14:paraId="29CA7B45">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分包一预算：人民币98万元整</w:t>
      </w:r>
    </w:p>
    <w:p w14:paraId="0DAE43EB">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分包二预算：人民币20.4万元整</w:t>
      </w:r>
    </w:p>
    <w:p w14:paraId="20CCCC2C">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5.最高限价：人民币118.4万元整</w:t>
      </w:r>
    </w:p>
    <w:p w14:paraId="71CC96DC">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分包一限价：人民币98万元整</w:t>
      </w:r>
    </w:p>
    <w:p w14:paraId="4D2AC2FD">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分包二限价：人民币20.4万元整</w:t>
      </w:r>
    </w:p>
    <w:p w14:paraId="3B3D6068">
      <w:pPr>
        <w:pStyle w:val="30"/>
        <w:spacing w:line="360" w:lineRule="auto"/>
        <w:ind w:firstLine="482"/>
        <w:rPr>
          <w:rFonts w:hint="eastAsia" w:ascii="仿宋" w:hAnsi="仿宋" w:eastAsia="仿宋" w:cs="仿宋"/>
          <w:b/>
          <w:bCs/>
          <w:i/>
          <w:iCs/>
          <w:color w:val="auto"/>
          <w:sz w:val="24"/>
          <w:szCs w:val="24"/>
          <w:highlight w:val="none"/>
          <w:u w:val="single"/>
        </w:rPr>
      </w:pPr>
      <w:r>
        <w:rPr>
          <w:rFonts w:hint="eastAsia" w:ascii="仿宋" w:hAnsi="仿宋" w:eastAsia="仿宋" w:cs="仿宋"/>
          <w:b/>
          <w:bCs/>
          <w:i/>
          <w:iCs/>
          <w:color w:val="auto"/>
          <w:sz w:val="24"/>
          <w:szCs w:val="24"/>
          <w:highlight w:val="none"/>
          <w:u w:val="single"/>
        </w:rPr>
        <w:t>最终报价超过政府采购预算和最高限价的为无效报价，按照无效响应处理。</w:t>
      </w:r>
    </w:p>
    <w:p w14:paraId="35D84B50">
      <w:pPr>
        <w:pStyle w:val="30"/>
        <w:spacing w:line="360" w:lineRule="auto"/>
        <w:ind w:firstLine="482"/>
        <w:rPr>
          <w:rFonts w:hint="eastAsia" w:ascii="仿宋" w:hAnsi="仿宋" w:eastAsia="仿宋" w:cs="仿宋"/>
          <w:b/>
          <w:bCs/>
          <w:i/>
          <w:iCs/>
          <w:color w:val="auto"/>
          <w:sz w:val="24"/>
          <w:szCs w:val="24"/>
          <w:highlight w:val="none"/>
          <w:u w:val="single"/>
        </w:rPr>
      </w:pPr>
      <w:r>
        <w:rPr>
          <w:rFonts w:hint="eastAsia" w:ascii="仿宋" w:hAnsi="仿宋" w:eastAsia="仿宋" w:cs="仿宋"/>
          <w:b/>
          <w:bCs/>
          <w:color w:val="auto"/>
          <w:sz w:val="24"/>
          <w:szCs w:val="24"/>
          <w:highlight w:val="none"/>
        </w:rPr>
        <w:t>按分包号依次评审，即分包一、分包二，本项目兼投不兼中。</w:t>
      </w:r>
    </w:p>
    <w:p w14:paraId="5A8B7294">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采购需求（简介）：对厅机关及部分直属单位网络音视频基础设施实施优化升级，含农林大厦、沅江路办公区、汉中门办公区、溧水白马基地及扬州家禽所。分包一：沅江路、汉中门办公区及溧水白马基地、扬州家禽所网络系统升级维护；分包二：江苏农林大厦3楼大会议室视频会议基础设施优化升级。项目实施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分包一：</w:t>
      </w:r>
      <w:r>
        <w:rPr>
          <w:rFonts w:hint="eastAsia" w:ascii="仿宋" w:hAnsi="仿宋" w:eastAsia="仿宋" w:cs="仿宋"/>
          <w:color w:val="auto"/>
          <w:sz w:val="24"/>
          <w:szCs w:val="24"/>
          <w:highlight w:val="none"/>
        </w:rPr>
        <w:t>沅江路办公区、汉中门办公区、溧水白马基地及扬州家禽所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分包二：</w:t>
      </w:r>
      <w:r>
        <w:rPr>
          <w:rFonts w:hint="eastAsia" w:ascii="仿宋" w:hAnsi="仿宋" w:eastAsia="仿宋" w:cs="仿宋"/>
          <w:color w:val="auto"/>
          <w:sz w:val="24"/>
          <w:szCs w:val="24"/>
          <w:highlight w:val="none"/>
        </w:rPr>
        <w:t>农林大厦。</w:t>
      </w:r>
    </w:p>
    <w:p w14:paraId="67379F65">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7.合同履约期限：合同签订后60个工作日内。</w:t>
      </w:r>
    </w:p>
    <w:p w14:paraId="371AC2D5">
      <w:pPr>
        <w:pStyle w:val="30"/>
        <w:spacing w:line="360" w:lineRule="auto"/>
        <w:ind w:left="42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8.本项目（是/否）接受联合体：</w:t>
      </w:r>
      <w:r>
        <w:rPr>
          <w:rFonts w:hint="eastAsia" w:ascii="仿宋" w:hAnsi="仿宋" w:eastAsia="仿宋" w:cs="仿宋"/>
          <w:color w:val="auto"/>
          <w:sz w:val="24"/>
          <w:szCs w:val="24"/>
          <w:highlight w:val="none"/>
          <w:u w:val="single"/>
        </w:rPr>
        <w:t>不接受联合体</w:t>
      </w:r>
      <w:r>
        <w:rPr>
          <w:rFonts w:hint="eastAsia" w:ascii="仿宋" w:hAnsi="仿宋" w:eastAsia="仿宋" w:cs="仿宋"/>
          <w:color w:val="auto"/>
          <w:sz w:val="24"/>
          <w:szCs w:val="24"/>
          <w:highlight w:val="none"/>
        </w:rPr>
        <w:t>。</w:t>
      </w:r>
    </w:p>
    <w:p w14:paraId="267717AA">
      <w:pPr>
        <w:tabs>
          <w:tab w:val="left" w:pos="7810"/>
        </w:tabs>
        <w:snapToGri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二、申请人的资格要求 </w:t>
      </w:r>
      <w:r>
        <w:rPr>
          <w:rFonts w:hint="eastAsia" w:ascii="仿宋" w:hAnsi="仿宋" w:eastAsia="仿宋" w:cs="仿宋"/>
          <w:b/>
          <w:bCs/>
          <w:color w:val="auto"/>
          <w:sz w:val="24"/>
          <w:szCs w:val="24"/>
          <w:highlight w:val="none"/>
        </w:rPr>
        <w:tab/>
      </w:r>
    </w:p>
    <w:p w14:paraId="12130484">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（一）满足《中华人民共和国政府采购法》第二十二条规定： </w:t>
      </w:r>
    </w:p>
    <w:p w14:paraId="37AE5F78">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1、具有独立承担民事责任的能力（提供法人或者其他组织的营业执照复印件并加盖公章，或者自然人的身份证明）；</w:t>
      </w:r>
    </w:p>
    <w:p w14:paraId="7B410CE0">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2、具有良好的商业信誉和健全的财务会计制度（提供2024年度/2025年度财务报告或银行出具的企业资信证明，法人或者其他组织成立未满一年的可提供近半年内任一月的资产负债和利润表）；</w:t>
      </w:r>
    </w:p>
    <w:p w14:paraId="6A7116DF">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3、具有履行合同所必需的设备和专业技术能力（根据项目需求提供履行合同所必需的设备和专业技术能力的证明材料或声明函）；</w:t>
      </w:r>
    </w:p>
    <w:p w14:paraId="3A6A9869">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4、有依法缴纳税收和社会保障资金的良好记录（提供参加本次采购活动前近六个月内任一月份依法缴纳税收及社会保险的凭据。依法免缴、迟缴的应提供相应文件证明）；</w:t>
      </w:r>
    </w:p>
    <w:p w14:paraId="4561B493">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5、参加本次采购活动前3年内在经营活动中没有重大违法记录（提供参加本次采购活动前3年内在经营活动中没有重大违法记录的书面声明）；</w:t>
      </w:r>
    </w:p>
    <w:p w14:paraId="4F271043">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6、法律、行政法规规定的其他条件。</w:t>
      </w:r>
    </w:p>
    <w:p w14:paraId="2E1AC19D">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（二）落实政府采购政策需满足的资格要求：</w:t>
      </w:r>
      <w:r>
        <w:rPr>
          <w:rFonts w:hint="eastAsia" w:ascii="仿宋" w:hAnsi="仿宋" w:eastAsia="仿宋" w:cs="仿宋"/>
          <w:b/>
          <w:color w:val="auto"/>
          <w:sz w:val="24"/>
          <w:highlight w:val="none"/>
        </w:rPr>
        <w:t>本项目专门面向中小微企业采购。</w:t>
      </w:r>
    </w:p>
    <w:p w14:paraId="111DDE49">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本项目采购标的对应的中小企业划分标准所属行业为：</w:t>
      </w:r>
      <w:r>
        <w:rPr>
          <w:rFonts w:hint="eastAsia" w:ascii="仿宋" w:hAnsi="仿宋" w:eastAsia="仿宋" w:cs="仿宋"/>
          <w:color w:val="auto"/>
          <w:sz w:val="24"/>
          <w:szCs w:val="24"/>
          <w:highlight w:val="none"/>
          <w:u w:val="single"/>
        </w:rPr>
        <w:t xml:space="preserve"> 其他未列明行业</w:t>
      </w:r>
      <w:r>
        <w:rPr>
          <w:rFonts w:hint="eastAsia" w:ascii="仿宋" w:hAnsi="仿宋" w:eastAsia="仿宋" w:cs="仿宋"/>
          <w:b/>
          <w:bCs/>
          <w:color w:val="auto"/>
          <w:sz w:val="24"/>
          <w:szCs w:val="24"/>
          <w:highlight w:val="none"/>
          <w:u w:val="single"/>
        </w:rPr>
        <w:t>。</w:t>
      </w:r>
    </w:p>
    <w:p w14:paraId="0A619603">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（三）本项目的特定资格要求：</w:t>
      </w:r>
      <w:r>
        <w:rPr>
          <w:rFonts w:hint="eastAsia" w:ascii="仿宋" w:hAnsi="仿宋" w:eastAsia="仿宋" w:cs="仿宋"/>
          <w:b/>
          <w:bCs/>
          <w:i/>
          <w:iCs/>
          <w:color w:val="auto"/>
          <w:sz w:val="24"/>
          <w:szCs w:val="24"/>
          <w:highlight w:val="none"/>
          <w:u w:val="single"/>
        </w:rPr>
        <w:t>无</w:t>
      </w:r>
      <w:r>
        <w:rPr>
          <w:rFonts w:hint="eastAsia" w:ascii="仿宋" w:hAnsi="仿宋" w:eastAsia="仿宋" w:cs="仿宋"/>
          <w:color w:val="auto"/>
          <w:sz w:val="24"/>
          <w:szCs w:val="24"/>
          <w:highlight w:val="none"/>
        </w:rPr>
        <w:t>。</w:t>
      </w:r>
    </w:p>
    <w:p w14:paraId="0CC66485">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（四）拒绝下述供应商参加本次采购活动</w:t>
      </w:r>
    </w:p>
    <w:p w14:paraId="4F804707">
      <w:pPr>
        <w:snapToGrid w:val="0"/>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1、凡为采购项目提供整体设计、规范编制或者项目管理、监理、检测等服务的供应商，不得再参加该采购项目的其他采购活动。</w:t>
      </w:r>
    </w:p>
    <w:p w14:paraId="3F842AA8">
      <w:pPr>
        <w:snapToGrid w:val="0"/>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2、供应商单位负责人为同一人或者存在直接控股、管理关系的不同供应商，不得参加同一合同项下的采购活动。</w:t>
      </w:r>
    </w:p>
    <w:p w14:paraId="4E60032F">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32"/>
          <w:highlight w:val="none"/>
        </w:rPr>
        <w:t>3、在磋商截止日前被“信用中国”网站(www.creditchina.gov.cn</w:t>
      </w:r>
      <w:r>
        <w:rPr>
          <w:rFonts w:hint="eastAsia" w:ascii="仿宋" w:hAnsi="仿宋" w:eastAsia="仿宋" w:cs="仿宋"/>
          <w:bCs/>
          <w:color w:val="auto"/>
          <w:sz w:val="24"/>
          <w:highlight w:val="none"/>
        </w:rPr>
        <w:t>）</w:t>
      </w:r>
      <w:r>
        <w:rPr>
          <w:rFonts w:hint="eastAsia" w:ascii="仿宋" w:hAnsi="仿宋" w:eastAsia="仿宋" w:cs="仿宋"/>
          <w:color w:val="auto"/>
          <w:sz w:val="24"/>
          <w:szCs w:val="32"/>
          <w:highlight w:val="none"/>
        </w:rPr>
        <w:t>、中国政府采购网(www.ccgp.gov.cn</w:t>
      </w:r>
      <w:r>
        <w:rPr>
          <w:rFonts w:hint="eastAsia" w:ascii="仿宋" w:hAnsi="仿宋" w:eastAsia="仿宋" w:cs="仿宋"/>
          <w:bCs/>
          <w:color w:val="auto"/>
          <w:sz w:val="24"/>
          <w:highlight w:val="none"/>
        </w:rPr>
        <w:t>）</w:t>
      </w:r>
      <w:r>
        <w:rPr>
          <w:rFonts w:hint="eastAsia" w:ascii="仿宋" w:hAnsi="仿宋" w:eastAsia="仿宋" w:cs="仿宋"/>
          <w:color w:val="auto"/>
          <w:sz w:val="24"/>
          <w:szCs w:val="32"/>
          <w:highlight w:val="none"/>
        </w:rPr>
        <w:t xml:space="preserve"> 列入失信被执行人、重大税收违法案件当事人、政府采购严重违法失信行为记录名单的供应商（须提供网页截图）</w:t>
      </w:r>
      <w:r>
        <w:rPr>
          <w:rFonts w:hint="eastAsia" w:ascii="仿宋" w:hAnsi="仿宋" w:eastAsia="仿宋" w:cs="仿宋"/>
          <w:color w:val="auto"/>
          <w:sz w:val="24"/>
          <w:szCs w:val="24"/>
          <w:highlight w:val="none"/>
        </w:rPr>
        <w:t>。</w:t>
      </w:r>
    </w:p>
    <w:p w14:paraId="0262E800">
      <w:pPr>
        <w:tabs>
          <w:tab w:val="left" w:pos="7810"/>
        </w:tabs>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三、获取采购文件</w:t>
      </w:r>
    </w:p>
    <w:p w14:paraId="6F16021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1.时间：自</w:t>
      </w:r>
      <w:r>
        <w:rPr>
          <w:rFonts w:hint="eastAsia" w:ascii="仿宋" w:hAnsi="仿宋" w:eastAsia="仿宋" w:cs="仿宋"/>
          <w:color w:val="auto"/>
          <w:sz w:val="24"/>
          <w:szCs w:val="24"/>
          <w:highlight w:val="none"/>
          <w:lang w:eastAsia="zh-CN"/>
        </w:rPr>
        <w:t>磋商文件公告</w:t>
      </w:r>
      <w:r>
        <w:rPr>
          <w:rFonts w:hint="eastAsia" w:ascii="仿宋" w:hAnsi="仿宋" w:eastAsia="仿宋" w:cs="仿宋"/>
          <w:color w:val="auto"/>
          <w:sz w:val="24"/>
          <w:szCs w:val="24"/>
          <w:highlight w:val="none"/>
        </w:rPr>
        <w:t xml:space="preserve">发布之日起5个工作日 </w:t>
      </w:r>
    </w:p>
    <w:p w14:paraId="7F9659C0">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2.地点：在“江苏政府采购网”下载</w:t>
      </w:r>
    </w:p>
    <w:p w14:paraId="126D223E">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仿宋" w:hAnsi="仿宋" w:eastAsia="仿宋" w:cs="仿宋"/>
          <w:color w:val="auto"/>
          <w:sz w:val="24"/>
          <w:szCs w:val="24"/>
          <w:highlight w:val="none"/>
          <w:lang w:val="zh-CN"/>
        </w:rPr>
        <w:t>（文件后缀名为“.kedt”）</w:t>
      </w:r>
      <w:r>
        <w:rPr>
          <w:rFonts w:hint="eastAsia" w:ascii="仿宋" w:hAnsi="仿宋" w:eastAsia="仿宋" w:cs="仿宋"/>
          <w:color w:val="auto"/>
          <w:sz w:val="24"/>
          <w:szCs w:val="24"/>
          <w:highlight w:val="none"/>
        </w:rPr>
        <w:t xml:space="preserve">并进行操作。 </w:t>
      </w:r>
    </w:p>
    <w:p w14:paraId="1E6D373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4.售价：</w:t>
      </w:r>
      <w:r>
        <w:rPr>
          <w:rFonts w:hint="eastAsia" w:ascii="仿宋" w:hAnsi="仿宋" w:eastAsia="仿宋" w:cs="仿宋"/>
          <w:color w:val="auto"/>
          <w:sz w:val="24"/>
          <w:szCs w:val="24"/>
          <w:highlight w:val="none"/>
          <w:lang w:val="en-US" w:eastAsia="zh-CN"/>
        </w:rPr>
        <w:t>500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(支付方式详见附件“采购文件登记表”）</w:t>
      </w:r>
    </w:p>
    <w:p w14:paraId="646EE82B">
      <w:pPr>
        <w:tabs>
          <w:tab w:val="left" w:pos="7810"/>
        </w:tabs>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四、提交响应文件截止时间、开标时间和地点</w:t>
      </w:r>
    </w:p>
    <w:p w14:paraId="6F4B3CB8">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点</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0分（北京时间）。</w:t>
      </w:r>
    </w:p>
    <w:p w14:paraId="24FD7F59">
      <w:pP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2.地点：江苏省政府采购交易系统（以下简称“苏采云系统”）网上开标大厅</w:t>
      </w:r>
      <w:r>
        <w:rPr>
          <w:rFonts w:hint="eastAsia" w:ascii="仿宋" w:hAnsi="仿宋" w:eastAsia="仿宋" w:cs="仿宋"/>
          <w:color w:val="auto"/>
          <w:sz w:val="24"/>
          <w:szCs w:val="24"/>
          <w:highlight w:val="none"/>
          <w:lang w:eastAsia="zh-CN"/>
        </w:rPr>
        <w:t>。</w:t>
      </w:r>
    </w:p>
    <w:p w14:paraId="303FF702">
      <w:pPr>
        <w:tabs>
          <w:tab w:val="left" w:pos="7810"/>
        </w:tabs>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五、公告期限</w:t>
      </w:r>
    </w:p>
    <w:p w14:paraId="50E7762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本次磋商公告期限为三个工作日。</w:t>
      </w:r>
    </w:p>
    <w:p w14:paraId="03D6FCFB">
      <w:pPr>
        <w:numPr>
          <w:ilvl w:val="0"/>
          <w:numId w:val="3"/>
        </w:numPr>
        <w:tabs>
          <w:tab w:val="left" w:pos="7810"/>
        </w:tabs>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评审地点 </w:t>
      </w:r>
    </w:p>
    <w:p w14:paraId="12BB8014">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上</w:t>
      </w:r>
      <w:r>
        <w:rPr>
          <w:rFonts w:hint="eastAsia" w:ascii="仿宋" w:hAnsi="仿宋" w:eastAsia="仿宋" w:cs="仿宋"/>
          <w:color w:val="auto"/>
          <w:sz w:val="24"/>
          <w:szCs w:val="24"/>
          <w:highlight w:val="none"/>
        </w:rPr>
        <w:t>午</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w:t>
      </w:r>
    </w:p>
    <w:p w14:paraId="42274526">
      <w:pPr>
        <w:adjustRightInd w:val="0"/>
        <w:snapToGrid w:val="0"/>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2.地点：</w:t>
      </w:r>
      <w:r>
        <w:rPr>
          <w:rFonts w:hint="eastAsia" w:ascii="仿宋" w:hAnsi="仿宋" w:eastAsia="仿宋" w:cs="仿宋"/>
          <w:color w:val="auto"/>
          <w:spacing w:val="-6"/>
          <w:sz w:val="24"/>
          <w:szCs w:val="24"/>
          <w:highlight w:val="none"/>
        </w:rPr>
        <w:t>南京市秦淮区光华东街6号创意产业园15号楼4F</w:t>
      </w:r>
      <w:r>
        <w:rPr>
          <w:rFonts w:hint="eastAsia" w:ascii="仿宋" w:hAnsi="仿宋" w:eastAsia="仿宋" w:cs="仿宋"/>
          <w:color w:val="auto"/>
          <w:sz w:val="24"/>
          <w:szCs w:val="24"/>
          <w:highlight w:val="none"/>
        </w:rPr>
        <w:t>会议室</w:t>
      </w:r>
    </w:p>
    <w:p w14:paraId="1A98FCD7">
      <w:pPr>
        <w:tabs>
          <w:tab w:val="left" w:pos="7810"/>
        </w:tabs>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七、其他补充事宜</w:t>
      </w:r>
    </w:p>
    <w:p w14:paraId="5169F281">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1.本次采购不收取磋商保证金。</w:t>
      </w:r>
    </w:p>
    <w:p w14:paraId="061C4803">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代理编号：JS</w:t>
      </w:r>
      <w:r>
        <w:rPr>
          <w:rFonts w:hint="eastAsia" w:ascii="仿宋" w:hAnsi="仿宋" w:eastAsia="仿宋" w:cs="仿宋"/>
          <w:color w:val="auto"/>
          <w:sz w:val="24"/>
          <w:szCs w:val="24"/>
          <w:highlight w:val="none"/>
          <w:lang w:val="en-US" w:eastAsia="zh-CN"/>
        </w:rPr>
        <w:t>DCX</w:t>
      </w:r>
      <w:r>
        <w:rPr>
          <w:rFonts w:hint="eastAsia" w:ascii="仿宋" w:hAnsi="仿宋" w:eastAsia="仿宋" w:cs="仿宋"/>
          <w:color w:val="auto"/>
          <w:sz w:val="24"/>
          <w:szCs w:val="24"/>
          <w:highlight w:val="none"/>
        </w:rPr>
        <w:t>-202603251305</w:t>
      </w:r>
    </w:p>
    <w:p w14:paraId="47FBDA8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3.现场勘察及答疑：请于2026年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日-2026年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rPr>
        <w:t>日上午9:00－11:00时、下午14:00-17:00时到南京市鼓楼区龙江小区月光广场8号农林大厦勘查现场，联系人：冯祥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梁非凡</w:t>
      </w:r>
      <w:r>
        <w:rPr>
          <w:rFonts w:hint="eastAsia" w:ascii="仿宋" w:hAnsi="仿宋" w:eastAsia="仿宋" w:cs="仿宋"/>
          <w:color w:val="auto"/>
          <w:sz w:val="24"/>
          <w:szCs w:val="24"/>
          <w:highlight w:val="none"/>
        </w:rPr>
        <w:t xml:space="preserve"> 025-86263608。</w:t>
      </w:r>
    </w:p>
    <w:p w14:paraId="427865D1">
      <w:pPr>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各潜在供应商请提前1天（中午12：00前）电话联系，并于规定时间前往勘查现场。现场勘察时，请务必对项目现场和周围环境进行仔细认真地查勘，在随后的采购中，对现场资料和数据所作出的推论、解释和结论及由此造成的后果由供应商负责。（未现场勘察和未提出疑义的响应供应商将被视为已勘察，认同采购项目要求的内容）。</w:t>
      </w:r>
    </w:p>
    <w:p w14:paraId="438A544A">
      <w:pPr>
        <w:numPr>
          <w:ilvl w:val="0"/>
          <w:numId w:val="4"/>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请各位供应商领取本次磋商文件后，认真阅读各项内容，进行必要的准备，按照磋商文件的要求详细填写和编制响应文件，并按以上确定的时间、地点准时参加磋商活动。</w:t>
      </w:r>
      <w:r>
        <w:rPr>
          <w:rFonts w:hint="eastAsia" w:ascii="仿宋" w:hAnsi="仿宋" w:eastAsia="仿宋" w:cs="仿宋"/>
          <w:bCs/>
          <w:color w:val="auto"/>
          <w:sz w:val="24"/>
          <w:highlight w:val="none"/>
        </w:rPr>
        <w:t>有关本次磋商的事项若存在变动或修改，敬请及时关注“</w:t>
      </w:r>
      <w:r>
        <w:rPr>
          <w:rFonts w:hint="eastAsia" w:ascii="仿宋" w:hAnsi="仿宋" w:eastAsia="仿宋" w:cs="仿宋"/>
          <w:bCs/>
          <w:color w:val="auto"/>
          <w:sz w:val="24"/>
          <w:szCs w:val="24"/>
          <w:highlight w:val="none"/>
        </w:rPr>
        <w:t>江苏政府采购网</w:t>
      </w:r>
      <w:r>
        <w:rPr>
          <w:rFonts w:hint="eastAsia" w:ascii="仿宋" w:hAnsi="仿宋" w:eastAsia="仿宋" w:cs="仿宋"/>
          <w:bCs/>
          <w:color w:val="auto"/>
          <w:sz w:val="24"/>
          <w:highlight w:val="none"/>
        </w:rPr>
        <w:t>”发布的信息更正公告。</w:t>
      </w:r>
    </w:p>
    <w:p w14:paraId="063D7767">
      <w:pPr>
        <w:numPr>
          <w:ilvl w:val="0"/>
          <w:numId w:val="0"/>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5.</w:t>
      </w:r>
      <w:r>
        <w:rPr>
          <w:rFonts w:hint="eastAsia" w:ascii="仿宋" w:hAnsi="仿宋" w:eastAsia="仿宋" w:cs="仿宋"/>
          <w:bCs/>
          <w:color w:val="auto"/>
          <w:sz w:val="24"/>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025-83633744、025-83633743。</w:t>
      </w:r>
    </w:p>
    <w:p w14:paraId="20CFF08D">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八、凡对本次采购提出询问，请按以下方式联系。</w:t>
      </w:r>
    </w:p>
    <w:p w14:paraId="485DBC68">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37E438E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单位名称：江苏省农业信息中心</w:t>
      </w:r>
    </w:p>
    <w:p w14:paraId="281FD4EF">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单位地址：南京市鼓楼区龙江小区月光广场8号</w:t>
      </w:r>
    </w:p>
    <w:p w14:paraId="3417686F">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联系人：冯祥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梁非凡</w:t>
      </w:r>
    </w:p>
    <w:p w14:paraId="4C0F654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联系电话：025-86263608</w:t>
      </w:r>
    </w:p>
    <w:p w14:paraId="4650FDE4">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5B5F17DA">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单位名称：江苏达琛鑫项目管理有限公司</w:t>
      </w:r>
    </w:p>
    <w:p w14:paraId="1221328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单位地址：南京市秦淮区光华东街6号创意产业园15号楼4F</w:t>
      </w:r>
    </w:p>
    <w:p w14:paraId="371C4D0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联系人：徐工     </w:t>
      </w:r>
    </w:p>
    <w:p w14:paraId="41C88A10">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电话：025-83229277转8009</w:t>
      </w:r>
    </w:p>
    <w:p w14:paraId="60FFC8DE">
      <w:pPr>
        <w:pStyle w:val="28"/>
        <w:pageBreakBefore/>
        <w:spacing w:after="317"/>
        <w:rPr>
          <w:rFonts w:hint="eastAsia" w:ascii="仿宋" w:hAnsi="仿宋" w:eastAsia="仿宋" w:cs="仿宋"/>
          <w:color w:val="auto"/>
          <w:highlight w:val="none"/>
        </w:rPr>
      </w:pPr>
      <w:bookmarkStart w:id="22" w:name="_Toc29925"/>
      <w:bookmarkStart w:id="23" w:name="_Toc12957"/>
      <w:bookmarkStart w:id="24" w:name="_Toc24653"/>
      <w:bookmarkStart w:id="25" w:name="_Toc25811"/>
      <w:bookmarkStart w:id="26" w:name="_Toc14414"/>
      <w:bookmarkStart w:id="27" w:name="_Toc14178"/>
      <w:r>
        <w:rPr>
          <w:rFonts w:hint="eastAsia" w:ascii="仿宋" w:hAnsi="仿宋" w:eastAsia="仿宋" w:cs="仿宋"/>
          <w:color w:val="auto"/>
          <w:highlight w:val="none"/>
        </w:rPr>
        <w:t>第二章 磋商须知</w:t>
      </w:r>
      <w:bookmarkEnd w:id="22"/>
      <w:bookmarkEnd w:id="23"/>
      <w:bookmarkEnd w:id="24"/>
      <w:bookmarkEnd w:id="25"/>
      <w:bookmarkEnd w:id="26"/>
      <w:bookmarkEnd w:id="27"/>
    </w:p>
    <w:p w14:paraId="50DF8791">
      <w:pPr>
        <w:pStyle w:val="29"/>
        <w:spacing w:line="360" w:lineRule="auto"/>
        <w:jc w:val="both"/>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一、总则</w:t>
      </w:r>
      <w:bookmarkEnd w:id="13"/>
      <w:bookmarkEnd w:id="14"/>
      <w:bookmarkEnd w:id="15"/>
      <w:bookmarkEnd w:id="16"/>
      <w:bookmarkEnd w:id="17"/>
      <w:bookmarkEnd w:id="18"/>
      <w:bookmarkEnd w:id="19"/>
      <w:bookmarkEnd w:id="20"/>
      <w:bookmarkEnd w:id="21"/>
    </w:p>
    <w:p w14:paraId="0A356A2A">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1.采购方式</w:t>
      </w:r>
    </w:p>
    <w:p w14:paraId="0DECEAA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 本次政府采购活动采取竞争性磋商(以下简称“磋商”)方式，本文件仅适用于采购公告中所述项目。</w:t>
      </w:r>
    </w:p>
    <w:p w14:paraId="42B659C4">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2.合格的供应商</w:t>
      </w:r>
    </w:p>
    <w:p w14:paraId="33AE825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 满足采购公告对供应商资格要求的规定。</w:t>
      </w:r>
    </w:p>
    <w:p w14:paraId="23572F3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 满足磋商文件规定的实质性要求和条件。</w:t>
      </w:r>
    </w:p>
    <w:p w14:paraId="52871606">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3.适用法律</w:t>
      </w:r>
    </w:p>
    <w:p w14:paraId="73C4E70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3.1 本次采购及由此产生的合同受中华人民共和国有关的法律法规制约和保护。</w:t>
      </w:r>
    </w:p>
    <w:p w14:paraId="54848C69">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4.磋商费用</w:t>
      </w:r>
    </w:p>
    <w:p w14:paraId="2BC977E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4.1 供应商应自行承担所有与参加采购有关的费用，无论采购过程中的做法和结果如何，采购代理机构在任何情况下均无义务和责任承担这些费用。</w:t>
      </w:r>
    </w:p>
    <w:p w14:paraId="1D137321">
      <w:pPr>
        <w:pStyle w:val="39"/>
        <w:spacing w:before="0" w:beforeLines="0" w:after="0" w:afterLines="0" w:line="360" w:lineRule="auto"/>
        <w:ind w:firstLine="422"/>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4.2代理费用收取方式及标准：按以下第4.2.2种方式执行 </w:t>
      </w:r>
    </w:p>
    <w:p w14:paraId="49F95206">
      <w:pPr>
        <w:pStyle w:val="39"/>
        <w:spacing w:before="0" w:beforeLines="0" w:after="0" w:afterLines="0" w:line="360" w:lineRule="auto"/>
        <w:ind w:firstLine="422"/>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4.2.1无需支付；</w:t>
      </w:r>
    </w:p>
    <w:p w14:paraId="375584A9">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b w:val="0"/>
          <w:bCs/>
          <w:color w:val="000000"/>
          <w:sz w:val="24"/>
          <w:szCs w:val="24"/>
        </w:rPr>
        <w:t>4.2.2成交供应商支付，具体方式及标准为：</w:t>
      </w:r>
      <w:r>
        <w:rPr>
          <w:rFonts w:hint="eastAsia" w:ascii="仿宋" w:hAnsi="仿宋" w:eastAsia="仿宋" w:cs="仿宋"/>
          <w:sz w:val="24"/>
          <w:szCs w:val="24"/>
          <w:highlight w:val="none"/>
        </w:rPr>
        <w:t>本次采购代理服务费的收取按照苏招协（[2022]002号）《江苏省招标代理服务收费的指导意见》规定的费率直接计算，由成交供应商领取《成交通知书》时向采购代理机构缴纳。根据财库〔2018〕2号《政府招标代理机构管理暂行办法》第十五条之规定，凭《成交通知书》与采购人签订合同。</w:t>
      </w:r>
    </w:p>
    <w:p w14:paraId="03C23332">
      <w:pPr>
        <w:shd w:val="clear" w:color="auto" w:fill="auto"/>
        <w:snapToGrid w:val="0"/>
        <w:spacing w:line="360" w:lineRule="auto"/>
        <w:ind w:firstLine="482" w:firstLineChars="20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5、磋商文件的约束力</w:t>
      </w:r>
    </w:p>
    <w:p w14:paraId="377275B0">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供应商一旦购买了本磋商文件并决定参加磋商，即被认为接受了本磋商文件的规定和约束。</w:t>
      </w:r>
    </w:p>
    <w:p w14:paraId="20DEE665">
      <w:pPr>
        <w:shd w:val="clear" w:color="auto" w:fill="auto"/>
        <w:snapToGrid w:val="0"/>
        <w:spacing w:line="360" w:lineRule="auto"/>
        <w:ind w:firstLine="562" w:firstLineChars="200"/>
        <w:outlineLvl w:val="1"/>
        <w:rPr>
          <w:rFonts w:hint="eastAsia" w:ascii="仿宋" w:hAnsi="仿宋" w:eastAsia="仿宋" w:cs="仿宋"/>
          <w:b/>
          <w:color w:val="000000"/>
          <w:sz w:val="28"/>
          <w:szCs w:val="22"/>
          <w:highlight w:val="none"/>
        </w:rPr>
      </w:pPr>
      <w:bookmarkStart w:id="28" w:name="_Toc8875"/>
      <w:bookmarkStart w:id="29" w:name="_Toc27104"/>
      <w:bookmarkStart w:id="30" w:name="_Toc7399"/>
      <w:bookmarkStart w:id="31" w:name="_Toc31687"/>
      <w:bookmarkStart w:id="32" w:name="_Toc61149553"/>
      <w:bookmarkStart w:id="33" w:name="_Toc14577351"/>
      <w:bookmarkStart w:id="34" w:name="_Toc462564072"/>
      <w:bookmarkStart w:id="35" w:name="_Toc17306"/>
      <w:bookmarkStart w:id="36" w:name="_Toc513029213"/>
      <w:bookmarkStart w:id="37" w:name="_Toc443"/>
      <w:r>
        <w:rPr>
          <w:rFonts w:hint="eastAsia" w:ascii="仿宋" w:hAnsi="仿宋" w:eastAsia="仿宋" w:cs="仿宋"/>
          <w:b/>
          <w:color w:val="000000"/>
          <w:sz w:val="28"/>
          <w:szCs w:val="22"/>
          <w:highlight w:val="none"/>
        </w:rPr>
        <w:t>二、磋商响应文件的编制</w:t>
      </w:r>
      <w:bookmarkEnd w:id="28"/>
      <w:bookmarkEnd w:id="29"/>
      <w:bookmarkEnd w:id="30"/>
      <w:bookmarkEnd w:id="31"/>
      <w:bookmarkEnd w:id="32"/>
      <w:bookmarkEnd w:id="33"/>
      <w:bookmarkEnd w:id="34"/>
      <w:bookmarkEnd w:id="35"/>
      <w:bookmarkEnd w:id="36"/>
      <w:bookmarkEnd w:id="37"/>
    </w:p>
    <w:p w14:paraId="644D043F">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6.磋商文件构成</w:t>
      </w:r>
    </w:p>
    <w:p w14:paraId="7A419C3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6.1 磋商文件由以下部分组成：</w:t>
      </w:r>
    </w:p>
    <w:p w14:paraId="439D4F3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（1）磋商邀请</w:t>
      </w:r>
    </w:p>
    <w:p w14:paraId="7FD7042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（2）供应商须知</w:t>
      </w:r>
    </w:p>
    <w:p w14:paraId="1DC58BE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（3）合同文本</w:t>
      </w:r>
    </w:p>
    <w:p w14:paraId="797B01B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（4）采购需求</w:t>
      </w:r>
    </w:p>
    <w:p w14:paraId="1434FA0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（5）评审方法与评审标准</w:t>
      </w:r>
    </w:p>
    <w:p w14:paraId="7E3A277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（6）响应文件格式</w:t>
      </w:r>
    </w:p>
    <w:p w14:paraId="4E78E3F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供应商应仔细检查磋商文件是否齐全，如有缺漏请立即与采购代理机构联系。</w:t>
      </w:r>
    </w:p>
    <w:p w14:paraId="00709BB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458DC35">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7.磋商文件的澄清</w:t>
      </w:r>
    </w:p>
    <w:p w14:paraId="769892E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7.1 任何要求对磋商文件进行澄清的供应商，应在磋商截止期五日前按</w:t>
      </w:r>
      <w:r>
        <w:rPr>
          <w:rFonts w:hint="eastAsia" w:ascii="仿宋" w:hAnsi="仿宋" w:eastAsia="仿宋" w:cs="仿宋"/>
          <w:color w:val="000000"/>
          <w:sz w:val="24"/>
          <w:szCs w:val="24"/>
          <w:lang w:eastAsia="zh-CN"/>
        </w:rPr>
        <w:t>磋商</w:t>
      </w:r>
      <w:r>
        <w:rPr>
          <w:rFonts w:hint="eastAsia" w:ascii="仿宋" w:hAnsi="仿宋" w:eastAsia="仿宋" w:cs="仿宋"/>
          <w:color w:val="000000"/>
          <w:sz w:val="24"/>
          <w:szCs w:val="24"/>
        </w:rPr>
        <w:t>公告中的通讯地址，以书面形式通知采购代理机构。</w:t>
      </w:r>
    </w:p>
    <w:p w14:paraId="3E05AB8F">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8.磋商文件的修改</w:t>
      </w:r>
    </w:p>
    <w:p w14:paraId="362B3684">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78FFEF37">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8.2在响应文件提交截止时间前，采购代理机构可以对磋商文件进行修改。</w:t>
      </w:r>
    </w:p>
    <w:p w14:paraId="55C28020">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8.3采购代理机构有权按照法定的要求推迟响应文件递交截止日期和磋商日期。</w:t>
      </w:r>
    </w:p>
    <w:p w14:paraId="3A2BBC1E">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52039F24">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color w:val="000000"/>
          <w:sz w:val="24"/>
          <w:szCs w:val="24"/>
          <w:highlight w:val="none"/>
        </w:rPr>
        <w:t>8.5供应商应及时登录“苏采云”系统获取澄清答疑文件（修改后磋商文件），如因供应商原因未能及时下载澄清和修改后的磋商文件，由此造成的相关责任，由供应商承担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bCs/>
          <w:color w:val="000000"/>
          <w:sz w:val="24"/>
          <w:highlight w:val="none"/>
        </w:rPr>
        <w:t>。</w:t>
      </w:r>
    </w:p>
    <w:p w14:paraId="5F97EBD0">
      <w:pPr>
        <w:snapToGrid w:val="0"/>
        <w:spacing w:line="360" w:lineRule="auto"/>
        <w:ind w:firstLine="562" w:firstLineChars="200"/>
        <w:outlineLvl w:val="1"/>
        <w:rPr>
          <w:rFonts w:hint="eastAsia" w:ascii="仿宋" w:hAnsi="仿宋" w:eastAsia="仿宋" w:cs="仿宋"/>
          <w:b/>
          <w:color w:val="000000"/>
          <w:sz w:val="28"/>
          <w:szCs w:val="22"/>
        </w:rPr>
      </w:pPr>
      <w:bookmarkStart w:id="38" w:name="_Toc29996"/>
      <w:bookmarkStart w:id="39" w:name="_Toc14484_WPSOffice_Level2"/>
      <w:bookmarkStart w:id="40" w:name="_Toc18678"/>
      <w:bookmarkStart w:id="41" w:name="_Toc32556"/>
      <w:bookmarkStart w:id="42" w:name="_Toc14295"/>
      <w:bookmarkStart w:id="43" w:name="_Toc20921"/>
      <w:bookmarkStart w:id="44" w:name="_Toc19091"/>
      <w:bookmarkStart w:id="45" w:name="_Toc9965"/>
      <w:r>
        <w:rPr>
          <w:rFonts w:hint="eastAsia" w:ascii="仿宋" w:hAnsi="仿宋" w:eastAsia="仿宋" w:cs="仿宋"/>
          <w:b/>
          <w:color w:val="000000"/>
          <w:sz w:val="28"/>
          <w:szCs w:val="22"/>
          <w:lang w:eastAsia="zh-CN"/>
        </w:rPr>
        <w:t>三、</w:t>
      </w:r>
      <w:bookmarkEnd w:id="38"/>
      <w:bookmarkEnd w:id="39"/>
      <w:bookmarkEnd w:id="40"/>
      <w:bookmarkEnd w:id="41"/>
      <w:bookmarkEnd w:id="42"/>
      <w:bookmarkEnd w:id="43"/>
      <w:bookmarkEnd w:id="44"/>
      <w:bookmarkEnd w:id="45"/>
      <w:r>
        <w:rPr>
          <w:rFonts w:hint="eastAsia" w:ascii="仿宋" w:hAnsi="仿宋" w:eastAsia="仿宋" w:cs="仿宋"/>
          <w:b/>
          <w:color w:val="000000"/>
          <w:sz w:val="28"/>
          <w:szCs w:val="22"/>
        </w:rPr>
        <w:t>响应文件的编制</w:t>
      </w:r>
    </w:p>
    <w:p w14:paraId="14470ACA">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9.响应文件的语言及度量衡单位</w:t>
      </w:r>
    </w:p>
    <w:p w14:paraId="666395E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9.1 供应商提交的响应文件以及供应商与采购代理机构就有关磋商的所有来往通知、函件和文件均应使用</w:t>
      </w:r>
      <w:r>
        <w:rPr>
          <w:rFonts w:hint="eastAsia" w:ascii="仿宋" w:hAnsi="仿宋" w:eastAsia="仿宋" w:cs="仿宋"/>
          <w:b/>
          <w:bCs/>
          <w:color w:val="000000"/>
          <w:sz w:val="24"/>
          <w:szCs w:val="24"/>
        </w:rPr>
        <w:t>简体中文</w:t>
      </w:r>
      <w:r>
        <w:rPr>
          <w:rFonts w:hint="eastAsia" w:ascii="仿宋" w:hAnsi="仿宋" w:eastAsia="仿宋" w:cs="仿宋"/>
          <w:color w:val="000000"/>
          <w:sz w:val="24"/>
          <w:szCs w:val="24"/>
        </w:rPr>
        <w:t>。</w:t>
      </w:r>
    </w:p>
    <w:p w14:paraId="4F609C8B">
      <w:pPr>
        <w:spacing w:beforeLines="0" w:afterLines="0" w:line="360" w:lineRule="auto"/>
        <w:ind w:left="479" w:leftChars="228" w:firstLine="0" w:firstLineChars="0"/>
        <w:rPr>
          <w:rFonts w:hint="eastAsia" w:ascii="仿宋" w:hAnsi="仿宋" w:eastAsia="仿宋" w:cs="仿宋"/>
          <w:b/>
          <w:color w:val="000000"/>
          <w:kern w:val="2"/>
          <w:sz w:val="24"/>
          <w:szCs w:val="24"/>
          <w:lang w:val="en-US" w:eastAsia="zh-CN" w:bidi="ar-SA"/>
        </w:rPr>
      </w:pPr>
      <w:r>
        <w:rPr>
          <w:rFonts w:hint="eastAsia" w:ascii="仿宋" w:hAnsi="仿宋" w:eastAsia="仿宋" w:cs="仿宋"/>
          <w:color w:val="000000"/>
          <w:sz w:val="24"/>
          <w:szCs w:val="24"/>
        </w:rPr>
        <w:t>9.2 除技术性能另有规定外，响应文件所使用的度量衡单位，均须采用国家法定计量单位。</w:t>
      </w:r>
      <w:r>
        <w:rPr>
          <w:rFonts w:hint="eastAsia" w:ascii="仿宋" w:hAnsi="仿宋" w:eastAsia="仿宋" w:cs="仿宋"/>
          <w:b/>
          <w:color w:val="000000"/>
          <w:kern w:val="2"/>
          <w:sz w:val="24"/>
          <w:szCs w:val="24"/>
          <w:lang w:val="en-US" w:eastAsia="zh-CN" w:bidi="ar-SA"/>
        </w:rPr>
        <w:t>10.响应文件构成</w:t>
      </w:r>
    </w:p>
    <w:p w14:paraId="775D0E28">
      <w:pPr>
        <w:shd w:val="clear" w:color="auto" w:fill="auto"/>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1C8BCB54">
      <w:pPr>
        <w:shd w:val="clear" w:color="auto" w:fill="auto"/>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各供应商在编制响应文件时请按照磋商文件第六章规定的格式进行，混乱的编排导致响应文件被误读或磋商小组查找不到有效文件是供应商的风险。</w:t>
      </w:r>
    </w:p>
    <w:p w14:paraId="178B923A">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10.2供应商编写的响应文件应包括资格证明文件、</w:t>
      </w:r>
      <w:r>
        <w:rPr>
          <w:rFonts w:hint="eastAsia" w:ascii="仿宋" w:hAnsi="仿宋" w:eastAsia="仿宋" w:cs="仿宋"/>
          <w:b w:val="0"/>
          <w:bCs/>
          <w:color w:val="000000"/>
          <w:sz w:val="24"/>
          <w:szCs w:val="24"/>
          <w:highlight w:val="none"/>
          <w:lang w:eastAsia="zh-CN"/>
        </w:rPr>
        <w:t>报价明细表</w:t>
      </w:r>
      <w:r>
        <w:rPr>
          <w:rFonts w:hint="eastAsia" w:ascii="仿宋" w:hAnsi="仿宋" w:eastAsia="仿宋" w:cs="仿宋"/>
          <w:b w:val="0"/>
          <w:bCs/>
          <w:color w:val="000000"/>
          <w:sz w:val="24"/>
          <w:szCs w:val="24"/>
          <w:highlight w:val="none"/>
        </w:rPr>
        <w:t>、响应及偏离表、其他证明文件、磋商申请及声明函、开标一览表等部分。</w:t>
      </w:r>
    </w:p>
    <w:p w14:paraId="4E953C49">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7CD3A871">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37F412CA">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10.5如标书制作工具中格式和内容与“江苏省政府采购网”发布的磋商文件不一致，请以“江苏省政府采购网”发布的磋商文件为准。</w:t>
      </w:r>
    </w:p>
    <w:p w14:paraId="534B292B">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10.6成交后按相关要求提供与电子响应文件一致的纸质打印响应文件2份。 </w:t>
      </w:r>
    </w:p>
    <w:p w14:paraId="6B9E3343">
      <w:pPr>
        <w:shd w:val="clear" w:color="auto" w:fill="auto"/>
        <w:snapToGrid w:val="0"/>
        <w:spacing w:line="360" w:lineRule="auto"/>
        <w:ind w:firstLine="480" w:firstLineChars="20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47BE8D33">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11.证明磋商响应标的符合磋商文件规定的文件</w:t>
      </w:r>
    </w:p>
    <w:p w14:paraId="51D611B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11.1 供应商应按照法律、法规、规章和规范性文件以及磋商文件要求提交证明文件，证明其响应标的符合磋商文件规定。</w:t>
      </w:r>
    </w:p>
    <w:p w14:paraId="0926CD0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11.2 磋商文件对证明文件无明确形式要求的，证明文件可以以文字资料、图纸和数据等形式提交。</w:t>
      </w:r>
    </w:p>
    <w:p w14:paraId="17C589D0">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12.磋商报价明细表</w:t>
      </w:r>
    </w:p>
    <w:p w14:paraId="69FDF76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12.1 供应商应按照磋商文件规定格式填磋商报价明细表</w:t>
      </w:r>
      <w:r>
        <w:rPr>
          <w:rFonts w:hint="eastAsia" w:ascii="仿宋" w:hAnsi="仿宋" w:eastAsia="仿宋" w:cs="仿宋"/>
          <w:color w:val="000000"/>
          <w:sz w:val="24"/>
          <w:szCs w:val="24"/>
          <w:lang w:eastAsia="zh-CN"/>
        </w:rPr>
        <w:t>（如有的话）</w:t>
      </w:r>
      <w:r>
        <w:rPr>
          <w:rFonts w:hint="eastAsia" w:ascii="仿宋" w:hAnsi="仿宋" w:eastAsia="仿宋" w:cs="仿宋"/>
          <w:color w:val="000000"/>
          <w:sz w:val="24"/>
          <w:szCs w:val="24"/>
        </w:rPr>
        <w:t>。</w:t>
      </w:r>
    </w:p>
    <w:p w14:paraId="6C86B8E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12.2 响应文件中的单价和总价无特殊规定的采用人民币报价，以元为单位标注。磋商文件另有规定的按规定执行。</w:t>
      </w:r>
    </w:p>
    <w:p w14:paraId="13015CA7">
      <w:pPr>
        <w:spacing w:beforeLines="0" w:afterLines="0"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12.3 本项目不接受备选的投标方案或有选择的报价，只允许有一个报价。供应商响应文件中的报价作为首次报价，不公开；以最后报价作为评审价。投标报价内容包括：完成本项目所涉及到的一切相关费用。</w:t>
      </w:r>
    </w:p>
    <w:p w14:paraId="79CD1781">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13.响应及偏离表</w:t>
      </w:r>
    </w:p>
    <w:p w14:paraId="30B725A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13.1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供应商需对磋商文件中的服务要求与商务要求逐项作出响应或偏离说明。</w:t>
      </w:r>
    </w:p>
    <w:p w14:paraId="2E6C30B6">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13.2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供应商可在响应文件中提供认为需要的其他技术文件或说明。</w:t>
      </w:r>
    </w:p>
    <w:p w14:paraId="1FE3B7AF">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.磋商响应函</w:t>
      </w:r>
    </w:p>
    <w:p w14:paraId="2D7D9AC8">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供应商应按照磋商文件规定格式完整、正确填报磋商响应函。</w:t>
      </w:r>
    </w:p>
    <w:p w14:paraId="3A20E435">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.磋商有效期</w:t>
      </w:r>
    </w:p>
    <w:p w14:paraId="33AD491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.1 磋商有效期为采购公告规定的提交</w:t>
      </w:r>
      <w:r>
        <w:rPr>
          <w:rFonts w:hint="eastAsia" w:ascii="仿宋" w:hAnsi="仿宋" w:eastAsia="仿宋" w:cs="仿宋"/>
          <w:color w:val="000000"/>
          <w:sz w:val="24"/>
          <w:szCs w:val="24"/>
          <w:highlight w:val="none"/>
        </w:rPr>
        <w:t>响应文件截止之日起</w:t>
      </w:r>
      <w:r>
        <w:rPr>
          <w:rFonts w:hint="eastAsia" w:ascii="仿宋" w:hAnsi="仿宋" w:eastAsia="仿宋" w:cs="仿宋"/>
          <w:color w:val="000000"/>
          <w:sz w:val="24"/>
          <w:szCs w:val="24"/>
          <w:highlight w:val="none"/>
          <w:lang w:val="zh-CN"/>
        </w:rPr>
        <w:t>六十天</w:t>
      </w:r>
      <w:r>
        <w:rPr>
          <w:rFonts w:hint="eastAsia" w:ascii="仿宋" w:hAnsi="仿宋" w:eastAsia="仿宋" w:cs="仿宋"/>
          <w:color w:val="000000"/>
          <w:sz w:val="24"/>
          <w:szCs w:val="24"/>
          <w:highlight w:val="none"/>
        </w:rPr>
        <w:t>。磋商有效期比规</w:t>
      </w:r>
      <w:r>
        <w:rPr>
          <w:rFonts w:hint="eastAsia" w:ascii="仿宋" w:hAnsi="仿宋" w:eastAsia="仿宋" w:cs="仿宋"/>
          <w:color w:val="000000"/>
          <w:sz w:val="24"/>
          <w:szCs w:val="24"/>
        </w:rPr>
        <w:t>定短的将被视为非实质性响应磋商文件而被拒绝。</w:t>
      </w:r>
    </w:p>
    <w:p w14:paraId="742685CC">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.磋商有效期的延长</w:t>
      </w:r>
    </w:p>
    <w:p w14:paraId="20A162A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p>
    <w:p w14:paraId="77C6715F">
      <w:pPr>
        <w:snapToGrid w:val="0"/>
        <w:spacing w:before="0" w:beforeLines="-2147483648" w:after="0" w:afterLines="-2147483648" w:line="360" w:lineRule="auto"/>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四、响应文件的递交</w:t>
      </w:r>
    </w:p>
    <w:p w14:paraId="073FD758">
      <w:pPr>
        <w:snapToGrid w:val="0"/>
        <w:spacing w:before="0" w:beforeLines="0" w:after="0" w:afterLines="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17.响应文件的递交</w:t>
      </w:r>
    </w:p>
    <w:p w14:paraId="0194109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17.1 供应商应当按照《操作手册》规定，在采购公告规定的提交响应文件截止时间前制作并上传电子响应文件。</w:t>
      </w:r>
    </w:p>
    <w:p w14:paraId="01D6B17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17.2 供应商应充分考虑网络环境、网络带宽等因素可能产生的影响，如因供应商自身原因造成的电子响应文件上传不成功的，按照本磋商文件第二章第24.3条规定做无效响应处理。</w:t>
      </w:r>
    </w:p>
    <w:p w14:paraId="295CFC4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17.3 采购代理机构可以按照规定，通过修改磋商文件酌情延长提交响应文件截止日期，在此情况下，供应商的所有权利和义务均以延长后新的截止日期为准。</w:t>
      </w:r>
    </w:p>
    <w:p w14:paraId="20AAA9BA">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18.响应文件的拒收</w:t>
      </w:r>
    </w:p>
    <w:p w14:paraId="038DCAA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18.1 提交响应文件截止时间后上传的任何响应文件将被拒绝。</w:t>
      </w:r>
    </w:p>
    <w:p w14:paraId="6D79A904">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19.响应文件的撤回和修改</w:t>
      </w:r>
    </w:p>
    <w:p w14:paraId="7FF9767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 响应文件的撤回</w:t>
      </w:r>
    </w:p>
    <w:p w14:paraId="6BF2BF9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19.1.1 供应商可在提交响应文件截止时间前，撤回其电子响应文件，具体操作方法见《操作手册》。</w:t>
      </w:r>
    </w:p>
    <w:p w14:paraId="70178D1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19.1.2 供应商撤回电子响应文件，则认为其不再参与本项目磋商活动。</w:t>
      </w:r>
    </w:p>
    <w:p w14:paraId="78C5880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 响应文件的修改</w:t>
      </w:r>
    </w:p>
    <w:p w14:paraId="761D5E63">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19.2.1 供应商可在提交响应文件截止时间前，对其电子响应文件进行修改，具体操作方法见《操作手册》。</w:t>
      </w:r>
    </w:p>
    <w:p w14:paraId="1F6F623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19.2.2 提交响应文件截止时间之后，供应商不得对其电子响应文件作任何修改。</w:t>
      </w:r>
    </w:p>
    <w:p w14:paraId="5B5CF07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19.3 在提交响应文件截止时间至磋商文件中规定的磋商有效期满之间的这段时间内，供应商不得撤回其响应文件。</w:t>
      </w:r>
    </w:p>
    <w:p w14:paraId="5CF90460">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五、响应文件的解密与评审</w:t>
      </w:r>
    </w:p>
    <w:p w14:paraId="3DA29DFD">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20.响应文件解密</w:t>
      </w:r>
    </w:p>
    <w:p w14:paraId="5B33616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20.1 供应商应当按照《操作手册》规定，在苏采云系统规定的时间内对响应文件进行解密。</w:t>
      </w:r>
    </w:p>
    <w:p w14:paraId="13CDB9B8">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21.磋商</w:t>
      </w:r>
    </w:p>
    <w:p w14:paraId="0D595B4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21.1 采购代理机构将依法组织磋商小组对响应文件进行评审。</w:t>
      </w:r>
    </w:p>
    <w:p w14:paraId="0A96B9B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21.2 磋商小组由采购人代表和有关方面专家组成，人员构成符合政府采购有关规定。</w:t>
      </w:r>
    </w:p>
    <w:p w14:paraId="366BDC3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21.3 磋商小组独立工作，负责评审所有响应文件并推荐成交候选人，或根据采购人授权直接确定成交供应商。</w:t>
      </w:r>
    </w:p>
    <w:p w14:paraId="6E1C2424">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22.评审过程的保密与公正</w:t>
      </w:r>
    </w:p>
    <w:p w14:paraId="4BE5B5F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22.1 磋商小组、采购人和采购代理机构工作人员、相关监督人员等与评审工作有关的人员，对评审情况以及在评审过程中获悉的国家秘密、商业秘密负有保密责任。</w:t>
      </w:r>
    </w:p>
    <w:p w14:paraId="02085C1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22.2 供应商不得以任何方式影响评审过程，否则其响应文件将被作为无效响应文件。</w:t>
      </w:r>
    </w:p>
    <w:p w14:paraId="38CA5DA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22.3 采购代理机构和磋商小组不向未成交的供应商解释未成交原因，也不公布评审过程中的相关细节。</w:t>
      </w:r>
    </w:p>
    <w:p w14:paraId="1B226B61">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23.评审过程中的澄清</w:t>
      </w:r>
    </w:p>
    <w:p w14:paraId="6BA0F653">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23.1 项目评审期间，磋商小组有权要求供应商对响应文件中含义不明确、同类问题表述不一致或者有明显文字和计算错误的内容等作出必要的澄清、说明或者补正。</w:t>
      </w:r>
    </w:p>
    <w:p w14:paraId="790E69D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供应商的澄清、说明或者补正不得超出响应文件的范围或者改变响应文件的实质性内容。</w:t>
      </w:r>
    </w:p>
    <w:p w14:paraId="08FC00F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磋商小组并非对每个供应商都做澄清要求。</w:t>
      </w:r>
    </w:p>
    <w:p w14:paraId="6600BF2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23.2 需要供应商进行澄清、说明和补正的，磋商小组将通过苏采云系统向供应商发出</w:t>
      </w:r>
      <w:r>
        <w:rPr>
          <w:rFonts w:hint="eastAsia" w:ascii="仿宋" w:hAnsi="仿宋" w:eastAsia="仿宋" w:cs="仿宋"/>
          <w:color w:val="000000"/>
          <w:sz w:val="24"/>
          <w:szCs w:val="24"/>
          <w:lang w:val="zh-CN"/>
        </w:rPr>
        <w:t>《澄清要求函》</w:t>
      </w:r>
      <w:r>
        <w:rPr>
          <w:rFonts w:hint="eastAsia" w:ascii="仿宋" w:hAnsi="仿宋" w:eastAsia="仿宋" w:cs="仿宋"/>
          <w:color w:val="000000"/>
          <w:sz w:val="24"/>
          <w:szCs w:val="24"/>
        </w:rPr>
        <w:t>，接到</w:t>
      </w:r>
      <w:r>
        <w:rPr>
          <w:rFonts w:hint="eastAsia" w:ascii="仿宋" w:hAnsi="仿宋" w:eastAsia="仿宋" w:cs="仿宋"/>
          <w:color w:val="000000"/>
          <w:sz w:val="24"/>
          <w:szCs w:val="24"/>
          <w:lang w:val="zh-CN"/>
        </w:rPr>
        <w:t>《澄清要求函》</w:t>
      </w:r>
      <w:r>
        <w:rPr>
          <w:rFonts w:hint="eastAsia" w:ascii="仿宋" w:hAnsi="仿宋" w:eastAsia="仿宋" w:cs="仿宋"/>
          <w:color w:val="000000"/>
          <w:sz w:val="24"/>
          <w:szCs w:val="24"/>
        </w:rPr>
        <w:t>的供应商应当按照要求在苏采云系统中提交</w:t>
      </w:r>
      <w:r>
        <w:rPr>
          <w:rFonts w:hint="eastAsia" w:ascii="仿宋" w:hAnsi="仿宋" w:eastAsia="仿宋" w:cs="仿宋"/>
          <w:color w:val="000000"/>
          <w:sz w:val="24"/>
          <w:szCs w:val="24"/>
          <w:lang w:val="zh-CN"/>
        </w:rPr>
        <w:t>《澄清响应函》</w:t>
      </w:r>
      <w:r>
        <w:rPr>
          <w:rFonts w:hint="eastAsia" w:ascii="仿宋" w:hAnsi="仿宋" w:eastAsia="仿宋" w:cs="仿宋"/>
          <w:color w:val="000000"/>
          <w:sz w:val="24"/>
          <w:szCs w:val="24"/>
        </w:rPr>
        <w:t>并加盖电子公章。澄清、说明和补正的内容作为响应文件的补充部分，具体操作方式见《操作手册》。</w:t>
      </w:r>
    </w:p>
    <w:p w14:paraId="426DC94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23.3 接到磋商小组澄清、说明和补正要求的供应商如未按规定做出澄清、说明和补正，其风险由供应商自行承担。</w:t>
      </w:r>
    </w:p>
    <w:p w14:paraId="669684D6">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24.响应文件的审查</w:t>
      </w:r>
    </w:p>
    <w:p w14:paraId="65B3FC2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 响应文件审查分为资格审查和符合性审查。</w:t>
      </w:r>
    </w:p>
    <w:p w14:paraId="388D7AD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24.1.1 资格审查。依据法律法规和磋商文件的规定，磋商小组对响应文件中的资格证明文件进行审查，以确定供应商是否具备参加磋商的资格。</w:t>
      </w:r>
    </w:p>
    <w:p w14:paraId="707F160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磋商小组进行资格审查时，将在“信用中国”网站（www.creditchina.gov.cn）查询供应商的信用记录，以确定供应商是否具备磋商资格,查询结果留存并归档。</w:t>
      </w:r>
    </w:p>
    <w:p w14:paraId="0F24AB70">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接受联合体的项目，联合体成员存在不良信用记录的，视同联合体存在不良</w:t>
      </w:r>
      <w:r>
        <w:rPr>
          <w:rFonts w:hint="eastAsia" w:ascii="仿宋" w:hAnsi="仿宋" w:eastAsia="仿宋" w:cs="仿宋"/>
          <w:color w:val="000000"/>
          <w:sz w:val="24"/>
          <w:szCs w:val="24"/>
        </w:rPr>
        <w:t>信</w:t>
      </w:r>
      <w:r>
        <w:rPr>
          <w:rFonts w:hint="eastAsia" w:ascii="仿宋" w:hAnsi="仿宋" w:eastAsia="仿宋" w:cs="仿宋"/>
          <w:color w:val="000000"/>
          <w:sz w:val="24"/>
          <w:szCs w:val="24"/>
          <w:lang w:val="zh-CN"/>
        </w:rPr>
        <w:t>用记录。</w:t>
      </w:r>
    </w:p>
    <w:p w14:paraId="5B56029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24.1.2 符合性审查。依据磋商文件的规定，由磋商小组从有效性、完整性和对磋商文件的响应程度等方面对响应文件进行审查，以确定是否对磋商文件的实质性要求作出响应。</w:t>
      </w:r>
    </w:p>
    <w:p w14:paraId="3CC0407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24.1.3 未通过资格审查或符合性审查的供应商，磋商小组将通过苏采云系统告知具体原因，评审结束后将不再接受有关询问。</w:t>
      </w:r>
    </w:p>
    <w:p w14:paraId="2590543F">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24.2 在详细评审之前，磋商小组将首先审查每份响应文件是否实质性响应了磋商文件的要求。实质性响应的响应文件应该是与磋商文件要求的条款、条件和规格相符，没有重大偏离或保留的文件。</w:t>
      </w:r>
    </w:p>
    <w:p w14:paraId="51E3E0E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zh-CN"/>
        </w:rPr>
        <w:t>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rPr>
        <w:t>采购人</w:t>
      </w:r>
      <w:r>
        <w:rPr>
          <w:rFonts w:hint="eastAsia" w:ascii="仿宋" w:hAnsi="仿宋" w:eastAsia="仿宋" w:cs="仿宋"/>
          <w:color w:val="000000"/>
          <w:sz w:val="24"/>
          <w:szCs w:val="24"/>
          <w:lang w:val="zh-CN"/>
        </w:rPr>
        <w:t>的权利或供应商的义务，纠正这些偏离或保留将会对其他实质性响应的供应商产生不公正的影响。重大偏离的认定</w:t>
      </w:r>
      <w:r>
        <w:rPr>
          <w:rFonts w:hint="eastAsia" w:ascii="仿宋" w:hAnsi="仿宋" w:eastAsia="仿宋" w:cs="仿宋"/>
          <w:color w:val="000000"/>
          <w:sz w:val="24"/>
          <w:szCs w:val="24"/>
        </w:rPr>
        <w:t>由</w:t>
      </w:r>
      <w:r>
        <w:rPr>
          <w:rFonts w:hint="eastAsia" w:ascii="仿宋" w:hAnsi="仿宋" w:eastAsia="仿宋" w:cs="仿宋"/>
          <w:color w:val="000000"/>
          <w:sz w:val="24"/>
          <w:szCs w:val="24"/>
          <w:lang w:val="zh-CN"/>
        </w:rPr>
        <w:t>磋商小组</w:t>
      </w:r>
      <w:r>
        <w:rPr>
          <w:rFonts w:hint="eastAsia" w:ascii="仿宋" w:hAnsi="仿宋" w:eastAsia="仿宋" w:cs="仿宋"/>
          <w:color w:val="000000"/>
          <w:sz w:val="24"/>
          <w:szCs w:val="24"/>
        </w:rPr>
        <w:t>按照</w:t>
      </w:r>
      <w:r>
        <w:rPr>
          <w:rFonts w:hint="eastAsia" w:ascii="仿宋" w:hAnsi="仿宋" w:eastAsia="仿宋" w:cs="仿宋"/>
          <w:color w:val="000000"/>
          <w:sz w:val="24"/>
          <w:szCs w:val="24"/>
          <w:lang w:val="zh-CN"/>
        </w:rPr>
        <w:t>少数服从多数的原则作出结论。</w:t>
      </w:r>
      <w:r>
        <w:rPr>
          <w:rFonts w:hint="eastAsia" w:ascii="仿宋" w:hAnsi="仿宋" w:eastAsia="仿宋" w:cs="仿宋"/>
          <w:color w:val="000000"/>
          <w:sz w:val="24"/>
          <w:szCs w:val="24"/>
        </w:rPr>
        <w:t>磋商小组认</w:t>
      </w:r>
      <w:r>
        <w:rPr>
          <w:rFonts w:hint="eastAsia" w:ascii="仿宋" w:hAnsi="仿宋" w:eastAsia="仿宋" w:cs="仿宋"/>
          <w:color w:val="000000"/>
          <w:sz w:val="24"/>
          <w:szCs w:val="24"/>
          <w:lang w:val="zh-CN"/>
        </w:rPr>
        <w:t>定响应文件的响应性只根据响应文件本身的内容，而不寻求外部的证据。</w:t>
      </w:r>
    </w:p>
    <w:p w14:paraId="7DBE75B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 未实质性响应磋商文件的情形</w:t>
      </w:r>
    </w:p>
    <w:p w14:paraId="2C2648E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 供应商在苏采云系统规定的时间内未成功解密电子响应文件。</w:t>
      </w:r>
    </w:p>
    <w:p w14:paraId="1571A21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24.3.2 供应商未按照磋商文件要求上传电子响应文件。</w:t>
      </w:r>
    </w:p>
    <w:p w14:paraId="6088F3D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24.3.3 同一供应商提交两个（含两个）以上不同的响应文件或者最后报价。</w:t>
      </w:r>
    </w:p>
    <w:p w14:paraId="2BE355B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24.3.4 供应商不具备磋商文件中规定的资格要求。</w:t>
      </w:r>
    </w:p>
    <w:p w14:paraId="6D38422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24.3.5 供应商的最后报价超过了采购预算或最高限价或单价上限。</w:t>
      </w:r>
    </w:p>
    <w:p w14:paraId="288E927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24.3.6 不符合磋商文件中规定的实质性要求和条件（</w:t>
      </w:r>
      <w:r>
        <w:rPr>
          <w:rFonts w:hint="eastAsia" w:ascii="仿宋" w:hAnsi="仿宋" w:eastAsia="仿宋" w:cs="仿宋"/>
          <w:b/>
          <w:color w:val="000000"/>
          <w:sz w:val="24"/>
          <w:szCs w:val="24"/>
        </w:rPr>
        <w:t>本文件中斜体且有下划线部分</w:t>
      </w:r>
      <w:r>
        <w:rPr>
          <w:rFonts w:hint="eastAsia" w:ascii="仿宋" w:hAnsi="仿宋" w:eastAsia="仿宋" w:cs="仿宋"/>
          <w:b/>
          <w:color w:val="000000"/>
          <w:sz w:val="24"/>
          <w:szCs w:val="24"/>
          <w:lang w:val="zh-CN"/>
        </w:rPr>
        <w:t>或者打“</w:t>
      </w:r>
      <w:r>
        <w:rPr>
          <w:rFonts w:hint="eastAsia" w:ascii="仿宋" w:hAnsi="仿宋" w:eastAsia="仿宋" w:cs="仿宋"/>
          <w:b/>
          <w:color w:val="000000"/>
          <w:sz w:val="24"/>
          <w:szCs w:val="24"/>
        </w:rPr>
        <w:t>★</w:t>
      </w:r>
      <w:r>
        <w:rPr>
          <w:rFonts w:hint="eastAsia" w:ascii="仿宋" w:hAnsi="仿宋" w:eastAsia="仿宋" w:cs="仿宋"/>
          <w:b/>
          <w:color w:val="000000"/>
          <w:sz w:val="24"/>
          <w:szCs w:val="24"/>
          <w:lang w:val="zh-CN"/>
        </w:rPr>
        <w:t>”内容，</w:t>
      </w:r>
      <w:r>
        <w:rPr>
          <w:rFonts w:hint="eastAsia" w:ascii="仿宋" w:hAnsi="仿宋" w:eastAsia="仿宋" w:cs="仿宋"/>
          <w:b/>
          <w:color w:val="000000"/>
          <w:sz w:val="24"/>
          <w:szCs w:val="24"/>
        </w:rPr>
        <w:t>为实质性要求和条件</w:t>
      </w:r>
      <w:r>
        <w:rPr>
          <w:rFonts w:hint="eastAsia" w:ascii="仿宋" w:hAnsi="仿宋" w:eastAsia="仿宋" w:cs="仿宋"/>
          <w:color w:val="000000"/>
          <w:sz w:val="24"/>
          <w:szCs w:val="24"/>
        </w:rPr>
        <w:t>）。</w:t>
      </w:r>
    </w:p>
    <w:p w14:paraId="5C6B98D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1A65E2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24.3.8 响应文件含有采购人不能接受的附加条件。</w:t>
      </w:r>
    </w:p>
    <w:p w14:paraId="38631A7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24.3.9 磋商小组</w:t>
      </w:r>
      <w:r>
        <w:rPr>
          <w:rFonts w:hint="eastAsia" w:ascii="仿宋" w:hAnsi="仿宋" w:eastAsia="仿宋" w:cs="仿宋"/>
          <w:color w:val="000000"/>
          <w:sz w:val="24"/>
          <w:szCs w:val="24"/>
          <w:lang w:val="zh-CN"/>
        </w:rPr>
        <w:t>发现</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报价低于采购项目预算50%，或者低于采购项目最高限价45%，或者认为</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的报价过低，有可能影响产品或服务质量或不能诚信履约的，应当启动异常低价投标审查机制，通过苏采云系统要求</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在合理的时间内提供项目具体成本测算等与报价合理性相关的书面说明及相关证明材料。</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不提供书面说明及证明材料，或者书面说明、证明材料不能证明其报价合理性的，</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应当将其作为无效</w:t>
      </w:r>
      <w:r>
        <w:rPr>
          <w:rFonts w:hint="eastAsia" w:ascii="仿宋" w:hAnsi="仿宋" w:eastAsia="仿宋" w:cs="仿宋"/>
          <w:color w:val="000000"/>
          <w:sz w:val="24"/>
          <w:szCs w:val="24"/>
        </w:rPr>
        <w:t>响应</w:t>
      </w:r>
      <w:r>
        <w:rPr>
          <w:rFonts w:hint="eastAsia" w:ascii="仿宋" w:hAnsi="仿宋" w:eastAsia="仿宋" w:cs="仿宋"/>
          <w:color w:val="000000"/>
          <w:sz w:val="24"/>
          <w:szCs w:val="24"/>
          <w:lang w:val="zh-CN"/>
        </w:rPr>
        <w:t>处理。</w:t>
      </w:r>
    </w:p>
    <w:p w14:paraId="5F504AA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24.3.10 响应文件未按照磋商文件要求加盖电子公章。</w:t>
      </w:r>
    </w:p>
    <w:p w14:paraId="1E22E16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24.3.11 法律法规及本磋商文件规定的其他无效响应的情形。</w:t>
      </w:r>
    </w:p>
    <w:p w14:paraId="1037CB5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24.4 未实质性响应磋商文件的响应文件按无效响应处理。</w:t>
      </w:r>
    </w:p>
    <w:p w14:paraId="28449F6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24.5 如果响应文件实质上没有响应磋商文件的要求，磋商小组将予以拒绝，供应商不得通过修改或撤销不合要求的偏离或保留而使其成为实质性响应的文件。</w:t>
      </w:r>
    </w:p>
    <w:p w14:paraId="66263C7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24.6 供应商在项目评审全过程中应保持通讯畅通，</w:t>
      </w:r>
      <w:r>
        <w:rPr>
          <w:rFonts w:hint="eastAsia" w:ascii="仿宋" w:hAnsi="仿宋" w:eastAsia="仿宋" w:cs="仿宋"/>
          <w:color w:val="000000"/>
          <w:sz w:val="24"/>
          <w:szCs w:val="24"/>
          <w:lang w:val="zh-CN"/>
        </w:rPr>
        <w:t>及时登录苏采云系统查阅、答复相关信息，并安排专人与采购代理机构及磋商小组联系。</w:t>
      </w:r>
    </w:p>
    <w:p w14:paraId="6BCB3447">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25.磋商程序及评审方法与评审标准</w:t>
      </w:r>
    </w:p>
    <w:p w14:paraId="1FD7F1C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 磋商程序</w:t>
      </w:r>
    </w:p>
    <w:p w14:paraId="56D0C48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25.1.1 磋商小组将与通过资格审查和符合性审查的供应商分别进行磋商。磋商小组通过苏采云系统向供应商发出《磋商函》，供应商应当按照要求在苏采云系统提交《磋商响应函》并加盖电子公章。</w:t>
      </w:r>
    </w:p>
    <w:p w14:paraId="1831D36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133E0D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25.1.2 磋商结束后，磋商小组将在苏采云系统向所有实质性响应的供应商发出《最后报价要求函》及最后报价格式表，要求所有实质性响应的供应商在规定时间内提交最后报价。最后报价是供应商响应文件的有效组成部分。</w:t>
      </w:r>
    </w:p>
    <w:p w14:paraId="0D866B8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19EA8E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 评审方法与评审标准</w:t>
      </w:r>
    </w:p>
    <w:p w14:paraId="5D9ED72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25.2.1 评审方法。见磋商文件第五章。</w:t>
      </w:r>
    </w:p>
    <w:p w14:paraId="1FA6A3E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25.2.2 评审标准。见磋商文件第五章。</w:t>
      </w:r>
    </w:p>
    <w:p w14:paraId="403C28D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 采购活动终止</w:t>
      </w:r>
    </w:p>
    <w:p w14:paraId="5B66502C">
      <w:pPr>
        <w:spacing w:beforeLines="0" w:afterLines="0" w:line="360" w:lineRule="auto"/>
        <w:ind w:firstLine="422"/>
        <w:rPr>
          <w:rFonts w:hint="eastAsia" w:ascii="仿宋" w:hAnsi="仿宋" w:eastAsia="仿宋" w:cs="仿宋"/>
          <w:b/>
          <w:color w:val="000000"/>
          <w:sz w:val="24"/>
          <w:szCs w:val="24"/>
        </w:rPr>
      </w:pPr>
      <w:r>
        <w:rPr>
          <w:rFonts w:hint="eastAsia" w:ascii="仿宋" w:hAnsi="仿宋" w:eastAsia="仿宋" w:cs="仿宋"/>
          <w:b/>
          <w:color w:val="000000"/>
          <w:sz w:val="24"/>
          <w:szCs w:val="24"/>
        </w:rPr>
        <w:t>出现下列情形之一的，本次采购活动终止：</w:t>
      </w:r>
    </w:p>
    <w:p w14:paraId="25AC23E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25.3.1 因情况变化，不再符合竞争性磋商采购方式适用情形。</w:t>
      </w:r>
    </w:p>
    <w:p w14:paraId="1223844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25.3.2 出现影响采购公正的违法、违规行为。</w:t>
      </w:r>
    </w:p>
    <w:p w14:paraId="337EE6E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25.3.3 在苏采云系统规定时间内成功解密电子响应文件的供应商不足三家。</w:t>
      </w:r>
    </w:p>
    <w:p w14:paraId="25C4FCB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25.3.4 磋商过程中符合要求的供应商或者提交最后报价且未超过采购预算或最高限价的供应商不足三家。</w:t>
      </w:r>
    </w:p>
    <w:p w14:paraId="3E60D0B3">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2</w:t>
      </w:r>
      <w:r>
        <w:rPr>
          <w:rFonts w:hint="eastAsia" w:ascii="仿宋" w:hAnsi="仿宋" w:eastAsia="仿宋" w:cs="仿宋"/>
          <w:color w:val="000000"/>
          <w:sz w:val="24"/>
          <w:szCs w:val="24"/>
        </w:rPr>
        <w:t>5</w:t>
      </w:r>
      <w:r>
        <w:rPr>
          <w:rFonts w:hint="eastAsia" w:ascii="仿宋" w:hAnsi="仿宋" w:eastAsia="仿宋" w:cs="仿宋"/>
          <w:color w:val="000000"/>
          <w:sz w:val="24"/>
          <w:szCs w:val="24"/>
          <w:lang w:val="zh-CN"/>
        </w:rPr>
        <w:t>.3.5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法律法规规定的其他应当终止情形。</w:t>
      </w:r>
    </w:p>
    <w:p w14:paraId="3A0D9A6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zh-CN"/>
        </w:rPr>
        <w:t>25.4 如出现25.</w:t>
      </w: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或25.3</w:t>
      </w:r>
      <w:r>
        <w:rPr>
          <w:rFonts w:hint="eastAsia" w:ascii="仿宋" w:hAnsi="仿宋" w:eastAsia="仿宋" w:cs="仿宋"/>
          <w:color w:val="000000"/>
          <w:sz w:val="24"/>
          <w:szCs w:val="24"/>
        </w:rPr>
        <w:t>.4</w:t>
      </w:r>
      <w:r>
        <w:rPr>
          <w:rFonts w:hint="eastAsia" w:ascii="仿宋" w:hAnsi="仿宋" w:eastAsia="仿宋" w:cs="仿宋"/>
          <w:color w:val="000000"/>
          <w:sz w:val="24"/>
          <w:szCs w:val="24"/>
          <w:lang w:val="zh-CN"/>
        </w:rPr>
        <w:t>情形，</w:t>
      </w:r>
      <w:r>
        <w:rPr>
          <w:rFonts w:hint="eastAsia" w:ascii="仿宋" w:hAnsi="仿宋" w:eastAsia="仿宋" w:cs="仿宋"/>
          <w:color w:val="000000"/>
          <w:sz w:val="24"/>
          <w:szCs w:val="24"/>
        </w:rPr>
        <w:t>采购</w:t>
      </w:r>
      <w:r>
        <w:rPr>
          <w:rFonts w:hint="eastAsia" w:ascii="仿宋" w:hAnsi="仿宋" w:eastAsia="仿宋" w:cs="仿宋"/>
          <w:color w:val="000000"/>
          <w:sz w:val="24"/>
          <w:szCs w:val="24"/>
          <w:lang w:val="zh-CN"/>
        </w:rPr>
        <w:t>活动失败，</w:t>
      </w:r>
      <w:r>
        <w:rPr>
          <w:rFonts w:hint="eastAsia" w:ascii="仿宋" w:hAnsi="仿宋" w:eastAsia="仿宋" w:cs="仿宋"/>
          <w:color w:val="000000"/>
          <w:sz w:val="24"/>
          <w:szCs w:val="24"/>
        </w:rPr>
        <w:t>磋商小组应对磋商</w:t>
      </w:r>
      <w:r>
        <w:rPr>
          <w:rFonts w:hint="eastAsia" w:ascii="仿宋" w:hAnsi="仿宋" w:eastAsia="仿宋" w:cs="仿宋"/>
          <w:color w:val="000000"/>
          <w:sz w:val="24"/>
          <w:szCs w:val="24"/>
          <w:lang w:val="zh-CN"/>
        </w:rPr>
        <w:t>文件是否存在不合理条款</w:t>
      </w:r>
      <w:r>
        <w:rPr>
          <w:rFonts w:hint="eastAsia" w:ascii="仿宋" w:hAnsi="仿宋" w:eastAsia="仿宋" w:cs="仿宋"/>
          <w:color w:val="000000"/>
          <w:sz w:val="24"/>
          <w:szCs w:val="24"/>
        </w:rPr>
        <w:t>进行论证，并在评审报告中写明</w:t>
      </w:r>
      <w:r>
        <w:rPr>
          <w:rFonts w:hint="eastAsia" w:ascii="仿宋" w:hAnsi="仿宋" w:eastAsia="仿宋" w:cs="仿宋"/>
          <w:color w:val="000000"/>
          <w:sz w:val="24"/>
          <w:szCs w:val="24"/>
          <w:lang w:val="zh-CN"/>
        </w:rPr>
        <w:t>论证意见。</w:t>
      </w:r>
    </w:p>
    <w:p w14:paraId="73086C48">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六、成交</w:t>
      </w:r>
    </w:p>
    <w:p w14:paraId="5DA45224">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26.确定成交单位</w:t>
      </w:r>
    </w:p>
    <w:p w14:paraId="4CD7F2A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26.1 成交候选供应商的确定原则和数量见磋商文件第五章。</w:t>
      </w:r>
    </w:p>
    <w:p w14:paraId="712C885E">
      <w:pPr>
        <w:spacing w:beforeLines="0" w:afterLines="0" w:line="360" w:lineRule="auto"/>
        <w:ind w:firstLine="420"/>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26.2 </w:t>
      </w:r>
      <w:r>
        <w:rPr>
          <w:rFonts w:hint="eastAsia" w:ascii="仿宋" w:hAnsi="仿宋" w:eastAsia="仿宋" w:cs="仿宋"/>
          <w:color w:val="000000"/>
          <w:sz w:val="24"/>
          <w:szCs w:val="24"/>
          <w:lang w:val="zh-CN"/>
        </w:rPr>
        <w:t>按以下第（</w:t>
      </w:r>
      <w:r>
        <w:rPr>
          <w:rFonts w:hint="eastAsia" w:ascii="仿宋" w:hAnsi="仿宋" w:eastAsia="仿宋" w:cs="仿宋"/>
          <w:color w:val="000000"/>
          <w:sz w:val="24"/>
          <w:szCs w:val="24"/>
          <w:lang w:eastAsia="zh-CN"/>
        </w:rPr>
        <w:t>1</w:t>
      </w:r>
      <w:r>
        <w:rPr>
          <w:rFonts w:hint="eastAsia" w:ascii="仿宋" w:hAnsi="仿宋" w:eastAsia="仿宋" w:cs="仿宋"/>
          <w:color w:val="000000"/>
          <w:sz w:val="24"/>
          <w:szCs w:val="24"/>
          <w:lang w:val="zh-CN"/>
        </w:rPr>
        <w:t>）种方式确定</w:t>
      </w:r>
      <w:r>
        <w:rPr>
          <w:rFonts w:hint="eastAsia" w:ascii="仿宋" w:hAnsi="仿宋" w:eastAsia="仿宋" w:cs="仿宋"/>
          <w:color w:val="000000"/>
          <w:sz w:val="24"/>
          <w:szCs w:val="24"/>
        </w:rPr>
        <w:t>成交供应商</w:t>
      </w:r>
    </w:p>
    <w:p w14:paraId="7B5C164C">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直接确定排名第一的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为</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561BFD00">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（2）采购人在</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推荐的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中按顺序确定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5E14C89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按第二种方式确定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的，采购代理机构自评审结束之日起两个工作日内将评审报告送交采购人，采购人自收到评审报告之日起五个工作日内，在评审报告推荐的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中按顺序确定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5E40407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26.3 采购代理机构将在“江苏政府采购网”发布成交结果公告，公告期限为1个工作日。</w:t>
      </w:r>
    </w:p>
    <w:p w14:paraId="5B874E5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26.4 </w:t>
      </w:r>
      <w:r>
        <w:rPr>
          <w:rFonts w:hint="eastAsia" w:ascii="仿宋" w:hAnsi="仿宋" w:eastAsia="仿宋" w:cs="仿宋"/>
          <w:b/>
          <w:color w:val="000000"/>
          <w:sz w:val="24"/>
          <w:szCs w:val="24"/>
        </w:rPr>
        <w:t>若有充分证据证明成交供应商有下列情况之一的，一经查实将被取消成交资格：</w:t>
      </w:r>
    </w:p>
    <w:p w14:paraId="4BE5482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26.4.1 提供虚假材料谋取成交。</w:t>
      </w:r>
    </w:p>
    <w:p w14:paraId="5722662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26.4.2 向评审专家、采购人或采购代理机构工作人员行贿或者提供其他不正当利益。</w:t>
      </w:r>
    </w:p>
    <w:p w14:paraId="089F737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26.4.3 与其他供应商、评审专家、采购人或采购代理机构工作人员恶意串通。</w:t>
      </w:r>
    </w:p>
    <w:p w14:paraId="4F34E62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26.4.4 不满足本磋商文件规定的实质性要求，但在评审过程中未被磋商小组发现。</w:t>
      </w:r>
    </w:p>
    <w:p w14:paraId="043EAAB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26.4.5 采取不正当手段诋毁、排挤其他供应商。</w:t>
      </w:r>
    </w:p>
    <w:p w14:paraId="55B04AF8">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27.成交通知书</w:t>
      </w:r>
    </w:p>
    <w:p w14:paraId="3B307A13">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 成交结果确定后，采购代理机构将向成交供应商发出《成交通知书》。成交供应商可在成交结果公告届满之日起三十日内，登录苏采云系统下载。    </w:t>
      </w:r>
    </w:p>
    <w:p w14:paraId="3C2F410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因系统存储空间有限，成交结果公告届满之日起三十日后，苏采云系统不再保证提供下载《成交通知书》服务，因未及时下载而造成的不利后果由成交供应商自行承担。</w:t>
      </w:r>
    </w:p>
    <w:p w14:paraId="3A6C7AD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27.2 《成交通知书》是合同的一个组成部分，对采购人和成交供应商均具有法律效力。《成交通知书》发出后，采购人改变成交结果的，或者成交供应商放弃成交项目的，应当依法承担法律责任。</w:t>
      </w:r>
    </w:p>
    <w:p w14:paraId="383FC9E0">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七、授予合同</w:t>
      </w:r>
    </w:p>
    <w:p w14:paraId="3DB26B74">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28.签订合同</w:t>
      </w:r>
    </w:p>
    <w:p w14:paraId="6B472F1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28.l 成交供应商应当在《成交通知书》发出之日起三十日内，按照磋商文件确定的事项与采购人签订政府采购合同。采购人于合同签订后2个工作日内通过苏采云系统进行公示。</w:t>
      </w:r>
    </w:p>
    <w:p w14:paraId="2ABB9D1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28.2 磋商文件、成交供应商的响应文件及磋商过程中有关澄清、承诺文件均作为合同附件。</w:t>
      </w:r>
    </w:p>
    <w:p w14:paraId="43F7B8D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490A862C">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28.4 成交供应商因自身原因拒绝与采购人签订合同的，</w:t>
      </w:r>
      <w:r>
        <w:rPr>
          <w:rFonts w:hint="eastAsia" w:ascii="仿宋" w:hAnsi="仿宋" w:eastAsia="仿宋" w:cs="仿宋"/>
          <w:color w:val="000000"/>
          <w:sz w:val="24"/>
          <w:szCs w:val="24"/>
          <w:lang w:val="zh-CN"/>
        </w:rPr>
        <w:t>不得参加采购人</w:t>
      </w:r>
      <w:r>
        <w:rPr>
          <w:rFonts w:hint="eastAsia" w:ascii="仿宋" w:hAnsi="仿宋" w:eastAsia="仿宋" w:cs="仿宋"/>
          <w:color w:val="000000"/>
          <w:sz w:val="24"/>
          <w:szCs w:val="24"/>
        </w:rPr>
        <w:t>重新组织的</w:t>
      </w:r>
      <w:r>
        <w:rPr>
          <w:rFonts w:hint="eastAsia" w:ascii="仿宋" w:hAnsi="仿宋" w:eastAsia="仿宋" w:cs="仿宋"/>
          <w:color w:val="000000"/>
          <w:sz w:val="24"/>
          <w:szCs w:val="24"/>
          <w:lang w:val="zh-CN"/>
        </w:rPr>
        <w:t>采购活动</w:t>
      </w:r>
      <w:r>
        <w:rPr>
          <w:rFonts w:hint="eastAsia" w:ascii="仿宋" w:hAnsi="仿宋" w:eastAsia="仿宋" w:cs="仿宋"/>
          <w:color w:val="000000"/>
          <w:sz w:val="24"/>
          <w:szCs w:val="24"/>
        </w:rPr>
        <w:t>，且将可能被拒绝参加该采购人</w:t>
      </w:r>
      <w:r>
        <w:rPr>
          <w:rFonts w:hint="eastAsia" w:ascii="仿宋" w:hAnsi="仿宋" w:eastAsia="仿宋" w:cs="仿宋"/>
          <w:color w:val="000000"/>
          <w:sz w:val="24"/>
          <w:szCs w:val="24"/>
          <w:lang w:val="zh-CN"/>
        </w:rPr>
        <w:t>一年内</w:t>
      </w:r>
      <w:r>
        <w:rPr>
          <w:rFonts w:hint="eastAsia" w:ascii="仿宋" w:hAnsi="仿宋" w:eastAsia="仿宋" w:cs="仿宋"/>
          <w:color w:val="000000"/>
          <w:sz w:val="24"/>
          <w:szCs w:val="24"/>
        </w:rPr>
        <w:t>的其他</w:t>
      </w:r>
      <w:r>
        <w:rPr>
          <w:rFonts w:hint="eastAsia" w:ascii="仿宋" w:hAnsi="仿宋" w:eastAsia="仿宋" w:cs="仿宋"/>
          <w:color w:val="000000"/>
          <w:sz w:val="24"/>
          <w:szCs w:val="24"/>
          <w:lang w:val="zh-CN"/>
        </w:rPr>
        <w:t>政府采购活动。</w:t>
      </w:r>
    </w:p>
    <w:p w14:paraId="1B849433">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28.5 本项目的非主体、非关键性工作是否允许分包按以下第2 种方式确定：</w:t>
      </w:r>
    </w:p>
    <w:p w14:paraId="08BCCA31">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（1）允许分包，允许大中型企业向一家或者多家小微企业分包，分包具体内容、金额或比例：    ；       </w:t>
      </w:r>
    </w:p>
    <w:p w14:paraId="6DF24246">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（2）不允许分包。未经采购人同意，成交供应商也不得采用分包形式履行合同,否则采购人有权终止合同。转包或分包造成采购人损失的，成交供应商应承担相应赔偿责任。</w:t>
      </w:r>
    </w:p>
    <w:p w14:paraId="7D88613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28.6</w:t>
      </w:r>
      <w:r>
        <w:rPr>
          <w:rFonts w:hint="eastAsia" w:ascii="仿宋" w:hAnsi="仿宋" w:eastAsia="仿宋" w:cs="仿宋"/>
          <w:color w:val="000000"/>
          <w:sz w:val="24"/>
          <w:szCs w:val="24"/>
        </w:rPr>
        <w:t>履约保证金</w:t>
      </w:r>
    </w:p>
    <w:p w14:paraId="4ED31A3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按照以下第1方式确定履约保证收取方式。</w:t>
      </w:r>
    </w:p>
    <w:p w14:paraId="0309954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(1)不收取履约保证金。</w:t>
      </w:r>
    </w:p>
    <w:p w14:paraId="216FE8C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(2)履约保证金应在采购合同签订前提交，履约保证金的金额     ，除银行电汇、网上银行、数字人民币外，供应商还可选用银行保函、担保公司的保证担保或保险公司的保证保险等多种形式向采购人缴纳；</w:t>
      </w:r>
    </w:p>
    <w:p w14:paraId="7DD1EDC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085577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履约保证金退还的条件：按以下第 b 种方式实行：</w:t>
      </w:r>
    </w:p>
    <w:p w14:paraId="2C7F61A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a、货物类项目，项目验收合格，出具验收报告及履约保证金收据申请退付；</w:t>
      </w:r>
    </w:p>
    <w:p w14:paraId="19BFA77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b、服务类项目，项目履约期满评价合格，出具履约评价报告及履约保证金收据申请退付；</w:t>
      </w:r>
    </w:p>
    <w:p w14:paraId="0631420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c、工程类项目，项目完工验收合格，出具完工证明及履约保证金收据申请退付；</w:t>
      </w:r>
    </w:p>
    <w:p w14:paraId="3262F9E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履约保证金退还时间：采购单位收到供应商退付申请后5个工作日内退还；</w:t>
      </w:r>
    </w:p>
    <w:p w14:paraId="028F1F5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履约保证金不予退还情形：除不可抗力外，供应商不履行与采购人订立的采购合同的，履约保证金不予退还，给采购人造成的损失超过履约保证金数额的，还应当对超过部分予以赔偿；</w:t>
      </w:r>
    </w:p>
    <w:p w14:paraId="21B8C09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逾期退还履约保证金的违约责任：除应当退还履约保证金外，还应当按中国人民银行同期贷款基准利率上浮 20％后的利率支付超期资金占用费，但因供应商自身原因导致无法及时退还的除外。</w:t>
      </w:r>
    </w:p>
    <w:p w14:paraId="3C34A578">
      <w:pPr>
        <w:spacing w:beforeLines="0" w:afterLines="0" w:line="360" w:lineRule="auto"/>
        <w:ind w:firstLine="420"/>
        <w:rPr>
          <w:rFonts w:hint="eastAsia" w:ascii="仿宋" w:hAnsi="仿宋" w:eastAsia="仿宋" w:cs="仿宋"/>
          <w:color w:val="000000"/>
          <w:sz w:val="24"/>
          <w:szCs w:val="24"/>
          <w:lang w:val="en-US"/>
        </w:rPr>
      </w:pPr>
      <w:r>
        <w:rPr>
          <w:rFonts w:hint="eastAsia" w:ascii="仿宋" w:hAnsi="仿宋" w:eastAsia="仿宋" w:cs="仿宋"/>
          <w:color w:val="000000"/>
          <w:sz w:val="24"/>
          <w:szCs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6392AEE0">
      <w:pPr>
        <w:pStyle w:val="39"/>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29.标的物的追加</w:t>
      </w:r>
    </w:p>
    <w:p w14:paraId="1F89CD9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5851FC06">
      <w:pPr>
        <w:pStyle w:val="39"/>
        <w:spacing w:before="0" w:beforeLines="0" w:after="0" w:afterLines="0" w:line="360" w:lineRule="auto"/>
        <w:ind w:firstLine="42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30.政府采购履约资金扶持政策</w:t>
      </w:r>
    </w:p>
    <w:p w14:paraId="7C3C8BCD">
      <w:pPr>
        <w:spacing w:beforeLines="0" w:afterLines="0" w:line="360" w:lineRule="auto"/>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30.1 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641D9BCE">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八、质疑</w:t>
      </w:r>
    </w:p>
    <w:p w14:paraId="54B82EB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31</w:t>
      </w:r>
      <w:r>
        <w:rPr>
          <w:rFonts w:hint="eastAsia" w:ascii="仿宋" w:hAnsi="仿宋" w:eastAsia="仿宋" w:cs="仿宋"/>
          <w:color w:val="000000"/>
          <w:sz w:val="24"/>
          <w:szCs w:val="24"/>
          <w:lang w:val="zh-CN"/>
        </w:rPr>
        <w:t>.提出质疑的供应商应当是参与所质疑项目采购活动的供应商，潜在供应商依法获取其可质疑的采购文件的，可以对采购文件提出质疑。</w:t>
      </w:r>
    </w:p>
    <w:p w14:paraId="09A8E69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zh-CN"/>
        </w:rPr>
        <w:t>.供应商认为采购文件、采购过程和采购结果使自己的权益受到损害的，可以在知道或应知其权益受到损害之日起七个工作日内，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rPr>
        <w:t>按照第3</w:t>
      </w:r>
      <w:r>
        <w:rPr>
          <w:rFonts w:hint="eastAsia" w:ascii="仿宋" w:hAnsi="仿宋" w:eastAsia="仿宋" w:cs="仿宋"/>
          <w:color w:val="000000"/>
          <w:sz w:val="24"/>
          <w:szCs w:val="24"/>
          <w:lang w:val="zh-CN"/>
        </w:rPr>
        <w:t>4</w:t>
      </w:r>
      <w:r>
        <w:rPr>
          <w:rFonts w:hint="eastAsia" w:ascii="仿宋" w:hAnsi="仿宋" w:eastAsia="仿宋" w:cs="仿宋"/>
          <w:color w:val="000000"/>
          <w:sz w:val="24"/>
          <w:szCs w:val="24"/>
        </w:rPr>
        <w:t>条</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第35</w:t>
      </w:r>
      <w:r>
        <w:rPr>
          <w:rFonts w:hint="eastAsia" w:ascii="仿宋" w:hAnsi="仿宋" w:eastAsia="仿宋" w:cs="仿宋"/>
          <w:color w:val="000000"/>
          <w:sz w:val="24"/>
          <w:szCs w:val="24"/>
          <w:lang w:val="zh-CN"/>
        </w:rPr>
        <w:t>条</w:t>
      </w:r>
      <w:r>
        <w:rPr>
          <w:rFonts w:hint="eastAsia" w:ascii="仿宋" w:hAnsi="仿宋" w:eastAsia="仿宋" w:cs="仿宋"/>
          <w:color w:val="000000"/>
          <w:sz w:val="24"/>
          <w:szCs w:val="24"/>
        </w:rPr>
        <w:t>之</w:t>
      </w:r>
      <w:r>
        <w:rPr>
          <w:rFonts w:hint="eastAsia" w:ascii="仿宋" w:hAnsi="仿宋" w:eastAsia="仿宋" w:cs="仿宋"/>
          <w:color w:val="000000"/>
          <w:sz w:val="24"/>
          <w:szCs w:val="24"/>
          <w:lang w:val="zh-CN"/>
        </w:rPr>
        <w:t>规定以书面形式向采购人或采购代理机构提出质疑。</w:t>
      </w:r>
      <w:r>
        <w:rPr>
          <w:rFonts w:hint="eastAsia" w:ascii="仿宋" w:hAnsi="仿宋" w:eastAsia="仿宋" w:cs="仿宋"/>
          <w:b/>
          <w:color w:val="000000"/>
          <w:sz w:val="24"/>
          <w:szCs w:val="24"/>
          <w:lang w:val="zh-CN"/>
        </w:rPr>
        <w:t>上述应知其权益受到损害之日是指：</w:t>
      </w:r>
    </w:p>
    <w:p w14:paraId="68C6CF8D">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对采购文件提出质疑的，为收到采购文件之日或者采购文件公告期限届满之日。</w:t>
      </w:r>
    </w:p>
    <w:p w14:paraId="4DAA13FD">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对采购过程提出质疑的，为各采购程序环节结束之日。</w:t>
      </w:r>
    </w:p>
    <w:p w14:paraId="2CB6D7B3">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对成交结果提出质疑的，为成交结果公告期限届满之日。</w:t>
      </w:r>
    </w:p>
    <w:p w14:paraId="1DED0EA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33.</w:t>
      </w:r>
      <w:r>
        <w:rPr>
          <w:rFonts w:hint="eastAsia" w:ascii="仿宋" w:hAnsi="仿宋" w:eastAsia="仿宋" w:cs="仿宋"/>
          <w:color w:val="000000"/>
          <w:sz w:val="24"/>
          <w:szCs w:val="24"/>
          <w:lang w:val="zh-CN"/>
        </w:rPr>
        <w:t>供应商应当在法定质疑期内一次性提出针对同一采购程序环节的质疑。供应商如在法定期限内对同一采购程序环节提出多次质疑的，采购代理机构</w:t>
      </w:r>
      <w:r>
        <w:rPr>
          <w:rFonts w:hint="eastAsia" w:ascii="仿宋" w:hAnsi="仿宋" w:eastAsia="仿宋" w:cs="仿宋"/>
          <w:color w:val="000000"/>
          <w:sz w:val="24"/>
          <w:szCs w:val="24"/>
        </w:rPr>
        <w:t>或</w:t>
      </w:r>
      <w:r>
        <w:rPr>
          <w:rFonts w:hint="eastAsia" w:ascii="仿宋" w:hAnsi="仿宋" w:eastAsia="仿宋" w:cs="仿宋"/>
          <w:color w:val="000000"/>
          <w:sz w:val="24"/>
          <w:szCs w:val="24"/>
          <w:lang w:val="zh-CN"/>
        </w:rPr>
        <w:t>采购人将只对供应商第一次质疑作出答复。</w:t>
      </w:r>
    </w:p>
    <w:p w14:paraId="10B374D7">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34.</w:t>
      </w:r>
      <w:r>
        <w:rPr>
          <w:rFonts w:hint="eastAsia" w:ascii="仿宋" w:hAnsi="仿宋" w:eastAsia="仿宋" w:cs="仿宋"/>
          <w:color w:val="000000"/>
          <w:sz w:val="24"/>
          <w:szCs w:val="24"/>
          <w:lang w:val="zh-CN"/>
        </w:rPr>
        <w:t>供应商提出质疑应提交《质疑函》原件，且尽可能通过邮寄方式送达，采购代理机构和采购人不接受无运单的快件。《质疑函》应按照本磋商文件中《质疑函范本》</w:t>
      </w:r>
      <w:r>
        <w:rPr>
          <w:rFonts w:hint="eastAsia" w:ascii="仿宋" w:hAnsi="仿宋" w:eastAsia="仿宋" w:cs="仿宋"/>
          <w:color w:val="000000"/>
          <w:sz w:val="24"/>
          <w:szCs w:val="24"/>
        </w:rPr>
        <w:t>的</w:t>
      </w:r>
      <w:r>
        <w:rPr>
          <w:rFonts w:hint="eastAsia" w:ascii="仿宋" w:hAnsi="仿宋" w:eastAsia="仿宋" w:cs="仿宋"/>
          <w:color w:val="000000"/>
          <w:sz w:val="24"/>
          <w:szCs w:val="24"/>
          <w:lang w:val="zh-CN"/>
        </w:rPr>
        <w:t>格式和内容填写。</w:t>
      </w:r>
    </w:p>
    <w:p w14:paraId="0EF9D9A1">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供应商如组成联合体参加采购活动，《质疑函范本》中要求加盖公章之处，联合体各方均须按要求加盖公章。</w:t>
      </w:r>
    </w:p>
    <w:p w14:paraId="38E09F0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35.</w:t>
      </w:r>
      <w:r>
        <w:rPr>
          <w:rFonts w:hint="eastAsia" w:ascii="仿宋" w:hAnsi="仿宋" w:eastAsia="仿宋" w:cs="仿宋"/>
          <w:b/>
          <w:color w:val="000000"/>
          <w:sz w:val="24"/>
          <w:szCs w:val="24"/>
          <w:lang w:val="zh-CN"/>
        </w:rPr>
        <w:t>供应商（含潜在供应商）对采购方式、采购需求、供应商资格条件、评审方法与评审标准、合同文本的询问</w:t>
      </w:r>
      <w:r>
        <w:rPr>
          <w:rFonts w:hint="eastAsia" w:ascii="仿宋" w:hAnsi="仿宋" w:eastAsia="仿宋" w:cs="仿宋"/>
          <w:b/>
          <w:color w:val="000000"/>
          <w:sz w:val="24"/>
          <w:szCs w:val="24"/>
        </w:rPr>
        <w:t>或</w:t>
      </w:r>
      <w:r>
        <w:rPr>
          <w:rFonts w:hint="eastAsia" w:ascii="仿宋" w:hAnsi="仿宋" w:eastAsia="仿宋" w:cs="仿宋"/>
          <w:b/>
          <w:color w:val="000000"/>
          <w:sz w:val="24"/>
          <w:szCs w:val="24"/>
          <w:lang w:val="zh-CN"/>
        </w:rPr>
        <w:t>质疑向采购人提出，由采购人负责答复。</w:t>
      </w:r>
      <w:r>
        <w:rPr>
          <w:rFonts w:hint="eastAsia" w:ascii="仿宋" w:hAnsi="仿宋" w:eastAsia="仿宋" w:cs="仿宋"/>
          <w:color w:val="000000"/>
          <w:sz w:val="24"/>
          <w:szCs w:val="24"/>
          <w:lang w:val="zh-CN"/>
        </w:rPr>
        <w:t>供应商对</w:t>
      </w:r>
      <w:r>
        <w:rPr>
          <w:rFonts w:hint="eastAsia" w:ascii="仿宋" w:hAnsi="仿宋" w:eastAsia="仿宋" w:cs="仿宋"/>
          <w:color w:val="000000"/>
          <w:sz w:val="24"/>
          <w:szCs w:val="24"/>
        </w:rPr>
        <w:t>采购过程、采购结果</w:t>
      </w:r>
      <w:r>
        <w:rPr>
          <w:rFonts w:hint="eastAsia" w:ascii="仿宋" w:hAnsi="仿宋" w:eastAsia="仿宋" w:cs="仿宋"/>
          <w:color w:val="000000"/>
          <w:sz w:val="24"/>
          <w:szCs w:val="24"/>
          <w:lang w:val="zh-CN"/>
        </w:rPr>
        <w:t>的询问</w:t>
      </w:r>
      <w:r>
        <w:rPr>
          <w:rFonts w:hint="eastAsia" w:ascii="仿宋" w:hAnsi="仿宋" w:eastAsia="仿宋" w:cs="仿宋"/>
          <w:color w:val="000000"/>
          <w:sz w:val="24"/>
          <w:szCs w:val="24"/>
        </w:rPr>
        <w:t>或</w:t>
      </w:r>
      <w:r>
        <w:rPr>
          <w:rFonts w:hint="eastAsia" w:ascii="仿宋" w:hAnsi="仿宋" w:eastAsia="仿宋" w:cs="仿宋"/>
          <w:color w:val="000000"/>
          <w:sz w:val="24"/>
          <w:szCs w:val="24"/>
          <w:lang w:val="zh-CN"/>
        </w:rPr>
        <w:t>质疑向采购代理机构提出，由采购代理机构负责答复。</w:t>
      </w:r>
      <w:r>
        <w:rPr>
          <w:rFonts w:hint="eastAsia" w:ascii="仿宋" w:hAnsi="仿宋" w:eastAsia="仿宋" w:cs="仿宋"/>
          <w:color w:val="000000"/>
          <w:sz w:val="24"/>
          <w:szCs w:val="24"/>
        </w:rPr>
        <w:t xml:space="preserve">  </w:t>
      </w:r>
    </w:p>
    <w:p w14:paraId="25E2AD2B">
      <w:pPr>
        <w:spacing w:beforeLines="0" w:afterLines="0" w:line="360" w:lineRule="auto"/>
        <w:ind w:firstLine="422"/>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采购人《质疑</w:t>
      </w:r>
      <w:r>
        <w:rPr>
          <w:rFonts w:hint="eastAsia" w:ascii="仿宋" w:hAnsi="仿宋" w:eastAsia="仿宋" w:cs="仿宋"/>
          <w:b/>
          <w:color w:val="000000"/>
          <w:sz w:val="24"/>
          <w:szCs w:val="24"/>
          <w:highlight w:val="none"/>
        </w:rPr>
        <w:t>函</w:t>
      </w:r>
      <w:r>
        <w:rPr>
          <w:rFonts w:hint="eastAsia" w:ascii="仿宋" w:hAnsi="仿宋" w:eastAsia="仿宋" w:cs="仿宋"/>
          <w:b/>
          <w:color w:val="000000"/>
          <w:sz w:val="24"/>
          <w:szCs w:val="24"/>
          <w:highlight w:val="none"/>
          <w:lang w:val="zh-CN"/>
        </w:rPr>
        <w:t>》接收人及联系方式见采购文件第一章。</w:t>
      </w:r>
    </w:p>
    <w:p w14:paraId="65A09C03">
      <w:pPr>
        <w:spacing w:beforeLines="0" w:afterLines="0"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采购代理机构《质疑函》收件人地址：南京市秦淮区蓝旗街6号秦淮硅巷柳树湾科技园15号楼</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val="zh-CN"/>
        </w:rPr>
        <w:t>楼，联系电话：025-</w:t>
      </w:r>
      <w:r>
        <w:rPr>
          <w:rFonts w:hint="eastAsia" w:ascii="仿宋" w:hAnsi="仿宋" w:eastAsia="仿宋" w:cs="仿宋"/>
          <w:color w:val="000000"/>
          <w:sz w:val="24"/>
          <w:szCs w:val="24"/>
          <w:highlight w:val="none"/>
          <w:lang w:val="en-US" w:eastAsia="zh-CN"/>
        </w:rPr>
        <w:t>85382797</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 xml:space="preserve"> </w:t>
      </w:r>
    </w:p>
    <w:p w14:paraId="0A4A1A90">
      <w:pPr>
        <w:spacing w:beforeLines="0" w:afterLines="0" w:line="360" w:lineRule="auto"/>
        <w:ind w:firstLine="422"/>
        <w:rPr>
          <w:rFonts w:hint="eastAsia" w:ascii="仿宋" w:hAnsi="仿宋" w:eastAsia="仿宋" w:cs="仿宋"/>
          <w:b/>
          <w:color w:val="000000"/>
          <w:sz w:val="24"/>
          <w:szCs w:val="24"/>
          <w:lang w:val="zh-CN"/>
        </w:rPr>
      </w:pPr>
      <w:r>
        <w:rPr>
          <w:rFonts w:hint="eastAsia" w:ascii="仿宋" w:hAnsi="仿宋" w:eastAsia="仿宋" w:cs="仿宋"/>
          <w:b/>
          <w:color w:val="000000"/>
          <w:sz w:val="24"/>
          <w:szCs w:val="24"/>
        </w:rPr>
        <w:t>由采购人负责答复的质疑，采购人将《质疑答复函》抄送</w:t>
      </w:r>
      <w:r>
        <w:rPr>
          <w:rFonts w:hint="eastAsia" w:ascii="仿宋" w:hAnsi="仿宋" w:eastAsia="仿宋" w:cs="仿宋"/>
          <w:b/>
          <w:color w:val="000000"/>
          <w:sz w:val="24"/>
          <w:szCs w:val="24"/>
          <w:lang w:val="zh-CN"/>
        </w:rPr>
        <w:t>采购代理机构</w:t>
      </w:r>
      <w:r>
        <w:rPr>
          <w:rFonts w:hint="eastAsia" w:ascii="仿宋" w:hAnsi="仿宋" w:eastAsia="仿宋" w:cs="仿宋"/>
          <w:b/>
          <w:color w:val="000000"/>
          <w:sz w:val="24"/>
          <w:szCs w:val="24"/>
        </w:rPr>
        <w:t>。</w:t>
      </w:r>
    </w:p>
    <w:p w14:paraId="4DC41A29">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以下情形的质疑不予受理：</w:t>
      </w:r>
    </w:p>
    <w:p w14:paraId="2F9EE4CB">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内容不符合《政府采购质疑和投诉办法》第十二条规定的质疑。</w:t>
      </w:r>
    </w:p>
    <w:p w14:paraId="20CAEE88">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超出政府采购法定期限的质疑。</w:t>
      </w:r>
    </w:p>
    <w:p w14:paraId="5D191C27">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以传真、电子邮件等方式递交的非原件形式的质疑。</w:t>
      </w:r>
    </w:p>
    <w:p w14:paraId="63FCCBEB">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.4</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未参加采购活动或在采购活动中自身权益未受到损害的供应商所提出的质疑。</w:t>
      </w:r>
    </w:p>
    <w:p w14:paraId="1E4C9EE3">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供应商组成联合体参加采购活动，联合体中任何一方或多方未按要求签字或盖章、加盖公章的质疑。</w:t>
      </w:r>
    </w:p>
    <w:p w14:paraId="0F708C64">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6.</w:t>
      </w:r>
      <w:r>
        <w:rPr>
          <w:rFonts w:hint="eastAsia" w:ascii="仿宋" w:hAnsi="仿宋" w:eastAsia="仿宋" w:cs="仿宋"/>
          <w:color w:val="000000"/>
          <w:sz w:val="24"/>
          <w:szCs w:val="24"/>
        </w:rPr>
        <w:t>6</w:t>
      </w:r>
      <w:r>
        <w:rPr>
          <w:rFonts w:hint="eastAsia" w:ascii="仿宋" w:hAnsi="仿宋" w:eastAsia="仿宋" w:cs="仿宋"/>
          <w:color w:val="000000"/>
          <w:sz w:val="24"/>
          <w:szCs w:val="24"/>
          <w:lang w:val="zh-CN"/>
        </w:rPr>
        <w:t xml:space="preserve"> 法律法规规定的</w:t>
      </w:r>
      <w:r>
        <w:rPr>
          <w:rFonts w:hint="eastAsia" w:ascii="仿宋" w:hAnsi="仿宋" w:eastAsia="仿宋" w:cs="仿宋"/>
          <w:color w:val="000000"/>
          <w:sz w:val="24"/>
          <w:szCs w:val="24"/>
        </w:rPr>
        <w:t>其他</w:t>
      </w:r>
      <w:r>
        <w:rPr>
          <w:rFonts w:hint="eastAsia" w:ascii="仿宋" w:hAnsi="仿宋" w:eastAsia="仿宋" w:cs="仿宋"/>
          <w:color w:val="000000"/>
          <w:sz w:val="24"/>
          <w:szCs w:val="24"/>
          <w:lang w:val="zh-CN"/>
        </w:rPr>
        <w:t>不予受理情形。</w:t>
      </w:r>
    </w:p>
    <w:p w14:paraId="1135CDA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37</w:t>
      </w:r>
      <w:r>
        <w:rPr>
          <w:rFonts w:hint="eastAsia" w:ascii="仿宋" w:hAnsi="仿宋" w:eastAsia="仿宋" w:cs="仿宋"/>
          <w:color w:val="000000"/>
          <w:sz w:val="24"/>
          <w:szCs w:val="24"/>
          <w:lang w:val="zh-CN"/>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6E341ABA">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九、政策功能落实</w:t>
      </w:r>
    </w:p>
    <w:p w14:paraId="767D0E65">
      <w:pPr>
        <w:pStyle w:val="39"/>
        <w:spacing w:before="0" w:beforeLines="0" w:after="0" w:afterLines="0" w:line="360" w:lineRule="auto"/>
        <w:ind w:firstLine="422"/>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38.促进中小企业发展</w:t>
      </w:r>
    </w:p>
    <w:p w14:paraId="3B4C1B18">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38.1 本项目</w:t>
      </w:r>
      <w:r>
        <w:rPr>
          <w:rFonts w:hint="eastAsia" w:ascii="仿宋" w:hAnsi="仿宋" w:eastAsia="仿宋" w:cs="仿宋"/>
          <w:color w:val="000000"/>
          <w:sz w:val="24"/>
          <w:szCs w:val="24"/>
          <w:lang w:val="zh-CN"/>
        </w:rPr>
        <w:t>服务由中小企业承接的，</w:t>
      </w:r>
      <w:r>
        <w:rPr>
          <w:rFonts w:hint="eastAsia" w:ascii="仿宋" w:hAnsi="仿宋" w:eastAsia="仿宋" w:cs="仿宋"/>
          <w:color w:val="000000"/>
          <w:sz w:val="24"/>
          <w:szCs w:val="24"/>
        </w:rPr>
        <w:t>参与磋商的供应商</w:t>
      </w:r>
      <w:r>
        <w:rPr>
          <w:rFonts w:hint="eastAsia" w:ascii="仿宋" w:hAnsi="仿宋" w:eastAsia="仿宋" w:cs="仿宋"/>
          <w:color w:val="000000"/>
          <w:sz w:val="24"/>
          <w:szCs w:val="24"/>
          <w:lang w:val="zh-CN"/>
        </w:rPr>
        <w:t>享受中小企业扶持政策。</w:t>
      </w:r>
    </w:p>
    <w:p w14:paraId="0EDC742B">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38.2 </w:t>
      </w:r>
      <w:r>
        <w:rPr>
          <w:rFonts w:hint="eastAsia" w:ascii="仿宋" w:hAnsi="仿宋" w:eastAsia="仿宋" w:cs="仿宋"/>
          <w:color w:val="000000"/>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FEC8F6C">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38.3 </w:t>
      </w:r>
      <w:r>
        <w:rPr>
          <w:rFonts w:hint="eastAsia" w:ascii="仿宋" w:hAnsi="仿宋" w:eastAsia="仿宋" w:cs="仿宋"/>
          <w:color w:val="000000"/>
          <w:sz w:val="24"/>
          <w:szCs w:val="24"/>
          <w:lang w:val="zh-CN"/>
        </w:rPr>
        <w:t>中小企业参加政府采购活动，应当出具《中小企业声明函》，否则不享受相关中小企业</w:t>
      </w:r>
      <w:r>
        <w:rPr>
          <w:rFonts w:hint="eastAsia" w:ascii="仿宋" w:hAnsi="仿宋" w:eastAsia="仿宋" w:cs="仿宋"/>
          <w:color w:val="000000"/>
          <w:sz w:val="24"/>
          <w:szCs w:val="24"/>
        </w:rPr>
        <w:t>支持</w:t>
      </w:r>
      <w:r>
        <w:rPr>
          <w:rFonts w:hint="eastAsia" w:ascii="仿宋" w:hAnsi="仿宋" w:eastAsia="仿宋" w:cs="仿宋"/>
          <w:color w:val="000000"/>
          <w:sz w:val="24"/>
          <w:szCs w:val="24"/>
          <w:lang w:val="zh-CN"/>
        </w:rPr>
        <w:t>政策。</w:t>
      </w:r>
    </w:p>
    <w:p w14:paraId="3D3B7F0C">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38.4 </w:t>
      </w:r>
      <w:r>
        <w:rPr>
          <w:rFonts w:hint="eastAsia" w:ascii="仿宋" w:hAnsi="仿宋" w:eastAsia="仿宋" w:cs="仿宋"/>
          <w:color w:val="000000"/>
          <w:sz w:val="24"/>
          <w:szCs w:val="24"/>
          <w:lang w:val="zh-CN"/>
        </w:rPr>
        <w:t>以联合体形式参加政府采购活动，联合体各方均为中小企业的，联合体视同中小企业。其中，联合体各方均为小微企业的，联合体视同小微企业。</w:t>
      </w:r>
    </w:p>
    <w:p w14:paraId="1B7565CD">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8</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5</w:t>
      </w: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监狱和戒毒企业（简称监狱企业）视同小型、微型企业</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按照</w:t>
      </w:r>
      <w:r>
        <w:rPr>
          <w:rFonts w:hint="eastAsia" w:ascii="仿宋" w:hAnsi="仿宋" w:eastAsia="仿宋" w:cs="仿宋"/>
          <w:color w:val="000000"/>
          <w:sz w:val="24"/>
          <w:szCs w:val="24"/>
          <w:lang w:val="zh-CN"/>
        </w:rPr>
        <w:t>《关于政府采购支持监狱企业发展有关问题的通知》（财库〔2014〕68号）</w:t>
      </w:r>
      <w:r>
        <w:rPr>
          <w:rFonts w:hint="eastAsia" w:ascii="仿宋" w:hAnsi="仿宋" w:eastAsia="仿宋" w:cs="仿宋"/>
          <w:color w:val="000000"/>
          <w:sz w:val="24"/>
          <w:szCs w:val="24"/>
        </w:rPr>
        <w:t>规定，</w:t>
      </w:r>
      <w:r>
        <w:rPr>
          <w:rFonts w:hint="eastAsia" w:ascii="仿宋" w:hAnsi="仿宋" w:eastAsia="仿宋" w:cs="仿宋"/>
          <w:color w:val="000000"/>
          <w:sz w:val="24"/>
          <w:szCs w:val="24"/>
          <w:lang w:val="zh-CN"/>
        </w:rPr>
        <w:t>监狱企业需提供由省级以上监狱管理局、戒毒管理局(含新疆生产建设兵团)出具的属于监狱企业的证明文件。</w:t>
      </w:r>
    </w:p>
    <w:p w14:paraId="242D7CD2">
      <w:pPr>
        <w:snapToGrid w:val="0"/>
        <w:spacing w:after="0" w:line="360" w:lineRule="auto"/>
        <w:ind w:firstLine="480" w:firstLineChars="200"/>
        <w:textAlignment w:val="baseline"/>
        <w:rPr>
          <w:rFonts w:hint="eastAsia" w:ascii="仿宋" w:hAnsi="仿宋" w:eastAsia="仿宋" w:cs="仿宋"/>
          <w:b/>
          <w:bCs/>
          <w:iCs/>
          <w:color w:val="auto"/>
          <w:sz w:val="24"/>
          <w:highlight w:val="none"/>
        </w:rPr>
      </w:pP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8</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6</w:t>
      </w:r>
      <w:r>
        <w:rPr>
          <w:rFonts w:hint="eastAsia" w:ascii="仿宋" w:hAnsi="仿宋" w:eastAsia="仿宋" w:cs="仿宋"/>
          <w:color w:val="000000"/>
          <w:sz w:val="24"/>
          <w:szCs w:val="24"/>
          <w:lang w:val="zh-CN"/>
        </w:rPr>
        <w:t xml:space="preserve"> 残疾人福利性单位</w:t>
      </w:r>
      <w:r>
        <w:rPr>
          <w:rFonts w:hint="eastAsia" w:ascii="仿宋" w:hAnsi="仿宋" w:eastAsia="仿宋" w:cs="仿宋"/>
          <w:color w:val="000000"/>
          <w:sz w:val="24"/>
          <w:szCs w:val="24"/>
        </w:rPr>
        <w:t>视同小型、微型企业</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按照《关于促进残疾人就业政府采购政策的通知》（财库〔2017〕141号）规定，残疾人福利单位需</w:t>
      </w:r>
      <w:r>
        <w:rPr>
          <w:rFonts w:hint="eastAsia" w:ascii="仿宋" w:hAnsi="仿宋" w:eastAsia="仿宋" w:cs="仿宋"/>
          <w:color w:val="000000"/>
          <w:sz w:val="24"/>
          <w:szCs w:val="24"/>
          <w:lang w:val="zh-CN"/>
        </w:rPr>
        <w:t>提供《残疾人福利性单位声明函》</w:t>
      </w:r>
      <w:r>
        <w:rPr>
          <w:rFonts w:hint="eastAsia" w:ascii="仿宋" w:hAnsi="仿宋" w:eastAsia="仿宋" w:cs="仿宋"/>
          <w:color w:val="auto"/>
          <w:sz w:val="24"/>
          <w:highlight w:val="none"/>
        </w:rPr>
        <w:t>。</w:t>
      </w:r>
    </w:p>
    <w:p w14:paraId="71CC6228">
      <w:pPr>
        <w:pStyle w:val="28"/>
        <w:pageBreakBefore/>
        <w:spacing w:afterLines="0" w:line="360" w:lineRule="auto"/>
        <w:rPr>
          <w:rFonts w:hint="eastAsia" w:ascii="仿宋" w:hAnsi="仿宋" w:eastAsia="仿宋" w:cs="仿宋"/>
          <w:color w:val="auto"/>
          <w:sz w:val="40"/>
          <w:highlight w:val="none"/>
        </w:rPr>
      </w:pPr>
      <w:bookmarkStart w:id="46" w:name="_Toc22226"/>
      <w:bookmarkStart w:id="47" w:name="_Toc11813"/>
      <w:bookmarkStart w:id="48" w:name="_Toc28209"/>
      <w:bookmarkStart w:id="49" w:name="_Toc16945"/>
      <w:bookmarkStart w:id="50" w:name="_Toc17473"/>
      <w:bookmarkStart w:id="51" w:name="_Toc10878"/>
      <w:bookmarkStart w:id="52" w:name="_Toc12283"/>
      <w:bookmarkStart w:id="53" w:name="_Toc14481"/>
      <w:bookmarkStart w:id="54" w:name="_Toc18399"/>
      <w:bookmarkStart w:id="55" w:name="_Toc11440"/>
      <w:bookmarkStart w:id="56" w:name="_Toc22544"/>
      <w:bookmarkStart w:id="57" w:name="_Toc26345"/>
      <w:bookmarkStart w:id="58" w:name="_Toc22543"/>
      <w:bookmarkStart w:id="59" w:name="_Toc32263"/>
      <w:bookmarkStart w:id="60" w:name="_Toc324237148"/>
      <w:bookmarkStart w:id="61" w:name="_Toc18960"/>
      <w:bookmarkStart w:id="62" w:name="_Toc324237156"/>
      <w:r>
        <w:rPr>
          <w:rFonts w:hint="eastAsia" w:ascii="仿宋" w:hAnsi="仿宋" w:eastAsia="仿宋" w:cs="仿宋"/>
          <w:color w:val="auto"/>
          <w:sz w:val="40"/>
          <w:highlight w:val="none"/>
        </w:rPr>
        <w:t>第三章 合同条款及格式</w:t>
      </w:r>
      <w:bookmarkEnd w:id="46"/>
      <w:bookmarkEnd w:id="47"/>
      <w:bookmarkEnd w:id="48"/>
      <w:bookmarkEnd w:id="49"/>
      <w:bookmarkEnd w:id="50"/>
      <w:bookmarkEnd w:id="51"/>
      <w:bookmarkEnd w:id="52"/>
      <w:bookmarkEnd w:id="53"/>
      <w:bookmarkEnd w:id="54"/>
      <w:bookmarkEnd w:id="55"/>
      <w:bookmarkEnd w:id="56"/>
      <w:bookmarkEnd w:id="57"/>
      <w:bookmarkEnd w:id="58"/>
    </w:p>
    <w:p w14:paraId="7B313AA1">
      <w:pPr>
        <w:spacing w:line="360" w:lineRule="auto"/>
        <w:rPr>
          <w:rFonts w:hint="eastAsia" w:ascii="仿宋" w:hAnsi="仿宋" w:eastAsia="仿宋" w:cs="仿宋"/>
          <w:color w:val="auto"/>
          <w:sz w:val="24"/>
          <w:highlight w:val="none"/>
        </w:rPr>
      </w:pPr>
      <w:bookmarkStart w:id="63" w:name="_Toc21090"/>
      <w:bookmarkStart w:id="64" w:name="_Toc24491"/>
      <w:bookmarkStart w:id="65" w:name="_Toc19757"/>
      <w:bookmarkStart w:id="66" w:name="_Toc9647"/>
      <w:bookmarkStart w:id="67" w:name="_Toc8481"/>
      <w:bookmarkStart w:id="68" w:name="_Toc4309"/>
      <w:bookmarkStart w:id="69" w:name="_Toc10506"/>
      <w:bookmarkStart w:id="70" w:name="_Toc7771"/>
      <w:bookmarkStart w:id="71" w:name="_Toc13407"/>
      <w:bookmarkStart w:id="72" w:name="_Toc14854"/>
      <w:bookmarkStart w:id="73" w:name="_Toc16569"/>
      <w:bookmarkStart w:id="74" w:name="_Toc26827"/>
      <w:bookmarkStart w:id="75" w:name="_Toc20024"/>
      <w:bookmarkStart w:id="76" w:name="_Toc4412"/>
      <w:bookmarkStart w:id="77" w:name="_Toc12199"/>
      <w:bookmarkStart w:id="78" w:name="_Toc3329"/>
      <w:bookmarkStart w:id="79" w:name="_Toc12525"/>
      <w:r>
        <w:rPr>
          <w:rFonts w:hint="eastAsia" w:ascii="仿宋" w:hAnsi="仿宋" w:eastAsia="仿宋" w:cs="仿宋"/>
          <w:color w:val="auto"/>
          <w:sz w:val="24"/>
          <w:highlight w:val="none"/>
        </w:rPr>
        <w:t>委托方（甲方）：[  ]</w:t>
      </w:r>
    </w:p>
    <w:p w14:paraId="2494F2A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     </w:t>
      </w:r>
    </w:p>
    <w:p w14:paraId="3FF548D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        </w:t>
      </w:r>
    </w:p>
    <w:p w14:paraId="324237D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  ]           </w:t>
      </w:r>
    </w:p>
    <w:p w14:paraId="70790D0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  ]                      </w:t>
      </w:r>
    </w:p>
    <w:p w14:paraId="2156F489">
      <w:pPr>
        <w:spacing w:line="360" w:lineRule="auto"/>
        <w:rPr>
          <w:rFonts w:hint="eastAsia" w:ascii="仿宋" w:hAnsi="仿宋" w:eastAsia="仿宋" w:cs="仿宋"/>
          <w:color w:val="auto"/>
          <w:sz w:val="24"/>
          <w:highlight w:val="none"/>
        </w:rPr>
      </w:pPr>
    </w:p>
    <w:p w14:paraId="20B96F7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受托方（乙方）：[  ]                        </w:t>
      </w:r>
    </w:p>
    <w:p w14:paraId="7CCE214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     </w:t>
      </w:r>
    </w:p>
    <w:p w14:paraId="4057EF4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        </w:t>
      </w:r>
    </w:p>
    <w:p w14:paraId="1AB22D9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  ]                                             </w:t>
      </w:r>
    </w:p>
    <w:p w14:paraId="0C01293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  ]                   </w:t>
      </w:r>
    </w:p>
    <w:p w14:paraId="060E30DB">
      <w:pPr>
        <w:spacing w:line="360" w:lineRule="auto"/>
        <w:rPr>
          <w:rFonts w:hint="eastAsia" w:ascii="仿宋" w:hAnsi="仿宋" w:eastAsia="仿宋" w:cs="仿宋"/>
          <w:color w:val="auto"/>
          <w:sz w:val="24"/>
          <w:highlight w:val="none"/>
        </w:rPr>
      </w:pPr>
    </w:p>
    <w:p w14:paraId="6F50495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本合同甲方委托乙方就[  ]项目（“项目”）进行[  ]的专项服务，并支付相应的服务报酬。双方经过平等协商，在真实、充分地表达各自意愿的基础上，根据《中华人民共和国民法典》的规定，达成如下合同，并由双方共同恪守。</w:t>
      </w:r>
    </w:p>
    <w:p w14:paraId="3BD7571B">
      <w:pPr>
        <w:spacing w:line="360" w:lineRule="auto"/>
        <w:rPr>
          <w:rFonts w:hint="eastAsia" w:ascii="仿宋" w:hAnsi="仿宋" w:eastAsia="仿宋" w:cs="仿宋"/>
          <w:color w:val="auto"/>
          <w:sz w:val="24"/>
          <w:highlight w:val="none"/>
        </w:rPr>
      </w:pPr>
    </w:p>
    <w:p w14:paraId="2CEC832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第一条 甲方委托乙方进行服务的内容如下：</w:t>
      </w:r>
    </w:p>
    <w:p w14:paraId="777DF54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1.1服务的目标：[  ]。</w:t>
      </w:r>
    </w:p>
    <w:p w14:paraId="331F8EA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1.2服务的内容：[  ]。</w:t>
      </w:r>
    </w:p>
    <w:p w14:paraId="009B3F6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1.3服务的方式：[  ]。</w:t>
      </w:r>
    </w:p>
    <w:p w14:paraId="10FAEF3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第二条 乙方应按下列要求完成服务工作：</w:t>
      </w:r>
    </w:p>
    <w:p w14:paraId="7925F73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2.1服务地点：[  ]。</w:t>
      </w:r>
    </w:p>
    <w:p w14:paraId="458E1F1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2.2服务期限：[  ]。</w:t>
      </w:r>
    </w:p>
    <w:p w14:paraId="3DF08A0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2.3服务进度：[  ]。</w:t>
      </w:r>
    </w:p>
    <w:p w14:paraId="7C1B966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2.4服务质量要求：[  ]。</w:t>
      </w:r>
    </w:p>
    <w:p w14:paraId="5D86C11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第三条 为保证乙方有效进行服务工作，甲方应当向乙方提供必要的资料及工作条件。</w:t>
      </w:r>
    </w:p>
    <w:p w14:paraId="1941604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第四条 甲方向乙方支付服务报酬及支付方式为：</w:t>
      </w:r>
    </w:p>
    <w:p w14:paraId="4EB51B0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4.1本合同费用总额（含税价）：人民币大写[  ]元，小写[  ]元；其中价款为人民币大写[  ]元，小写[  ]元。</w:t>
      </w:r>
    </w:p>
    <w:p w14:paraId="642EFDC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本合同费用总额已包括甲方就乙方履行本合同所应支付的全部报酬、所需的全部费用及税费（包括但不限于营业税、增值税等）。</w:t>
      </w:r>
    </w:p>
    <w:p w14:paraId="3449775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除另有约定外，甲方无需就本合同项下委托事项向乙方支付上述费用之外的任何其他费用及税费（包括但不限于营业税、增值税等）。</w:t>
      </w:r>
    </w:p>
    <w:p w14:paraId="39B74DF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4.2甲方凭乙方开具的相应金额的、符合国家规定的[增值税专用/增值税普通/营业税/其他]发票支付本合同费用总额，并按以下第[  ]种方式向乙方付款：</w:t>
      </w:r>
    </w:p>
    <w:p w14:paraId="356B35A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（1）一次性支付</w:t>
      </w:r>
    </w:p>
    <w:p w14:paraId="10E5426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乙方完成服务工作并经甲方验收合格后[  ]个工作日内，甲方向乙方支付本合同费用总额。</w:t>
      </w:r>
    </w:p>
    <w:p w14:paraId="0E7AF42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（2）分期支付</w:t>
      </w:r>
    </w:p>
    <w:p w14:paraId="75AD65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甲方分期向乙方支付本合同费用总额：[  ]。</w:t>
      </w:r>
    </w:p>
    <w:p w14:paraId="4365E5C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4.3因乙方未按甲方要求出具相应票据导致的延迟付款，甲方不承担违约责任。</w:t>
      </w:r>
    </w:p>
    <w:p w14:paraId="7E0B9DF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4B41649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4.5本合同费用总额的所有支付由甲方以[   ]（银行转账或承兑期不超过六个月的汇票、电汇、支票等方式）付至乙方。甲乙双方银行账户信息和纳税人信息：</w:t>
      </w:r>
    </w:p>
    <w:p w14:paraId="45812B18">
      <w:pPr>
        <w:widowControl/>
        <w:autoSpaceDE w:val="0"/>
        <w:autoSpaceDN w:val="0"/>
        <w:spacing w:line="360" w:lineRule="auto"/>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甲方信息如下：                          乙方信息如下：</w:t>
      </w:r>
    </w:p>
    <w:p w14:paraId="15F3C2A0">
      <w:pPr>
        <w:widowControl/>
        <w:autoSpaceDE w:val="0"/>
        <w:autoSpaceDN w:val="0"/>
        <w:spacing w:line="360" w:lineRule="auto"/>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开户行：[  ]                            开户行：[  ]      </w:t>
      </w:r>
    </w:p>
    <w:p w14:paraId="37AAFEA6">
      <w:pPr>
        <w:widowControl/>
        <w:autoSpaceDE w:val="0"/>
        <w:autoSpaceDN w:val="0"/>
        <w:spacing w:line="360" w:lineRule="auto"/>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户名：[  ]                              户名：[  ]</w:t>
      </w:r>
    </w:p>
    <w:p w14:paraId="28AD7A26">
      <w:pPr>
        <w:widowControl/>
        <w:autoSpaceDE w:val="0"/>
        <w:autoSpaceDN w:val="0"/>
        <w:spacing w:line="360" w:lineRule="auto"/>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账号：[  ]                              账号：[  ]</w:t>
      </w:r>
    </w:p>
    <w:p w14:paraId="470296A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行号：[  ]                              行号：[  ]</w:t>
      </w:r>
    </w:p>
    <w:p w14:paraId="4B096B6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4.6若根据本合同约定乙方应当支付违约金和/或承担赔偿责任，则甲方有权从上述任何一笔付款中直接扣除相应金额。</w:t>
      </w:r>
    </w:p>
    <w:p w14:paraId="39E1921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第五条 保密</w:t>
      </w:r>
    </w:p>
    <w:p w14:paraId="37217A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2A8267E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0902E26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5.3 当出现下述情况时，本条对保密资料的限制不适用。当保密资料：</w:t>
      </w:r>
    </w:p>
    <w:p w14:paraId="503275F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（1）并非乙方的过错而已经进入公有领域的。</w:t>
      </w:r>
    </w:p>
    <w:p w14:paraId="114E7A9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（2）已通过该方的有关记录证明是由乙方独立开发的。</w:t>
      </w:r>
    </w:p>
    <w:p w14:paraId="51407A7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（3）由乙方从没有违反对甲方的保密义务的人合法取得的。</w:t>
      </w:r>
    </w:p>
    <w:p w14:paraId="75572D9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（4）法律要求乙方披露的，但乙方应在合理的时间提前通知甲方，使其得以采取其认为必要的保护措施。</w:t>
      </w:r>
    </w:p>
    <w:p w14:paraId="6388B27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5.4如乙方违反本合同关于保密的约定，乙方应赔偿因此而给甲方造成的一切损失。</w:t>
      </w:r>
    </w:p>
    <w:p w14:paraId="36DBA59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5.5本保密条款自保密资料提供或披露之日起至本合同终止或解除后[  ]年内持续有效。</w:t>
      </w:r>
    </w:p>
    <w:p w14:paraId="0C26218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第六条 未经甲方事先书面同意，乙方不得将本合同项目部分或全部服务工作转由第三人承担。</w:t>
      </w:r>
    </w:p>
    <w:p w14:paraId="0FCBD4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第七条  侵权处理</w:t>
      </w:r>
    </w:p>
    <w:p w14:paraId="0FFE035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504EC4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7.2如果在侵权指控的审理过程中有关机关禁止甲方继续使用服务成果的部分或全部，乙方应当采取以下措施之一：</w:t>
      </w:r>
    </w:p>
    <w:p w14:paraId="6A5BB06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（1）使甲方重新免费获得使用上述服务成果的权利。</w:t>
      </w:r>
    </w:p>
    <w:p w14:paraId="37B0373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（2）免费更换或改造上述服务成果，使甲方不受上述禁令限制继续使用服务成果。</w:t>
      </w:r>
    </w:p>
    <w:p w14:paraId="30B2023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（3）其它使甲方对服务成果拥有合法使用权，或其它弥补甲方受损利益、实现合同目的的合理方式。</w:t>
      </w:r>
    </w:p>
    <w:p w14:paraId="43AC8EE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乙方采取上述措施不能免除乙方就甲方因此遭受的损失进行赔偿的义务。</w:t>
      </w:r>
    </w:p>
    <w:p w14:paraId="0011DAD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第八条 项目服务成果的权利归属</w:t>
      </w:r>
    </w:p>
    <w:p w14:paraId="4FD35C5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8.1双方确定，乙方所完成的服务成果的所有权利，包括但不限于知识产权、专利申请权和所有权，归甲方所有。</w:t>
      </w:r>
    </w:p>
    <w:p w14:paraId="315CF63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8.2双方确定，甲方利用乙方的服务成果所完成的新的成果的所有权利，包括但不限于知识产权、专利申请权和所有权，归甲方所有。</w:t>
      </w:r>
    </w:p>
    <w:p w14:paraId="39055C5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8.3乙方未经甲方书面同意，不得使用本合同中涉及的内容与信息做任何形式的推广。</w:t>
      </w:r>
    </w:p>
    <w:p w14:paraId="67CF4AE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第九条 违约责任</w:t>
      </w:r>
    </w:p>
    <w:p w14:paraId="2678632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9.1双方确定，任何一方未履行或未完全履行本合同项下的义务，均构成违约。违约方应赔偿因违约给对方造成的一切损失。</w:t>
      </w:r>
    </w:p>
    <w:p w14:paraId="1BEA4AC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p>
    <w:p w14:paraId="3538EEA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198CA14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p>
    <w:p w14:paraId="7A0FF85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第十一条 双方确定，出现下列情形之一，致使本合同的履行成为不必要或不可能的，可以解除本合同：</w:t>
      </w:r>
    </w:p>
    <w:p w14:paraId="2FED8AA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11.1发生不可抗力。</w:t>
      </w:r>
    </w:p>
    <w:p w14:paraId="48F07D6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11.2[  ]。</w:t>
      </w:r>
    </w:p>
    <w:p w14:paraId="66D57E3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第十二条 法律适用和争议解决</w:t>
      </w:r>
    </w:p>
    <w:p w14:paraId="5A1C29E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12.1本合同适用中华人民共和国法律。</w:t>
      </w:r>
    </w:p>
    <w:p w14:paraId="44BB7A8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p>
    <w:p w14:paraId="610556A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第十三条 双方确定，本合同及相关附件中所涉及的有关名词和技术术语，其定义和解释如下：</w:t>
      </w:r>
    </w:p>
    <w:p w14:paraId="47F7EDF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13.1“不可抗力”：地震、台风、水灾、火灾、战争以及其它本合同各方不能预见，并且对其发生和后果不能防止或不能避免且不可克服的客观情况。 </w:t>
      </w:r>
    </w:p>
    <w:p w14:paraId="5EDAF5F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13.2[  ]。</w:t>
      </w:r>
    </w:p>
    <w:p w14:paraId="53D5D7F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第十四条  双方约定本合同其他相关事项为：</w:t>
      </w:r>
    </w:p>
    <w:p w14:paraId="4F57CA6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14.1任何一方未经另一方同意，不得向任何第三方透露本合同的签订及其内容。甲方向其关联公司透露的，不在此限。</w:t>
      </w:r>
    </w:p>
    <w:p w14:paraId="139C394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193CD61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14.3本合同替代此前双方所有关于本合同事项的口头或书面的纪要、备忘录、合同和协议。</w:t>
      </w:r>
    </w:p>
    <w:p w14:paraId="56C6B42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75F976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第十五条 本合同自双方法定代表人或授权代表签字并加盖单位公章或合同专用章之日起生效。本合同一式[  ]份，甲方执[  ]份，乙方执[  ]份，具有同等法律效力。</w:t>
      </w:r>
    </w:p>
    <w:p w14:paraId="6DD4A87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第十六条 附件为本合同不可分割的部分。若附件与合同正文有任何冲突，以合同正文为准。</w:t>
      </w:r>
    </w:p>
    <w:p w14:paraId="545BB14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补充附页</w:t>
      </w:r>
    </w:p>
    <w:p w14:paraId="07856BE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经友好协商，对本合同条款补充、修改如下，本补充附页为合同正文的一部分，与合同正文冲突时，以本补充附页为准：</w:t>
      </w:r>
    </w:p>
    <w:p w14:paraId="750E787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  ]         </w:t>
      </w:r>
    </w:p>
    <w:p w14:paraId="5DBE279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w:t>
      </w:r>
    </w:p>
    <w:p w14:paraId="0EC45A1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或授权代表：（签字）         </w:t>
      </w:r>
    </w:p>
    <w:p w14:paraId="08FA305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]年[  ]月[  ]日</w:t>
      </w:r>
    </w:p>
    <w:p w14:paraId="2AC3829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  ] </w:t>
      </w:r>
    </w:p>
    <w:p w14:paraId="5634182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p>
    <w:p w14:paraId="6BDD551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或授权代表：（签字）</w:t>
      </w:r>
    </w:p>
    <w:p w14:paraId="37CA96E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]年[  ]月[  ]日</w:t>
      </w:r>
    </w:p>
    <w:p w14:paraId="001E6761">
      <w:pPr>
        <w:pStyle w:val="2"/>
        <w:keepNext w:val="0"/>
        <w:pageBreakBefore/>
        <w:numPr>
          <w:ilvl w:val="0"/>
          <w:numId w:val="0"/>
        </w:numPr>
        <w:spacing w:after="312"/>
        <w:ind w:firstLine="883" w:firstLineChars="200"/>
        <w:textAlignment w:val="baseline"/>
        <w:rPr>
          <w:rFonts w:hint="eastAsia" w:ascii="仿宋" w:hAnsi="仿宋" w:eastAsia="仿宋" w:cs="仿宋"/>
          <w:b/>
          <w:bCs/>
          <w:color w:val="auto"/>
          <w:sz w:val="44"/>
          <w:szCs w:val="44"/>
          <w:highlight w:val="none"/>
        </w:rPr>
      </w:pPr>
      <w:bookmarkStart w:id="80" w:name="_Toc25683"/>
      <w:r>
        <w:rPr>
          <w:rFonts w:hint="eastAsia" w:ascii="仿宋" w:hAnsi="仿宋" w:eastAsia="仿宋" w:cs="仿宋"/>
          <w:b/>
          <w:bCs/>
          <w:color w:val="auto"/>
          <w:sz w:val="44"/>
          <w:szCs w:val="44"/>
          <w:highlight w:val="none"/>
        </w:rPr>
        <w:t>第四章 项目需求</w:t>
      </w:r>
      <w:bookmarkEnd w:id="59"/>
      <w:bookmarkEnd w:id="6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6EC6A530">
      <w:pPr>
        <w:pStyle w:val="29"/>
        <w:numPr>
          <w:ilvl w:val="0"/>
          <w:numId w:val="5"/>
        </w:numPr>
        <w:spacing w:line="360" w:lineRule="auto"/>
        <w:ind w:left="-199" w:leftChars="-95" w:firstLine="0"/>
        <w:rPr>
          <w:rFonts w:hint="eastAsia" w:ascii="仿宋" w:hAnsi="仿宋" w:eastAsia="仿宋" w:cs="仿宋"/>
          <w:color w:val="auto"/>
          <w:highlight w:val="none"/>
          <w:lang w:val="zh-CN"/>
        </w:rPr>
      </w:pPr>
      <w:bookmarkStart w:id="81" w:name="_Toc26584"/>
      <w:bookmarkStart w:id="82" w:name="_Toc7112"/>
      <w:bookmarkStart w:id="83" w:name="_Toc10141"/>
      <w:bookmarkStart w:id="84" w:name="_Toc17145"/>
      <w:bookmarkStart w:id="85" w:name="_Toc29781"/>
      <w:bookmarkStart w:id="86" w:name="_Toc4121"/>
      <w:bookmarkStart w:id="87" w:name="_Toc21448"/>
      <w:bookmarkStart w:id="88" w:name="_Toc15806"/>
      <w:bookmarkStart w:id="89" w:name="_Toc16326"/>
      <w:bookmarkStart w:id="90" w:name="_Toc31247"/>
      <w:bookmarkStart w:id="91" w:name="_Toc6599"/>
      <w:bookmarkStart w:id="92" w:name="_Toc20907"/>
      <w:bookmarkStart w:id="93" w:name="_Toc8217"/>
      <w:bookmarkStart w:id="94" w:name="_Toc17095"/>
      <w:bookmarkStart w:id="95" w:name="_Toc23308"/>
      <w:bookmarkStart w:id="96" w:name="_Toc20222"/>
      <w:bookmarkStart w:id="97" w:name="_Toc20735"/>
      <w:bookmarkStart w:id="98" w:name="_Toc19017"/>
      <w:r>
        <w:rPr>
          <w:rFonts w:hint="eastAsia" w:ascii="仿宋" w:hAnsi="仿宋" w:eastAsia="仿宋" w:cs="仿宋"/>
          <w:color w:val="auto"/>
          <w:highlight w:val="none"/>
          <w:lang w:val="zh-CN"/>
        </w:rPr>
        <w:t>项目</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hint="eastAsia" w:ascii="仿宋" w:hAnsi="仿宋" w:eastAsia="仿宋" w:cs="仿宋"/>
          <w:color w:val="auto"/>
          <w:highlight w:val="none"/>
        </w:rPr>
        <w:t>简介</w:t>
      </w:r>
    </w:p>
    <w:p w14:paraId="3FC87FB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厅机关及部分直属单位网络音视频基础设施实施优化升级，含农林大厦、沅江路办公区、汉中门办公区、溧水白马基地及扬州家禽所。分包一：沅江路、汉中门办公区及溧水白马基地、扬州家禽所网络系统升级维护；分包二：江苏农林大厦3楼大会议室视频会议基础设施优化升级。项目完成时间为合同签订后60个工作日内。</w:t>
      </w:r>
    </w:p>
    <w:p w14:paraId="6AA8BDBF">
      <w:pPr>
        <w:pStyle w:val="29"/>
        <w:numPr>
          <w:ilvl w:val="0"/>
          <w:numId w:val="5"/>
        </w:numPr>
        <w:spacing w:line="360" w:lineRule="auto"/>
        <w:ind w:left="-199" w:leftChars="-95" w:firstLine="0"/>
        <w:rPr>
          <w:rFonts w:hint="eastAsia" w:ascii="仿宋" w:hAnsi="仿宋" w:eastAsia="仿宋" w:cs="仿宋"/>
          <w:color w:val="auto"/>
          <w:highlight w:val="none"/>
        </w:rPr>
      </w:pPr>
      <w:r>
        <w:rPr>
          <w:rFonts w:hint="eastAsia" w:ascii="仿宋" w:hAnsi="仿宋" w:eastAsia="仿宋" w:cs="仿宋"/>
          <w:color w:val="auto"/>
          <w:highlight w:val="none"/>
        </w:rPr>
        <w:t>项目分包</w:t>
      </w:r>
    </w:p>
    <w:p w14:paraId="5ECEBA5E">
      <w:pPr>
        <w:pStyle w:val="18"/>
        <w:spacing w:before="0" w:beforeAutospacing="0" w:after="0" w:afterAutospacing="0" w:line="360" w:lineRule="auto"/>
        <w:jc w:val="both"/>
        <w:rPr>
          <w:rFonts w:hint="eastAsia" w:ascii="仿宋" w:hAnsi="仿宋" w:eastAsia="仿宋" w:cs="仿宋"/>
          <w:b/>
        </w:rPr>
      </w:pPr>
      <w:r>
        <w:rPr>
          <w:rFonts w:hint="eastAsia" w:ascii="仿宋" w:hAnsi="仿宋" w:eastAsia="仿宋" w:cs="仿宋"/>
          <w:b/>
          <w:color w:val="auto"/>
          <w:highlight w:val="none"/>
        </w:rPr>
        <w:t xml:space="preserve">   </w:t>
      </w:r>
      <w:r>
        <w:rPr>
          <w:rFonts w:hint="eastAsia" w:ascii="仿宋" w:hAnsi="仿宋" w:eastAsia="仿宋" w:cs="仿宋"/>
          <w:b/>
        </w:rPr>
        <w:t>分包一：沅江路、汉中门办公区及溧水白马基地、扬州家禽所网络系统升级维护</w:t>
      </w:r>
    </w:p>
    <w:p w14:paraId="2DC3B502">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1、项目实施清单</w:t>
      </w:r>
    </w:p>
    <w:tbl>
      <w:tblPr>
        <w:tblStyle w:val="21"/>
        <w:tblW w:w="975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3859"/>
        <w:gridCol w:w="845"/>
        <w:gridCol w:w="791"/>
        <w:gridCol w:w="3235"/>
      </w:tblGrid>
      <w:tr w14:paraId="6DBB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3FD4C0D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3859" w:type="dxa"/>
          </w:tcPr>
          <w:p w14:paraId="44C754D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实施范围</w:t>
            </w:r>
          </w:p>
        </w:tc>
        <w:tc>
          <w:tcPr>
            <w:tcW w:w="845" w:type="dxa"/>
          </w:tcPr>
          <w:p w14:paraId="6EFA0F6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单位</w:t>
            </w:r>
          </w:p>
        </w:tc>
        <w:tc>
          <w:tcPr>
            <w:tcW w:w="791" w:type="dxa"/>
          </w:tcPr>
          <w:p w14:paraId="14EBE46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数量</w:t>
            </w:r>
          </w:p>
        </w:tc>
        <w:tc>
          <w:tcPr>
            <w:tcW w:w="3235" w:type="dxa"/>
          </w:tcPr>
          <w:p w14:paraId="175AC84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内容</w:t>
            </w:r>
          </w:p>
        </w:tc>
      </w:tr>
      <w:tr w14:paraId="15DC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vAlign w:val="center"/>
          </w:tcPr>
          <w:p w14:paraId="7C81AC0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3859" w:type="dxa"/>
            <w:vAlign w:val="center"/>
          </w:tcPr>
          <w:p w14:paraId="226689B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沅江路办公区（沅江路62-2号）网络优化</w:t>
            </w:r>
          </w:p>
        </w:tc>
        <w:tc>
          <w:tcPr>
            <w:tcW w:w="845" w:type="dxa"/>
            <w:vAlign w:val="center"/>
          </w:tcPr>
          <w:p w14:paraId="3DC7804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项</w:t>
            </w:r>
          </w:p>
        </w:tc>
        <w:tc>
          <w:tcPr>
            <w:tcW w:w="791" w:type="dxa"/>
            <w:vAlign w:val="center"/>
          </w:tcPr>
          <w:p w14:paraId="097E463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3235" w:type="dxa"/>
            <w:vAlign w:val="center"/>
          </w:tcPr>
          <w:p w14:paraId="5ED8237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（1）有线网综合布线优化</w:t>
            </w:r>
          </w:p>
        </w:tc>
      </w:tr>
      <w:tr w14:paraId="3357B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75E6C0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3859" w:type="dxa"/>
            <w:vAlign w:val="center"/>
          </w:tcPr>
          <w:p w14:paraId="3DAE172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汉中门（汉中门大街302号）办公区网络优化</w:t>
            </w:r>
          </w:p>
        </w:tc>
        <w:tc>
          <w:tcPr>
            <w:tcW w:w="845" w:type="dxa"/>
            <w:vAlign w:val="center"/>
          </w:tcPr>
          <w:p w14:paraId="63CF815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项</w:t>
            </w:r>
          </w:p>
        </w:tc>
        <w:tc>
          <w:tcPr>
            <w:tcW w:w="791" w:type="dxa"/>
            <w:vAlign w:val="center"/>
          </w:tcPr>
          <w:p w14:paraId="2BE7C22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3235" w:type="dxa"/>
            <w:vAlign w:val="center"/>
          </w:tcPr>
          <w:p w14:paraId="72B9848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（1）有线网综合布线优化</w:t>
            </w:r>
          </w:p>
          <w:p w14:paraId="2517E29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（2）办公区无线信号覆盖</w:t>
            </w:r>
          </w:p>
        </w:tc>
      </w:tr>
      <w:tr w14:paraId="3626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34ADD8E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3859" w:type="dxa"/>
            <w:vAlign w:val="center"/>
          </w:tcPr>
          <w:p w14:paraId="7201A6D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溧水白马基地网络优化</w:t>
            </w:r>
          </w:p>
        </w:tc>
        <w:tc>
          <w:tcPr>
            <w:tcW w:w="845" w:type="dxa"/>
            <w:vAlign w:val="center"/>
          </w:tcPr>
          <w:p w14:paraId="0184F14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项</w:t>
            </w:r>
          </w:p>
        </w:tc>
        <w:tc>
          <w:tcPr>
            <w:tcW w:w="791" w:type="dxa"/>
            <w:vAlign w:val="center"/>
          </w:tcPr>
          <w:p w14:paraId="13066E0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3235" w:type="dxa"/>
            <w:vAlign w:val="center"/>
          </w:tcPr>
          <w:p w14:paraId="1BD6F6C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（1）机房合规与环境优化</w:t>
            </w:r>
          </w:p>
          <w:p w14:paraId="7F26B6D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（2）有线网综合布线优化</w:t>
            </w:r>
          </w:p>
          <w:p w14:paraId="2188357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（3）办公区无线信号覆盖</w:t>
            </w:r>
          </w:p>
        </w:tc>
      </w:tr>
      <w:tr w14:paraId="322A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EC4666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3859" w:type="dxa"/>
            <w:vAlign w:val="center"/>
          </w:tcPr>
          <w:p w14:paraId="2B87E98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扬州家禽所网络优化</w:t>
            </w:r>
          </w:p>
        </w:tc>
        <w:tc>
          <w:tcPr>
            <w:tcW w:w="845" w:type="dxa"/>
            <w:vAlign w:val="center"/>
          </w:tcPr>
          <w:p w14:paraId="62ED7CB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项</w:t>
            </w:r>
          </w:p>
        </w:tc>
        <w:tc>
          <w:tcPr>
            <w:tcW w:w="791" w:type="dxa"/>
            <w:vAlign w:val="center"/>
          </w:tcPr>
          <w:p w14:paraId="6567CA3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3235" w:type="dxa"/>
            <w:vAlign w:val="center"/>
          </w:tcPr>
          <w:p w14:paraId="43E42B5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（1）政务网综合布线优化</w:t>
            </w:r>
          </w:p>
        </w:tc>
      </w:tr>
    </w:tbl>
    <w:p w14:paraId="58FEFC32">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2、项目整体需求</w:t>
      </w:r>
    </w:p>
    <w:p w14:paraId="20A40CF3">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（一）沅江路办公区（沅江路62-2号）网络优化</w:t>
      </w:r>
    </w:p>
    <w:p w14:paraId="283207C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（1）有线网综合布线优化</w:t>
      </w:r>
    </w:p>
    <w:p w14:paraId="61BAC9B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在不改变办公区原有网络结构的基础上，对3-5层有线网综合布线进行优化，消除网络通讯盲点，对现有故障点位进行维修或重布，同时对办公区整体网络进行整理、检测、标识，对老旧/故障设备进行整体升级，详细需求如下：</w:t>
      </w:r>
    </w:p>
    <w:tbl>
      <w:tblPr>
        <w:tblStyle w:val="21"/>
        <w:tblW w:w="975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935"/>
        <w:gridCol w:w="3375"/>
        <w:gridCol w:w="3420"/>
      </w:tblGrid>
      <w:tr w14:paraId="4F2E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7CF7AB5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11AEDE5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375" w:type="dxa"/>
          </w:tcPr>
          <w:p w14:paraId="323E356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详情</w:t>
            </w:r>
          </w:p>
        </w:tc>
        <w:tc>
          <w:tcPr>
            <w:tcW w:w="3420" w:type="dxa"/>
          </w:tcPr>
          <w:p w14:paraId="7F8BD10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4A8C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14516C7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328521A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3层办公区</w:t>
            </w:r>
          </w:p>
        </w:tc>
        <w:tc>
          <w:tcPr>
            <w:tcW w:w="3375" w:type="dxa"/>
            <w:vAlign w:val="center"/>
          </w:tcPr>
          <w:p w14:paraId="5CE9D01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重布11点位，新增2点位</w:t>
            </w:r>
          </w:p>
        </w:tc>
        <w:tc>
          <w:tcPr>
            <w:tcW w:w="3420" w:type="dxa"/>
            <w:vMerge w:val="restart"/>
            <w:vAlign w:val="center"/>
          </w:tcPr>
          <w:p w14:paraId="5694F091">
            <w:pPr>
              <w:numPr>
                <w:ilvl w:val="0"/>
                <w:numId w:val="6"/>
              </w:numPr>
              <w:spacing w:line="0" w:lineRule="atLeast"/>
              <w:jc w:val="left"/>
              <w:rPr>
                <w:rFonts w:hint="eastAsia" w:ascii="仿宋" w:hAnsi="仿宋" w:eastAsia="仿宋" w:cs="仿宋"/>
                <w:sz w:val="24"/>
                <w:szCs w:val="24"/>
              </w:rPr>
            </w:pPr>
            <w:r>
              <w:rPr>
                <w:rFonts w:hint="eastAsia" w:ascii="仿宋" w:hAnsi="仿宋" w:eastAsia="仿宋" w:cs="仿宋"/>
                <w:sz w:val="24"/>
                <w:szCs w:val="24"/>
              </w:rPr>
              <w:t>核心交换机1台；</w:t>
            </w:r>
          </w:p>
          <w:p w14:paraId="1BDB7EDD">
            <w:pPr>
              <w:numPr>
                <w:ilvl w:val="0"/>
                <w:numId w:val="6"/>
              </w:numPr>
              <w:spacing w:line="0" w:lineRule="atLeast"/>
              <w:jc w:val="left"/>
              <w:rPr>
                <w:rFonts w:hint="eastAsia" w:ascii="仿宋" w:hAnsi="仿宋" w:eastAsia="仿宋" w:cs="仿宋"/>
                <w:sz w:val="24"/>
                <w:szCs w:val="24"/>
              </w:rPr>
            </w:pPr>
            <w:r>
              <w:rPr>
                <w:rFonts w:hint="eastAsia" w:ascii="仿宋" w:hAnsi="仿宋" w:eastAsia="仿宋" w:cs="仿宋"/>
                <w:sz w:val="24"/>
                <w:szCs w:val="24"/>
              </w:rPr>
              <w:t>流控设备1台</w:t>
            </w:r>
          </w:p>
          <w:p w14:paraId="7C156236">
            <w:pPr>
              <w:spacing w:line="0" w:lineRule="atLeast"/>
              <w:jc w:val="left"/>
              <w:rPr>
                <w:rFonts w:hint="eastAsia" w:ascii="仿宋" w:hAnsi="仿宋" w:eastAsia="仿宋" w:cs="仿宋"/>
                <w:sz w:val="24"/>
                <w:szCs w:val="24"/>
              </w:rPr>
            </w:pPr>
            <w:r>
              <w:rPr>
                <w:rFonts w:hint="eastAsia" w:ascii="仿宋" w:hAnsi="仿宋" w:eastAsia="仿宋" w:cs="仿宋"/>
                <w:sz w:val="24"/>
                <w:szCs w:val="24"/>
              </w:rPr>
              <w:t>3、48口交换机11台；</w:t>
            </w:r>
          </w:p>
          <w:p w14:paraId="7873B2AE">
            <w:pPr>
              <w:spacing w:line="0" w:lineRule="atLeast"/>
              <w:jc w:val="left"/>
              <w:rPr>
                <w:rFonts w:hint="eastAsia" w:ascii="仿宋" w:hAnsi="仿宋" w:eastAsia="仿宋" w:cs="仿宋"/>
                <w:sz w:val="24"/>
                <w:szCs w:val="24"/>
              </w:rPr>
            </w:pPr>
            <w:r>
              <w:rPr>
                <w:rFonts w:hint="eastAsia" w:ascii="仿宋" w:hAnsi="仿宋" w:eastAsia="仿宋" w:cs="仿宋"/>
                <w:sz w:val="24"/>
                <w:szCs w:val="24"/>
              </w:rPr>
              <w:t>4、含全部配件、辅材及人工</w:t>
            </w:r>
          </w:p>
        </w:tc>
      </w:tr>
      <w:tr w14:paraId="3434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02918F6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1E75DC9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4层办公区</w:t>
            </w:r>
          </w:p>
        </w:tc>
        <w:tc>
          <w:tcPr>
            <w:tcW w:w="3375" w:type="dxa"/>
            <w:vAlign w:val="center"/>
          </w:tcPr>
          <w:p w14:paraId="523685B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重布5点位</w:t>
            </w:r>
          </w:p>
        </w:tc>
        <w:tc>
          <w:tcPr>
            <w:tcW w:w="3420" w:type="dxa"/>
            <w:vMerge w:val="continue"/>
            <w:vAlign w:val="center"/>
          </w:tcPr>
          <w:p w14:paraId="53AA6532">
            <w:pPr>
              <w:spacing w:line="0" w:lineRule="atLeast"/>
              <w:jc w:val="center"/>
              <w:rPr>
                <w:rFonts w:hint="eastAsia" w:ascii="仿宋" w:hAnsi="仿宋" w:eastAsia="仿宋" w:cs="仿宋"/>
                <w:sz w:val="24"/>
                <w:szCs w:val="24"/>
              </w:rPr>
            </w:pPr>
          </w:p>
        </w:tc>
      </w:tr>
      <w:tr w14:paraId="2E87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352B0FB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346C713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5层办公区</w:t>
            </w:r>
          </w:p>
        </w:tc>
        <w:tc>
          <w:tcPr>
            <w:tcW w:w="3375" w:type="dxa"/>
            <w:vAlign w:val="center"/>
          </w:tcPr>
          <w:p w14:paraId="6916CD7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重布2点位，新增2点位</w:t>
            </w:r>
          </w:p>
        </w:tc>
        <w:tc>
          <w:tcPr>
            <w:tcW w:w="3420" w:type="dxa"/>
            <w:vMerge w:val="continue"/>
            <w:vAlign w:val="center"/>
          </w:tcPr>
          <w:p w14:paraId="381CF9DF">
            <w:pPr>
              <w:spacing w:line="0" w:lineRule="atLeast"/>
              <w:jc w:val="center"/>
              <w:rPr>
                <w:rFonts w:hint="eastAsia" w:ascii="仿宋" w:hAnsi="仿宋" w:eastAsia="仿宋" w:cs="仿宋"/>
                <w:sz w:val="24"/>
                <w:szCs w:val="24"/>
              </w:rPr>
            </w:pPr>
          </w:p>
        </w:tc>
      </w:tr>
    </w:tbl>
    <w:p w14:paraId="48A2AD9B">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（二）汉中门（汉中门大街302号）办公区网络优化</w:t>
      </w:r>
    </w:p>
    <w:p w14:paraId="7AD143D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（1）有线网综合布线优化</w:t>
      </w:r>
    </w:p>
    <w:p w14:paraId="6166FEA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在不改变办公区原有网络结构的基础上，对1、2、7-13层有线网综合布线进行优化，消除网络通讯盲点，对现有故障点位进行维修或重布，同时对办公区整体网络进行整理、检测、标识，对老旧/故障设备进行整体升级，详细需求如下：</w:t>
      </w:r>
    </w:p>
    <w:tbl>
      <w:tblPr>
        <w:tblStyle w:val="21"/>
        <w:tblW w:w="975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935"/>
        <w:gridCol w:w="3375"/>
        <w:gridCol w:w="3420"/>
      </w:tblGrid>
      <w:tr w14:paraId="763D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34FF9BA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685F385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375" w:type="dxa"/>
          </w:tcPr>
          <w:p w14:paraId="72F2B6F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详情</w:t>
            </w:r>
          </w:p>
        </w:tc>
        <w:tc>
          <w:tcPr>
            <w:tcW w:w="3420" w:type="dxa"/>
          </w:tcPr>
          <w:p w14:paraId="3754DA7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4DDF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39BD1B8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4408BFEE">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1层公共区域</w:t>
            </w:r>
          </w:p>
        </w:tc>
        <w:tc>
          <w:tcPr>
            <w:tcW w:w="3375" w:type="dxa"/>
            <w:vAlign w:val="center"/>
          </w:tcPr>
          <w:p w14:paraId="31AA927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新增5点位</w:t>
            </w:r>
          </w:p>
        </w:tc>
        <w:tc>
          <w:tcPr>
            <w:tcW w:w="3420" w:type="dxa"/>
            <w:vMerge w:val="restart"/>
            <w:vAlign w:val="center"/>
          </w:tcPr>
          <w:p w14:paraId="732A904A">
            <w:pPr>
              <w:numPr>
                <w:ilvl w:val="0"/>
                <w:numId w:val="7"/>
              </w:numPr>
              <w:spacing w:line="0" w:lineRule="atLeast"/>
              <w:jc w:val="left"/>
              <w:rPr>
                <w:rFonts w:hint="eastAsia" w:ascii="仿宋" w:hAnsi="仿宋" w:eastAsia="仿宋" w:cs="仿宋"/>
                <w:sz w:val="24"/>
                <w:szCs w:val="24"/>
              </w:rPr>
            </w:pPr>
            <w:r>
              <w:rPr>
                <w:rFonts w:hint="eastAsia" w:ascii="仿宋" w:hAnsi="仿宋" w:eastAsia="仿宋" w:cs="仿宋"/>
                <w:sz w:val="24"/>
                <w:szCs w:val="24"/>
              </w:rPr>
              <w:t>核心交换机1台；</w:t>
            </w:r>
          </w:p>
          <w:p w14:paraId="51F7C10D">
            <w:pPr>
              <w:numPr>
                <w:ilvl w:val="0"/>
                <w:numId w:val="7"/>
              </w:numPr>
              <w:spacing w:line="0" w:lineRule="atLeast"/>
              <w:jc w:val="left"/>
              <w:rPr>
                <w:rFonts w:hint="eastAsia" w:ascii="仿宋" w:hAnsi="仿宋" w:eastAsia="仿宋" w:cs="仿宋"/>
                <w:sz w:val="24"/>
                <w:szCs w:val="24"/>
              </w:rPr>
            </w:pPr>
            <w:r>
              <w:rPr>
                <w:rFonts w:hint="eastAsia" w:ascii="仿宋" w:hAnsi="仿宋" w:eastAsia="仿宋" w:cs="仿宋"/>
                <w:sz w:val="24"/>
                <w:szCs w:val="24"/>
              </w:rPr>
              <w:t>流控设备1台</w:t>
            </w:r>
          </w:p>
          <w:p w14:paraId="35FAAFD2">
            <w:pPr>
              <w:spacing w:line="0" w:lineRule="atLeast"/>
              <w:jc w:val="left"/>
              <w:rPr>
                <w:rFonts w:hint="eastAsia" w:ascii="仿宋" w:hAnsi="仿宋" w:eastAsia="仿宋" w:cs="仿宋"/>
                <w:sz w:val="24"/>
                <w:szCs w:val="24"/>
              </w:rPr>
            </w:pPr>
            <w:r>
              <w:rPr>
                <w:rFonts w:hint="eastAsia" w:ascii="仿宋" w:hAnsi="仿宋" w:eastAsia="仿宋" w:cs="仿宋"/>
                <w:sz w:val="24"/>
                <w:szCs w:val="24"/>
              </w:rPr>
              <w:t>3、48口交换机5台；</w:t>
            </w:r>
          </w:p>
          <w:p w14:paraId="343803B1">
            <w:pPr>
              <w:spacing w:line="0" w:lineRule="atLeast"/>
              <w:jc w:val="left"/>
              <w:rPr>
                <w:rFonts w:hint="eastAsia" w:ascii="仿宋" w:hAnsi="仿宋" w:eastAsia="仿宋" w:cs="仿宋"/>
                <w:sz w:val="24"/>
                <w:szCs w:val="24"/>
              </w:rPr>
            </w:pPr>
            <w:r>
              <w:rPr>
                <w:rFonts w:hint="eastAsia" w:ascii="仿宋" w:hAnsi="仿宋" w:eastAsia="仿宋" w:cs="仿宋"/>
                <w:sz w:val="24"/>
                <w:szCs w:val="24"/>
              </w:rPr>
              <w:t>4、含全部配件、辅材及人工</w:t>
            </w:r>
          </w:p>
        </w:tc>
      </w:tr>
      <w:tr w14:paraId="28C7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453948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07A143EE">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2层公共区域</w:t>
            </w:r>
          </w:p>
        </w:tc>
        <w:tc>
          <w:tcPr>
            <w:tcW w:w="3375" w:type="dxa"/>
            <w:vAlign w:val="center"/>
          </w:tcPr>
          <w:p w14:paraId="2F6F7A1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新增5点位</w:t>
            </w:r>
          </w:p>
        </w:tc>
        <w:tc>
          <w:tcPr>
            <w:tcW w:w="3420" w:type="dxa"/>
            <w:vMerge w:val="continue"/>
            <w:vAlign w:val="center"/>
          </w:tcPr>
          <w:p w14:paraId="199507B2">
            <w:pPr>
              <w:spacing w:line="0" w:lineRule="atLeast"/>
              <w:jc w:val="center"/>
              <w:rPr>
                <w:rFonts w:hint="eastAsia" w:ascii="仿宋" w:hAnsi="仿宋" w:eastAsia="仿宋" w:cs="仿宋"/>
                <w:sz w:val="24"/>
                <w:szCs w:val="24"/>
              </w:rPr>
            </w:pPr>
          </w:p>
        </w:tc>
      </w:tr>
      <w:tr w14:paraId="49FE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4762E1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24802B9D">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7-9层办公室</w:t>
            </w:r>
          </w:p>
        </w:tc>
        <w:tc>
          <w:tcPr>
            <w:tcW w:w="3375" w:type="dxa"/>
            <w:vAlign w:val="center"/>
          </w:tcPr>
          <w:p w14:paraId="20C6687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利旧</w:t>
            </w:r>
          </w:p>
        </w:tc>
        <w:tc>
          <w:tcPr>
            <w:tcW w:w="3420" w:type="dxa"/>
            <w:vMerge w:val="continue"/>
            <w:vAlign w:val="center"/>
          </w:tcPr>
          <w:p w14:paraId="11B85251">
            <w:pPr>
              <w:spacing w:line="0" w:lineRule="atLeast"/>
              <w:jc w:val="center"/>
              <w:rPr>
                <w:rFonts w:hint="eastAsia" w:ascii="仿宋" w:hAnsi="仿宋" w:eastAsia="仿宋" w:cs="仿宋"/>
                <w:sz w:val="24"/>
                <w:szCs w:val="24"/>
              </w:rPr>
            </w:pPr>
          </w:p>
        </w:tc>
      </w:tr>
      <w:tr w14:paraId="356C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D328A7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935" w:type="dxa"/>
            <w:vAlign w:val="center"/>
          </w:tcPr>
          <w:p w14:paraId="334C85DA">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10-12层实验室</w:t>
            </w:r>
          </w:p>
        </w:tc>
        <w:tc>
          <w:tcPr>
            <w:tcW w:w="3375" w:type="dxa"/>
            <w:vAlign w:val="center"/>
          </w:tcPr>
          <w:p w14:paraId="0AC9D32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新增15点位</w:t>
            </w:r>
          </w:p>
        </w:tc>
        <w:tc>
          <w:tcPr>
            <w:tcW w:w="3420" w:type="dxa"/>
            <w:vMerge w:val="continue"/>
            <w:vAlign w:val="center"/>
          </w:tcPr>
          <w:p w14:paraId="291BDAD9">
            <w:pPr>
              <w:spacing w:line="0" w:lineRule="atLeast"/>
              <w:jc w:val="center"/>
              <w:rPr>
                <w:rFonts w:hint="eastAsia" w:ascii="仿宋" w:hAnsi="仿宋" w:eastAsia="仿宋" w:cs="仿宋"/>
                <w:sz w:val="24"/>
                <w:szCs w:val="24"/>
              </w:rPr>
            </w:pPr>
          </w:p>
        </w:tc>
      </w:tr>
      <w:tr w14:paraId="4F84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BE8E0D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1935" w:type="dxa"/>
            <w:vAlign w:val="center"/>
          </w:tcPr>
          <w:p w14:paraId="64E7564C">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13层会议室</w:t>
            </w:r>
          </w:p>
        </w:tc>
        <w:tc>
          <w:tcPr>
            <w:tcW w:w="3375" w:type="dxa"/>
            <w:vAlign w:val="center"/>
          </w:tcPr>
          <w:p w14:paraId="269E6EA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新增3点位</w:t>
            </w:r>
          </w:p>
        </w:tc>
        <w:tc>
          <w:tcPr>
            <w:tcW w:w="3420" w:type="dxa"/>
            <w:vMerge w:val="continue"/>
            <w:vAlign w:val="center"/>
          </w:tcPr>
          <w:p w14:paraId="7491190D">
            <w:pPr>
              <w:spacing w:line="0" w:lineRule="atLeast"/>
              <w:jc w:val="center"/>
              <w:rPr>
                <w:rFonts w:hint="eastAsia" w:ascii="仿宋" w:hAnsi="仿宋" w:eastAsia="仿宋" w:cs="仿宋"/>
                <w:sz w:val="24"/>
                <w:szCs w:val="24"/>
              </w:rPr>
            </w:pPr>
          </w:p>
        </w:tc>
      </w:tr>
    </w:tbl>
    <w:p w14:paraId="46D1CEA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（2）办公区无线信号覆盖</w:t>
      </w:r>
    </w:p>
    <w:p w14:paraId="43E41E4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完成办公区1、2、7-13层无线信号覆盖，详情如下：</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1935"/>
        <w:gridCol w:w="3375"/>
        <w:gridCol w:w="3526"/>
      </w:tblGrid>
      <w:tr w14:paraId="4AD6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259D63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356B8F7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375" w:type="dxa"/>
          </w:tcPr>
          <w:p w14:paraId="2717980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详情</w:t>
            </w:r>
          </w:p>
        </w:tc>
        <w:tc>
          <w:tcPr>
            <w:tcW w:w="3526" w:type="dxa"/>
          </w:tcPr>
          <w:p w14:paraId="63E995C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5FF4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6" w:type="dxa"/>
            <w:vAlign w:val="center"/>
          </w:tcPr>
          <w:p w14:paraId="0D14247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12676CFB">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1层公共区域</w:t>
            </w:r>
          </w:p>
        </w:tc>
        <w:tc>
          <w:tcPr>
            <w:tcW w:w="3375" w:type="dxa"/>
            <w:vMerge w:val="restart"/>
            <w:vAlign w:val="center"/>
          </w:tcPr>
          <w:p w14:paraId="6A2015C0">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8路信号源覆盖</w:t>
            </w:r>
          </w:p>
        </w:tc>
        <w:tc>
          <w:tcPr>
            <w:tcW w:w="3526" w:type="dxa"/>
            <w:vMerge w:val="restart"/>
            <w:vAlign w:val="center"/>
          </w:tcPr>
          <w:p w14:paraId="5ACCFDFB">
            <w:pPr>
              <w:widowControl/>
              <w:wordWrap w:val="0"/>
              <w:spacing w:line="0" w:lineRule="atLeast"/>
              <w:jc w:val="left"/>
              <w:rPr>
                <w:rFonts w:hint="eastAsia" w:ascii="仿宋" w:hAnsi="仿宋" w:eastAsia="仿宋" w:cs="仿宋"/>
                <w:sz w:val="24"/>
                <w:szCs w:val="24"/>
              </w:rPr>
            </w:pPr>
            <w:r>
              <w:rPr>
                <w:rFonts w:hint="eastAsia" w:ascii="仿宋" w:hAnsi="仿宋" w:eastAsia="仿宋" w:cs="仿宋"/>
                <w:sz w:val="24"/>
                <w:szCs w:val="24"/>
              </w:rPr>
              <w:t>1、控制器（含64授权）1台；</w:t>
            </w:r>
          </w:p>
          <w:p w14:paraId="73336A16">
            <w:pPr>
              <w:widowControl/>
              <w:wordWrap w:val="0"/>
              <w:spacing w:line="0" w:lineRule="atLeast"/>
              <w:jc w:val="left"/>
              <w:rPr>
                <w:rFonts w:hint="eastAsia" w:ascii="仿宋" w:hAnsi="仿宋" w:eastAsia="仿宋" w:cs="仿宋"/>
                <w:sz w:val="24"/>
                <w:szCs w:val="24"/>
              </w:rPr>
            </w:pPr>
            <w:r>
              <w:rPr>
                <w:rFonts w:hint="eastAsia" w:ascii="仿宋" w:hAnsi="仿宋" w:eastAsia="仿宋" w:cs="仿宋"/>
                <w:sz w:val="24"/>
                <w:szCs w:val="24"/>
              </w:rPr>
              <w:t>2、24口POE交换机5台；</w:t>
            </w:r>
          </w:p>
          <w:p w14:paraId="308AAD89">
            <w:pPr>
              <w:widowControl/>
              <w:wordWrap w:val="0"/>
              <w:spacing w:line="0" w:lineRule="atLeast"/>
              <w:jc w:val="left"/>
              <w:rPr>
                <w:rFonts w:hint="eastAsia" w:ascii="仿宋" w:hAnsi="仿宋" w:eastAsia="仿宋" w:cs="仿宋"/>
                <w:sz w:val="24"/>
                <w:szCs w:val="24"/>
              </w:rPr>
            </w:pPr>
            <w:r>
              <w:rPr>
                <w:rFonts w:hint="eastAsia" w:ascii="仿宋" w:hAnsi="仿宋" w:eastAsia="仿宋" w:cs="仿宋"/>
                <w:sz w:val="24"/>
                <w:szCs w:val="24"/>
              </w:rPr>
              <w:t>3、AP（面板式）40件；</w:t>
            </w:r>
          </w:p>
          <w:p w14:paraId="1F2FE2A7">
            <w:pPr>
              <w:widowControl/>
              <w:wordWrap w:val="0"/>
              <w:spacing w:line="0" w:lineRule="atLeast"/>
              <w:jc w:val="left"/>
              <w:rPr>
                <w:rFonts w:hint="eastAsia" w:ascii="仿宋" w:hAnsi="仿宋" w:eastAsia="仿宋" w:cs="仿宋"/>
                <w:sz w:val="24"/>
                <w:szCs w:val="24"/>
              </w:rPr>
            </w:pPr>
            <w:r>
              <w:rPr>
                <w:rFonts w:hint="eastAsia" w:ascii="仿宋" w:hAnsi="仿宋" w:eastAsia="仿宋" w:cs="仿宋"/>
                <w:sz w:val="24"/>
                <w:szCs w:val="24"/>
              </w:rPr>
              <w:t>4、AP（吸顶式）10件；</w:t>
            </w:r>
          </w:p>
          <w:p w14:paraId="0A9ED48E">
            <w:pPr>
              <w:widowControl/>
              <w:wordWrap w:val="0"/>
              <w:spacing w:line="0" w:lineRule="atLeast"/>
              <w:jc w:val="left"/>
              <w:rPr>
                <w:rFonts w:hint="eastAsia" w:ascii="仿宋" w:hAnsi="仿宋" w:eastAsia="仿宋" w:cs="仿宋"/>
                <w:sz w:val="24"/>
                <w:szCs w:val="24"/>
              </w:rPr>
            </w:pPr>
            <w:r>
              <w:rPr>
                <w:rFonts w:hint="eastAsia" w:ascii="仿宋" w:hAnsi="仿宋" w:eastAsia="仿宋" w:cs="仿宋"/>
                <w:sz w:val="24"/>
                <w:szCs w:val="24"/>
              </w:rPr>
              <w:t>5、含全部配件、辅材及人工</w:t>
            </w:r>
          </w:p>
        </w:tc>
      </w:tr>
      <w:tr w14:paraId="7B00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6" w:type="dxa"/>
            <w:vAlign w:val="center"/>
          </w:tcPr>
          <w:p w14:paraId="5EE2BB9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21CE5BC3">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2层公共区域</w:t>
            </w:r>
          </w:p>
        </w:tc>
        <w:tc>
          <w:tcPr>
            <w:tcW w:w="3375" w:type="dxa"/>
            <w:vMerge w:val="continue"/>
            <w:vAlign w:val="center"/>
          </w:tcPr>
          <w:p w14:paraId="49DA484D">
            <w:pPr>
              <w:widowControl/>
              <w:wordWrap w:val="0"/>
              <w:spacing w:line="0" w:lineRule="atLeast"/>
              <w:jc w:val="center"/>
              <w:rPr>
                <w:rFonts w:hint="eastAsia" w:ascii="仿宋" w:hAnsi="仿宋" w:eastAsia="仿宋" w:cs="仿宋"/>
                <w:sz w:val="24"/>
                <w:szCs w:val="24"/>
              </w:rPr>
            </w:pPr>
          </w:p>
        </w:tc>
        <w:tc>
          <w:tcPr>
            <w:tcW w:w="3526" w:type="dxa"/>
            <w:vMerge w:val="continue"/>
            <w:vAlign w:val="center"/>
          </w:tcPr>
          <w:p w14:paraId="2F143680">
            <w:pPr>
              <w:widowControl/>
              <w:wordWrap w:val="0"/>
              <w:spacing w:line="0" w:lineRule="atLeast"/>
              <w:jc w:val="left"/>
              <w:rPr>
                <w:rFonts w:hint="eastAsia" w:ascii="仿宋" w:hAnsi="仿宋" w:eastAsia="仿宋" w:cs="仿宋"/>
                <w:sz w:val="24"/>
                <w:szCs w:val="24"/>
              </w:rPr>
            </w:pPr>
          </w:p>
        </w:tc>
      </w:tr>
      <w:tr w14:paraId="6242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00A366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72FCE54C">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7-9层办公室</w:t>
            </w:r>
          </w:p>
        </w:tc>
        <w:tc>
          <w:tcPr>
            <w:tcW w:w="3375" w:type="dxa"/>
            <w:vMerge w:val="restart"/>
            <w:vAlign w:val="center"/>
          </w:tcPr>
          <w:p w14:paraId="40E8CBC4">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覆盖40间办公室、实验室</w:t>
            </w:r>
          </w:p>
        </w:tc>
        <w:tc>
          <w:tcPr>
            <w:tcW w:w="3526" w:type="dxa"/>
            <w:vMerge w:val="continue"/>
            <w:vAlign w:val="center"/>
          </w:tcPr>
          <w:p w14:paraId="76B0C83F">
            <w:pPr>
              <w:widowControl/>
              <w:wordWrap w:val="0"/>
              <w:spacing w:line="0" w:lineRule="atLeast"/>
              <w:jc w:val="center"/>
              <w:rPr>
                <w:rFonts w:hint="eastAsia" w:ascii="仿宋" w:hAnsi="仿宋" w:eastAsia="仿宋" w:cs="仿宋"/>
                <w:sz w:val="24"/>
                <w:szCs w:val="24"/>
              </w:rPr>
            </w:pPr>
          </w:p>
        </w:tc>
      </w:tr>
      <w:tr w14:paraId="55B3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46220F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935" w:type="dxa"/>
            <w:vAlign w:val="center"/>
          </w:tcPr>
          <w:p w14:paraId="602A3237">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10-12层实验室</w:t>
            </w:r>
          </w:p>
        </w:tc>
        <w:tc>
          <w:tcPr>
            <w:tcW w:w="3375" w:type="dxa"/>
            <w:vMerge w:val="continue"/>
            <w:vAlign w:val="center"/>
          </w:tcPr>
          <w:p w14:paraId="41C1888C">
            <w:pPr>
              <w:widowControl/>
              <w:wordWrap w:val="0"/>
              <w:spacing w:line="0" w:lineRule="atLeast"/>
              <w:jc w:val="center"/>
              <w:rPr>
                <w:rFonts w:hint="eastAsia" w:ascii="仿宋" w:hAnsi="仿宋" w:eastAsia="仿宋" w:cs="仿宋"/>
                <w:sz w:val="24"/>
                <w:szCs w:val="24"/>
              </w:rPr>
            </w:pPr>
          </w:p>
        </w:tc>
        <w:tc>
          <w:tcPr>
            <w:tcW w:w="3526" w:type="dxa"/>
            <w:vMerge w:val="continue"/>
            <w:vAlign w:val="center"/>
          </w:tcPr>
          <w:p w14:paraId="0C48BB9B">
            <w:pPr>
              <w:widowControl/>
              <w:wordWrap w:val="0"/>
              <w:spacing w:line="0" w:lineRule="atLeast"/>
              <w:jc w:val="center"/>
              <w:rPr>
                <w:rFonts w:hint="eastAsia" w:ascii="仿宋" w:hAnsi="仿宋" w:eastAsia="仿宋" w:cs="仿宋"/>
                <w:sz w:val="24"/>
                <w:szCs w:val="24"/>
              </w:rPr>
            </w:pPr>
          </w:p>
        </w:tc>
      </w:tr>
      <w:tr w14:paraId="6809D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6" w:type="dxa"/>
            <w:vAlign w:val="center"/>
          </w:tcPr>
          <w:p w14:paraId="4AFA878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1935" w:type="dxa"/>
            <w:vAlign w:val="center"/>
          </w:tcPr>
          <w:p w14:paraId="0D3ADDA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13层会议室</w:t>
            </w:r>
          </w:p>
        </w:tc>
        <w:tc>
          <w:tcPr>
            <w:tcW w:w="3375" w:type="dxa"/>
            <w:vAlign w:val="center"/>
          </w:tcPr>
          <w:p w14:paraId="338BFBAE">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2路信号源覆盖</w:t>
            </w:r>
          </w:p>
        </w:tc>
        <w:tc>
          <w:tcPr>
            <w:tcW w:w="3526" w:type="dxa"/>
            <w:vMerge w:val="continue"/>
            <w:vAlign w:val="center"/>
          </w:tcPr>
          <w:p w14:paraId="153DA667">
            <w:pPr>
              <w:widowControl/>
              <w:wordWrap w:val="0"/>
              <w:spacing w:line="0" w:lineRule="atLeast"/>
              <w:jc w:val="center"/>
              <w:rPr>
                <w:rFonts w:hint="eastAsia" w:ascii="仿宋" w:hAnsi="仿宋" w:eastAsia="仿宋" w:cs="仿宋"/>
                <w:sz w:val="24"/>
                <w:szCs w:val="24"/>
              </w:rPr>
            </w:pPr>
          </w:p>
        </w:tc>
      </w:tr>
    </w:tbl>
    <w:p w14:paraId="49655BE2">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（三）溧水白马基地网络优化</w:t>
      </w:r>
    </w:p>
    <w:p w14:paraId="7F543FD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（1）机房合规与环境优化</w:t>
      </w:r>
    </w:p>
    <w:p w14:paraId="5BE357F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根据园区网络接入通讯机房存在的消防安全、出入管控及后备电源现有安全风险，实施针对性升级，排除隐患，确保机房运行安全合规，详情如下</w:t>
      </w:r>
    </w:p>
    <w:tbl>
      <w:tblPr>
        <w:tblStyle w:val="21"/>
        <w:tblW w:w="975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827"/>
        <w:gridCol w:w="6903"/>
      </w:tblGrid>
      <w:tr w14:paraId="0DE0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62949F8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827" w:type="dxa"/>
          </w:tcPr>
          <w:p w14:paraId="3FA1106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实施内容</w:t>
            </w:r>
          </w:p>
        </w:tc>
        <w:tc>
          <w:tcPr>
            <w:tcW w:w="6903" w:type="dxa"/>
          </w:tcPr>
          <w:p w14:paraId="5EC7BA6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260B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4685D49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827" w:type="dxa"/>
            <w:vAlign w:val="center"/>
          </w:tcPr>
          <w:p w14:paraId="5186041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消防合规</w:t>
            </w:r>
          </w:p>
        </w:tc>
        <w:tc>
          <w:tcPr>
            <w:tcW w:w="6903" w:type="dxa"/>
            <w:vAlign w:val="center"/>
          </w:tcPr>
          <w:p w14:paraId="12EC8FC5">
            <w:pPr>
              <w:spacing w:line="0" w:lineRule="atLeast"/>
              <w:jc w:val="left"/>
              <w:rPr>
                <w:rFonts w:hint="eastAsia" w:ascii="仿宋" w:hAnsi="仿宋" w:eastAsia="仿宋" w:cs="仿宋"/>
                <w:sz w:val="24"/>
                <w:szCs w:val="24"/>
              </w:rPr>
            </w:pPr>
            <w:r>
              <w:rPr>
                <w:rFonts w:hint="eastAsia" w:ascii="仿宋" w:hAnsi="仿宋" w:eastAsia="仿宋" w:cs="仿宋"/>
                <w:sz w:val="24"/>
                <w:szCs w:val="24"/>
              </w:rPr>
              <w:t>加装柜式七氟丙烷灭火装置（含药剂及报警系统），更换防火门</w:t>
            </w:r>
          </w:p>
        </w:tc>
      </w:tr>
      <w:tr w14:paraId="72BA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Merge w:val="restart"/>
            <w:vAlign w:val="center"/>
          </w:tcPr>
          <w:p w14:paraId="1CC0B13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827" w:type="dxa"/>
            <w:vMerge w:val="restart"/>
            <w:vAlign w:val="center"/>
          </w:tcPr>
          <w:p w14:paraId="53E9E63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出入管控</w:t>
            </w:r>
          </w:p>
        </w:tc>
        <w:tc>
          <w:tcPr>
            <w:tcW w:w="6903" w:type="dxa"/>
            <w:vAlign w:val="center"/>
          </w:tcPr>
          <w:p w14:paraId="2DCD18E4">
            <w:pPr>
              <w:spacing w:line="0" w:lineRule="atLeast"/>
              <w:jc w:val="left"/>
              <w:rPr>
                <w:rFonts w:hint="eastAsia" w:ascii="仿宋" w:hAnsi="仿宋" w:eastAsia="仿宋" w:cs="仿宋"/>
                <w:sz w:val="24"/>
                <w:szCs w:val="24"/>
              </w:rPr>
            </w:pPr>
            <w:r>
              <w:rPr>
                <w:rFonts w:hint="eastAsia" w:ascii="仿宋" w:hAnsi="仿宋" w:eastAsia="仿宋" w:cs="仿宋"/>
                <w:sz w:val="24"/>
                <w:szCs w:val="24"/>
              </w:rPr>
              <w:t>更换电子门禁及配套磁吸装置（门禁需具备密码、人脸、刷卡或指纹认证中的2种验证方式）</w:t>
            </w:r>
          </w:p>
        </w:tc>
      </w:tr>
      <w:tr w14:paraId="5484F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Merge w:val="continue"/>
            <w:vAlign w:val="center"/>
          </w:tcPr>
          <w:p w14:paraId="3CB8EFFD">
            <w:pPr>
              <w:spacing w:line="0" w:lineRule="atLeast"/>
              <w:jc w:val="center"/>
              <w:rPr>
                <w:rFonts w:hint="eastAsia" w:ascii="仿宋" w:hAnsi="仿宋" w:eastAsia="仿宋" w:cs="仿宋"/>
                <w:sz w:val="24"/>
                <w:szCs w:val="24"/>
              </w:rPr>
            </w:pPr>
          </w:p>
        </w:tc>
        <w:tc>
          <w:tcPr>
            <w:tcW w:w="1827" w:type="dxa"/>
            <w:vMerge w:val="continue"/>
            <w:vAlign w:val="center"/>
          </w:tcPr>
          <w:p w14:paraId="0C7E4B14">
            <w:pPr>
              <w:spacing w:line="0" w:lineRule="atLeast"/>
              <w:jc w:val="center"/>
              <w:rPr>
                <w:rFonts w:hint="eastAsia" w:ascii="仿宋" w:hAnsi="仿宋" w:eastAsia="仿宋" w:cs="仿宋"/>
                <w:sz w:val="24"/>
                <w:szCs w:val="24"/>
              </w:rPr>
            </w:pPr>
          </w:p>
        </w:tc>
        <w:tc>
          <w:tcPr>
            <w:tcW w:w="6903" w:type="dxa"/>
            <w:vAlign w:val="center"/>
          </w:tcPr>
          <w:p w14:paraId="20C906B8">
            <w:pPr>
              <w:spacing w:line="0" w:lineRule="atLeast"/>
              <w:jc w:val="left"/>
              <w:rPr>
                <w:rFonts w:hint="eastAsia" w:ascii="仿宋" w:hAnsi="仿宋" w:eastAsia="仿宋" w:cs="仿宋"/>
                <w:sz w:val="24"/>
                <w:szCs w:val="24"/>
              </w:rPr>
            </w:pPr>
            <w:r>
              <w:rPr>
                <w:rFonts w:hint="eastAsia" w:ascii="仿宋" w:hAnsi="仿宋" w:eastAsia="仿宋" w:cs="仿宋"/>
                <w:sz w:val="24"/>
                <w:szCs w:val="24"/>
              </w:rPr>
              <w:t>视频监控（含2路摄像机、硬盘录像机、显示器，硬盘容量满足6个月网安视频记录存储要求）</w:t>
            </w:r>
          </w:p>
        </w:tc>
      </w:tr>
      <w:tr w14:paraId="2B0E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6E7155D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827" w:type="dxa"/>
            <w:vAlign w:val="center"/>
          </w:tcPr>
          <w:p w14:paraId="205544D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后备电源</w:t>
            </w:r>
          </w:p>
        </w:tc>
        <w:tc>
          <w:tcPr>
            <w:tcW w:w="6903" w:type="dxa"/>
            <w:vAlign w:val="center"/>
          </w:tcPr>
          <w:p w14:paraId="1429E17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更换配电箱、UPS及配套蓄电池、检修设备电路，更新开关组件</w:t>
            </w:r>
          </w:p>
        </w:tc>
      </w:tr>
      <w:tr w14:paraId="41F97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293E0D5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827" w:type="dxa"/>
            <w:vAlign w:val="center"/>
          </w:tcPr>
          <w:p w14:paraId="2BC119B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机房环境</w:t>
            </w:r>
          </w:p>
        </w:tc>
        <w:tc>
          <w:tcPr>
            <w:tcW w:w="6903" w:type="dxa"/>
            <w:vAlign w:val="center"/>
          </w:tcPr>
          <w:p w14:paraId="46A1CAE9">
            <w:pPr>
              <w:spacing w:line="0" w:lineRule="atLeast"/>
              <w:jc w:val="left"/>
              <w:rPr>
                <w:rFonts w:hint="eastAsia" w:ascii="仿宋" w:hAnsi="仿宋" w:eastAsia="仿宋" w:cs="仿宋"/>
                <w:sz w:val="24"/>
                <w:szCs w:val="24"/>
              </w:rPr>
            </w:pPr>
            <w:r>
              <w:rPr>
                <w:rFonts w:hint="eastAsia" w:ascii="仿宋" w:hAnsi="仿宋" w:eastAsia="仿宋" w:cs="仿宋"/>
                <w:sz w:val="24"/>
                <w:szCs w:val="24"/>
              </w:rPr>
              <w:t>对墙面、静电地板进行换新，新增2组设备机柜（含全部配件、辅材及人工）</w:t>
            </w:r>
          </w:p>
        </w:tc>
      </w:tr>
    </w:tbl>
    <w:p w14:paraId="7F58710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（2）有线网综合布线优化</w:t>
      </w:r>
    </w:p>
    <w:p w14:paraId="02BB61A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整合原省现代农业装备科技示范中心基地与省农业机械试验鉴定站基地互联网接入，将原示范中心机房作为园区互联网接入节点，通过铺设光缆打通与鉴定站基地间的网络通道，实现园区互联网出口统一接入，集中管控，协同防护，减少互联网风险暴露面。</w:t>
      </w:r>
    </w:p>
    <w:p w14:paraId="3308AE9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计划完成：①示范中心基地农机展示中心、研发教学楼监控系统有线网线路铺设及部分原有点位优化；②鉴定站基地试验室办公区、动力机械试验室、渔业与灌溉机械试验室、智能农业机械装备试验室、综合试验室有线网线路铺设。详情如下：</w:t>
      </w:r>
    </w:p>
    <w:tbl>
      <w:tblPr>
        <w:tblStyle w:val="21"/>
        <w:tblW w:w="985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935"/>
        <w:gridCol w:w="3615"/>
        <w:gridCol w:w="3286"/>
      </w:tblGrid>
      <w:tr w14:paraId="25BE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496A235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097B4AB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615" w:type="dxa"/>
          </w:tcPr>
          <w:p w14:paraId="02DBA14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详情</w:t>
            </w:r>
          </w:p>
        </w:tc>
        <w:tc>
          <w:tcPr>
            <w:tcW w:w="3286" w:type="dxa"/>
          </w:tcPr>
          <w:p w14:paraId="38A7CED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77841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AD9BD3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4041A042">
            <w:pPr>
              <w:jc w:val="center"/>
              <w:rPr>
                <w:rFonts w:hint="eastAsia" w:ascii="仿宋" w:hAnsi="仿宋" w:eastAsia="仿宋" w:cs="仿宋"/>
                <w:sz w:val="24"/>
                <w:szCs w:val="24"/>
              </w:rPr>
            </w:pPr>
            <w:r>
              <w:rPr>
                <w:rFonts w:hint="eastAsia" w:ascii="仿宋" w:hAnsi="仿宋" w:eastAsia="仿宋" w:cs="仿宋"/>
                <w:sz w:val="24"/>
                <w:szCs w:val="24"/>
              </w:rPr>
              <w:t>园区管理区域</w:t>
            </w:r>
          </w:p>
        </w:tc>
        <w:tc>
          <w:tcPr>
            <w:tcW w:w="3615" w:type="dxa"/>
            <w:vAlign w:val="center"/>
          </w:tcPr>
          <w:p w14:paraId="3FBEBA4A">
            <w:pPr>
              <w:jc w:val="center"/>
              <w:rPr>
                <w:rFonts w:hint="eastAsia" w:ascii="仿宋" w:hAnsi="仿宋" w:eastAsia="仿宋" w:cs="仿宋"/>
                <w:sz w:val="24"/>
                <w:szCs w:val="24"/>
              </w:rPr>
            </w:pPr>
            <w:r>
              <w:rPr>
                <w:rFonts w:hint="eastAsia" w:ascii="仿宋" w:hAnsi="仿宋" w:eastAsia="仿宋" w:cs="仿宋"/>
                <w:sz w:val="24"/>
                <w:szCs w:val="24"/>
              </w:rPr>
              <w:t>覆盖园区门岗，室外试验场控制室，泵房共处室内区域</w:t>
            </w:r>
          </w:p>
        </w:tc>
        <w:tc>
          <w:tcPr>
            <w:tcW w:w="3286" w:type="dxa"/>
            <w:vMerge w:val="restart"/>
            <w:vAlign w:val="center"/>
          </w:tcPr>
          <w:p w14:paraId="48943C15">
            <w:pPr>
              <w:jc w:val="left"/>
              <w:rPr>
                <w:rFonts w:hint="eastAsia" w:ascii="仿宋" w:hAnsi="仿宋" w:eastAsia="仿宋" w:cs="仿宋"/>
                <w:sz w:val="24"/>
                <w:szCs w:val="24"/>
              </w:rPr>
            </w:pPr>
            <w:r>
              <w:rPr>
                <w:rFonts w:hint="eastAsia" w:ascii="仿宋" w:hAnsi="仿宋" w:eastAsia="仿宋" w:cs="仿宋"/>
                <w:sz w:val="24"/>
                <w:szCs w:val="24"/>
              </w:rPr>
              <w:t>1、核心交换机1台；</w:t>
            </w:r>
          </w:p>
          <w:p w14:paraId="6F2B46A2">
            <w:pPr>
              <w:jc w:val="left"/>
              <w:rPr>
                <w:rFonts w:hint="eastAsia" w:ascii="仿宋" w:hAnsi="仿宋" w:eastAsia="仿宋" w:cs="仿宋"/>
                <w:sz w:val="24"/>
                <w:szCs w:val="24"/>
              </w:rPr>
            </w:pPr>
            <w:r>
              <w:rPr>
                <w:rFonts w:hint="eastAsia" w:ascii="仿宋" w:hAnsi="仿宋" w:eastAsia="仿宋" w:cs="仿宋"/>
                <w:sz w:val="24"/>
                <w:szCs w:val="24"/>
              </w:rPr>
              <w:t>2、48口汇聚交换机1台；</w:t>
            </w:r>
          </w:p>
          <w:p w14:paraId="46BCC38B">
            <w:pPr>
              <w:jc w:val="left"/>
              <w:rPr>
                <w:rFonts w:hint="eastAsia" w:ascii="仿宋" w:hAnsi="仿宋" w:eastAsia="仿宋" w:cs="仿宋"/>
                <w:sz w:val="24"/>
                <w:szCs w:val="24"/>
              </w:rPr>
            </w:pPr>
            <w:r>
              <w:rPr>
                <w:rFonts w:hint="eastAsia" w:ascii="仿宋" w:hAnsi="仿宋" w:eastAsia="仿宋" w:cs="仿宋"/>
                <w:sz w:val="24"/>
                <w:szCs w:val="24"/>
              </w:rPr>
              <w:t>3、48口接入交换机2台；</w:t>
            </w:r>
          </w:p>
          <w:p w14:paraId="4D7BC3C4">
            <w:pPr>
              <w:jc w:val="left"/>
              <w:rPr>
                <w:rFonts w:hint="eastAsia" w:ascii="仿宋" w:hAnsi="仿宋" w:eastAsia="仿宋" w:cs="仿宋"/>
                <w:sz w:val="24"/>
                <w:szCs w:val="24"/>
              </w:rPr>
            </w:pPr>
            <w:r>
              <w:rPr>
                <w:rFonts w:hint="eastAsia" w:ascii="仿宋" w:hAnsi="仿宋" w:eastAsia="仿宋" w:cs="仿宋"/>
                <w:sz w:val="24"/>
                <w:szCs w:val="24"/>
              </w:rPr>
              <w:t>4、24口接入交换机8台；</w:t>
            </w:r>
          </w:p>
          <w:p w14:paraId="3B5AD0D8">
            <w:pPr>
              <w:jc w:val="left"/>
              <w:rPr>
                <w:rFonts w:hint="eastAsia" w:ascii="仿宋" w:hAnsi="仿宋" w:eastAsia="仿宋" w:cs="仿宋"/>
                <w:sz w:val="24"/>
                <w:szCs w:val="24"/>
              </w:rPr>
            </w:pPr>
            <w:r>
              <w:rPr>
                <w:rFonts w:hint="eastAsia" w:ascii="仿宋" w:hAnsi="仿宋" w:eastAsia="仿宋" w:cs="仿宋"/>
                <w:sz w:val="24"/>
                <w:szCs w:val="24"/>
              </w:rPr>
              <w:t>5、24口汇聚交换机1台；</w:t>
            </w:r>
          </w:p>
          <w:p w14:paraId="7574BB53">
            <w:pPr>
              <w:jc w:val="left"/>
              <w:rPr>
                <w:rFonts w:hint="eastAsia" w:ascii="仿宋" w:hAnsi="仿宋" w:eastAsia="仿宋" w:cs="仿宋"/>
                <w:sz w:val="24"/>
                <w:szCs w:val="24"/>
              </w:rPr>
            </w:pPr>
            <w:r>
              <w:rPr>
                <w:rFonts w:hint="eastAsia" w:ascii="仿宋" w:hAnsi="仿宋" w:eastAsia="仿宋" w:cs="仿宋"/>
                <w:sz w:val="24"/>
                <w:szCs w:val="24"/>
              </w:rPr>
              <w:t>6、24口POE交换机5台；</w:t>
            </w:r>
          </w:p>
          <w:p w14:paraId="18E6CC59">
            <w:pPr>
              <w:jc w:val="left"/>
              <w:rPr>
                <w:rFonts w:hint="eastAsia" w:ascii="仿宋" w:hAnsi="仿宋" w:eastAsia="仿宋" w:cs="仿宋"/>
                <w:sz w:val="24"/>
                <w:szCs w:val="24"/>
              </w:rPr>
            </w:pPr>
            <w:r>
              <w:rPr>
                <w:rFonts w:hint="eastAsia" w:ascii="仿宋" w:hAnsi="仿宋" w:eastAsia="仿宋" w:cs="仿宋"/>
                <w:sz w:val="24"/>
                <w:szCs w:val="24"/>
              </w:rPr>
              <w:t>7、48口POE交换机3台；</w:t>
            </w:r>
          </w:p>
          <w:p w14:paraId="257582BC">
            <w:pPr>
              <w:jc w:val="left"/>
              <w:rPr>
                <w:rFonts w:hint="eastAsia" w:ascii="仿宋" w:hAnsi="仿宋" w:eastAsia="仿宋" w:cs="仿宋"/>
                <w:sz w:val="24"/>
                <w:szCs w:val="24"/>
              </w:rPr>
            </w:pPr>
            <w:r>
              <w:rPr>
                <w:rFonts w:hint="eastAsia" w:ascii="仿宋" w:hAnsi="仿宋" w:eastAsia="仿宋" w:cs="仿宋"/>
                <w:sz w:val="24"/>
                <w:szCs w:val="24"/>
              </w:rPr>
              <w:t>8、含全部配件、辅材及人工</w:t>
            </w:r>
          </w:p>
        </w:tc>
      </w:tr>
      <w:tr w14:paraId="5812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2A585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511DC568">
            <w:pPr>
              <w:jc w:val="center"/>
              <w:rPr>
                <w:rFonts w:hint="eastAsia" w:ascii="仿宋" w:hAnsi="仿宋" w:eastAsia="仿宋" w:cs="仿宋"/>
                <w:sz w:val="24"/>
                <w:szCs w:val="24"/>
              </w:rPr>
            </w:pPr>
            <w:r>
              <w:rPr>
                <w:rFonts w:hint="eastAsia" w:ascii="仿宋" w:hAnsi="仿宋" w:eastAsia="仿宋" w:cs="仿宋"/>
                <w:sz w:val="24"/>
                <w:szCs w:val="24"/>
              </w:rPr>
              <w:t>农机展示中心</w:t>
            </w:r>
          </w:p>
        </w:tc>
        <w:tc>
          <w:tcPr>
            <w:tcW w:w="3615" w:type="dxa"/>
            <w:vAlign w:val="center"/>
          </w:tcPr>
          <w:p w14:paraId="0A231C77">
            <w:pPr>
              <w:jc w:val="center"/>
              <w:rPr>
                <w:rFonts w:hint="eastAsia" w:ascii="仿宋" w:hAnsi="仿宋" w:eastAsia="仿宋" w:cs="仿宋"/>
                <w:sz w:val="24"/>
                <w:szCs w:val="24"/>
              </w:rPr>
            </w:pPr>
            <w:r>
              <w:rPr>
                <w:rFonts w:hint="eastAsia" w:ascii="仿宋" w:hAnsi="仿宋" w:eastAsia="仿宋" w:cs="仿宋"/>
                <w:sz w:val="24"/>
                <w:szCs w:val="24"/>
              </w:rPr>
              <w:t>点位利旧</w:t>
            </w:r>
          </w:p>
        </w:tc>
        <w:tc>
          <w:tcPr>
            <w:tcW w:w="3286" w:type="dxa"/>
            <w:vMerge w:val="continue"/>
            <w:vAlign w:val="center"/>
          </w:tcPr>
          <w:p w14:paraId="36DE28BC">
            <w:pPr>
              <w:jc w:val="center"/>
              <w:rPr>
                <w:rFonts w:hint="eastAsia" w:ascii="仿宋" w:hAnsi="仿宋" w:eastAsia="仿宋" w:cs="仿宋"/>
                <w:sz w:val="24"/>
                <w:szCs w:val="24"/>
              </w:rPr>
            </w:pPr>
          </w:p>
        </w:tc>
      </w:tr>
      <w:tr w14:paraId="1093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3A96CC3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05F1294C">
            <w:pPr>
              <w:jc w:val="center"/>
              <w:rPr>
                <w:rFonts w:hint="eastAsia" w:ascii="仿宋" w:hAnsi="仿宋" w:eastAsia="仿宋" w:cs="仿宋"/>
                <w:sz w:val="24"/>
                <w:szCs w:val="24"/>
              </w:rPr>
            </w:pPr>
            <w:r>
              <w:rPr>
                <w:rFonts w:hint="eastAsia" w:ascii="仿宋" w:hAnsi="仿宋" w:eastAsia="仿宋" w:cs="仿宋"/>
                <w:sz w:val="24"/>
                <w:szCs w:val="24"/>
              </w:rPr>
              <w:t>研发教学楼</w:t>
            </w:r>
          </w:p>
        </w:tc>
        <w:tc>
          <w:tcPr>
            <w:tcW w:w="3615" w:type="dxa"/>
            <w:vAlign w:val="center"/>
          </w:tcPr>
          <w:p w14:paraId="72C5EB3D">
            <w:pPr>
              <w:jc w:val="center"/>
              <w:rPr>
                <w:rFonts w:hint="eastAsia" w:ascii="仿宋" w:hAnsi="仿宋" w:eastAsia="仿宋" w:cs="仿宋"/>
                <w:sz w:val="24"/>
                <w:szCs w:val="24"/>
              </w:rPr>
            </w:pPr>
            <w:r>
              <w:rPr>
                <w:rFonts w:hint="eastAsia" w:ascii="仿宋" w:hAnsi="仿宋" w:eastAsia="仿宋" w:cs="仿宋"/>
                <w:sz w:val="24"/>
                <w:szCs w:val="24"/>
              </w:rPr>
              <w:t>点位利旧</w:t>
            </w:r>
          </w:p>
        </w:tc>
        <w:tc>
          <w:tcPr>
            <w:tcW w:w="3286" w:type="dxa"/>
            <w:vMerge w:val="continue"/>
            <w:vAlign w:val="center"/>
          </w:tcPr>
          <w:p w14:paraId="26F4B8D7">
            <w:pPr>
              <w:jc w:val="center"/>
              <w:rPr>
                <w:rFonts w:hint="eastAsia" w:ascii="仿宋" w:hAnsi="仿宋" w:eastAsia="仿宋" w:cs="仿宋"/>
                <w:sz w:val="24"/>
                <w:szCs w:val="24"/>
              </w:rPr>
            </w:pPr>
          </w:p>
        </w:tc>
      </w:tr>
      <w:tr w14:paraId="1A6F1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610DE5E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935" w:type="dxa"/>
            <w:vAlign w:val="center"/>
          </w:tcPr>
          <w:p w14:paraId="62059CC5">
            <w:pPr>
              <w:jc w:val="center"/>
              <w:rPr>
                <w:rFonts w:hint="eastAsia" w:ascii="仿宋" w:hAnsi="仿宋" w:eastAsia="仿宋" w:cs="仿宋"/>
                <w:sz w:val="24"/>
                <w:szCs w:val="24"/>
              </w:rPr>
            </w:pPr>
            <w:r>
              <w:rPr>
                <w:rFonts w:hint="eastAsia" w:ascii="仿宋" w:hAnsi="仿宋" w:eastAsia="仿宋" w:cs="仿宋"/>
                <w:sz w:val="24"/>
                <w:szCs w:val="24"/>
              </w:rPr>
              <w:t>试验室办公区</w:t>
            </w:r>
          </w:p>
        </w:tc>
        <w:tc>
          <w:tcPr>
            <w:tcW w:w="3615" w:type="dxa"/>
            <w:vAlign w:val="center"/>
          </w:tcPr>
          <w:p w14:paraId="00F9BFD5">
            <w:pPr>
              <w:jc w:val="center"/>
              <w:rPr>
                <w:rFonts w:hint="eastAsia" w:ascii="仿宋" w:hAnsi="仿宋" w:eastAsia="仿宋" w:cs="仿宋"/>
                <w:sz w:val="24"/>
                <w:szCs w:val="24"/>
              </w:rPr>
            </w:pPr>
            <w:r>
              <w:rPr>
                <w:rFonts w:hint="eastAsia" w:ascii="仿宋" w:hAnsi="仿宋" w:eastAsia="仿宋" w:cs="仿宋"/>
                <w:sz w:val="24"/>
                <w:szCs w:val="24"/>
              </w:rPr>
              <w:t>覆盖8间办公室，2间会议室，4间宿舍</w:t>
            </w:r>
          </w:p>
        </w:tc>
        <w:tc>
          <w:tcPr>
            <w:tcW w:w="3286" w:type="dxa"/>
            <w:vMerge w:val="continue"/>
            <w:vAlign w:val="center"/>
          </w:tcPr>
          <w:p w14:paraId="7E2E3714">
            <w:pPr>
              <w:jc w:val="center"/>
              <w:rPr>
                <w:rFonts w:hint="eastAsia" w:ascii="仿宋" w:hAnsi="仿宋" w:eastAsia="仿宋" w:cs="仿宋"/>
                <w:sz w:val="24"/>
                <w:szCs w:val="24"/>
              </w:rPr>
            </w:pPr>
          </w:p>
        </w:tc>
      </w:tr>
      <w:tr w14:paraId="01130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CBE0CA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935" w:type="dxa"/>
            <w:vAlign w:val="center"/>
          </w:tcPr>
          <w:p w14:paraId="225682CD">
            <w:pPr>
              <w:jc w:val="center"/>
              <w:rPr>
                <w:rFonts w:hint="eastAsia" w:ascii="仿宋" w:hAnsi="仿宋" w:eastAsia="仿宋" w:cs="仿宋"/>
                <w:sz w:val="24"/>
                <w:szCs w:val="24"/>
              </w:rPr>
            </w:pPr>
            <w:r>
              <w:rPr>
                <w:rFonts w:hint="eastAsia" w:ascii="仿宋" w:hAnsi="仿宋" w:eastAsia="仿宋" w:cs="仿宋"/>
                <w:sz w:val="24"/>
                <w:szCs w:val="24"/>
              </w:rPr>
              <w:t>动力机械试验室</w:t>
            </w:r>
          </w:p>
        </w:tc>
        <w:tc>
          <w:tcPr>
            <w:tcW w:w="3615" w:type="dxa"/>
            <w:vAlign w:val="center"/>
          </w:tcPr>
          <w:p w14:paraId="248E811B">
            <w:pPr>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286" w:type="dxa"/>
            <w:vMerge w:val="continue"/>
            <w:vAlign w:val="center"/>
          </w:tcPr>
          <w:p w14:paraId="14DD5795">
            <w:pPr>
              <w:jc w:val="center"/>
              <w:rPr>
                <w:rFonts w:hint="eastAsia" w:ascii="仿宋" w:hAnsi="仿宋" w:eastAsia="仿宋" w:cs="仿宋"/>
                <w:sz w:val="24"/>
                <w:szCs w:val="24"/>
              </w:rPr>
            </w:pPr>
          </w:p>
        </w:tc>
      </w:tr>
      <w:tr w14:paraId="2508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79FC78F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935" w:type="dxa"/>
            <w:vAlign w:val="center"/>
          </w:tcPr>
          <w:p w14:paraId="2F684789">
            <w:pPr>
              <w:jc w:val="center"/>
              <w:rPr>
                <w:rFonts w:hint="eastAsia" w:ascii="仿宋" w:hAnsi="仿宋" w:eastAsia="仿宋" w:cs="仿宋"/>
                <w:sz w:val="24"/>
                <w:szCs w:val="24"/>
              </w:rPr>
            </w:pPr>
            <w:r>
              <w:rPr>
                <w:rFonts w:hint="eastAsia" w:ascii="仿宋" w:hAnsi="仿宋" w:eastAsia="仿宋" w:cs="仿宋"/>
                <w:sz w:val="24"/>
                <w:szCs w:val="24"/>
              </w:rPr>
              <w:t>渔业与灌溉机械</w:t>
            </w:r>
          </w:p>
          <w:p w14:paraId="358F593E">
            <w:pPr>
              <w:jc w:val="center"/>
              <w:rPr>
                <w:rFonts w:hint="eastAsia" w:ascii="仿宋" w:hAnsi="仿宋" w:eastAsia="仿宋" w:cs="仿宋"/>
                <w:sz w:val="24"/>
                <w:szCs w:val="24"/>
              </w:rPr>
            </w:pPr>
            <w:r>
              <w:rPr>
                <w:rFonts w:hint="eastAsia" w:ascii="仿宋" w:hAnsi="仿宋" w:eastAsia="仿宋" w:cs="仿宋"/>
                <w:sz w:val="24"/>
                <w:szCs w:val="24"/>
              </w:rPr>
              <w:t>试验室</w:t>
            </w:r>
          </w:p>
        </w:tc>
        <w:tc>
          <w:tcPr>
            <w:tcW w:w="3615" w:type="dxa"/>
            <w:vAlign w:val="center"/>
          </w:tcPr>
          <w:p w14:paraId="45734BF6">
            <w:pPr>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286" w:type="dxa"/>
            <w:vMerge w:val="continue"/>
            <w:vAlign w:val="center"/>
          </w:tcPr>
          <w:p w14:paraId="418F6F82">
            <w:pPr>
              <w:jc w:val="center"/>
              <w:rPr>
                <w:rFonts w:hint="eastAsia" w:ascii="仿宋" w:hAnsi="仿宋" w:eastAsia="仿宋" w:cs="仿宋"/>
                <w:sz w:val="24"/>
                <w:szCs w:val="24"/>
              </w:rPr>
            </w:pPr>
          </w:p>
        </w:tc>
      </w:tr>
      <w:tr w14:paraId="5ED6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1A272AC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935" w:type="dxa"/>
            <w:vAlign w:val="center"/>
          </w:tcPr>
          <w:p w14:paraId="6759DEC5">
            <w:pPr>
              <w:jc w:val="center"/>
              <w:rPr>
                <w:rFonts w:hint="eastAsia" w:ascii="仿宋" w:hAnsi="仿宋" w:eastAsia="仿宋" w:cs="仿宋"/>
                <w:sz w:val="24"/>
                <w:szCs w:val="24"/>
              </w:rPr>
            </w:pPr>
            <w:r>
              <w:rPr>
                <w:rFonts w:hint="eastAsia" w:ascii="仿宋" w:hAnsi="仿宋" w:eastAsia="仿宋" w:cs="仿宋"/>
                <w:sz w:val="24"/>
                <w:szCs w:val="24"/>
              </w:rPr>
              <w:t>智能农业机械装备试验室</w:t>
            </w:r>
          </w:p>
        </w:tc>
        <w:tc>
          <w:tcPr>
            <w:tcW w:w="3615" w:type="dxa"/>
            <w:vAlign w:val="center"/>
          </w:tcPr>
          <w:p w14:paraId="36B5B0B6">
            <w:pPr>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286" w:type="dxa"/>
            <w:vMerge w:val="continue"/>
            <w:vAlign w:val="center"/>
          </w:tcPr>
          <w:p w14:paraId="3DFE8E9A">
            <w:pPr>
              <w:jc w:val="center"/>
              <w:rPr>
                <w:rFonts w:hint="eastAsia" w:ascii="仿宋" w:hAnsi="仿宋" w:eastAsia="仿宋" w:cs="仿宋"/>
                <w:sz w:val="24"/>
                <w:szCs w:val="24"/>
              </w:rPr>
            </w:pPr>
          </w:p>
        </w:tc>
      </w:tr>
      <w:tr w14:paraId="4E0B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vAlign w:val="center"/>
          </w:tcPr>
          <w:p w14:paraId="14F355A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935" w:type="dxa"/>
            <w:vAlign w:val="center"/>
          </w:tcPr>
          <w:p w14:paraId="6BFF4217">
            <w:pPr>
              <w:jc w:val="center"/>
              <w:rPr>
                <w:rFonts w:hint="eastAsia" w:ascii="仿宋" w:hAnsi="仿宋" w:eastAsia="仿宋" w:cs="仿宋"/>
                <w:sz w:val="24"/>
                <w:szCs w:val="24"/>
              </w:rPr>
            </w:pPr>
            <w:r>
              <w:rPr>
                <w:rFonts w:hint="eastAsia" w:ascii="仿宋" w:hAnsi="仿宋" w:eastAsia="仿宋" w:cs="仿宋"/>
                <w:sz w:val="24"/>
                <w:szCs w:val="24"/>
              </w:rPr>
              <w:t>综合试验室</w:t>
            </w:r>
          </w:p>
        </w:tc>
        <w:tc>
          <w:tcPr>
            <w:tcW w:w="3615" w:type="dxa"/>
            <w:vAlign w:val="center"/>
          </w:tcPr>
          <w:p w14:paraId="532874D7">
            <w:pPr>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286" w:type="dxa"/>
            <w:vMerge w:val="continue"/>
            <w:vAlign w:val="center"/>
          </w:tcPr>
          <w:p w14:paraId="5E249251">
            <w:pPr>
              <w:jc w:val="center"/>
              <w:rPr>
                <w:rFonts w:hint="eastAsia" w:ascii="仿宋" w:hAnsi="仿宋" w:eastAsia="仿宋" w:cs="仿宋"/>
                <w:sz w:val="24"/>
                <w:szCs w:val="24"/>
              </w:rPr>
            </w:pPr>
          </w:p>
        </w:tc>
      </w:tr>
    </w:tbl>
    <w:p w14:paraId="70E5FEA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（3）办公区无线信号覆盖</w:t>
      </w:r>
    </w:p>
    <w:p w14:paraId="0F09BC3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计划完成示范园园区内所有室内办公环境的无线覆盖，包括：①示范中心基地农机展示中心、研发教学楼；②鉴定站基地试验室办公区、动力机械试验室、渔业与灌溉机械试验室、智能农业机械装备试验室、综合试验室等区域，详情如下：</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1935"/>
        <w:gridCol w:w="3375"/>
        <w:gridCol w:w="3526"/>
      </w:tblGrid>
      <w:tr w14:paraId="605A0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6157F8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09300C5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375" w:type="dxa"/>
          </w:tcPr>
          <w:p w14:paraId="758F569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详情</w:t>
            </w:r>
          </w:p>
        </w:tc>
        <w:tc>
          <w:tcPr>
            <w:tcW w:w="3526" w:type="dxa"/>
          </w:tcPr>
          <w:p w14:paraId="7050B5D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44CA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E3CE6D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05EAC5E7">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园区公共管理区域</w:t>
            </w:r>
          </w:p>
        </w:tc>
        <w:tc>
          <w:tcPr>
            <w:tcW w:w="3375" w:type="dxa"/>
            <w:vAlign w:val="center"/>
          </w:tcPr>
          <w:p w14:paraId="3FDF6C7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覆盖园区门岗，室外试验场控制室，泵房共处室内区域</w:t>
            </w:r>
          </w:p>
        </w:tc>
        <w:tc>
          <w:tcPr>
            <w:tcW w:w="3526" w:type="dxa"/>
            <w:vMerge w:val="restart"/>
            <w:vAlign w:val="center"/>
          </w:tcPr>
          <w:p w14:paraId="1F159499">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1、控制器（含96路授权）1台；</w:t>
            </w:r>
          </w:p>
          <w:p w14:paraId="694657E4">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2、24口汇聚交换机2台；</w:t>
            </w:r>
          </w:p>
          <w:p w14:paraId="391ACCD0">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3、24口POE交换机5台；</w:t>
            </w:r>
          </w:p>
          <w:p w14:paraId="00DE9C02">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4、48口POE交换机1台；</w:t>
            </w:r>
          </w:p>
          <w:p w14:paraId="4EEEC60D">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5、AP（面板式）52件；</w:t>
            </w:r>
          </w:p>
          <w:p w14:paraId="366504E3">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6、AP（吸顶式）37件；</w:t>
            </w:r>
          </w:p>
          <w:p w14:paraId="630CC92A">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7、无线路由器3台；</w:t>
            </w:r>
          </w:p>
          <w:p w14:paraId="2FB43671">
            <w:pPr>
              <w:widowControl/>
              <w:wordWrap w:val="0"/>
              <w:spacing w:line="0" w:lineRule="atLeast"/>
              <w:rPr>
                <w:rFonts w:hint="eastAsia" w:ascii="仿宋" w:hAnsi="仿宋" w:eastAsia="仿宋" w:cs="仿宋"/>
                <w:sz w:val="24"/>
                <w:szCs w:val="24"/>
              </w:rPr>
            </w:pPr>
            <w:r>
              <w:rPr>
                <w:rFonts w:hint="eastAsia" w:ascii="仿宋" w:hAnsi="仿宋" w:eastAsia="仿宋" w:cs="仿宋"/>
                <w:sz w:val="24"/>
                <w:szCs w:val="24"/>
              </w:rPr>
              <w:t>8、含全部配件、辅材及人工</w:t>
            </w:r>
          </w:p>
        </w:tc>
      </w:tr>
      <w:tr w14:paraId="2017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1D1046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5866F101">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农机展示中心</w:t>
            </w:r>
          </w:p>
        </w:tc>
        <w:tc>
          <w:tcPr>
            <w:tcW w:w="3375" w:type="dxa"/>
            <w:vAlign w:val="center"/>
          </w:tcPr>
          <w:p w14:paraId="1B620F21">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覆盖办公室、会议室及展厅</w:t>
            </w:r>
          </w:p>
        </w:tc>
        <w:tc>
          <w:tcPr>
            <w:tcW w:w="3526" w:type="dxa"/>
            <w:vMerge w:val="continue"/>
            <w:vAlign w:val="center"/>
          </w:tcPr>
          <w:p w14:paraId="2E3D426E">
            <w:pPr>
              <w:widowControl/>
              <w:wordWrap w:val="0"/>
              <w:spacing w:line="0" w:lineRule="atLeast"/>
              <w:jc w:val="center"/>
              <w:rPr>
                <w:rFonts w:hint="eastAsia" w:ascii="仿宋" w:hAnsi="仿宋" w:eastAsia="仿宋" w:cs="仿宋"/>
                <w:sz w:val="24"/>
                <w:szCs w:val="24"/>
              </w:rPr>
            </w:pPr>
          </w:p>
        </w:tc>
      </w:tr>
      <w:tr w14:paraId="67BA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1F0D4B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2BF9CCB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研发教学楼</w:t>
            </w:r>
          </w:p>
        </w:tc>
        <w:tc>
          <w:tcPr>
            <w:tcW w:w="3375" w:type="dxa"/>
            <w:vAlign w:val="center"/>
          </w:tcPr>
          <w:p w14:paraId="345B37C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覆盖20间教室及研发教学楼操作内部区域</w:t>
            </w:r>
          </w:p>
        </w:tc>
        <w:tc>
          <w:tcPr>
            <w:tcW w:w="3526" w:type="dxa"/>
            <w:vMerge w:val="continue"/>
            <w:vAlign w:val="center"/>
          </w:tcPr>
          <w:p w14:paraId="2BA9EDAB">
            <w:pPr>
              <w:widowControl/>
              <w:wordWrap w:val="0"/>
              <w:spacing w:line="0" w:lineRule="atLeast"/>
              <w:jc w:val="center"/>
              <w:rPr>
                <w:rFonts w:hint="eastAsia" w:ascii="仿宋" w:hAnsi="仿宋" w:eastAsia="仿宋" w:cs="仿宋"/>
                <w:sz w:val="24"/>
                <w:szCs w:val="24"/>
              </w:rPr>
            </w:pPr>
          </w:p>
        </w:tc>
      </w:tr>
      <w:tr w14:paraId="6E9A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F0BDD0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935" w:type="dxa"/>
            <w:vAlign w:val="center"/>
          </w:tcPr>
          <w:p w14:paraId="4AFACB6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试验室办公区</w:t>
            </w:r>
          </w:p>
        </w:tc>
        <w:tc>
          <w:tcPr>
            <w:tcW w:w="3375" w:type="dxa"/>
            <w:vAlign w:val="center"/>
          </w:tcPr>
          <w:p w14:paraId="0A21CC8A">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覆盖8间办公室、4间宿舍、2间大会议室</w:t>
            </w:r>
          </w:p>
        </w:tc>
        <w:tc>
          <w:tcPr>
            <w:tcW w:w="3526" w:type="dxa"/>
            <w:vMerge w:val="continue"/>
            <w:vAlign w:val="center"/>
          </w:tcPr>
          <w:p w14:paraId="4881E631">
            <w:pPr>
              <w:widowControl/>
              <w:wordWrap w:val="0"/>
              <w:spacing w:line="0" w:lineRule="atLeast"/>
              <w:jc w:val="center"/>
              <w:rPr>
                <w:rFonts w:hint="eastAsia" w:ascii="仿宋" w:hAnsi="仿宋" w:eastAsia="仿宋" w:cs="仿宋"/>
                <w:sz w:val="24"/>
                <w:szCs w:val="24"/>
              </w:rPr>
            </w:pPr>
          </w:p>
        </w:tc>
      </w:tr>
      <w:tr w14:paraId="1DEA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915940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1935" w:type="dxa"/>
            <w:vAlign w:val="center"/>
          </w:tcPr>
          <w:p w14:paraId="3ADE0D7F">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动力机械试验室</w:t>
            </w:r>
          </w:p>
        </w:tc>
        <w:tc>
          <w:tcPr>
            <w:tcW w:w="3375" w:type="dxa"/>
            <w:vAlign w:val="center"/>
          </w:tcPr>
          <w:p w14:paraId="36D90D99">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526" w:type="dxa"/>
            <w:vMerge w:val="continue"/>
            <w:vAlign w:val="center"/>
          </w:tcPr>
          <w:p w14:paraId="727BE57C">
            <w:pPr>
              <w:widowControl/>
              <w:wordWrap w:val="0"/>
              <w:spacing w:line="0" w:lineRule="atLeast"/>
              <w:jc w:val="center"/>
              <w:rPr>
                <w:rFonts w:hint="eastAsia" w:ascii="仿宋" w:hAnsi="仿宋" w:eastAsia="仿宋" w:cs="仿宋"/>
                <w:sz w:val="24"/>
                <w:szCs w:val="24"/>
              </w:rPr>
            </w:pPr>
          </w:p>
        </w:tc>
      </w:tr>
      <w:tr w14:paraId="7BCA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D6C00A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1935" w:type="dxa"/>
            <w:vAlign w:val="center"/>
          </w:tcPr>
          <w:p w14:paraId="055078D9">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渔业与灌溉机械</w:t>
            </w:r>
          </w:p>
          <w:p w14:paraId="7FB9FDCB">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试验室</w:t>
            </w:r>
          </w:p>
        </w:tc>
        <w:tc>
          <w:tcPr>
            <w:tcW w:w="3375" w:type="dxa"/>
            <w:vAlign w:val="center"/>
          </w:tcPr>
          <w:p w14:paraId="1A47EF38">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526" w:type="dxa"/>
            <w:vMerge w:val="continue"/>
            <w:vAlign w:val="center"/>
          </w:tcPr>
          <w:p w14:paraId="4C850A1F">
            <w:pPr>
              <w:widowControl/>
              <w:wordWrap w:val="0"/>
              <w:spacing w:line="0" w:lineRule="atLeast"/>
              <w:jc w:val="center"/>
              <w:rPr>
                <w:rFonts w:hint="eastAsia" w:ascii="仿宋" w:hAnsi="仿宋" w:eastAsia="仿宋" w:cs="仿宋"/>
                <w:sz w:val="24"/>
                <w:szCs w:val="24"/>
              </w:rPr>
            </w:pPr>
          </w:p>
        </w:tc>
      </w:tr>
      <w:tr w14:paraId="693F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AA4B64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1935" w:type="dxa"/>
            <w:vAlign w:val="center"/>
          </w:tcPr>
          <w:p w14:paraId="1468E176">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智能农业机械装备试验室</w:t>
            </w:r>
          </w:p>
        </w:tc>
        <w:tc>
          <w:tcPr>
            <w:tcW w:w="3375" w:type="dxa"/>
            <w:vAlign w:val="center"/>
          </w:tcPr>
          <w:p w14:paraId="7D727C78">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526" w:type="dxa"/>
            <w:vMerge w:val="continue"/>
            <w:vAlign w:val="center"/>
          </w:tcPr>
          <w:p w14:paraId="012D3F80">
            <w:pPr>
              <w:widowControl/>
              <w:wordWrap w:val="0"/>
              <w:spacing w:line="0" w:lineRule="atLeast"/>
              <w:jc w:val="center"/>
              <w:rPr>
                <w:rFonts w:hint="eastAsia" w:ascii="仿宋" w:hAnsi="仿宋" w:eastAsia="仿宋" w:cs="仿宋"/>
                <w:sz w:val="24"/>
                <w:szCs w:val="24"/>
              </w:rPr>
            </w:pPr>
          </w:p>
        </w:tc>
      </w:tr>
      <w:tr w14:paraId="50B3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DF212F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1935" w:type="dxa"/>
            <w:vAlign w:val="center"/>
          </w:tcPr>
          <w:p w14:paraId="2DFBAA52">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综合试验室</w:t>
            </w:r>
          </w:p>
        </w:tc>
        <w:tc>
          <w:tcPr>
            <w:tcW w:w="3375" w:type="dxa"/>
            <w:vAlign w:val="center"/>
          </w:tcPr>
          <w:p w14:paraId="4C05DBEC">
            <w:pPr>
              <w:widowControl/>
              <w:wordWrap w:val="0"/>
              <w:spacing w:line="0" w:lineRule="atLeast"/>
              <w:jc w:val="center"/>
              <w:rPr>
                <w:rFonts w:hint="eastAsia" w:ascii="仿宋" w:hAnsi="仿宋" w:eastAsia="仿宋" w:cs="仿宋"/>
                <w:sz w:val="24"/>
                <w:szCs w:val="24"/>
              </w:rPr>
            </w:pPr>
            <w:r>
              <w:rPr>
                <w:rFonts w:hint="eastAsia" w:ascii="仿宋" w:hAnsi="仿宋" w:eastAsia="仿宋" w:cs="仿宋"/>
                <w:sz w:val="24"/>
                <w:szCs w:val="24"/>
              </w:rPr>
              <w:t>覆盖8间办公室及内部试验区</w:t>
            </w:r>
          </w:p>
        </w:tc>
        <w:tc>
          <w:tcPr>
            <w:tcW w:w="3526" w:type="dxa"/>
            <w:vMerge w:val="continue"/>
            <w:vAlign w:val="center"/>
          </w:tcPr>
          <w:p w14:paraId="478D1391">
            <w:pPr>
              <w:widowControl/>
              <w:wordWrap w:val="0"/>
              <w:spacing w:line="0" w:lineRule="atLeast"/>
              <w:jc w:val="center"/>
              <w:rPr>
                <w:rFonts w:hint="eastAsia" w:ascii="仿宋" w:hAnsi="仿宋" w:eastAsia="仿宋" w:cs="仿宋"/>
                <w:sz w:val="24"/>
                <w:szCs w:val="24"/>
              </w:rPr>
            </w:pPr>
          </w:p>
        </w:tc>
      </w:tr>
    </w:tbl>
    <w:p w14:paraId="11D0EF24">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（四）扬州家禽所网络优化</w:t>
      </w:r>
    </w:p>
    <w:p w14:paraId="4EDE3D6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在不改变办公区原有网络结构的基础上，由办公区原有互联网局域网中剥离出一套办公内网实现与电子政务外网的互通，在充分利旧的基础上，对部分网络资源点位不足的办公室网络点位进行补充，同时增加政务网网络接入设备，详情如下：</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1935"/>
        <w:gridCol w:w="3375"/>
        <w:gridCol w:w="3526"/>
      </w:tblGrid>
      <w:tr w14:paraId="67C2F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2D2BF4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35" w:type="dxa"/>
          </w:tcPr>
          <w:p w14:paraId="0B51EBD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实施区域</w:t>
            </w:r>
          </w:p>
        </w:tc>
        <w:tc>
          <w:tcPr>
            <w:tcW w:w="3375" w:type="dxa"/>
          </w:tcPr>
          <w:p w14:paraId="24C54A1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详情</w:t>
            </w:r>
          </w:p>
        </w:tc>
        <w:tc>
          <w:tcPr>
            <w:tcW w:w="3526" w:type="dxa"/>
          </w:tcPr>
          <w:p w14:paraId="610C39B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基本需求</w:t>
            </w:r>
          </w:p>
        </w:tc>
      </w:tr>
      <w:tr w14:paraId="5FDB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2F6173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935" w:type="dxa"/>
            <w:vAlign w:val="center"/>
          </w:tcPr>
          <w:p w14:paraId="02C6DFC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一层办公区</w:t>
            </w:r>
          </w:p>
        </w:tc>
        <w:tc>
          <w:tcPr>
            <w:tcW w:w="3375" w:type="dxa"/>
            <w:vAlign w:val="center"/>
          </w:tcPr>
          <w:p w14:paraId="4F58EB4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新增8点位</w:t>
            </w:r>
          </w:p>
        </w:tc>
        <w:tc>
          <w:tcPr>
            <w:tcW w:w="3526" w:type="dxa"/>
            <w:vMerge w:val="restart"/>
            <w:vAlign w:val="center"/>
          </w:tcPr>
          <w:p w14:paraId="3B340D1F">
            <w:pPr>
              <w:spacing w:line="0" w:lineRule="atLeast"/>
              <w:jc w:val="left"/>
              <w:rPr>
                <w:rFonts w:hint="eastAsia" w:ascii="仿宋" w:hAnsi="仿宋" w:eastAsia="仿宋" w:cs="仿宋"/>
                <w:sz w:val="24"/>
                <w:szCs w:val="24"/>
              </w:rPr>
            </w:pPr>
            <w:r>
              <w:rPr>
                <w:rFonts w:hint="eastAsia" w:ascii="仿宋" w:hAnsi="仿宋" w:eastAsia="仿宋" w:cs="仿宋"/>
                <w:sz w:val="24"/>
                <w:szCs w:val="24"/>
              </w:rPr>
              <w:t>1、24口接入交换机4台；</w:t>
            </w:r>
          </w:p>
          <w:p w14:paraId="2E32EBB9">
            <w:pPr>
              <w:spacing w:line="0" w:lineRule="atLeast"/>
              <w:jc w:val="left"/>
              <w:rPr>
                <w:rFonts w:hint="eastAsia" w:ascii="仿宋" w:hAnsi="仿宋" w:eastAsia="仿宋" w:cs="仿宋"/>
                <w:sz w:val="24"/>
                <w:szCs w:val="24"/>
              </w:rPr>
            </w:pPr>
            <w:r>
              <w:rPr>
                <w:rFonts w:hint="eastAsia" w:ascii="仿宋" w:hAnsi="仿宋" w:eastAsia="仿宋" w:cs="仿宋"/>
                <w:sz w:val="24"/>
                <w:szCs w:val="24"/>
              </w:rPr>
              <w:t>2、48口汇聚交换机1台；</w:t>
            </w:r>
          </w:p>
          <w:p w14:paraId="7E8010A0">
            <w:pPr>
              <w:spacing w:line="0" w:lineRule="atLeast"/>
              <w:jc w:val="left"/>
              <w:rPr>
                <w:rFonts w:hint="eastAsia" w:ascii="仿宋" w:hAnsi="仿宋" w:eastAsia="仿宋" w:cs="仿宋"/>
                <w:sz w:val="24"/>
                <w:szCs w:val="24"/>
              </w:rPr>
            </w:pPr>
            <w:r>
              <w:rPr>
                <w:rFonts w:hint="eastAsia" w:ascii="仿宋" w:hAnsi="仿宋" w:eastAsia="仿宋" w:cs="仿宋"/>
                <w:sz w:val="24"/>
                <w:szCs w:val="24"/>
              </w:rPr>
              <w:t>3、含全部配件、辅材及人工</w:t>
            </w:r>
          </w:p>
        </w:tc>
      </w:tr>
      <w:tr w14:paraId="01E4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8DA299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935" w:type="dxa"/>
            <w:vAlign w:val="center"/>
          </w:tcPr>
          <w:p w14:paraId="79035B9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二层办公区</w:t>
            </w:r>
          </w:p>
        </w:tc>
        <w:tc>
          <w:tcPr>
            <w:tcW w:w="3375" w:type="dxa"/>
            <w:vAlign w:val="center"/>
          </w:tcPr>
          <w:p w14:paraId="52EE8A4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新增8点位</w:t>
            </w:r>
          </w:p>
        </w:tc>
        <w:tc>
          <w:tcPr>
            <w:tcW w:w="3526" w:type="dxa"/>
            <w:vMerge w:val="continue"/>
            <w:vAlign w:val="center"/>
          </w:tcPr>
          <w:p w14:paraId="059CF4BC">
            <w:pPr>
              <w:spacing w:line="0" w:lineRule="atLeast"/>
              <w:jc w:val="center"/>
              <w:rPr>
                <w:rFonts w:hint="eastAsia" w:ascii="仿宋" w:hAnsi="仿宋" w:eastAsia="仿宋" w:cs="仿宋"/>
                <w:sz w:val="24"/>
                <w:szCs w:val="24"/>
              </w:rPr>
            </w:pPr>
          </w:p>
        </w:tc>
      </w:tr>
      <w:tr w14:paraId="432A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6" w:type="dxa"/>
            <w:vAlign w:val="center"/>
          </w:tcPr>
          <w:p w14:paraId="4A80312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935" w:type="dxa"/>
            <w:vAlign w:val="center"/>
          </w:tcPr>
          <w:p w14:paraId="6FD4893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三层办公区</w:t>
            </w:r>
          </w:p>
        </w:tc>
        <w:tc>
          <w:tcPr>
            <w:tcW w:w="3375" w:type="dxa"/>
            <w:vAlign w:val="center"/>
          </w:tcPr>
          <w:p w14:paraId="5264A45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新增8点位</w:t>
            </w:r>
          </w:p>
        </w:tc>
        <w:tc>
          <w:tcPr>
            <w:tcW w:w="3526" w:type="dxa"/>
            <w:vMerge w:val="continue"/>
            <w:vAlign w:val="center"/>
          </w:tcPr>
          <w:p w14:paraId="5197B677">
            <w:pPr>
              <w:spacing w:line="0" w:lineRule="atLeast"/>
              <w:jc w:val="center"/>
              <w:rPr>
                <w:rFonts w:hint="eastAsia" w:ascii="仿宋" w:hAnsi="仿宋" w:eastAsia="仿宋" w:cs="仿宋"/>
                <w:sz w:val="24"/>
                <w:szCs w:val="24"/>
              </w:rPr>
            </w:pPr>
          </w:p>
        </w:tc>
      </w:tr>
    </w:tbl>
    <w:p w14:paraId="7796BC47">
      <w:pPr>
        <w:numPr>
          <w:ilvl w:val="0"/>
          <w:numId w:val="7"/>
        </w:num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设施性能需求</w:t>
      </w:r>
    </w:p>
    <w:p w14:paraId="0F81F05D">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核心交换机</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704F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7F7B203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7C84D66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48A2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717BD6D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3348D18C">
            <w:pPr>
              <w:spacing w:line="0" w:lineRule="atLeast"/>
              <w:jc w:val="left"/>
              <w:rPr>
                <w:rFonts w:hint="eastAsia" w:ascii="仿宋" w:hAnsi="仿宋" w:eastAsia="仿宋" w:cs="仿宋"/>
                <w:sz w:val="24"/>
                <w:szCs w:val="24"/>
              </w:rPr>
            </w:pPr>
            <w:r>
              <w:rPr>
                <w:rFonts w:hint="eastAsia" w:ascii="仿宋" w:hAnsi="仿宋" w:eastAsia="仿宋" w:cs="仿宋"/>
                <w:sz w:val="24"/>
                <w:szCs w:val="24"/>
              </w:rPr>
              <w:t>▲硬件性能：交换容量≥758Gbps/7.58Tbps ，包转发率≥171Mpps/237Mpps。</w:t>
            </w:r>
          </w:p>
        </w:tc>
      </w:tr>
      <w:tr w14:paraId="063B1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7B88330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1AF9BFBA">
            <w:pPr>
              <w:spacing w:line="0" w:lineRule="atLeast"/>
              <w:jc w:val="left"/>
              <w:rPr>
                <w:rFonts w:hint="eastAsia" w:ascii="仿宋" w:hAnsi="仿宋" w:eastAsia="仿宋" w:cs="仿宋"/>
                <w:sz w:val="24"/>
                <w:szCs w:val="24"/>
              </w:rPr>
            </w:pPr>
            <w:r>
              <w:rPr>
                <w:rFonts w:hint="eastAsia" w:ascii="仿宋" w:hAnsi="仿宋" w:eastAsia="仿宋" w:cs="仿宋"/>
                <w:sz w:val="24"/>
                <w:szCs w:val="24"/>
              </w:rPr>
              <w:t>单台配置：端口类型≥24个100/1000BASE-X SFP光口，≥8个10/100/1000BASE-T电口，≥4个1/10G Base-X SFP+光口，≥1个Console口,配置12个千兆单模光模块。</w:t>
            </w:r>
          </w:p>
        </w:tc>
      </w:tr>
      <w:tr w14:paraId="5FE94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53C0CCA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1C81C914">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▲支持环境工作温度-5~45℃，工作相对湿度5～95%RH，无冷凝，提供官网截图。</w:t>
            </w:r>
          </w:p>
        </w:tc>
      </w:tr>
      <w:tr w14:paraId="6F26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484C4D2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014F78A8">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支持端口聚合、静态/动态聚合、跨设备链路聚合，提供官网截图。</w:t>
            </w:r>
          </w:p>
        </w:tc>
      </w:tr>
      <w:tr w14:paraId="2D31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2844AD6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439318A5">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支持802.3x流量控制(全双工)，支持未知单播/多播/广播抑制，提供官网截图。</w:t>
            </w:r>
          </w:p>
        </w:tc>
      </w:tr>
      <w:tr w14:paraId="0A22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7F80416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7AED8E98">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支持端口镜像、流镜像、远程镜像，提供官网截图。</w:t>
            </w:r>
          </w:p>
        </w:tc>
      </w:tr>
      <w:tr w14:paraId="1FD2E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4F53013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090FC806">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▲支持MAC地址学习数目限制，MAC地址深度最深≥32K，提供官网截图。</w:t>
            </w:r>
          </w:p>
        </w:tc>
      </w:tr>
      <w:tr w14:paraId="3755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090AF1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3DF88E7D">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 SPAN/RSPAN 镜像和多个镜像观察端口，支持Loopback-detection端口环回检测，提供官网截图。</w:t>
            </w:r>
          </w:p>
        </w:tc>
      </w:tr>
      <w:tr w14:paraId="2F21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55CD231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03EEAD5F">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支持智能弹性架构的堆叠，持集群或堆叠多虚一技术，实现单一界面管理多台设备，堆叠台数≥9台，并提供官网截图。</w:t>
            </w:r>
          </w:p>
        </w:tc>
      </w:tr>
      <w:tr w14:paraId="62D3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11E3112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079DBF3D">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支持LACP/STP/RSTP/MSTP/PVST/Smart Link/RRPP快速环网保护机制等保护协议，提高容错能力，提升网络稳定性。</w:t>
            </w:r>
          </w:p>
        </w:tc>
      </w:tr>
      <w:tr w14:paraId="15142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76CC9A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04D25B4E">
            <w:pPr>
              <w:widowControl/>
              <w:spacing w:line="0" w:lineRule="atLeast"/>
              <w:jc w:val="left"/>
              <w:rPr>
                <w:rFonts w:hint="eastAsia" w:ascii="仿宋" w:hAnsi="仿宋" w:eastAsia="仿宋" w:cs="仿宋"/>
                <w:sz w:val="24"/>
                <w:szCs w:val="24"/>
              </w:rPr>
            </w:pPr>
            <w:r>
              <w:rPr>
                <w:rFonts w:hint="eastAsia" w:ascii="仿宋" w:hAnsi="仿宋" w:eastAsia="仿宋" w:cs="仿宋"/>
                <w:sz w:val="24"/>
                <w:szCs w:val="24"/>
              </w:rPr>
              <w:t>提供工信部电信设备进网许可证证书复印件</w:t>
            </w:r>
          </w:p>
        </w:tc>
      </w:tr>
      <w:tr w14:paraId="5666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14:paraId="3648BFB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7862602F">
            <w:pPr>
              <w:spacing w:line="0" w:lineRule="atLeast"/>
              <w:jc w:val="left"/>
              <w:rPr>
                <w:rFonts w:hint="eastAsia" w:ascii="仿宋" w:hAnsi="仿宋" w:eastAsia="仿宋" w:cs="仿宋"/>
                <w:sz w:val="24"/>
                <w:szCs w:val="24"/>
              </w:rPr>
            </w:pPr>
            <w:r>
              <w:rPr>
                <w:rFonts w:hint="eastAsia" w:ascii="仿宋" w:hAnsi="仿宋" w:eastAsia="仿宋" w:cs="仿宋"/>
                <w:sz w:val="24"/>
                <w:szCs w:val="24"/>
              </w:rPr>
              <w:t>交换机支持同一品牌的智能管理平台统一运维管理，提供官网截图。</w:t>
            </w:r>
          </w:p>
        </w:tc>
      </w:tr>
    </w:tbl>
    <w:p w14:paraId="3AC36749">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流控设备</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1F68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893ECB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09617BD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486D5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C6BBC0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218C2D54">
            <w:pPr>
              <w:spacing w:line="0" w:lineRule="atLeast"/>
              <w:jc w:val="left"/>
              <w:rPr>
                <w:rFonts w:hint="eastAsia" w:ascii="仿宋" w:hAnsi="仿宋" w:eastAsia="仿宋" w:cs="仿宋"/>
                <w:sz w:val="24"/>
                <w:szCs w:val="24"/>
              </w:rPr>
            </w:pPr>
            <w:r>
              <w:rPr>
                <w:rFonts w:hint="eastAsia" w:ascii="仿宋" w:hAnsi="仿宋" w:eastAsia="仿宋" w:cs="仿宋"/>
                <w:sz w:val="24"/>
                <w:szCs w:val="24"/>
              </w:rPr>
              <w:t>▲标准化机架式设备，硬盘≥2T，内存≥16G，网络接口：千兆电口≥6个，USB口≥2个；吞吐量≥1Gbps</w:t>
            </w:r>
          </w:p>
        </w:tc>
      </w:tr>
      <w:tr w14:paraId="668F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80F36A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505C4513">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检测WEB攻击、异常访问、恶意文件攻击、可疑流量、远程控制、WEB后门访问、DGA域名请求、弱口令、拒绝服务攻击、隧道通信、暴力破解、挖矿、恶意工具利用、扫描行为、漏洞利用、邮件社工攻击、ARP欺骗、配置风险、网络异常、入站情报、行为分析等风险类型；</w:t>
            </w:r>
          </w:p>
        </w:tc>
      </w:tr>
      <w:tr w14:paraId="75A2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66C57E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6B5AB471">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▲支持IP、端口、SMB、Radmin、ICMP、ARP、传输层协议和漏洞扫描行为检测（提供第三方权威机构检测报告并加盖原厂公章）</w:t>
            </w:r>
          </w:p>
        </w:tc>
      </w:tr>
      <w:tr w14:paraId="5F51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BAC85A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3FDAFC25">
            <w:pPr>
              <w:spacing w:line="0" w:lineRule="atLeast"/>
              <w:jc w:val="left"/>
              <w:rPr>
                <w:rFonts w:hint="eastAsia" w:ascii="仿宋" w:hAnsi="仿宋" w:eastAsia="仿宋" w:cs="仿宋"/>
                <w:sz w:val="24"/>
                <w:szCs w:val="24"/>
              </w:rPr>
            </w:pPr>
            <w:r>
              <w:rPr>
                <w:rFonts w:hint="eastAsia" w:ascii="仿宋" w:hAnsi="仿宋" w:eastAsia="仿宋" w:cs="仿宋"/>
                <w:sz w:val="24"/>
                <w:szCs w:val="24"/>
              </w:rPr>
              <w:t>内置 4W + 弱密码字典库，并支持新增、导入、导出弱密码机器检测类型，实时检测流量中弱密码风险 ；</w:t>
            </w:r>
          </w:p>
        </w:tc>
      </w:tr>
      <w:tr w14:paraId="070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8F63FB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7B4A65C6">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▲支持根据 MAC与IP地址的绑定关系，分析网络中的 ARP 流量，判断 ARP 应答包中的IP和 MAC地址是否匹配（提供第三方权威机构检测报告并加盖原厂公章）</w:t>
            </w:r>
          </w:p>
        </w:tc>
      </w:tr>
      <w:tr w14:paraId="3EF58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2D9BE9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462753B5">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支持自定义启用/禁用暴力破解模型，自定义配置模型统计时间范围、登录次数、聚合维度、用户名检测机制等参数；</w:t>
            </w:r>
          </w:p>
        </w:tc>
      </w:tr>
      <w:tr w14:paraId="6423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6C3510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420CBCD7">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支持告警抑制功能，在重复攻击手段下能够减少相同告警数量，提高用户分析效率，可自行设置告警抑制周期、告警上限、抑制阈值、持续时间、启用维度（提供第三方权威机构检测报告并加盖原厂公章）</w:t>
            </w:r>
          </w:p>
        </w:tc>
      </w:tr>
      <w:tr w14:paraId="322E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4465AA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6CA8A2D8">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支持对AI模型检测出的加密流量相关的告警筛选统一展示，异常目的IP列表可展示目的IP、目的端口、证书状态、最近告警时间、告警数等信息；（提供功能截图证明并加盖原厂公章）</w:t>
            </w:r>
          </w:p>
        </w:tc>
      </w:tr>
      <w:tr w14:paraId="1500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29AB13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2AA178C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▲支持翻墙行为分析，可基于访问IP，追溯其关联的加密隧道标识，旨在识别潜在的违规外联行为，防范安全威胁；（提供功能截图证明并加盖原厂公章）</w:t>
            </w:r>
          </w:p>
        </w:tc>
      </w:tr>
      <w:tr w14:paraId="3983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24853F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77E74383">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支持对手动上传的PACP原始日志进行留存，可直接跳转至审计日志专项分析页面。且 支持配置HTTP日志存储BODY长度和日志存储策略，如源IP、源MAC、目的IP、目的MAC、协议、存储/过滤等。</w:t>
            </w:r>
          </w:p>
        </w:tc>
      </w:tr>
      <w:tr w14:paraId="18024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D9AA35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6C5D2B83">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支持UDP端口过滤配置，可配置指定端口的网络流量过滤，或过滤除以下端口外的其他端口；</w:t>
            </w:r>
          </w:p>
        </w:tc>
      </w:tr>
      <w:tr w14:paraId="0848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EB80F2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0EF53A85">
            <w:pPr>
              <w:spacing w:line="0" w:lineRule="atLeast"/>
              <w:jc w:val="left"/>
              <w:rPr>
                <w:rFonts w:hint="eastAsia" w:ascii="仿宋" w:hAnsi="仿宋" w:eastAsia="仿宋" w:cs="仿宋"/>
                <w:sz w:val="24"/>
                <w:szCs w:val="24"/>
              </w:rPr>
            </w:pPr>
            <w:r>
              <w:rPr>
                <w:rFonts w:hint="eastAsia" w:ascii="仿宋" w:hAnsi="仿宋" w:eastAsia="仿宋" w:cs="仿宋"/>
                <w:sz w:val="24"/>
                <w:szCs w:val="24"/>
              </w:rPr>
              <w:t>产品具备国家信息安全漏洞库（CNNVD）兼容性资质证书</w:t>
            </w:r>
          </w:p>
        </w:tc>
      </w:tr>
    </w:tbl>
    <w:p w14:paraId="7C8491C5">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汇聚交换机</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4EF80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CD1316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2E35CDC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1803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A6BF8B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23BF7A15">
            <w:pPr>
              <w:spacing w:line="0" w:lineRule="atLeast"/>
              <w:rPr>
                <w:rFonts w:hint="eastAsia" w:ascii="仿宋" w:hAnsi="仿宋" w:eastAsia="仿宋" w:cs="仿宋"/>
                <w:sz w:val="24"/>
                <w:szCs w:val="24"/>
              </w:rPr>
            </w:pPr>
            <w:r>
              <w:rPr>
                <w:rFonts w:hint="eastAsia" w:ascii="仿宋" w:hAnsi="仿宋" w:eastAsia="仿宋" w:cs="仿宋"/>
                <w:sz w:val="24"/>
                <w:szCs w:val="24"/>
              </w:rPr>
              <w:t>▲硬件性能：整机交换容量≥672Gbps；转发性能≥144Mpps（</w:t>
            </w:r>
          </w:p>
        </w:tc>
      </w:tr>
      <w:tr w14:paraId="63E5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C7A149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42EC5D8F">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单台端口：≥24个千兆电口，≥4个万兆SFP+口； </w:t>
            </w:r>
          </w:p>
        </w:tc>
      </w:tr>
      <w:tr w14:paraId="1D40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D0F466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2B2C4C8B">
            <w:pPr>
              <w:spacing w:line="0" w:lineRule="atLeast"/>
              <w:rPr>
                <w:rFonts w:hint="eastAsia" w:ascii="仿宋" w:hAnsi="仿宋" w:eastAsia="仿宋" w:cs="仿宋"/>
                <w:sz w:val="24"/>
                <w:szCs w:val="24"/>
              </w:rPr>
            </w:pPr>
            <w:r>
              <w:rPr>
                <w:rFonts w:hint="eastAsia" w:ascii="仿宋" w:hAnsi="仿宋" w:eastAsia="仿宋" w:cs="仿宋"/>
                <w:sz w:val="24"/>
                <w:szCs w:val="24"/>
              </w:rPr>
              <w:t>支持模块化双电源，本次实配一个电源;</w:t>
            </w:r>
          </w:p>
        </w:tc>
      </w:tr>
      <w:tr w14:paraId="7587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9C5780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5CAE3013">
            <w:pPr>
              <w:spacing w:line="0" w:lineRule="atLeast"/>
              <w:rPr>
                <w:rFonts w:hint="eastAsia" w:ascii="仿宋" w:hAnsi="仿宋" w:eastAsia="仿宋" w:cs="仿宋"/>
                <w:sz w:val="24"/>
                <w:szCs w:val="24"/>
              </w:rPr>
            </w:pPr>
            <w:r>
              <w:rPr>
                <w:rFonts w:hint="eastAsia" w:ascii="仿宋" w:hAnsi="仿宋" w:eastAsia="仿宋" w:cs="仿宋"/>
                <w:sz w:val="24"/>
                <w:szCs w:val="24"/>
              </w:rPr>
              <w:t>MAC地址表≥32K，IPv4路由表容量≥8K，整机最大ARP地址表≥4K；</w:t>
            </w:r>
          </w:p>
        </w:tc>
      </w:tr>
      <w:tr w14:paraId="260E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16E5B2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0BEE8BB8">
            <w:pPr>
              <w:spacing w:line="0" w:lineRule="atLeast"/>
              <w:rPr>
                <w:rFonts w:hint="eastAsia" w:ascii="仿宋" w:hAnsi="仿宋" w:eastAsia="仿宋" w:cs="仿宋"/>
                <w:sz w:val="24"/>
                <w:szCs w:val="24"/>
              </w:rPr>
            </w:pPr>
            <w:r>
              <w:rPr>
                <w:rFonts w:hint="eastAsia" w:ascii="仿宋" w:hAnsi="仿宋" w:eastAsia="仿宋" w:cs="仿宋"/>
                <w:sz w:val="24"/>
                <w:szCs w:val="24"/>
              </w:rPr>
              <w:t>实现CPU保护功能，能限制非法报文对CPU的攻击，保护交换机在各种环境下稳定工作；</w:t>
            </w:r>
          </w:p>
        </w:tc>
      </w:tr>
      <w:tr w14:paraId="25C7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80583C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522FB3EB">
            <w:pPr>
              <w:spacing w:line="0" w:lineRule="atLeast"/>
              <w:rPr>
                <w:rFonts w:hint="eastAsia" w:ascii="仿宋" w:hAnsi="仿宋" w:eastAsia="仿宋" w:cs="仿宋"/>
                <w:sz w:val="24"/>
                <w:szCs w:val="24"/>
              </w:rPr>
            </w:pPr>
            <w:r>
              <w:rPr>
                <w:rFonts w:hint="eastAsia" w:ascii="仿宋" w:hAnsi="仿宋" w:eastAsia="仿宋" w:cs="仿宋"/>
                <w:sz w:val="24"/>
                <w:szCs w:val="24"/>
              </w:rPr>
              <w:t>支持VRRP、OSPFv1/v2、OSPF v3、BGP、ISIS等增强三层路由协议，提供官网证明截图；</w:t>
            </w:r>
          </w:p>
        </w:tc>
      </w:tr>
      <w:tr w14:paraId="60188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CD46E9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30691FC8">
            <w:pPr>
              <w:spacing w:line="0" w:lineRule="atLeast"/>
              <w:rPr>
                <w:rFonts w:hint="eastAsia" w:ascii="仿宋" w:hAnsi="仿宋" w:eastAsia="仿宋" w:cs="仿宋"/>
                <w:sz w:val="24"/>
                <w:szCs w:val="24"/>
              </w:rPr>
            </w:pPr>
            <w:r>
              <w:rPr>
                <w:rFonts w:hint="eastAsia" w:ascii="仿宋" w:hAnsi="仿宋" w:eastAsia="仿宋" w:cs="仿宋"/>
                <w:sz w:val="24"/>
                <w:szCs w:val="24"/>
              </w:rPr>
              <w:t>支持RRPP，支持ERPS以太环保护协议，切换时间≤50ms，提供官网证明截图；</w:t>
            </w:r>
          </w:p>
        </w:tc>
      </w:tr>
      <w:tr w14:paraId="6711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CEE241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7945F3D1">
            <w:pPr>
              <w:spacing w:line="0" w:lineRule="atLeast"/>
              <w:jc w:val="left"/>
              <w:rPr>
                <w:rFonts w:hint="eastAsia" w:ascii="仿宋" w:hAnsi="仿宋" w:eastAsia="仿宋" w:cs="仿宋"/>
                <w:sz w:val="24"/>
                <w:szCs w:val="24"/>
              </w:rPr>
            </w:pPr>
            <w:r>
              <w:rPr>
                <w:rFonts w:hint="eastAsia" w:ascii="仿宋" w:hAnsi="仿宋" w:eastAsia="仿宋" w:cs="仿宋"/>
                <w:sz w:val="24"/>
                <w:szCs w:val="24"/>
              </w:rPr>
              <w:t>本次实配智能管理中心，支持图形化操作的方式实现对网络的统一运维及管理，提供官网证明截图；</w:t>
            </w:r>
          </w:p>
        </w:tc>
      </w:tr>
      <w:tr w14:paraId="51F81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BE23BC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71B7ECF3">
            <w:pPr>
              <w:spacing w:line="0" w:lineRule="atLeast"/>
              <w:rPr>
                <w:rFonts w:hint="eastAsia" w:ascii="仿宋" w:hAnsi="仿宋" w:eastAsia="仿宋" w:cs="仿宋"/>
                <w:sz w:val="24"/>
                <w:szCs w:val="24"/>
              </w:rPr>
            </w:pPr>
            <w:r>
              <w:rPr>
                <w:rFonts w:hint="eastAsia" w:ascii="仿宋" w:hAnsi="仿宋" w:eastAsia="仿宋" w:cs="仿宋"/>
                <w:sz w:val="24"/>
                <w:szCs w:val="24"/>
              </w:rPr>
              <w:t>提供进网许可证；</w:t>
            </w:r>
          </w:p>
        </w:tc>
      </w:tr>
    </w:tbl>
    <w:p w14:paraId="24B64A90">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接入交换机</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6760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FC1C30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10470CE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4B2F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0DE161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10D725FA">
            <w:pPr>
              <w:spacing w:line="0" w:lineRule="atLeast"/>
              <w:jc w:val="left"/>
              <w:rPr>
                <w:rFonts w:hint="eastAsia" w:ascii="仿宋" w:hAnsi="仿宋" w:eastAsia="仿宋" w:cs="仿宋"/>
                <w:sz w:val="24"/>
                <w:szCs w:val="24"/>
              </w:rPr>
            </w:pPr>
            <w:r>
              <w:rPr>
                <w:rFonts w:hint="eastAsia" w:ascii="仿宋" w:hAnsi="仿宋" w:eastAsia="仿宋" w:cs="仿宋"/>
                <w:sz w:val="24"/>
                <w:szCs w:val="24"/>
              </w:rPr>
              <w:t>▲交换容量≥336Gbps，包转发率48端口≥108Mpps；包转发率24端口≥96Mpps；</w:t>
            </w:r>
          </w:p>
        </w:tc>
      </w:tr>
      <w:tr w14:paraId="0948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CECEF8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19CF847F">
            <w:pPr>
              <w:spacing w:line="0" w:lineRule="atLeast"/>
              <w:jc w:val="left"/>
              <w:rPr>
                <w:rFonts w:hint="eastAsia" w:ascii="仿宋" w:hAnsi="仿宋" w:eastAsia="仿宋" w:cs="仿宋"/>
                <w:sz w:val="24"/>
                <w:szCs w:val="24"/>
              </w:rPr>
            </w:pPr>
            <w:r>
              <w:rPr>
                <w:rFonts w:hint="eastAsia" w:ascii="仿宋" w:hAnsi="仿宋" w:eastAsia="仿宋" w:cs="仿宋"/>
                <w:sz w:val="24"/>
                <w:szCs w:val="24"/>
              </w:rPr>
              <w:t>24或48个10/100/1000Mbps自适应电口，4个SFP千兆光口；配置光模块</w:t>
            </w:r>
          </w:p>
        </w:tc>
      </w:tr>
      <w:tr w14:paraId="43C2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07896F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3B269E7D">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支持VLAN、ACL、端口镜像、端口聚合等功能，</w:t>
            </w:r>
          </w:p>
        </w:tc>
      </w:tr>
      <w:tr w14:paraId="702B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66F7E3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195DE88F">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支持小贝APP和云平台统一管理</w:t>
            </w:r>
          </w:p>
        </w:tc>
      </w:tr>
      <w:tr w14:paraId="5446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BC2E23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38FEE274">
            <w:pPr>
              <w:spacing w:line="0" w:lineRule="atLeast"/>
              <w:jc w:val="left"/>
              <w:rPr>
                <w:rFonts w:hint="eastAsia" w:ascii="仿宋" w:hAnsi="仿宋" w:eastAsia="仿宋" w:cs="仿宋"/>
                <w:sz w:val="24"/>
                <w:szCs w:val="24"/>
              </w:rPr>
            </w:pPr>
            <w:r>
              <w:rPr>
                <w:rFonts w:hint="eastAsia" w:ascii="仿宋" w:hAnsi="仿宋" w:eastAsia="仿宋" w:cs="仿宋"/>
                <w:sz w:val="24"/>
                <w:szCs w:val="24"/>
              </w:rPr>
              <w:t xml:space="preserve">采用100V~240V AC电源供电 </w:t>
            </w:r>
          </w:p>
        </w:tc>
      </w:tr>
      <w:tr w14:paraId="6671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4404E6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002621D8">
            <w:pPr>
              <w:spacing w:line="0" w:lineRule="atLeast"/>
              <w:jc w:val="left"/>
              <w:rPr>
                <w:rFonts w:hint="eastAsia" w:ascii="仿宋" w:hAnsi="仿宋" w:eastAsia="仿宋" w:cs="仿宋"/>
                <w:sz w:val="24"/>
                <w:szCs w:val="24"/>
              </w:rPr>
            </w:pPr>
            <w:r>
              <w:rPr>
                <w:rFonts w:hint="eastAsia" w:ascii="仿宋" w:hAnsi="仿宋" w:eastAsia="仿宋" w:cs="仿宋"/>
                <w:sz w:val="24"/>
                <w:szCs w:val="24"/>
              </w:rPr>
              <w:t>风扇散热</w:t>
            </w:r>
          </w:p>
        </w:tc>
      </w:tr>
      <w:tr w14:paraId="1C31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5FDBEF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10827401">
            <w:pPr>
              <w:spacing w:line="0" w:lineRule="atLeast"/>
              <w:jc w:val="left"/>
              <w:rPr>
                <w:rFonts w:hint="eastAsia" w:ascii="仿宋" w:hAnsi="仿宋" w:eastAsia="仿宋" w:cs="仿宋"/>
                <w:sz w:val="24"/>
                <w:szCs w:val="24"/>
              </w:rPr>
            </w:pPr>
            <w:r>
              <w:rPr>
                <w:rFonts w:hint="eastAsia" w:ascii="仿宋" w:hAnsi="仿宋" w:eastAsia="仿宋" w:cs="仿宋"/>
                <w:sz w:val="24"/>
                <w:szCs w:val="24"/>
              </w:rPr>
              <w:t xml:space="preserve">工作温度：0℃～40℃，存储温度：-40ºC～70ºC </w:t>
            </w:r>
          </w:p>
        </w:tc>
      </w:tr>
    </w:tbl>
    <w:p w14:paraId="291F43D2">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POE交换机</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48517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02AC0A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26776C2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6163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F9D652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6F57EE6A">
            <w:pPr>
              <w:spacing w:line="0" w:lineRule="atLeast"/>
              <w:rPr>
                <w:rFonts w:hint="eastAsia" w:ascii="仿宋" w:hAnsi="仿宋" w:eastAsia="仿宋" w:cs="仿宋"/>
                <w:sz w:val="24"/>
                <w:szCs w:val="24"/>
              </w:rPr>
            </w:pPr>
            <w:r>
              <w:rPr>
                <w:rFonts w:hint="eastAsia" w:ascii="仿宋" w:hAnsi="仿宋" w:eastAsia="仿宋" w:cs="仿宋"/>
                <w:sz w:val="24"/>
                <w:szCs w:val="24"/>
              </w:rPr>
              <w:t>▲交换容量≥336Gbps，包转发率≥96Mpps；</w:t>
            </w:r>
          </w:p>
        </w:tc>
      </w:tr>
      <w:tr w14:paraId="52D7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8AB3A1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2D2C99E1">
            <w:pPr>
              <w:spacing w:line="0" w:lineRule="atLeast"/>
              <w:rPr>
                <w:rFonts w:hint="eastAsia" w:ascii="仿宋" w:hAnsi="仿宋" w:eastAsia="仿宋" w:cs="仿宋"/>
                <w:sz w:val="24"/>
                <w:szCs w:val="24"/>
              </w:rPr>
            </w:pPr>
            <w:r>
              <w:rPr>
                <w:rFonts w:hint="eastAsia" w:ascii="仿宋" w:hAnsi="仿宋" w:eastAsia="仿宋" w:cs="仿宋"/>
                <w:sz w:val="24"/>
                <w:szCs w:val="24"/>
              </w:rPr>
              <w:t>▲端口类型支持2种接口类型24口或48个10/100/1000Base-T电口 (包含两个uplink口，可作为上行口)，2个10GBase-X SFP+端口</w:t>
            </w:r>
          </w:p>
        </w:tc>
      </w:tr>
      <w:tr w14:paraId="441D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9CE8A5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5656FD72">
            <w:pPr>
              <w:spacing w:line="0" w:lineRule="atLeast"/>
              <w:rPr>
                <w:rFonts w:hint="eastAsia" w:ascii="仿宋" w:hAnsi="仿宋" w:eastAsia="仿宋" w:cs="仿宋"/>
                <w:sz w:val="24"/>
                <w:szCs w:val="24"/>
              </w:rPr>
            </w:pPr>
            <w:r>
              <w:rPr>
                <w:rFonts w:hint="eastAsia" w:ascii="仿宋" w:hAnsi="仿宋" w:eastAsia="仿宋" w:cs="仿宋"/>
                <w:sz w:val="24"/>
                <w:szCs w:val="24"/>
              </w:rPr>
              <w:t>支持PoE供电，PoE整机功耗≥370W，单端口最大功率45W，提供官网截图。</w:t>
            </w:r>
          </w:p>
        </w:tc>
      </w:tr>
      <w:tr w14:paraId="368DE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C787EF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15EE4063">
            <w:pPr>
              <w:spacing w:line="0" w:lineRule="atLeast"/>
              <w:rPr>
                <w:rFonts w:hint="eastAsia" w:ascii="仿宋" w:hAnsi="仿宋" w:eastAsia="仿宋" w:cs="仿宋"/>
                <w:sz w:val="24"/>
                <w:szCs w:val="24"/>
              </w:rPr>
            </w:pPr>
            <w:r>
              <w:rPr>
                <w:rFonts w:hint="eastAsia" w:ascii="仿宋" w:hAnsi="仿宋" w:eastAsia="仿宋" w:cs="仿宋"/>
                <w:sz w:val="24"/>
                <w:szCs w:val="24"/>
              </w:rPr>
              <w:t>MAC地址容量≥16K，包缓存≥12Mbit</w:t>
            </w:r>
          </w:p>
        </w:tc>
      </w:tr>
      <w:tr w14:paraId="4432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BCAEB0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530126AC">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采用100V~240V AC电源供电 </w:t>
            </w:r>
          </w:p>
        </w:tc>
      </w:tr>
      <w:tr w14:paraId="36B7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C17543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355BAA45">
            <w:pPr>
              <w:spacing w:line="0" w:lineRule="atLeast"/>
              <w:rPr>
                <w:rFonts w:hint="eastAsia" w:ascii="仿宋" w:hAnsi="仿宋" w:eastAsia="仿宋" w:cs="仿宋"/>
                <w:sz w:val="24"/>
                <w:szCs w:val="24"/>
              </w:rPr>
            </w:pPr>
            <w:r>
              <w:rPr>
                <w:rFonts w:hint="eastAsia" w:ascii="仿宋" w:hAnsi="仿宋" w:eastAsia="仿宋" w:cs="仿宋"/>
                <w:sz w:val="24"/>
                <w:szCs w:val="24"/>
              </w:rPr>
              <w:t>▲风扇散热</w:t>
            </w:r>
          </w:p>
        </w:tc>
      </w:tr>
      <w:tr w14:paraId="16180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2CB014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672C3E04">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工作温度：0℃～40℃，存储温度：-40ºC～70ºC </w:t>
            </w:r>
          </w:p>
        </w:tc>
      </w:tr>
      <w:tr w14:paraId="371D8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22D5DF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242F14E4">
            <w:pPr>
              <w:spacing w:line="0" w:lineRule="atLeast"/>
              <w:rPr>
                <w:rFonts w:hint="eastAsia" w:ascii="仿宋" w:hAnsi="仿宋" w:eastAsia="仿宋" w:cs="仿宋"/>
                <w:sz w:val="24"/>
                <w:szCs w:val="24"/>
              </w:rPr>
            </w:pPr>
            <w:r>
              <w:rPr>
                <w:rFonts w:hint="eastAsia" w:ascii="仿宋" w:hAnsi="仿宋" w:eastAsia="仿宋" w:cs="仿宋"/>
                <w:sz w:val="24"/>
                <w:szCs w:val="24"/>
              </w:rPr>
              <w:t>超大机身设计，外形尺寸需≥440mm*210mm*44mm，以满足快速散热需求</w:t>
            </w:r>
          </w:p>
        </w:tc>
      </w:tr>
      <w:tr w14:paraId="0F6EA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24E320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7D87386A">
            <w:pPr>
              <w:spacing w:line="0" w:lineRule="atLeast"/>
              <w:rPr>
                <w:rFonts w:hint="eastAsia" w:ascii="仿宋" w:hAnsi="仿宋" w:eastAsia="仿宋" w:cs="仿宋"/>
                <w:sz w:val="24"/>
                <w:szCs w:val="24"/>
              </w:rPr>
            </w:pPr>
            <w:r>
              <w:rPr>
                <w:rFonts w:hint="eastAsia" w:ascii="仿宋" w:hAnsi="仿宋" w:eastAsia="仿宋" w:cs="仿宋"/>
                <w:sz w:val="24"/>
                <w:szCs w:val="24"/>
              </w:rPr>
              <w:t>支持四种模式切换：标准交换、端口隔离、汇聚上联、网络克隆</w:t>
            </w:r>
          </w:p>
        </w:tc>
      </w:tr>
      <w:tr w14:paraId="0446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8A81BC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12BDB095">
            <w:pPr>
              <w:spacing w:line="0" w:lineRule="atLeast"/>
              <w:rPr>
                <w:rFonts w:hint="eastAsia" w:ascii="仿宋" w:hAnsi="仿宋" w:eastAsia="仿宋" w:cs="仿宋"/>
                <w:sz w:val="24"/>
                <w:szCs w:val="24"/>
              </w:rPr>
            </w:pPr>
            <w:r>
              <w:rPr>
                <w:rFonts w:hint="eastAsia" w:ascii="仿宋" w:hAnsi="仿宋" w:eastAsia="仿宋" w:cs="仿宋"/>
                <w:sz w:val="24"/>
                <w:szCs w:val="24"/>
              </w:rPr>
              <w:t>提供CQC产品认证证书复印件</w:t>
            </w:r>
          </w:p>
        </w:tc>
      </w:tr>
      <w:tr w14:paraId="61AC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0A2E0F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1C3C1CF0">
            <w:pPr>
              <w:spacing w:line="0" w:lineRule="atLeast"/>
              <w:rPr>
                <w:rFonts w:hint="eastAsia" w:ascii="仿宋" w:hAnsi="仿宋" w:eastAsia="仿宋" w:cs="仿宋"/>
                <w:sz w:val="24"/>
                <w:szCs w:val="24"/>
              </w:rPr>
            </w:pPr>
            <w:r>
              <w:rPr>
                <w:rFonts w:hint="eastAsia" w:ascii="仿宋" w:hAnsi="仿宋" w:eastAsia="仿宋" w:cs="仿宋"/>
                <w:sz w:val="24"/>
                <w:szCs w:val="24"/>
              </w:rPr>
              <w:t>提供具有CNAS/CMA标志的进网检验报告复印件</w:t>
            </w:r>
          </w:p>
        </w:tc>
      </w:tr>
      <w:tr w14:paraId="4BD9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E9D1A9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5374E0F6">
            <w:pPr>
              <w:spacing w:line="0" w:lineRule="atLeast"/>
              <w:rPr>
                <w:rFonts w:hint="eastAsia" w:ascii="仿宋" w:hAnsi="仿宋" w:eastAsia="仿宋" w:cs="仿宋"/>
                <w:sz w:val="24"/>
                <w:szCs w:val="24"/>
              </w:rPr>
            </w:pPr>
            <w:r>
              <w:rPr>
                <w:rFonts w:hint="eastAsia" w:ascii="仿宋" w:hAnsi="仿宋" w:eastAsia="仿宋" w:cs="仿宋"/>
                <w:sz w:val="24"/>
                <w:szCs w:val="24"/>
              </w:rPr>
              <w:t>提供工信部电信设备进网许可证证书复印件</w:t>
            </w:r>
          </w:p>
        </w:tc>
      </w:tr>
    </w:tbl>
    <w:p w14:paraId="6DEACE74">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控制器</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3833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43ECB9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6263469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1F01E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08B36A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4D1AD8AE">
            <w:pPr>
              <w:spacing w:line="0" w:lineRule="atLeast"/>
              <w:jc w:val="left"/>
              <w:rPr>
                <w:rFonts w:hint="eastAsia" w:ascii="仿宋" w:hAnsi="仿宋" w:eastAsia="仿宋" w:cs="仿宋"/>
                <w:sz w:val="24"/>
                <w:szCs w:val="24"/>
              </w:rPr>
            </w:pPr>
            <w:r>
              <w:rPr>
                <w:rFonts w:hint="eastAsia" w:ascii="仿宋" w:hAnsi="仿宋" w:eastAsia="仿宋" w:cs="仿宋"/>
                <w:sz w:val="24"/>
                <w:szCs w:val="24"/>
              </w:rPr>
              <w:t>▲设备支持WAN口≥2*10GE，LAN口≥8*GE，LAN/WAN≥6*GE，Combo口≥2*GE，USB3.0≥1个，提供官网截图。</w:t>
            </w:r>
          </w:p>
        </w:tc>
      </w:tr>
      <w:tr w14:paraId="3AAD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99D78B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5A1B9E7D">
            <w:pPr>
              <w:spacing w:line="0" w:lineRule="atLeast"/>
              <w:jc w:val="left"/>
              <w:rPr>
                <w:rFonts w:hint="eastAsia" w:ascii="仿宋" w:hAnsi="仿宋" w:eastAsia="仿宋" w:cs="仿宋"/>
                <w:sz w:val="24"/>
                <w:szCs w:val="24"/>
              </w:rPr>
            </w:pPr>
            <w:r>
              <w:rPr>
                <w:rFonts w:hint="eastAsia" w:ascii="仿宋" w:hAnsi="仿宋" w:eastAsia="仿宋" w:cs="仿宋"/>
                <w:sz w:val="24"/>
                <w:szCs w:val="24"/>
              </w:rPr>
              <w:t>▲带机量≥1000，提供官网截图。</w:t>
            </w:r>
          </w:p>
        </w:tc>
      </w:tr>
      <w:tr w14:paraId="1DA8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BCC439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563F0055">
            <w:pPr>
              <w:spacing w:line="0" w:lineRule="atLeast"/>
              <w:jc w:val="left"/>
              <w:rPr>
                <w:rFonts w:hint="eastAsia" w:ascii="仿宋" w:hAnsi="仿宋" w:eastAsia="仿宋" w:cs="仿宋"/>
                <w:sz w:val="24"/>
                <w:szCs w:val="24"/>
              </w:rPr>
            </w:pPr>
            <w:r>
              <w:rPr>
                <w:rFonts w:hint="eastAsia" w:ascii="仿宋" w:hAnsi="仿宋" w:eastAsia="仿宋" w:cs="仿宋"/>
                <w:sz w:val="24"/>
                <w:szCs w:val="24"/>
              </w:rPr>
              <w:t>▲带宽≥10Gbps，内存≥2G提供官网截图。</w:t>
            </w:r>
          </w:p>
        </w:tc>
      </w:tr>
      <w:tr w14:paraId="7830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7B1854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3F46A798">
            <w:pPr>
              <w:spacing w:line="0" w:lineRule="atLeast"/>
              <w:jc w:val="left"/>
              <w:rPr>
                <w:rFonts w:hint="eastAsia" w:ascii="仿宋" w:hAnsi="仿宋" w:eastAsia="仿宋" w:cs="仿宋"/>
                <w:sz w:val="24"/>
                <w:szCs w:val="24"/>
              </w:rPr>
            </w:pPr>
            <w:r>
              <w:rPr>
                <w:rFonts w:hint="eastAsia" w:ascii="仿宋" w:hAnsi="仿宋" w:eastAsia="仿宋" w:cs="仿宋"/>
                <w:sz w:val="24"/>
                <w:szCs w:val="24"/>
              </w:rPr>
              <w:t>管理AP，最大支持管理128个AP，配置64/96个授权。</w:t>
            </w:r>
          </w:p>
        </w:tc>
      </w:tr>
      <w:tr w14:paraId="20CA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3DA90A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2C8F036C">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支持IPSec VPN，吞吐可达1.1Gbps，支持隧道数≥100，提供官网截图。</w:t>
            </w:r>
          </w:p>
        </w:tc>
      </w:tr>
      <w:tr w14:paraId="17C7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BBD163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721CC2C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持固定IP地址、DHCP自动获取地址、PPPoE拨号等多种方式，支持链路状态检测功能，支持ICMP、DNS、NTP等检测方式，支持静态路由和策略路由。</w:t>
            </w:r>
          </w:p>
        </w:tc>
      </w:tr>
      <w:tr w14:paraId="6C24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6FDE55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2C35D0C0">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支持端口划分VLAN，中小场景节省交换机成本。</w:t>
            </w:r>
          </w:p>
        </w:tc>
      </w:tr>
      <w:tr w14:paraId="1F13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B5A1E1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74FEFEC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支持MAC地址学习、广播风暴抑制、流量镜像功能。</w:t>
            </w:r>
          </w:p>
        </w:tc>
      </w:tr>
      <w:tr w14:paraId="4BDA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A5AC33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223F9C3E">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支持精细化流控，支持每IP限制流量、支持基于用户组限制流量、支持绿色通道功能，提供官网截图</w:t>
            </w:r>
          </w:p>
        </w:tc>
      </w:tr>
      <w:tr w14:paraId="0A41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256212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5615EA18">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支持MAC地址过滤功能，支持MAC地址黑白名单</w:t>
            </w:r>
          </w:p>
        </w:tc>
      </w:tr>
      <w:tr w14:paraId="442E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D7284E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78160256">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支持多种负载均衡，支持基于运营商目的地址负载分担、支持基于链路带宽负载分担、支持基于用户（IP地址）负载分担、支持策略路由指定线路转发、支持端到端链路检测与备份功能，提供官网截图。</w:t>
            </w:r>
          </w:p>
        </w:tc>
      </w:tr>
      <w:tr w14:paraId="431C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9B9CF4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358BE94E">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▲支持短信、微信公众号、账号等多种接入认证方式（需要配合云简网络管理平台），提供官网截图。</w:t>
            </w:r>
          </w:p>
        </w:tc>
      </w:tr>
      <w:tr w14:paraId="032E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26C792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13</w:t>
            </w:r>
          </w:p>
        </w:tc>
        <w:tc>
          <w:tcPr>
            <w:tcW w:w="8836" w:type="dxa"/>
          </w:tcPr>
          <w:p w14:paraId="596D9E4C">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支持WEB管理页面、支持云管理平台远程管理、支持APP管理，提供官网截图。</w:t>
            </w:r>
          </w:p>
        </w:tc>
      </w:tr>
      <w:tr w14:paraId="0BB3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724789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14</w:t>
            </w:r>
          </w:p>
        </w:tc>
        <w:tc>
          <w:tcPr>
            <w:tcW w:w="8836" w:type="dxa"/>
          </w:tcPr>
          <w:p w14:paraId="4273A471">
            <w:pPr>
              <w:spacing w:line="0" w:lineRule="atLeast"/>
              <w:jc w:val="left"/>
              <w:rPr>
                <w:rFonts w:hint="eastAsia" w:ascii="仿宋" w:hAnsi="仿宋" w:eastAsia="仿宋" w:cs="仿宋"/>
                <w:sz w:val="24"/>
                <w:szCs w:val="24"/>
              </w:rPr>
            </w:pPr>
            <w:r>
              <w:rPr>
                <w:rFonts w:hint="eastAsia" w:ascii="仿宋" w:hAnsi="仿宋" w:eastAsia="仿宋" w:cs="仿宋"/>
                <w:sz w:val="24"/>
                <w:szCs w:val="24"/>
              </w:rPr>
              <w:t>提供国家认证CQC认证证书复印件</w:t>
            </w:r>
          </w:p>
        </w:tc>
      </w:tr>
      <w:tr w14:paraId="0EA8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3DB03F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15</w:t>
            </w:r>
          </w:p>
        </w:tc>
        <w:tc>
          <w:tcPr>
            <w:tcW w:w="8836" w:type="dxa"/>
          </w:tcPr>
          <w:p w14:paraId="69E25B93">
            <w:pPr>
              <w:spacing w:line="0" w:lineRule="atLeast"/>
              <w:jc w:val="left"/>
              <w:rPr>
                <w:rFonts w:hint="eastAsia" w:ascii="仿宋" w:hAnsi="仿宋" w:eastAsia="仿宋" w:cs="仿宋"/>
                <w:sz w:val="24"/>
                <w:szCs w:val="24"/>
              </w:rPr>
            </w:pPr>
            <w:r>
              <w:rPr>
                <w:rFonts w:hint="eastAsia" w:ascii="仿宋" w:hAnsi="仿宋" w:eastAsia="仿宋" w:cs="仿宋"/>
                <w:sz w:val="24"/>
                <w:szCs w:val="24"/>
              </w:rPr>
              <w:t>提供具有CNAS标志的检测报告复印件</w:t>
            </w:r>
          </w:p>
        </w:tc>
      </w:tr>
    </w:tbl>
    <w:p w14:paraId="785D7147">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AP（面板式）</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435A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26" w:type="dxa"/>
            <w:vAlign w:val="center"/>
          </w:tcPr>
          <w:p w14:paraId="3DC67B7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238648B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7CC0C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8AE0C9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4045F340">
            <w:pPr>
              <w:spacing w:line="0" w:lineRule="atLeast"/>
              <w:rPr>
                <w:rFonts w:hint="eastAsia" w:ascii="仿宋" w:hAnsi="仿宋" w:eastAsia="仿宋" w:cs="仿宋"/>
                <w:sz w:val="24"/>
                <w:szCs w:val="24"/>
              </w:rPr>
            </w:pPr>
            <w:r>
              <w:rPr>
                <w:rFonts w:hint="eastAsia" w:ascii="仿宋" w:hAnsi="仿宋" w:eastAsia="仿宋" w:cs="仿宋"/>
                <w:sz w:val="24"/>
                <w:szCs w:val="24"/>
              </w:rPr>
              <w:t>支持标准802.11a/b/g/n/ac/ ax协议，提供官网截图</w:t>
            </w:r>
          </w:p>
        </w:tc>
      </w:tr>
      <w:tr w14:paraId="6A52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5602F0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67949DBA">
            <w:pPr>
              <w:spacing w:line="0" w:lineRule="atLeast"/>
              <w:rPr>
                <w:rFonts w:hint="eastAsia" w:ascii="仿宋" w:hAnsi="仿宋" w:eastAsia="仿宋" w:cs="仿宋"/>
                <w:sz w:val="24"/>
                <w:szCs w:val="24"/>
              </w:rPr>
            </w:pPr>
            <w:r>
              <w:rPr>
                <w:rFonts w:hint="eastAsia" w:ascii="仿宋" w:hAnsi="仿宋" w:eastAsia="仿宋" w:cs="仿宋"/>
                <w:sz w:val="24"/>
                <w:szCs w:val="24"/>
              </w:rPr>
              <w:t>▲支持双频四流,整机协商速率≥2.975Gbps，其中5G射频速率≥2.4Gbps，2.4G射频速率≥0.575Gbps。</w:t>
            </w:r>
          </w:p>
        </w:tc>
      </w:tr>
      <w:tr w14:paraId="19A7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E081F1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61BCD536">
            <w:pPr>
              <w:spacing w:line="0" w:lineRule="atLeast"/>
              <w:rPr>
                <w:rFonts w:hint="eastAsia" w:ascii="仿宋" w:hAnsi="仿宋" w:eastAsia="仿宋" w:cs="仿宋"/>
                <w:sz w:val="24"/>
                <w:szCs w:val="24"/>
              </w:rPr>
            </w:pPr>
            <w:r>
              <w:rPr>
                <w:rFonts w:hint="eastAsia" w:ascii="仿宋" w:hAnsi="仿宋" w:eastAsia="仿宋" w:cs="仿宋"/>
                <w:sz w:val="24"/>
                <w:szCs w:val="24"/>
              </w:rPr>
              <w:t>固定接口≥1个2.5G 10/100/1000Mbps 自协商以太网口上行口,≥2个10/100/1000Mbps 自协商以太网口</w:t>
            </w:r>
          </w:p>
        </w:tc>
      </w:tr>
      <w:tr w14:paraId="6F6A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3B90EA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0F662841">
            <w:pPr>
              <w:spacing w:line="0" w:lineRule="atLeast"/>
              <w:rPr>
                <w:rFonts w:hint="eastAsia" w:ascii="仿宋" w:hAnsi="仿宋" w:eastAsia="仿宋" w:cs="仿宋"/>
                <w:sz w:val="24"/>
                <w:szCs w:val="24"/>
              </w:rPr>
            </w:pPr>
            <w:r>
              <w:rPr>
                <w:rFonts w:hint="eastAsia" w:ascii="仿宋" w:hAnsi="仿宋" w:eastAsia="仿宋" w:cs="仿宋"/>
                <w:sz w:val="24"/>
                <w:szCs w:val="24"/>
              </w:rPr>
              <w:t>工作温度：-10℃～50℃，提供官网截图</w:t>
            </w:r>
          </w:p>
        </w:tc>
      </w:tr>
      <w:tr w14:paraId="5CE8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B69C04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590CD6A1">
            <w:pPr>
              <w:spacing w:line="0" w:lineRule="atLeast"/>
              <w:rPr>
                <w:rFonts w:hint="eastAsia" w:ascii="仿宋" w:hAnsi="仿宋" w:eastAsia="仿宋" w:cs="仿宋"/>
                <w:sz w:val="24"/>
                <w:szCs w:val="24"/>
              </w:rPr>
            </w:pPr>
            <w:r>
              <w:rPr>
                <w:rFonts w:hint="eastAsia" w:ascii="仿宋" w:hAnsi="仿宋" w:eastAsia="仿宋" w:cs="仿宋"/>
                <w:sz w:val="24"/>
                <w:szCs w:val="24"/>
              </w:rPr>
              <w:t>支持标准PoE以太网供电，整机功耗≤11W，提供官网截图</w:t>
            </w:r>
          </w:p>
        </w:tc>
      </w:tr>
      <w:tr w14:paraId="4BF2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7F7102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44503780">
            <w:pPr>
              <w:spacing w:line="0" w:lineRule="atLeast"/>
              <w:jc w:val="left"/>
              <w:rPr>
                <w:rFonts w:hint="eastAsia" w:ascii="仿宋" w:hAnsi="仿宋" w:eastAsia="仿宋" w:cs="仿宋"/>
                <w:sz w:val="24"/>
                <w:szCs w:val="24"/>
              </w:rPr>
            </w:pPr>
            <w:r>
              <w:rPr>
                <w:rFonts w:hint="eastAsia" w:ascii="仿宋" w:hAnsi="仿宋" w:eastAsia="仿宋" w:cs="仿宋"/>
                <w:sz w:val="24"/>
                <w:szCs w:val="24"/>
              </w:rPr>
              <w:t>无线终端最大接入数为512人，提供官网截图</w:t>
            </w:r>
          </w:p>
        </w:tc>
      </w:tr>
      <w:tr w14:paraId="5D37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CD5D1D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72DA6E3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支持无线VLAN绑定，提供官网截图</w:t>
            </w:r>
          </w:p>
        </w:tc>
      </w:tr>
      <w:tr w14:paraId="0E25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78EB14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26E2B435">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支持基于AP侧的无线终端限速</w:t>
            </w:r>
          </w:p>
        </w:tc>
      </w:tr>
      <w:tr w14:paraId="3319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C07229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2006C16C">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支持一键认证、短信认证、微信公众号认证、会员认证、钉钉认证等（配合云平台）；提供官网截图</w:t>
            </w:r>
          </w:p>
        </w:tc>
      </w:tr>
      <w:tr w14:paraId="0F66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CC880E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4ADEF43A">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支持无线用户二层隔离，支持基于SSID的无线用户隔离</w:t>
            </w:r>
          </w:p>
        </w:tc>
      </w:tr>
      <w:tr w14:paraId="0C4C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2C8A9F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0FD7F20D">
            <w:pPr>
              <w:spacing w:line="0" w:lineRule="atLeast"/>
              <w:jc w:val="left"/>
              <w:rPr>
                <w:rFonts w:hint="eastAsia" w:ascii="仿宋" w:hAnsi="仿宋" w:eastAsia="仿宋" w:cs="仿宋"/>
                <w:sz w:val="24"/>
                <w:szCs w:val="24"/>
              </w:rPr>
            </w:pPr>
            <w:r>
              <w:rPr>
                <w:rFonts w:hint="eastAsia" w:ascii="仿宋" w:hAnsi="仿宋" w:eastAsia="仿宋" w:cs="仿宋"/>
                <w:sz w:val="24"/>
                <w:szCs w:val="24"/>
              </w:rPr>
              <w:t>手机APP统一管理与运维，可以查看AP在线情况、AP关键指标、AP信道使用情况</w:t>
            </w:r>
          </w:p>
        </w:tc>
      </w:tr>
      <w:tr w14:paraId="631A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67E3BE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013DF804">
            <w:pPr>
              <w:spacing w:line="0" w:lineRule="atLeast"/>
              <w:jc w:val="left"/>
              <w:rPr>
                <w:rFonts w:hint="eastAsia" w:ascii="仿宋" w:hAnsi="仿宋" w:eastAsia="仿宋" w:cs="仿宋"/>
                <w:sz w:val="24"/>
                <w:szCs w:val="24"/>
              </w:rPr>
            </w:pPr>
            <w:r>
              <w:rPr>
                <w:rFonts w:hint="eastAsia" w:ascii="仿宋" w:hAnsi="仿宋" w:eastAsia="仿宋" w:cs="仿宋"/>
                <w:sz w:val="24"/>
                <w:szCs w:val="24"/>
              </w:rPr>
              <w:t>为保证设备稳定性和高可用性，平均无故障时间＞613200hrs，提供官网截图</w:t>
            </w:r>
          </w:p>
        </w:tc>
      </w:tr>
      <w:tr w14:paraId="42F9C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27DC60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13</w:t>
            </w:r>
          </w:p>
        </w:tc>
        <w:tc>
          <w:tcPr>
            <w:tcW w:w="8836" w:type="dxa"/>
          </w:tcPr>
          <w:p w14:paraId="362BAF76">
            <w:pPr>
              <w:spacing w:line="0" w:lineRule="atLeast"/>
              <w:jc w:val="left"/>
              <w:rPr>
                <w:rFonts w:hint="eastAsia" w:ascii="仿宋" w:hAnsi="仿宋" w:eastAsia="仿宋" w:cs="仿宋"/>
                <w:sz w:val="24"/>
                <w:szCs w:val="24"/>
              </w:rPr>
            </w:pPr>
            <w:r>
              <w:rPr>
                <w:rFonts w:hint="eastAsia" w:ascii="仿宋" w:hAnsi="仿宋" w:eastAsia="仿宋" w:cs="仿宋"/>
                <w:sz w:val="24"/>
                <w:szCs w:val="24"/>
              </w:rPr>
              <w:t>提供和型号一致的无线电信号核准证复印件</w:t>
            </w:r>
          </w:p>
        </w:tc>
      </w:tr>
    </w:tbl>
    <w:p w14:paraId="34ABD793">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AP（吸顶式）</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4C22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D93237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6C793A8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2D89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6D9AE8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6D1C8383">
            <w:pPr>
              <w:spacing w:line="0" w:lineRule="atLeast"/>
              <w:rPr>
                <w:rFonts w:hint="eastAsia" w:ascii="仿宋" w:hAnsi="仿宋" w:eastAsia="仿宋" w:cs="仿宋"/>
                <w:sz w:val="24"/>
                <w:szCs w:val="24"/>
              </w:rPr>
            </w:pPr>
            <w:r>
              <w:rPr>
                <w:rFonts w:hint="eastAsia" w:ascii="仿宋" w:hAnsi="仿宋" w:eastAsia="仿宋" w:cs="仿宋"/>
                <w:sz w:val="24"/>
                <w:szCs w:val="24"/>
              </w:rPr>
              <w:t>支持标准802.11ax/ac/ac wave2、802.11a/b/g/n协议，提供官网截图</w:t>
            </w:r>
          </w:p>
        </w:tc>
      </w:tr>
      <w:tr w14:paraId="7558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D813F3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1C3692FB">
            <w:pPr>
              <w:spacing w:line="0" w:lineRule="atLeast"/>
              <w:rPr>
                <w:rFonts w:hint="eastAsia" w:ascii="仿宋" w:hAnsi="仿宋" w:eastAsia="仿宋" w:cs="仿宋"/>
                <w:sz w:val="24"/>
                <w:szCs w:val="24"/>
              </w:rPr>
            </w:pPr>
            <w:r>
              <w:rPr>
                <w:rFonts w:hint="eastAsia" w:ascii="仿宋" w:hAnsi="仿宋" w:eastAsia="仿宋" w:cs="仿宋"/>
                <w:sz w:val="24"/>
                <w:szCs w:val="24"/>
              </w:rPr>
              <w:t>支持双频五流，整机最大接入速率1.775Gbps ，提供官网截图</w:t>
            </w:r>
          </w:p>
        </w:tc>
      </w:tr>
      <w:tr w14:paraId="0777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8FC406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07731364">
            <w:pPr>
              <w:spacing w:line="0" w:lineRule="atLeast"/>
              <w:rPr>
                <w:rFonts w:hint="eastAsia" w:ascii="仿宋" w:hAnsi="仿宋" w:eastAsia="仿宋" w:cs="仿宋"/>
                <w:sz w:val="24"/>
                <w:szCs w:val="24"/>
              </w:rPr>
            </w:pPr>
            <w:r>
              <w:rPr>
                <w:rFonts w:hint="eastAsia" w:ascii="仿宋" w:hAnsi="仿宋" w:eastAsia="仿宋" w:cs="仿宋"/>
                <w:sz w:val="24"/>
                <w:szCs w:val="24"/>
              </w:rPr>
              <w:t>固定接口≥1个10/100/1000Mbps 自协商以太网口上行口（PoE受电）</w:t>
            </w:r>
          </w:p>
        </w:tc>
      </w:tr>
      <w:tr w14:paraId="11CA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350A91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441DD1AC">
            <w:pPr>
              <w:spacing w:line="0" w:lineRule="atLeast"/>
              <w:rPr>
                <w:rFonts w:hint="eastAsia" w:ascii="仿宋" w:hAnsi="仿宋" w:eastAsia="仿宋" w:cs="仿宋"/>
                <w:sz w:val="24"/>
                <w:szCs w:val="24"/>
              </w:rPr>
            </w:pPr>
            <w:r>
              <w:rPr>
                <w:rFonts w:hint="eastAsia" w:ascii="仿宋" w:hAnsi="仿宋" w:eastAsia="仿宋" w:cs="仿宋"/>
                <w:sz w:val="24"/>
                <w:szCs w:val="24"/>
              </w:rPr>
              <w:t>工作温度：-10℃～55℃</w:t>
            </w:r>
          </w:p>
        </w:tc>
      </w:tr>
      <w:tr w14:paraId="0589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BE1892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52C2FFFA">
            <w:pPr>
              <w:spacing w:line="0" w:lineRule="atLeast"/>
              <w:rPr>
                <w:rFonts w:hint="eastAsia" w:ascii="仿宋" w:hAnsi="仿宋" w:eastAsia="仿宋" w:cs="仿宋"/>
                <w:sz w:val="24"/>
                <w:szCs w:val="24"/>
              </w:rPr>
            </w:pPr>
            <w:r>
              <w:rPr>
                <w:rFonts w:hint="eastAsia" w:ascii="仿宋" w:hAnsi="仿宋" w:eastAsia="仿宋" w:cs="仿宋"/>
                <w:sz w:val="24"/>
                <w:szCs w:val="24"/>
              </w:rPr>
              <w:t>▲支持标准PoE以太网供电，整机功耗≤11.35W，提供官网截图</w:t>
            </w:r>
          </w:p>
        </w:tc>
      </w:tr>
      <w:tr w14:paraId="419B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918116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0A87CEED">
            <w:pPr>
              <w:spacing w:line="0" w:lineRule="atLeast"/>
              <w:rPr>
                <w:rFonts w:hint="eastAsia" w:ascii="仿宋" w:hAnsi="仿宋" w:eastAsia="仿宋" w:cs="仿宋"/>
                <w:sz w:val="24"/>
                <w:szCs w:val="24"/>
              </w:rPr>
            </w:pPr>
            <w:r>
              <w:rPr>
                <w:rFonts w:hint="eastAsia" w:ascii="仿宋" w:hAnsi="仿宋" w:eastAsia="仿宋" w:cs="仿宋"/>
                <w:sz w:val="24"/>
                <w:szCs w:val="24"/>
              </w:rPr>
              <w:t>无线终端最大接入数为256，提供官网截图</w:t>
            </w:r>
          </w:p>
        </w:tc>
      </w:tr>
      <w:tr w14:paraId="6649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8D118B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tcPr>
          <w:p w14:paraId="367C5092">
            <w:pPr>
              <w:spacing w:line="0" w:lineRule="atLeast"/>
              <w:rPr>
                <w:rFonts w:hint="eastAsia" w:ascii="仿宋" w:hAnsi="仿宋" w:eastAsia="仿宋" w:cs="仿宋"/>
                <w:sz w:val="24"/>
                <w:szCs w:val="24"/>
              </w:rPr>
            </w:pPr>
            <w:r>
              <w:rPr>
                <w:rFonts w:hint="eastAsia" w:ascii="仿宋" w:hAnsi="仿宋" w:eastAsia="仿宋" w:cs="仿宋"/>
                <w:sz w:val="24"/>
                <w:szCs w:val="24"/>
              </w:rPr>
              <w:t>支持快网络全网管理，最大管理数量≥32个</w:t>
            </w:r>
          </w:p>
        </w:tc>
      </w:tr>
      <w:tr w14:paraId="7F3E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0E5C0D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tcPr>
          <w:p w14:paraId="4B1FA202">
            <w:pPr>
              <w:spacing w:line="0" w:lineRule="atLeast"/>
              <w:rPr>
                <w:rFonts w:hint="eastAsia" w:ascii="仿宋" w:hAnsi="仿宋" w:eastAsia="仿宋" w:cs="仿宋"/>
                <w:sz w:val="24"/>
                <w:szCs w:val="24"/>
              </w:rPr>
            </w:pPr>
            <w:r>
              <w:rPr>
                <w:rFonts w:hint="eastAsia" w:ascii="仿宋" w:hAnsi="仿宋" w:eastAsia="仿宋" w:cs="仿宋"/>
                <w:sz w:val="24"/>
                <w:szCs w:val="24"/>
              </w:rPr>
              <w:t>支持无线VLAN绑定，提供官网截图</w:t>
            </w:r>
          </w:p>
        </w:tc>
      </w:tr>
      <w:tr w14:paraId="1860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0C477B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tcPr>
          <w:p w14:paraId="01AEC434">
            <w:pPr>
              <w:spacing w:line="0" w:lineRule="atLeast"/>
              <w:rPr>
                <w:rFonts w:hint="eastAsia" w:ascii="仿宋" w:hAnsi="仿宋" w:eastAsia="仿宋" w:cs="仿宋"/>
                <w:sz w:val="24"/>
                <w:szCs w:val="24"/>
              </w:rPr>
            </w:pPr>
            <w:r>
              <w:rPr>
                <w:rFonts w:hint="eastAsia" w:ascii="仿宋" w:hAnsi="仿宋" w:eastAsia="仿宋" w:cs="仿宋"/>
                <w:sz w:val="24"/>
                <w:szCs w:val="24"/>
              </w:rPr>
              <w:t>支持基于AP侧的无线终端限速</w:t>
            </w:r>
          </w:p>
        </w:tc>
      </w:tr>
      <w:tr w14:paraId="411FD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55E6D87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10</w:t>
            </w:r>
          </w:p>
        </w:tc>
        <w:tc>
          <w:tcPr>
            <w:tcW w:w="8836" w:type="dxa"/>
          </w:tcPr>
          <w:p w14:paraId="16EF63B2">
            <w:pPr>
              <w:spacing w:line="0" w:lineRule="atLeast"/>
              <w:jc w:val="left"/>
              <w:rPr>
                <w:rFonts w:hint="eastAsia" w:ascii="仿宋" w:hAnsi="仿宋" w:eastAsia="仿宋" w:cs="仿宋"/>
                <w:sz w:val="24"/>
                <w:szCs w:val="24"/>
              </w:rPr>
            </w:pPr>
            <w:r>
              <w:rPr>
                <w:rFonts w:hint="eastAsia" w:ascii="仿宋" w:hAnsi="仿宋" w:eastAsia="仿宋" w:cs="仿宋"/>
                <w:sz w:val="24"/>
                <w:szCs w:val="24"/>
              </w:rPr>
              <w:t>支持短信认证、一键认证、微信公众号认证、钉钉认证、会员认证等（配合云平台），支持认证逃生，提供官网截图。</w:t>
            </w:r>
          </w:p>
        </w:tc>
      </w:tr>
      <w:tr w14:paraId="3806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E4102E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11</w:t>
            </w:r>
          </w:p>
        </w:tc>
        <w:tc>
          <w:tcPr>
            <w:tcW w:w="8836" w:type="dxa"/>
          </w:tcPr>
          <w:p w14:paraId="77AFFE1B">
            <w:pPr>
              <w:spacing w:line="0" w:lineRule="atLeast"/>
              <w:rPr>
                <w:rFonts w:hint="eastAsia" w:ascii="仿宋" w:hAnsi="仿宋" w:eastAsia="仿宋" w:cs="仿宋"/>
                <w:sz w:val="24"/>
                <w:szCs w:val="24"/>
              </w:rPr>
            </w:pPr>
            <w:r>
              <w:rPr>
                <w:rFonts w:hint="eastAsia" w:ascii="仿宋" w:hAnsi="仿宋" w:eastAsia="仿宋" w:cs="仿宋"/>
                <w:sz w:val="24"/>
                <w:szCs w:val="24"/>
              </w:rPr>
              <w:t>手机APP统一管理与运维，可以查看AP在线情况、AP关键指标、AP信道使用情况</w:t>
            </w:r>
          </w:p>
        </w:tc>
      </w:tr>
      <w:tr w14:paraId="573B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BACD74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12</w:t>
            </w:r>
          </w:p>
        </w:tc>
        <w:tc>
          <w:tcPr>
            <w:tcW w:w="8836" w:type="dxa"/>
          </w:tcPr>
          <w:p w14:paraId="6C866E13">
            <w:pPr>
              <w:spacing w:line="0" w:lineRule="atLeast"/>
              <w:rPr>
                <w:rFonts w:hint="eastAsia" w:ascii="仿宋" w:hAnsi="仿宋" w:eastAsia="仿宋" w:cs="仿宋"/>
                <w:sz w:val="24"/>
                <w:szCs w:val="24"/>
              </w:rPr>
            </w:pPr>
            <w:r>
              <w:rPr>
                <w:rFonts w:hint="eastAsia" w:ascii="仿宋" w:hAnsi="仿宋" w:eastAsia="仿宋" w:cs="仿宋"/>
                <w:sz w:val="24"/>
                <w:szCs w:val="24"/>
              </w:rPr>
              <w:t>支持基于SSID的无线用户隔离</w:t>
            </w:r>
          </w:p>
        </w:tc>
      </w:tr>
    </w:tbl>
    <w:p w14:paraId="6A802677">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消防设施</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510D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6BF585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230237B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3BD7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B42450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4431660A">
            <w:pPr>
              <w:spacing w:line="0" w:lineRule="atLeast"/>
              <w:jc w:val="left"/>
              <w:rPr>
                <w:rFonts w:hint="eastAsia" w:ascii="仿宋" w:hAnsi="仿宋" w:eastAsia="仿宋" w:cs="仿宋"/>
              </w:rPr>
            </w:pPr>
            <w:r>
              <w:rPr>
                <w:rFonts w:hint="eastAsia" w:ascii="仿宋" w:hAnsi="仿宋" w:eastAsia="仿宋" w:cs="仿宋"/>
                <w:sz w:val="24"/>
                <w:szCs w:val="24"/>
              </w:rPr>
              <w:t>气体灭火报警主机:</w:t>
            </w:r>
            <w:r>
              <w:rPr>
                <w:rFonts w:hint="eastAsia" w:ascii="仿宋" w:hAnsi="仿宋" w:eastAsia="仿宋" w:cs="仿宋"/>
              </w:rPr>
              <w:t xml:space="preserve"> </w:t>
            </w:r>
          </w:p>
          <w:p w14:paraId="572577DD">
            <w:pPr>
              <w:spacing w:line="0" w:lineRule="atLeast"/>
              <w:jc w:val="left"/>
              <w:rPr>
                <w:rFonts w:hint="eastAsia" w:ascii="仿宋" w:hAnsi="仿宋" w:eastAsia="仿宋" w:cs="仿宋"/>
                <w:sz w:val="24"/>
                <w:szCs w:val="24"/>
              </w:rPr>
            </w:pPr>
            <w:r>
              <w:rPr>
                <w:rFonts w:hint="eastAsia" w:ascii="仿宋" w:hAnsi="仿宋" w:eastAsia="仿宋" w:cs="仿宋"/>
                <w:sz w:val="24"/>
                <w:szCs w:val="24"/>
              </w:rPr>
              <w:t>1. 产品类型：专用壁挂式气体灭火控制器，兼容单防护区七氟丙烷灭火系统联动控制，可直接接入烟感、温感探测器及现场控制设备。</w:t>
            </w:r>
          </w:p>
          <w:p w14:paraId="42F43DAA">
            <w:pPr>
              <w:spacing w:line="0" w:lineRule="atLeast"/>
              <w:jc w:val="left"/>
              <w:rPr>
                <w:rFonts w:hint="eastAsia" w:ascii="仿宋" w:hAnsi="仿宋" w:eastAsia="仿宋" w:cs="仿宋"/>
                <w:sz w:val="24"/>
                <w:szCs w:val="24"/>
              </w:rPr>
            </w:pPr>
            <w:r>
              <w:rPr>
                <w:rFonts w:hint="eastAsia" w:ascii="仿宋" w:hAnsi="仿宋" w:eastAsia="仿宋" w:cs="仿宋"/>
                <w:sz w:val="24"/>
                <w:szCs w:val="24"/>
              </w:rPr>
              <w:t>2. 电源参数：主电AC220V±15%，50Hz；备电DC24V/7Ah免维护蓄电池，主备电自动切换，断电后可连续工作≥4小时，具备过充、过放、短路保护功能。</w:t>
            </w:r>
          </w:p>
          <w:p w14:paraId="7D98BF00">
            <w:pPr>
              <w:spacing w:line="0" w:lineRule="atLeast"/>
              <w:jc w:val="left"/>
              <w:rPr>
                <w:rFonts w:hint="eastAsia" w:ascii="仿宋" w:hAnsi="仿宋" w:eastAsia="仿宋" w:cs="仿宋"/>
                <w:sz w:val="24"/>
                <w:szCs w:val="24"/>
              </w:rPr>
            </w:pPr>
            <w:r>
              <w:rPr>
                <w:rFonts w:hint="eastAsia" w:ascii="仿宋" w:hAnsi="仿宋" w:eastAsia="仿宋" w:cs="仿宋"/>
                <w:sz w:val="24"/>
                <w:szCs w:val="24"/>
              </w:rPr>
              <w:t>3. 核心功能◦ 可同时接收烟感、温感两路独立火灾信号，实现复合报警联动，单路报警仅发出声光预警，两路复合报警进入30秒延时启动程序。</w:t>
            </w:r>
          </w:p>
          <w:p w14:paraId="2DD2F4E5">
            <w:pPr>
              <w:spacing w:line="0" w:lineRule="atLeast"/>
              <w:jc w:val="left"/>
              <w:rPr>
                <w:rFonts w:hint="eastAsia" w:ascii="仿宋" w:hAnsi="仿宋" w:eastAsia="仿宋" w:cs="仿宋"/>
                <w:sz w:val="24"/>
                <w:szCs w:val="24"/>
              </w:rPr>
            </w:pPr>
            <w:r>
              <w:rPr>
                <w:rFonts w:hint="eastAsia" w:ascii="仿宋" w:hAnsi="仿宋" w:eastAsia="仿宋" w:cs="仿宋"/>
                <w:sz w:val="24"/>
                <w:szCs w:val="24"/>
              </w:rPr>
              <w:t>4. 具备手动/自动工作模式切换功能，配有模式指示灯，实时显示运行状态；支持紧急停止功能，延时阶段可手动终止灭火启动指令。</w:t>
            </w:r>
          </w:p>
          <w:p w14:paraId="19AE4CDC">
            <w:pPr>
              <w:spacing w:line="0" w:lineRule="atLeast"/>
              <w:jc w:val="left"/>
              <w:rPr>
                <w:rFonts w:hint="eastAsia" w:ascii="仿宋" w:hAnsi="仿宋" w:eastAsia="仿宋" w:cs="仿宋"/>
                <w:sz w:val="24"/>
                <w:szCs w:val="24"/>
              </w:rPr>
            </w:pPr>
            <w:r>
              <w:rPr>
                <w:rFonts w:hint="eastAsia" w:ascii="仿宋" w:hAnsi="仿宋" w:eastAsia="仿宋" w:cs="仿宋"/>
                <w:sz w:val="24"/>
                <w:szCs w:val="24"/>
              </w:rPr>
              <w:t>5自带声光报警模块，报警声压级≥85dB（A计权），红色报警指示灯常亮/闪烁提示，可外接气体释放指示灯、声光警报器。◦ 具备故障自检功能，可检测探测器、线路、备电、电磁阀等故障，实时显示故障类型与位置，发出故障声光提示。 可存储≥1000条报警、故障、操作历史记录，掉电不丢失，支持查询追溯；采用液晶汉字显示屏，界面清晰，操作便捷</w:t>
            </w:r>
          </w:p>
          <w:p w14:paraId="5D2D6F60">
            <w:pPr>
              <w:spacing w:line="0" w:lineRule="atLeast"/>
              <w:rPr>
                <w:rFonts w:hint="eastAsia" w:ascii="仿宋" w:hAnsi="仿宋" w:eastAsia="仿宋" w:cs="仿宋"/>
                <w:sz w:val="24"/>
                <w:szCs w:val="24"/>
              </w:rPr>
            </w:pPr>
            <w:r>
              <w:rPr>
                <w:rFonts w:hint="eastAsia" w:ascii="仿宋" w:hAnsi="仿宋" w:eastAsia="仿宋" w:cs="仿宋"/>
                <w:sz w:val="24"/>
                <w:szCs w:val="24"/>
              </w:rPr>
              <w:t>6. 环境要求：工作温度-10℃~+50℃，相对湿度≤95%（无凝露）</w:t>
            </w:r>
          </w:p>
          <w:p w14:paraId="74799ED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 接口与布线：二总线无极性布线，电子编码方式，支持与现场设备双向通讯，具备联动控制输出接口，可连接灭火罐启动电磁阀、紧急启停按钮等设备。</w:t>
            </w:r>
          </w:p>
        </w:tc>
      </w:tr>
      <w:tr w14:paraId="6BE4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BA60AD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1E6792D4">
            <w:pPr>
              <w:spacing w:line="0" w:lineRule="atLeast"/>
              <w:rPr>
                <w:rFonts w:hint="eastAsia" w:ascii="仿宋" w:hAnsi="仿宋" w:eastAsia="仿宋" w:cs="仿宋"/>
                <w:sz w:val="24"/>
                <w:szCs w:val="24"/>
              </w:rPr>
            </w:pPr>
            <w:r>
              <w:rPr>
                <w:rFonts w:hint="eastAsia" w:ascii="仿宋" w:hAnsi="仿宋" w:eastAsia="仿宋" w:cs="仿宋"/>
                <w:sz w:val="24"/>
                <w:szCs w:val="24"/>
              </w:rPr>
              <w:t>紧急启停按钮</w:t>
            </w:r>
          </w:p>
          <w:p w14:paraId="6664C8D0">
            <w:pPr>
              <w:spacing w:line="0" w:lineRule="atLeast"/>
              <w:jc w:val="left"/>
              <w:rPr>
                <w:rFonts w:hint="eastAsia" w:ascii="仿宋" w:hAnsi="仿宋" w:eastAsia="仿宋" w:cs="仿宋"/>
                <w:sz w:val="24"/>
                <w:szCs w:val="24"/>
              </w:rPr>
            </w:pPr>
            <w:r>
              <w:rPr>
                <w:rFonts w:hint="eastAsia" w:ascii="仿宋" w:hAnsi="仿宋" w:eastAsia="仿宋" w:cs="仿宋"/>
                <w:sz w:val="24"/>
                <w:szCs w:val="24"/>
              </w:rPr>
              <w:t>1. 产品类型：编码型紧急启停一体化按钮，安装于防护区门外显眼位置，具备启动、停止双按键，配有专用钥匙复位，防止误操作。</w:t>
            </w:r>
          </w:p>
          <w:p w14:paraId="02BE66D2">
            <w:pPr>
              <w:spacing w:line="0" w:lineRule="atLeast"/>
              <w:jc w:val="left"/>
              <w:rPr>
                <w:rFonts w:hint="eastAsia" w:ascii="仿宋" w:hAnsi="仿宋" w:eastAsia="仿宋" w:cs="仿宋"/>
                <w:sz w:val="24"/>
                <w:szCs w:val="24"/>
              </w:rPr>
            </w:pPr>
            <w:r>
              <w:rPr>
                <w:rFonts w:hint="eastAsia" w:ascii="仿宋" w:hAnsi="仿宋" w:eastAsia="仿宋" w:cs="仿宋"/>
                <w:sz w:val="24"/>
                <w:szCs w:val="24"/>
              </w:rPr>
              <w:t>2. 电气参数：工作电压DC24V，静态电流≤0.8mA，报警电流≤1.5mA，二总线无极性接入，占用1个通讯地址，与报警主机实时通讯。</w:t>
            </w:r>
          </w:p>
          <w:p w14:paraId="126E3E78">
            <w:pPr>
              <w:spacing w:line="0" w:lineRule="atLeast"/>
              <w:jc w:val="left"/>
              <w:rPr>
                <w:rFonts w:hint="eastAsia" w:ascii="仿宋" w:hAnsi="仿宋" w:eastAsia="仿宋" w:cs="仿宋"/>
                <w:sz w:val="24"/>
                <w:szCs w:val="24"/>
              </w:rPr>
            </w:pPr>
            <w:r>
              <w:rPr>
                <w:rFonts w:hint="eastAsia" w:ascii="仿宋" w:hAnsi="仿宋" w:eastAsia="仿宋" w:cs="仿宋"/>
                <w:sz w:val="24"/>
                <w:szCs w:val="24"/>
              </w:rPr>
              <w:t>3. 功能要求：按下启动键，手动触发灭火启动程序；延时阶段按下停止键，立即终止灭火动作；配有工作、启动、停止状态指示灯，清晰显示当前操作状态。</w:t>
            </w:r>
          </w:p>
          <w:p w14:paraId="60AA41F2">
            <w:pPr>
              <w:spacing w:line="0" w:lineRule="atLeast"/>
              <w:jc w:val="left"/>
              <w:rPr>
                <w:rFonts w:hint="eastAsia" w:ascii="仿宋" w:hAnsi="仿宋" w:eastAsia="仿宋" w:cs="仿宋"/>
                <w:sz w:val="24"/>
                <w:szCs w:val="24"/>
              </w:rPr>
            </w:pPr>
            <w:r>
              <w:rPr>
                <w:rFonts w:hint="eastAsia" w:ascii="仿宋" w:hAnsi="仿宋" w:eastAsia="仿宋" w:cs="仿宋"/>
                <w:sz w:val="24"/>
                <w:szCs w:val="24"/>
              </w:rPr>
              <w:t>4. 材质与安装：外壳采用阻燃ABS材质，抗冲击、耐腐蚀，壁挂式安装，防护等级≥IP30，符合消防产品执行标准。</w:t>
            </w:r>
          </w:p>
        </w:tc>
      </w:tr>
      <w:tr w14:paraId="2C70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6D0E44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464B7ED9">
            <w:pPr>
              <w:spacing w:line="0" w:lineRule="atLeast"/>
              <w:jc w:val="left"/>
              <w:rPr>
                <w:rFonts w:hint="eastAsia" w:ascii="仿宋" w:hAnsi="仿宋" w:eastAsia="仿宋" w:cs="仿宋"/>
                <w:sz w:val="24"/>
                <w:szCs w:val="24"/>
              </w:rPr>
            </w:pPr>
            <w:r>
              <w:rPr>
                <w:rFonts w:hint="eastAsia" w:ascii="仿宋" w:hAnsi="仿宋" w:eastAsia="仿宋" w:cs="仿宋"/>
                <w:sz w:val="24"/>
                <w:szCs w:val="24"/>
              </w:rPr>
              <w:t>40kg七氟丙烷气体灭火罐</w:t>
            </w:r>
            <w:r>
              <w:rPr>
                <w:rFonts w:hint="eastAsia" w:ascii="仿宋" w:hAnsi="仿宋" w:eastAsia="仿宋" w:cs="仿宋"/>
                <w:sz w:val="24"/>
                <w:szCs w:val="24"/>
              </w:rPr>
              <w:br w:type="textWrapping"/>
            </w:r>
            <w:r>
              <w:rPr>
                <w:rFonts w:hint="eastAsia" w:ascii="仿宋" w:hAnsi="仿宋" w:eastAsia="仿宋" w:cs="仿宋"/>
                <w:sz w:val="24"/>
                <w:szCs w:val="24"/>
              </w:rPr>
              <w:t>1. 灭火剂参数：充装七氟丙烷（HFC-227ea）洁净灭火剂，净重40kg，纯度≥99.6%，符合GB 18614《七氟丙烷灭火剂》标准，不含臭氧层消耗物质，环保达标。</w:t>
            </w:r>
            <w:r>
              <w:rPr>
                <w:rFonts w:hint="eastAsia" w:ascii="仿宋" w:hAnsi="仿宋" w:eastAsia="仿宋" w:cs="仿宋"/>
                <w:sz w:val="24"/>
                <w:szCs w:val="24"/>
              </w:rPr>
              <w:br w:type="textWrapping"/>
            </w:r>
            <w:r>
              <w:rPr>
                <w:rFonts w:hint="eastAsia" w:ascii="仿宋" w:hAnsi="仿宋" w:eastAsia="仿宋" w:cs="仿宋"/>
                <w:sz w:val="24"/>
                <w:szCs w:val="24"/>
              </w:rPr>
              <w:t>2. 罐体参数：采用优质碳钢无缝气瓶，设计压力2.5MPa，工作压力2.5MPa，耐压强度≥5.0MPa，表面防腐喷涂处理，使用寿命≥12年。</w:t>
            </w:r>
            <w:r>
              <w:rPr>
                <w:rFonts w:hint="eastAsia" w:ascii="仿宋" w:hAnsi="仿宋" w:eastAsia="仿宋" w:cs="仿宋"/>
                <w:sz w:val="24"/>
                <w:szCs w:val="24"/>
              </w:rPr>
              <w:br w:type="textWrapping"/>
            </w:r>
            <w:r>
              <w:rPr>
                <w:rFonts w:hint="eastAsia" w:ascii="仿宋" w:hAnsi="仿宋" w:eastAsia="仿宋" w:cs="仿宋"/>
                <w:sz w:val="24"/>
                <w:szCs w:val="24"/>
              </w:rPr>
              <w:t>3. 阀门组件：配备专用容器阀、电磁阀、压力信号反馈装置，容器阀具备密封可靠、启动灵敏特性，电磁阀响应时间≤0.5秒，压力信号反馈装置可将灭火释放状态实时上传至报警主机。</w:t>
            </w:r>
            <w:r>
              <w:rPr>
                <w:rFonts w:hint="eastAsia" w:ascii="仿宋" w:hAnsi="仿宋" w:eastAsia="仿宋" w:cs="仿宋"/>
                <w:sz w:val="24"/>
                <w:szCs w:val="24"/>
              </w:rPr>
              <w:br w:type="textWrapping"/>
            </w:r>
            <w:r>
              <w:rPr>
                <w:rFonts w:hint="eastAsia" w:ascii="仿宋" w:hAnsi="仿宋" w:eastAsia="仿宋" w:cs="仿宋"/>
                <w:sz w:val="24"/>
                <w:szCs w:val="24"/>
              </w:rPr>
              <w:t>4. 充装与密封：灭火剂充装密度符合规范要求，充装后密封性能良好，无泄漏，罐体配有压力表，实时显示内部压力，正常工作压力区间绿色标识清晰，便于日常巡检。</w:t>
            </w:r>
          </w:p>
        </w:tc>
      </w:tr>
      <w:tr w14:paraId="0499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15604D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788F5B57">
            <w:pPr>
              <w:spacing w:line="0" w:lineRule="atLeast"/>
              <w:jc w:val="left"/>
              <w:rPr>
                <w:rFonts w:hint="eastAsia" w:ascii="仿宋" w:hAnsi="仿宋" w:eastAsia="仿宋" w:cs="仿宋"/>
                <w:sz w:val="24"/>
                <w:szCs w:val="24"/>
              </w:rPr>
            </w:pPr>
            <w:r>
              <w:rPr>
                <w:rFonts w:hint="eastAsia" w:ascii="仿宋" w:hAnsi="仿宋" w:eastAsia="仿宋" w:cs="仿宋"/>
                <w:sz w:val="24"/>
                <w:szCs w:val="24"/>
              </w:rPr>
              <w:t>灭火柜体</w:t>
            </w:r>
            <w:r>
              <w:rPr>
                <w:rFonts w:hint="eastAsia" w:ascii="仿宋" w:hAnsi="仿宋" w:eastAsia="仿宋" w:cs="仿宋"/>
                <w:sz w:val="24"/>
                <w:szCs w:val="24"/>
              </w:rPr>
              <w:br w:type="textWrapping"/>
            </w:r>
            <w:r>
              <w:rPr>
                <w:rFonts w:hint="eastAsia" w:ascii="仿宋" w:hAnsi="仿宋" w:eastAsia="仿宋" w:cs="仿宋"/>
                <w:sz w:val="24"/>
                <w:szCs w:val="24"/>
              </w:rPr>
              <w:t>1. 柜体材质：采用1.2mm以上优质冷轧钢板，整体折弯焊接成型，结构坚固，承重性能满足40kg灭火罐安装要求，表面静电喷塑处理，颜色为浅灰色/白色，美观耐腐蚀，防锈、防刮擦。</w:t>
            </w:r>
            <w:r>
              <w:rPr>
                <w:rFonts w:hint="eastAsia" w:ascii="仿宋" w:hAnsi="仿宋" w:eastAsia="仿宋" w:cs="仿宋"/>
                <w:sz w:val="24"/>
                <w:szCs w:val="24"/>
              </w:rPr>
              <w:br w:type="textWrapping"/>
            </w:r>
            <w:r>
              <w:rPr>
                <w:rFonts w:hint="eastAsia" w:ascii="仿宋" w:hAnsi="仿宋" w:eastAsia="仿宋" w:cs="仿宋"/>
                <w:sz w:val="24"/>
                <w:szCs w:val="24"/>
              </w:rPr>
              <w:t>2. 结构设计：单瓶组柜式结构，内置固定支架、抱箍，可牢固安装40kg七氟丙烷灭火罐，防止倾倒；柜体设有检修门，门锁带钥匙，便于日常维护、检测；底部配有防滑脚垫，放置平稳。</w:t>
            </w:r>
            <w:r>
              <w:rPr>
                <w:rFonts w:hint="eastAsia" w:ascii="仿宋" w:hAnsi="仿宋" w:eastAsia="仿宋" w:cs="仿宋"/>
                <w:sz w:val="24"/>
                <w:szCs w:val="24"/>
              </w:rPr>
              <w:br w:type="textWrapping"/>
            </w:r>
            <w:r>
              <w:rPr>
                <w:rFonts w:hint="eastAsia" w:ascii="仿宋" w:hAnsi="仿宋" w:eastAsia="仿宋" w:cs="仿宋"/>
                <w:sz w:val="24"/>
                <w:szCs w:val="24"/>
              </w:rPr>
              <w:t>3. 尺寸要求：外形尺寸适配40kg灭火罐，宽度≥500mm，深度≥450mm，高度≥1600mm，柜体内部布局合理，管路连接顺畅，无管网设计，安装便捷，无需额外铺设灭火管路。</w:t>
            </w:r>
            <w:r>
              <w:rPr>
                <w:rFonts w:hint="eastAsia" w:ascii="仿宋" w:hAnsi="仿宋" w:eastAsia="仿宋" w:cs="仿宋"/>
                <w:sz w:val="24"/>
                <w:szCs w:val="24"/>
              </w:rPr>
              <w:br w:type="textWrapping"/>
            </w:r>
            <w:r>
              <w:rPr>
                <w:rFonts w:hint="eastAsia" w:ascii="仿宋" w:hAnsi="仿宋" w:eastAsia="仿宋" w:cs="仿宋"/>
                <w:sz w:val="24"/>
                <w:szCs w:val="24"/>
              </w:rPr>
              <w:t>4. 防护性能：柜体具备良好的防尘、防潮性能，适应室内常规环境，符合柜式气体灭火装置通用技术要求，整体与灭火罐、控制系统匹配，外观整洁，无尖锐边角。</w:t>
            </w:r>
          </w:p>
        </w:tc>
      </w:tr>
      <w:tr w14:paraId="42EA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A817E5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17F978A3">
            <w:pPr>
              <w:spacing w:line="0" w:lineRule="atLeast"/>
              <w:jc w:val="left"/>
              <w:rPr>
                <w:rFonts w:hint="eastAsia" w:ascii="仿宋" w:hAnsi="仿宋" w:eastAsia="仿宋" w:cs="仿宋"/>
                <w:sz w:val="24"/>
                <w:szCs w:val="24"/>
              </w:rPr>
            </w:pPr>
            <w:r>
              <w:rPr>
                <w:rFonts w:hint="eastAsia" w:ascii="仿宋" w:hAnsi="仿宋" w:eastAsia="仿宋" w:cs="仿宋"/>
                <w:sz w:val="24"/>
                <w:szCs w:val="24"/>
              </w:rPr>
              <w:t>烟感:</w:t>
            </w:r>
          </w:p>
          <w:p w14:paraId="5CCF9875">
            <w:pPr>
              <w:spacing w:line="0" w:lineRule="atLeast"/>
              <w:jc w:val="left"/>
              <w:rPr>
                <w:rFonts w:hint="eastAsia" w:ascii="仿宋" w:hAnsi="仿宋" w:eastAsia="仿宋" w:cs="仿宋"/>
                <w:sz w:val="24"/>
                <w:szCs w:val="24"/>
              </w:rPr>
            </w:pPr>
            <w:r>
              <w:rPr>
                <w:rFonts w:hint="eastAsia" w:ascii="仿宋" w:hAnsi="仿宋" w:eastAsia="仿宋" w:cs="仿宋"/>
                <w:sz w:val="24"/>
                <w:szCs w:val="24"/>
              </w:rPr>
              <w:t>1. 产品类型：编码型光电感烟探测器，二总线无极性通讯，与报警主机配套使用，具备智能火灾探测算法，抗干扰能力强，减少误报。</w:t>
            </w:r>
            <w:r>
              <w:rPr>
                <w:rFonts w:hint="eastAsia" w:ascii="仿宋" w:hAnsi="仿宋" w:eastAsia="仿宋" w:cs="仿宋"/>
                <w:sz w:val="24"/>
                <w:szCs w:val="24"/>
              </w:rPr>
              <w:br w:type="textWrapping"/>
            </w:r>
            <w:r>
              <w:rPr>
                <w:rFonts w:hint="eastAsia" w:ascii="仿宋" w:hAnsi="仿宋" w:eastAsia="仿宋" w:cs="仿宋"/>
                <w:sz w:val="24"/>
                <w:szCs w:val="24"/>
              </w:rPr>
              <w:t>2. 技术参数：工作电压DC24V，静态电流≤0.6mA，报警电流≤1.8mA，灵敏度可调，响应时间符合国家标准，对阴燃火、烟雾探测灵敏，探测范围覆盖常规防护区空间。</w:t>
            </w:r>
            <w:r>
              <w:rPr>
                <w:rFonts w:hint="eastAsia" w:ascii="仿宋" w:hAnsi="仿宋" w:eastAsia="仿宋" w:cs="仿宋"/>
                <w:sz w:val="24"/>
                <w:szCs w:val="24"/>
              </w:rPr>
              <w:br w:type="textWrapping"/>
            </w:r>
            <w:r>
              <w:rPr>
                <w:rFonts w:hint="eastAsia" w:ascii="仿宋" w:hAnsi="仿宋" w:eastAsia="仿宋" w:cs="仿宋"/>
                <w:sz w:val="24"/>
                <w:szCs w:val="24"/>
              </w:rPr>
              <w:t>3. 功能要求：内置自诊断功能，可检测探测器故障、污染、线路短路/断路，实时上传报警主机；配有红色报警指示灯，巡检时闪烁，报警时常亮。</w:t>
            </w:r>
            <w:r>
              <w:rPr>
                <w:rFonts w:hint="eastAsia" w:ascii="仿宋" w:hAnsi="仿宋" w:eastAsia="仿宋" w:cs="仿宋"/>
                <w:sz w:val="24"/>
                <w:szCs w:val="24"/>
              </w:rPr>
              <w:br w:type="textWrapping"/>
            </w:r>
            <w:r>
              <w:rPr>
                <w:rFonts w:hint="eastAsia" w:ascii="仿宋" w:hAnsi="仿宋" w:eastAsia="仿宋" w:cs="仿宋"/>
                <w:sz w:val="24"/>
                <w:szCs w:val="24"/>
              </w:rPr>
              <w:t>4. 工作温度-10℃~+50℃，相对湿度≤95%（无凝露），吸顶式安装，安装便捷牢固。</w:t>
            </w:r>
          </w:p>
        </w:tc>
      </w:tr>
      <w:tr w14:paraId="52439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CBC400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24395CD4">
            <w:pPr>
              <w:spacing w:line="0" w:lineRule="atLeast"/>
              <w:jc w:val="left"/>
              <w:rPr>
                <w:rFonts w:hint="eastAsia" w:ascii="仿宋" w:hAnsi="仿宋" w:eastAsia="仿宋" w:cs="仿宋"/>
                <w:sz w:val="24"/>
                <w:szCs w:val="24"/>
              </w:rPr>
            </w:pPr>
            <w:r>
              <w:rPr>
                <w:rFonts w:hint="eastAsia" w:ascii="仿宋" w:hAnsi="仿宋" w:eastAsia="仿宋" w:cs="仿宋"/>
                <w:sz w:val="24"/>
                <w:szCs w:val="24"/>
              </w:rPr>
              <w:t>温感:</w:t>
            </w:r>
          </w:p>
          <w:p w14:paraId="221D3B7E">
            <w:pPr>
              <w:spacing w:line="0" w:lineRule="atLeast"/>
              <w:jc w:val="left"/>
              <w:rPr>
                <w:rFonts w:hint="eastAsia" w:ascii="仿宋" w:hAnsi="仿宋" w:eastAsia="仿宋" w:cs="仿宋"/>
                <w:sz w:val="24"/>
                <w:szCs w:val="24"/>
              </w:rPr>
            </w:pPr>
            <w:r>
              <w:rPr>
                <w:rFonts w:hint="eastAsia" w:ascii="仿宋" w:hAnsi="仿宋" w:eastAsia="仿宋" w:cs="仿宋"/>
                <w:sz w:val="24"/>
                <w:szCs w:val="24"/>
              </w:rPr>
              <w:t>1. 产品类型：编码型差定温感温探测器，二总线无极性通讯，与报警主机、烟感探测器配套组成复合探测系统，精准识别高温火灾信号。</w:t>
            </w:r>
            <w:r>
              <w:rPr>
                <w:rFonts w:hint="eastAsia" w:ascii="仿宋" w:hAnsi="仿宋" w:eastAsia="仿宋" w:cs="仿宋"/>
                <w:sz w:val="24"/>
                <w:szCs w:val="24"/>
              </w:rPr>
              <w:br w:type="textWrapping"/>
            </w:r>
            <w:r>
              <w:rPr>
                <w:rFonts w:hint="eastAsia" w:ascii="仿宋" w:hAnsi="仿宋" w:eastAsia="仿宋" w:cs="仿宋"/>
                <w:sz w:val="24"/>
                <w:szCs w:val="24"/>
              </w:rPr>
              <w:t>2. 技术参数：工作电压DC24V，静态电流≤0.6mA，报警电流≤1.8mA，报警温度60℃±5℃，具备差温、定温双重探测功能，响应迅速，不受环境温度波动、粉尘干扰。</w:t>
            </w:r>
            <w:r>
              <w:rPr>
                <w:rFonts w:hint="eastAsia" w:ascii="仿宋" w:hAnsi="仿宋" w:eastAsia="仿宋" w:cs="仿宋"/>
                <w:sz w:val="24"/>
                <w:szCs w:val="24"/>
              </w:rPr>
              <w:br w:type="textWrapping"/>
            </w:r>
            <w:r>
              <w:rPr>
                <w:rFonts w:hint="eastAsia" w:ascii="仿宋" w:hAnsi="仿宋" w:eastAsia="仿宋" w:cs="仿宋"/>
                <w:sz w:val="24"/>
                <w:szCs w:val="24"/>
              </w:rPr>
              <w:t>3. 功能要求：具备自诊断故障检测功能，可上传故障、报警信号至主机；红色报警指示灯，巡检闪烁、报警常亮，与烟感探测器联动，实现复合报警逻辑。</w:t>
            </w:r>
            <w:r>
              <w:rPr>
                <w:rFonts w:hint="eastAsia" w:ascii="仿宋" w:hAnsi="仿宋" w:eastAsia="仿宋" w:cs="仿宋"/>
                <w:sz w:val="24"/>
                <w:szCs w:val="24"/>
              </w:rPr>
              <w:br w:type="textWrapping"/>
            </w:r>
            <w:r>
              <w:rPr>
                <w:rFonts w:hint="eastAsia" w:ascii="仿宋" w:hAnsi="仿宋" w:eastAsia="仿宋" w:cs="仿宋"/>
                <w:sz w:val="24"/>
                <w:szCs w:val="24"/>
              </w:rPr>
              <w:t>4. 工作温度-10℃~+50℃，相对湿度≤95%（无凝露），吸顶式安装，适配各类室内防护区。</w:t>
            </w:r>
          </w:p>
        </w:tc>
      </w:tr>
    </w:tbl>
    <w:p w14:paraId="74F4C522">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出入管控</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2A7E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A2B547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vAlign w:val="center"/>
          </w:tcPr>
          <w:p w14:paraId="7ED1F27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6499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3E085F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399FC826">
            <w:pPr>
              <w:spacing w:line="0" w:lineRule="atLeast"/>
              <w:jc w:val="left"/>
              <w:rPr>
                <w:rFonts w:hint="eastAsia" w:ascii="仿宋" w:hAnsi="仿宋" w:eastAsia="仿宋" w:cs="仿宋"/>
                <w:sz w:val="24"/>
                <w:szCs w:val="24"/>
              </w:rPr>
            </w:pPr>
            <w:r>
              <w:rPr>
                <w:rFonts w:hint="eastAsia" w:ascii="仿宋" w:hAnsi="仿宋" w:eastAsia="仿宋" w:cs="仿宋"/>
                <w:sz w:val="24"/>
                <w:szCs w:val="24"/>
              </w:rPr>
              <w:t>屏幕参数：4.3英寸LCD触摸显示屏，屏幕比例9:16，屏幕分辨率600*1024； 配置防火门磁力锁，300KG拉力，开门按钮</w:t>
            </w:r>
          </w:p>
        </w:tc>
      </w:tr>
      <w:tr w14:paraId="1C7C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26" w:type="dxa"/>
            <w:vAlign w:val="center"/>
          </w:tcPr>
          <w:p w14:paraId="0146A14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500817B5">
            <w:pPr>
              <w:spacing w:line="0" w:lineRule="atLeast"/>
              <w:jc w:val="left"/>
              <w:rPr>
                <w:rFonts w:hint="eastAsia" w:ascii="仿宋" w:hAnsi="仿宋" w:eastAsia="仿宋" w:cs="仿宋"/>
                <w:sz w:val="24"/>
                <w:szCs w:val="24"/>
              </w:rPr>
            </w:pPr>
            <w:r>
              <w:rPr>
                <w:rFonts w:hint="eastAsia" w:ascii="仿宋" w:hAnsi="仿宋" w:eastAsia="仿宋" w:cs="仿宋"/>
                <w:sz w:val="24"/>
                <w:szCs w:val="24"/>
              </w:rPr>
              <w:t>摄像头参数：采用宽动态200万双目摄像头，采用星光级图像传感器，无需白光补光灯，在暗光或无光环境下人脸认证效果不受影响；</w:t>
            </w:r>
          </w:p>
        </w:tc>
      </w:tr>
      <w:tr w14:paraId="37BA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C39869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4C9A625F">
            <w:pPr>
              <w:spacing w:line="0" w:lineRule="atLeast"/>
              <w:jc w:val="left"/>
              <w:rPr>
                <w:rFonts w:hint="eastAsia" w:ascii="仿宋" w:hAnsi="仿宋" w:eastAsia="仿宋" w:cs="仿宋"/>
                <w:sz w:val="24"/>
                <w:szCs w:val="24"/>
              </w:rPr>
            </w:pPr>
            <w:r>
              <w:rPr>
                <w:rFonts w:hint="eastAsia" w:ascii="仿宋" w:hAnsi="仿宋" w:eastAsia="仿宋" w:cs="仿宋"/>
                <w:sz w:val="24"/>
                <w:szCs w:val="24"/>
              </w:rPr>
              <w:t>扩展认证：可外接身份证尾插实现认证比对；可外接指纹尾插实现指纹识别；可外接二维码尾插实现更灵敏的二维码认证；支持单人多种方式组合认证</w:t>
            </w:r>
          </w:p>
        </w:tc>
      </w:tr>
      <w:tr w14:paraId="1BD2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1A73194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tcPr>
          <w:p w14:paraId="6882361D">
            <w:pPr>
              <w:spacing w:line="0" w:lineRule="atLeast"/>
              <w:jc w:val="left"/>
              <w:rPr>
                <w:rFonts w:hint="eastAsia" w:ascii="仿宋" w:hAnsi="仿宋" w:eastAsia="仿宋" w:cs="仿宋"/>
                <w:sz w:val="24"/>
                <w:szCs w:val="24"/>
              </w:rPr>
            </w:pPr>
            <w:r>
              <w:rPr>
                <w:rFonts w:hint="eastAsia" w:ascii="仿宋" w:hAnsi="仿宋" w:eastAsia="仿宋" w:cs="仿宋"/>
                <w:sz w:val="24"/>
                <w:szCs w:val="24"/>
              </w:rPr>
              <w:t>基础认证：支持人脸、刷卡（IC卡、手机NFC卡、CPU卡序列号和加密内容、身份证卡序列号）、密码认证方式</w:t>
            </w:r>
          </w:p>
        </w:tc>
      </w:tr>
      <w:tr w14:paraId="18A0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EDDAC7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tcPr>
          <w:p w14:paraId="0A72F9F6">
            <w:pPr>
              <w:spacing w:line="0" w:lineRule="atLeast"/>
              <w:jc w:val="left"/>
              <w:rPr>
                <w:rFonts w:hint="eastAsia" w:ascii="仿宋" w:hAnsi="仿宋" w:eastAsia="仿宋" w:cs="仿宋"/>
                <w:sz w:val="24"/>
                <w:szCs w:val="24"/>
              </w:rPr>
            </w:pPr>
            <w:r>
              <w:rPr>
                <w:rFonts w:hint="eastAsia" w:ascii="仿宋" w:hAnsi="仿宋" w:eastAsia="仿宋" w:cs="仿宋"/>
                <w:sz w:val="24"/>
                <w:szCs w:val="24"/>
              </w:rPr>
              <w:t xml:space="preserve">采用深度学习算法，支持单人或多人认证（最多5人同时认证）功能；支持照片、视频防假；1:N人脸认证速度＜0.2s，人脸验证准确率≥99%；人脸认证距离＞2m; </w:t>
            </w:r>
          </w:p>
        </w:tc>
      </w:tr>
      <w:tr w14:paraId="1316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EB57E0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tcPr>
          <w:p w14:paraId="23D88CF8">
            <w:pPr>
              <w:spacing w:line="0" w:lineRule="atLeast"/>
              <w:jc w:val="left"/>
              <w:rPr>
                <w:rFonts w:hint="eastAsia" w:ascii="仿宋" w:hAnsi="仿宋" w:eastAsia="仿宋" w:cs="仿宋"/>
                <w:sz w:val="24"/>
                <w:szCs w:val="24"/>
              </w:rPr>
            </w:pPr>
            <w:r>
              <w:rPr>
                <w:rFonts w:hint="eastAsia" w:ascii="仿宋" w:hAnsi="仿宋" w:eastAsia="仿宋" w:cs="仿宋"/>
                <w:sz w:val="24"/>
                <w:szCs w:val="24"/>
              </w:rPr>
              <w:t>口罩检测：支持口罩检测模式，可配置提醒戴口罩模式、强制戴口罩模式，关联门禁控制</w:t>
            </w:r>
          </w:p>
        </w:tc>
      </w:tr>
    </w:tbl>
    <w:p w14:paraId="4F15661F">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后备电源</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5707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55D6F4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vAlign w:val="center"/>
          </w:tcPr>
          <w:p w14:paraId="795CEF4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6354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8C9D8B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vAlign w:val="center"/>
          </w:tcPr>
          <w:p w14:paraId="4474DB5A">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额定容量：6KVA波峰因数： </w:t>
            </w:r>
          </w:p>
        </w:tc>
      </w:tr>
      <w:tr w14:paraId="6A57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271AD9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vAlign w:val="center"/>
          </w:tcPr>
          <w:p w14:paraId="2628BF1E">
            <w:pPr>
              <w:spacing w:line="0" w:lineRule="atLeast"/>
              <w:rPr>
                <w:rFonts w:hint="eastAsia" w:ascii="仿宋" w:hAnsi="仿宋" w:eastAsia="仿宋" w:cs="仿宋"/>
                <w:sz w:val="24"/>
                <w:szCs w:val="24"/>
              </w:rPr>
            </w:pPr>
            <w:r>
              <w:rPr>
                <w:rFonts w:hint="eastAsia" w:ascii="仿宋" w:hAnsi="仿宋" w:eastAsia="仿宋" w:cs="仿宋"/>
                <w:sz w:val="24"/>
                <w:szCs w:val="24"/>
              </w:rPr>
              <w:t>输入电压范围：(120±5)VAC~(275±5)VAC，输入电流(Max)：27A，输入频率：50Hz/60hz，输入功率因数：＞0.99，输入旁路电压：(120±5)VAC~(264±5)VAC（软件可调），输出额定电压 :220VAC</w:t>
            </w:r>
          </w:p>
        </w:tc>
      </w:tr>
      <w:tr w14:paraId="05F5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A9FF26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vAlign w:val="center"/>
          </w:tcPr>
          <w:p w14:paraId="123396A9">
            <w:pPr>
              <w:spacing w:line="0" w:lineRule="atLeast"/>
              <w:rPr>
                <w:rFonts w:hint="eastAsia" w:ascii="仿宋" w:hAnsi="仿宋" w:eastAsia="仿宋" w:cs="仿宋"/>
                <w:sz w:val="24"/>
                <w:szCs w:val="24"/>
              </w:rPr>
            </w:pPr>
            <w:r>
              <w:rPr>
                <w:rFonts w:hint="eastAsia" w:ascii="仿宋" w:hAnsi="仿宋" w:eastAsia="仿宋" w:cs="仿宋"/>
                <w:sz w:val="24"/>
                <w:szCs w:val="24"/>
              </w:rPr>
              <w:t>入频率相同(46Hz~54Hz) ;．50Hz(市电频率&gt;54Hz或者市电频率&lt;46Hz)</w:t>
            </w:r>
          </w:p>
        </w:tc>
      </w:tr>
      <w:tr w14:paraId="4F13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4D9164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8836" w:type="dxa"/>
            <w:vAlign w:val="center"/>
          </w:tcPr>
          <w:p w14:paraId="0C082A75">
            <w:pPr>
              <w:spacing w:line="0" w:lineRule="atLeast"/>
              <w:rPr>
                <w:rFonts w:hint="eastAsia" w:ascii="仿宋" w:hAnsi="仿宋" w:eastAsia="仿宋" w:cs="仿宋"/>
                <w:sz w:val="24"/>
                <w:szCs w:val="24"/>
              </w:rPr>
            </w:pPr>
            <w:r>
              <w:rPr>
                <w:rFonts w:hint="eastAsia" w:ascii="仿宋" w:hAnsi="仿宋" w:eastAsia="仿宋" w:cs="仿宋"/>
                <w:sz w:val="24"/>
                <w:szCs w:val="24"/>
              </w:rPr>
              <w:t>输出功率因数：0.9，输出电压精度：±1%，负载&gt;135%±5%，100ms后转旁路告警。</w:t>
            </w:r>
          </w:p>
        </w:tc>
      </w:tr>
      <w:tr w14:paraId="4391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6FA1183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8836" w:type="dxa"/>
            <w:vAlign w:val="center"/>
          </w:tcPr>
          <w:p w14:paraId="3EEC972A">
            <w:pPr>
              <w:spacing w:line="0" w:lineRule="atLeast"/>
              <w:rPr>
                <w:rFonts w:hint="eastAsia" w:ascii="仿宋" w:hAnsi="仿宋" w:eastAsia="仿宋" w:cs="仿宋"/>
                <w:sz w:val="24"/>
                <w:szCs w:val="24"/>
              </w:rPr>
            </w:pPr>
            <w:r>
              <w:rPr>
                <w:rFonts w:hint="eastAsia" w:ascii="仿宋" w:hAnsi="仿宋" w:eastAsia="仿宋" w:cs="仿宋"/>
                <w:sz w:val="24"/>
                <w:szCs w:val="24"/>
              </w:rPr>
              <w:t>转换时间 (ms):市电←→电池   0 ms；市电←→旁路 &lt; 4 ms</w:t>
            </w:r>
          </w:p>
        </w:tc>
      </w:tr>
      <w:tr w14:paraId="311E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3F2B54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8836" w:type="dxa"/>
            <w:vAlign w:val="center"/>
          </w:tcPr>
          <w:p w14:paraId="30D7C8D0">
            <w:pPr>
              <w:spacing w:line="0" w:lineRule="atLeast"/>
              <w:rPr>
                <w:rFonts w:hint="eastAsia" w:ascii="仿宋" w:hAnsi="仿宋" w:eastAsia="仿宋" w:cs="仿宋"/>
                <w:sz w:val="24"/>
                <w:szCs w:val="24"/>
              </w:rPr>
            </w:pPr>
            <w:r>
              <w:rPr>
                <w:rFonts w:hint="eastAsia" w:ascii="仿宋" w:hAnsi="仿宋" w:eastAsia="仿宋" w:cs="仿宋"/>
                <w:sz w:val="24"/>
                <w:szCs w:val="24"/>
              </w:rPr>
              <w:t>内置蓄电池电压:192VDC</w:t>
            </w:r>
          </w:p>
        </w:tc>
      </w:tr>
      <w:tr w14:paraId="4423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2D449CE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8836" w:type="dxa"/>
            <w:vAlign w:val="center"/>
          </w:tcPr>
          <w:p w14:paraId="3A2593B5">
            <w:pPr>
              <w:spacing w:line="0" w:lineRule="atLeast"/>
              <w:rPr>
                <w:rFonts w:hint="eastAsia" w:ascii="仿宋" w:hAnsi="仿宋" w:eastAsia="仿宋" w:cs="仿宋"/>
                <w:sz w:val="24"/>
                <w:szCs w:val="24"/>
              </w:rPr>
            </w:pPr>
            <w:r>
              <w:rPr>
                <w:rFonts w:hint="eastAsia" w:ascii="仿宋" w:hAnsi="仿宋" w:eastAsia="仿宋" w:cs="仿宋"/>
                <w:sz w:val="24"/>
                <w:szCs w:val="24"/>
              </w:rPr>
              <w:t>充电电流 :5.5A</w:t>
            </w:r>
          </w:p>
        </w:tc>
      </w:tr>
      <w:tr w14:paraId="2696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09166D8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8836" w:type="dxa"/>
            <w:vAlign w:val="center"/>
          </w:tcPr>
          <w:p w14:paraId="59D5C506">
            <w:pPr>
              <w:spacing w:line="0" w:lineRule="atLeast"/>
              <w:rPr>
                <w:rFonts w:hint="eastAsia" w:ascii="仿宋" w:hAnsi="仿宋" w:eastAsia="仿宋" w:cs="仿宋"/>
                <w:sz w:val="24"/>
                <w:szCs w:val="24"/>
              </w:rPr>
            </w:pPr>
            <w:r>
              <w:rPr>
                <w:rFonts w:hint="eastAsia" w:ascii="仿宋" w:hAnsi="仿宋" w:eastAsia="仿宋" w:cs="仿宋"/>
                <w:sz w:val="24"/>
                <w:szCs w:val="24"/>
              </w:rPr>
              <w:t>运行温度( ℃ ) :0 ℃ - 40 ℃ ，相对温度 :20% - 90% 无凝露</w:t>
            </w:r>
          </w:p>
        </w:tc>
      </w:tr>
      <w:tr w14:paraId="66D9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7576638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c>
          <w:tcPr>
            <w:tcW w:w="8836" w:type="dxa"/>
            <w:vAlign w:val="center"/>
          </w:tcPr>
          <w:p w14:paraId="7EAA92B8">
            <w:pPr>
              <w:spacing w:line="0" w:lineRule="atLeast"/>
              <w:rPr>
                <w:rFonts w:hint="eastAsia" w:ascii="仿宋" w:hAnsi="仿宋" w:eastAsia="仿宋" w:cs="仿宋"/>
                <w:sz w:val="24"/>
                <w:szCs w:val="24"/>
              </w:rPr>
            </w:pPr>
            <w:r>
              <w:rPr>
                <w:rFonts w:hint="eastAsia" w:ascii="仿宋" w:hAnsi="仿宋" w:eastAsia="仿宋" w:cs="仿宋"/>
                <w:sz w:val="24"/>
                <w:szCs w:val="24"/>
              </w:rPr>
              <w:t>配电柜满足现场使用需求</w:t>
            </w:r>
          </w:p>
        </w:tc>
      </w:tr>
    </w:tbl>
    <w:p w14:paraId="5370261F">
      <w:pPr>
        <w:numPr>
          <w:ilvl w:val="0"/>
          <w:numId w:val="8"/>
        </w:numPr>
        <w:spacing w:line="360" w:lineRule="auto"/>
        <w:ind w:left="480"/>
        <w:jc w:val="left"/>
        <w:rPr>
          <w:rFonts w:hint="eastAsia" w:ascii="仿宋" w:hAnsi="仿宋" w:eastAsia="仿宋" w:cs="仿宋"/>
          <w:sz w:val="24"/>
          <w:szCs w:val="24"/>
        </w:rPr>
      </w:pPr>
      <w:r>
        <w:rPr>
          <w:rFonts w:hint="eastAsia" w:ascii="仿宋" w:hAnsi="仿宋" w:eastAsia="仿宋" w:cs="仿宋"/>
          <w:sz w:val="24"/>
          <w:szCs w:val="24"/>
        </w:rPr>
        <w:t>机房环境</w:t>
      </w:r>
    </w:p>
    <w:tbl>
      <w:tblPr>
        <w:tblStyle w:val="2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836"/>
      </w:tblGrid>
      <w:tr w14:paraId="6984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4727A35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8836" w:type="dxa"/>
          </w:tcPr>
          <w:p w14:paraId="0B887B78">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性能需求</w:t>
            </w:r>
          </w:p>
        </w:tc>
      </w:tr>
      <w:tr w14:paraId="00BA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3245CC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8836" w:type="dxa"/>
          </w:tcPr>
          <w:p w14:paraId="4E34909E">
            <w:pPr>
              <w:spacing w:line="0" w:lineRule="atLeast"/>
              <w:rPr>
                <w:rFonts w:hint="eastAsia" w:ascii="仿宋" w:hAnsi="仿宋" w:eastAsia="仿宋" w:cs="仿宋"/>
                <w:sz w:val="24"/>
                <w:szCs w:val="24"/>
              </w:rPr>
            </w:pPr>
            <w:r>
              <w:rPr>
                <w:rFonts w:hint="eastAsia" w:ascii="仿宋" w:hAnsi="仿宋" w:eastAsia="仿宋" w:cs="仿宋"/>
                <w:sz w:val="24"/>
                <w:szCs w:val="24"/>
              </w:rPr>
              <w:t>防静电地板25平，尺寸600*600，冷轧钢板冲压，内填发泡水泥/石膏，A级不燃，表面电阻10⁴–10⁸Ω</w:t>
            </w:r>
          </w:p>
        </w:tc>
      </w:tr>
      <w:tr w14:paraId="717B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4C8F10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8836" w:type="dxa"/>
          </w:tcPr>
          <w:p w14:paraId="798A44F1">
            <w:pPr>
              <w:spacing w:line="0" w:lineRule="atLeast"/>
              <w:jc w:val="left"/>
              <w:rPr>
                <w:rFonts w:hint="eastAsia" w:ascii="仿宋" w:hAnsi="仿宋" w:eastAsia="仿宋" w:cs="仿宋"/>
                <w:sz w:val="24"/>
                <w:szCs w:val="24"/>
              </w:rPr>
            </w:pPr>
            <w:r>
              <w:rPr>
                <w:rFonts w:hint="eastAsia" w:ascii="仿宋" w:hAnsi="仿宋" w:eastAsia="仿宋" w:cs="仿宋"/>
                <w:sz w:val="24"/>
                <w:szCs w:val="24"/>
              </w:rPr>
              <w:t>机房墙面出新60平方米彩钢板材质，达到防火要求。</w:t>
            </w:r>
          </w:p>
        </w:tc>
      </w:tr>
      <w:tr w14:paraId="51E3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vAlign w:val="center"/>
          </w:tcPr>
          <w:p w14:paraId="329C5CC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8836" w:type="dxa"/>
          </w:tcPr>
          <w:p w14:paraId="0F3B3F24">
            <w:pPr>
              <w:spacing w:line="0" w:lineRule="atLeast"/>
              <w:rPr>
                <w:rFonts w:hint="eastAsia" w:ascii="仿宋" w:hAnsi="仿宋" w:eastAsia="仿宋" w:cs="仿宋"/>
                <w:sz w:val="24"/>
                <w:szCs w:val="24"/>
              </w:rPr>
            </w:pPr>
            <w:r>
              <w:rPr>
                <w:rFonts w:hint="eastAsia" w:ascii="仿宋" w:hAnsi="仿宋" w:eastAsia="仿宋" w:cs="仿宋"/>
                <w:sz w:val="24"/>
                <w:szCs w:val="24"/>
              </w:rPr>
              <w:t>防火门一套，A类防火，钢材，防火闭门器，防火五金，满足防火要求。</w:t>
            </w:r>
          </w:p>
        </w:tc>
      </w:tr>
    </w:tbl>
    <w:p w14:paraId="2E6545D6">
      <w:pPr>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    ★供应商应根据项目实施情况，自行测算布线施工量及线缆及辅材使用量，包含所有设备互通所需要的连接配件。供应商投标报价包含所有费用，用户不再另行支付其它费用。</w:t>
      </w:r>
    </w:p>
    <w:p w14:paraId="2F9B2879">
      <w:pPr>
        <w:pStyle w:val="18"/>
        <w:spacing w:before="0" w:beforeAutospacing="0" w:after="0" w:afterAutospacing="0" w:line="360" w:lineRule="auto"/>
        <w:ind w:firstLine="480"/>
        <w:jc w:val="both"/>
        <w:rPr>
          <w:rFonts w:hint="eastAsia" w:ascii="仿宋" w:hAnsi="仿宋" w:eastAsia="仿宋" w:cs="仿宋"/>
          <w:b/>
          <w:bCs/>
        </w:rPr>
      </w:pPr>
      <w:r>
        <w:rPr>
          <w:rFonts w:hint="eastAsia" w:ascii="仿宋" w:hAnsi="仿宋" w:eastAsia="仿宋" w:cs="仿宋"/>
          <w:b/>
          <w:bCs/>
        </w:rPr>
        <w:t>分包二：江苏农林大厦3楼大会议室视频会议基础设施优化升级</w:t>
      </w:r>
    </w:p>
    <w:p w14:paraId="6597F2FB">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1、实施内容</w:t>
      </w:r>
    </w:p>
    <w:p w14:paraId="4C6C42C0">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厅</w:t>
      </w:r>
      <w:r>
        <w:rPr>
          <w:rFonts w:hint="eastAsia" w:ascii="仿宋" w:hAnsi="仿宋" w:eastAsia="仿宋" w:cs="仿宋"/>
          <w:sz w:val="24"/>
          <w:szCs w:val="24"/>
        </w:rPr>
        <w:t>3楼大会议室作为全厅视频会议召开的核心场所，现有矩阵故障、大屏拼接控制能力不足、控制系统滞后等问题尤为突出，严重影响视频会议保障水平。本次重点开展以下优化，全面提升会场功能和使用体验，确保满足大型高清音视频会议需求：</w:t>
      </w:r>
      <w:r>
        <w:rPr>
          <w:rFonts w:hint="eastAsia" w:ascii="仿宋" w:hAnsi="仿宋" w:eastAsia="仿宋" w:cs="仿宋"/>
          <w:sz w:val="24"/>
          <w:szCs w:val="24"/>
        </w:rPr>
        <w:br w:type="textWrapping"/>
      </w:r>
      <w:r>
        <w:rPr>
          <w:rFonts w:hint="eastAsia" w:ascii="仿宋" w:hAnsi="仿宋" w:eastAsia="仿宋" w:cs="仿宋"/>
          <w:sz w:val="24"/>
          <w:szCs w:val="24"/>
        </w:rPr>
        <w:t xml:space="preserve">    （1）更换故障矩阵设备：全面拆除现有故障矩阵设备，结合大报告厅实际使用场景，精准核查统计视频信号源（含高清摄像机、笔记本电脑接口、U盘接口、视频播放器等）及输出设备（大屏拼接屏、投影仪、音响系统等）的数量、规格及接口类型，更换为约31路高清视频矩阵设备。矩阵设备选用行业知名品牌、符合政务工程标准、质量可靠、性能稳定的产品，支持60Hz高清信号无损传输，兼容1080P等向下兼容格式，接口配置充足且全面适配各类设备，具备信号缓冲、抗干扰、故障自检等功能，可实现多路视频信号的同步采集、稳定传输和灵活切换，彻底解决原有矩阵接口损坏、信号传输不稳定、路数不足及画质不佳等问题，充分适配大型会议高清展示需求。</w:t>
      </w:r>
      <w:r>
        <w:rPr>
          <w:rFonts w:hint="eastAsia" w:ascii="仿宋" w:hAnsi="仿宋" w:eastAsia="仿宋" w:cs="仿宋"/>
          <w:sz w:val="24"/>
          <w:szCs w:val="24"/>
        </w:rPr>
        <w:br w:type="textWrapping"/>
      </w:r>
      <w:r>
        <w:rPr>
          <w:rFonts w:hint="eastAsia" w:ascii="仿宋" w:hAnsi="仿宋" w:eastAsia="仿宋" w:cs="仿宋"/>
          <w:sz w:val="24"/>
          <w:szCs w:val="24"/>
        </w:rPr>
        <w:t xml:space="preserve">    （2）更换大屏拼接控制器：拆除现有老旧、故障的大屏拼接控制器，采用先进的分布式拼接控制系统，该系统需具备6路分屏能力，支持多画面灵活拆分、组合显示、漫游叠加、无缝切换等功能，可根据会议实际需求，灵活切换单屏显示、多屏分显、画面拼接等展示模式，适配大型会议中政策文件、视频画面、数据图表、会议议程等多内容同步展示的需求。系统需与新更换的31路矩阵设备、大屏拼接屏精准适配，实现信号快速同步、切换流畅无卡顿，分屏显示清晰、色彩均匀、画质无损，同时具备故障自检、信号备份、应急切换等功能，确保大屏展示稳定可靠，进一步提升大屏使用的灵活性和实用性。</w:t>
      </w:r>
      <w:r>
        <w:rPr>
          <w:rFonts w:hint="eastAsia" w:ascii="仿宋" w:hAnsi="仿宋" w:eastAsia="仿宋" w:cs="仿宋"/>
          <w:sz w:val="24"/>
          <w:szCs w:val="24"/>
        </w:rPr>
        <w:br w:type="textWrapping"/>
      </w:r>
      <w:r>
        <w:rPr>
          <w:rFonts w:hint="eastAsia" w:ascii="仿宋" w:hAnsi="仿宋" w:eastAsia="仿宋" w:cs="仿宋"/>
          <w:sz w:val="24"/>
          <w:szCs w:val="24"/>
        </w:rPr>
        <w:t xml:space="preserve">    （3）更新配套集中控制系统：同步更换与新矩阵、分布式拼接控制系统精准适配的集中控制系统，选用操作便捷、功能全面、稳定性强的控制主机和控制面板，优化操作流程，实现视频信号、音频信号、大屏显示等设备的一体化集中调控。控制系统需具备场景记忆功能，可预设视频会商、培训宣讲、工作会议等各类常用会议场景的设备参数，实现一键切换场景模式，大幅降低工作人员操作难度；支持远程控制和本地控制双重模式，便于后期设备维护和会议应急调控，确保控制系统与会场各类设备（音响、大屏、矩阵等）联动顺畅、调控精准，全面满足各类会议场景的多样化使用需求，提升会议开展的流畅度和便捷性。</w:t>
      </w:r>
      <w:r>
        <w:rPr>
          <w:rFonts w:hint="eastAsia" w:ascii="仿宋" w:hAnsi="仿宋" w:eastAsia="仿宋" w:cs="仿宋"/>
          <w:sz w:val="24"/>
          <w:szCs w:val="24"/>
        </w:rPr>
        <w:br w:type="textWrapping"/>
      </w:r>
      <w:r>
        <w:rPr>
          <w:rFonts w:hint="eastAsia" w:ascii="仿宋" w:hAnsi="仿宋" w:eastAsia="仿宋" w:cs="仿宋"/>
          <w:sz w:val="24"/>
          <w:szCs w:val="24"/>
        </w:rPr>
        <w:t xml:space="preserve">    （4）配套辅助优化措施：对矩阵、拼接控制器、集中控制系统的安装位置进行科学规划，采用标准化安装支架，做好设备固定、防尘、防潮防护处理，确保设备长期稳定运行；全面梳理各类设备连接线缆，拆除老化、破损、不符合</w:t>
      </w:r>
      <w:r>
        <w:rPr>
          <w:rFonts w:hint="eastAsia" w:ascii="仿宋" w:hAnsi="仿宋" w:eastAsia="仿宋" w:cs="仿宋"/>
          <w:sz w:val="24"/>
          <w:szCs w:val="24"/>
          <w:lang w:val="en-US" w:eastAsia="zh-CN"/>
        </w:rPr>
        <w:t>高清</w:t>
      </w:r>
      <w:r>
        <w:rPr>
          <w:rFonts w:hint="eastAsia" w:ascii="仿宋" w:hAnsi="仿宋" w:eastAsia="仿宋" w:cs="仿宋"/>
          <w:sz w:val="24"/>
          <w:szCs w:val="24"/>
        </w:rPr>
        <w:t>传输标准的连接线缆，选用高清、抗干扰、耐磨耐用的优质线缆，规范线缆走向，做好线缆收纳、标识及防护处理，便于后期维护和检修；对会场内所有设备接口进行全面检测和修复，更换氧化、损坏、接触不良的接口部件，确保所有设备接口正常可用，避免因接口问题影响信号传输质量和设备正常运行。</w:t>
      </w:r>
    </w:p>
    <w:p w14:paraId="3E73626D">
      <w:pPr>
        <w:spacing w:line="360" w:lineRule="auto"/>
        <w:ind w:left="480"/>
        <w:rPr>
          <w:rFonts w:hint="eastAsia" w:ascii="仿宋" w:hAnsi="仿宋" w:eastAsia="仿宋" w:cs="仿宋"/>
          <w:b/>
          <w:bCs/>
          <w:sz w:val="24"/>
          <w:szCs w:val="24"/>
        </w:rPr>
      </w:pPr>
      <w:r>
        <w:rPr>
          <w:rFonts w:hint="eastAsia" w:ascii="仿宋" w:hAnsi="仿宋" w:eastAsia="仿宋" w:cs="仿宋"/>
          <w:b/>
          <w:bCs/>
          <w:sz w:val="24"/>
          <w:szCs w:val="24"/>
        </w:rPr>
        <w:t>2、实施清单</w:t>
      </w:r>
    </w:p>
    <w:tbl>
      <w:tblPr>
        <w:tblStyle w:val="21"/>
        <w:tblW w:w="9972"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960"/>
        <w:gridCol w:w="6887"/>
      </w:tblGrid>
      <w:tr w14:paraId="38FE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125" w:type="dxa"/>
            <w:vAlign w:val="center"/>
          </w:tcPr>
          <w:p w14:paraId="1AE5B9FF">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960" w:type="dxa"/>
            <w:vAlign w:val="center"/>
          </w:tcPr>
          <w:p w14:paraId="4AA4109B">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类型</w:t>
            </w:r>
          </w:p>
        </w:tc>
        <w:tc>
          <w:tcPr>
            <w:tcW w:w="6887" w:type="dxa"/>
            <w:vAlign w:val="center"/>
          </w:tcPr>
          <w:p w14:paraId="6E0B60B1">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实施内容</w:t>
            </w:r>
          </w:p>
        </w:tc>
      </w:tr>
      <w:tr w14:paraId="5B54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125" w:type="dxa"/>
            <w:vMerge w:val="restart"/>
            <w:vAlign w:val="center"/>
          </w:tcPr>
          <w:p w14:paraId="40C29FC9">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960" w:type="dxa"/>
            <w:vMerge w:val="restart"/>
            <w:vAlign w:val="center"/>
          </w:tcPr>
          <w:p w14:paraId="45DEC8D3">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信号管理系统</w:t>
            </w:r>
          </w:p>
        </w:tc>
        <w:tc>
          <w:tcPr>
            <w:tcW w:w="6887" w:type="dxa"/>
            <w:vAlign w:val="center"/>
          </w:tcPr>
          <w:p w14:paraId="25901B80">
            <w:pPr>
              <w:spacing w:line="0" w:lineRule="atLeast"/>
              <w:jc w:val="left"/>
              <w:rPr>
                <w:rFonts w:hint="eastAsia" w:ascii="仿宋" w:hAnsi="仿宋" w:eastAsia="仿宋" w:cs="仿宋"/>
                <w:sz w:val="24"/>
                <w:szCs w:val="24"/>
              </w:rPr>
            </w:pPr>
            <w:r>
              <w:rPr>
                <w:rFonts w:hint="eastAsia" w:ascii="仿宋" w:hAnsi="仿宋" w:eastAsia="仿宋" w:cs="仿宋"/>
                <w:sz w:val="24"/>
                <w:szCs w:val="24"/>
              </w:rPr>
              <w:t>拆除现有故障设备，更换16路视频编码器（摄像机3，地插6，录播1，投屏1，PC1,视频会议4）</w:t>
            </w:r>
          </w:p>
        </w:tc>
      </w:tr>
      <w:tr w14:paraId="473A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125" w:type="dxa"/>
            <w:vMerge w:val="continue"/>
            <w:vAlign w:val="center"/>
          </w:tcPr>
          <w:p w14:paraId="210F318E">
            <w:pPr>
              <w:spacing w:line="560" w:lineRule="exact"/>
              <w:jc w:val="center"/>
              <w:rPr>
                <w:rFonts w:hint="eastAsia" w:ascii="仿宋" w:hAnsi="仿宋" w:eastAsia="仿宋" w:cs="仿宋"/>
                <w:sz w:val="24"/>
                <w:szCs w:val="24"/>
              </w:rPr>
            </w:pPr>
          </w:p>
        </w:tc>
        <w:tc>
          <w:tcPr>
            <w:tcW w:w="1960" w:type="dxa"/>
            <w:vMerge w:val="continue"/>
            <w:vAlign w:val="center"/>
          </w:tcPr>
          <w:p w14:paraId="0E173605">
            <w:pPr>
              <w:spacing w:line="560" w:lineRule="exact"/>
              <w:jc w:val="center"/>
              <w:rPr>
                <w:rFonts w:hint="eastAsia" w:ascii="仿宋" w:hAnsi="仿宋" w:eastAsia="仿宋" w:cs="仿宋"/>
                <w:sz w:val="24"/>
                <w:szCs w:val="24"/>
              </w:rPr>
            </w:pPr>
          </w:p>
        </w:tc>
        <w:tc>
          <w:tcPr>
            <w:tcW w:w="6887" w:type="dxa"/>
            <w:vAlign w:val="center"/>
          </w:tcPr>
          <w:p w14:paraId="33077599">
            <w:pPr>
              <w:spacing w:line="0" w:lineRule="atLeast"/>
              <w:jc w:val="left"/>
              <w:rPr>
                <w:rFonts w:hint="eastAsia" w:ascii="仿宋" w:hAnsi="仿宋" w:eastAsia="仿宋" w:cs="仿宋"/>
                <w:sz w:val="24"/>
                <w:szCs w:val="24"/>
              </w:rPr>
            </w:pPr>
            <w:r>
              <w:rPr>
                <w:rFonts w:hint="eastAsia" w:ascii="仿宋" w:hAnsi="仿宋" w:eastAsia="仿宋" w:cs="仿宋"/>
                <w:sz w:val="24"/>
                <w:szCs w:val="24"/>
              </w:rPr>
              <w:t>拆除现有故障设备，更换15路视频解码器（辅显2，地插3，监看1，录播1，LED4，视频会议4）</w:t>
            </w:r>
          </w:p>
        </w:tc>
      </w:tr>
      <w:tr w14:paraId="55EB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125" w:type="dxa"/>
            <w:vMerge w:val="continue"/>
            <w:vAlign w:val="center"/>
          </w:tcPr>
          <w:p w14:paraId="36C9A469">
            <w:pPr>
              <w:spacing w:line="560" w:lineRule="exact"/>
              <w:jc w:val="center"/>
              <w:rPr>
                <w:rFonts w:hint="eastAsia" w:ascii="仿宋" w:hAnsi="仿宋" w:eastAsia="仿宋" w:cs="仿宋"/>
                <w:sz w:val="24"/>
                <w:szCs w:val="24"/>
              </w:rPr>
            </w:pPr>
          </w:p>
        </w:tc>
        <w:tc>
          <w:tcPr>
            <w:tcW w:w="1960" w:type="dxa"/>
            <w:vMerge w:val="continue"/>
            <w:vAlign w:val="center"/>
          </w:tcPr>
          <w:p w14:paraId="2928B933">
            <w:pPr>
              <w:spacing w:line="560" w:lineRule="exact"/>
              <w:jc w:val="center"/>
              <w:rPr>
                <w:rFonts w:hint="eastAsia" w:ascii="仿宋" w:hAnsi="仿宋" w:eastAsia="仿宋" w:cs="仿宋"/>
                <w:sz w:val="24"/>
                <w:szCs w:val="24"/>
              </w:rPr>
            </w:pPr>
          </w:p>
        </w:tc>
        <w:tc>
          <w:tcPr>
            <w:tcW w:w="6887" w:type="dxa"/>
            <w:vAlign w:val="center"/>
          </w:tcPr>
          <w:p w14:paraId="6B57153A">
            <w:pPr>
              <w:spacing w:line="0" w:lineRule="atLeast"/>
              <w:jc w:val="left"/>
              <w:rPr>
                <w:rFonts w:hint="eastAsia" w:ascii="仿宋" w:hAnsi="仿宋" w:eastAsia="仿宋" w:cs="仿宋"/>
                <w:sz w:val="24"/>
                <w:szCs w:val="24"/>
              </w:rPr>
            </w:pPr>
            <w:r>
              <w:rPr>
                <w:rFonts w:hint="eastAsia" w:ascii="仿宋" w:hAnsi="仿宋" w:eastAsia="仿宋" w:cs="仿宋"/>
                <w:sz w:val="24"/>
                <w:szCs w:val="24"/>
              </w:rPr>
              <w:t>拆除现有故障设备，更换6路视频拼接解码器</w:t>
            </w:r>
          </w:p>
        </w:tc>
      </w:tr>
      <w:tr w14:paraId="4565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125" w:type="dxa"/>
            <w:vMerge w:val="continue"/>
            <w:vAlign w:val="center"/>
          </w:tcPr>
          <w:p w14:paraId="3F668954">
            <w:pPr>
              <w:spacing w:line="560" w:lineRule="exact"/>
              <w:jc w:val="center"/>
              <w:rPr>
                <w:rFonts w:hint="eastAsia" w:ascii="仿宋" w:hAnsi="仿宋" w:eastAsia="仿宋" w:cs="仿宋"/>
                <w:sz w:val="24"/>
                <w:szCs w:val="24"/>
              </w:rPr>
            </w:pPr>
          </w:p>
        </w:tc>
        <w:tc>
          <w:tcPr>
            <w:tcW w:w="1960" w:type="dxa"/>
            <w:vMerge w:val="continue"/>
            <w:vAlign w:val="center"/>
          </w:tcPr>
          <w:p w14:paraId="470AEDE6">
            <w:pPr>
              <w:spacing w:line="560" w:lineRule="exact"/>
              <w:jc w:val="center"/>
              <w:rPr>
                <w:rFonts w:hint="eastAsia" w:ascii="仿宋" w:hAnsi="仿宋" w:eastAsia="仿宋" w:cs="仿宋"/>
                <w:sz w:val="24"/>
                <w:szCs w:val="24"/>
              </w:rPr>
            </w:pPr>
          </w:p>
        </w:tc>
        <w:tc>
          <w:tcPr>
            <w:tcW w:w="6887" w:type="dxa"/>
            <w:vAlign w:val="center"/>
          </w:tcPr>
          <w:p w14:paraId="27B12A9B">
            <w:pPr>
              <w:widowControl/>
              <w:jc w:val="left"/>
              <w:textAlignment w:val="center"/>
              <w:rPr>
                <w:rFonts w:hint="eastAsia" w:ascii="仿宋" w:hAnsi="仿宋" w:eastAsia="仿宋" w:cs="仿宋"/>
                <w:sz w:val="24"/>
                <w:szCs w:val="24"/>
              </w:rPr>
            </w:pPr>
            <w:r>
              <w:rPr>
                <w:rFonts w:hint="eastAsia" w:ascii="仿宋" w:hAnsi="仿宋" w:eastAsia="仿宋" w:cs="仿宋"/>
                <w:kern w:val="0"/>
                <w:sz w:val="24"/>
                <w:szCs w:val="24"/>
                <w:lang w:bidi="ar"/>
              </w:rPr>
              <w:t>安装无线投屏设施：1套</w:t>
            </w:r>
          </w:p>
        </w:tc>
      </w:tr>
      <w:tr w14:paraId="26B35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125" w:type="dxa"/>
            <w:vMerge w:val="continue"/>
            <w:vAlign w:val="center"/>
          </w:tcPr>
          <w:p w14:paraId="31047625">
            <w:pPr>
              <w:spacing w:line="560" w:lineRule="exact"/>
              <w:jc w:val="center"/>
              <w:rPr>
                <w:rFonts w:hint="eastAsia" w:ascii="仿宋" w:hAnsi="仿宋" w:eastAsia="仿宋" w:cs="仿宋"/>
                <w:sz w:val="24"/>
                <w:szCs w:val="24"/>
              </w:rPr>
            </w:pPr>
          </w:p>
        </w:tc>
        <w:tc>
          <w:tcPr>
            <w:tcW w:w="1960" w:type="dxa"/>
            <w:vMerge w:val="continue"/>
            <w:vAlign w:val="center"/>
          </w:tcPr>
          <w:p w14:paraId="214C72BB">
            <w:pPr>
              <w:spacing w:line="560" w:lineRule="exact"/>
              <w:jc w:val="center"/>
              <w:rPr>
                <w:rFonts w:hint="eastAsia" w:ascii="仿宋" w:hAnsi="仿宋" w:eastAsia="仿宋" w:cs="仿宋"/>
                <w:sz w:val="24"/>
                <w:szCs w:val="24"/>
              </w:rPr>
            </w:pPr>
          </w:p>
        </w:tc>
        <w:tc>
          <w:tcPr>
            <w:tcW w:w="6887" w:type="dxa"/>
            <w:vAlign w:val="center"/>
          </w:tcPr>
          <w:p w14:paraId="029F73D3">
            <w:pPr>
              <w:widowControl/>
              <w:jc w:val="left"/>
              <w:textAlignment w:val="center"/>
              <w:rPr>
                <w:rFonts w:hint="eastAsia" w:ascii="仿宋" w:hAnsi="仿宋" w:eastAsia="仿宋" w:cs="仿宋"/>
                <w:sz w:val="24"/>
                <w:szCs w:val="24"/>
              </w:rPr>
            </w:pPr>
            <w:r>
              <w:rPr>
                <w:rFonts w:hint="eastAsia" w:ascii="仿宋" w:hAnsi="仿宋" w:eastAsia="仿宋" w:cs="仿宋"/>
                <w:kern w:val="0"/>
                <w:sz w:val="24"/>
                <w:szCs w:val="24"/>
                <w:lang w:bidi="ar"/>
              </w:rPr>
              <w:t>维修更新演讲台地插：1组</w:t>
            </w:r>
          </w:p>
        </w:tc>
      </w:tr>
      <w:tr w14:paraId="40F4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125" w:type="dxa"/>
            <w:vMerge w:val="continue"/>
            <w:vAlign w:val="center"/>
          </w:tcPr>
          <w:p w14:paraId="222F16AE">
            <w:pPr>
              <w:spacing w:line="560" w:lineRule="exact"/>
              <w:jc w:val="center"/>
              <w:rPr>
                <w:rFonts w:hint="eastAsia" w:ascii="仿宋" w:hAnsi="仿宋" w:eastAsia="仿宋" w:cs="仿宋"/>
                <w:sz w:val="24"/>
                <w:szCs w:val="24"/>
              </w:rPr>
            </w:pPr>
          </w:p>
        </w:tc>
        <w:tc>
          <w:tcPr>
            <w:tcW w:w="1960" w:type="dxa"/>
            <w:vMerge w:val="continue"/>
            <w:vAlign w:val="center"/>
          </w:tcPr>
          <w:p w14:paraId="74FF849B">
            <w:pPr>
              <w:spacing w:line="560" w:lineRule="exact"/>
              <w:jc w:val="center"/>
              <w:rPr>
                <w:rFonts w:hint="eastAsia" w:ascii="仿宋" w:hAnsi="仿宋" w:eastAsia="仿宋" w:cs="仿宋"/>
                <w:sz w:val="24"/>
                <w:szCs w:val="24"/>
              </w:rPr>
            </w:pPr>
          </w:p>
        </w:tc>
        <w:tc>
          <w:tcPr>
            <w:tcW w:w="6887" w:type="dxa"/>
            <w:vAlign w:val="center"/>
          </w:tcPr>
          <w:p w14:paraId="62AAD99F">
            <w:pPr>
              <w:widowControl/>
              <w:jc w:val="left"/>
              <w:textAlignment w:val="center"/>
              <w:rPr>
                <w:rFonts w:hint="eastAsia" w:ascii="仿宋" w:hAnsi="仿宋" w:eastAsia="仿宋" w:cs="仿宋"/>
                <w:sz w:val="24"/>
                <w:szCs w:val="24"/>
              </w:rPr>
            </w:pPr>
            <w:r>
              <w:rPr>
                <w:rFonts w:hint="eastAsia" w:ascii="仿宋" w:hAnsi="仿宋" w:eastAsia="仿宋" w:cs="仿宋"/>
                <w:kern w:val="0"/>
                <w:sz w:val="24"/>
                <w:szCs w:val="24"/>
                <w:lang w:bidi="ar"/>
              </w:rPr>
              <w:t>维修更新多媒体地插1：3组</w:t>
            </w:r>
          </w:p>
        </w:tc>
      </w:tr>
      <w:tr w14:paraId="3ADFA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vMerge w:val="continue"/>
            <w:vAlign w:val="center"/>
          </w:tcPr>
          <w:p w14:paraId="7DD1900E">
            <w:pPr>
              <w:spacing w:line="560" w:lineRule="exact"/>
              <w:jc w:val="center"/>
              <w:rPr>
                <w:rFonts w:hint="eastAsia" w:ascii="仿宋" w:hAnsi="仿宋" w:eastAsia="仿宋" w:cs="仿宋"/>
                <w:sz w:val="24"/>
                <w:szCs w:val="24"/>
              </w:rPr>
            </w:pPr>
          </w:p>
        </w:tc>
        <w:tc>
          <w:tcPr>
            <w:tcW w:w="1960" w:type="dxa"/>
            <w:vMerge w:val="continue"/>
            <w:vAlign w:val="center"/>
          </w:tcPr>
          <w:p w14:paraId="6C9A88AC">
            <w:pPr>
              <w:spacing w:line="560" w:lineRule="exact"/>
              <w:jc w:val="center"/>
              <w:rPr>
                <w:rFonts w:hint="eastAsia" w:ascii="仿宋" w:hAnsi="仿宋" w:eastAsia="仿宋" w:cs="仿宋"/>
                <w:sz w:val="24"/>
                <w:szCs w:val="24"/>
              </w:rPr>
            </w:pPr>
          </w:p>
        </w:tc>
        <w:tc>
          <w:tcPr>
            <w:tcW w:w="6887" w:type="dxa"/>
            <w:vAlign w:val="center"/>
          </w:tcPr>
          <w:p w14:paraId="14627B42">
            <w:pPr>
              <w:widowControl/>
              <w:jc w:val="left"/>
              <w:textAlignment w:val="center"/>
              <w:rPr>
                <w:rFonts w:hint="eastAsia" w:ascii="仿宋" w:hAnsi="仿宋" w:eastAsia="仿宋" w:cs="仿宋"/>
                <w:sz w:val="24"/>
                <w:szCs w:val="24"/>
              </w:rPr>
            </w:pPr>
            <w:r>
              <w:rPr>
                <w:rFonts w:hint="eastAsia" w:ascii="仿宋" w:hAnsi="仿宋" w:eastAsia="仿宋" w:cs="仿宋"/>
                <w:kern w:val="0"/>
                <w:sz w:val="24"/>
                <w:szCs w:val="24"/>
                <w:lang w:bidi="ar"/>
              </w:rPr>
              <w:t>维修更新多媒体地插2：3组</w:t>
            </w:r>
          </w:p>
        </w:tc>
      </w:tr>
      <w:tr w14:paraId="629A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vMerge w:val="restart"/>
            <w:vAlign w:val="center"/>
          </w:tcPr>
          <w:p w14:paraId="1E584371">
            <w:pPr>
              <w:jc w:val="center"/>
              <w:rPr>
                <w:rFonts w:hint="eastAsia" w:ascii="仿宋" w:hAnsi="仿宋" w:eastAsia="仿宋" w:cs="仿宋"/>
                <w:sz w:val="24"/>
                <w:szCs w:val="24"/>
              </w:rPr>
            </w:pPr>
            <w:r>
              <w:rPr>
                <w:rFonts w:hint="eastAsia" w:ascii="仿宋" w:hAnsi="仿宋" w:eastAsia="仿宋" w:cs="仿宋"/>
                <w:sz w:val="24"/>
                <w:szCs w:val="24"/>
              </w:rPr>
              <w:t>2</w:t>
            </w:r>
          </w:p>
        </w:tc>
        <w:tc>
          <w:tcPr>
            <w:tcW w:w="1960" w:type="dxa"/>
            <w:vMerge w:val="restart"/>
            <w:vAlign w:val="center"/>
          </w:tcPr>
          <w:p w14:paraId="4301F8D8">
            <w:pPr>
              <w:jc w:val="center"/>
              <w:rPr>
                <w:rFonts w:hint="eastAsia" w:ascii="仿宋" w:hAnsi="仿宋" w:eastAsia="仿宋" w:cs="仿宋"/>
                <w:sz w:val="24"/>
                <w:szCs w:val="24"/>
              </w:rPr>
            </w:pPr>
            <w:r>
              <w:rPr>
                <w:rFonts w:hint="eastAsia" w:ascii="仿宋" w:hAnsi="仿宋" w:eastAsia="仿宋" w:cs="仿宋"/>
                <w:sz w:val="24"/>
                <w:szCs w:val="24"/>
              </w:rPr>
              <w:t>集中控制系统</w:t>
            </w:r>
          </w:p>
        </w:tc>
        <w:tc>
          <w:tcPr>
            <w:tcW w:w="6887" w:type="dxa"/>
            <w:vAlign w:val="center"/>
          </w:tcPr>
          <w:p w14:paraId="26928750">
            <w:pPr>
              <w:jc w:val="left"/>
              <w:rPr>
                <w:rFonts w:hint="eastAsia" w:ascii="仿宋" w:hAnsi="仿宋" w:eastAsia="仿宋" w:cs="仿宋"/>
                <w:sz w:val="24"/>
                <w:szCs w:val="24"/>
              </w:rPr>
            </w:pPr>
            <w:r>
              <w:rPr>
                <w:rFonts w:hint="eastAsia" w:ascii="仿宋" w:hAnsi="仿宋" w:eastAsia="仿宋" w:cs="仿宋"/>
                <w:sz w:val="24"/>
                <w:szCs w:val="24"/>
              </w:rPr>
              <w:t>拆除现有故障设备，更换控制系统主机1台</w:t>
            </w:r>
          </w:p>
        </w:tc>
      </w:tr>
      <w:tr w14:paraId="0B0C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125" w:type="dxa"/>
            <w:vMerge w:val="continue"/>
            <w:vAlign w:val="center"/>
          </w:tcPr>
          <w:p w14:paraId="53606F2A">
            <w:pPr>
              <w:jc w:val="center"/>
              <w:rPr>
                <w:rFonts w:hint="eastAsia" w:ascii="仿宋" w:hAnsi="仿宋" w:eastAsia="仿宋" w:cs="仿宋"/>
                <w:sz w:val="24"/>
                <w:szCs w:val="24"/>
              </w:rPr>
            </w:pPr>
          </w:p>
        </w:tc>
        <w:tc>
          <w:tcPr>
            <w:tcW w:w="1960" w:type="dxa"/>
            <w:vMerge w:val="continue"/>
            <w:vAlign w:val="center"/>
          </w:tcPr>
          <w:p w14:paraId="23C958F5">
            <w:pPr>
              <w:jc w:val="center"/>
              <w:rPr>
                <w:rFonts w:hint="eastAsia" w:ascii="仿宋" w:hAnsi="仿宋" w:eastAsia="仿宋" w:cs="仿宋"/>
                <w:sz w:val="24"/>
                <w:szCs w:val="24"/>
              </w:rPr>
            </w:pPr>
          </w:p>
        </w:tc>
        <w:tc>
          <w:tcPr>
            <w:tcW w:w="6887" w:type="dxa"/>
            <w:vAlign w:val="center"/>
          </w:tcPr>
          <w:p w14:paraId="6B86DDF3">
            <w:pPr>
              <w:jc w:val="left"/>
              <w:rPr>
                <w:rFonts w:hint="eastAsia" w:ascii="仿宋" w:hAnsi="仿宋" w:eastAsia="仿宋" w:cs="仿宋"/>
                <w:sz w:val="24"/>
                <w:szCs w:val="24"/>
              </w:rPr>
            </w:pPr>
            <w:r>
              <w:rPr>
                <w:rFonts w:hint="eastAsia" w:ascii="仿宋" w:hAnsi="仿宋" w:eastAsia="仿宋" w:cs="仿宋"/>
                <w:sz w:val="24"/>
                <w:szCs w:val="24"/>
              </w:rPr>
              <w:t>根据用户现场实际需求，完成可编程系统软件定制1套</w:t>
            </w:r>
          </w:p>
        </w:tc>
      </w:tr>
      <w:tr w14:paraId="0221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125" w:type="dxa"/>
            <w:vMerge w:val="continue"/>
            <w:vAlign w:val="center"/>
          </w:tcPr>
          <w:p w14:paraId="15B5C0F4">
            <w:pPr>
              <w:jc w:val="center"/>
              <w:rPr>
                <w:rFonts w:hint="eastAsia" w:ascii="仿宋" w:hAnsi="仿宋" w:eastAsia="仿宋" w:cs="仿宋"/>
                <w:sz w:val="24"/>
                <w:szCs w:val="24"/>
              </w:rPr>
            </w:pPr>
          </w:p>
        </w:tc>
        <w:tc>
          <w:tcPr>
            <w:tcW w:w="1960" w:type="dxa"/>
            <w:vMerge w:val="continue"/>
            <w:vAlign w:val="center"/>
          </w:tcPr>
          <w:p w14:paraId="147AECD3">
            <w:pPr>
              <w:jc w:val="center"/>
              <w:rPr>
                <w:rFonts w:hint="eastAsia" w:ascii="仿宋" w:hAnsi="仿宋" w:eastAsia="仿宋" w:cs="仿宋"/>
                <w:sz w:val="24"/>
                <w:szCs w:val="24"/>
              </w:rPr>
            </w:pPr>
          </w:p>
        </w:tc>
        <w:tc>
          <w:tcPr>
            <w:tcW w:w="6887" w:type="dxa"/>
            <w:vAlign w:val="center"/>
          </w:tcPr>
          <w:p w14:paraId="07970CB8">
            <w:pPr>
              <w:jc w:val="left"/>
              <w:rPr>
                <w:rFonts w:hint="eastAsia" w:ascii="仿宋" w:hAnsi="仿宋" w:eastAsia="仿宋" w:cs="仿宋"/>
                <w:sz w:val="24"/>
                <w:szCs w:val="24"/>
              </w:rPr>
            </w:pPr>
            <w:r>
              <w:rPr>
                <w:rFonts w:hint="eastAsia" w:ascii="仿宋" w:hAnsi="仿宋" w:eastAsia="仿宋" w:cs="仿宋"/>
                <w:sz w:val="24"/>
                <w:szCs w:val="24"/>
              </w:rPr>
              <w:t>新增无线控制平板设备1件</w:t>
            </w:r>
          </w:p>
        </w:tc>
      </w:tr>
    </w:tbl>
    <w:p w14:paraId="3DF81413">
      <w:pPr>
        <w:spacing w:line="360" w:lineRule="auto"/>
        <w:ind w:firstLine="480"/>
        <w:rPr>
          <w:rFonts w:hint="eastAsia" w:ascii="仿宋" w:hAnsi="仿宋" w:eastAsia="仿宋" w:cs="仿宋"/>
          <w:b/>
          <w:bCs/>
          <w:sz w:val="24"/>
          <w:szCs w:val="24"/>
        </w:rPr>
      </w:pPr>
      <w:r>
        <w:rPr>
          <w:rFonts w:hint="eastAsia" w:ascii="仿宋" w:hAnsi="仿宋" w:eastAsia="仿宋" w:cs="仿宋"/>
          <w:b/>
          <w:bCs/>
          <w:sz w:val="24"/>
          <w:szCs w:val="24"/>
        </w:rPr>
        <w:t>3、产品性能</w:t>
      </w:r>
    </w:p>
    <w:tbl>
      <w:tblPr>
        <w:tblStyle w:val="20"/>
        <w:tblW w:w="9960" w:type="dxa"/>
        <w:tblInd w:w="1" w:type="dxa"/>
        <w:tblLayout w:type="fixed"/>
        <w:tblCellMar>
          <w:top w:w="0" w:type="dxa"/>
          <w:left w:w="108" w:type="dxa"/>
          <w:bottom w:w="0" w:type="dxa"/>
          <w:right w:w="108" w:type="dxa"/>
        </w:tblCellMar>
      </w:tblPr>
      <w:tblGrid>
        <w:gridCol w:w="1119"/>
        <w:gridCol w:w="1824"/>
        <w:gridCol w:w="7017"/>
      </w:tblGrid>
      <w:tr w14:paraId="7D9548B9">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22CCC03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824" w:type="dxa"/>
            <w:tcBorders>
              <w:top w:val="single" w:color="000000" w:sz="4" w:space="0"/>
              <w:left w:val="single" w:color="000000" w:sz="4" w:space="0"/>
              <w:bottom w:val="single" w:color="000000" w:sz="4" w:space="0"/>
              <w:right w:val="single" w:color="000000" w:sz="4" w:space="0"/>
            </w:tcBorders>
            <w:vAlign w:val="center"/>
          </w:tcPr>
          <w:p w14:paraId="52DD56F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名称</w:t>
            </w:r>
          </w:p>
        </w:tc>
        <w:tc>
          <w:tcPr>
            <w:tcW w:w="7017" w:type="dxa"/>
            <w:tcBorders>
              <w:top w:val="single" w:color="000000" w:sz="4" w:space="0"/>
              <w:left w:val="single" w:color="000000" w:sz="4" w:space="0"/>
              <w:bottom w:val="single" w:color="000000" w:sz="4" w:space="0"/>
              <w:right w:val="single" w:color="000000" w:sz="4" w:space="0"/>
            </w:tcBorders>
            <w:vAlign w:val="center"/>
          </w:tcPr>
          <w:p w14:paraId="3CEDC3D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性能参数</w:t>
            </w:r>
          </w:p>
        </w:tc>
      </w:tr>
      <w:tr w14:paraId="605D76AA">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221DEE7F">
            <w:pPr>
              <w:spacing w:line="0" w:lineRule="atLeast"/>
              <w:jc w:val="center"/>
              <w:rPr>
                <w:rFonts w:hint="eastAsia" w:ascii="仿宋" w:hAnsi="仿宋" w:eastAsia="仿宋" w:cs="仿宋"/>
                <w:b/>
                <w:bCs/>
                <w:sz w:val="24"/>
                <w:szCs w:val="24"/>
              </w:rPr>
            </w:pPr>
            <w:r>
              <w:rPr>
                <w:rFonts w:hint="eastAsia" w:ascii="仿宋" w:hAnsi="仿宋" w:eastAsia="仿宋" w:cs="仿宋"/>
                <w:b/>
                <w:bCs/>
                <w:sz w:val="24"/>
                <w:szCs w:val="24"/>
              </w:rPr>
              <w:t>A</w:t>
            </w:r>
          </w:p>
        </w:tc>
        <w:tc>
          <w:tcPr>
            <w:tcW w:w="1824" w:type="dxa"/>
            <w:tcBorders>
              <w:top w:val="single" w:color="000000" w:sz="4" w:space="0"/>
              <w:left w:val="single" w:color="000000" w:sz="4" w:space="0"/>
              <w:bottom w:val="single" w:color="000000" w:sz="4" w:space="0"/>
              <w:right w:val="single" w:color="000000" w:sz="4" w:space="0"/>
            </w:tcBorders>
            <w:vAlign w:val="center"/>
          </w:tcPr>
          <w:p w14:paraId="764F5606">
            <w:pPr>
              <w:spacing w:line="0" w:lineRule="atLeast"/>
              <w:jc w:val="center"/>
              <w:rPr>
                <w:rFonts w:hint="eastAsia" w:ascii="仿宋" w:hAnsi="仿宋" w:eastAsia="仿宋" w:cs="仿宋"/>
                <w:b/>
                <w:bCs/>
                <w:sz w:val="24"/>
                <w:szCs w:val="24"/>
              </w:rPr>
            </w:pPr>
            <w:r>
              <w:rPr>
                <w:rFonts w:hint="eastAsia" w:ascii="仿宋" w:hAnsi="仿宋" w:eastAsia="仿宋" w:cs="仿宋"/>
                <w:b/>
                <w:bCs/>
                <w:sz w:val="24"/>
                <w:szCs w:val="24"/>
              </w:rPr>
              <w:t>信号管理系统</w:t>
            </w:r>
          </w:p>
        </w:tc>
        <w:tc>
          <w:tcPr>
            <w:tcW w:w="7017" w:type="dxa"/>
            <w:tcBorders>
              <w:top w:val="single" w:color="000000" w:sz="4" w:space="0"/>
              <w:left w:val="single" w:color="000000" w:sz="4" w:space="0"/>
              <w:bottom w:val="single" w:color="000000" w:sz="4" w:space="0"/>
              <w:right w:val="single" w:color="000000" w:sz="4" w:space="0"/>
            </w:tcBorders>
            <w:vAlign w:val="center"/>
          </w:tcPr>
          <w:p w14:paraId="7C2145F4">
            <w:pPr>
              <w:spacing w:line="0" w:lineRule="atLeast"/>
              <w:rPr>
                <w:rFonts w:hint="eastAsia" w:ascii="仿宋" w:hAnsi="仿宋" w:eastAsia="仿宋" w:cs="仿宋"/>
                <w:b/>
                <w:bCs/>
                <w:sz w:val="24"/>
                <w:szCs w:val="24"/>
              </w:rPr>
            </w:pPr>
          </w:p>
        </w:tc>
      </w:tr>
      <w:tr w14:paraId="7DBB8C26">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6A3F4D0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824" w:type="dxa"/>
            <w:tcBorders>
              <w:top w:val="single" w:color="000000" w:sz="4" w:space="0"/>
              <w:left w:val="single" w:color="000000" w:sz="4" w:space="0"/>
              <w:bottom w:val="single" w:color="000000" w:sz="4" w:space="0"/>
              <w:right w:val="single" w:color="000000" w:sz="4" w:space="0"/>
            </w:tcBorders>
            <w:vAlign w:val="center"/>
          </w:tcPr>
          <w:p w14:paraId="0143FFF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视频编码器</w:t>
            </w:r>
          </w:p>
        </w:tc>
        <w:tc>
          <w:tcPr>
            <w:tcW w:w="7017" w:type="dxa"/>
            <w:tcBorders>
              <w:top w:val="single" w:color="000000" w:sz="4" w:space="0"/>
              <w:left w:val="single" w:color="000000" w:sz="4" w:space="0"/>
              <w:bottom w:val="single" w:color="000000" w:sz="4" w:space="0"/>
              <w:right w:val="single" w:color="000000" w:sz="4" w:space="0"/>
            </w:tcBorders>
            <w:vAlign w:val="center"/>
          </w:tcPr>
          <w:p w14:paraId="330DD68F">
            <w:pPr>
              <w:spacing w:line="0" w:lineRule="atLeast"/>
              <w:rPr>
                <w:rFonts w:hint="eastAsia" w:ascii="仿宋" w:hAnsi="仿宋" w:eastAsia="仿宋" w:cs="仿宋"/>
                <w:sz w:val="24"/>
                <w:szCs w:val="24"/>
              </w:rPr>
            </w:pPr>
            <w:r>
              <w:rPr>
                <w:rFonts w:hint="eastAsia" w:ascii="仿宋" w:hAnsi="仿宋" w:eastAsia="仿宋" w:cs="仿宋"/>
                <w:sz w:val="24"/>
                <w:szCs w:val="24"/>
              </w:rPr>
              <w:t>1）▲具备视频编码功能，至少具有1路HDMI视频输入,1路HDMI视频输出接口（接口支持HDMI、DVI信号格式），最大分辨率支持3840*2160@30Hz；向下兼容其他分辨率；支持HDMI1.4,兼容DVI1.0；</w:t>
            </w:r>
          </w:p>
          <w:p w14:paraId="09E9E863">
            <w:pPr>
              <w:spacing w:line="0" w:lineRule="atLeast"/>
              <w:rPr>
                <w:rFonts w:hint="eastAsia" w:ascii="仿宋" w:hAnsi="仿宋" w:eastAsia="仿宋" w:cs="仿宋"/>
                <w:sz w:val="24"/>
                <w:szCs w:val="24"/>
              </w:rPr>
            </w:pPr>
            <w:r>
              <w:rPr>
                <w:rFonts w:hint="eastAsia" w:ascii="仿宋" w:hAnsi="仿宋" w:eastAsia="仿宋" w:cs="仿宋"/>
                <w:sz w:val="24"/>
                <w:szCs w:val="24"/>
              </w:rPr>
              <w:t>2）设备具备≥1个电源指示灯，≥1个视频信号指示灯，≥1个网络状态指示灯，≥1个重置出厂按键。</w:t>
            </w:r>
          </w:p>
          <w:p w14:paraId="5565D01D">
            <w:pPr>
              <w:spacing w:line="0" w:lineRule="atLeast"/>
              <w:rPr>
                <w:rFonts w:hint="eastAsia" w:ascii="仿宋" w:hAnsi="仿宋" w:eastAsia="仿宋" w:cs="仿宋"/>
                <w:sz w:val="24"/>
                <w:szCs w:val="24"/>
              </w:rPr>
            </w:pPr>
            <w:r>
              <w:rPr>
                <w:rFonts w:hint="eastAsia" w:ascii="仿宋" w:hAnsi="仿宋" w:eastAsia="仿宋" w:cs="仿宋"/>
                <w:sz w:val="24"/>
                <w:szCs w:val="24"/>
              </w:rPr>
              <w:t>3）▲具备接口：≥1路HDMI视频输入；≥1路RJ45接口；≥1路凤凰座音频 IN；≥1路凤凰座音频OUT; ≥1路RS232双向收发串口; ≥4路I/O控制接口；≥3个USB接口。（提供CNAS认证的第三方检测报告影印件加盖原厂公章、提供样机图片）</w:t>
            </w:r>
          </w:p>
          <w:p w14:paraId="0151C141">
            <w:pPr>
              <w:spacing w:line="0" w:lineRule="atLeast"/>
              <w:rPr>
                <w:rFonts w:hint="eastAsia" w:ascii="仿宋" w:hAnsi="仿宋" w:eastAsia="仿宋" w:cs="仿宋"/>
                <w:sz w:val="24"/>
                <w:szCs w:val="24"/>
              </w:rPr>
            </w:pPr>
            <w:r>
              <w:rPr>
                <w:rFonts w:hint="eastAsia" w:ascii="仿宋" w:hAnsi="仿宋" w:eastAsia="仿宋" w:cs="仿宋"/>
                <w:sz w:val="24"/>
                <w:szCs w:val="24"/>
              </w:rPr>
              <w:t>4）更换有故障的分布式视频编码器并应用不会整体重启和黑屏；</w:t>
            </w:r>
          </w:p>
          <w:p w14:paraId="50B3DBC9">
            <w:pPr>
              <w:spacing w:line="0" w:lineRule="atLeast"/>
              <w:rPr>
                <w:rFonts w:hint="eastAsia" w:ascii="仿宋" w:hAnsi="仿宋" w:eastAsia="仿宋" w:cs="仿宋"/>
                <w:sz w:val="24"/>
                <w:szCs w:val="24"/>
              </w:rPr>
            </w:pPr>
            <w:r>
              <w:rPr>
                <w:rFonts w:hint="eastAsia" w:ascii="仿宋" w:hAnsi="仿宋" w:eastAsia="仿宋" w:cs="仿宋"/>
                <w:sz w:val="24"/>
                <w:szCs w:val="24"/>
              </w:rPr>
              <w:t>5）系统采用去中心化无服务器架构设计，一个视频编码节点坏了不影响整体；</w:t>
            </w:r>
          </w:p>
          <w:p w14:paraId="384E7EBE">
            <w:pPr>
              <w:spacing w:line="0" w:lineRule="atLeast"/>
              <w:rPr>
                <w:rFonts w:hint="eastAsia" w:ascii="仿宋" w:hAnsi="仿宋" w:eastAsia="仿宋" w:cs="仿宋"/>
                <w:sz w:val="24"/>
                <w:szCs w:val="24"/>
              </w:rPr>
            </w:pPr>
            <w:r>
              <w:rPr>
                <w:rFonts w:hint="eastAsia" w:ascii="仿宋" w:hAnsi="仿宋" w:eastAsia="仿宋" w:cs="仿宋"/>
                <w:sz w:val="24"/>
                <w:szCs w:val="24"/>
              </w:rPr>
              <w:t>6）▲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提供CNAS认证的第三方检测报告影印件）</w:t>
            </w:r>
          </w:p>
          <w:p w14:paraId="61017AD4">
            <w:pPr>
              <w:spacing w:line="0" w:lineRule="atLeast"/>
              <w:rPr>
                <w:rFonts w:hint="eastAsia" w:ascii="仿宋" w:hAnsi="仿宋" w:eastAsia="仿宋" w:cs="仿宋"/>
                <w:sz w:val="24"/>
                <w:szCs w:val="24"/>
              </w:rPr>
            </w:pPr>
            <w:r>
              <w:rPr>
                <w:rFonts w:hint="eastAsia" w:ascii="仿宋" w:hAnsi="仿宋" w:eastAsia="仿宋" w:cs="仿宋"/>
                <w:sz w:val="24"/>
                <w:szCs w:val="24"/>
              </w:rPr>
              <w:t>7）系统支持权限管理功能，对视频编码器进行管理，用户数量无上限，支持多用户、用户组权限的设置，不需要单独配置服务器或者分布式主节点作为权限管理系统服务；</w:t>
            </w:r>
          </w:p>
          <w:p w14:paraId="2F7D2C34">
            <w:pPr>
              <w:spacing w:line="0" w:lineRule="atLeast"/>
              <w:rPr>
                <w:rFonts w:hint="eastAsia" w:ascii="仿宋" w:hAnsi="仿宋" w:eastAsia="仿宋" w:cs="仿宋"/>
                <w:sz w:val="24"/>
                <w:szCs w:val="24"/>
              </w:rPr>
            </w:pPr>
            <w:r>
              <w:rPr>
                <w:rFonts w:hint="eastAsia" w:ascii="仿宋" w:hAnsi="仿宋" w:eastAsia="仿宋" w:cs="仿宋"/>
                <w:sz w:val="24"/>
                <w:szCs w:val="24"/>
              </w:rPr>
              <w:t>8）分布式支持快速部署：支持离线配置视频编码器和区域分组，可快速在线查找所有分布式节点统一绑定到配置文件对应的区域节点即可。设备支持批量升级固件，不需要单个节点逐一升级；</w:t>
            </w:r>
          </w:p>
          <w:p w14:paraId="792B07C9">
            <w:pPr>
              <w:spacing w:line="0" w:lineRule="atLeast"/>
              <w:rPr>
                <w:rFonts w:hint="eastAsia" w:ascii="仿宋" w:hAnsi="仿宋" w:eastAsia="仿宋" w:cs="仿宋"/>
                <w:sz w:val="24"/>
                <w:szCs w:val="24"/>
              </w:rPr>
            </w:pPr>
            <w:r>
              <w:rPr>
                <w:rFonts w:hint="eastAsia" w:ascii="仿宋" w:hAnsi="仿宋" w:eastAsia="仿宋" w:cs="仿宋"/>
                <w:sz w:val="24"/>
                <w:szCs w:val="24"/>
              </w:rPr>
              <w:t>9）▲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提供CNAS认证的第三方检测报告影印件）</w:t>
            </w:r>
          </w:p>
          <w:p w14:paraId="379B259C">
            <w:pPr>
              <w:spacing w:line="0" w:lineRule="atLeast"/>
              <w:rPr>
                <w:rFonts w:hint="eastAsia" w:ascii="仿宋" w:hAnsi="仿宋" w:eastAsia="仿宋" w:cs="仿宋"/>
                <w:sz w:val="24"/>
                <w:szCs w:val="24"/>
              </w:rPr>
            </w:pPr>
            <w:r>
              <w:rPr>
                <w:rFonts w:hint="eastAsia" w:ascii="仿宋" w:hAnsi="仿宋" w:eastAsia="仿宋" w:cs="仿宋"/>
                <w:sz w:val="24"/>
                <w:szCs w:val="24"/>
              </w:rPr>
              <w:t>10）支持分布式系统具有视频编码器画面轮询功能，轮询画面可双击放大到固定区域显示，方便监控画面在轮询过程中随时查看可疑图像。</w:t>
            </w:r>
          </w:p>
          <w:p w14:paraId="12194234">
            <w:pPr>
              <w:spacing w:line="0" w:lineRule="atLeast"/>
              <w:rPr>
                <w:rFonts w:hint="eastAsia" w:ascii="仿宋" w:hAnsi="仿宋" w:eastAsia="仿宋" w:cs="仿宋"/>
                <w:sz w:val="24"/>
                <w:szCs w:val="24"/>
              </w:rPr>
            </w:pPr>
            <w:r>
              <w:rPr>
                <w:rFonts w:hint="eastAsia" w:ascii="仿宋" w:hAnsi="仿宋" w:eastAsia="仿宋" w:cs="仿宋"/>
                <w:sz w:val="24"/>
                <w:szCs w:val="24"/>
              </w:rPr>
              <w:t>12）支持系统批注功能，可在视频编码器视频播放过程中或者ppt播放过程中，对某个细节部分进行批注加以描述，批注样式、颜色、形状等等可自由选择。</w:t>
            </w:r>
          </w:p>
        </w:tc>
      </w:tr>
      <w:tr w14:paraId="31C9D102">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6D2CE91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824" w:type="dxa"/>
            <w:tcBorders>
              <w:top w:val="single" w:color="000000" w:sz="4" w:space="0"/>
              <w:left w:val="single" w:color="000000" w:sz="4" w:space="0"/>
              <w:bottom w:val="single" w:color="000000" w:sz="4" w:space="0"/>
              <w:right w:val="single" w:color="000000" w:sz="4" w:space="0"/>
            </w:tcBorders>
            <w:vAlign w:val="center"/>
          </w:tcPr>
          <w:p w14:paraId="7B2EFAB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视频解码器</w:t>
            </w:r>
          </w:p>
        </w:tc>
        <w:tc>
          <w:tcPr>
            <w:tcW w:w="7017" w:type="dxa"/>
            <w:tcBorders>
              <w:top w:val="single" w:color="000000" w:sz="4" w:space="0"/>
              <w:left w:val="single" w:color="000000" w:sz="4" w:space="0"/>
              <w:bottom w:val="single" w:color="000000" w:sz="4" w:space="0"/>
              <w:right w:val="single" w:color="000000" w:sz="4" w:space="0"/>
            </w:tcBorders>
            <w:vAlign w:val="center"/>
          </w:tcPr>
          <w:p w14:paraId="5195A515">
            <w:pPr>
              <w:spacing w:line="0" w:lineRule="atLeast"/>
              <w:rPr>
                <w:rFonts w:hint="eastAsia" w:ascii="仿宋" w:hAnsi="仿宋" w:eastAsia="仿宋" w:cs="仿宋"/>
                <w:sz w:val="24"/>
                <w:szCs w:val="24"/>
              </w:rPr>
            </w:pPr>
            <w:r>
              <w:rPr>
                <w:rFonts w:hint="eastAsia" w:ascii="仿宋" w:hAnsi="仿宋" w:eastAsia="仿宋" w:cs="仿宋"/>
                <w:sz w:val="24"/>
                <w:szCs w:val="24"/>
              </w:rPr>
              <w:t>1）▲具备视频解码功能，至少具有1路HDMI视频输出接口（接口支持HDMI、DVI信号格式），最大分辨率支持3840*2160@30Hz；向下兼容其他分辨率；支持HDMI1.4,兼容DVI1.0；</w:t>
            </w:r>
          </w:p>
          <w:p w14:paraId="262E60D7">
            <w:pPr>
              <w:spacing w:line="0" w:lineRule="atLeast"/>
              <w:rPr>
                <w:rFonts w:hint="eastAsia" w:ascii="仿宋" w:hAnsi="仿宋" w:eastAsia="仿宋" w:cs="仿宋"/>
                <w:sz w:val="24"/>
                <w:szCs w:val="24"/>
              </w:rPr>
            </w:pPr>
            <w:r>
              <w:rPr>
                <w:rFonts w:hint="eastAsia" w:ascii="仿宋" w:hAnsi="仿宋" w:eastAsia="仿宋" w:cs="仿宋"/>
                <w:sz w:val="24"/>
                <w:szCs w:val="24"/>
              </w:rPr>
              <w:t>2）设备具备≥1个电源指示灯，≥1个视频信号指示灯，≥1个网络状态指示灯，≥1个重置出厂按键。</w:t>
            </w:r>
          </w:p>
          <w:p w14:paraId="4EFD2E7C">
            <w:pPr>
              <w:spacing w:line="0" w:lineRule="atLeast"/>
              <w:rPr>
                <w:rFonts w:hint="eastAsia" w:ascii="仿宋" w:hAnsi="仿宋" w:eastAsia="仿宋" w:cs="仿宋"/>
                <w:sz w:val="24"/>
                <w:szCs w:val="24"/>
              </w:rPr>
            </w:pPr>
            <w:r>
              <w:rPr>
                <w:rFonts w:hint="eastAsia" w:ascii="仿宋" w:hAnsi="仿宋" w:eastAsia="仿宋" w:cs="仿宋"/>
                <w:sz w:val="24"/>
                <w:szCs w:val="24"/>
              </w:rPr>
              <w:t>3）▲具备接口：≥1路HDMI视频输出接口；≥1路RJ45接口；≥1路凤凰座音频 IN；≥1路凤凰座音频OUT; ≥1路RS232双向收发串口; ≥4路I/O控制接口；≥3个USB接口。（提供CNAS认证的第三方检测报告影印件加盖原厂公章、提供样机图片）</w:t>
            </w:r>
          </w:p>
          <w:p w14:paraId="1CE92292">
            <w:pPr>
              <w:spacing w:line="0" w:lineRule="atLeast"/>
              <w:rPr>
                <w:rFonts w:hint="eastAsia" w:ascii="仿宋" w:hAnsi="仿宋" w:eastAsia="仿宋" w:cs="仿宋"/>
                <w:sz w:val="24"/>
                <w:szCs w:val="24"/>
              </w:rPr>
            </w:pPr>
            <w:r>
              <w:rPr>
                <w:rFonts w:hint="eastAsia" w:ascii="仿宋" w:hAnsi="仿宋" w:eastAsia="仿宋" w:cs="仿宋"/>
                <w:sz w:val="24"/>
                <w:szCs w:val="24"/>
              </w:rPr>
              <w:t>4）更换有故障的视频解码器节点并应用不会整体重启和黑屏；支持分布式视频解码器节点可选输出画面模式包括：黑屏、no single、输入信号源的最后一帧图像；</w:t>
            </w:r>
          </w:p>
          <w:p w14:paraId="7FB21823">
            <w:pPr>
              <w:spacing w:line="0" w:lineRule="atLeast"/>
              <w:rPr>
                <w:rFonts w:hint="eastAsia" w:ascii="仿宋" w:hAnsi="仿宋" w:eastAsia="仿宋" w:cs="仿宋"/>
                <w:sz w:val="24"/>
                <w:szCs w:val="24"/>
              </w:rPr>
            </w:pPr>
            <w:r>
              <w:rPr>
                <w:rFonts w:hint="eastAsia" w:ascii="仿宋" w:hAnsi="仿宋" w:eastAsia="仿宋" w:cs="仿宋"/>
                <w:sz w:val="24"/>
                <w:szCs w:val="24"/>
              </w:rPr>
              <w:t>5）▲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提供CNAS认证的第三方检测报告影印件）</w:t>
            </w:r>
          </w:p>
          <w:p w14:paraId="1195401A">
            <w:pPr>
              <w:spacing w:line="0" w:lineRule="atLeast"/>
              <w:rPr>
                <w:rFonts w:hint="eastAsia" w:ascii="仿宋" w:hAnsi="仿宋" w:eastAsia="仿宋" w:cs="仿宋"/>
                <w:sz w:val="24"/>
                <w:szCs w:val="24"/>
              </w:rPr>
            </w:pPr>
            <w:r>
              <w:rPr>
                <w:rFonts w:hint="eastAsia" w:ascii="仿宋" w:hAnsi="仿宋" w:eastAsia="仿宋" w:cs="仿宋"/>
                <w:sz w:val="24"/>
                <w:szCs w:val="24"/>
              </w:rPr>
              <w:t>6）分布式客户端支持中控控制页面及自定义按钮设置，可导入中控工程界面，可在客户端页面添加自定义按钮跳转至其他业务系统平台，无需多套客户端来回切换使用。</w:t>
            </w:r>
          </w:p>
          <w:p w14:paraId="5642CBDE">
            <w:pPr>
              <w:spacing w:line="0" w:lineRule="atLeast"/>
              <w:rPr>
                <w:rFonts w:hint="eastAsia" w:ascii="仿宋" w:hAnsi="仿宋" w:eastAsia="仿宋" w:cs="仿宋"/>
                <w:sz w:val="24"/>
                <w:szCs w:val="24"/>
              </w:rPr>
            </w:pPr>
            <w:r>
              <w:rPr>
                <w:rFonts w:hint="eastAsia" w:ascii="仿宋" w:hAnsi="仿宋" w:eastAsia="仿宋" w:cs="仿宋"/>
                <w:sz w:val="24"/>
                <w:szCs w:val="24"/>
              </w:rPr>
              <w:t>7）分布式支持快速部署：支持离线配置分布式视频解码器和区域分组，可快速在线查找所有分布式节点统一绑定到配置文件对应的区域节点即可。设备支持批量升级固件，不需要单个节点逐一升级。</w:t>
            </w:r>
          </w:p>
        </w:tc>
      </w:tr>
      <w:tr w14:paraId="03B64AD4">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0DE2146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824" w:type="dxa"/>
            <w:tcBorders>
              <w:top w:val="single" w:color="000000" w:sz="4" w:space="0"/>
              <w:left w:val="single" w:color="000000" w:sz="4" w:space="0"/>
              <w:bottom w:val="single" w:color="000000" w:sz="4" w:space="0"/>
              <w:right w:val="single" w:color="000000" w:sz="4" w:space="0"/>
            </w:tcBorders>
            <w:vAlign w:val="center"/>
          </w:tcPr>
          <w:p w14:paraId="77D574A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视频拼接</w:t>
            </w:r>
          </w:p>
          <w:p w14:paraId="22A266A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解码器</w:t>
            </w:r>
          </w:p>
        </w:tc>
        <w:tc>
          <w:tcPr>
            <w:tcW w:w="7017" w:type="dxa"/>
            <w:tcBorders>
              <w:top w:val="single" w:color="000000" w:sz="4" w:space="0"/>
              <w:left w:val="single" w:color="000000" w:sz="4" w:space="0"/>
              <w:bottom w:val="single" w:color="000000" w:sz="4" w:space="0"/>
              <w:right w:val="single" w:color="000000" w:sz="4" w:space="0"/>
            </w:tcBorders>
            <w:vAlign w:val="center"/>
          </w:tcPr>
          <w:p w14:paraId="13EF9E9A">
            <w:pPr>
              <w:spacing w:line="0" w:lineRule="atLeast"/>
              <w:rPr>
                <w:rFonts w:hint="eastAsia" w:ascii="仿宋" w:hAnsi="仿宋" w:eastAsia="仿宋" w:cs="仿宋"/>
                <w:sz w:val="24"/>
                <w:szCs w:val="24"/>
              </w:rPr>
            </w:pPr>
            <w:r>
              <w:rPr>
                <w:rFonts w:hint="eastAsia" w:ascii="仿宋" w:hAnsi="仿宋" w:eastAsia="仿宋" w:cs="仿宋"/>
                <w:sz w:val="24"/>
                <w:szCs w:val="24"/>
              </w:rPr>
              <w:t>1）▲具备视频拼接功能，单台视频拼接解码器可以开≥4个1080P窗口。至少具有1路HDMI视频输出接口（接口支持HDMI、DVI信号格式），最大分辨率支持3840*2160@30Hz；向下兼容其他分辨率；支持HDMI1.4,兼容DVI1.0。</w:t>
            </w:r>
          </w:p>
          <w:p w14:paraId="54154B8E">
            <w:pPr>
              <w:spacing w:line="0" w:lineRule="atLeast"/>
              <w:rPr>
                <w:rFonts w:hint="eastAsia" w:ascii="仿宋" w:hAnsi="仿宋" w:eastAsia="仿宋" w:cs="仿宋"/>
                <w:sz w:val="24"/>
                <w:szCs w:val="24"/>
              </w:rPr>
            </w:pPr>
            <w:r>
              <w:rPr>
                <w:rFonts w:hint="eastAsia" w:ascii="仿宋" w:hAnsi="仿宋" w:eastAsia="仿宋" w:cs="仿宋"/>
                <w:sz w:val="24"/>
                <w:szCs w:val="24"/>
              </w:rPr>
              <w:t>2）设备具备≥1个电源指示灯，≥1个视频信号指示灯，≥1个网络状态指示灯，≥1个重置出厂按键。</w:t>
            </w:r>
          </w:p>
          <w:p w14:paraId="55E36EA4">
            <w:pPr>
              <w:spacing w:line="0" w:lineRule="atLeast"/>
              <w:rPr>
                <w:rFonts w:hint="eastAsia" w:ascii="仿宋" w:hAnsi="仿宋" w:eastAsia="仿宋" w:cs="仿宋"/>
                <w:sz w:val="24"/>
                <w:szCs w:val="24"/>
              </w:rPr>
            </w:pPr>
            <w:r>
              <w:rPr>
                <w:rFonts w:hint="eastAsia" w:ascii="仿宋" w:hAnsi="仿宋" w:eastAsia="仿宋" w:cs="仿宋"/>
                <w:sz w:val="24"/>
                <w:szCs w:val="24"/>
              </w:rPr>
              <w:t>3）▲具备接口：≥1路HDMI视频输出接口；≥1路RJ45接口；≥1路凤凰座音频 IN；≥1路凤凰座音频OUT; ≥1路RS232双向收发串口; ≥4路I/O控制接口；≥3个USB接口。（提供CNAS认证的第三方检测报告影印件加盖原厂公章、提供样机图片）</w:t>
            </w:r>
          </w:p>
          <w:p w14:paraId="0824AE59">
            <w:pPr>
              <w:spacing w:line="0" w:lineRule="atLeast"/>
              <w:rPr>
                <w:rFonts w:hint="eastAsia" w:ascii="仿宋" w:hAnsi="仿宋" w:eastAsia="仿宋" w:cs="仿宋"/>
                <w:sz w:val="24"/>
                <w:szCs w:val="24"/>
              </w:rPr>
            </w:pPr>
            <w:r>
              <w:rPr>
                <w:rFonts w:hint="eastAsia" w:ascii="仿宋" w:hAnsi="仿宋" w:eastAsia="仿宋" w:cs="仿宋"/>
                <w:sz w:val="24"/>
                <w:szCs w:val="24"/>
              </w:rPr>
              <w:t>4）大屏拼接软件平台支持分布式系统具有画面轮询功能，轮询画面可双击放大到固定区域显示，方便监控画面在轮询过程中随时查看可疑图像；</w:t>
            </w:r>
          </w:p>
          <w:p w14:paraId="34D3639C">
            <w:pPr>
              <w:spacing w:line="0" w:lineRule="atLeast"/>
              <w:rPr>
                <w:rFonts w:hint="eastAsia" w:ascii="仿宋" w:hAnsi="仿宋" w:eastAsia="仿宋" w:cs="仿宋"/>
                <w:sz w:val="24"/>
                <w:szCs w:val="24"/>
              </w:rPr>
            </w:pPr>
            <w:r>
              <w:rPr>
                <w:rFonts w:hint="eastAsia" w:ascii="仿宋" w:hAnsi="仿宋" w:eastAsia="仿宋" w:cs="仿宋"/>
                <w:sz w:val="24"/>
                <w:szCs w:val="24"/>
              </w:rPr>
              <w:t>5）拼接软件平台支持系统批注功能，可在视频播放过程中或者ppt播放过程中，对某个细节部分进行批注加以描述，批注样式、颜色、形状等等可自由选择；</w:t>
            </w:r>
          </w:p>
          <w:p w14:paraId="636C66C9">
            <w:pPr>
              <w:spacing w:line="0" w:lineRule="atLeast"/>
              <w:rPr>
                <w:rFonts w:hint="eastAsia" w:ascii="仿宋" w:hAnsi="仿宋" w:eastAsia="仿宋" w:cs="仿宋"/>
                <w:sz w:val="24"/>
                <w:szCs w:val="24"/>
              </w:rPr>
            </w:pPr>
            <w:r>
              <w:rPr>
                <w:rFonts w:hint="eastAsia" w:ascii="仿宋" w:hAnsi="仿宋" w:eastAsia="仿宋" w:cs="仿宋"/>
                <w:sz w:val="24"/>
                <w:szCs w:val="24"/>
              </w:rPr>
              <w:t>6）视频拼接解码器可以在大屏上进行视频信号源的开窗、漫游、叠加、缩放、条幅、信号裁剪等功能；</w:t>
            </w:r>
          </w:p>
        </w:tc>
      </w:tr>
      <w:tr w14:paraId="52027B15">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739E0A8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824" w:type="dxa"/>
            <w:tcBorders>
              <w:top w:val="single" w:color="000000" w:sz="4" w:space="0"/>
              <w:left w:val="single" w:color="000000" w:sz="4" w:space="0"/>
              <w:bottom w:val="single" w:color="000000" w:sz="4" w:space="0"/>
              <w:right w:val="single" w:color="000000" w:sz="4" w:space="0"/>
            </w:tcBorders>
            <w:vAlign w:val="center"/>
          </w:tcPr>
          <w:p w14:paraId="2D77C8C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无线投屏</w:t>
            </w:r>
          </w:p>
        </w:tc>
        <w:tc>
          <w:tcPr>
            <w:tcW w:w="7017" w:type="dxa"/>
            <w:tcBorders>
              <w:top w:val="single" w:color="000000" w:sz="4" w:space="0"/>
              <w:left w:val="single" w:color="000000" w:sz="4" w:space="0"/>
              <w:bottom w:val="single" w:color="000000" w:sz="4" w:space="0"/>
              <w:right w:val="single" w:color="000000" w:sz="4" w:space="0"/>
            </w:tcBorders>
            <w:vAlign w:val="center"/>
          </w:tcPr>
          <w:p w14:paraId="28A01609">
            <w:pPr>
              <w:spacing w:line="0" w:lineRule="atLeast"/>
              <w:rPr>
                <w:rFonts w:hint="eastAsia" w:ascii="仿宋" w:hAnsi="仿宋" w:eastAsia="仿宋" w:cs="仿宋"/>
                <w:sz w:val="24"/>
                <w:szCs w:val="24"/>
              </w:rPr>
            </w:pPr>
            <w:r>
              <w:rPr>
                <w:rFonts w:hint="eastAsia" w:ascii="仿宋" w:hAnsi="仿宋" w:eastAsia="仿宋" w:cs="仿宋"/>
                <w:sz w:val="24"/>
                <w:szCs w:val="24"/>
              </w:rPr>
              <w:t>最大分辨率支持3840*2160，双画面</w:t>
            </w:r>
          </w:p>
        </w:tc>
      </w:tr>
      <w:tr w14:paraId="20A1DE64">
        <w:tblPrEx>
          <w:tblCellMar>
            <w:top w:w="0" w:type="dxa"/>
            <w:left w:w="108" w:type="dxa"/>
            <w:bottom w:w="0" w:type="dxa"/>
            <w:right w:w="108" w:type="dxa"/>
          </w:tblCellMar>
        </w:tblPrEx>
        <w:trPr>
          <w:trHeight w:val="26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56307CD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1824" w:type="dxa"/>
            <w:tcBorders>
              <w:top w:val="single" w:color="000000" w:sz="4" w:space="0"/>
              <w:left w:val="single" w:color="000000" w:sz="4" w:space="0"/>
              <w:bottom w:val="single" w:color="000000" w:sz="4" w:space="0"/>
              <w:right w:val="single" w:color="000000" w:sz="4" w:space="0"/>
            </w:tcBorders>
            <w:vAlign w:val="center"/>
          </w:tcPr>
          <w:p w14:paraId="5DBE6AE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演讲台地插</w:t>
            </w:r>
          </w:p>
        </w:tc>
        <w:tc>
          <w:tcPr>
            <w:tcW w:w="7017" w:type="dxa"/>
            <w:tcBorders>
              <w:top w:val="single" w:color="000000" w:sz="4" w:space="0"/>
              <w:left w:val="single" w:color="000000" w:sz="4" w:space="0"/>
              <w:bottom w:val="single" w:color="000000" w:sz="4" w:space="0"/>
              <w:right w:val="single" w:color="000000" w:sz="4" w:space="0"/>
            </w:tcBorders>
            <w:vAlign w:val="center"/>
          </w:tcPr>
          <w:p w14:paraId="3C2D688B">
            <w:pPr>
              <w:spacing w:line="0" w:lineRule="atLeast"/>
              <w:rPr>
                <w:rFonts w:hint="eastAsia" w:ascii="仿宋" w:hAnsi="仿宋" w:eastAsia="仿宋" w:cs="仿宋"/>
                <w:sz w:val="24"/>
                <w:szCs w:val="24"/>
              </w:rPr>
            </w:pPr>
            <w:r>
              <w:rPr>
                <w:rFonts w:hint="eastAsia" w:ascii="仿宋" w:hAnsi="仿宋" w:eastAsia="仿宋" w:cs="仿宋"/>
                <w:sz w:val="24"/>
                <w:szCs w:val="24"/>
              </w:rPr>
              <w:t>HDMI输出*1、音频线*1、电源*1、网络*1、模拟话筒接口*1</w:t>
            </w:r>
          </w:p>
        </w:tc>
      </w:tr>
      <w:tr w14:paraId="35E28D93">
        <w:tblPrEx>
          <w:tblCellMar>
            <w:top w:w="0" w:type="dxa"/>
            <w:left w:w="108" w:type="dxa"/>
            <w:bottom w:w="0" w:type="dxa"/>
            <w:right w:w="108" w:type="dxa"/>
          </w:tblCellMar>
        </w:tblPrEx>
        <w:trPr>
          <w:trHeight w:val="28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26F76FF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1824" w:type="dxa"/>
            <w:tcBorders>
              <w:top w:val="single" w:color="000000" w:sz="4" w:space="0"/>
              <w:left w:val="single" w:color="000000" w:sz="4" w:space="0"/>
              <w:bottom w:val="single" w:color="000000" w:sz="4" w:space="0"/>
              <w:right w:val="single" w:color="000000" w:sz="4" w:space="0"/>
            </w:tcBorders>
            <w:vAlign w:val="center"/>
          </w:tcPr>
          <w:p w14:paraId="1F3BD92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多媒体地插1</w:t>
            </w:r>
          </w:p>
        </w:tc>
        <w:tc>
          <w:tcPr>
            <w:tcW w:w="7017" w:type="dxa"/>
            <w:tcBorders>
              <w:top w:val="single" w:color="000000" w:sz="4" w:space="0"/>
              <w:left w:val="single" w:color="000000" w:sz="4" w:space="0"/>
              <w:bottom w:val="single" w:color="000000" w:sz="4" w:space="0"/>
              <w:right w:val="single" w:color="000000" w:sz="4" w:space="0"/>
            </w:tcBorders>
            <w:vAlign w:val="center"/>
          </w:tcPr>
          <w:p w14:paraId="599D4A01">
            <w:pPr>
              <w:spacing w:line="0" w:lineRule="atLeast"/>
              <w:rPr>
                <w:rFonts w:hint="eastAsia" w:ascii="仿宋" w:hAnsi="仿宋" w:eastAsia="仿宋" w:cs="仿宋"/>
                <w:sz w:val="24"/>
                <w:szCs w:val="24"/>
              </w:rPr>
            </w:pPr>
            <w:r>
              <w:rPr>
                <w:rFonts w:hint="eastAsia" w:ascii="仿宋" w:hAnsi="仿宋" w:eastAsia="仿宋" w:cs="仿宋"/>
                <w:sz w:val="24"/>
                <w:szCs w:val="24"/>
              </w:rPr>
              <w:t>HDMI输入*1、返听音箱（预留接口）*1、音频线*1、电源*1、网络*1</w:t>
            </w:r>
          </w:p>
        </w:tc>
      </w:tr>
      <w:tr w14:paraId="5F31F46F">
        <w:tblPrEx>
          <w:tblCellMar>
            <w:top w:w="0" w:type="dxa"/>
            <w:left w:w="108" w:type="dxa"/>
            <w:bottom w:w="0" w:type="dxa"/>
            <w:right w:w="108" w:type="dxa"/>
          </w:tblCellMar>
        </w:tblPrEx>
        <w:trPr>
          <w:trHeight w:val="28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406070CD">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1824" w:type="dxa"/>
            <w:tcBorders>
              <w:top w:val="single" w:color="000000" w:sz="4" w:space="0"/>
              <w:left w:val="single" w:color="000000" w:sz="4" w:space="0"/>
              <w:bottom w:val="single" w:color="000000" w:sz="4" w:space="0"/>
              <w:right w:val="single" w:color="000000" w:sz="4" w:space="0"/>
            </w:tcBorders>
            <w:vAlign w:val="center"/>
          </w:tcPr>
          <w:p w14:paraId="649D9C6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多媒体地插2</w:t>
            </w:r>
          </w:p>
        </w:tc>
        <w:tc>
          <w:tcPr>
            <w:tcW w:w="7017" w:type="dxa"/>
            <w:tcBorders>
              <w:top w:val="single" w:color="000000" w:sz="4" w:space="0"/>
              <w:left w:val="single" w:color="000000" w:sz="4" w:space="0"/>
              <w:bottom w:val="single" w:color="000000" w:sz="4" w:space="0"/>
              <w:right w:val="single" w:color="000000" w:sz="4" w:space="0"/>
            </w:tcBorders>
            <w:vAlign w:val="center"/>
          </w:tcPr>
          <w:p w14:paraId="5378D945">
            <w:pPr>
              <w:spacing w:line="0" w:lineRule="atLeast"/>
              <w:rPr>
                <w:rFonts w:hint="eastAsia" w:ascii="仿宋" w:hAnsi="仿宋" w:eastAsia="仿宋" w:cs="仿宋"/>
                <w:sz w:val="24"/>
                <w:szCs w:val="24"/>
              </w:rPr>
            </w:pPr>
            <w:r>
              <w:rPr>
                <w:rFonts w:hint="eastAsia" w:ascii="仿宋" w:hAnsi="仿宋" w:eastAsia="仿宋" w:cs="仿宋"/>
                <w:sz w:val="24"/>
                <w:szCs w:val="24"/>
              </w:rPr>
              <w:t>HDMI输入*1、HDMI输出*1、返听音箱（预留接口）*1、音频线*1、电源*1、网络*1</w:t>
            </w:r>
          </w:p>
        </w:tc>
      </w:tr>
      <w:tr w14:paraId="1E5EB63A">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25CFF4CA">
            <w:pPr>
              <w:spacing w:line="0" w:lineRule="atLeast"/>
              <w:jc w:val="center"/>
              <w:rPr>
                <w:rFonts w:hint="eastAsia" w:ascii="仿宋" w:hAnsi="仿宋" w:eastAsia="仿宋" w:cs="仿宋"/>
                <w:b/>
                <w:bCs/>
                <w:sz w:val="24"/>
                <w:szCs w:val="24"/>
              </w:rPr>
            </w:pPr>
            <w:r>
              <w:rPr>
                <w:rFonts w:hint="eastAsia" w:ascii="仿宋" w:hAnsi="仿宋" w:eastAsia="仿宋" w:cs="仿宋"/>
                <w:b/>
                <w:bCs/>
                <w:sz w:val="24"/>
                <w:szCs w:val="24"/>
              </w:rPr>
              <w:t>B</w:t>
            </w:r>
          </w:p>
        </w:tc>
        <w:tc>
          <w:tcPr>
            <w:tcW w:w="1824" w:type="dxa"/>
            <w:tcBorders>
              <w:top w:val="single" w:color="000000" w:sz="4" w:space="0"/>
              <w:left w:val="single" w:color="000000" w:sz="4" w:space="0"/>
              <w:bottom w:val="single" w:color="000000" w:sz="4" w:space="0"/>
              <w:right w:val="single" w:color="000000" w:sz="4" w:space="0"/>
            </w:tcBorders>
            <w:vAlign w:val="center"/>
          </w:tcPr>
          <w:p w14:paraId="6E65D4B7">
            <w:pPr>
              <w:spacing w:line="0" w:lineRule="atLeast"/>
              <w:jc w:val="center"/>
              <w:rPr>
                <w:rFonts w:hint="eastAsia" w:ascii="仿宋" w:hAnsi="仿宋" w:eastAsia="仿宋" w:cs="仿宋"/>
                <w:b/>
                <w:bCs/>
                <w:sz w:val="24"/>
                <w:szCs w:val="24"/>
              </w:rPr>
            </w:pPr>
            <w:r>
              <w:rPr>
                <w:rFonts w:hint="eastAsia" w:ascii="仿宋" w:hAnsi="仿宋" w:eastAsia="仿宋" w:cs="仿宋"/>
                <w:b/>
                <w:bCs/>
                <w:sz w:val="24"/>
                <w:szCs w:val="24"/>
              </w:rPr>
              <w:t>集中控制系统</w:t>
            </w:r>
          </w:p>
        </w:tc>
        <w:tc>
          <w:tcPr>
            <w:tcW w:w="7017" w:type="dxa"/>
            <w:tcBorders>
              <w:top w:val="single" w:color="000000" w:sz="4" w:space="0"/>
              <w:left w:val="single" w:color="000000" w:sz="4" w:space="0"/>
              <w:bottom w:val="single" w:color="000000" w:sz="4" w:space="0"/>
              <w:right w:val="single" w:color="000000" w:sz="4" w:space="0"/>
            </w:tcBorders>
            <w:vAlign w:val="center"/>
          </w:tcPr>
          <w:p w14:paraId="39A4C629">
            <w:pPr>
              <w:spacing w:line="0" w:lineRule="atLeast"/>
              <w:rPr>
                <w:rFonts w:hint="eastAsia" w:ascii="仿宋" w:hAnsi="仿宋" w:eastAsia="仿宋" w:cs="仿宋"/>
                <w:b/>
                <w:bCs/>
                <w:sz w:val="24"/>
                <w:szCs w:val="24"/>
              </w:rPr>
            </w:pPr>
          </w:p>
        </w:tc>
      </w:tr>
      <w:tr w14:paraId="5C167682">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0E2D6C7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824" w:type="dxa"/>
            <w:tcBorders>
              <w:top w:val="single" w:color="000000" w:sz="4" w:space="0"/>
              <w:left w:val="single" w:color="000000" w:sz="4" w:space="0"/>
              <w:bottom w:val="single" w:color="000000" w:sz="4" w:space="0"/>
              <w:right w:val="single" w:color="000000" w:sz="4" w:space="0"/>
            </w:tcBorders>
            <w:vAlign w:val="center"/>
          </w:tcPr>
          <w:p w14:paraId="7E1D7FE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控制系统主机</w:t>
            </w:r>
          </w:p>
        </w:tc>
        <w:tc>
          <w:tcPr>
            <w:tcW w:w="7017" w:type="dxa"/>
            <w:tcBorders>
              <w:top w:val="single" w:color="000000" w:sz="4" w:space="0"/>
              <w:left w:val="single" w:color="000000" w:sz="4" w:space="0"/>
              <w:bottom w:val="single" w:color="000000" w:sz="4" w:space="0"/>
              <w:right w:val="single" w:color="000000" w:sz="4" w:space="0"/>
            </w:tcBorders>
            <w:vAlign w:val="center"/>
          </w:tcPr>
          <w:p w14:paraId="742A019D">
            <w:pPr>
              <w:spacing w:line="0" w:lineRule="atLeast"/>
              <w:rPr>
                <w:rFonts w:hint="eastAsia" w:ascii="仿宋" w:hAnsi="仿宋" w:eastAsia="仿宋" w:cs="仿宋"/>
                <w:sz w:val="24"/>
                <w:szCs w:val="24"/>
              </w:rPr>
            </w:pPr>
            <w:r>
              <w:rPr>
                <w:rFonts w:hint="eastAsia" w:ascii="仿宋" w:hAnsi="仿宋" w:eastAsia="仿宋" w:cs="仿宋"/>
                <w:sz w:val="24"/>
                <w:szCs w:val="24"/>
              </w:rPr>
              <w:t>1）▲支持单机模式（独立管控会议室设备）和联网模式（需要配置管理平台） 。单机模式下，部署在每个会议室的智慧中控主机支持边缘计算，可以与服务器断开连接时单独运行，不影响对每个会议室设备进行集控管理。</w:t>
            </w:r>
          </w:p>
          <w:p w14:paraId="02537395">
            <w:pPr>
              <w:spacing w:line="0" w:lineRule="atLeast"/>
              <w:rPr>
                <w:rFonts w:hint="eastAsia" w:ascii="仿宋" w:hAnsi="仿宋" w:eastAsia="仿宋" w:cs="仿宋"/>
                <w:sz w:val="24"/>
                <w:szCs w:val="24"/>
              </w:rPr>
            </w:pPr>
            <w:r>
              <w:rPr>
                <w:rFonts w:hint="eastAsia" w:ascii="仿宋" w:hAnsi="仿宋" w:eastAsia="仿宋" w:cs="仿宋"/>
                <w:sz w:val="24"/>
                <w:szCs w:val="24"/>
              </w:rPr>
              <w:t>2）▲支持串口设备的接入，具备八路互相隔离的RS232/485供电串口，支持扩展第三方串口服务器</w:t>
            </w:r>
          </w:p>
          <w:p w14:paraId="4A2B8D38">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3）▲支持双千兆网口，可分别连接不同网络，实现网络物理隔离，安全可靠。 </w:t>
            </w:r>
          </w:p>
          <w:p w14:paraId="4D99A381">
            <w:pPr>
              <w:spacing w:line="0" w:lineRule="atLeast"/>
              <w:rPr>
                <w:rFonts w:hint="eastAsia" w:ascii="仿宋" w:hAnsi="仿宋" w:eastAsia="仿宋" w:cs="仿宋"/>
                <w:sz w:val="24"/>
                <w:szCs w:val="24"/>
              </w:rPr>
            </w:pPr>
            <w:r>
              <w:rPr>
                <w:rFonts w:hint="eastAsia" w:ascii="仿宋" w:hAnsi="仿宋" w:eastAsia="仿宋" w:cs="仿宋"/>
                <w:sz w:val="24"/>
                <w:szCs w:val="24"/>
              </w:rPr>
              <w:t>4）支持在中控web进行产品驱动的导入；</w:t>
            </w:r>
          </w:p>
          <w:p w14:paraId="749B902D">
            <w:pPr>
              <w:spacing w:line="0" w:lineRule="atLeast"/>
              <w:rPr>
                <w:rFonts w:hint="eastAsia" w:ascii="仿宋" w:hAnsi="仿宋" w:eastAsia="仿宋" w:cs="仿宋"/>
                <w:sz w:val="24"/>
                <w:szCs w:val="24"/>
              </w:rPr>
            </w:pPr>
            <w:r>
              <w:rPr>
                <w:rFonts w:hint="eastAsia" w:ascii="仿宋" w:hAnsi="仿宋" w:eastAsia="仿宋" w:cs="仿宋"/>
                <w:sz w:val="24"/>
                <w:szCs w:val="24"/>
              </w:rPr>
              <w:t>5）支持通过中控web查看平台接入设备状态，可以对设备信息进行修改、配置，支持对设备属性、方法进行操作；</w:t>
            </w:r>
          </w:p>
          <w:p w14:paraId="376C4BDA">
            <w:pPr>
              <w:spacing w:line="0" w:lineRule="atLeast"/>
              <w:rPr>
                <w:rFonts w:hint="eastAsia" w:ascii="仿宋" w:hAnsi="仿宋" w:eastAsia="仿宋" w:cs="仿宋"/>
                <w:sz w:val="24"/>
                <w:szCs w:val="24"/>
              </w:rPr>
            </w:pPr>
            <w:r>
              <w:rPr>
                <w:rFonts w:hint="eastAsia" w:ascii="仿宋" w:hAnsi="仿宋" w:eastAsia="仿宋" w:cs="仿宋"/>
                <w:sz w:val="24"/>
                <w:szCs w:val="24"/>
              </w:rPr>
              <w:t>6）▲具备视频解码能力，能够接入监控视频流，音视频流延迟控制在0.5S</w:t>
            </w:r>
          </w:p>
          <w:p w14:paraId="042F0526">
            <w:pPr>
              <w:spacing w:line="0" w:lineRule="atLeast"/>
              <w:rPr>
                <w:rFonts w:hint="eastAsia" w:ascii="仿宋" w:hAnsi="仿宋" w:eastAsia="仿宋" w:cs="仿宋"/>
                <w:sz w:val="24"/>
                <w:szCs w:val="24"/>
              </w:rPr>
            </w:pPr>
            <w:r>
              <w:rPr>
                <w:rFonts w:hint="eastAsia" w:ascii="仿宋" w:hAnsi="仿宋" w:eastAsia="仿宋" w:cs="仿宋"/>
                <w:sz w:val="24"/>
                <w:szCs w:val="24"/>
              </w:rPr>
              <w:t>7）▲支持对场景、设备联动设置编辑，全程无代码编写控制场景，方便快捷；</w:t>
            </w:r>
          </w:p>
          <w:p w14:paraId="03A4838F">
            <w:pPr>
              <w:spacing w:line="0" w:lineRule="atLeast"/>
              <w:rPr>
                <w:rFonts w:hint="eastAsia" w:ascii="仿宋" w:hAnsi="仿宋" w:eastAsia="仿宋" w:cs="仿宋"/>
                <w:sz w:val="24"/>
                <w:szCs w:val="24"/>
              </w:rPr>
            </w:pPr>
            <w:r>
              <w:rPr>
                <w:rFonts w:hint="eastAsia" w:ascii="仿宋" w:hAnsi="仿宋" w:eastAsia="仿宋" w:cs="仿宋"/>
                <w:sz w:val="24"/>
                <w:szCs w:val="24"/>
              </w:rPr>
              <w:t>8）支持浏览器远程配置设备参数、监控状态、下发指令，实现设备开关、参数设置等管控功能。</w:t>
            </w:r>
          </w:p>
          <w:p w14:paraId="15A80258">
            <w:pPr>
              <w:spacing w:line="0" w:lineRule="atLeast"/>
              <w:rPr>
                <w:rFonts w:hint="eastAsia" w:ascii="仿宋" w:hAnsi="仿宋" w:eastAsia="仿宋" w:cs="仿宋"/>
                <w:sz w:val="24"/>
                <w:szCs w:val="24"/>
              </w:rPr>
            </w:pPr>
            <w:r>
              <w:rPr>
                <w:rFonts w:hint="eastAsia" w:ascii="仿宋" w:hAnsi="仿宋" w:eastAsia="仿宋" w:cs="仿宋"/>
                <w:sz w:val="24"/>
                <w:szCs w:val="24"/>
              </w:rPr>
              <w:t>9）支持多协议兼容，通过API/SDK对接本地设备协议（如Modbus、MQTT、HTTP），不依赖第三方平台。</w:t>
            </w:r>
          </w:p>
          <w:p w14:paraId="0A404E58">
            <w:pPr>
              <w:spacing w:line="0" w:lineRule="atLeast"/>
              <w:rPr>
                <w:rFonts w:hint="eastAsia" w:ascii="仿宋" w:hAnsi="仿宋" w:eastAsia="仿宋" w:cs="仿宋"/>
                <w:sz w:val="24"/>
                <w:szCs w:val="24"/>
              </w:rPr>
            </w:pPr>
            <w:r>
              <w:rPr>
                <w:rFonts w:hint="eastAsia" w:ascii="仿宋" w:hAnsi="仿宋" w:eastAsia="仿宋" w:cs="仿宋"/>
                <w:sz w:val="24"/>
                <w:szCs w:val="24"/>
              </w:rPr>
              <w:t>10）▲支持APP首页场景、菜单自定义编辑，用户可根据情况自定义绑定场景、添加受控设备类型至导航栏，支持平板APP首页展示当前会议室信息和会议室环境信息。</w:t>
            </w:r>
          </w:p>
        </w:tc>
      </w:tr>
      <w:tr w14:paraId="477561E7">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6DA1C70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824" w:type="dxa"/>
            <w:tcBorders>
              <w:top w:val="single" w:color="000000" w:sz="4" w:space="0"/>
              <w:left w:val="single" w:color="000000" w:sz="4" w:space="0"/>
              <w:bottom w:val="single" w:color="000000" w:sz="4" w:space="0"/>
              <w:right w:val="single" w:color="000000" w:sz="4" w:space="0"/>
            </w:tcBorders>
            <w:vAlign w:val="center"/>
          </w:tcPr>
          <w:p w14:paraId="4E519F6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可编程系统软件</w:t>
            </w:r>
          </w:p>
        </w:tc>
        <w:tc>
          <w:tcPr>
            <w:tcW w:w="7017" w:type="dxa"/>
            <w:tcBorders>
              <w:top w:val="single" w:color="000000" w:sz="4" w:space="0"/>
              <w:left w:val="single" w:color="000000" w:sz="4" w:space="0"/>
              <w:bottom w:val="single" w:color="000000" w:sz="4" w:space="0"/>
              <w:right w:val="single" w:color="000000" w:sz="4" w:space="0"/>
            </w:tcBorders>
            <w:vAlign w:val="center"/>
          </w:tcPr>
          <w:p w14:paraId="345485F6">
            <w:pPr>
              <w:spacing w:line="0" w:lineRule="atLeast"/>
              <w:rPr>
                <w:rFonts w:hint="eastAsia" w:ascii="仿宋" w:hAnsi="仿宋" w:eastAsia="仿宋" w:cs="仿宋"/>
                <w:sz w:val="24"/>
                <w:szCs w:val="24"/>
              </w:rPr>
            </w:pPr>
            <w:r>
              <w:rPr>
                <w:rFonts w:hint="eastAsia" w:ascii="仿宋" w:hAnsi="仿宋" w:eastAsia="仿宋" w:cs="仿宋"/>
                <w:sz w:val="24"/>
                <w:szCs w:val="24"/>
              </w:rPr>
              <w:t>根据项目需求定制</w:t>
            </w:r>
          </w:p>
        </w:tc>
      </w:tr>
      <w:tr w14:paraId="7598087F">
        <w:tblPrEx>
          <w:tblCellMar>
            <w:top w:w="0" w:type="dxa"/>
            <w:left w:w="108" w:type="dxa"/>
            <w:bottom w:w="0" w:type="dxa"/>
            <w:right w:w="108" w:type="dxa"/>
          </w:tblCellMar>
        </w:tblPrEx>
        <w:trPr>
          <w:trHeight w:val="300" w:hRule="atLeast"/>
        </w:trPr>
        <w:tc>
          <w:tcPr>
            <w:tcW w:w="1119" w:type="dxa"/>
            <w:tcBorders>
              <w:top w:val="single" w:color="000000" w:sz="4" w:space="0"/>
              <w:left w:val="single" w:color="000000" w:sz="4" w:space="0"/>
              <w:bottom w:val="single" w:color="000000" w:sz="4" w:space="0"/>
              <w:right w:val="single" w:color="000000" w:sz="4" w:space="0"/>
            </w:tcBorders>
            <w:vAlign w:val="center"/>
          </w:tcPr>
          <w:p w14:paraId="323BFF3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824" w:type="dxa"/>
            <w:tcBorders>
              <w:top w:val="single" w:color="000000" w:sz="4" w:space="0"/>
              <w:left w:val="single" w:color="000000" w:sz="4" w:space="0"/>
              <w:bottom w:val="single" w:color="000000" w:sz="4" w:space="0"/>
              <w:right w:val="single" w:color="000000" w:sz="4" w:space="0"/>
            </w:tcBorders>
            <w:vAlign w:val="center"/>
          </w:tcPr>
          <w:p w14:paraId="29D0F22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无线控制平板</w:t>
            </w:r>
          </w:p>
        </w:tc>
        <w:tc>
          <w:tcPr>
            <w:tcW w:w="7017" w:type="dxa"/>
            <w:tcBorders>
              <w:top w:val="single" w:color="000000" w:sz="4" w:space="0"/>
              <w:left w:val="single" w:color="000000" w:sz="4" w:space="0"/>
              <w:bottom w:val="single" w:color="000000" w:sz="4" w:space="0"/>
              <w:right w:val="single" w:color="000000" w:sz="4" w:space="0"/>
            </w:tcBorders>
            <w:vAlign w:val="center"/>
          </w:tcPr>
          <w:p w14:paraId="75C11C2E">
            <w:pPr>
              <w:spacing w:line="0" w:lineRule="atLeast"/>
              <w:rPr>
                <w:rFonts w:hint="eastAsia" w:ascii="仿宋" w:hAnsi="仿宋" w:eastAsia="仿宋" w:cs="仿宋"/>
                <w:sz w:val="24"/>
                <w:szCs w:val="24"/>
              </w:rPr>
            </w:pPr>
            <w:r>
              <w:rPr>
                <w:rFonts w:hint="eastAsia" w:ascii="仿宋" w:hAnsi="仿宋" w:eastAsia="仿宋" w:cs="仿宋"/>
                <w:sz w:val="24"/>
                <w:szCs w:val="24"/>
              </w:rPr>
              <w:t>无线触摸平板，尺寸不小于11.5英寸</w:t>
            </w:r>
          </w:p>
        </w:tc>
      </w:tr>
    </w:tbl>
    <w:p w14:paraId="674CB404">
      <w:pPr>
        <w:pStyle w:val="18"/>
        <w:spacing w:before="0" w:beforeAutospacing="0" w:after="0" w:afterAutospacing="0" w:line="360" w:lineRule="auto"/>
        <w:ind w:firstLine="480"/>
        <w:jc w:val="both"/>
        <w:rPr>
          <w:rFonts w:hint="eastAsia" w:ascii="仿宋" w:hAnsi="仿宋" w:eastAsia="仿宋" w:cs="仿宋"/>
          <w:bCs/>
          <w:lang w:val="zh-CN"/>
        </w:rPr>
      </w:pPr>
      <w:r>
        <w:rPr>
          <w:rFonts w:hint="eastAsia" w:ascii="仿宋" w:hAnsi="仿宋" w:eastAsia="仿宋" w:cs="仿宋"/>
          <w:bCs/>
        </w:rPr>
        <w:t>★</w:t>
      </w:r>
      <w:r>
        <w:rPr>
          <w:rFonts w:hint="eastAsia" w:ascii="仿宋" w:hAnsi="仿宋" w:eastAsia="仿宋" w:cs="仿宋"/>
          <w:bCs/>
          <w:lang w:val="zh-CN"/>
        </w:rPr>
        <w:t>供应商</w:t>
      </w:r>
      <w:r>
        <w:rPr>
          <w:rFonts w:hint="eastAsia" w:ascii="仿宋" w:hAnsi="仿宋" w:eastAsia="仿宋" w:cs="仿宋"/>
          <w:bCs/>
        </w:rPr>
        <w:t>应</w:t>
      </w:r>
      <w:r>
        <w:rPr>
          <w:rFonts w:hint="eastAsia" w:ascii="仿宋" w:hAnsi="仿宋" w:eastAsia="仿宋" w:cs="仿宋"/>
          <w:bCs/>
          <w:lang w:val="zh-CN"/>
        </w:rPr>
        <w:t>根据用户</w:t>
      </w:r>
      <w:r>
        <w:rPr>
          <w:rFonts w:hint="eastAsia" w:ascii="仿宋" w:hAnsi="仿宋" w:eastAsia="仿宋" w:cs="仿宋"/>
          <w:bCs/>
        </w:rPr>
        <w:t>设备</w:t>
      </w:r>
      <w:r>
        <w:rPr>
          <w:rFonts w:hint="eastAsia" w:ascii="仿宋" w:hAnsi="仿宋" w:eastAsia="仿宋" w:cs="仿宋"/>
          <w:bCs/>
          <w:lang w:val="zh-CN"/>
        </w:rPr>
        <w:t>部署情况，自行测算布线施工量及线缆及辅材使用量，包含所有设备互通所需要的连接配件。供应商投标报价包含所有费用，用户不再另行支付其它费用。</w:t>
      </w:r>
    </w:p>
    <w:p w14:paraId="5AFEBA69">
      <w:pPr>
        <w:pStyle w:val="29"/>
        <w:numPr>
          <w:ilvl w:val="0"/>
          <w:numId w:val="5"/>
        </w:numPr>
        <w:spacing w:line="360" w:lineRule="auto"/>
        <w:ind w:left="-199" w:leftChars="-95" w:firstLine="0"/>
        <w:rPr>
          <w:rFonts w:hint="eastAsia" w:ascii="仿宋" w:hAnsi="仿宋" w:eastAsia="仿宋" w:cs="仿宋"/>
          <w:lang w:val="zh-CN"/>
        </w:rPr>
      </w:pPr>
      <w:r>
        <w:rPr>
          <w:rFonts w:hint="eastAsia" w:ascii="仿宋" w:hAnsi="仿宋" w:eastAsia="仿宋" w:cs="仿宋"/>
        </w:rPr>
        <w:t>保修期内服务要求及其他要求</w:t>
      </w:r>
    </w:p>
    <w:p w14:paraId="7AE8C59D">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1、成交供应商需提供全年无休7</w:t>
      </w:r>
      <w:r>
        <w:rPr>
          <w:rFonts w:hint="eastAsia" w:ascii="仿宋" w:hAnsi="仿宋" w:eastAsia="仿宋" w:cs="仿宋"/>
          <w:bCs/>
          <w:sz w:val="24"/>
          <w:szCs w:val="24"/>
          <w:lang w:val="zh-CN"/>
        </w:rPr>
        <w:t>×</w:t>
      </w:r>
      <w:r>
        <w:rPr>
          <w:rFonts w:hint="eastAsia" w:ascii="仿宋" w:hAnsi="仿宋" w:eastAsia="仿宋" w:cs="仿宋"/>
          <w:bCs/>
          <w:sz w:val="24"/>
          <w:szCs w:val="24"/>
        </w:rPr>
        <w:t>24小时电话技术支持，如电话无法解决问题，应在接到用户方报修通知后2小时内组织专业技术人员到达现场处理。</w:t>
      </w:r>
    </w:p>
    <w:p w14:paraId="3B78C8C3">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2、设备维护技术人员需具备设备厂家出具的有效期内的认证证书。</w:t>
      </w:r>
    </w:p>
    <w:p w14:paraId="36F39906">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3、设备维护技术人员应严格按照设备维护操作规程开展工作。</w:t>
      </w:r>
    </w:p>
    <w:p w14:paraId="34C1EC8C">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4、成交供应商应做好设备配件储备工作，如设备配件损坏，原则上应于24小时内完成配件更换，如故障短期内无法修复，也应无偿提供可行的备选方案保证用户应急使用，直至用户方设备故障解决恢复正常。</w:t>
      </w:r>
    </w:p>
    <w:p w14:paraId="2EAED2AB">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5、成交供应商应无偿提供有关设备保修期内软件升级服务。</w:t>
      </w:r>
    </w:p>
    <w:p w14:paraId="38E52435">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6、成交供应商应无偿提供保修期内3次设备巡检服务，并提供设备运行情况报告。</w:t>
      </w:r>
    </w:p>
    <w:p w14:paraId="5C45D74A">
      <w:pPr>
        <w:pStyle w:val="19"/>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7、保修期内设备因非人为原因造成的损坏，维修费用由成交供应商承担，用户方不再另行支付其它费用。</w:t>
      </w:r>
    </w:p>
    <w:p w14:paraId="04DF457B">
      <w:pPr>
        <w:spacing w:line="360" w:lineRule="auto"/>
        <w:ind w:firstLine="482" w:firstLineChars="200"/>
        <w:rPr>
          <w:rFonts w:hint="eastAsia" w:ascii="仿宋" w:hAnsi="仿宋" w:eastAsia="仿宋" w:cs="仿宋"/>
          <w:bCs/>
          <w:sz w:val="24"/>
          <w:szCs w:val="24"/>
        </w:rPr>
      </w:pPr>
      <w:r>
        <w:rPr>
          <w:rFonts w:hint="eastAsia" w:ascii="仿宋" w:hAnsi="仿宋" w:eastAsia="仿宋" w:cs="仿宋"/>
          <w:b/>
          <w:i/>
          <w:iCs/>
          <w:sz w:val="24"/>
          <w:szCs w:val="24"/>
          <w:u w:val="single"/>
        </w:rPr>
        <w:t>8、所有报价、承诺事项及重要证明文件均须加盖公司公章</w:t>
      </w:r>
      <w:r>
        <w:rPr>
          <w:rFonts w:hint="eastAsia" w:ascii="仿宋" w:hAnsi="仿宋" w:eastAsia="仿宋" w:cs="仿宋"/>
          <w:bCs/>
          <w:sz w:val="24"/>
          <w:szCs w:val="24"/>
        </w:rPr>
        <w:t>。</w:t>
      </w:r>
    </w:p>
    <w:p w14:paraId="71D0C2A5">
      <w:pPr>
        <w:pStyle w:val="29"/>
        <w:numPr>
          <w:ilvl w:val="0"/>
          <w:numId w:val="5"/>
        </w:numPr>
        <w:spacing w:line="360" w:lineRule="auto"/>
        <w:ind w:left="-199" w:leftChars="-95" w:firstLine="0"/>
        <w:rPr>
          <w:rFonts w:hint="eastAsia" w:ascii="仿宋" w:hAnsi="仿宋" w:eastAsia="仿宋" w:cs="仿宋"/>
          <w:lang w:val="zh-CN"/>
        </w:rPr>
      </w:pPr>
      <w:r>
        <w:rPr>
          <w:rFonts w:hint="eastAsia" w:ascii="仿宋" w:hAnsi="仿宋" w:eastAsia="仿宋" w:cs="仿宋"/>
        </w:rPr>
        <w:t>商务要求</w:t>
      </w:r>
    </w:p>
    <w:p w14:paraId="6F7F1304">
      <w:pPr>
        <w:pStyle w:val="19"/>
        <w:spacing w:line="360" w:lineRule="auto"/>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（一）项目</w:t>
      </w:r>
      <w:r>
        <w:rPr>
          <w:rFonts w:hint="eastAsia" w:ascii="仿宋" w:hAnsi="仿宋" w:eastAsia="仿宋" w:cs="仿宋"/>
          <w:bCs/>
          <w:sz w:val="24"/>
          <w:szCs w:val="24"/>
        </w:rPr>
        <w:t>完成</w:t>
      </w:r>
      <w:r>
        <w:rPr>
          <w:rFonts w:hint="eastAsia" w:ascii="仿宋" w:hAnsi="仿宋" w:eastAsia="仿宋" w:cs="仿宋"/>
          <w:bCs/>
          <w:sz w:val="24"/>
          <w:szCs w:val="24"/>
          <w:lang w:val="zh-CN"/>
        </w:rPr>
        <w:t>时间及交付地点：</w:t>
      </w:r>
      <w:r>
        <w:rPr>
          <w:rFonts w:hint="eastAsia" w:ascii="仿宋" w:hAnsi="仿宋" w:eastAsia="仿宋" w:cs="仿宋"/>
          <w:bCs/>
          <w:sz w:val="24"/>
          <w:szCs w:val="24"/>
        </w:rPr>
        <w:t>合</w:t>
      </w:r>
      <w:r>
        <w:rPr>
          <w:rFonts w:hint="eastAsia" w:ascii="仿宋" w:hAnsi="仿宋" w:eastAsia="仿宋" w:cs="仿宋"/>
          <w:bCs/>
          <w:sz w:val="24"/>
          <w:szCs w:val="24"/>
          <w:lang w:val="zh-CN"/>
        </w:rPr>
        <w:t>同签订后</w:t>
      </w:r>
      <w:r>
        <w:rPr>
          <w:rFonts w:hint="eastAsia" w:ascii="仿宋" w:hAnsi="仿宋" w:eastAsia="仿宋" w:cs="仿宋"/>
          <w:bCs/>
          <w:sz w:val="24"/>
          <w:szCs w:val="24"/>
        </w:rPr>
        <w:t>6</w:t>
      </w:r>
      <w:r>
        <w:rPr>
          <w:rFonts w:hint="eastAsia" w:ascii="仿宋" w:hAnsi="仿宋" w:eastAsia="仿宋" w:cs="仿宋"/>
          <w:bCs/>
          <w:sz w:val="24"/>
          <w:szCs w:val="24"/>
          <w:lang w:val="zh-CN"/>
        </w:rPr>
        <w:t>0个工作日内完成项目全部内容，并按采购文件相关要求及响应文件的承诺进行交付验收。交付地点，</w:t>
      </w:r>
      <w:r>
        <w:rPr>
          <w:rFonts w:hint="eastAsia" w:ascii="仿宋" w:hAnsi="仿宋" w:eastAsia="仿宋" w:cs="仿宋"/>
          <w:bCs/>
          <w:sz w:val="24"/>
          <w:szCs w:val="24"/>
          <w:lang w:val="en-US" w:eastAsia="zh-CN"/>
        </w:rPr>
        <w:t>分包一</w:t>
      </w:r>
      <w:r>
        <w:rPr>
          <w:rFonts w:hint="eastAsia" w:ascii="仿宋" w:hAnsi="仿宋" w:eastAsia="仿宋" w:cs="仿宋"/>
          <w:bCs/>
          <w:sz w:val="24"/>
          <w:szCs w:val="24"/>
          <w:lang w:val="zh-CN"/>
        </w:rPr>
        <w:t>：沅江路</w:t>
      </w:r>
      <w:r>
        <w:rPr>
          <w:rFonts w:hint="eastAsia" w:ascii="仿宋" w:hAnsi="仿宋" w:eastAsia="仿宋" w:cs="仿宋"/>
          <w:bCs/>
          <w:sz w:val="24"/>
          <w:szCs w:val="24"/>
        </w:rPr>
        <w:t>62-2号（3-5层）</w:t>
      </w:r>
      <w:r>
        <w:rPr>
          <w:rFonts w:hint="eastAsia" w:ascii="仿宋" w:hAnsi="仿宋" w:eastAsia="仿宋" w:cs="仿宋"/>
          <w:bCs/>
          <w:sz w:val="24"/>
          <w:szCs w:val="24"/>
          <w:lang w:val="zh-CN"/>
        </w:rPr>
        <w:t>、汉中门</w:t>
      </w:r>
      <w:r>
        <w:rPr>
          <w:rFonts w:hint="eastAsia" w:ascii="仿宋" w:hAnsi="仿宋" w:eastAsia="仿宋" w:cs="仿宋"/>
          <w:bCs/>
          <w:sz w:val="24"/>
          <w:szCs w:val="24"/>
        </w:rPr>
        <w:t>大街302号</w:t>
      </w:r>
      <w:r>
        <w:rPr>
          <w:rFonts w:hint="eastAsia" w:ascii="仿宋" w:hAnsi="仿宋" w:eastAsia="仿宋" w:cs="仿宋"/>
          <w:bCs/>
          <w:sz w:val="24"/>
          <w:szCs w:val="24"/>
          <w:lang w:val="zh-CN"/>
        </w:rPr>
        <w:t>、</w:t>
      </w:r>
      <w:r>
        <w:rPr>
          <w:rFonts w:hint="eastAsia" w:ascii="仿宋" w:hAnsi="仿宋" w:eastAsia="仿宋" w:cs="仿宋"/>
          <w:bCs/>
          <w:sz w:val="24"/>
          <w:szCs w:val="24"/>
        </w:rPr>
        <w:t>江苏现代农机科技示范园（南京市溧水区白马现代工业园）、中国农业科学院家禽研究所（扬州市邗江区甘八路）</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分包二：</w:t>
      </w:r>
      <w:r>
        <w:rPr>
          <w:rFonts w:hint="eastAsia" w:ascii="仿宋" w:hAnsi="仿宋" w:eastAsia="仿宋" w:cs="仿宋"/>
          <w:bCs/>
          <w:sz w:val="24"/>
          <w:szCs w:val="24"/>
        </w:rPr>
        <w:t>江苏</w:t>
      </w:r>
      <w:r>
        <w:rPr>
          <w:rFonts w:hint="eastAsia" w:ascii="仿宋" w:hAnsi="仿宋" w:eastAsia="仿宋" w:cs="仿宋"/>
          <w:bCs/>
          <w:sz w:val="24"/>
          <w:szCs w:val="24"/>
          <w:lang w:val="zh-CN"/>
        </w:rPr>
        <w:t>农林大厦（</w:t>
      </w:r>
      <w:r>
        <w:rPr>
          <w:rFonts w:hint="eastAsia" w:ascii="仿宋" w:hAnsi="仿宋" w:eastAsia="仿宋" w:cs="仿宋"/>
          <w:bCs/>
          <w:sz w:val="24"/>
          <w:szCs w:val="24"/>
        </w:rPr>
        <w:t>南京市龙江小区月光广场8号</w:t>
      </w:r>
      <w:r>
        <w:rPr>
          <w:rFonts w:hint="eastAsia" w:ascii="仿宋" w:hAnsi="仿宋" w:eastAsia="仿宋" w:cs="仿宋"/>
          <w:bCs/>
          <w:sz w:val="24"/>
          <w:szCs w:val="24"/>
          <w:lang w:val="zh-CN"/>
        </w:rPr>
        <w:t>）。</w:t>
      </w:r>
    </w:p>
    <w:p w14:paraId="3C1BCE1E">
      <w:pPr>
        <w:pStyle w:val="19"/>
        <w:spacing w:line="360" w:lineRule="auto"/>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（二）货款支付：</w:t>
      </w:r>
    </w:p>
    <w:p w14:paraId="513ABD5B">
      <w:pPr>
        <w:pStyle w:val="19"/>
        <w:spacing w:line="360" w:lineRule="auto"/>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1、合同签订后7个工作日内，</w:t>
      </w:r>
      <w:r>
        <w:rPr>
          <w:rFonts w:hint="eastAsia" w:ascii="仿宋" w:hAnsi="仿宋" w:eastAsia="仿宋" w:cs="仿宋"/>
          <w:bCs/>
          <w:sz w:val="24"/>
          <w:szCs w:val="24"/>
        </w:rPr>
        <w:t>采购人</w:t>
      </w:r>
      <w:r>
        <w:rPr>
          <w:rFonts w:hint="eastAsia" w:ascii="仿宋" w:hAnsi="仿宋" w:eastAsia="仿宋" w:cs="仿宋"/>
          <w:bCs/>
          <w:sz w:val="24"/>
          <w:szCs w:val="24"/>
          <w:lang w:val="zh-CN"/>
        </w:rPr>
        <w:t>支付</w:t>
      </w:r>
      <w:r>
        <w:rPr>
          <w:rFonts w:hint="eastAsia" w:ascii="仿宋" w:hAnsi="仿宋" w:eastAsia="仿宋" w:cs="仿宋"/>
          <w:bCs/>
          <w:sz w:val="24"/>
          <w:szCs w:val="24"/>
          <w:lang w:val="en-US" w:eastAsia="zh-CN"/>
        </w:rPr>
        <w:t>合同</w:t>
      </w:r>
      <w:r>
        <w:rPr>
          <w:rFonts w:hint="eastAsia" w:ascii="仿宋" w:hAnsi="仿宋" w:eastAsia="仿宋" w:cs="仿宋"/>
          <w:bCs/>
          <w:sz w:val="24"/>
          <w:szCs w:val="24"/>
          <w:lang w:val="zh-CN"/>
        </w:rPr>
        <w:t>金额的</w:t>
      </w:r>
      <w:r>
        <w:rPr>
          <w:rFonts w:hint="eastAsia" w:ascii="仿宋" w:hAnsi="仿宋" w:eastAsia="仿宋" w:cs="仿宋"/>
          <w:bCs/>
          <w:sz w:val="24"/>
          <w:szCs w:val="24"/>
        </w:rPr>
        <w:t>5</w:t>
      </w:r>
      <w:r>
        <w:rPr>
          <w:rFonts w:hint="eastAsia" w:ascii="仿宋" w:hAnsi="仿宋" w:eastAsia="仿宋" w:cs="仿宋"/>
          <w:bCs/>
          <w:sz w:val="24"/>
          <w:szCs w:val="24"/>
          <w:lang w:val="zh-CN"/>
        </w:rPr>
        <w:t>0%；</w:t>
      </w:r>
    </w:p>
    <w:p w14:paraId="38793B3F">
      <w:pPr>
        <w:pStyle w:val="19"/>
        <w:spacing w:line="360" w:lineRule="auto"/>
        <w:ind w:firstLine="480"/>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bCs/>
          <w:sz w:val="24"/>
          <w:szCs w:val="24"/>
        </w:rPr>
        <w:t>项目实施</w:t>
      </w:r>
      <w:r>
        <w:rPr>
          <w:rFonts w:hint="eastAsia" w:ascii="仿宋" w:hAnsi="仿宋" w:eastAsia="仿宋" w:cs="仿宋"/>
          <w:bCs/>
          <w:sz w:val="24"/>
          <w:szCs w:val="24"/>
          <w:lang w:val="zh-CN"/>
        </w:rPr>
        <w:t>完成并经用户验收确认后7个工作日内，付清余款；</w:t>
      </w:r>
    </w:p>
    <w:p w14:paraId="568AC3F7">
      <w:pPr>
        <w:pStyle w:val="19"/>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sz w:val="24"/>
          <w:szCs w:val="24"/>
          <w:lang w:val="zh-CN"/>
        </w:rPr>
        <w:t>3、每次付款之前，需收到乙方开具的合法有效的相应金额发票</w:t>
      </w:r>
      <w:r>
        <w:rPr>
          <w:rFonts w:hint="eastAsia" w:ascii="仿宋" w:hAnsi="仿宋" w:eastAsia="仿宋" w:cs="仿宋"/>
          <w:bCs/>
          <w:color w:val="auto"/>
          <w:sz w:val="24"/>
          <w:szCs w:val="24"/>
          <w:highlight w:val="none"/>
        </w:rPr>
        <w:t>。</w:t>
      </w:r>
    </w:p>
    <w:p w14:paraId="30758105">
      <w:pPr>
        <w:spacing w:line="640" w:lineRule="exact"/>
        <w:jc w:val="left"/>
        <w:rPr>
          <w:rFonts w:hint="eastAsia" w:ascii="仿宋" w:hAnsi="仿宋" w:eastAsia="仿宋" w:cs="仿宋"/>
          <w:bCs/>
          <w:color w:val="auto"/>
          <w:kern w:val="0"/>
          <w:highlight w:val="none"/>
        </w:rPr>
      </w:pPr>
    </w:p>
    <w:p w14:paraId="3E736747">
      <w:pPr>
        <w:spacing w:line="640" w:lineRule="exact"/>
        <w:jc w:val="left"/>
        <w:rPr>
          <w:rFonts w:hint="eastAsia" w:ascii="仿宋" w:hAnsi="仿宋" w:eastAsia="仿宋" w:cs="仿宋"/>
          <w:bCs/>
          <w:color w:val="auto"/>
          <w:kern w:val="0"/>
          <w:highlight w:val="none"/>
        </w:rPr>
      </w:pPr>
    </w:p>
    <w:p w14:paraId="17A39693">
      <w:pPr>
        <w:pStyle w:val="28"/>
        <w:pageBreakBefore/>
        <w:spacing w:after="317" w:line="360" w:lineRule="auto"/>
        <w:textAlignment w:val="baseline"/>
        <w:rPr>
          <w:rFonts w:hint="eastAsia" w:ascii="仿宋" w:hAnsi="仿宋" w:eastAsia="仿宋" w:cs="仿宋"/>
          <w:color w:val="auto"/>
          <w:sz w:val="40"/>
          <w:highlight w:val="none"/>
        </w:rPr>
      </w:pPr>
      <w:bookmarkStart w:id="99" w:name="_Toc4369"/>
      <w:bookmarkStart w:id="100" w:name="_Toc14747"/>
      <w:bookmarkStart w:id="101" w:name="_Toc12740"/>
      <w:bookmarkStart w:id="102" w:name="_Toc25710"/>
      <w:bookmarkStart w:id="103" w:name="_Toc10125"/>
      <w:bookmarkStart w:id="104" w:name="_Toc29652"/>
      <w:bookmarkStart w:id="105" w:name="_Toc6651"/>
      <w:bookmarkStart w:id="106" w:name="_Toc8215"/>
      <w:bookmarkStart w:id="107" w:name="_Toc20507"/>
      <w:bookmarkStart w:id="108" w:name="_Toc2013"/>
      <w:bookmarkStart w:id="109" w:name="_Toc11206"/>
      <w:bookmarkStart w:id="110" w:name="_Toc30554"/>
      <w:r>
        <w:rPr>
          <w:rFonts w:hint="eastAsia" w:ascii="仿宋" w:hAnsi="仿宋" w:eastAsia="仿宋" w:cs="仿宋"/>
          <w:color w:val="auto"/>
          <w:sz w:val="40"/>
          <w:highlight w:val="none"/>
        </w:rPr>
        <w:t>第五章 评审方法与评审标准</w:t>
      </w:r>
      <w:bookmarkEnd w:id="61"/>
      <w:bookmarkEnd w:id="62"/>
      <w:bookmarkEnd w:id="99"/>
      <w:bookmarkEnd w:id="100"/>
      <w:bookmarkEnd w:id="101"/>
      <w:bookmarkEnd w:id="102"/>
      <w:bookmarkEnd w:id="103"/>
      <w:bookmarkEnd w:id="104"/>
      <w:bookmarkEnd w:id="105"/>
      <w:bookmarkEnd w:id="106"/>
      <w:bookmarkEnd w:id="107"/>
      <w:bookmarkEnd w:id="108"/>
      <w:bookmarkEnd w:id="109"/>
      <w:bookmarkEnd w:id="110"/>
    </w:p>
    <w:p w14:paraId="1F2355BD">
      <w:pPr>
        <w:pStyle w:val="29"/>
        <w:spacing w:line="360" w:lineRule="auto"/>
        <w:jc w:val="both"/>
        <w:textAlignment w:val="baseline"/>
        <w:rPr>
          <w:rFonts w:hint="eastAsia" w:ascii="仿宋" w:hAnsi="仿宋" w:eastAsia="仿宋" w:cs="仿宋"/>
          <w:color w:val="auto"/>
          <w:kern w:val="0"/>
          <w:highlight w:val="none"/>
        </w:rPr>
      </w:pPr>
      <w:bookmarkStart w:id="111" w:name="_Toc27014"/>
      <w:bookmarkStart w:id="112" w:name="_Toc24443"/>
      <w:bookmarkStart w:id="113" w:name="_Toc10921"/>
      <w:bookmarkStart w:id="114" w:name="_Toc28602"/>
      <w:bookmarkStart w:id="115" w:name="_Toc28173"/>
      <w:bookmarkStart w:id="116" w:name="_Toc8431"/>
      <w:bookmarkStart w:id="117" w:name="_Toc29851"/>
      <w:bookmarkStart w:id="118" w:name="_Toc19406"/>
      <w:bookmarkStart w:id="119" w:name="_Toc29596"/>
      <w:bookmarkStart w:id="120" w:name="_Toc20057"/>
      <w:r>
        <w:rPr>
          <w:rFonts w:hint="eastAsia" w:ascii="仿宋" w:hAnsi="仿宋" w:eastAsia="仿宋" w:cs="仿宋"/>
          <w:color w:val="auto"/>
          <w:kern w:val="0"/>
          <w:highlight w:val="none"/>
        </w:rPr>
        <w:t>一、评审方法与评审原则</w:t>
      </w:r>
      <w:bookmarkEnd w:id="111"/>
      <w:bookmarkEnd w:id="112"/>
      <w:bookmarkEnd w:id="113"/>
      <w:bookmarkEnd w:id="114"/>
      <w:bookmarkEnd w:id="115"/>
      <w:bookmarkEnd w:id="116"/>
      <w:bookmarkEnd w:id="117"/>
      <w:bookmarkEnd w:id="118"/>
      <w:bookmarkEnd w:id="119"/>
      <w:bookmarkEnd w:id="120"/>
    </w:p>
    <w:p w14:paraId="7B5B4D84">
      <w:pPr>
        <w:snapToGrid w:val="0"/>
        <w:spacing w:line="360" w:lineRule="auto"/>
        <w:ind w:firstLine="480" w:firstLineChars="200"/>
        <w:textAlignment w:val="baseline"/>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磋商小组将对确定为实质性响应采购文件要求的响应文件进行评价和比较，评审采用综合评分法。采用综合评分法的，评审结果按评审后得分由高到低顺序排列。得分相同的，按磋商</w:t>
      </w:r>
      <w:r>
        <w:rPr>
          <w:rFonts w:hint="eastAsia" w:ascii="仿宋" w:hAnsi="仿宋" w:eastAsia="仿宋" w:cs="仿宋"/>
          <w:color w:val="auto"/>
          <w:sz w:val="24"/>
          <w:szCs w:val="24"/>
          <w:highlight w:val="none"/>
        </w:rPr>
        <w:t>最终</w:t>
      </w:r>
      <w:r>
        <w:rPr>
          <w:rFonts w:hint="eastAsia" w:ascii="仿宋" w:hAnsi="仿宋" w:eastAsia="仿宋" w:cs="仿宋"/>
          <w:color w:val="auto"/>
          <w:sz w:val="24"/>
          <w:szCs w:val="24"/>
          <w:highlight w:val="none"/>
          <w:lang w:val="zh-CN"/>
        </w:rPr>
        <w:t>报价由低到高顺序排列。得分和投标报价均相同的并列，响应文件满足磋商文件全部实质性要求，且按照评审因素的</w:t>
      </w:r>
      <w:r>
        <w:rPr>
          <w:rFonts w:hint="eastAsia" w:ascii="仿宋" w:hAnsi="仿宋" w:eastAsia="仿宋" w:cs="仿宋"/>
          <w:color w:val="auto"/>
          <w:sz w:val="24"/>
          <w:szCs w:val="24"/>
          <w:highlight w:val="none"/>
        </w:rPr>
        <w:t>量化指标</w:t>
      </w:r>
      <w:r>
        <w:rPr>
          <w:rFonts w:hint="eastAsia" w:ascii="仿宋" w:hAnsi="仿宋" w:eastAsia="仿宋" w:cs="仿宋"/>
          <w:color w:val="auto"/>
          <w:sz w:val="24"/>
          <w:szCs w:val="24"/>
          <w:highlight w:val="none"/>
          <w:lang w:val="zh-CN"/>
        </w:rPr>
        <w:t>评审得分由高到低按顺序推荐3名成交候选人，由采购人确定1名成交供应商。具体打分办法如下：</w:t>
      </w:r>
    </w:p>
    <w:p w14:paraId="4C87EB1C">
      <w:pPr>
        <w:pStyle w:val="29"/>
        <w:numPr>
          <w:ilvl w:val="0"/>
          <w:numId w:val="9"/>
        </w:numPr>
        <w:spacing w:line="360" w:lineRule="auto"/>
        <w:textAlignment w:val="baseline"/>
        <w:rPr>
          <w:rFonts w:hint="eastAsia" w:ascii="仿宋" w:hAnsi="仿宋" w:eastAsia="仿宋" w:cs="仿宋"/>
          <w:color w:val="auto"/>
          <w:highlight w:val="none"/>
        </w:rPr>
      </w:pPr>
      <w:bookmarkStart w:id="121" w:name="_Toc32460"/>
      <w:bookmarkStart w:id="122" w:name="_Toc31111"/>
      <w:bookmarkStart w:id="123" w:name="_Toc19408"/>
      <w:bookmarkStart w:id="124" w:name="_Toc21820"/>
      <w:bookmarkStart w:id="125" w:name="_Toc20964"/>
      <w:bookmarkStart w:id="126" w:name="_Toc30006"/>
      <w:bookmarkStart w:id="127" w:name="_Toc15724"/>
      <w:bookmarkStart w:id="128" w:name="_Toc9689"/>
      <w:bookmarkStart w:id="129" w:name="_Toc9896"/>
      <w:bookmarkStart w:id="130" w:name="_Toc12011"/>
      <w:r>
        <w:rPr>
          <w:rFonts w:hint="eastAsia" w:ascii="仿宋" w:hAnsi="仿宋" w:eastAsia="仿宋" w:cs="仿宋"/>
          <w:color w:val="auto"/>
          <w:kern w:val="0"/>
          <w:highlight w:val="none"/>
        </w:rPr>
        <w:t>评审标准</w:t>
      </w:r>
      <w:bookmarkEnd w:id="121"/>
      <w:bookmarkEnd w:id="122"/>
      <w:bookmarkEnd w:id="123"/>
      <w:bookmarkEnd w:id="124"/>
      <w:bookmarkEnd w:id="125"/>
      <w:bookmarkEnd w:id="126"/>
      <w:bookmarkEnd w:id="127"/>
      <w:bookmarkEnd w:id="128"/>
      <w:bookmarkEnd w:id="129"/>
      <w:bookmarkEnd w:id="130"/>
    </w:p>
    <w:p w14:paraId="4AA0F0FA">
      <w:pP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rPr>
        <w:t>分包一：</w:t>
      </w:r>
    </w:p>
    <w:tbl>
      <w:tblPr>
        <w:tblStyle w:val="20"/>
        <w:tblW w:w="9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8027"/>
        <w:gridCol w:w="906"/>
      </w:tblGrid>
      <w:tr w14:paraId="7705D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859" w:type="dxa"/>
            <w:vAlign w:val="center"/>
          </w:tcPr>
          <w:p w14:paraId="276E7834">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评分项目</w:t>
            </w:r>
          </w:p>
        </w:tc>
        <w:tc>
          <w:tcPr>
            <w:tcW w:w="8027" w:type="dxa"/>
            <w:vAlign w:val="center"/>
          </w:tcPr>
          <w:p w14:paraId="7483ACCE">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  审  标  准</w:t>
            </w:r>
          </w:p>
        </w:tc>
        <w:tc>
          <w:tcPr>
            <w:tcW w:w="906" w:type="dxa"/>
            <w:vAlign w:val="center"/>
          </w:tcPr>
          <w:p w14:paraId="3A600ED7">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得分</w:t>
            </w:r>
          </w:p>
        </w:tc>
      </w:tr>
      <w:tr w14:paraId="6F22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59" w:type="dxa"/>
            <w:vAlign w:val="center"/>
          </w:tcPr>
          <w:p w14:paraId="121C496F">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8027" w:type="dxa"/>
            <w:vAlign w:val="center"/>
          </w:tcPr>
          <w:p w14:paraId="6761DF8B">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价格分采用低价优先法计算，满足磋商文件要求，进入详细评审的供应商报价的最低值为评审基准价A值，A值为价格分的满分，即30分。其他供应商的价格分统一按照以下公式计算：报价得分=（A值/该供应商的最终报价）×30分。分值保留小数点后2位。</w:t>
            </w:r>
          </w:p>
        </w:tc>
        <w:tc>
          <w:tcPr>
            <w:tcW w:w="906" w:type="dxa"/>
            <w:vAlign w:val="center"/>
          </w:tcPr>
          <w:p w14:paraId="44CDEA6E">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30分</w:t>
            </w:r>
          </w:p>
        </w:tc>
      </w:tr>
      <w:tr w14:paraId="08CA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859" w:type="dxa"/>
            <w:vAlign w:val="center"/>
          </w:tcPr>
          <w:p w14:paraId="112E6527">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产品要求</w:t>
            </w:r>
          </w:p>
        </w:tc>
        <w:tc>
          <w:tcPr>
            <w:tcW w:w="8027" w:type="dxa"/>
            <w:vAlign w:val="center"/>
          </w:tcPr>
          <w:p w14:paraId="71BA122D">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根据所投产品的性能、产品质量、综合性能指标，以各种技术、性能参数为准。供应商需对采购文件中的技术参数要求中所有内容进行逐条应答，全部满足采购文件技术指标、参数要求的得20分；“</w:t>
            </w:r>
            <w:bookmarkStart w:id="131" w:name="OLE_LINK4"/>
            <w:r>
              <w:rPr>
                <w:rFonts w:hint="eastAsia" w:ascii="仿宋" w:hAnsi="仿宋" w:eastAsia="仿宋" w:cs="仿宋"/>
                <w:color w:val="auto"/>
                <w:sz w:val="24"/>
                <w:szCs w:val="24"/>
                <w:highlight w:val="none"/>
              </w:rPr>
              <w:t>▲</w:t>
            </w:r>
            <w:bookmarkEnd w:id="131"/>
            <w:r>
              <w:rPr>
                <w:rFonts w:hint="eastAsia" w:ascii="仿宋" w:hAnsi="仿宋" w:eastAsia="仿宋" w:cs="仿宋"/>
                <w:color w:val="auto"/>
                <w:sz w:val="24"/>
                <w:szCs w:val="24"/>
                <w:highlight w:val="none"/>
              </w:rPr>
              <w:t>”号条款每项负偏离扣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分，未加“▲”号条款每项负偏离扣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分，扣完为止。</w:t>
            </w:r>
          </w:p>
        </w:tc>
        <w:tc>
          <w:tcPr>
            <w:tcW w:w="906" w:type="dxa"/>
            <w:vAlign w:val="center"/>
          </w:tcPr>
          <w:p w14:paraId="34E22E75">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20分</w:t>
            </w:r>
          </w:p>
        </w:tc>
      </w:tr>
      <w:tr w14:paraId="204A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59" w:type="dxa"/>
            <w:vAlign w:val="center"/>
          </w:tcPr>
          <w:p w14:paraId="20B7FCE0">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项目需求</w:t>
            </w:r>
          </w:p>
        </w:tc>
        <w:tc>
          <w:tcPr>
            <w:tcW w:w="8027" w:type="dxa"/>
            <w:vAlign w:val="center"/>
          </w:tcPr>
          <w:p w14:paraId="05FCB029">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根据供应商对本项目采购需求的理解程度，以及针对“项目需求”中所列设备的实施内容、实施周期、设备优化、坏件维修、巡检报告等方面的详细描述及合理化建议进行打分。优于采购文件要求的得10分；满足采购文件要求的得6分；低于采购文件要求的得2分；未提供不得分。</w:t>
            </w:r>
          </w:p>
        </w:tc>
        <w:tc>
          <w:tcPr>
            <w:tcW w:w="906" w:type="dxa"/>
            <w:vAlign w:val="center"/>
          </w:tcPr>
          <w:p w14:paraId="6C9618C5">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10分</w:t>
            </w:r>
          </w:p>
        </w:tc>
      </w:tr>
      <w:tr w14:paraId="3A40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jc w:val="center"/>
        </w:trPr>
        <w:tc>
          <w:tcPr>
            <w:tcW w:w="859" w:type="dxa"/>
            <w:vAlign w:val="center"/>
          </w:tcPr>
          <w:p w14:paraId="1E5E111D">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应急预案</w:t>
            </w:r>
          </w:p>
        </w:tc>
        <w:tc>
          <w:tcPr>
            <w:tcW w:w="8027" w:type="dxa"/>
            <w:vAlign w:val="center"/>
          </w:tcPr>
          <w:p w14:paraId="5278281A">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根据供应商提供的应急服务方案，包括但不限于在突发事件与特殊时段，如节假日或深夜发生故障，如何提供应急服务进行综合评价。优于采购文件要求的得10分；满足采购文件要求的得6分；低于采购文件要求的得2分；未提供不得分。</w:t>
            </w:r>
          </w:p>
        </w:tc>
        <w:tc>
          <w:tcPr>
            <w:tcW w:w="906" w:type="dxa"/>
            <w:vAlign w:val="center"/>
          </w:tcPr>
          <w:p w14:paraId="7EF32AB7">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10分</w:t>
            </w:r>
          </w:p>
        </w:tc>
      </w:tr>
      <w:tr w14:paraId="2BEC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9" w:type="dxa"/>
            <w:vAlign w:val="center"/>
          </w:tcPr>
          <w:p w14:paraId="6EDCCA8E">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履约能力</w:t>
            </w:r>
          </w:p>
        </w:tc>
        <w:tc>
          <w:tcPr>
            <w:tcW w:w="8027" w:type="dxa"/>
          </w:tcPr>
          <w:p w14:paraId="1E90A388">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项目所投产品品牌</w:t>
            </w:r>
            <w:r>
              <w:rPr>
                <w:rFonts w:hint="eastAsia" w:ascii="仿宋" w:hAnsi="仿宋" w:eastAsia="仿宋" w:cs="仿宋"/>
                <w:color w:val="auto"/>
                <w:sz w:val="24"/>
                <w:szCs w:val="24"/>
                <w:highlight w:val="none"/>
              </w:rPr>
              <w:t>服务商资质，得2分；</w:t>
            </w:r>
          </w:p>
          <w:p w14:paraId="55D8AF88">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提供网络可视化统一管理软件软件著作权证书，得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242B89A9">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提供智慧建筑系统集成管理平台软件著作权证书，得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38A229AD">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提供项目所投产品厂家代理证书,</w:t>
            </w:r>
            <w:r>
              <w:rPr>
                <w:rFonts w:hint="eastAsia" w:ascii="仿宋" w:hAnsi="仿宋" w:eastAsia="仿宋" w:cs="仿宋"/>
                <w:color w:val="auto"/>
                <w:sz w:val="24"/>
                <w:szCs w:val="24"/>
                <w:highlight w:val="none"/>
                <w:lang w:val="en-US" w:eastAsia="zh-CN"/>
              </w:rPr>
              <w:t>得</w:t>
            </w:r>
            <w:r>
              <w:rPr>
                <w:rFonts w:hint="eastAsia" w:ascii="仿宋" w:hAnsi="仿宋" w:eastAsia="仿宋" w:cs="仿宋"/>
                <w:color w:val="auto"/>
                <w:sz w:val="24"/>
                <w:szCs w:val="24"/>
                <w:highlight w:val="none"/>
              </w:rPr>
              <w:t>2分。</w:t>
            </w:r>
          </w:p>
          <w:p w14:paraId="390885BC">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提供项目所投产品厂家认证工程师证书,得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906" w:type="dxa"/>
            <w:vAlign w:val="center"/>
          </w:tcPr>
          <w:p w14:paraId="630EB5B8">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bookmarkStart w:id="180" w:name="_GoBack"/>
            <w:bookmarkEnd w:id="180"/>
            <w:r>
              <w:rPr>
                <w:rFonts w:hint="eastAsia" w:ascii="仿宋" w:hAnsi="仿宋" w:eastAsia="仿宋" w:cs="仿宋"/>
                <w:color w:val="auto"/>
                <w:sz w:val="24"/>
                <w:szCs w:val="24"/>
                <w:highlight w:val="none"/>
                <w:lang w:val="en-US" w:eastAsia="zh-CN"/>
              </w:rPr>
              <w:t>分</w:t>
            </w:r>
          </w:p>
        </w:tc>
      </w:tr>
      <w:tr w14:paraId="4D83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9" w:type="dxa"/>
            <w:vAlign w:val="center"/>
          </w:tcPr>
          <w:p w14:paraId="64EAD31A">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设备制造商</w:t>
            </w:r>
          </w:p>
        </w:tc>
        <w:tc>
          <w:tcPr>
            <w:tcW w:w="8027" w:type="dxa"/>
            <w:vAlign w:val="center"/>
          </w:tcPr>
          <w:p w14:paraId="18783019">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1.设备制造商具有认证机构颁发的GB/T27922-2011全国商品售后服务达标认证证书五星，得1分，（上述证书需在有效期内，需提供证书复印件）</w:t>
            </w:r>
          </w:p>
          <w:p w14:paraId="2B828F5B">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2.设备制造商具有认证机构颁发的ISO27001信息安全管理体系证书，得1分，（上述证书需在有效期内，需提供证书复印件）;</w:t>
            </w:r>
          </w:p>
          <w:p w14:paraId="5B235241">
            <w:pPr>
              <w:keepNext/>
              <w:keepLines/>
              <w:pageBreakBefore w:val="0"/>
              <w:widowControl w:val="0"/>
              <w:kinsoku/>
              <w:wordWrap/>
              <w:overflowPunct/>
              <w:topLinePunct w:val="0"/>
              <w:autoSpaceDE/>
              <w:autoSpaceDN/>
              <w:bidi w:val="0"/>
              <w:spacing w:after="0" w:line="0" w:lineRule="atLeast"/>
              <w:ind w:left="0" w:leftChars="0" w:right="0" w:rightChars="0" w:firstLine="0" w:firstLineChars="0"/>
              <w:textAlignment w:val="auto"/>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3.设备制造商同时具有经国家认证认可监督管理委员会认证机构颁发的ISO50001能源管理体系认证证书，得1分，（上述证书需在有效期内，需提供证书复印件）;</w:t>
            </w:r>
          </w:p>
          <w:p w14:paraId="7F980A1B">
            <w:pPr>
              <w:keepNext/>
              <w:keepLines/>
              <w:pageBreakBefore w:val="0"/>
              <w:widowControl w:val="0"/>
              <w:kinsoku/>
              <w:wordWrap/>
              <w:overflowPunct/>
              <w:topLinePunct w:val="0"/>
              <w:autoSpaceDE/>
              <w:autoSpaceDN/>
              <w:bidi w:val="0"/>
              <w:spacing w:after="0" w:line="0" w:lineRule="atLeast"/>
              <w:ind w:left="0" w:leftChars="0" w:right="0" w:rightChars="0" w:firstLine="0" w:firstLineChars="0"/>
              <w:textAlignment w:val="auto"/>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4.设备制造商具有信息系统建设和服务能力评估等级认证证书，得1分，（上述证书需在有效期内，需提供证书复印件）;</w:t>
            </w:r>
          </w:p>
          <w:p w14:paraId="0CF5E9DF">
            <w:pPr>
              <w:pStyle w:val="4"/>
              <w:pageBreakBefore w:val="0"/>
              <w:widowControl w:val="0"/>
              <w:kinsoku/>
              <w:wordWrap/>
              <w:overflowPunct/>
              <w:topLinePunct w:val="0"/>
              <w:autoSpaceDE/>
              <w:autoSpaceDN/>
              <w:bidi w:val="0"/>
              <w:spacing w:after="0" w:line="0" w:lineRule="atLeast"/>
              <w:ind w:left="0" w:leftChars="0" w:right="0" w:rightChars="0" w:firstLine="0" w:firstLineChars="0"/>
              <w:textAlignment w:val="auto"/>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6.所投产品厂商进入国家信息安全漏洞共享平台（CNVD）技术组，满足得2分；要求提供证书复印件。</w:t>
            </w:r>
          </w:p>
        </w:tc>
        <w:tc>
          <w:tcPr>
            <w:tcW w:w="906" w:type="dxa"/>
            <w:vAlign w:val="center"/>
          </w:tcPr>
          <w:p w14:paraId="713DAAC0">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6分</w:t>
            </w:r>
          </w:p>
        </w:tc>
      </w:tr>
      <w:tr w14:paraId="56775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859" w:type="dxa"/>
            <w:vAlign w:val="center"/>
          </w:tcPr>
          <w:p w14:paraId="3E2C848E">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备件服务</w:t>
            </w:r>
          </w:p>
        </w:tc>
        <w:tc>
          <w:tcPr>
            <w:tcW w:w="8027" w:type="dxa"/>
            <w:vAlign w:val="center"/>
          </w:tcPr>
          <w:p w14:paraId="16EA9FA3">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根据供应商提供的备品备件解决方案的详细性、可行性进行评分。优于采购文件要求的得6分；满足采购文件要求的得4分；低于采购文件要求的得1分；未提供不得分。</w:t>
            </w:r>
          </w:p>
        </w:tc>
        <w:tc>
          <w:tcPr>
            <w:tcW w:w="906" w:type="dxa"/>
            <w:vAlign w:val="center"/>
          </w:tcPr>
          <w:p w14:paraId="16FB8CF0">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6分</w:t>
            </w:r>
          </w:p>
        </w:tc>
      </w:tr>
      <w:tr w14:paraId="208FA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859" w:type="dxa"/>
            <w:vAlign w:val="center"/>
          </w:tcPr>
          <w:p w14:paraId="0A18AAB9">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w:t>
            </w:r>
          </w:p>
          <w:p w14:paraId="2D4E1939">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业绩</w:t>
            </w:r>
          </w:p>
        </w:tc>
        <w:tc>
          <w:tcPr>
            <w:tcW w:w="8027" w:type="dxa"/>
            <w:vAlign w:val="center"/>
          </w:tcPr>
          <w:p w14:paraId="5482072D">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供应商2023年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月1日以来（以合同签订时间为准），具有本项目类似成功案例的，有1个得2分，满分8分（提供有效合同复印件，复印件需清晰可见相应内容及设备清单）。</w:t>
            </w:r>
          </w:p>
        </w:tc>
        <w:tc>
          <w:tcPr>
            <w:tcW w:w="906" w:type="dxa"/>
            <w:vAlign w:val="center"/>
          </w:tcPr>
          <w:p w14:paraId="1E0D57DC">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8分</w:t>
            </w:r>
          </w:p>
        </w:tc>
      </w:tr>
      <w:tr w14:paraId="6F42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8886" w:type="dxa"/>
            <w:gridSpan w:val="2"/>
            <w:vAlign w:val="center"/>
          </w:tcPr>
          <w:p w14:paraId="46591DD5">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906" w:type="dxa"/>
            <w:vAlign w:val="center"/>
          </w:tcPr>
          <w:p w14:paraId="13E7ABAB">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100分</w:t>
            </w:r>
          </w:p>
        </w:tc>
      </w:tr>
    </w:tbl>
    <w:p w14:paraId="771232B4">
      <w:pPr>
        <w:textAlignment w:val="baseline"/>
        <w:rPr>
          <w:rFonts w:hint="eastAsia" w:ascii="仿宋" w:hAnsi="仿宋" w:eastAsia="仿宋" w:cs="仿宋"/>
          <w:b/>
          <w:bCs/>
          <w:color w:val="auto"/>
          <w:highlight w:val="none"/>
        </w:rPr>
      </w:pPr>
      <w:r>
        <w:rPr>
          <w:rFonts w:hint="eastAsia" w:ascii="仿宋" w:hAnsi="仿宋" w:eastAsia="仿宋" w:cs="仿宋"/>
          <w:b/>
          <w:bCs/>
          <w:color w:val="auto"/>
          <w:highlight w:val="none"/>
        </w:rPr>
        <w:t>分包二：</w:t>
      </w:r>
    </w:p>
    <w:tbl>
      <w:tblPr>
        <w:tblStyle w:val="20"/>
        <w:tblW w:w="9795"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025"/>
        <w:gridCol w:w="915"/>
      </w:tblGrid>
      <w:tr w14:paraId="0AB8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55" w:type="dxa"/>
            <w:vAlign w:val="center"/>
          </w:tcPr>
          <w:p w14:paraId="21CD2A2B">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评分项目</w:t>
            </w:r>
          </w:p>
        </w:tc>
        <w:tc>
          <w:tcPr>
            <w:tcW w:w="8025" w:type="dxa"/>
            <w:vAlign w:val="center"/>
          </w:tcPr>
          <w:p w14:paraId="3DCB012E">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  审  标  准</w:t>
            </w:r>
          </w:p>
        </w:tc>
        <w:tc>
          <w:tcPr>
            <w:tcW w:w="915" w:type="dxa"/>
            <w:vAlign w:val="center"/>
          </w:tcPr>
          <w:p w14:paraId="55D7CA38">
            <w:pPr>
              <w:pageBreakBefore w:val="0"/>
              <w:widowControl w:val="0"/>
              <w:kinsoku/>
              <w:wordWrap/>
              <w:overflowPunct/>
              <w:topLinePunct w:val="0"/>
              <w:autoSpaceDE/>
              <w:autoSpaceDN/>
              <w:bidi w:val="0"/>
              <w:adjustRightInd w:val="0"/>
              <w:snapToGrid w:val="0"/>
              <w:spacing w:after="0" w:line="0" w:lineRule="atLeast"/>
              <w:ind w:left="0" w:leftChars="0" w:right="0" w:rightChars="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得分</w:t>
            </w:r>
          </w:p>
        </w:tc>
      </w:tr>
      <w:tr w14:paraId="1F0E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855" w:type="dxa"/>
            <w:vAlign w:val="center"/>
          </w:tcPr>
          <w:p w14:paraId="37E9F2FF">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8025" w:type="dxa"/>
            <w:vAlign w:val="center"/>
          </w:tcPr>
          <w:p w14:paraId="7782ACB2">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满足磋商文件要求，进入详细评审的供应商报价的最低值为评审基准价A值，A值为价格分的满分，即30分。其他供应商的价格分统一按照以下公式计算：报价得分=（A值/该供应商的最终报价）×30分。分值保留小数点后2位。</w:t>
            </w:r>
          </w:p>
        </w:tc>
        <w:tc>
          <w:tcPr>
            <w:tcW w:w="915" w:type="dxa"/>
            <w:vAlign w:val="center"/>
          </w:tcPr>
          <w:p w14:paraId="3BFEE19C">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30分</w:t>
            </w:r>
          </w:p>
        </w:tc>
      </w:tr>
      <w:tr w14:paraId="3532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55" w:type="dxa"/>
            <w:vAlign w:val="center"/>
          </w:tcPr>
          <w:p w14:paraId="7072EDD6">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产品技术要求</w:t>
            </w:r>
          </w:p>
        </w:tc>
        <w:tc>
          <w:tcPr>
            <w:tcW w:w="8025" w:type="dxa"/>
            <w:vAlign w:val="center"/>
          </w:tcPr>
          <w:p w14:paraId="73ECB2DA">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根据所投产品的性能、产品质量、综合性能指标，以各种技术、性能参数为准。供应商需对采购文件中的技术参数要求中所有内容进行逐条应答，全部满足采购文件技术指标、参数要求的得</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r>
              <w:rPr>
                <w:rFonts w:hint="eastAsia" w:ascii="仿宋" w:hAnsi="仿宋" w:eastAsia="仿宋" w:cs="仿宋"/>
                <w:b/>
                <w:bCs/>
                <w:sz w:val="24"/>
                <w:szCs w:val="24"/>
                <w:highlight w:val="none"/>
                <w:lang w:val="en-US" w:eastAsia="zh-CN"/>
              </w:rPr>
              <w:t>加</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项条款不允许负偏离</w:t>
            </w:r>
            <w:r>
              <w:rPr>
                <w:rFonts w:hint="eastAsia" w:ascii="仿宋" w:hAnsi="仿宋" w:eastAsia="仿宋" w:cs="仿宋"/>
                <w:sz w:val="24"/>
                <w:szCs w:val="24"/>
                <w:highlight w:val="none"/>
                <w:lang w:val="en-US" w:eastAsia="zh-CN"/>
              </w:rPr>
              <w:t>，加</w:t>
            </w:r>
            <w:r>
              <w:rPr>
                <w:rFonts w:hint="eastAsia" w:ascii="仿宋" w:hAnsi="仿宋" w:eastAsia="仿宋" w:cs="仿宋"/>
                <w:sz w:val="24"/>
                <w:szCs w:val="24"/>
                <w:highlight w:val="none"/>
              </w:rPr>
              <w:t>“</w:t>
            </w:r>
            <w:r>
              <w:rPr>
                <w:rFonts w:hint="eastAsia" w:ascii="仿宋" w:hAnsi="仿宋" w:eastAsia="仿宋" w:cs="仿宋"/>
                <w:color w:val="000000"/>
                <w:kern w:val="0"/>
                <w:sz w:val="24"/>
                <w:szCs w:val="24"/>
                <w:lang w:bidi="ar"/>
              </w:rPr>
              <w:t>▲</w:t>
            </w:r>
            <w:r>
              <w:rPr>
                <w:rFonts w:hint="eastAsia" w:ascii="仿宋" w:hAnsi="仿宋" w:eastAsia="仿宋" w:cs="仿宋"/>
                <w:sz w:val="24"/>
                <w:szCs w:val="24"/>
                <w:highlight w:val="none"/>
              </w:rPr>
              <w:t>”号条款每项负偏离扣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未加“</w:t>
            </w:r>
            <w:r>
              <w:rPr>
                <w:rFonts w:hint="eastAsia" w:ascii="仿宋" w:hAnsi="仿宋" w:eastAsia="仿宋" w:cs="仿宋"/>
                <w:color w:val="000000"/>
                <w:kern w:val="0"/>
                <w:sz w:val="24"/>
                <w:szCs w:val="24"/>
                <w:lang w:bidi="ar"/>
              </w:rPr>
              <w:t>▲</w:t>
            </w:r>
            <w:r>
              <w:rPr>
                <w:rFonts w:hint="eastAsia" w:ascii="仿宋" w:hAnsi="仿宋" w:eastAsia="仿宋" w:cs="仿宋"/>
                <w:sz w:val="24"/>
                <w:szCs w:val="24"/>
                <w:highlight w:val="none"/>
              </w:rPr>
              <w:t>”号条款每项负偏离扣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扣完为止。</w:t>
            </w:r>
          </w:p>
        </w:tc>
        <w:tc>
          <w:tcPr>
            <w:tcW w:w="915" w:type="dxa"/>
            <w:vAlign w:val="center"/>
          </w:tcPr>
          <w:p w14:paraId="55EDABC8">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r>
      <w:tr w14:paraId="4ECC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55" w:type="dxa"/>
            <w:vAlign w:val="center"/>
          </w:tcPr>
          <w:p w14:paraId="38DA0849">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w:t>
            </w:r>
          </w:p>
          <w:p w14:paraId="0F85F98A">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业绩</w:t>
            </w:r>
          </w:p>
        </w:tc>
        <w:tc>
          <w:tcPr>
            <w:tcW w:w="8025" w:type="dxa"/>
            <w:vAlign w:val="center"/>
          </w:tcPr>
          <w:p w14:paraId="3856ED4D">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供应商2023年4月1日以来（以合同签订时间为准），具有本项目同类成功案例的，有1个得2分，满分1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分（提供有效合同复印件，复印件需清晰可见相应内容及设备清单）。</w:t>
            </w:r>
          </w:p>
        </w:tc>
        <w:tc>
          <w:tcPr>
            <w:tcW w:w="915" w:type="dxa"/>
            <w:vAlign w:val="center"/>
          </w:tcPr>
          <w:p w14:paraId="4E507CCB">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w:t>
            </w:r>
          </w:p>
        </w:tc>
      </w:tr>
      <w:tr w14:paraId="7C73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55" w:type="dxa"/>
            <w:vAlign w:val="center"/>
          </w:tcPr>
          <w:p w14:paraId="1349E191">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企业资质</w:t>
            </w:r>
          </w:p>
        </w:tc>
        <w:tc>
          <w:tcPr>
            <w:tcW w:w="8025" w:type="dxa"/>
            <w:vAlign w:val="center"/>
          </w:tcPr>
          <w:p w14:paraId="7F7277F3">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1.供应商具有音视频集成二级及以上证书得1分；</w:t>
            </w:r>
          </w:p>
          <w:p w14:paraId="5182A0F1">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2.供应商具有售后服务认证证书（五星）得1分；</w:t>
            </w:r>
          </w:p>
          <w:p w14:paraId="2925037B">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lang w:val="en-US" w:eastAsia="zh-CN"/>
              </w:rPr>
            </w:pPr>
            <w:r>
              <w:rPr>
                <w:rFonts w:hint="eastAsia" w:ascii="仿宋" w:hAnsi="仿宋" w:eastAsia="仿宋" w:cs="仿宋"/>
                <w:color w:val="auto"/>
                <w:kern w:val="0"/>
                <w:sz w:val="24"/>
                <w:szCs w:val="24"/>
                <w:highlight w:val="none"/>
                <w:lang w:val="en-US" w:eastAsia="zh-CN"/>
              </w:rPr>
              <w:t>3.供应商提供与本项目相关功能要求的软件著作权证得1分。</w:t>
            </w:r>
          </w:p>
        </w:tc>
        <w:tc>
          <w:tcPr>
            <w:tcW w:w="915" w:type="dxa"/>
            <w:vAlign w:val="center"/>
          </w:tcPr>
          <w:p w14:paraId="0E9A3616">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3分</w:t>
            </w:r>
          </w:p>
        </w:tc>
      </w:tr>
      <w:tr w14:paraId="276C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855" w:type="dxa"/>
            <w:vAlign w:val="center"/>
          </w:tcPr>
          <w:p w14:paraId="3756757C">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项目架构设计</w:t>
            </w:r>
          </w:p>
        </w:tc>
        <w:tc>
          <w:tcPr>
            <w:tcW w:w="8025" w:type="dxa"/>
            <w:vAlign w:val="center"/>
          </w:tcPr>
          <w:p w14:paraId="0DA3EC2F">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根据供应商对系统的体系架构、逻辑架构、功能架构、部署架构、技术架构、集成架构等进行打分。优于采购文件要求的得</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分；满足采购文件要求的得</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分；低于采购文件要求的得</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分；未提供不得分。</w:t>
            </w:r>
          </w:p>
        </w:tc>
        <w:tc>
          <w:tcPr>
            <w:tcW w:w="915" w:type="dxa"/>
            <w:vAlign w:val="center"/>
          </w:tcPr>
          <w:p w14:paraId="0C5DE701">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r>
      <w:tr w14:paraId="3A64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trPr>
        <w:tc>
          <w:tcPr>
            <w:tcW w:w="855" w:type="dxa"/>
            <w:vAlign w:val="center"/>
          </w:tcPr>
          <w:p w14:paraId="692C54D0">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w:t>
            </w:r>
          </w:p>
        </w:tc>
        <w:tc>
          <w:tcPr>
            <w:tcW w:w="8025" w:type="dxa"/>
            <w:vAlign w:val="center"/>
          </w:tcPr>
          <w:p w14:paraId="1A7FCD0F">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根据供应商提供的售后方案，方案包含但不限于服务方式、服务内容、服务标准、服务流程等内容进行综合评价。优于采购文件要求的得</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分；满足采购文件要求的得</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分；低于采购文件要求的得</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分；未提供不得分。</w:t>
            </w:r>
          </w:p>
        </w:tc>
        <w:tc>
          <w:tcPr>
            <w:tcW w:w="915" w:type="dxa"/>
            <w:vAlign w:val="center"/>
          </w:tcPr>
          <w:p w14:paraId="70F9B853">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r>
      <w:tr w14:paraId="134D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55" w:type="dxa"/>
            <w:vAlign w:val="center"/>
          </w:tcPr>
          <w:p w14:paraId="1EB86A93">
            <w:pPr>
              <w:pageBreakBefore w:val="0"/>
              <w:widowControl w:val="0"/>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进度保证措施</w:t>
            </w:r>
          </w:p>
        </w:tc>
        <w:tc>
          <w:tcPr>
            <w:tcW w:w="8025" w:type="dxa"/>
            <w:vAlign w:val="center"/>
          </w:tcPr>
          <w:p w14:paraId="7D888D5B">
            <w:pPr>
              <w:pageBreakBefore w:val="0"/>
              <w:widowControl w:val="0"/>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根据供应商提供的进度计划安排、配送时间、保证措施等是否能满足项目的要求进行评分。</w:t>
            </w:r>
            <w:r>
              <w:rPr>
                <w:rFonts w:hint="eastAsia" w:ascii="仿宋" w:hAnsi="仿宋" w:eastAsia="仿宋" w:cs="仿宋"/>
                <w:color w:val="auto"/>
                <w:kern w:val="0"/>
                <w:sz w:val="24"/>
                <w:szCs w:val="24"/>
                <w:highlight w:val="none"/>
              </w:rPr>
              <w:t>优于采购文件要求的得</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分；满足采购文件要求的得</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分；低于采购文件要求的得</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分；未提供不得分</w:t>
            </w:r>
            <w:r>
              <w:rPr>
                <w:rFonts w:hint="eastAsia" w:ascii="仿宋" w:hAnsi="仿宋" w:eastAsia="仿宋" w:cs="仿宋"/>
                <w:color w:val="auto"/>
                <w:kern w:val="0"/>
                <w:sz w:val="24"/>
                <w:szCs w:val="24"/>
                <w:highlight w:val="none"/>
                <w:lang w:eastAsia="zh-CN"/>
              </w:rPr>
              <w:t>。</w:t>
            </w:r>
          </w:p>
        </w:tc>
        <w:tc>
          <w:tcPr>
            <w:tcW w:w="915" w:type="dxa"/>
            <w:vAlign w:val="center"/>
          </w:tcPr>
          <w:p w14:paraId="68A3F7A5">
            <w:pPr>
              <w:pageBreakBefore w:val="0"/>
              <w:widowControl w:val="0"/>
              <w:tabs>
                <w:tab w:val="left" w:pos="2520"/>
              </w:tabs>
              <w:kinsoku/>
              <w:wordWrap/>
              <w:overflowPunct/>
              <w:topLinePunct w:val="0"/>
              <w:autoSpaceDE/>
              <w:autoSpaceDN/>
              <w:bidi w:val="0"/>
              <w:spacing w:after="0" w:line="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r>
      <w:tr w14:paraId="76B6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9795" w:type="dxa"/>
            <w:gridSpan w:val="3"/>
            <w:vAlign w:val="center"/>
          </w:tcPr>
          <w:p w14:paraId="1522D65A">
            <w:pPr>
              <w:pageBreakBefore w:val="0"/>
              <w:widowControl w:val="0"/>
              <w:tabs>
                <w:tab w:val="left" w:pos="2520"/>
                <w:tab w:val="left" w:pos="3252"/>
              </w:tabs>
              <w:kinsoku/>
              <w:wordWrap/>
              <w:overflowPunct/>
              <w:topLinePunct w:val="0"/>
              <w:autoSpaceDE/>
              <w:autoSpaceDN/>
              <w:bidi w:val="0"/>
              <w:spacing w:after="0" w:line="0" w:lineRule="atLeast"/>
              <w:ind w:left="0" w:leftChars="0" w:right="0" w:rightChars="0"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合计：100分</w:t>
            </w:r>
          </w:p>
        </w:tc>
      </w:tr>
    </w:tbl>
    <w:p w14:paraId="55388EAC">
      <w:pPr>
        <w:textAlignment w:val="baseline"/>
        <w:rPr>
          <w:rFonts w:hint="eastAsia" w:ascii="仿宋" w:hAnsi="仿宋" w:eastAsia="仿宋" w:cs="仿宋"/>
          <w:b/>
          <w:bCs/>
          <w:color w:val="auto"/>
          <w:sz w:val="20"/>
          <w:highlight w:val="none"/>
        </w:rPr>
      </w:pPr>
      <w:r>
        <w:rPr>
          <w:rFonts w:hint="eastAsia" w:ascii="仿宋" w:hAnsi="仿宋" w:eastAsia="仿宋" w:cs="仿宋"/>
          <w:b/>
          <w:bCs/>
          <w:color w:val="auto"/>
          <w:highlight w:val="none"/>
        </w:rPr>
        <w:t>说明：</w:t>
      </w:r>
    </w:p>
    <w:p w14:paraId="67BDEC86">
      <w:pPr>
        <w:spacing w:line="2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rPr>
        <w:t>）对于专门面向中小企业或小型、微型企业的项目，只面向中小企业或小型、微型企业采购。对于非专门面向中小企业的项目，对小型和微型企业产品的价格给予10%的扣除，用扣除后的价格参与评审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仿宋"/>
          <w:color w:val="auto"/>
          <w:highlight w:val="none"/>
          <w:lang w:eastAsia="zh-CN"/>
        </w:rPr>
        <w:t>。</w:t>
      </w:r>
    </w:p>
    <w:p w14:paraId="36B47ED8">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t>供应商提供的货物、工程或者服务符合下列情形的，享受本办法规定的中小企业扶持政策：</w:t>
      </w:r>
    </w:p>
    <w:p w14:paraId="4696B1FB">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在货物采购项目中，货物由中小企业制造，即货物由中小企业生产且使用该中小企业商号或者注册商标；</w:t>
      </w:r>
    </w:p>
    <w:p w14:paraId="41F5915E">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在工程采购项目中，工程由中小企业承建，即工程施工单位为中小企业；</w:t>
      </w:r>
    </w:p>
    <w:p w14:paraId="089BE247">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在服务采购项目中，服务由中小企业承接，即提供服务的人员为中小企业依照《中华人民共和国劳动合同法》订立劳动合同的从业人员。</w:t>
      </w:r>
    </w:p>
    <w:p w14:paraId="089864BE">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t>在货物采购项目中，供应商提供的货物既有中小企业制造货物，也有大型企业制造货物的，不享受本办法规定的中小企业扶持政策。</w:t>
      </w:r>
    </w:p>
    <w:p w14:paraId="2D70D017">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t>以联合体形式参加政府采购活动，联合体各方均为中小企业的，联合体视同中小企业。其中，联合体各方均为小微企业的，联合体视同小微企业。</w:t>
      </w:r>
    </w:p>
    <w:p w14:paraId="5205A92B">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rPr>
        <w:t>）参加政府采购活动的中小企业应当提供《中小企业声明函》、由省级以上监狱管理局戒毒管理局(含新疆生产建设兵团)出具的属于监狱企业的证明文件或《残疾人福利性单位声明函》。</w:t>
      </w:r>
    </w:p>
    <w:p w14:paraId="0538C247">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58D734E5">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异常低价的处理</w:t>
      </w:r>
    </w:p>
    <w:p w14:paraId="77FD30A9">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1</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评审过程中出现下列情形之一的，评审委员会将启动异常低价投标（响应）审查程序：</w:t>
      </w:r>
    </w:p>
    <w:p w14:paraId="2CC66E8B">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投标（响应）报价低于全部通过符合性审查供应商投标（响应）报价平均值50%的，即投标（响应）报价&lt;全部通过符合性审查供应商投标（响应）报价平均值×50%；</w:t>
      </w:r>
    </w:p>
    <w:p w14:paraId="7892D92C">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投标（响应）报价低于通过符合性审查的次低报价供应商投标（响应）报价50%的，即投标（响应）报价&lt;通过符合性审查的次低报价供应商投标（响应）报价×50%；</w:t>
      </w:r>
    </w:p>
    <w:p w14:paraId="61B045B1">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投标（响应）报价低于采购项目最高限价45%的，即投标（响应）报价&lt;采购项目最高限价×45%（未设定最高限价的采购项目，以采购项目预算金额作为最高限价）；</w:t>
      </w:r>
    </w:p>
    <w:p w14:paraId="3387974E">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评审委员会基于专业判断，认为供应商报价过低，有可能影响产品质量或者不能诚信履约的其他情形。</w:t>
      </w:r>
    </w:p>
    <w:p w14:paraId="77E02E36">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评审委员会启动异常低价投标（响应）审查后，属于前述第</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项至第</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项情形，供应商已随投标（响应）文件一并提交相关书面说明及必要的证明材料的，在评审现场可不再重复提交。</w:t>
      </w:r>
    </w:p>
    <w:p w14:paraId="62CB3464">
      <w:pPr>
        <w:spacing w:line="240" w:lineRule="exact"/>
        <w:rPr>
          <w:rFonts w:hint="eastAsia" w:ascii="仿宋" w:hAnsi="仿宋" w:eastAsia="仿宋" w:cs="仿宋"/>
          <w:color w:val="auto"/>
          <w:sz w:val="20"/>
          <w:highlight w:val="none"/>
        </w:rPr>
      </w:pPr>
      <w:r>
        <w:rPr>
          <w:rFonts w:hint="eastAsia" w:ascii="仿宋" w:hAnsi="仿宋" w:eastAsia="仿宋" w:cs="仿宋"/>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4900C2">
      <w:pPr>
        <w:pStyle w:val="28"/>
        <w:pageBreakBefore/>
        <w:spacing w:after="317" w:line="360" w:lineRule="auto"/>
        <w:textAlignment w:val="baseline"/>
        <w:rPr>
          <w:rFonts w:hint="eastAsia" w:ascii="仿宋" w:hAnsi="仿宋" w:eastAsia="仿宋" w:cs="仿宋"/>
          <w:color w:val="auto"/>
          <w:highlight w:val="none"/>
        </w:rPr>
      </w:pPr>
      <w:bookmarkStart w:id="132" w:name="_Toc525"/>
      <w:bookmarkStart w:id="133" w:name="_Toc965"/>
      <w:bookmarkStart w:id="134" w:name="_Toc30094"/>
      <w:bookmarkStart w:id="135" w:name="_Toc19520"/>
      <w:bookmarkStart w:id="136" w:name="_Toc3647"/>
      <w:bookmarkStart w:id="137" w:name="_Toc15428"/>
      <w:bookmarkStart w:id="138" w:name="_Toc11427"/>
      <w:bookmarkStart w:id="139" w:name="_Toc9244"/>
      <w:bookmarkStart w:id="140" w:name="_Toc6348"/>
      <w:bookmarkStart w:id="141" w:name="_Toc22523"/>
      <w:bookmarkStart w:id="142" w:name="_Toc21249"/>
      <w:bookmarkStart w:id="143" w:name="_Toc31260"/>
      <w:r>
        <w:rPr>
          <w:rFonts w:hint="eastAsia" w:ascii="仿宋" w:hAnsi="仿宋" w:eastAsia="仿宋" w:cs="仿宋"/>
          <w:color w:val="auto"/>
          <w:highlight w:val="none"/>
        </w:rPr>
        <w:t>第六章 响应文件格式</w:t>
      </w:r>
      <w:bookmarkEnd w:id="132"/>
      <w:bookmarkEnd w:id="133"/>
      <w:bookmarkEnd w:id="134"/>
      <w:bookmarkEnd w:id="135"/>
      <w:bookmarkEnd w:id="136"/>
      <w:bookmarkEnd w:id="137"/>
      <w:bookmarkEnd w:id="138"/>
      <w:bookmarkEnd w:id="139"/>
      <w:bookmarkEnd w:id="140"/>
      <w:bookmarkEnd w:id="141"/>
      <w:bookmarkEnd w:id="142"/>
      <w:bookmarkEnd w:id="143"/>
    </w:p>
    <w:p w14:paraId="4AD1BE98">
      <w:pPr>
        <w:pStyle w:val="27"/>
        <w:spacing w:before="0" w:after="0"/>
        <w:ind w:firstLine="0" w:firstLineChars="0"/>
        <w:jc w:val="center"/>
        <w:textAlignment w:val="baseline"/>
        <w:rPr>
          <w:rFonts w:hint="eastAsia" w:ascii="仿宋" w:hAnsi="仿宋" w:eastAsia="仿宋" w:cs="仿宋"/>
          <w:b/>
          <w:bCs/>
          <w:color w:val="auto"/>
          <w:sz w:val="72"/>
          <w:szCs w:val="72"/>
          <w:highlight w:val="none"/>
        </w:rPr>
      </w:pPr>
    </w:p>
    <w:p w14:paraId="79930B2F">
      <w:pPr>
        <w:pStyle w:val="27"/>
        <w:shd w:val="clear" w:color="auto" w:fill="auto"/>
        <w:spacing w:before="0" w:after="0"/>
        <w:ind w:firstLine="0" w:firstLineChars="0"/>
        <w:jc w:val="center"/>
        <w:rPr>
          <w:rFonts w:hint="eastAsia" w:ascii="仿宋" w:hAnsi="仿宋" w:eastAsia="仿宋" w:cs="仿宋"/>
          <w:b/>
          <w:bCs/>
          <w:color w:val="000000"/>
          <w:sz w:val="72"/>
          <w:szCs w:val="72"/>
          <w:highlight w:val="none"/>
        </w:rPr>
      </w:pPr>
      <w:r>
        <w:rPr>
          <w:rFonts w:hint="eastAsia" w:ascii="仿宋" w:hAnsi="仿宋" w:eastAsia="仿宋" w:cs="仿宋"/>
          <w:b/>
          <w:bCs/>
          <w:color w:val="000000"/>
          <w:sz w:val="72"/>
          <w:szCs w:val="72"/>
          <w:highlight w:val="none"/>
        </w:rPr>
        <w:t>响</w:t>
      </w:r>
      <w:r>
        <w:rPr>
          <w:rFonts w:hint="eastAsia" w:ascii="仿宋" w:hAnsi="仿宋" w:eastAsia="仿宋" w:cs="仿宋"/>
          <w:b/>
          <w:bCs/>
          <w:color w:val="000000"/>
          <w:sz w:val="72"/>
          <w:szCs w:val="72"/>
          <w:highlight w:val="none"/>
          <w:lang w:val="en-US" w:eastAsia="zh-CN"/>
        </w:rPr>
        <w:t xml:space="preserve">  </w:t>
      </w:r>
      <w:r>
        <w:rPr>
          <w:rFonts w:hint="eastAsia" w:ascii="仿宋" w:hAnsi="仿宋" w:eastAsia="仿宋" w:cs="仿宋"/>
          <w:b/>
          <w:bCs/>
          <w:color w:val="000000"/>
          <w:sz w:val="72"/>
          <w:szCs w:val="72"/>
          <w:highlight w:val="none"/>
        </w:rPr>
        <w:t>应</w:t>
      </w:r>
      <w:r>
        <w:rPr>
          <w:rFonts w:hint="eastAsia" w:ascii="仿宋" w:hAnsi="仿宋" w:eastAsia="仿宋" w:cs="仿宋"/>
          <w:b/>
          <w:bCs/>
          <w:color w:val="000000"/>
          <w:sz w:val="72"/>
          <w:szCs w:val="72"/>
          <w:highlight w:val="none"/>
          <w:lang w:val="en-US" w:eastAsia="zh-CN"/>
        </w:rPr>
        <w:t xml:space="preserve">  </w:t>
      </w:r>
      <w:r>
        <w:rPr>
          <w:rFonts w:hint="eastAsia" w:ascii="仿宋" w:hAnsi="仿宋" w:eastAsia="仿宋" w:cs="仿宋"/>
          <w:b/>
          <w:bCs/>
          <w:color w:val="000000"/>
          <w:sz w:val="72"/>
          <w:szCs w:val="72"/>
          <w:highlight w:val="none"/>
        </w:rPr>
        <w:t>文</w:t>
      </w:r>
      <w:r>
        <w:rPr>
          <w:rFonts w:hint="eastAsia" w:ascii="仿宋" w:hAnsi="仿宋" w:eastAsia="仿宋" w:cs="仿宋"/>
          <w:b/>
          <w:bCs/>
          <w:color w:val="000000"/>
          <w:sz w:val="72"/>
          <w:szCs w:val="72"/>
          <w:highlight w:val="none"/>
          <w:lang w:val="en-US" w:eastAsia="zh-CN"/>
        </w:rPr>
        <w:t xml:space="preserve">  </w:t>
      </w:r>
      <w:r>
        <w:rPr>
          <w:rFonts w:hint="eastAsia" w:ascii="仿宋" w:hAnsi="仿宋" w:eastAsia="仿宋" w:cs="仿宋"/>
          <w:b/>
          <w:bCs/>
          <w:color w:val="000000"/>
          <w:sz w:val="72"/>
          <w:szCs w:val="72"/>
          <w:highlight w:val="none"/>
        </w:rPr>
        <w:t>件</w:t>
      </w:r>
    </w:p>
    <w:p w14:paraId="2A8BD454">
      <w:pPr>
        <w:pStyle w:val="27"/>
        <w:shd w:val="clear" w:color="auto" w:fill="auto"/>
        <w:spacing w:before="0" w:after="0"/>
        <w:ind w:firstLine="0" w:firstLineChars="0"/>
        <w:jc w:val="center"/>
        <w:rPr>
          <w:rFonts w:hint="eastAsia" w:ascii="仿宋" w:hAnsi="仿宋" w:eastAsia="仿宋" w:cs="仿宋"/>
          <w:b/>
          <w:bCs/>
          <w:color w:val="000000"/>
          <w:sz w:val="52"/>
          <w:szCs w:val="52"/>
          <w:highlight w:val="none"/>
        </w:rPr>
      </w:pPr>
      <w:bookmarkStart w:id="144" w:name="_Toc3841"/>
      <w:bookmarkStart w:id="145" w:name="_Toc27695"/>
    </w:p>
    <w:bookmarkEnd w:id="144"/>
    <w:bookmarkEnd w:id="145"/>
    <w:p w14:paraId="57DBE923">
      <w:pPr>
        <w:pStyle w:val="27"/>
        <w:shd w:val="clear" w:color="auto" w:fill="auto"/>
        <w:spacing w:before="0" w:after="0"/>
        <w:ind w:firstLine="0" w:firstLineChars="0"/>
        <w:rPr>
          <w:rFonts w:hint="eastAsia" w:ascii="仿宋" w:hAnsi="仿宋" w:eastAsia="仿宋" w:cs="仿宋"/>
          <w:color w:val="000000"/>
          <w:highlight w:val="none"/>
        </w:rPr>
      </w:pPr>
    </w:p>
    <w:p w14:paraId="5C84ECBD">
      <w:pPr>
        <w:pStyle w:val="27"/>
        <w:shd w:val="clear" w:color="auto" w:fill="auto"/>
        <w:spacing w:before="0" w:after="0"/>
        <w:ind w:firstLine="0" w:firstLineChars="0"/>
        <w:rPr>
          <w:rFonts w:hint="eastAsia" w:ascii="仿宋" w:hAnsi="仿宋" w:eastAsia="仿宋" w:cs="仿宋"/>
          <w:color w:val="000000"/>
          <w:highlight w:val="none"/>
        </w:rPr>
      </w:pPr>
    </w:p>
    <w:p w14:paraId="4A820689">
      <w:pPr>
        <w:pStyle w:val="27"/>
        <w:shd w:val="clear" w:color="auto" w:fill="auto"/>
        <w:spacing w:before="0" w:after="0"/>
        <w:ind w:firstLine="0" w:firstLineChars="0"/>
        <w:rPr>
          <w:rFonts w:hint="eastAsia" w:ascii="仿宋" w:hAnsi="仿宋" w:eastAsia="仿宋" w:cs="仿宋"/>
          <w:color w:val="000000"/>
          <w:highlight w:val="none"/>
        </w:rPr>
      </w:pPr>
    </w:p>
    <w:p w14:paraId="1075B250">
      <w:pPr>
        <w:pStyle w:val="27"/>
        <w:shd w:val="clear" w:color="auto" w:fill="auto"/>
        <w:spacing w:before="0" w:after="0"/>
        <w:rPr>
          <w:rFonts w:hint="eastAsia" w:ascii="仿宋" w:hAnsi="仿宋" w:eastAsia="仿宋" w:cs="仿宋"/>
          <w:color w:val="000000"/>
          <w:highlight w:val="none"/>
        </w:rPr>
      </w:pPr>
    </w:p>
    <w:p w14:paraId="4509093D">
      <w:pPr>
        <w:spacing w:beforeLines="0" w:afterLines="0"/>
        <w:ind w:firstLine="1905" w:firstLineChars="527"/>
        <w:rPr>
          <w:rFonts w:hint="eastAsia" w:ascii="仿宋" w:hAnsi="仿宋" w:eastAsia="仿宋" w:cs="仿宋"/>
          <w:b/>
          <w:color w:val="000000"/>
          <w:sz w:val="36"/>
          <w:szCs w:val="21"/>
        </w:rPr>
      </w:pPr>
      <w:bookmarkStart w:id="146" w:name="_Toc32649"/>
      <w:bookmarkStart w:id="147" w:name="_Toc25917"/>
      <w:bookmarkStart w:id="148" w:name="_Toc16453"/>
      <w:bookmarkStart w:id="149" w:name="_Toc28"/>
      <w:r>
        <w:rPr>
          <w:rFonts w:hint="eastAsia" w:ascii="仿宋" w:hAnsi="仿宋" w:eastAsia="仿宋" w:cs="仿宋"/>
          <w:b/>
          <w:color w:val="000000"/>
          <w:sz w:val="36"/>
          <w:szCs w:val="21"/>
        </w:rPr>
        <w:t>项 目 名 称：</w:t>
      </w:r>
      <w:r>
        <w:rPr>
          <w:rFonts w:hint="eastAsia" w:ascii="仿宋" w:hAnsi="仿宋" w:eastAsia="仿宋" w:cs="仿宋"/>
          <w:b/>
          <w:color w:val="000000"/>
          <w:sz w:val="36"/>
          <w:szCs w:val="21"/>
          <w:u w:val="single"/>
        </w:rPr>
        <w:t xml:space="preserve">                   </w:t>
      </w:r>
    </w:p>
    <w:p w14:paraId="55E58543">
      <w:pPr>
        <w:spacing w:beforeLines="0" w:afterLines="0"/>
        <w:ind w:firstLine="1905" w:firstLineChars="527"/>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项 目 编 号：</w:t>
      </w:r>
      <w:r>
        <w:rPr>
          <w:rFonts w:hint="eastAsia" w:ascii="仿宋" w:hAnsi="仿宋" w:eastAsia="仿宋" w:cs="仿宋"/>
          <w:b/>
          <w:color w:val="000000"/>
          <w:sz w:val="36"/>
          <w:szCs w:val="21"/>
          <w:u w:val="single"/>
        </w:rPr>
        <w:t xml:space="preserve">                   </w:t>
      </w:r>
    </w:p>
    <w:p w14:paraId="0EC33717">
      <w:pPr>
        <w:spacing w:beforeLines="0" w:afterLines="0"/>
        <w:ind w:firstLine="1905" w:firstLineChars="527"/>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供应商名称 ：</w:t>
      </w:r>
      <w:r>
        <w:rPr>
          <w:rFonts w:hint="eastAsia" w:ascii="仿宋" w:hAnsi="仿宋" w:eastAsia="仿宋" w:cs="仿宋"/>
          <w:b/>
          <w:bCs w:val="0"/>
          <w:color w:val="000000"/>
          <w:sz w:val="36"/>
          <w:szCs w:val="21"/>
          <w:u w:val="single"/>
        </w:rPr>
        <w:t>（加盖电子公章）</w:t>
      </w:r>
      <w:r>
        <w:rPr>
          <w:rFonts w:hint="eastAsia" w:ascii="仿宋" w:hAnsi="仿宋" w:eastAsia="仿宋" w:cs="仿宋"/>
          <w:b/>
          <w:color w:val="000000"/>
          <w:sz w:val="36"/>
          <w:szCs w:val="21"/>
          <w:u w:val="single"/>
        </w:rPr>
        <w:t xml:space="preserve">   </w:t>
      </w:r>
    </w:p>
    <w:p w14:paraId="3AC479F9">
      <w:pPr>
        <w:spacing w:beforeLines="0" w:afterLines="0"/>
        <w:ind w:firstLine="1905" w:firstLineChars="527"/>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日      期 ：</w:t>
      </w:r>
      <w:r>
        <w:rPr>
          <w:rFonts w:hint="eastAsia" w:ascii="仿宋" w:hAnsi="仿宋" w:eastAsia="仿宋" w:cs="仿宋"/>
          <w:b/>
          <w:color w:val="000000"/>
          <w:sz w:val="36"/>
          <w:szCs w:val="21"/>
          <w:u w:val="none"/>
          <w:lang w:val="en-US" w:eastAsia="zh-CN"/>
        </w:rPr>
        <w:t xml:space="preserve">                </w:t>
      </w:r>
      <w:r>
        <w:rPr>
          <w:rFonts w:hint="eastAsia" w:ascii="仿宋" w:hAnsi="仿宋" w:eastAsia="仿宋" w:cs="仿宋"/>
          <w:b/>
          <w:color w:val="000000"/>
          <w:sz w:val="36"/>
          <w:szCs w:val="21"/>
          <w:u w:val="single"/>
        </w:rPr>
        <w:t xml:space="preserve">                   </w:t>
      </w:r>
    </w:p>
    <w:bookmarkEnd w:id="146"/>
    <w:bookmarkEnd w:id="147"/>
    <w:bookmarkEnd w:id="148"/>
    <w:bookmarkEnd w:id="149"/>
    <w:p w14:paraId="320D2AC0">
      <w:pPr>
        <w:shd w:val="clear" w:color="auto" w:fill="auto"/>
        <w:spacing w:line="360" w:lineRule="auto"/>
        <w:jc w:val="center"/>
        <w:rPr>
          <w:rFonts w:hint="eastAsia" w:ascii="仿宋" w:hAnsi="仿宋" w:eastAsia="仿宋" w:cs="仿宋"/>
          <w:b/>
          <w:bCs/>
          <w:color w:val="000000"/>
          <w:sz w:val="36"/>
          <w:szCs w:val="36"/>
          <w:highlight w:val="none"/>
          <w:u w:val="single"/>
        </w:rPr>
      </w:pPr>
      <w:r>
        <w:rPr>
          <w:rFonts w:hint="eastAsia" w:ascii="仿宋" w:hAnsi="仿宋" w:eastAsia="仿宋" w:cs="仿宋"/>
          <w:b/>
          <w:bCs/>
          <w:color w:val="000000"/>
          <w:sz w:val="36"/>
          <w:szCs w:val="36"/>
          <w:highlight w:val="none"/>
          <w:u w:val="single"/>
        </w:rPr>
        <w:br w:type="page"/>
      </w:r>
      <w:bookmarkStart w:id="150" w:name="_Toc9798"/>
      <w:bookmarkStart w:id="151" w:name="_Toc27163"/>
    </w:p>
    <w:p w14:paraId="121BD9C9">
      <w:pPr>
        <w:spacing w:beforeLines="0" w:afterLines="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响应文件目录</w:t>
      </w:r>
    </w:p>
    <w:p w14:paraId="5B194C77">
      <w:pPr>
        <w:spacing w:beforeLines="0" w:afterLines="0" w:line="440" w:lineRule="exact"/>
        <w:jc w:val="center"/>
        <w:rPr>
          <w:rFonts w:hint="eastAsia" w:ascii="仿宋" w:hAnsi="仿宋" w:eastAsia="仿宋" w:cs="仿宋"/>
          <w:b/>
          <w:color w:val="000000"/>
          <w:sz w:val="32"/>
          <w:szCs w:val="32"/>
        </w:rPr>
      </w:pPr>
    </w:p>
    <w:p w14:paraId="2940DDD2">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一</w:t>
      </w:r>
      <w:r>
        <w:rPr>
          <w:rFonts w:hint="eastAsia" w:ascii="仿宋" w:hAnsi="仿宋" w:eastAsia="仿宋" w:cs="仿宋"/>
          <w:color w:val="000000"/>
          <w:sz w:val="28"/>
          <w:szCs w:val="28"/>
          <w:highlight w:val="none"/>
        </w:rPr>
        <w:t>、法人授权书</w:t>
      </w:r>
    </w:p>
    <w:p w14:paraId="6BD6BD30">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二</w:t>
      </w:r>
      <w:r>
        <w:rPr>
          <w:rFonts w:hint="eastAsia" w:ascii="仿宋" w:hAnsi="仿宋" w:eastAsia="仿宋" w:cs="仿宋"/>
          <w:color w:val="000000"/>
          <w:sz w:val="28"/>
          <w:szCs w:val="28"/>
          <w:highlight w:val="none"/>
        </w:rPr>
        <w:t>、磋商响应函</w:t>
      </w:r>
    </w:p>
    <w:p w14:paraId="18DA2CA5">
      <w:pPr>
        <w:spacing w:beforeLines="0" w:afterLines="0" w:line="60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三</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磋商报价</w:t>
      </w:r>
      <w:r>
        <w:rPr>
          <w:rFonts w:hint="eastAsia" w:ascii="仿宋" w:hAnsi="仿宋" w:eastAsia="仿宋" w:cs="仿宋"/>
          <w:color w:val="000000"/>
          <w:sz w:val="28"/>
          <w:szCs w:val="28"/>
          <w:highlight w:val="none"/>
          <w:lang w:eastAsia="zh-CN"/>
        </w:rPr>
        <w:t>表</w:t>
      </w:r>
    </w:p>
    <w:p w14:paraId="18BE6877">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四</w:t>
      </w:r>
      <w:r>
        <w:rPr>
          <w:rFonts w:hint="eastAsia" w:ascii="仿宋" w:hAnsi="仿宋" w:eastAsia="仿宋" w:cs="仿宋"/>
          <w:color w:val="000000"/>
          <w:sz w:val="28"/>
          <w:szCs w:val="28"/>
          <w:highlight w:val="none"/>
        </w:rPr>
        <w:t>、报价明细表</w:t>
      </w:r>
    </w:p>
    <w:p w14:paraId="6ABEDA7D">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五</w:t>
      </w:r>
      <w:r>
        <w:rPr>
          <w:rFonts w:hint="eastAsia" w:ascii="仿宋" w:hAnsi="仿宋" w:eastAsia="仿宋" w:cs="仿宋"/>
          <w:color w:val="000000"/>
          <w:sz w:val="28"/>
          <w:szCs w:val="28"/>
          <w:highlight w:val="none"/>
        </w:rPr>
        <w:t>、商务要求响应及偏离表</w:t>
      </w:r>
    </w:p>
    <w:p w14:paraId="3A6741A1">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六</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服务</w:t>
      </w:r>
      <w:r>
        <w:rPr>
          <w:rFonts w:hint="eastAsia" w:ascii="仿宋" w:hAnsi="仿宋" w:eastAsia="仿宋" w:cs="仿宋"/>
          <w:color w:val="000000"/>
          <w:sz w:val="28"/>
          <w:szCs w:val="28"/>
          <w:highlight w:val="none"/>
        </w:rPr>
        <w:t>要求响应及偏离表</w:t>
      </w:r>
    </w:p>
    <w:p w14:paraId="6FD5F2E6">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七</w:t>
      </w:r>
      <w:r>
        <w:rPr>
          <w:rFonts w:hint="eastAsia" w:ascii="仿宋" w:hAnsi="仿宋" w:eastAsia="仿宋" w:cs="仿宋"/>
          <w:color w:val="000000"/>
          <w:sz w:val="28"/>
          <w:szCs w:val="28"/>
          <w:highlight w:val="none"/>
        </w:rPr>
        <w:t>、拟投入项目人员一览表</w:t>
      </w:r>
    </w:p>
    <w:p w14:paraId="47CFFE46">
      <w:pPr>
        <w:spacing w:beforeLines="0" w:afterLines="0" w:line="60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八</w:t>
      </w:r>
      <w:r>
        <w:rPr>
          <w:rFonts w:hint="eastAsia" w:ascii="仿宋" w:hAnsi="仿宋" w:eastAsia="仿宋" w:cs="仿宋"/>
          <w:color w:val="000000"/>
          <w:sz w:val="28"/>
          <w:szCs w:val="28"/>
          <w:highlight w:val="none"/>
          <w:lang w:eastAsia="zh-CN"/>
        </w:rPr>
        <w:t>、业绩</w:t>
      </w:r>
    </w:p>
    <w:p w14:paraId="0BA58891">
      <w:pPr>
        <w:spacing w:beforeLines="0" w:afterLines="0" w:line="60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中小企业声明函</w:t>
      </w:r>
    </w:p>
    <w:p w14:paraId="034962C1">
      <w:pPr>
        <w:numPr>
          <w:ilvl w:val="-1"/>
          <w:numId w:val="0"/>
        </w:numPr>
        <w:spacing w:beforeLines="0" w:afterLines="0" w:line="600" w:lineRule="exact"/>
        <w:ind w:firstLine="560" w:firstLineChars="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十、</w:t>
      </w:r>
      <w:r>
        <w:rPr>
          <w:rFonts w:hint="eastAsia" w:ascii="仿宋" w:hAnsi="仿宋" w:eastAsia="仿宋" w:cs="仿宋"/>
          <w:color w:val="000000"/>
          <w:sz w:val="28"/>
          <w:szCs w:val="28"/>
          <w:highlight w:val="none"/>
        </w:rPr>
        <w:t>残疾人福利性单位声明函（如有）</w:t>
      </w:r>
    </w:p>
    <w:p w14:paraId="2A5ADA6F">
      <w:pPr>
        <w:spacing w:beforeLines="0" w:afterLines="0" w:line="600" w:lineRule="exact"/>
        <w:ind w:firstLine="560" w:firstLineChars="20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十</w:t>
      </w:r>
      <w:r>
        <w:rPr>
          <w:rFonts w:hint="eastAsia" w:ascii="仿宋" w:hAnsi="仿宋" w:eastAsia="仿宋" w:cs="仿宋"/>
          <w:color w:val="000000"/>
          <w:sz w:val="28"/>
          <w:szCs w:val="28"/>
          <w:highlight w:val="none"/>
          <w:lang w:val="en-US" w:eastAsia="zh-CN"/>
        </w:rPr>
        <w:t>一</w:t>
      </w:r>
      <w:r>
        <w:rPr>
          <w:rFonts w:hint="eastAsia" w:ascii="仿宋" w:hAnsi="仿宋" w:eastAsia="仿宋" w:cs="仿宋"/>
          <w:color w:val="000000"/>
          <w:sz w:val="28"/>
          <w:szCs w:val="28"/>
          <w:highlight w:val="none"/>
          <w:lang w:eastAsia="zh-CN"/>
        </w:rPr>
        <w:t>、方案与承诺（格式自拟）</w:t>
      </w:r>
    </w:p>
    <w:p w14:paraId="4A9DE718">
      <w:pPr>
        <w:spacing w:beforeLines="0" w:afterLines="0" w:line="600" w:lineRule="exact"/>
        <w:ind w:firstLine="560" w:firstLineChars="20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十</w:t>
      </w:r>
      <w:r>
        <w:rPr>
          <w:rFonts w:hint="eastAsia" w:ascii="仿宋" w:hAnsi="仿宋" w:eastAsia="仿宋" w:cs="仿宋"/>
          <w:color w:val="000000"/>
          <w:sz w:val="28"/>
          <w:szCs w:val="28"/>
          <w:highlight w:val="none"/>
          <w:lang w:val="en-US" w:eastAsia="zh-CN"/>
        </w:rPr>
        <w:t>二</w:t>
      </w:r>
      <w:r>
        <w:rPr>
          <w:rFonts w:hint="eastAsia" w:ascii="仿宋" w:hAnsi="仿宋" w:eastAsia="仿宋" w:cs="仿宋"/>
          <w:color w:val="000000"/>
          <w:sz w:val="28"/>
          <w:szCs w:val="28"/>
          <w:highlight w:val="none"/>
          <w:lang w:eastAsia="zh-CN"/>
        </w:rPr>
        <w:t>、其他（如有）</w:t>
      </w:r>
    </w:p>
    <w:p w14:paraId="07C6F5CE">
      <w:pPr>
        <w:pStyle w:val="19"/>
        <w:numPr>
          <w:ilvl w:val="-1"/>
          <w:numId w:val="0"/>
        </w:numPr>
        <w:ind w:firstLine="560" w:firstLineChars="200"/>
        <w:rPr>
          <w:rFonts w:hint="eastAsia" w:ascii="仿宋" w:hAnsi="仿宋" w:eastAsia="仿宋" w:cs="仿宋"/>
          <w:sz w:val="28"/>
          <w:szCs w:val="21"/>
        </w:rPr>
      </w:pPr>
    </w:p>
    <w:p w14:paraId="1FB22070">
      <w:pPr>
        <w:pStyle w:val="41"/>
        <w:rPr>
          <w:rFonts w:hint="eastAsia" w:ascii="仿宋" w:hAnsi="仿宋" w:eastAsia="仿宋" w:cs="仿宋"/>
          <w:color w:val="000000"/>
          <w:sz w:val="28"/>
          <w:szCs w:val="28"/>
        </w:rPr>
      </w:pPr>
    </w:p>
    <w:p w14:paraId="6C86AC7D">
      <w:pPr>
        <w:pStyle w:val="29"/>
        <w:keepNext w:val="0"/>
        <w:keepLines w:val="0"/>
        <w:pageBreakBefore/>
        <w:widowControl/>
        <w:numPr>
          <w:ilvl w:val="255"/>
          <w:numId w:val="0"/>
        </w:numPr>
        <w:kinsoku/>
        <w:wordWrap/>
        <w:overflowPunct/>
        <w:topLinePunct w:val="0"/>
        <w:autoSpaceDE/>
        <w:autoSpaceDN/>
        <w:bidi w:val="0"/>
        <w:adjustRightInd/>
        <w:snapToGrid/>
        <w:spacing w:line="360" w:lineRule="auto"/>
        <w:textAlignment w:val="auto"/>
        <w:rPr>
          <w:rFonts w:hint="eastAsia" w:ascii="仿宋" w:hAnsi="仿宋" w:eastAsia="仿宋" w:cs="仿宋"/>
          <w:snapToGrid w:val="0"/>
          <w:color w:val="000000"/>
          <w:kern w:val="0"/>
          <w:sz w:val="32"/>
          <w:szCs w:val="32"/>
        </w:rPr>
      </w:pPr>
      <w:r>
        <w:rPr>
          <w:rFonts w:hint="eastAsia" w:ascii="仿宋" w:hAnsi="仿宋" w:eastAsia="仿宋" w:cs="仿宋"/>
          <w:snapToGrid w:val="0"/>
          <w:color w:val="000000"/>
          <w:kern w:val="0"/>
          <w:sz w:val="32"/>
          <w:szCs w:val="32"/>
        </w:rPr>
        <w:t>一、法人授权书</w:t>
      </w:r>
    </w:p>
    <w:p w14:paraId="6C34B5D6">
      <w:pPr>
        <w:spacing w:beforeLines="-2147483648" w:afterLines="-2147483648" w:line="240" w:lineRule="auto"/>
        <w:jc w:val="center"/>
        <w:outlineLvl w:val="9"/>
        <w:rPr>
          <w:rFonts w:hint="eastAsia" w:ascii="仿宋" w:hAnsi="仿宋" w:eastAsia="仿宋" w:cs="仿宋"/>
          <w:sz w:val="32"/>
          <w:szCs w:val="21"/>
          <w:lang w:val="zh-CN"/>
        </w:rPr>
      </w:pPr>
      <w:r>
        <w:rPr>
          <w:rFonts w:hint="eastAsia" w:ascii="仿宋" w:hAnsi="仿宋" w:eastAsia="仿宋" w:cs="仿宋"/>
          <w:sz w:val="32"/>
          <w:szCs w:val="21"/>
          <w:lang w:val="zh-CN"/>
        </w:rPr>
        <w:t>法人授权书</w:t>
      </w:r>
    </w:p>
    <w:p w14:paraId="1924BC76">
      <w:pPr>
        <w:pStyle w:val="43"/>
        <w:spacing w:beforeLines="0" w:afterLines="0" w:line="48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（供应商名称）授权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（被授权人的姓名）作为我方就编号为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的项目采购活动的合法代理人，以本单位名义全权处理一切与该项目采购有关的事务。</w:t>
      </w:r>
    </w:p>
    <w:p w14:paraId="66263BDD">
      <w:pPr>
        <w:pStyle w:val="43"/>
        <w:spacing w:beforeLines="0" w:afterLines="0" w:line="48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本授权书于______年____月____日起生效，特此声明。</w:t>
      </w:r>
    </w:p>
    <w:p w14:paraId="1EBCE9FE">
      <w:pPr>
        <w:pStyle w:val="43"/>
        <w:spacing w:beforeLines="0" w:afterLines="0" w:line="480" w:lineRule="auto"/>
        <w:ind w:firstLine="0"/>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p>
    <w:p w14:paraId="7FF47937">
      <w:pPr>
        <w:pStyle w:val="43"/>
        <w:spacing w:beforeLines="0" w:afterLines="0" w:line="480" w:lineRule="auto"/>
        <w:ind w:firstLine="480"/>
        <w:rPr>
          <w:rFonts w:hint="eastAsia" w:ascii="仿宋" w:hAnsi="仿宋" w:eastAsia="仿宋" w:cs="仿宋"/>
          <w:color w:val="000000"/>
          <w:sz w:val="24"/>
          <w:szCs w:val="24"/>
          <w:u w:val="single"/>
        </w:rPr>
      </w:pPr>
      <w:r>
        <w:rPr>
          <w:rFonts w:hint="eastAsia" w:ascii="仿宋" w:hAnsi="仿宋" w:eastAsia="仿宋" w:cs="仿宋"/>
          <w:color w:val="000000"/>
          <w:sz w:val="24"/>
          <w:szCs w:val="24"/>
        </w:rPr>
        <w:t>被授权人联系电话：（手机）</w:t>
      </w:r>
    </w:p>
    <w:p w14:paraId="67C84014">
      <w:pPr>
        <w:pStyle w:val="43"/>
        <w:spacing w:beforeLines="0" w:afterLines="0" w:line="48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授权单位名称：（加盖电子公章）</w:t>
      </w:r>
    </w:p>
    <w:p w14:paraId="6868815E">
      <w:pPr>
        <w:pStyle w:val="43"/>
        <w:spacing w:beforeLines="0" w:afterLines="0" w:line="480" w:lineRule="auto"/>
        <w:ind w:firstLine="480"/>
        <w:rPr>
          <w:rFonts w:hint="eastAsia" w:ascii="仿宋" w:hAnsi="仿宋" w:eastAsia="仿宋" w:cs="仿宋"/>
          <w:color w:val="000000"/>
          <w:sz w:val="24"/>
          <w:szCs w:val="24"/>
          <w:u w:val="single"/>
        </w:rPr>
      </w:pPr>
      <w:r>
        <w:rPr>
          <w:rFonts w:hint="eastAsia" w:ascii="仿宋" w:hAnsi="仿宋" w:eastAsia="仿宋" w:cs="仿宋"/>
          <w:color w:val="000000"/>
          <w:sz w:val="24"/>
          <w:szCs w:val="24"/>
        </w:rPr>
        <w:t>单位地址：</w:t>
      </w:r>
    </w:p>
    <w:p w14:paraId="7B304CDB">
      <w:pPr>
        <w:pStyle w:val="43"/>
        <w:spacing w:beforeLines="0" w:afterLines="0" w:line="48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日    期：</w:t>
      </w:r>
      <w:bookmarkStart w:id="152" w:name="_格式3__银行出具的资信证明"/>
      <w:bookmarkEnd w:id="152"/>
      <w:bookmarkStart w:id="153" w:name="_Hlt26671380"/>
      <w:bookmarkEnd w:id="153"/>
      <w:bookmarkStart w:id="154" w:name="_Hlt26955070"/>
      <w:bookmarkEnd w:id="154"/>
    </w:p>
    <w:p w14:paraId="12EC76A6">
      <w:pPr>
        <w:tabs>
          <w:tab w:val="left" w:pos="360"/>
        </w:tabs>
        <w:spacing w:beforeLines="0" w:afterLines="0"/>
        <w:ind w:firstLine="480"/>
        <w:rPr>
          <w:rFonts w:hint="eastAsia" w:ascii="仿宋" w:hAnsi="仿宋" w:eastAsia="仿宋" w:cs="仿宋"/>
          <w:color w:val="000000"/>
          <w:sz w:val="24"/>
          <w:szCs w:val="24"/>
          <w:u w:val="single"/>
        </w:rPr>
      </w:pPr>
    </w:p>
    <w:p w14:paraId="4A39F64A">
      <w:pPr>
        <w:tabs>
          <w:tab w:val="left" w:pos="360"/>
        </w:tabs>
        <w:spacing w:beforeLines="0" w:afterLines="0"/>
        <w:ind w:firstLine="480"/>
        <w:rPr>
          <w:rFonts w:hint="eastAsia" w:ascii="仿宋" w:hAnsi="仿宋" w:eastAsia="仿宋" w:cs="仿宋"/>
          <w:color w:val="000000"/>
          <w:sz w:val="24"/>
          <w:szCs w:val="24"/>
          <w:u w:val="single"/>
        </w:rPr>
      </w:pPr>
    </w:p>
    <w:p w14:paraId="735AA4F9">
      <w:pPr>
        <w:tabs>
          <w:tab w:val="left" w:pos="360"/>
        </w:tabs>
        <w:spacing w:beforeLines="0" w:afterLines="0"/>
        <w:ind w:firstLine="480"/>
        <w:rPr>
          <w:rFonts w:hint="eastAsia" w:ascii="仿宋" w:hAnsi="仿宋" w:eastAsia="仿宋" w:cs="仿宋"/>
          <w:color w:val="000000"/>
          <w:sz w:val="24"/>
          <w:szCs w:val="24"/>
          <w:u w:val="single"/>
        </w:rPr>
      </w:pPr>
    </w:p>
    <w:p w14:paraId="7A975106">
      <w:pPr>
        <w:tabs>
          <w:tab w:val="left" w:pos="360"/>
        </w:tabs>
        <w:spacing w:beforeLines="0" w:afterLines="0"/>
        <w:ind w:firstLine="480"/>
        <w:rPr>
          <w:rFonts w:hint="eastAsia" w:ascii="仿宋" w:hAnsi="仿宋" w:eastAsia="仿宋" w:cs="仿宋"/>
          <w:color w:val="000000"/>
          <w:sz w:val="24"/>
          <w:szCs w:val="24"/>
          <w:u w:val="single"/>
        </w:rPr>
      </w:pPr>
    </w:p>
    <w:p w14:paraId="4054A87B">
      <w:pPr>
        <w:spacing w:line="360" w:lineRule="auto"/>
        <w:jc w:val="center"/>
        <w:rPr>
          <w:rFonts w:hint="eastAsia" w:ascii="仿宋" w:hAnsi="仿宋" w:eastAsia="仿宋" w:cs="仿宋"/>
          <w:color w:val="000000"/>
        </w:rPr>
      </w:pPr>
      <w:r>
        <w:rPr>
          <w:rFonts w:hint="eastAsia" w:ascii="仿宋" w:hAnsi="仿宋" w:eastAsia="仿宋" w:cs="仿宋"/>
          <w:color w:val="000000"/>
        </w:rPr>
        <w:br w:type="page"/>
      </w:r>
    </w:p>
    <w:p w14:paraId="20C4D2DE">
      <w:pPr>
        <w:pStyle w:val="29"/>
        <w:numPr>
          <w:ilvl w:val="255"/>
          <w:numId w:val="0"/>
        </w:numPr>
        <w:spacing w:line="360" w:lineRule="auto"/>
        <w:rPr>
          <w:rFonts w:hint="eastAsia" w:ascii="仿宋" w:hAnsi="仿宋" w:eastAsia="仿宋" w:cs="仿宋"/>
          <w:snapToGrid w:val="0"/>
          <w:color w:val="000000"/>
          <w:kern w:val="0"/>
          <w:sz w:val="32"/>
          <w:szCs w:val="32"/>
        </w:rPr>
      </w:pPr>
      <w:bookmarkStart w:id="155" w:name="_Toc3101"/>
      <w:bookmarkStart w:id="156" w:name="_Toc22742"/>
      <w:bookmarkStart w:id="157" w:name="_Toc30238"/>
      <w:bookmarkStart w:id="158" w:name="_Toc1849"/>
      <w:bookmarkStart w:id="159" w:name="_Toc14000"/>
      <w:r>
        <w:rPr>
          <w:rFonts w:hint="eastAsia" w:ascii="仿宋" w:hAnsi="仿宋" w:eastAsia="仿宋" w:cs="仿宋"/>
          <w:snapToGrid w:val="0"/>
          <w:color w:val="000000"/>
          <w:kern w:val="0"/>
          <w:sz w:val="32"/>
          <w:szCs w:val="32"/>
          <w:lang w:val="en-US" w:eastAsia="zh-CN"/>
        </w:rPr>
        <w:t>二</w:t>
      </w:r>
      <w:r>
        <w:rPr>
          <w:rFonts w:hint="eastAsia" w:ascii="仿宋" w:hAnsi="仿宋" w:eastAsia="仿宋" w:cs="仿宋"/>
          <w:snapToGrid w:val="0"/>
          <w:color w:val="000000"/>
          <w:kern w:val="0"/>
          <w:sz w:val="32"/>
          <w:szCs w:val="32"/>
        </w:rPr>
        <w:t>、磋商响应函</w:t>
      </w:r>
    </w:p>
    <w:p w14:paraId="1763B760">
      <w:pPr>
        <w:spacing w:beforeLines="-2147483648" w:afterLines="-2147483648" w:line="240" w:lineRule="auto"/>
        <w:jc w:val="center"/>
        <w:outlineLvl w:val="9"/>
        <w:rPr>
          <w:rFonts w:hint="eastAsia" w:ascii="仿宋" w:hAnsi="仿宋" w:eastAsia="仿宋" w:cs="仿宋"/>
          <w:sz w:val="32"/>
          <w:szCs w:val="21"/>
          <w:lang w:val="zh-CN"/>
        </w:rPr>
      </w:pPr>
      <w:r>
        <w:rPr>
          <w:rFonts w:hint="eastAsia" w:ascii="仿宋" w:hAnsi="仿宋" w:eastAsia="仿宋" w:cs="仿宋"/>
          <w:sz w:val="32"/>
          <w:szCs w:val="21"/>
        </w:rPr>
        <w:t>磋商响应函</w:t>
      </w:r>
    </w:p>
    <w:p w14:paraId="21A99284">
      <w:pPr>
        <w:spacing w:beforeLines="0" w:afterLines="0" w:line="360" w:lineRule="auto"/>
        <w:jc w:val="left"/>
        <w:rPr>
          <w:rFonts w:hint="eastAsia" w:ascii="仿宋" w:hAnsi="仿宋" w:eastAsia="仿宋" w:cs="仿宋"/>
          <w:color w:val="000000"/>
          <w:sz w:val="24"/>
          <w:szCs w:val="21"/>
          <w:lang w:eastAsia="zh-CN"/>
        </w:rPr>
      </w:pPr>
      <w:r>
        <w:rPr>
          <w:rFonts w:hint="eastAsia" w:ascii="仿宋" w:hAnsi="仿宋" w:eastAsia="仿宋" w:cs="仿宋"/>
          <w:color w:val="000000"/>
          <w:sz w:val="24"/>
          <w:szCs w:val="21"/>
        </w:rPr>
        <w:t>致：</w:t>
      </w:r>
      <w:r>
        <w:rPr>
          <w:rFonts w:hint="eastAsia" w:ascii="仿宋" w:hAnsi="仿宋" w:eastAsia="仿宋" w:cs="仿宋"/>
          <w:color w:val="000000"/>
          <w:sz w:val="24"/>
          <w:lang w:eastAsia="zh-CN"/>
        </w:rPr>
        <w:t>江苏达琛鑫项目管理有限公司</w:t>
      </w:r>
    </w:p>
    <w:p w14:paraId="3238463D">
      <w:pPr>
        <w:pStyle w:val="27"/>
        <w:spacing w:before="0" w:beforeLines="0" w:after="0" w:afterLines="0"/>
        <w:rPr>
          <w:rFonts w:hint="eastAsia" w:ascii="仿宋" w:hAnsi="仿宋" w:eastAsia="仿宋" w:cs="仿宋"/>
          <w:color w:val="000000"/>
          <w:sz w:val="24"/>
          <w:szCs w:val="21"/>
        </w:rPr>
      </w:pPr>
      <w:r>
        <w:rPr>
          <w:rFonts w:hint="eastAsia" w:ascii="仿宋" w:hAnsi="仿宋" w:eastAsia="仿宋" w:cs="仿宋"/>
          <w:color w:val="000000"/>
          <w:sz w:val="24"/>
          <w:szCs w:val="21"/>
        </w:rPr>
        <w:t>根据贵方编号为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的</w:t>
      </w:r>
      <w:r>
        <w:rPr>
          <w:rFonts w:hint="eastAsia" w:ascii="仿宋" w:hAnsi="仿宋" w:eastAsia="仿宋" w:cs="仿宋"/>
          <w:color w:val="000000"/>
          <w:sz w:val="24"/>
          <w:szCs w:val="21"/>
        </w:rPr>
        <w:t>项目磋商文件，我方正式提</w:t>
      </w:r>
      <w:r>
        <w:rPr>
          <w:rFonts w:hint="eastAsia" w:ascii="仿宋" w:hAnsi="仿宋" w:eastAsia="仿宋" w:cs="仿宋"/>
          <w:color w:val="000000"/>
          <w:sz w:val="24"/>
          <w:szCs w:val="24"/>
        </w:rPr>
        <w:t>交磋商响应函，</w:t>
      </w:r>
      <w:r>
        <w:rPr>
          <w:rFonts w:hint="eastAsia" w:ascii="仿宋" w:hAnsi="仿宋" w:eastAsia="仿宋" w:cs="仿宋"/>
          <w:color w:val="000000"/>
          <w:sz w:val="24"/>
          <w:szCs w:val="21"/>
        </w:rPr>
        <w:t>并宣布同意如下内容：</w:t>
      </w:r>
    </w:p>
    <w:p w14:paraId="32384ED7">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1.按磋商文件规定的各项要求，向买方提供所需服务（包含与货物相关的服务及与服务相关的货物）。</w:t>
      </w:r>
    </w:p>
    <w:p w14:paraId="49E0E3DC">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2.我们完全理解贵方不一定将合同授予最低报价的供应商。</w:t>
      </w:r>
    </w:p>
    <w:p w14:paraId="2DE441D4">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3.我们已详细审核全部磋商文件及其有效补充文件，我们知道必须放弃提出含糊不清或误解问题的权利。</w:t>
      </w:r>
    </w:p>
    <w:p w14:paraId="5C4DA65C">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4.我们同意从规定的磋商日期起遵循本响应文件，并在规定的磋商有效期期满之前均具有约束力。</w:t>
      </w:r>
    </w:p>
    <w:p w14:paraId="709FBBD0">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5.同意向贵方提供贵方可能另外要求的与磋商有关的任何证据或资料，并保证我方已提供和将要提供的文件是真实的、准确的。</w:t>
      </w:r>
    </w:p>
    <w:p w14:paraId="247229A1">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6.一旦我方成交，我方将根据磋商文件的规定，严格履行合同的责任和义务,并保证在磋商文件规定的时间完成项目，交付买方验收、使用。</w:t>
      </w:r>
    </w:p>
    <w:p w14:paraId="631957B2">
      <w:pPr>
        <w:spacing w:beforeLines="0" w:afterLines="0"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7.我方为：</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大型企业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中型企业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小型企业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微型企业（在对应</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内</w:t>
      </w:r>
      <w:r>
        <w:rPr>
          <w:rFonts w:hint="eastAsia" w:ascii="仿宋" w:hAnsi="仿宋" w:eastAsia="仿宋" w:cs="仿宋"/>
          <w:color w:val="000000"/>
          <w:sz w:val="24"/>
          <w:szCs w:val="24"/>
          <w:lang w:val="zh-CN"/>
        </w:rPr>
        <w:t>打“√”</w:t>
      </w:r>
      <w:r>
        <w:rPr>
          <w:rFonts w:hint="eastAsia" w:ascii="仿宋" w:hAnsi="仿宋" w:eastAsia="仿宋" w:cs="仿宋"/>
          <w:color w:val="000000"/>
          <w:sz w:val="24"/>
          <w:szCs w:val="24"/>
        </w:rPr>
        <w:t>）</w:t>
      </w:r>
    </w:p>
    <w:p w14:paraId="0C6D69E3">
      <w:pPr>
        <w:spacing w:beforeLines="0" w:afterLines="0" w:line="360" w:lineRule="auto"/>
        <w:ind w:firstLine="480"/>
        <w:jc w:val="left"/>
        <w:rPr>
          <w:rFonts w:hint="eastAsia" w:ascii="仿宋" w:hAnsi="仿宋" w:eastAsia="仿宋" w:cs="仿宋"/>
          <w:color w:val="000000"/>
          <w:sz w:val="24"/>
          <w:szCs w:val="21"/>
        </w:rPr>
      </w:pPr>
      <w:r>
        <w:rPr>
          <w:rFonts w:hint="eastAsia" w:ascii="仿宋" w:hAnsi="仿宋" w:eastAsia="仿宋" w:cs="仿宋"/>
          <w:color w:val="000000"/>
          <w:sz w:val="24"/>
          <w:szCs w:val="21"/>
        </w:rPr>
        <w:t>8.我方与本磋商有关的正式通讯地址为：</w:t>
      </w:r>
    </w:p>
    <w:p w14:paraId="06AB0E5E">
      <w:pPr>
        <w:pStyle w:val="27"/>
        <w:spacing w:before="0" w:beforeLines="0" w:after="0" w:afterLines="0"/>
        <w:rPr>
          <w:rFonts w:hint="eastAsia" w:ascii="仿宋" w:hAnsi="仿宋" w:eastAsia="仿宋" w:cs="仿宋"/>
          <w:color w:val="000000"/>
          <w:sz w:val="24"/>
          <w:szCs w:val="21"/>
        </w:rPr>
      </w:pPr>
      <w:r>
        <w:rPr>
          <w:rFonts w:hint="eastAsia" w:ascii="仿宋" w:hAnsi="仿宋" w:eastAsia="仿宋" w:cs="仿宋"/>
          <w:color w:val="000000"/>
          <w:sz w:val="24"/>
          <w:szCs w:val="21"/>
        </w:rPr>
        <w:t>地  址：</w:t>
      </w:r>
    </w:p>
    <w:p w14:paraId="14158AE1">
      <w:pPr>
        <w:pStyle w:val="27"/>
        <w:spacing w:before="0" w:beforeLines="0" w:after="0" w:afterLines="0"/>
        <w:rPr>
          <w:rFonts w:hint="eastAsia" w:ascii="仿宋" w:hAnsi="仿宋" w:eastAsia="仿宋" w:cs="仿宋"/>
          <w:color w:val="000000"/>
          <w:sz w:val="24"/>
          <w:szCs w:val="21"/>
        </w:rPr>
      </w:pPr>
      <w:r>
        <w:rPr>
          <w:rFonts w:hint="eastAsia" w:ascii="仿宋" w:hAnsi="仿宋" w:eastAsia="仿宋" w:cs="仿宋"/>
          <w:color w:val="000000"/>
          <w:sz w:val="24"/>
          <w:szCs w:val="21"/>
        </w:rPr>
        <w:t>邮  编：</w:t>
      </w:r>
    </w:p>
    <w:p w14:paraId="30877EDF">
      <w:pPr>
        <w:pStyle w:val="27"/>
        <w:spacing w:before="0" w:beforeLines="0" w:after="0" w:afterLines="0"/>
        <w:rPr>
          <w:rFonts w:hint="eastAsia" w:ascii="仿宋" w:hAnsi="仿宋" w:eastAsia="仿宋" w:cs="仿宋"/>
          <w:color w:val="000000"/>
          <w:sz w:val="24"/>
          <w:szCs w:val="21"/>
          <w:u w:val="single"/>
        </w:rPr>
      </w:pPr>
      <w:r>
        <w:rPr>
          <w:rFonts w:hint="eastAsia" w:ascii="仿宋" w:hAnsi="仿宋" w:eastAsia="仿宋" w:cs="仿宋"/>
          <w:color w:val="000000"/>
          <w:sz w:val="24"/>
          <w:szCs w:val="21"/>
        </w:rPr>
        <w:t>电  话：</w:t>
      </w:r>
    </w:p>
    <w:p w14:paraId="24EC92F0">
      <w:pPr>
        <w:pStyle w:val="27"/>
        <w:spacing w:before="0" w:beforeLines="0" w:after="0" w:afterLines="0"/>
        <w:rPr>
          <w:rFonts w:hint="eastAsia" w:ascii="仿宋" w:hAnsi="仿宋" w:eastAsia="仿宋" w:cs="仿宋"/>
          <w:color w:val="000000"/>
          <w:sz w:val="24"/>
          <w:szCs w:val="21"/>
          <w:u w:val="single"/>
        </w:rPr>
      </w:pPr>
      <w:r>
        <w:rPr>
          <w:rFonts w:hint="eastAsia" w:ascii="仿宋" w:hAnsi="仿宋" w:eastAsia="仿宋" w:cs="仿宋"/>
          <w:color w:val="000000"/>
          <w:sz w:val="24"/>
          <w:szCs w:val="21"/>
        </w:rPr>
        <w:t>传  真：</w:t>
      </w:r>
    </w:p>
    <w:p w14:paraId="6215FC78">
      <w:pPr>
        <w:pStyle w:val="27"/>
        <w:spacing w:before="0" w:beforeLines="0" w:after="0" w:afterLines="0"/>
        <w:rPr>
          <w:rFonts w:hint="eastAsia" w:ascii="仿宋" w:hAnsi="仿宋" w:eastAsia="仿宋" w:cs="仿宋"/>
          <w:color w:val="000000"/>
          <w:sz w:val="24"/>
          <w:szCs w:val="21"/>
          <w:u w:val="single"/>
        </w:rPr>
      </w:pPr>
      <w:r>
        <w:rPr>
          <w:rFonts w:hint="eastAsia" w:ascii="仿宋" w:hAnsi="仿宋" w:eastAsia="仿宋" w:cs="仿宋"/>
          <w:color w:val="000000"/>
          <w:sz w:val="24"/>
          <w:szCs w:val="21"/>
        </w:rPr>
        <w:t>开户行：</w:t>
      </w:r>
    </w:p>
    <w:p w14:paraId="039D4B34">
      <w:pPr>
        <w:pStyle w:val="27"/>
        <w:spacing w:before="0" w:beforeLines="0" w:after="0" w:afterLines="0"/>
        <w:rPr>
          <w:rFonts w:hint="eastAsia" w:ascii="仿宋" w:hAnsi="仿宋" w:eastAsia="仿宋" w:cs="仿宋"/>
          <w:color w:val="000000"/>
          <w:sz w:val="24"/>
          <w:szCs w:val="21"/>
          <w:u w:val="single"/>
        </w:rPr>
      </w:pPr>
      <w:r>
        <w:rPr>
          <w:rFonts w:hint="eastAsia" w:ascii="仿宋" w:hAnsi="仿宋" w:eastAsia="仿宋" w:cs="仿宋"/>
          <w:color w:val="000000"/>
          <w:sz w:val="24"/>
          <w:szCs w:val="21"/>
        </w:rPr>
        <w:t>账  号：</w:t>
      </w:r>
    </w:p>
    <w:p w14:paraId="1A522CFE">
      <w:pPr>
        <w:spacing w:beforeLines="0" w:afterLines="0" w:line="360" w:lineRule="auto"/>
        <w:ind w:right="180" w:firstLine="480"/>
        <w:rPr>
          <w:rFonts w:hint="eastAsia" w:ascii="仿宋" w:hAnsi="仿宋" w:eastAsia="仿宋" w:cs="仿宋"/>
          <w:color w:val="000000"/>
          <w:sz w:val="24"/>
          <w:szCs w:val="24"/>
        </w:rPr>
      </w:pPr>
      <w:r>
        <w:rPr>
          <w:rFonts w:hint="eastAsia" w:ascii="仿宋" w:hAnsi="仿宋" w:eastAsia="仿宋" w:cs="仿宋"/>
          <w:color w:val="000000"/>
          <w:sz w:val="24"/>
          <w:szCs w:val="24"/>
        </w:rPr>
        <w:t>供应商名称：（加盖电子公章）</w:t>
      </w:r>
    </w:p>
    <w:p w14:paraId="32579E06">
      <w:pPr>
        <w:pStyle w:val="27"/>
        <w:spacing w:before="0" w:beforeLines="0" w:after="0" w:afterLines="0"/>
        <w:rPr>
          <w:rFonts w:hint="eastAsia" w:ascii="仿宋" w:hAnsi="仿宋" w:eastAsia="仿宋" w:cs="仿宋"/>
          <w:color w:val="000000"/>
          <w:sz w:val="24"/>
          <w:szCs w:val="21"/>
        </w:rPr>
      </w:pPr>
      <w:r>
        <w:rPr>
          <w:rFonts w:hint="eastAsia" w:ascii="仿宋" w:hAnsi="仿宋" w:eastAsia="仿宋" w:cs="仿宋"/>
          <w:color w:val="000000"/>
          <w:sz w:val="24"/>
          <w:szCs w:val="21"/>
        </w:rPr>
        <w:t>日  期：</w:t>
      </w:r>
    </w:p>
    <w:p w14:paraId="0B130A7D">
      <w:pPr>
        <w:pStyle w:val="27"/>
        <w:spacing w:before="0" w:beforeLines="0" w:after="0" w:afterLines="0"/>
        <w:rPr>
          <w:rFonts w:hint="eastAsia" w:ascii="仿宋" w:hAnsi="仿宋" w:eastAsia="仿宋" w:cs="仿宋"/>
          <w:color w:val="000000"/>
          <w:sz w:val="24"/>
          <w:szCs w:val="21"/>
        </w:rPr>
      </w:pPr>
    </w:p>
    <w:bookmarkEnd w:id="155"/>
    <w:bookmarkEnd w:id="156"/>
    <w:bookmarkEnd w:id="157"/>
    <w:bookmarkEnd w:id="158"/>
    <w:bookmarkEnd w:id="159"/>
    <w:p w14:paraId="40EC4AE2">
      <w:pPr>
        <w:pStyle w:val="29"/>
        <w:numPr>
          <w:ilvl w:val="255"/>
          <w:numId w:val="0"/>
        </w:numPr>
        <w:rPr>
          <w:rFonts w:hint="eastAsia" w:ascii="仿宋" w:hAnsi="仿宋" w:eastAsia="仿宋" w:cs="仿宋"/>
          <w:snapToGrid w:val="0"/>
          <w:color w:val="000000"/>
          <w:kern w:val="0"/>
          <w:sz w:val="32"/>
          <w:szCs w:val="32"/>
          <w:lang w:eastAsia="zh-CN"/>
        </w:rPr>
      </w:pPr>
      <w:bookmarkStart w:id="160" w:name="_Toc8568"/>
      <w:bookmarkStart w:id="161" w:name="_Toc11385"/>
      <w:bookmarkStart w:id="162" w:name="_Toc10758"/>
      <w:bookmarkStart w:id="163" w:name="_Toc26536"/>
      <w:bookmarkStart w:id="164" w:name="_Toc12235"/>
    </w:p>
    <w:p w14:paraId="0C4EDA89">
      <w:pPr>
        <w:pStyle w:val="29"/>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仿宋" w:hAnsi="仿宋" w:eastAsia="仿宋" w:cs="仿宋"/>
          <w:snapToGrid w:val="0"/>
          <w:color w:val="000000"/>
          <w:kern w:val="0"/>
          <w:sz w:val="32"/>
          <w:szCs w:val="32"/>
        </w:rPr>
      </w:pPr>
      <w:r>
        <w:rPr>
          <w:rFonts w:hint="eastAsia" w:ascii="仿宋" w:hAnsi="仿宋" w:eastAsia="仿宋" w:cs="仿宋"/>
          <w:snapToGrid w:val="0"/>
          <w:color w:val="000000"/>
          <w:kern w:val="0"/>
          <w:sz w:val="32"/>
          <w:szCs w:val="32"/>
          <w:lang w:val="en-US" w:eastAsia="zh-CN"/>
        </w:rPr>
        <w:t>三</w:t>
      </w:r>
      <w:r>
        <w:rPr>
          <w:rFonts w:hint="eastAsia" w:ascii="仿宋" w:hAnsi="仿宋" w:eastAsia="仿宋" w:cs="仿宋"/>
          <w:snapToGrid w:val="0"/>
          <w:color w:val="000000"/>
          <w:kern w:val="0"/>
          <w:sz w:val="32"/>
          <w:szCs w:val="32"/>
          <w:lang w:eastAsia="zh-CN"/>
        </w:rPr>
        <w:t>、</w:t>
      </w:r>
      <w:r>
        <w:rPr>
          <w:rFonts w:hint="eastAsia" w:ascii="仿宋" w:hAnsi="仿宋" w:eastAsia="仿宋" w:cs="仿宋"/>
          <w:snapToGrid w:val="0"/>
          <w:color w:val="000000"/>
          <w:kern w:val="0"/>
          <w:sz w:val="32"/>
          <w:szCs w:val="32"/>
          <w:lang w:val="en-US" w:eastAsia="zh-CN"/>
        </w:rPr>
        <w:t>磋商报价</w:t>
      </w:r>
      <w:r>
        <w:rPr>
          <w:rFonts w:hint="eastAsia" w:ascii="仿宋" w:hAnsi="仿宋" w:eastAsia="仿宋" w:cs="仿宋"/>
          <w:snapToGrid w:val="0"/>
          <w:color w:val="000000"/>
          <w:kern w:val="0"/>
          <w:sz w:val="32"/>
          <w:szCs w:val="32"/>
          <w:lang w:eastAsia="zh-CN"/>
        </w:rPr>
        <w:t>表</w:t>
      </w:r>
    </w:p>
    <w:p w14:paraId="268B329B">
      <w:pPr>
        <w:numPr>
          <w:ilvl w:val="-1"/>
          <w:numId w:val="0"/>
        </w:numPr>
        <w:spacing w:beforeLines="0" w:afterLines="0" w:line="360" w:lineRule="auto"/>
        <w:jc w:val="center"/>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磋商报价</w:t>
      </w:r>
      <w:r>
        <w:rPr>
          <w:rFonts w:hint="eastAsia" w:ascii="仿宋" w:hAnsi="仿宋" w:eastAsia="仿宋" w:cs="仿宋"/>
          <w:color w:val="000000"/>
          <w:sz w:val="32"/>
          <w:szCs w:val="32"/>
          <w:lang w:eastAsia="zh-CN"/>
        </w:rPr>
        <w:t>表</w:t>
      </w:r>
    </w:p>
    <w:p w14:paraId="0556FF52">
      <w:pPr>
        <w:numPr>
          <w:ilvl w:val="-1"/>
          <w:numId w:val="0"/>
        </w:numPr>
        <w:spacing w:beforeLines="0" w:afterLines="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供应商名称：（加盖电子公章）</w:t>
      </w:r>
    </w:p>
    <w:p w14:paraId="59FBC6B8">
      <w:pPr>
        <w:numPr>
          <w:ilvl w:val="-1"/>
          <w:numId w:val="0"/>
        </w:numPr>
        <w:spacing w:beforeLines="0" w:afterLines="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项目名称：                  </w:t>
      </w:r>
    </w:p>
    <w:p w14:paraId="6246F328">
      <w:pPr>
        <w:numPr>
          <w:ilvl w:val="-1"/>
          <w:numId w:val="0"/>
        </w:numPr>
        <w:spacing w:beforeLines="0" w:afterLines="0" w:line="360" w:lineRule="auto"/>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24"/>
          <w:szCs w:val="24"/>
          <w:lang w:val="en-US" w:eastAsia="zh-CN"/>
        </w:rPr>
        <w:t>项目编号：</w:t>
      </w:r>
      <w:r>
        <w:rPr>
          <w:rFonts w:hint="eastAsia" w:ascii="仿宋" w:hAnsi="仿宋" w:eastAsia="仿宋" w:cs="仿宋"/>
          <w:color w:val="000000"/>
          <w:sz w:val="24"/>
          <w:szCs w:val="24"/>
        </w:rPr>
        <w:t xml:space="preserve">                                 </w:t>
      </w:r>
    </w:p>
    <w:tbl>
      <w:tblPr>
        <w:tblStyle w:val="21"/>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7"/>
        <w:gridCol w:w="5692"/>
      </w:tblGrid>
      <w:tr w14:paraId="6AE8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817" w:type="dxa"/>
            <w:vAlign w:val="center"/>
          </w:tcPr>
          <w:p w14:paraId="1F6A286A">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r>
              <w:rPr>
                <w:rFonts w:hint="eastAsia" w:ascii="仿宋" w:hAnsi="仿宋" w:eastAsia="仿宋" w:cs="仿宋"/>
                <w:color w:val="000000"/>
              </w:rPr>
              <w:t>总报价</w:t>
            </w:r>
          </w:p>
        </w:tc>
        <w:tc>
          <w:tcPr>
            <w:tcW w:w="5692" w:type="dxa"/>
            <w:vAlign w:val="center"/>
          </w:tcPr>
          <w:p w14:paraId="3E164580">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r>
              <w:rPr>
                <w:rFonts w:hint="eastAsia" w:ascii="仿宋" w:hAnsi="仿宋" w:eastAsia="仿宋" w:cs="仿宋"/>
                <w:color w:val="000000"/>
                <w:sz w:val="24"/>
                <w:szCs w:val="24"/>
                <w:vertAlign w:val="baseline"/>
              </w:rPr>
              <w:t>￥</w:t>
            </w:r>
            <w:r>
              <w:rPr>
                <w:rFonts w:hint="eastAsia" w:ascii="仿宋" w:hAnsi="仿宋" w:eastAsia="仿宋" w:cs="仿宋"/>
                <w:color w:val="000000"/>
                <w:sz w:val="24"/>
                <w:szCs w:val="24"/>
                <w:u w:val="single"/>
                <w:vertAlign w:val="baseline"/>
              </w:rPr>
              <w:t> 　　    　</w:t>
            </w:r>
            <w:r>
              <w:rPr>
                <w:rFonts w:hint="eastAsia" w:ascii="仿宋" w:hAnsi="仿宋" w:eastAsia="仿宋" w:cs="仿宋"/>
                <w:color w:val="000000"/>
                <w:sz w:val="24"/>
                <w:szCs w:val="24"/>
                <w:vertAlign w:val="baseline"/>
              </w:rPr>
              <w:t>元</w:t>
            </w:r>
          </w:p>
          <w:p w14:paraId="7E824C6C">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r>
              <w:rPr>
                <w:rFonts w:hint="eastAsia" w:ascii="仿宋" w:hAnsi="仿宋" w:eastAsia="仿宋" w:cs="仿宋"/>
                <w:color w:val="000000"/>
                <w:sz w:val="24"/>
                <w:szCs w:val="24"/>
                <w:vertAlign w:val="baseline"/>
              </w:rPr>
              <w:t>人民币 (大写)：</w:t>
            </w:r>
          </w:p>
        </w:tc>
      </w:tr>
      <w:tr w14:paraId="0641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817" w:type="dxa"/>
            <w:vAlign w:val="center"/>
          </w:tcPr>
          <w:p w14:paraId="5B5247DB">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lang w:val="en-US" w:eastAsia="zh-CN"/>
              </w:rPr>
            </w:pPr>
            <w:r>
              <w:rPr>
                <w:rFonts w:hint="eastAsia" w:ascii="仿宋" w:hAnsi="仿宋" w:eastAsia="仿宋" w:cs="仿宋"/>
                <w:color w:val="000000"/>
                <w:sz w:val="24"/>
                <w:szCs w:val="24"/>
                <w:vertAlign w:val="baseline"/>
              </w:rPr>
              <w:t>服务</w:t>
            </w:r>
            <w:r>
              <w:rPr>
                <w:rFonts w:hint="eastAsia" w:ascii="仿宋" w:hAnsi="仿宋" w:eastAsia="仿宋" w:cs="仿宋"/>
                <w:color w:val="000000"/>
                <w:sz w:val="24"/>
                <w:szCs w:val="24"/>
                <w:vertAlign w:val="baseline"/>
                <w:lang w:val="en-US" w:eastAsia="zh-CN"/>
              </w:rPr>
              <w:t>时间</w:t>
            </w:r>
          </w:p>
        </w:tc>
        <w:tc>
          <w:tcPr>
            <w:tcW w:w="5692" w:type="dxa"/>
            <w:vAlign w:val="center"/>
          </w:tcPr>
          <w:p w14:paraId="3F57AC48">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p>
        </w:tc>
      </w:tr>
      <w:tr w14:paraId="2DD4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817" w:type="dxa"/>
            <w:vAlign w:val="center"/>
          </w:tcPr>
          <w:p w14:paraId="0333FC82">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r>
              <w:rPr>
                <w:rFonts w:hint="eastAsia" w:ascii="仿宋" w:hAnsi="仿宋" w:eastAsia="仿宋" w:cs="仿宋"/>
                <w:color w:val="000000"/>
                <w:sz w:val="24"/>
                <w:szCs w:val="24"/>
                <w:vertAlign w:val="baseline"/>
              </w:rPr>
              <w:t>项目负责人</w:t>
            </w:r>
          </w:p>
        </w:tc>
        <w:tc>
          <w:tcPr>
            <w:tcW w:w="5692" w:type="dxa"/>
            <w:vAlign w:val="center"/>
          </w:tcPr>
          <w:p w14:paraId="4D440D54">
            <w:pPr>
              <w:pStyle w:val="18"/>
              <w:spacing w:before="0" w:beforeLines="0" w:beforeAutospacing="0" w:after="0" w:afterLines="0" w:afterAutospacing="0" w:line="360" w:lineRule="auto"/>
              <w:jc w:val="center"/>
              <w:rPr>
                <w:rFonts w:hint="eastAsia" w:ascii="仿宋" w:hAnsi="仿宋" w:eastAsia="仿宋" w:cs="仿宋"/>
                <w:color w:val="000000"/>
                <w:sz w:val="24"/>
                <w:szCs w:val="24"/>
                <w:vertAlign w:val="baseline"/>
              </w:rPr>
            </w:pPr>
          </w:p>
        </w:tc>
      </w:tr>
    </w:tbl>
    <w:p w14:paraId="51FC5455">
      <w:pPr>
        <w:pStyle w:val="18"/>
        <w:spacing w:before="0" w:beforeLines="0" w:beforeAutospacing="0" w:after="0" w:afterLines="0" w:afterAutospacing="0" w:line="360" w:lineRule="auto"/>
        <w:rPr>
          <w:rFonts w:hint="eastAsia" w:ascii="仿宋" w:hAnsi="仿宋" w:eastAsia="仿宋" w:cs="仿宋"/>
          <w:color w:val="000000"/>
          <w:sz w:val="24"/>
          <w:szCs w:val="24"/>
        </w:rPr>
      </w:pPr>
    </w:p>
    <w:p w14:paraId="24271B19">
      <w:pPr>
        <w:spacing w:beforeLines="0" w:afterLines="0" w:line="240" w:lineRule="atLeast"/>
        <w:ind w:firstLine="7379" w:firstLineChars="3500"/>
        <w:rPr>
          <w:rStyle w:val="23"/>
          <w:rFonts w:hint="eastAsia" w:ascii="仿宋" w:hAnsi="仿宋" w:eastAsia="仿宋" w:cs="仿宋"/>
          <w:color w:val="000000"/>
          <w:sz w:val="21"/>
          <w:szCs w:val="21"/>
        </w:rPr>
      </w:pPr>
      <w:r>
        <w:rPr>
          <w:rStyle w:val="23"/>
          <w:rFonts w:hint="eastAsia" w:ascii="仿宋" w:hAnsi="仿宋" w:eastAsia="仿宋" w:cs="仿宋"/>
          <w:color w:val="000000"/>
          <w:sz w:val="21"/>
          <w:szCs w:val="21"/>
          <w:lang w:eastAsia="zh-CN"/>
        </w:rPr>
        <w:t>日</w:t>
      </w:r>
      <w:r>
        <w:rPr>
          <w:rStyle w:val="23"/>
          <w:rFonts w:hint="eastAsia" w:ascii="仿宋" w:hAnsi="仿宋" w:eastAsia="仿宋" w:cs="仿宋"/>
          <w:color w:val="000000"/>
          <w:sz w:val="21"/>
          <w:szCs w:val="21"/>
          <w:lang w:val="en-US" w:eastAsia="zh-CN"/>
        </w:rPr>
        <w:t xml:space="preserve">  </w:t>
      </w:r>
      <w:r>
        <w:rPr>
          <w:rStyle w:val="23"/>
          <w:rFonts w:hint="eastAsia" w:ascii="仿宋" w:hAnsi="仿宋" w:eastAsia="仿宋" w:cs="仿宋"/>
          <w:color w:val="000000"/>
          <w:sz w:val="21"/>
          <w:szCs w:val="21"/>
          <w:lang w:eastAsia="zh-CN"/>
        </w:rPr>
        <w:t>期：</w:t>
      </w:r>
    </w:p>
    <w:p w14:paraId="2DEC77CA">
      <w:pPr>
        <w:spacing w:beforeLines="0" w:afterLines="0" w:line="240" w:lineRule="atLeast"/>
        <w:rPr>
          <w:rStyle w:val="23"/>
          <w:rFonts w:hint="eastAsia" w:ascii="仿宋" w:hAnsi="仿宋" w:eastAsia="仿宋" w:cs="仿宋"/>
          <w:color w:val="000000"/>
          <w:sz w:val="21"/>
          <w:szCs w:val="21"/>
        </w:rPr>
      </w:pPr>
      <w:r>
        <w:rPr>
          <w:rStyle w:val="23"/>
          <w:rFonts w:hint="eastAsia" w:ascii="仿宋" w:hAnsi="仿宋" w:eastAsia="仿宋" w:cs="仿宋"/>
          <w:color w:val="000000"/>
          <w:sz w:val="21"/>
          <w:szCs w:val="21"/>
        </w:rPr>
        <w:t>注:</w:t>
      </w:r>
    </w:p>
    <w:p w14:paraId="3724F6E2">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rPr>
        <w:t>1.所有价格均以人民币表示；</w:t>
      </w:r>
    </w:p>
    <w:p w14:paraId="6F6BDF6C">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rPr>
        <w:t>2.报价应包括磋商文件所规定的采购范围的全部内容（各类人工、税费、管理费以及一切技术和服务费等）。供应商漏报的费用，视为此项费用已隐含在响应报价中，成交后不得再向采购人收取任何费用；</w:t>
      </w:r>
    </w:p>
    <w:p w14:paraId="5E99E6DC">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rPr>
        <w:t>3.磋商文件未列明，而供应商认为必需的费用也需列入报价；</w:t>
      </w:r>
    </w:p>
    <w:p w14:paraId="3AF253CE">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rPr>
        <w:t>4.供应商不得实质性改动</w:t>
      </w:r>
      <w:r>
        <w:rPr>
          <w:rFonts w:hint="eastAsia" w:ascii="仿宋" w:hAnsi="仿宋" w:eastAsia="仿宋" w:cs="仿宋"/>
          <w:color w:val="000000"/>
          <w:sz w:val="20"/>
          <w:szCs w:val="20"/>
          <w:lang w:eastAsia="zh-CN"/>
        </w:rPr>
        <w:t>磋商报价表</w:t>
      </w:r>
      <w:r>
        <w:rPr>
          <w:rFonts w:hint="eastAsia" w:ascii="仿宋" w:hAnsi="仿宋" w:eastAsia="仿宋" w:cs="仿宋"/>
          <w:color w:val="000000"/>
          <w:sz w:val="20"/>
          <w:szCs w:val="20"/>
        </w:rPr>
        <w:t>格式及内容。</w:t>
      </w:r>
    </w:p>
    <w:p w14:paraId="6BEDF68B">
      <w:pPr>
        <w:spacing w:beforeLines="0" w:afterLines="0" w:line="240" w:lineRule="atLeast"/>
        <w:rPr>
          <w:rFonts w:hint="eastAsia" w:ascii="仿宋" w:hAnsi="仿宋" w:eastAsia="仿宋" w:cs="仿宋"/>
          <w:bCs/>
          <w:color w:val="000000"/>
          <w:sz w:val="20"/>
          <w:szCs w:val="20"/>
          <w:highlight w:val="none"/>
        </w:rPr>
      </w:pPr>
      <w:r>
        <w:rPr>
          <w:rFonts w:hint="eastAsia" w:ascii="仿宋" w:hAnsi="仿宋" w:eastAsia="仿宋" w:cs="仿宋"/>
          <w:color w:val="000000"/>
          <w:sz w:val="20"/>
          <w:szCs w:val="20"/>
          <w:lang w:val="en-US" w:eastAsia="zh-CN"/>
        </w:rPr>
        <w:t>5.</w:t>
      </w:r>
      <w:r>
        <w:rPr>
          <w:rFonts w:hint="eastAsia" w:ascii="仿宋" w:hAnsi="仿宋" w:eastAsia="仿宋" w:cs="仿宋"/>
          <w:bCs/>
          <w:color w:val="000000"/>
          <w:sz w:val="20"/>
          <w:szCs w:val="20"/>
          <w:highlight w:val="none"/>
        </w:rPr>
        <w:t>异常低价的处理</w:t>
      </w:r>
    </w:p>
    <w:p w14:paraId="6D340328">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bCs/>
          <w:color w:val="000000"/>
          <w:sz w:val="20"/>
          <w:szCs w:val="20"/>
          <w:highlight w:val="none"/>
          <w:lang w:val="en-US" w:eastAsia="zh-CN"/>
        </w:rPr>
        <w:t>a.</w:t>
      </w:r>
      <w:r>
        <w:rPr>
          <w:rFonts w:hint="eastAsia" w:ascii="仿宋" w:hAnsi="仿宋" w:eastAsia="仿宋" w:cs="仿宋"/>
          <w:color w:val="000000"/>
          <w:sz w:val="20"/>
          <w:szCs w:val="20"/>
        </w:rPr>
        <w:t>评审过程中出现下列情形之一的，评审委员会将启动异常低价投标（响应）审查程序：</w:t>
      </w:r>
    </w:p>
    <w:p w14:paraId="79975E24">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1）</w:t>
      </w:r>
      <w:r>
        <w:rPr>
          <w:rFonts w:hint="eastAsia" w:ascii="仿宋" w:hAnsi="仿宋" w:eastAsia="仿宋" w:cs="仿宋"/>
          <w:color w:val="000000"/>
          <w:sz w:val="20"/>
          <w:szCs w:val="20"/>
        </w:rPr>
        <w:t>投标（响应）报价低于全部通过符合性审查供应商投标（响应）报价平均值50%的，即投标（响应）报价&lt;全部通过符合性审查供应商投标（响应）报价平均值×50%；</w:t>
      </w:r>
    </w:p>
    <w:p w14:paraId="01DB6BC0">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2）</w:t>
      </w:r>
      <w:r>
        <w:rPr>
          <w:rFonts w:hint="eastAsia" w:ascii="仿宋" w:hAnsi="仿宋" w:eastAsia="仿宋" w:cs="仿宋"/>
          <w:color w:val="000000"/>
          <w:sz w:val="20"/>
          <w:szCs w:val="20"/>
        </w:rPr>
        <w:t>投标（响应）报价低于通过符合性审查的次低报价供应商投标（响应）报价50%的，即投标（响应）报价&lt;通过符合性审查的次低报价供应商投标（响应）报价×50%；</w:t>
      </w:r>
    </w:p>
    <w:p w14:paraId="1F9CC0C6">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3）</w:t>
      </w:r>
      <w:r>
        <w:rPr>
          <w:rFonts w:hint="eastAsia" w:ascii="仿宋" w:hAnsi="仿宋" w:eastAsia="仿宋" w:cs="仿宋"/>
          <w:color w:val="000000"/>
          <w:sz w:val="20"/>
          <w:szCs w:val="20"/>
        </w:rPr>
        <w:t>投标（响应）报价低于采购项目最高限价45%的，即投标（响应）报价&lt;采购项目最高限价×45%（未设定最高限价的采购项目，以采购项目预算金额作为最高限价）；</w:t>
      </w:r>
    </w:p>
    <w:p w14:paraId="10270088">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4）</w:t>
      </w:r>
      <w:r>
        <w:rPr>
          <w:rFonts w:hint="eastAsia" w:ascii="仿宋" w:hAnsi="仿宋" w:eastAsia="仿宋" w:cs="仿宋"/>
          <w:color w:val="000000"/>
          <w:sz w:val="20"/>
          <w:szCs w:val="20"/>
        </w:rPr>
        <w:t>评审委员会基于专业判断，认为供应商报价过低，有可能影响产品质量或者不能诚信履约的其他情形。</w:t>
      </w:r>
    </w:p>
    <w:p w14:paraId="0A9FC5B0">
      <w:pPr>
        <w:spacing w:beforeLines="0" w:afterLines="0" w:line="240" w:lineRule="atLeast"/>
        <w:rPr>
          <w:rFonts w:hint="eastAsia" w:ascii="仿宋" w:hAnsi="仿宋" w:eastAsia="仿宋" w:cs="仿宋"/>
          <w:color w:val="000000"/>
          <w:sz w:val="20"/>
          <w:szCs w:val="20"/>
        </w:rPr>
      </w:pPr>
      <w:r>
        <w:rPr>
          <w:rFonts w:hint="eastAsia" w:ascii="仿宋" w:hAnsi="仿宋" w:eastAsia="仿宋" w:cs="仿宋"/>
          <w:color w:val="000000"/>
          <w:sz w:val="20"/>
          <w:szCs w:val="20"/>
          <w:lang w:val="en-US" w:eastAsia="zh-CN"/>
        </w:rPr>
        <w:t>b.</w:t>
      </w:r>
      <w:r>
        <w:rPr>
          <w:rFonts w:hint="eastAsia" w:ascii="仿宋" w:hAnsi="仿宋" w:eastAsia="仿宋" w:cs="仿宋"/>
          <w:color w:val="000000"/>
          <w:sz w:val="20"/>
          <w:szCs w:val="20"/>
        </w:rPr>
        <w:t>评审委员会启动异常低价投标（响应）审查后，属于前述第</w:t>
      </w: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1）</w:t>
      </w:r>
      <w:r>
        <w:rPr>
          <w:rFonts w:hint="eastAsia" w:ascii="仿宋" w:hAnsi="仿宋" w:eastAsia="仿宋" w:cs="仿宋"/>
          <w:color w:val="000000"/>
          <w:sz w:val="20"/>
          <w:szCs w:val="20"/>
        </w:rPr>
        <w:t>项至第</w:t>
      </w:r>
      <w:r>
        <w:rPr>
          <w:rFonts w:hint="eastAsia" w:ascii="仿宋" w:hAnsi="仿宋" w:eastAsia="仿宋" w:cs="仿宋"/>
          <w:color w:val="000000"/>
          <w:sz w:val="20"/>
          <w:szCs w:val="20"/>
          <w:lang w:eastAsia="zh-CN"/>
        </w:rPr>
        <w:t>（</w:t>
      </w:r>
      <w:r>
        <w:rPr>
          <w:rFonts w:hint="eastAsia" w:ascii="仿宋" w:hAnsi="仿宋" w:eastAsia="仿宋" w:cs="仿宋"/>
          <w:color w:val="000000"/>
          <w:sz w:val="20"/>
          <w:szCs w:val="20"/>
          <w:lang w:val="en-US" w:eastAsia="zh-CN"/>
        </w:rPr>
        <w:t>4）</w:t>
      </w:r>
      <w:r>
        <w:rPr>
          <w:rFonts w:hint="eastAsia" w:ascii="仿宋" w:hAnsi="仿宋" w:eastAsia="仿宋" w:cs="仿宋"/>
          <w:color w:val="000000"/>
          <w:sz w:val="20"/>
          <w:szCs w:val="20"/>
        </w:rPr>
        <w:t>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仿宋" w:hAnsi="仿宋" w:eastAsia="仿宋" w:cs="仿宋"/>
          <w:color w:val="000000"/>
          <w:sz w:val="20"/>
          <w:szCs w:val="20"/>
          <w:lang w:val="en-US" w:eastAsia="zh-CN"/>
        </w:rPr>
        <w:t>（3）</w:t>
      </w:r>
      <w:r>
        <w:rPr>
          <w:rFonts w:hint="eastAsia" w:ascii="仿宋" w:hAnsi="仿宋" w:eastAsia="仿宋" w:cs="仿宋"/>
          <w:color w:val="000000"/>
          <w:sz w:val="20"/>
          <w:szCs w:val="20"/>
        </w:rPr>
        <w:t>项情形，供应商已随投标（响应）文件一并提交相关书面说明及必要的证明材料的，在评审现场可不再重复提交。</w:t>
      </w:r>
    </w:p>
    <w:p w14:paraId="656DDFA5">
      <w:pPr>
        <w:spacing w:beforeLines="0" w:afterLines="0" w:line="240" w:lineRule="atLeast"/>
        <w:rPr>
          <w:rFonts w:hint="eastAsia" w:ascii="仿宋" w:hAnsi="仿宋" w:eastAsia="仿宋" w:cs="仿宋"/>
          <w:lang w:val="en-US" w:eastAsia="zh-CN"/>
        </w:rPr>
      </w:pPr>
      <w:r>
        <w:rPr>
          <w:rFonts w:hint="eastAsia" w:ascii="仿宋" w:hAnsi="仿宋" w:eastAsia="仿宋" w:cs="仿宋"/>
          <w:color w:val="000000"/>
          <w:sz w:val="20"/>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0"/>
          <w:szCs w:val="20"/>
          <w:lang w:val="zh-CN"/>
        </w:rPr>
        <w:t>。</w:t>
      </w:r>
    </w:p>
    <w:p w14:paraId="66EB369C">
      <w:pPr>
        <w:pStyle w:val="29"/>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仿宋" w:hAnsi="仿宋" w:eastAsia="仿宋" w:cs="仿宋"/>
          <w:snapToGrid w:val="0"/>
          <w:color w:val="000000"/>
          <w:kern w:val="0"/>
          <w:sz w:val="32"/>
          <w:szCs w:val="32"/>
        </w:rPr>
      </w:pPr>
      <w:r>
        <w:rPr>
          <w:rFonts w:hint="eastAsia" w:ascii="仿宋" w:hAnsi="仿宋" w:eastAsia="仿宋" w:cs="仿宋"/>
          <w:snapToGrid w:val="0"/>
          <w:color w:val="000000"/>
          <w:kern w:val="0"/>
          <w:sz w:val="32"/>
          <w:szCs w:val="32"/>
          <w:lang w:val="en-US" w:eastAsia="zh-CN"/>
        </w:rPr>
        <w:t>四、报价明细表</w:t>
      </w:r>
    </w:p>
    <w:bookmarkEnd w:id="160"/>
    <w:bookmarkEnd w:id="161"/>
    <w:bookmarkEnd w:id="162"/>
    <w:bookmarkEnd w:id="163"/>
    <w:bookmarkEnd w:id="164"/>
    <w:p w14:paraId="01450AD2">
      <w:pPr>
        <w:spacing w:line="240" w:lineRule="auto"/>
        <w:jc w:val="center"/>
        <w:rPr>
          <w:rFonts w:hint="eastAsia" w:ascii="仿宋" w:hAnsi="仿宋" w:eastAsia="仿宋" w:cs="仿宋"/>
          <w:sz w:val="24"/>
          <w:lang w:val="en-US" w:eastAsia="zh-CN"/>
        </w:rPr>
      </w:pPr>
      <w:r>
        <w:rPr>
          <w:rFonts w:hint="eastAsia" w:ascii="仿宋" w:hAnsi="仿宋" w:eastAsia="仿宋" w:cs="仿宋"/>
          <w:sz w:val="32"/>
          <w:szCs w:val="21"/>
        </w:rPr>
        <w:t>报价明细表</w:t>
      </w:r>
    </w:p>
    <w:p w14:paraId="387B7D8F">
      <w:pPr>
        <w:spacing w:line="360" w:lineRule="auto"/>
        <w:ind w:firstLine="420" w:firstLineChars="175"/>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供应商名称：（加盖电子公章）</w:t>
      </w:r>
    </w:p>
    <w:p w14:paraId="0A7AE110">
      <w:pPr>
        <w:spacing w:line="360" w:lineRule="auto"/>
        <w:ind w:firstLine="420" w:firstLineChars="175"/>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项目名称：</w:t>
      </w:r>
    </w:p>
    <w:p w14:paraId="29011D2A">
      <w:pPr>
        <w:spacing w:line="360" w:lineRule="auto"/>
        <w:ind w:firstLine="420" w:firstLineChars="175"/>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项目编号：</w:t>
      </w:r>
    </w:p>
    <w:tbl>
      <w:tblPr>
        <w:tblStyle w:val="20"/>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924"/>
        <w:gridCol w:w="1810"/>
        <w:gridCol w:w="1639"/>
        <w:gridCol w:w="1271"/>
        <w:gridCol w:w="1467"/>
      </w:tblGrid>
      <w:tr w14:paraId="4C50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300C80D3">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1924" w:type="dxa"/>
            <w:vAlign w:val="center"/>
          </w:tcPr>
          <w:p w14:paraId="68ED0D4E">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服务名称</w:t>
            </w:r>
          </w:p>
        </w:tc>
        <w:tc>
          <w:tcPr>
            <w:tcW w:w="1810" w:type="dxa"/>
            <w:vAlign w:val="center"/>
          </w:tcPr>
          <w:p w14:paraId="16A8C424">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服务内容</w:t>
            </w:r>
          </w:p>
        </w:tc>
        <w:tc>
          <w:tcPr>
            <w:tcW w:w="1639" w:type="dxa"/>
            <w:vAlign w:val="center"/>
          </w:tcPr>
          <w:p w14:paraId="06F28C5D">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数量/单位</w:t>
            </w:r>
          </w:p>
        </w:tc>
        <w:tc>
          <w:tcPr>
            <w:tcW w:w="1271" w:type="dxa"/>
            <w:vAlign w:val="center"/>
          </w:tcPr>
          <w:p w14:paraId="1E3ADCE2">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单价</w:t>
            </w:r>
          </w:p>
          <w:p w14:paraId="61DABFA5">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（元）</w:t>
            </w:r>
          </w:p>
        </w:tc>
        <w:tc>
          <w:tcPr>
            <w:tcW w:w="1467" w:type="dxa"/>
            <w:vAlign w:val="center"/>
          </w:tcPr>
          <w:p w14:paraId="46CAF563">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单项合计价</w:t>
            </w:r>
          </w:p>
          <w:p w14:paraId="1809E24C">
            <w:pPr>
              <w:spacing w:line="0" w:lineRule="atLeast"/>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（元）</w:t>
            </w:r>
          </w:p>
        </w:tc>
      </w:tr>
      <w:tr w14:paraId="3987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2F00A16F">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924" w:type="dxa"/>
            <w:vAlign w:val="center"/>
          </w:tcPr>
          <w:p w14:paraId="5D7E38B7">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810" w:type="dxa"/>
            <w:vAlign w:val="center"/>
          </w:tcPr>
          <w:p w14:paraId="195CEB2C">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639" w:type="dxa"/>
            <w:vAlign w:val="center"/>
          </w:tcPr>
          <w:p w14:paraId="568D0930">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271" w:type="dxa"/>
            <w:vAlign w:val="center"/>
          </w:tcPr>
          <w:p w14:paraId="7CC9C182">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467" w:type="dxa"/>
            <w:vAlign w:val="center"/>
          </w:tcPr>
          <w:p w14:paraId="5E3F2F77">
            <w:pPr>
              <w:spacing w:line="0" w:lineRule="atLeast"/>
              <w:jc w:val="center"/>
              <w:rPr>
                <w:rFonts w:hint="eastAsia" w:ascii="仿宋" w:hAnsi="仿宋" w:eastAsia="仿宋" w:cs="仿宋"/>
                <w:color w:val="000000" w:themeColor="text1"/>
                <w:sz w:val="24"/>
                <w14:textFill>
                  <w14:solidFill>
                    <w14:schemeClr w14:val="tx1"/>
                  </w14:solidFill>
                </w14:textFill>
              </w:rPr>
            </w:pPr>
          </w:p>
        </w:tc>
      </w:tr>
      <w:tr w14:paraId="1EE0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161E7DB8">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924" w:type="dxa"/>
            <w:vAlign w:val="center"/>
          </w:tcPr>
          <w:p w14:paraId="4CE544E1">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810" w:type="dxa"/>
            <w:vAlign w:val="center"/>
          </w:tcPr>
          <w:p w14:paraId="43504B44">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639" w:type="dxa"/>
            <w:vAlign w:val="center"/>
          </w:tcPr>
          <w:p w14:paraId="3BAF1199">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271" w:type="dxa"/>
            <w:vAlign w:val="center"/>
          </w:tcPr>
          <w:p w14:paraId="6E8D1CE5">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467" w:type="dxa"/>
            <w:vAlign w:val="center"/>
          </w:tcPr>
          <w:p w14:paraId="17D84F66">
            <w:pPr>
              <w:spacing w:line="0" w:lineRule="atLeast"/>
              <w:jc w:val="center"/>
              <w:rPr>
                <w:rFonts w:hint="eastAsia" w:ascii="仿宋" w:hAnsi="仿宋" w:eastAsia="仿宋" w:cs="仿宋"/>
                <w:color w:val="000000" w:themeColor="text1"/>
                <w:sz w:val="24"/>
                <w14:textFill>
                  <w14:solidFill>
                    <w14:schemeClr w14:val="tx1"/>
                  </w14:solidFill>
                </w14:textFill>
              </w:rPr>
            </w:pPr>
          </w:p>
        </w:tc>
      </w:tr>
      <w:tr w14:paraId="0AF6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7780603E">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924" w:type="dxa"/>
            <w:vAlign w:val="center"/>
          </w:tcPr>
          <w:p w14:paraId="3F5EB2B9">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810" w:type="dxa"/>
            <w:vAlign w:val="center"/>
          </w:tcPr>
          <w:p w14:paraId="012C0AF7">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639" w:type="dxa"/>
            <w:vAlign w:val="center"/>
          </w:tcPr>
          <w:p w14:paraId="675903F1">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271" w:type="dxa"/>
            <w:vAlign w:val="center"/>
          </w:tcPr>
          <w:p w14:paraId="16872821">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467" w:type="dxa"/>
            <w:vAlign w:val="center"/>
          </w:tcPr>
          <w:p w14:paraId="5EE094DC">
            <w:pPr>
              <w:spacing w:line="0" w:lineRule="atLeast"/>
              <w:jc w:val="center"/>
              <w:rPr>
                <w:rFonts w:hint="eastAsia" w:ascii="仿宋" w:hAnsi="仿宋" w:eastAsia="仿宋" w:cs="仿宋"/>
                <w:color w:val="000000" w:themeColor="text1"/>
                <w:sz w:val="24"/>
                <w14:textFill>
                  <w14:solidFill>
                    <w14:schemeClr w14:val="tx1"/>
                  </w14:solidFill>
                </w14:textFill>
              </w:rPr>
            </w:pPr>
          </w:p>
        </w:tc>
      </w:tr>
      <w:tr w14:paraId="34B3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5831EE36">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924" w:type="dxa"/>
            <w:vAlign w:val="center"/>
          </w:tcPr>
          <w:p w14:paraId="18FB3440">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810" w:type="dxa"/>
            <w:vAlign w:val="center"/>
          </w:tcPr>
          <w:p w14:paraId="71F7610D">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639" w:type="dxa"/>
            <w:vAlign w:val="center"/>
          </w:tcPr>
          <w:p w14:paraId="5E12A9A9">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271" w:type="dxa"/>
            <w:vAlign w:val="center"/>
          </w:tcPr>
          <w:p w14:paraId="01C13582">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467" w:type="dxa"/>
            <w:vAlign w:val="center"/>
          </w:tcPr>
          <w:p w14:paraId="27B61FE0">
            <w:pPr>
              <w:spacing w:line="0" w:lineRule="atLeast"/>
              <w:jc w:val="center"/>
              <w:rPr>
                <w:rFonts w:hint="eastAsia" w:ascii="仿宋" w:hAnsi="仿宋" w:eastAsia="仿宋" w:cs="仿宋"/>
                <w:color w:val="000000" w:themeColor="text1"/>
                <w:sz w:val="24"/>
                <w14:textFill>
                  <w14:solidFill>
                    <w14:schemeClr w14:val="tx1"/>
                  </w14:solidFill>
                </w14:textFill>
              </w:rPr>
            </w:pPr>
          </w:p>
        </w:tc>
      </w:tr>
      <w:tr w14:paraId="1C39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4EF8A107">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924" w:type="dxa"/>
            <w:vAlign w:val="center"/>
          </w:tcPr>
          <w:p w14:paraId="1EDB04FD">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810" w:type="dxa"/>
            <w:vAlign w:val="center"/>
          </w:tcPr>
          <w:p w14:paraId="7CDDDF63">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639" w:type="dxa"/>
            <w:vAlign w:val="center"/>
          </w:tcPr>
          <w:p w14:paraId="00732116">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271" w:type="dxa"/>
            <w:vAlign w:val="center"/>
          </w:tcPr>
          <w:p w14:paraId="58DEF2C0">
            <w:pPr>
              <w:spacing w:line="0" w:lineRule="atLeast"/>
              <w:jc w:val="center"/>
              <w:rPr>
                <w:rFonts w:hint="eastAsia" w:ascii="仿宋" w:hAnsi="仿宋" w:eastAsia="仿宋" w:cs="仿宋"/>
                <w:color w:val="000000" w:themeColor="text1"/>
                <w:sz w:val="24"/>
                <w14:textFill>
                  <w14:solidFill>
                    <w14:schemeClr w14:val="tx1"/>
                  </w14:solidFill>
                </w14:textFill>
              </w:rPr>
            </w:pPr>
          </w:p>
        </w:tc>
        <w:tc>
          <w:tcPr>
            <w:tcW w:w="1467" w:type="dxa"/>
            <w:vAlign w:val="center"/>
          </w:tcPr>
          <w:p w14:paraId="0B3921CD">
            <w:pPr>
              <w:spacing w:line="0" w:lineRule="atLeast"/>
              <w:jc w:val="center"/>
              <w:rPr>
                <w:rFonts w:hint="eastAsia" w:ascii="仿宋" w:hAnsi="仿宋" w:eastAsia="仿宋" w:cs="仿宋"/>
                <w:color w:val="000000" w:themeColor="text1"/>
                <w:sz w:val="24"/>
                <w14:textFill>
                  <w14:solidFill>
                    <w14:schemeClr w14:val="tx1"/>
                  </w14:solidFill>
                </w14:textFill>
              </w:rPr>
            </w:pPr>
          </w:p>
        </w:tc>
      </w:tr>
      <w:tr w14:paraId="6487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097" w:type="dxa"/>
            <w:gridSpan w:val="4"/>
            <w:vAlign w:val="center"/>
          </w:tcPr>
          <w:p w14:paraId="2E07E45F">
            <w:pPr>
              <w:spacing w:line="0" w:lineRule="atLeast"/>
              <w:jc w:val="left"/>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报价总计（小写）：</w:t>
            </w:r>
          </w:p>
          <w:p w14:paraId="09E6E691">
            <w:pPr>
              <w:spacing w:line="0" w:lineRule="atLeast"/>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（大写）：</w:t>
            </w:r>
          </w:p>
        </w:tc>
        <w:tc>
          <w:tcPr>
            <w:tcW w:w="1271" w:type="dxa"/>
            <w:vAlign w:val="center"/>
          </w:tcPr>
          <w:p w14:paraId="15BC26DD">
            <w:pPr>
              <w:spacing w:line="0" w:lineRule="atLeast"/>
              <w:jc w:val="left"/>
              <w:rPr>
                <w:rFonts w:hint="eastAsia" w:ascii="仿宋" w:hAnsi="仿宋" w:eastAsia="仿宋" w:cs="仿宋"/>
                <w:color w:val="000000" w:themeColor="text1"/>
                <w14:textFill>
                  <w14:solidFill>
                    <w14:schemeClr w14:val="tx1"/>
                  </w14:solidFill>
                </w14:textFill>
              </w:rPr>
            </w:pPr>
          </w:p>
        </w:tc>
        <w:tc>
          <w:tcPr>
            <w:tcW w:w="1467" w:type="dxa"/>
            <w:vAlign w:val="center"/>
          </w:tcPr>
          <w:p w14:paraId="479B7ABA">
            <w:pPr>
              <w:spacing w:line="0" w:lineRule="atLeast"/>
              <w:jc w:val="left"/>
              <w:rPr>
                <w:rFonts w:hint="eastAsia" w:ascii="仿宋" w:hAnsi="仿宋" w:eastAsia="仿宋" w:cs="仿宋"/>
                <w:color w:val="000000" w:themeColor="text1"/>
                <w14:textFill>
                  <w14:solidFill>
                    <w14:schemeClr w14:val="tx1"/>
                  </w14:solidFill>
                </w14:textFill>
              </w:rPr>
            </w:pPr>
          </w:p>
        </w:tc>
      </w:tr>
    </w:tbl>
    <w:p w14:paraId="0D7B5AF1">
      <w:pPr>
        <w:pStyle w:val="19"/>
        <w:ind w:firstLine="0" w:firstLineChars="0"/>
        <w:rPr>
          <w:rFonts w:hint="eastAsia" w:ascii="仿宋" w:hAnsi="仿宋" w:eastAsia="仿宋" w:cs="仿宋"/>
          <w:color w:val="000000"/>
          <w:sz w:val="24"/>
        </w:rPr>
      </w:pPr>
    </w:p>
    <w:p w14:paraId="6E0CAE78">
      <w:pPr>
        <w:rPr>
          <w:rFonts w:hint="eastAsia" w:ascii="仿宋" w:hAnsi="仿宋" w:eastAsia="仿宋" w:cs="仿宋"/>
          <w:color w:val="000000"/>
          <w:sz w:val="24"/>
        </w:rPr>
      </w:pPr>
    </w:p>
    <w:p w14:paraId="08DF6AE0">
      <w:pPr>
        <w:spacing w:line="0" w:lineRule="atLeast"/>
        <w:rPr>
          <w:rFonts w:hint="eastAsia" w:ascii="仿宋" w:hAnsi="仿宋" w:eastAsia="仿宋" w:cs="仿宋"/>
          <w:b/>
          <w:bCs/>
          <w:color w:val="000000"/>
        </w:rPr>
      </w:pPr>
    </w:p>
    <w:p w14:paraId="50ED4598">
      <w:pPr>
        <w:spacing w:line="0" w:lineRule="atLeast"/>
        <w:rPr>
          <w:rFonts w:hint="eastAsia" w:ascii="仿宋" w:hAnsi="仿宋" w:eastAsia="仿宋" w:cs="仿宋"/>
          <w:b/>
          <w:bCs/>
          <w:color w:val="000000"/>
        </w:rPr>
      </w:pPr>
    </w:p>
    <w:p w14:paraId="4E905F8D">
      <w:pPr>
        <w:spacing w:line="0" w:lineRule="atLeast"/>
        <w:ind w:firstLine="422" w:firstLineChars="200"/>
        <w:rPr>
          <w:rFonts w:hint="eastAsia" w:ascii="仿宋" w:hAnsi="仿宋" w:eastAsia="仿宋" w:cs="仿宋"/>
          <w:b/>
          <w:bCs/>
          <w:color w:val="000000"/>
        </w:rPr>
      </w:pPr>
      <w:r>
        <w:rPr>
          <w:rFonts w:hint="eastAsia" w:ascii="仿宋" w:hAnsi="仿宋" w:eastAsia="仿宋" w:cs="仿宋"/>
          <w:b/>
          <w:bCs/>
          <w:color w:val="000000"/>
        </w:rPr>
        <w:t>价格构成或报价要求：</w:t>
      </w:r>
    </w:p>
    <w:p w14:paraId="6C7CB345">
      <w:pPr>
        <w:spacing w:line="0" w:lineRule="atLeast"/>
        <w:ind w:left="210" w:leftChars="100" w:firstLine="420" w:firstLineChars="200"/>
        <w:rPr>
          <w:rFonts w:hint="eastAsia" w:ascii="仿宋" w:hAnsi="仿宋" w:eastAsia="仿宋" w:cs="仿宋"/>
          <w:color w:val="000000"/>
        </w:rPr>
      </w:pPr>
      <w:r>
        <w:rPr>
          <w:rFonts w:hint="eastAsia" w:ascii="仿宋" w:hAnsi="仿宋" w:eastAsia="仿宋" w:cs="仿宋"/>
          <w:color w:val="000000"/>
        </w:rPr>
        <w:t>1、此表为表样，行数可自行添加，但表式不变；</w:t>
      </w:r>
    </w:p>
    <w:p w14:paraId="6D96BAB1">
      <w:pPr>
        <w:spacing w:line="0" w:lineRule="atLeast"/>
        <w:ind w:left="210" w:leftChars="100" w:firstLine="420" w:firstLineChars="200"/>
        <w:rPr>
          <w:rFonts w:hint="eastAsia" w:ascii="仿宋" w:hAnsi="仿宋" w:eastAsia="仿宋" w:cs="仿宋"/>
          <w:color w:val="000000"/>
        </w:rPr>
      </w:pPr>
      <w:r>
        <w:rPr>
          <w:rFonts w:hint="eastAsia" w:ascii="仿宋" w:hAnsi="仿宋" w:eastAsia="仿宋" w:cs="仿宋"/>
          <w:color w:val="000000"/>
        </w:rPr>
        <w:t>2、后续服务及其他所有费用由供应商自行计算填列；</w:t>
      </w:r>
    </w:p>
    <w:p w14:paraId="2B50FF6A">
      <w:pPr>
        <w:spacing w:line="0" w:lineRule="atLeast"/>
        <w:ind w:left="210" w:leftChars="100" w:firstLine="420" w:firstLineChars="200"/>
        <w:rPr>
          <w:rFonts w:hint="eastAsia" w:ascii="仿宋" w:hAnsi="仿宋" w:eastAsia="仿宋" w:cs="仿宋"/>
          <w:color w:val="000000"/>
        </w:rPr>
      </w:pPr>
      <w:r>
        <w:rPr>
          <w:rFonts w:hint="eastAsia" w:ascii="仿宋" w:hAnsi="仿宋" w:eastAsia="仿宋" w:cs="仿宋"/>
          <w:color w:val="000000"/>
        </w:rPr>
        <w:t>3、上表中的“报价总计”应当等于“</w:t>
      </w:r>
      <w:r>
        <w:rPr>
          <w:rFonts w:hint="eastAsia" w:ascii="仿宋" w:hAnsi="仿宋" w:eastAsia="仿宋" w:cs="仿宋"/>
          <w:color w:val="000000"/>
          <w:lang w:eastAsia="zh-CN"/>
        </w:rPr>
        <w:t>磋商报价表</w:t>
      </w:r>
      <w:r>
        <w:rPr>
          <w:rFonts w:hint="eastAsia" w:ascii="仿宋" w:hAnsi="仿宋" w:eastAsia="仿宋" w:cs="仿宋"/>
          <w:color w:val="000000"/>
        </w:rPr>
        <w:t>”中“总报价”。</w:t>
      </w:r>
    </w:p>
    <w:p w14:paraId="43B1BF1E">
      <w:pPr>
        <w:ind w:firstLine="480" w:firstLineChars="200"/>
        <w:rPr>
          <w:rFonts w:hint="eastAsia" w:ascii="仿宋" w:hAnsi="仿宋" w:eastAsia="仿宋" w:cs="仿宋"/>
          <w:color w:val="000000"/>
          <w:sz w:val="24"/>
        </w:rPr>
      </w:pPr>
    </w:p>
    <w:p w14:paraId="52FD7323">
      <w:pPr>
        <w:pStyle w:val="19"/>
        <w:ind w:firstLine="480"/>
        <w:rPr>
          <w:rFonts w:hint="eastAsia" w:ascii="仿宋" w:hAnsi="仿宋" w:eastAsia="仿宋" w:cs="仿宋"/>
          <w:color w:val="000000"/>
          <w:sz w:val="24"/>
        </w:rPr>
      </w:pPr>
    </w:p>
    <w:p w14:paraId="50B3A935">
      <w:pPr>
        <w:rPr>
          <w:rFonts w:hint="eastAsia" w:ascii="仿宋" w:hAnsi="仿宋" w:eastAsia="仿宋" w:cs="仿宋"/>
          <w:color w:val="000000"/>
          <w:sz w:val="24"/>
        </w:rPr>
      </w:pPr>
    </w:p>
    <w:p w14:paraId="37EA2E21">
      <w:pPr>
        <w:rPr>
          <w:rFonts w:hint="eastAsia" w:ascii="仿宋" w:hAnsi="仿宋" w:eastAsia="仿宋" w:cs="仿宋"/>
          <w:lang w:val="en-US" w:eastAsia="zh-CN"/>
        </w:rPr>
      </w:pPr>
      <w:bookmarkStart w:id="165" w:name="_Toc22428"/>
      <w:bookmarkStart w:id="166" w:name="_Toc2456"/>
      <w:bookmarkStart w:id="167" w:name="_Toc3859"/>
      <w:bookmarkStart w:id="168" w:name="_Toc31616"/>
      <w:bookmarkStart w:id="169" w:name="_Toc11522"/>
    </w:p>
    <w:p w14:paraId="0A485469">
      <w:pPr>
        <w:pStyle w:val="29"/>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仿宋" w:hAnsi="仿宋" w:eastAsia="仿宋" w:cs="仿宋"/>
          <w:snapToGrid w:val="0"/>
          <w:color w:val="000000"/>
          <w:kern w:val="0"/>
          <w:sz w:val="32"/>
          <w:szCs w:val="32"/>
          <w:lang w:val="en-US" w:eastAsia="zh-CN"/>
        </w:rPr>
      </w:pPr>
      <w:r>
        <w:rPr>
          <w:rFonts w:hint="eastAsia" w:ascii="仿宋" w:hAnsi="仿宋" w:eastAsia="仿宋" w:cs="仿宋"/>
          <w:b/>
          <w:bCs/>
          <w:snapToGrid w:val="0"/>
          <w:color w:val="000000"/>
          <w:kern w:val="0"/>
          <w:sz w:val="32"/>
          <w:szCs w:val="32"/>
          <w:lang w:val="en-US" w:eastAsia="zh-CN"/>
        </w:rPr>
        <w:t>五</w:t>
      </w:r>
      <w:r>
        <w:rPr>
          <w:rFonts w:hint="eastAsia" w:ascii="仿宋" w:hAnsi="仿宋" w:eastAsia="仿宋" w:cs="仿宋"/>
          <w:snapToGrid w:val="0"/>
          <w:color w:val="000000"/>
          <w:kern w:val="0"/>
          <w:sz w:val="32"/>
          <w:szCs w:val="32"/>
          <w:lang w:val="en-US" w:eastAsia="zh-CN"/>
        </w:rPr>
        <w:t>、商务要求响应及偏离表</w:t>
      </w:r>
    </w:p>
    <w:bookmarkEnd w:id="165"/>
    <w:bookmarkEnd w:id="166"/>
    <w:bookmarkEnd w:id="167"/>
    <w:bookmarkEnd w:id="168"/>
    <w:bookmarkEnd w:id="169"/>
    <w:p w14:paraId="6961823F">
      <w:pPr>
        <w:jc w:val="center"/>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t>商务要求响应及偏离表</w:t>
      </w:r>
    </w:p>
    <w:p w14:paraId="6291076C">
      <w:pPr>
        <w:spacing w:line="360" w:lineRule="auto"/>
        <w:ind w:firstLine="420" w:firstLineChars="175"/>
        <w:jc w:val="left"/>
        <w:rPr>
          <w:rFonts w:hint="eastAsia" w:ascii="仿宋" w:hAnsi="仿宋" w:eastAsia="仿宋" w:cs="仿宋"/>
          <w:b w:val="0"/>
          <w:bCs w:val="0"/>
          <w:color w:val="000000"/>
          <w:sz w:val="24"/>
          <w:szCs w:val="21"/>
          <w:lang w:val="en-US" w:eastAsia="zh-CN"/>
        </w:rPr>
      </w:pPr>
      <w:r>
        <w:rPr>
          <w:rFonts w:hint="eastAsia" w:ascii="仿宋" w:hAnsi="仿宋" w:eastAsia="仿宋" w:cs="仿宋"/>
          <w:b w:val="0"/>
          <w:bCs w:val="0"/>
          <w:color w:val="000000"/>
          <w:sz w:val="24"/>
          <w:szCs w:val="21"/>
          <w:lang w:val="en-US" w:eastAsia="zh-CN"/>
        </w:rPr>
        <w:t>供应商名称：（加盖电子公章）</w:t>
      </w:r>
    </w:p>
    <w:p w14:paraId="1DCED16B">
      <w:pPr>
        <w:spacing w:line="360" w:lineRule="auto"/>
        <w:ind w:firstLine="420" w:firstLineChars="175"/>
        <w:jc w:val="left"/>
        <w:rPr>
          <w:rFonts w:hint="eastAsia" w:ascii="仿宋" w:hAnsi="仿宋" w:eastAsia="仿宋" w:cs="仿宋"/>
          <w:b w:val="0"/>
          <w:bCs w:val="0"/>
          <w:color w:val="000000"/>
          <w:sz w:val="24"/>
          <w:szCs w:val="21"/>
          <w:lang w:val="en-US" w:eastAsia="zh-CN"/>
        </w:rPr>
      </w:pPr>
      <w:r>
        <w:rPr>
          <w:rFonts w:hint="eastAsia" w:ascii="仿宋" w:hAnsi="仿宋" w:eastAsia="仿宋" w:cs="仿宋"/>
          <w:b w:val="0"/>
          <w:bCs w:val="0"/>
          <w:color w:val="000000"/>
          <w:sz w:val="24"/>
          <w:szCs w:val="21"/>
          <w:lang w:val="en-US" w:eastAsia="zh-CN"/>
        </w:rPr>
        <w:t>项目名称：              （分包</w:t>
      </w:r>
      <w:r>
        <w:rPr>
          <w:rFonts w:hint="eastAsia" w:ascii="仿宋" w:hAnsi="仿宋" w:eastAsia="仿宋" w:cs="仿宋"/>
          <w:b w:val="0"/>
          <w:bCs w:val="0"/>
          <w:color w:val="000000"/>
          <w:sz w:val="24"/>
          <w:szCs w:val="21"/>
          <w:u w:val="single"/>
          <w:lang w:val="en-US" w:eastAsia="zh-CN"/>
        </w:rPr>
        <w:t xml:space="preserve">     </w:t>
      </w:r>
      <w:r>
        <w:rPr>
          <w:rFonts w:hint="eastAsia" w:ascii="仿宋" w:hAnsi="仿宋" w:eastAsia="仿宋" w:cs="仿宋"/>
          <w:b w:val="0"/>
          <w:bCs w:val="0"/>
          <w:color w:val="000000"/>
          <w:sz w:val="24"/>
          <w:szCs w:val="21"/>
          <w:lang w:val="en-US" w:eastAsia="zh-CN"/>
        </w:rPr>
        <w:t>）</w:t>
      </w:r>
    </w:p>
    <w:p w14:paraId="56D4F65D">
      <w:pPr>
        <w:spacing w:line="360" w:lineRule="auto"/>
        <w:ind w:firstLine="420" w:firstLineChars="175"/>
        <w:jc w:val="left"/>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24"/>
          <w:szCs w:val="21"/>
          <w:lang w:val="en-US" w:eastAsia="zh-CN"/>
        </w:rPr>
        <w:t>项目编号：</w:t>
      </w:r>
      <w:r>
        <w:rPr>
          <w:rFonts w:hint="eastAsia" w:ascii="仿宋" w:hAnsi="仿宋" w:eastAsia="仿宋" w:cs="仿宋"/>
          <w:b w:val="0"/>
          <w:bCs w:val="0"/>
          <w:color w:val="000000"/>
          <w:sz w:val="24"/>
          <w:szCs w:val="21"/>
        </w:rPr>
        <w:t xml:space="preserve"> </w:t>
      </w:r>
      <w:r>
        <w:rPr>
          <w:rFonts w:hint="eastAsia" w:ascii="仿宋" w:hAnsi="仿宋" w:eastAsia="仿宋" w:cs="仿宋"/>
          <w:b w:val="0"/>
          <w:bCs w:val="0"/>
          <w:color w:val="000000"/>
          <w:sz w:val="32"/>
          <w:szCs w:val="32"/>
        </w:rPr>
        <w:t xml:space="preserve"> </w:t>
      </w:r>
    </w:p>
    <w:tbl>
      <w:tblPr>
        <w:tblStyle w:val="20"/>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9"/>
        <w:gridCol w:w="1565"/>
        <w:gridCol w:w="2474"/>
        <w:gridCol w:w="2735"/>
        <w:gridCol w:w="1436"/>
      </w:tblGrid>
      <w:tr w14:paraId="7214F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4B1C559">
            <w:pPr>
              <w:widowControl/>
              <w:spacing w:line="360" w:lineRule="auto"/>
              <w:jc w:val="left"/>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序号</w:t>
            </w:r>
          </w:p>
        </w:tc>
        <w:tc>
          <w:tcPr>
            <w:tcW w:w="1565" w:type="dxa"/>
            <w:tcBorders>
              <w:top w:val="single" w:color="auto" w:sz="4" w:space="0"/>
              <w:left w:val="single" w:color="auto" w:sz="4" w:space="0"/>
              <w:bottom w:val="single" w:color="auto" w:sz="4" w:space="0"/>
              <w:right w:val="single" w:color="auto" w:sz="4" w:space="0"/>
            </w:tcBorders>
            <w:vAlign w:val="center"/>
          </w:tcPr>
          <w:p w14:paraId="58161D07">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商务要求条目</w:t>
            </w:r>
          </w:p>
        </w:tc>
        <w:tc>
          <w:tcPr>
            <w:tcW w:w="2474" w:type="dxa"/>
            <w:tcBorders>
              <w:top w:val="single" w:color="auto" w:sz="4" w:space="0"/>
              <w:left w:val="single" w:color="auto" w:sz="4" w:space="0"/>
              <w:bottom w:val="single" w:color="auto" w:sz="4" w:space="0"/>
              <w:right w:val="single" w:color="auto" w:sz="4" w:space="0"/>
            </w:tcBorders>
            <w:vAlign w:val="center"/>
          </w:tcPr>
          <w:p w14:paraId="489DA8F3">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磋商文件中的商务要求</w:t>
            </w:r>
          </w:p>
        </w:tc>
        <w:tc>
          <w:tcPr>
            <w:tcW w:w="2735" w:type="dxa"/>
            <w:tcBorders>
              <w:top w:val="single" w:color="auto" w:sz="4" w:space="0"/>
              <w:left w:val="single" w:color="auto" w:sz="4" w:space="0"/>
              <w:bottom w:val="single" w:color="auto" w:sz="4" w:space="0"/>
              <w:right w:val="single" w:color="auto" w:sz="4" w:space="0"/>
            </w:tcBorders>
            <w:vAlign w:val="center"/>
          </w:tcPr>
          <w:p w14:paraId="56ACEF38">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响应供应商的承诺或说明</w:t>
            </w:r>
          </w:p>
        </w:tc>
        <w:tc>
          <w:tcPr>
            <w:tcW w:w="1436" w:type="dxa"/>
            <w:tcBorders>
              <w:top w:val="single" w:color="auto" w:sz="4" w:space="0"/>
              <w:left w:val="single" w:color="auto" w:sz="4" w:space="0"/>
              <w:bottom w:val="single" w:color="auto" w:sz="4" w:space="0"/>
              <w:right w:val="single" w:color="auto" w:sz="4" w:space="0"/>
            </w:tcBorders>
            <w:vAlign w:val="center"/>
          </w:tcPr>
          <w:p w14:paraId="79243613">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偏离情况</w:t>
            </w:r>
          </w:p>
          <w:p w14:paraId="44E9C335">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w:t>
            </w:r>
          </w:p>
        </w:tc>
      </w:tr>
      <w:tr w14:paraId="1CC07D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0900B175">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1</w:t>
            </w:r>
          </w:p>
        </w:tc>
        <w:tc>
          <w:tcPr>
            <w:tcW w:w="1565" w:type="dxa"/>
            <w:tcBorders>
              <w:top w:val="single" w:color="auto" w:sz="4" w:space="0"/>
              <w:left w:val="single" w:color="auto" w:sz="4" w:space="0"/>
              <w:bottom w:val="single" w:color="auto" w:sz="4" w:space="0"/>
              <w:right w:val="single" w:color="auto" w:sz="4" w:space="0"/>
            </w:tcBorders>
            <w:vAlign w:val="center"/>
          </w:tcPr>
          <w:p w14:paraId="65951F25">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59FA6D2F">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1F0232F6">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38CD6DF">
            <w:pPr>
              <w:widowControl/>
              <w:spacing w:line="360" w:lineRule="auto"/>
              <w:jc w:val="left"/>
              <w:textAlignment w:val="center"/>
              <w:rPr>
                <w:rFonts w:hint="eastAsia" w:ascii="仿宋" w:hAnsi="仿宋" w:eastAsia="仿宋" w:cs="仿宋"/>
                <w:color w:val="000000"/>
                <w:sz w:val="22"/>
                <w:szCs w:val="22"/>
              </w:rPr>
            </w:pPr>
          </w:p>
        </w:tc>
      </w:tr>
      <w:tr w14:paraId="3BDB8D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0CAA57E0">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2</w:t>
            </w:r>
          </w:p>
        </w:tc>
        <w:tc>
          <w:tcPr>
            <w:tcW w:w="1565" w:type="dxa"/>
            <w:tcBorders>
              <w:top w:val="single" w:color="auto" w:sz="4" w:space="0"/>
              <w:left w:val="single" w:color="auto" w:sz="4" w:space="0"/>
              <w:bottom w:val="single" w:color="auto" w:sz="4" w:space="0"/>
              <w:right w:val="single" w:color="auto" w:sz="4" w:space="0"/>
            </w:tcBorders>
            <w:vAlign w:val="center"/>
          </w:tcPr>
          <w:p w14:paraId="4910EDB4">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76E1B41D">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200A5C1C">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224D534">
            <w:pPr>
              <w:widowControl/>
              <w:spacing w:line="360" w:lineRule="auto"/>
              <w:jc w:val="left"/>
              <w:textAlignment w:val="center"/>
              <w:rPr>
                <w:rFonts w:hint="eastAsia" w:ascii="仿宋" w:hAnsi="仿宋" w:eastAsia="仿宋" w:cs="仿宋"/>
                <w:color w:val="000000"/>
                <w:sz w:val="22"/>
                <w:szCs w:val="22"/>
              </w:rPr>
            </w:pPr>
          </w:p>
        </w:tc>
      </w:tr>
      <w:tr w14:paraId="3D328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34FCC5CB">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565" w:type="dxa"/>
            <w:tcBorders>
              <w:top w:val="single" w:color="auto" w:sz="4" w:space="0"/>
              <w:left w:val="single" w:color="auto" w:sz="4" w:space="0"/>
              <w:bottom w:val="single" w:color="auto" w:sz="4" w:space="0"/>
              <w:right w:val="single" w:color="auto" w:sz="4" w:space="0"/>
            </w:tcBorders>
            <w:vAlign w:val="center"/>
          </w:tcPr>
          <w:p w14:paraId="367FFEB8">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63E77E93">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3BE02B7B">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62D99974">
            <w:pPr>
              <w:widowControl/>
              <w:spacing w:line="360" w:lineRule="auto"/>
              <w:jc w:val="left"/>
              <w:textAlignment w:val="center"/>
              <w:rPr>
                <w:rFonts w:hint="eastAsia" w:ascii="仿宋" w:hAnsi="仿宋" w:eastAsia="仿宋" w:cs="仿宋"/>
                <w:color w:val="000000"/>
                <w:sz w:val="22"/>
                <w:szCs w:val="22"/>
              </w:rPr>
            </w:pPr>
          </w:p>
        </w:tc>
      </w:tr>
      <w:tr w14:paraId="661BB0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226F8F90">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4</w:t>
            </w:r>
          </w:p>
        </w:tc>
        <w:tc>
          <w:tcPr>
            <w:tcW w:w="1565" w:type="dxa"/>
            <w:tcBorders>
              <w:top w:val="single" w:color="auto" w:sz="4" w:space="0"/>
              <w:left w:val="single" w:color="auto" w:sz="4" w:space="0"/>
              <w:bottom w:val="single" w:color="auto" w:sz="4" w:space="0"/>
              <w:right w:val="single" w:color="auto" w:sz="4" w:space="0"/>
            </w:tcBorders>
            <w:vAlign w:val="center"/>
          </w:tcPr>
          <w:p w14:paraId="67F46973">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21B99398">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7A662493">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05556D2">
            <w:pPr>
              <w:widowControl/>
              <w:spacing w:line="360" w:lineRule="auto"/>
              <w:jc w:val="left"/>
              <w:textAlignment w:val="center"/>
              <w:rPr>
                <w:rFonts w:hint="eastAsia" w:ascii="仿宋" w:hAnsi="仿宋" w:eastAsia="仿宋" w:cs="仿宋"/>
                <w:color w:val="000000"/>
                <w:sz w:val="22"/>
                <w:szCs w:val="22"/>
              </w:rPr>
            </w:pPr>
          </w:p>
        </w:tc>
      </w:tr>
      <w:tr w14:paraId="0B849B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3F3FB4AA">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5</w:t>
            </w:r>
          </w:p>
        </w:tc>
        <w:tc>
          <w:tcPr>
            <w:tcW w:w="1565" w:type="dxa"/>
            <w:tcBorders>
              <w:top w:val="single" w:color="auto" w:sz="4" w:space="0"/>
              <w:left w:val="single" w:color="auto" w:sz="4" w:space="0"/>
              <w:bottom w:val="single" w:color="auto" w:sz="4" w:space="0"/>
              <w:right w:val="single" w:color="auto" w:sz="4" w:space="0"/>
            </w:tcBorders>
            <w:vAlign w:val="center"/>
          </w:tcPr>
          <w:p w14:paraId="3A620410">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195839AA">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4CDBCA55">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4A0AC93">
            <w:pPr>
              <w:widowControl/>
              <w:spacing w:line="360" w:lineRule="auto"/>
              <w:jc w:val="left"/>
              <w:textAlignment w:val="center"/>
              <w:rPr>
                <w:rFonts w:hint="eastAsia" w:ascii="仿宋" w:hAnsi="仿宋" w:eastAsia="仿宋" w:cs="仿宋"/>
                <w:color w:val="000000"/>
                <w:sz w:val="22"/>
                <w:szCs w:val="22"/>
              </w:rPr>
            </w:pPr>
          </w:p>
        </w:tc>
      </w:tr>
      <w:tr w14:paraId="2ADBA2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4C6D4C83">
            <w:pPr>
              <w:widowControl/>
              <w:spacing w:line="360" w:lineRule="auto"/>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6</w:t>
            </w:r>
          </w:p>
        </w:tc>
        <w:tc>
          <w:tcPr>
            <w:tcW w:w="1565" w:type="dxa"/>
            <w:tcBorders>
              <w:top w:val="single" w:color="auto" w:sz="4" w:space="0"/>
              <w:left w:val="single" w:color="auto" w:sz="4" w:space="0"/>
              <w:bottom w:val="single" w:color="auto" w:sz="4" w:space="0"/>
              <w:right w:val="single" w:color="auto" w:sz="4" w:space="0"/>
            </w:tcBorders>
            <w:vAlign w:val="center"/>
          </w:tcPr>
          <w:p w14:paraId="1C50AEA3">
            <w:pPr>
              <w:widowControl/>
              <w:spacing w:line="360" w:lineRule="auto"/>
              <w:jc w:val="left"/>
              <w:textAlignment w:val="center"/>
              <w:rPr>
                <w:rFonts w:hint="eastAsia" w:ascii="仿宋" w:hAnsi="仿宋" w:eastAsia="仿宋" w:cs="仿宋"/>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1AC3B499">
            <w:pPr>
              <w:widowControl/>
              <w:spacing w:line="360" w:lineRule="auto"/>
              <w:jc w:val="left"/>
              <w:textAlignment w:val="center"/>
              <w:rPr>
                <w:rFonts w:hint="eastAsia" w:ascii="仿宋" w:hAnsi="仿宋" w:eastAsia="仿宋" w:cs="仿宋"/>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676BBCB9">
            <w:pPr>
              <w:widowControl/>
              <w:spacing w:line="360" w:lineRule="auto"/>
              <w:jc w:val="left"/>
              <w:textAlignment w:val="center"/>
              <w:rPr>
                <w:rFonts w:hint="eastAsia" w:ascii="仿宋" w:hAnsi="仿宋" w:eastAsia="仿宋" w:cs="仿宋"/>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07745F5">
            <w:pPr>
              <w:widowControl/>
              <w:spacing w:line="360" w:lineRule="auto"/>
              <w:jc w:val="left"/>
              <w:textAlignment w:val="center"/>
              <w:rPr>
                <w:rFonts w:hint="eastAsia" w:ascii="仿宋" w:hAnsi="仿宋" w:eastAsia="仿宋" w:cs="仿宋"/>
                <w:color w:val="000000"/>
                <w:sz w:val="22"/>
                <w:szCs w:val="22"/>
              </w:rPr>
            </w:pPr>
          </w:p>
        </w:tc>
      </w:tr>
    </w:tbl>
    <w:p w14:paraId="356D4A77">
      <w:pPr>
        <w:spacing w:line="0" w:lineRule="atLeast"/>
        <w:rPr>
          <w:rFonts w:hint="eastAsia" w:ascii="仿宋" w:hAnsi="仿宋" w:eastAsia="仿宋" w:cs="仿宋"/>
          <w:color w:val="000000"/>
        </w:rPr>
      </w:pPr>
    </w:p>
    <w:p w14:paraId="276FD6C3">
      <w:pPr>
        <w:spacing w:line="0" w:lineRule="atLeast"/>
        <w:ind w:left="210" w:leftChars="100"/>
        <w:rPr>
          <w:rFonts w:hint="eastAsia" w:ascii="仿宋" w:hAnsi="仿宋" w:eastAsia="仿宋" w:cs="仿宋"/>
          <w:color w:val="000000"/>
        </w:rPr>
      </w:pPr>
    </w:p>
    <w:p w14:paraId="54C373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填写说明：</w:t>
      </w:r>
    </w:p>
    <w:p w14:paraId="375E132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1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①</w:t>
      </w:r>
      <w:r>
        <w:rPr>
          <w:rFonts w:hint="eastAsia" w:ascii="仿宋" w:hAnsi="仿宋" w:eastAsia="仿宋" w:cs="仿宋"/>
          <w:color w:val="000000"/>
          <w:sz w:val="24"/>
        </w:rPr>
        <w:fldChar w:fldCharType="end"/>
      </w:r>
      <w:r>
        <w:rPr>
          <w:rFonts w:hint="eastAsia" w:ascii="仿宋" w:hAnsi="仿宋" w:eastAsia="仿宋" w:cs="仿宋"/>
          <w:color w:val="000000"/>
          <w:sz w:val="24"/>
        </w:rPr>
        <w:t>此表为表样，行数可自行添加，但表式不变。</w:t>
      </w:r>
    </w:p>
    <w:p w14:paraId="45F1827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2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②</w:t>
      </w:r>
      <w:r>
        <w:rPr>
          <w:rFonts w:hint="eastAsia" w:ascii="仿宋" w:hAnsi="仿宋" w:eastAsia="仿宋" w:cs="仿宋"/>
          <w:color w:val="000000"/>
          <w:sz w:val="24"/>
        </w:rPr>
        <w:fldChar w:fldCharType="end"/>
      </w:r>
      <w:r>
        <w:rPr>
          <w:rFonts w:hint="eastAsia" w:ascii="仿宋" w:hAnsi="仿宋" w:eastAsia="仿宋" w:cs="仿宋"/>
          <w:color w:val="000000"/>
          <w:sz w:val="24"/>
        </w:rPr>
        <w:t>是否偏离用符号“+、-”分别表示正偏离、负偏离。</w:t>
      </w:r>
    </w:p>
    <w:p w14:paraId="5C096FD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3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③</w:t>
      </w:r>
      <w:r>
        <w:rPr>
          <w:rFonts w:hint="eastAsia" w:ascii="仿宋" w:hAnsi="仿宋" w:eastAsia="仿宋" w:cs="仿宋"/>
          <w:color w:val="000000"/>
          <w:sz w:val="24"/>
        </w:rPr>
        <w:fldChar w:fldCharType="end"/>
      </w:r>
      <w:r>
        <w:rPr>
          <w:rFonts w:hint="eastAsia" w:ascii="仿宋" w:hAnsi="仿宋" w:eastAsia="仿宋" w:cs="仿宋"/>
          <w:color w:val="000000"/>
          <w:sz w:val="24"/>
        </w:rPr>
        <w:t>供应商必须阅读本采购文件中所有商务要求</w:t>
      </w:r>
      <w:r>
        <w:rPr>
          <w:rFonts w:hint="eastAsia" w:ascii="仿宋" w:hAnsi="仿宋" w:eastAsia="仿宋" w:cs="仿宋"/>
          <w:color w:val="000000"/>
          <w:sz w:val="24"/>
          <w:lang w:eastAsia="zh-CN"/>
        </w:rPr>
        <w:t>，并列入上表</w:t>
      </w:r>
      <w:r>
        <w:rPr>
          <w:rFonts w:hint="eastAsia" w:ascii="仿宋" w:hAnsi="仿宋" w:eastAsia="仿宋" w:cs="仿宋"/>
          <w:color w:val="000000"/>
          <w:sz w:val="24"/>
        </w:rPr>
        <w:t>。</w:t>
      </w:r>
    </w:p>
    <w:p w14:paraId="1A34CDE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④若响应文件中出现与此表表述不一致的，以此表为准。</w:t>
      </w:r>
    </w:p>
    <w:p w14:paraId="1D8F9C9F">
      <w:pPr>
        <w:pStyle w:val="29"/>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仿宋" w:hAnsi="仿宋" w:eastAsia="仿宋" w:cs="仿宋"/>
          <w:snapToGrid w:val="0"/>
          <w:color w:val="000000"/>
          <w:kern w:val="0"/>
          <w:sz w:val="32"/>
          <w:szCs w:val="32"/>
        </w:rPr>
      </w:pPr>
      <w:bookmarkStart w:id="170" w:name="_Toc24645"/>
      <w:bookmarkStart w:id="171" w:name="_Toc23079"/>
      <w:bookmarkStart w:id="172" w:name="_Toc7161"/>
      <w:bookmarkStart w:id="173" w:name="_Toc4599"/>
      <w:bookmarkStart w:id="174" w:name="_Toc27488"/>
      <w:r>
        <w:rPr>
          <w:rFonts w:hint="eastAsia" w:ascii="仿宋" w:hAnsi="仿宋" w:eastAsia="仿宋" w:cs="仿宋"/>
          <w:snapToGrid w:val="0"/>
          <w:color w:val="000000"/>
          <w:kern w:val="0"/>
          <w:sz w:val="32"/>
          <w:szCs w:val="32"/>
          <w:lang w:val="en-US" w:eastAsia="zh-CN"/>
        </w:rPr>
        <w:t>六</w:t>
      </w:r>
      <w:r>
        <w:rPr>
          <w:rFonts w:hint="eastAsia" w:ascii="仿宋" w:hAnsi="仿宋" w:eastAsia="仿宋" w:cs="仿宋"/>
          <w:snapToGrid w:val="0"/>
          <w:color w:val="000000"/>
          <w:kern w:val="0"/>
          <w:sz w:val="32"/>
          <w:szCs w:val="32"/>
        </w:rPr>
        <w:t>、</w:t>
      </w:r>
      <w:r>
        <w:rPr>
          <w:rFonts w:hint="eastAsia" w:ascii="仿宋" w:hAnsi="仿宋" w:eastAsia="仿宋" w:cs="仿宋"/>
          <w:snapToGrid w:val="0"/>
          <w:color w:val="000000"/>
          <w:kern w:val="0"/>
          <w:sz w:val="32"/>
          <w:szCs w:val="32"/>
          <w:lang w:eastAsia="zh-CN"/>
        </w:rPr>
        <w:t>服务</w:t>
      </w:r>
      <w:r>
        <w:rPr>
          <w:rFonts w:hint="eastAsia" w:ascii="仿宋" w:hAnsi="仿宋" w:eastAsia="仿宋" w:cs="仿宋"/>
          <w:snapToGrid w:val="0"/>
          <w:color w:val="000000"/>
          <w:kern w:val="0"/>
          <w:sz w:val="32"/>
          <w:szCs w:val="32"/>
        </w:rPr>
        <w:t>要求响应及偏离表</w:t>
      </w:r>
    </w:p>
    <w:p w14:paraId="46C825F6">
      <w:pPr>
        <w:spacing w:beforeLines="-2147483648" w:afterLines="-2147483648" w:line="240" w:lineRule="auto"/>
        <w:jc w:val="center"/>
        <w:outlineLvl w:val="9"/>
        <w:rPr>
          <w:rFonts w:hint="eastAsia" w:ascii="仿宋" w:hAnsi="仿宋" w:eastAsia="仿宋" w:cs="仿宋"/>
          <w:sz w:val="32"/>
          <w:szCs w:val="21"/>
        </w:rPr>
      </w:pPr>
      <w:r>
        <w:rPr>
          <w:rFonts w:hint="eastAsia" w:ascii="仿宋" w:hAnsi="仿宋" w:eastAsia="仿宋" w:cs="仿宋"/>
          <w:sz w:val="32"/>
          <w:lang w:eastAsia="zh-CN"/>
        </w:rPr>
        <w:t>服务</w:t>
      </w:r>
      <w:r>
        <w:rPr>
          <w:rFonts w:hint="eastAsia" w:ascii="仿宋" w:hAnsi="仿宋" w:eastAsia="仿宋" w:cs="仿宋"/>
          <w:sz w:val="32"/>
          <w:szCs w:val="21"/>
        </w:rPr>
        <w:t>要求响应及偏离表</w:t>
      </w:r>
    </w:p>
    <w:bookmarkEnd w:id="170"/>
    <w:bookmarkEnd w:id="171"/>
    <w:bookmarkEnd w:id="172"/>
    <w:bookmarkEnd w:id="173"/>
    <w:bookmarkEnd w:id="174"/>
    <w:p w14:paraId="32C7A67E">
      <w:pPr>
        <w:spacing w:line="360" w:lineRule="auto"/>
        <w:ind w:firstLine="420" w:firstLineChars="175"/>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供应商名称：（加盖电子公章）</w:t>
      </w:r>
    </w:p>
    <w:p w14:paraId="7AE72B66">
      <w:pPr>
        <w:spacing w:line="360" w:lineRule="auto"/>
        <w:ind w:firstLine="420" w:firstLineChars="175"/>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项目名称：</w:t>
      </w:r>
    </w:p>
    <w:p w14:paraId="1563FE09">
      <w:pPr>
        <w:spacing w:line="360" w:lineRule="auto"/>
        <w:ind w:firstLine="420" w:firstLineChars="175"/>
        <w:jc w:val="left"/>
        <w:rPr>
          <w:rFonts w:hint="eastAsia" w:ascii="仿宋" w:hAnsi="仿宋" w:eastAsia="仿宋" w:cs="仿宋"/>
          <w:color w:val="000000"/>
          <w:sz w:val="24"/>
        </w:rPr>
      </w:pPr>
      <w:r>
        <w:rPr>
          <w:rFonts w:hint="eastAsia" w:ascii="仿宋" w:hAnsi="仿宋" w:eastAsia="仿宋" w:cs="仿宋"/>
          <w:color w:val="000000"/>
          <w:sz w:val="24"/>
          <w:lang w:val="en-US" w:eastAsia="zh-CN"/>
        </w:rPr>
        <w:t>项目编号：</w:t>
      </w:r>
      <w:r>
        <w:rPr>
          <w:rFonts w:hint="eastAsia" w:ascii="仿宋" w:hAnsi="仿宋" w:eastAsia="仿宋" w:cs="仿宋"/>
          <w:color w:val="000000"/>
          <w:sz w:val="24"/>
        </w:rPr>
        <w:t xml:space="preserve"> </w:t>
      </w:r>
    </w:p>
    <w:tbl>
      <w:tblPr>
        <w:tblStyle w:val="20"/>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9"/>
        <w:gridCol w:w="1890"/>
        <w:gridCol w:w="2298"/>
        <w:gridCol w:w="1788"/>
        <w:gridCol w:w="2148"/>
      </w:tblGrid>
      <w:tr w14:paraId="46D09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30316C2A">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序号</w:t>
            </w:r>
          </w:p>
        </w:tc>
        <w:tc>
          <w:tcPr>
            <w:tcW w:w="1890" w:type="dxa"/>
            <w:tcBorders>
              <w:top w:val="single" w:color="auto" w:sz="4" w:space="0"/>
              <w:left w:val="single" w:color="auto" w:sz="4" w:space="0"/>
              <w:bottom w:val="single" w:color="auto" w:sz="4" w:space="0"/>
              <w:right w:val="single" w:color="auto" w:sz="4" w:space="0"/>
            </w:tcBorders>
            <w:vAlign w:val="center"/>
          </w:tcPr>
          <w:p w14:paraId="39CFFB05">
            <w:pPr>
              <w:widowControl/>
              <w:ind w:firstLine="0" w:firstLineChars="0"/>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服务需求条目</w:t>
            </w:r>
          </w:p>
        </w:tc>
        <w:tc>
          <w:tcPr>
            <w:tcW w:w="2298" w:type="dxa"/>
            <w:tcBorders>
              <w:top w:val="single" w:color="auto" w:sz="4" w:space="0"/>
              <w:left w:val="single" w:color="auto" w:sz="4" w:space="0"/>
              <w:bottom w:val="single" w:color="auto" w:sz="4" w:space="0"/>
              <w:right w:val="single" w:color="auto" w:sz="4" w:space="0"/>
            </w:tcBorders>
            <w:vAlign w:val="center"/>
          </w:tcPr>
          <w:p w14:paraId="1CC52741">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采购文件中的</w:t>
            </w:r>
          </w:p>
          <w:p w14:paraId="46FBFA29">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服务要求</w:t>
            </w:r>
          </w:p>
        </w:tc>
        <w:tc>
          <w:tcPr>
            <w:tcW w:w="1788" w:type="dxa"/>
            <w:tcBorders>
              <w:top w:val="single" w:color="auto" w:sz="4" w:space="0"/>
              <w:left w:val="single" w:color="auto" w:sz="4" w:space="0"/>
              <w:bottom w:val="single" w:color="auto" w:sz="4" w:space="0"/>
              <w:right w:val="single" w:color="auto" w:sz="4" w:space="0"/>
            </w:tcBorders>
            <w:vAlign w:val="center"/>
          </w:tcPr>
          <w:p w14:paraId="7217EE6E">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供应商</w:t>
            </w:r>
          </w:p>
          <w:p w14:paraId="6E7F0BF7">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的承诺或说明</w:t>
            </w:r>
          </w:p>
        </w:tc>
        <w:tc>
          <w:tcPr>
            <w:tcW w:w="2148" w:type="dxa"/>
            <w:tcBorders>
              <w:top w:val="single" w:color="auto" w:sz="4" w:space="0"/>
              <w:left w:val="single" w:color="auto" w:sz="4" w:space="0"/>
              <w:bottom w:val="single" w:color="auto" w:sz="4" w:space="0"/>
              <w:right w:val="single" w:color="auto" w:sz="4" w:space="0"/>
            </w:tcBorders>
            <w:vAlign w:val="center"/>
          </w:tcPr>
          <w:p w14:paraId="7301578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偏离情况</w:t>
            </w:r>
          </w:p>
          <w:p w14:paraId="4759E823">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4"/>
                <w:szCs w:val="24"/>
              </w:rPr>
              <w:t>（+/-/=）</w:t>
            </w:r>
          </w:p>
        </w:tc>
      </w:tr>
      <w:tr w14:paraId="577CF8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732C26D">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1</w:t>
            </w:r>
          </w:p>
        </w:tc>
        <w:tc>
          <w:tcPr>
            <w:tcW w:w="1890" w:type="dxa"/>
            <w:tcBorders>
              <w:top w:val="single" w:color="auto" w:sz="4" w:space="0"/>
              <w:left w:val="single" w:color="auto" w:sz="4" w:space="0"/>
              <w:bottom w:val="single" w:color="auto" w:sz="4" w:space="0"/>
              <w:right w:val="single" w:color="auto" w:sz="4" w:space="0"/>
            </w:tcBorders>
            <w:vAlign w:val="center"/>
          </w:tcPr>
          <w:p w14:paraId="272B9AAA">
            <w:pPr>
              <w:widowControl/>
              <w:jc w:val="left"/>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70BB6D10">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673FADFE">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65A1EF09">
            <w:pPr>
              <w:widowControl/>
              <w:jc w:val="left"/>
              <w:textAlignment w:val="center"/>
              <w:rPr>
                <w:rFonts w:hint="eastAsia" w:ascii="仿宋" w:hAnsi="仿宋" w:eastAsia="仿宋" w:cs="仿宋"/>
                <w:color w:val="000000"/>
                <w:sz w:val="22"/>
                <w:szCs w:val="22"/>
              </w:rPr>
            </w:pPr>
          </w:p>
        </w:tc>
      </w:tr>
      <w:tr w14:paraId="52F0D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0B18299D">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2</w:t>
            </w:r>
          </w:p>
        </w:tc>
        <w:tc>
          <w:tcPr>
            <w:tcW w:w="1890" w:type="dxa"/>
            <w:tcBorders>
              <w:top w:val="single" w:color="auto" w:sz="4" w:space="0"/>
              <w:left w:val="single" w:color="auto" w:sz="4" w:space="0"/>
              <w:bottom w:val="single" w:color="auto" w:sz="4" w:space="0"/>
              <w:right w:val="single" w:color="auto" w:sz="4" w:space="0"/>
            </w:tcBorders>
            <w:vAlign w:val="center"/>
          </w:tcPr>
          <w:p w14:paraId="4052CD6A">
            <w:pPr>
              <w:widowControl/>
              <w:jc w:val="left"/>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5F55CE41">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58A3CB77">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29B4848F">
            <w:pPr>
              <w:widowControl/>
              <w:jc w:val="left"/>
              <w:textAlignment w:val="center"/>
              <w:rPr>
                <w:rFonts w:hint="eastAsia" w:ascii="仿宋" w:hAnsi="仿宋" w:eastAsia="仿宋" w:cs="仿宋"/>
                <w:color w:val="000000"/>
                <w:sz w:val="22"/>
                <w:szCs w:val="22"/>
              </w:rPr>
            </w:pPr>
          </w:p>
        </w:tc>
      </w:tr>
      <w:tr w14:paraId="369BE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3F80DFA2">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890" w:type="dxa"/>
            <w:tcBorders>
              <w:top w:val="single" w:color="auto" w:sz="4" w:space="0"/>
              <w:left w:val="single" w:color="auto" w:sz="4" w:space="0"/>
              <w:bottom w:val="single" w:color="auto" w:sz="4" w:space="0"/>
              <w:right w:val="single" w:color="auto" w:sz="4" w:space="0"/>
            </w:tcBorders>
            <w:vAlign w:val="center"/>
          </w:tcPr>
          <w:p w14:paraId="40E9B73F">
            <w:pPr>
              <w:widowControl/>
              <w:jc w:val="left"/>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7DB7CA3E">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687BF224">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68FC398E">
            <w:pPr>
              <w:widowControl/>
              <w:jc w:val="left"/>
              <w:textAlignment w:val="center"/>
              <w:rPr>
                <w:rFonts w:hint="eastAsia" w:ascii="仿宋" w:hAnsi="仿宋" w:eastAsia="仿宋" w:cs="仿宋"/>
                <w:color w:val="000000"/>
                <w:sz w:val="22"/>
                <w:szCs w:val="22"/>
              </w:rPr>
            </w:pPr>
          </w:p>
        </w:tc>
      </w:tr>
      <w:tr w14:paraId="3FAFB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4D456F99">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4</w:t>
            </w:r>
          </w:p>
        </w:tc>
        <w:tc>
          <w:tcPr>
            <w:tcW w:w="1890" w:type="dxa"/>
            <w:tcBorders>
              <w:top w:val="single" w:color="auto" w:sz="4" w:space="0"/>
              <w:left w:val="single" w:color="auto" w:sz="4" w:space="0"/>
              <w:bottom w:val="single" w:color="auto" w:sz="4" w:space="0"/>
              <w:right w:val="single" w:color="auto" w:sz="4" w:space="0"/>
            </w:tcBorders>
            <w:vAlign w:val="center"/>
          </w:tcPr>
          <w:p w14:paraId="0112F5BC">
            <w:pPr>
              <w:widowControl/>
              <w:jc w:val="left"/>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38327CEA">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6B903B92">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6521D458">
            <w:pPr>
              <w:widowControl/>
              <w:jc w:val="left"/>
              <w:textAlignment w:val="center"/>
              <w:rPr>
                <w:rFonts w:hint="eastAsia" w:ascii="仿宋" w:hAnsi="仿宋" w:eastAsia="仿宋" w:cs="仿宋"/>
                <w:color w:val="000000"/>
                <w:sz w:val="22"/>
                <w:szCs w:val="22"/>
              </w:rPr>
            </w:pPr>
          </w:p>
        </w:tc>
      </w:tr>
      <w:tr w14:paraId="644F3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5282C89D">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5</w:t>
            </w:r>
          </w:p>
        </w:tc>
        <w:tc>
          <w:tcPr>
            <w:tcW w:w="1890" w:type="dxa"/>
            <w:tcBorders>
              <w:top w:val="single" w:color="auto" w:sz="4" w:space="0"/>
              <w:left w:val="single" w:color="auto" w:sz="4" w:space="0"/>
              <w:bottom w:val="single" w:color="auto" w:sz="4" w:space="0"/>
              <w:right w:val="single" w:color="auto" w:sz="4" w:space="0"/>
            </w:tcBorders>
            <w:vAlign w:val="center"/>
          </w:tcPr>
          <w:p w14:paraId="492A3099">
            <w:pPr>
              <w:widowControl/>
              <w:jc w:val="left"/>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5BD97CAA">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401F793B">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403E0C03">
            <w:pPr>
              <w:widowControl/>
              <w:jc w:val="left"/>
              <w:textAlignment w:val="center"/>
              <w:rPr>
                <w:rFonts w:hint="eastAsia" w:ascii="仿宋" w:hAnsi="仿宋" w:eastAsia="仿宋" w:cs="仿宋"/>
                <w:color w:val="000000"/>
                <w:sz w:val="22"/>
                <w:szCs w:val="22"/>
              </w:rPr>
            </w:pPr>
          </w:p>
        </w:tc>
      </w:tr>
      <w:tr w14:paraId="4D3756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50CAC645">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6</w:t>
            </w:r>
          </w:p>
        </w:tc>
        <w:tc>
          <w:tcPr>
            <w:tcW w:w="1890" w:type="dxa"/>
            <w:tcBorders>
              <w:top w:val="single" w:color="auto" w:sz="4" w:space="0"/>
              <w:left w:val="single" w:color="auto" w:sz="4" w:space="0"/>
              <w:bottom w:val="single" w:color="auto" w:sz="4" w:space="0"/>
              <w:right w:val="single" w:color="auto" w:sz="4" w:space="0"/>
            </w:tcBorders>
            <w:vAlign w:val="center"/>
          </w:tcPr>
          <w:p w14:paraId="084BBB2F">
            <w:pPr>
              <w:widowControl/>
              <w:jc w:val="center"/>
              <w:textAlignment w:val="center"/>
              <w:rPr>
                <w:rFonts w:hint="eastAsia" w:ascii="仿宋" w:hAnsi="仿宋" w:eastAsia="仿宋" w:cs="仿宋"/>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0E14E00C">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5E72858E">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70F281CE">
            <w:pPr>
              <w:widowControl/>
              <w:jc w:val="left"/>
              <w:textAlignment w:val="center"/>
              <w:rPr>
                <w:rFonts w:hint="eastAsia" w:ascii="仿宋" w:hAnsi="仿宋" w:eastAsia="仿宋" w:cs="仿宋"/>
                <w:color w:val="000000"/>
                <w:sz w:val="22"/>
                <w:szCs w:val="22"/>
              </w:rPr>
            </w:pPr>
          </w:p>
        </w:tc>
      </w:tr>
      <w:tr w14:paraId="57C57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0B6B5DD">
            <w:pPr>
              <w:widowControl/>
              <w:jc w:val="center"/>
              <w:textAlignment w:val="center"/>
              <w:rPr>
                <w:rFonts w:hint="eastAsia" w:ascii="仿宋" w:hAnsi="仿宋" w:eastAsia="仿宋" w:cs="仿宋"/>
                <w:color w:val="000000"/>
                <w:sz w:val="22"/>
                <w:szCs w:val="22"/>
              </w:rPr>
            </w:pPr>
          </w:p>
        </w:tc>
        <w:tc>
          <w:tcPr>
            <w:tcW w:w="1890" w:type="dxa"/>
            <w:tcBorders>
              <w:top w:val="single" w:color="auto" w:sz="4" w:space="0"/>
              <w:left w:val="single" w:color="auto" w:sz="4" w:space="0"/>
              <w:bottom w:val="single" w:color="auto" w:sz="4" w:space="0"/>
              <w:right w:val="single" w:color="auto" w:sz="4" w:space="0"/>
            </w:tcBorders>
            <w:vAlign w:val="center"/>
          </w:tcPr>
          <w:p w14:paraId="6DF08447">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（本表可根据需要</w:t>
            </w:r>
          </w:p>
          <w:p w14:paraId="52C6916B">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自行添加行）</w:t>
            </w:r>
          </w:p>
        </w:tc>
        <w:tc>
          <w:tcPr>
            <w:tcW w:w="2298" w:type="dxa"/>
            <w:tcBorders>
              <w:top w:val="single" w:color="auto" w:sz="4" w:space="0"/>
              <w:left w:val="single" w:color="auto" w:sz="4" w:space="0"/>
              <w:bottom w:val="single" w:color="auto" w:sz="4" w:space="0"/>
              <w:right w:val="single" w:color="auto" w:sz="4" w:space="0"/>
            </w:tcBorders>
            <w:vAlign w:val="center"/>
          </w:tcPr>
          <w:p w14:paraId="4CBC8D3B">
            <w:pPr>
              <w:widowControl/>
              <w:jc w:val="left"/>
              <w:textAlignment w:val="center"/>
              <w:rPr>
                <w:rFonts w:hint="eastAsia" w:ascii="仿宋" w:hAnsi="仿宋" w:eastAsia="仿宋" w:cs="仿宋"/>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5FC2A89F">
            <w:pPr>
              <w:widowControl/>
              <w:jc w:val="left"/>
              <w:textAlignment w:val="center"/>
              <w:rPr>
                <w:rFonts w:hint="eastAsia" w:ascii="仿宋" w:hAnsi="仿宋" w:eastAsia="仿宋" w:cs="仿宋"/>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0BCBF808">
            <w:pPr>
              <w:widowControl/>
              <w:jc w:val="left"/>
              <w:textAlignment w:val="center"/>
              <w:rPr>
                <w:rFonts w:hint="eastAsia" w:ascii="仿宋" w:hAnsi="仿宋" w:eastAsia="仿宋" w:cs="仿宋"/>
                <w:color w:val="000000"/>
                <w:sz w:val="22"/>
                <w:szCs w:val="22"/>
              </w:rPr>
            </w:pPr>
          </w:p>
        </w:tc>
      </w:tr>
    </w:tbl>
    <w:p w14:paraId="058BD737">
      <w:pPr>
        <w:tabs>
          <w:tab w:val="left" w:pos="142"/>
        </w:tabs>
        <w:spacing w:line="500" w:lineRule="exact"/>
        <w:ind w:firstLine="480" w:firstLineChars="200"/>
        <w:jc w:val="left"/>
        <w:rPr>
          <w:rFonts w:hint="eastAsia" w:ascii="仿宋" w:hAnsi="仿宋" w:eastAsia="仿宋" w:cs="仿宋"/>
          <w:color w:val="000000"/>
          <w:sz w:val="24"/>
          <w:szCs w:val="24"/>
        </w:rPr>
      </w:pPr>
    </w:p>
    <w:p w14:paraId="6C4314D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填写说明：</w:t>
      </w:r>
    </w:p>
    <w:p w14:paraId="5FC62ED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①此表为表样，行数可自行添加，但表式不变。</w:t>
      </w:r>
    </w:p>
    <w:p w14:paraId="019CAF4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②是否偏离用符号“+、-”分别表示正偏离、负偏离。</w:t>
      </w:r>
    </w:p>
    <w:p w14:paraId="38E452A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③供应商必须仔细阅读本采购文件中所有服务要求，并列入上表。</w:t>
      </w:r>
    </w:p>
    <w:p w14:paraId="3B146019">
      <w:pPr>
        <w:pStyle w:val="19"/>
        <w:spacing w:line="360" w:lineRule="auto"/>
        <w:ind w:firstLine="480"/>
        <w:rPr>
          <w:rFonts w:hint="eastAsia" w:ascii="仿宋" w:hAnsi="仿宋" w:eastAsia="仿宋" w:cs="仿宋"/>
          <w:color w:val="000000"/>
          <w:sz w:val="32"/>
          <w:szCs w:val="32"/>
        </w:rPr>
      </w:pPr>
      <w:r>
        <w:rPr>
          <w:rFonts w:hint="eastAsia" w:ascii="仿宋" w:hAnsi="仿宋" w:eastAsia="仿宋" w:cs="仿宋"/>
          <w:color w:val="000000"/>
          <w:sz w:val="24"/>
        </w:rPr>
        <w:t>④若响应文件中出现与此表表述不一致的，以此表为准。</w:t>
      </w:r>
      <w:bookmarkStart w:id="175" w:name="_Toc15783"/>
      <w:bookmarkStart w:id="176" w:name="_Toc26322"/>
      <w:bookmarkStart w:id="177" w:name="_Toc32726"/>
      <w:bookmarkStart w:id="178" w:name="_Toc4008"/>
      <w:bookmarkStart w:id="179" w:name="_Toc20527"/>
    </w:p>
    <w:p w14:paraId="55397988">
      <w:pPr>
        <w:pStyle w:val="29"/>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仿宋" w:hAnsi="仿宋" w:eastAsia="仿宋" w:cs="仿宋"/>
          <w:snapToGrid w:val="0"/>
          <w:color w:val="000000"/>
          <w:kern w:val="0"/>
          <w:sz w:val="28"/>
          <w:szCs w:val="28"/>
          <w:lang w:eastAsia="zh-CN"/>
        </w:rPr>
      </w:pPr>
      <w:r>
        <w:rPr>
          <w:rFonts w:hint="eastAsia" w:ascii="仿宋" w:hAnsi="仿宋" w:eastAsia="仿宋" w:cs="仿宋"/>
          <w:snapToGrid w:val="0"/>
          <w:color w:val="000000"/>
          <w:kern w:val="0"/>
          <w:sz w:val="28"/>
          <w:szCs w:val="28"/>
          <w:lang w:val="en-US" w:eastAsia="zh-CN"/>
        </w:rPr>
        <w:t>七</w:t>
      </w:r>
      <w:r>
        <w:rPr>
          <w:rFonts w:hint="eastAsia" w:ascii="仿宋" w:hAnsi="仿宋" w:eastAsia="仿宋" w:cs="仿宋"/>
          <w:snapToGrid w:val="0"/>
          <w:color w:val="000000"/>
          <w:kern w:val="0"/>
          <w:sz w:val="28"/>
          <w:szCs w:val="28"/>
          <w:lang w:eastAsia="zh-CN"/>
        </w:rPr>
        <w:t>、</w:t>
      </w:r>
      <w:r>
        <w:rPr>
          <w:rFonts w:hint="eastAsia" w:ascii="仿宋" w:hAnsi="仿宋" w:eastAsia="仿宋" w:cs="仿宋"/>
          <w:snapToGrid w:val="0"/>
          <w:color w:val="000000"/>
          <w:kern w:val="0"/>
        </w:rPr>
        <w:t>拟投入项目人员一览表</w:t>
      </w:r>
    </w:p>
    <w:p w14:paraId="51736179">
      <w:pPr>
        <w:jc w:val="center"/>
        <w:outlineLvl w:val="9"/>
        <w:rPr>
          <w:rFonts w:hint="eastAsia" w:ascii="仿宋" w:hAnsi="仿宋" w:eastAsia="仿宋" w:cs="仿宋"/>
          <w:b w:val="0"/>
          <w:bCs w:val="0"/>
          <w:snapToGrid/>
          <w:kern w:val="2"/>
          <w:sz w:val="32"/>
          <w:szCs w:val="21"/>
        </w:rPr>
      </w:pPr>
      <w:r>
        <w:rPr>
          <w:rFonts w:hint="eastAsia" w:ascii="仿宋" w:hAnsi="仿宋" w:eastAsia="仿宋" w:cs="仿宋"/>
          <w:b w:val="0"/>
          <w:bCs w:val="0"/>
          <w:snapToGrid/>
          <w:kern w:val="2"/>
          <w:sz w:val="32"/>
          <w:szCs w:val="21"/>
        </w:rPr>
        <w:t>拟投入项目人员一览表</w:t>
      </w:r>
    </w:p>
    <w:p w14:paraId="74EA591E">
      <w:pPr>
        <w:spacing w:line="360" w:lineRule="auto"/>
        <w:ind w:firstLine="420" w:firstLineChars="175"/>
        <w:jc w:val="left"/>
        <w:rPr>
          <w:rFonts w:hint="eastAsia" w:ascii="仿宋" w:hAnsi="仿宋" w:eastAsia="仿宋" w:cs="仿宋"/>
          <w:b w:val="0"/>
          <w:bCs w:val="0"/>
          <w:snapToGrid/>
          <w:color w:val="000000"/>
          <w:kern w:val="2"/>
          <w:sz w:val="24"/>
          <w:szCs w:val="21"/>
          <w:lang w:val="en-US" w:eastAsia="zh-CN"/>
        </w:rPr>
      </w:pPr>
      <w:r>
        <w:rPr>
          <w:rFonts w:hint="eastAsia" w:ascii="仿宋" w:hAnsi="仿宋" w:eastAsia="仿宋" w:cs="仿宋"/>
          <w:b w:val="0"/>
          <w:bCs w:val="0"/>
          <w:snapToGrid/>
          <w:color w:val="000000"/>
          <w:kern w:val="2"/>
          <w:sz w:val="24"/>
          <w:szCs w:val="21"/>
          <w:lang w:val="en-US" w:eastAsia="zh-CN"/>
        </w:rPr>
        <w:t>供应商名称：（加盖电子公章）</w:t>
      </w:r>
    </w:p>
    <w:p w14:paraId="301B401C">
      <w:pPr>
        <w:spacing w:line="360" w:lineRule="auto"/>
        <w:ind w:firstLine="420" w:firstLineChars="175"/>
        <w:jc w:val="left"/>
        <w:rPr>
          <w:rFonts w:hint="eastAsia" w:ascii="仿宋" w:hAnsi="仿宋" w:eastAsia="仿宋" w:cs="仿宋"/>
          <w:b w:val="0"/>
          <w:bCs w:val="0"/>
          <w:snapToGrid/>
          <w:color w:val="000000"/>
          <w:kern w:val="2"/>
          <w:sz w:val="24"/>
          <w:szCs w:val="21"/>
          <w:lang w:val="en-US" w:eastAsia="zh-CN"/>
        </w:rPr>
      </w:pPr>
      <w:r>
        <w:rPr>
          <w:rFonts w:hint="eastAsia" w:ascii="仿宋" w:hAnsi="仿宋" w:eastAsia="仿宋" w:cs="仿宋"/>
          <w:b w:val="0"/>
          <w:bCs w:val="0"/>
          <w:snapToGrid/>
          <w:color w:val="000000"/>
          <w:kern w:val="2"/>
          <w:sz w:val="24"/>
          <w:szCs w:val="21"/>
          <w:lang w:val="en-US" w:eastAsia="zh-CN"/>
        </w:rPr>
        <w:t>项目名称：</w:t>
      </w:r>
    </w:p>
    <w:p w14:paraId="2B151C6A">
      <w:pPr>
        <w:spacing w:line="360" w:lineRule="auto"/>
        <w:ind w:firstLine="420" w:firstLineChars="175"/>
        <w:jc w:val="left"/>
        <w:rPr>
          <w:rFonts w:hint="eastAsia" w:ascii="仿宋" w:hAnsi="仿宋" w:eastAsia="仿宋" w:cs="仿宋"/>
          <w:snapToGrid/>
          <w:color w:val="000000"/>
          <w:kern w:val="2"/>
          <w:sz w:val="24"/>
          <w:szCs w:val="21"/>
        </w:rPr>
      </w:pPr>
      <w:r>
        <w:rPr>
          <w:rFonts w:hint="eastAsia" w:ascii="仿宋" w:hAnsi="仿宋" w:eastAsia="仿宋" w:cs="仿宋"/>
          <w:b w:val="0"/>
          <w:bCs w:val="0"/>
          <w:snapToGrid/>
          <w:color w:val="000000"/>
          <w:kern w:val="2"/>
          <w:sz w:val="24"/>
          <w:szCs w:val="21"/>
          <w:lang w:val="en-US" w:eastAsia="zh-CN"/>
        </w:rPr>
        <w:t>项目编号：</w:t>
      </w:r>
      <w:r>
        <w:rPr>
          <w:rFonts w:hint="eastAsia" w:ascii="仿宋" w:hAnsi="仿宋" w:eastAsia="仿宋" w:cs="仿宋"/>
          <w:b w:val="0"/>
          <w:bCs w:val="0"/>
          <w:snapToGrid/>
          <w:color w:val="000000"/>
          <w:kern w:val="2"/>
          <w:sz w:val="24"/>
          <w:szCs w:val="21"/>
        </w:rPr>
        <w:t xml:space="preserve"> </w:t>
      </w:r>
    </w:p>
    <w:tbl>
      <w:tblPr>
        <w:tblStyle w:val="20"/>
        <w:tblW w:w="9696" w:type="dxa"/>
        <w:jc w:val="center"/>
        <w:tblLayout w:type="fixed"/>
        <w:tblCellMar>
          <w:top w:w="0" w:type="dxa"/>
          <w:left w:w="108" w:type="dxa"/>
          <w:bottom w:w="0" w:type="dxa"/>
          <w:right w:w="108" w:type="dxa"/>
        </w:tblCellMar>
      </w:tblPr>
      <w:tblGrid>
        <w:gridCol w:w="766"/>
        <w:gridCol w:w="896"/>
        <w:gridCol w:w="783"/>
        <w:gridCol w:w="750"/>
        <w:gridCol w:w="973"/>
        <w:gridCol w:w="931"/>
        <w:gridCol w:w="1020"/>
        <w:gridCol w:w="994"/>
        <w:gridCol w:w="882"/>
        <w:gridCol w:w="850"/>
        <w:gridCol w:w="851"/>
      </w:tblGrid>
      <w:tr w14:paraId="497E67BE">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vAlign w:val="center"/>
          </w:tcPr>
          <w:p w14:paraId="04EC20A7">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序号</w:t>
            </w:r>
          </w:p>
        </w:tc>
        <w:tc>
          <w:tcPr>
            <w:tcW w:w="896" w:type="dxa"/>
            <w:tcBorders>
              <w:top w:val="single" w:color="000000" w:sz="4" w:space="0"/>
              <w:left w:val="nil"/>
              <w:bottom w:val="single" w:color="000000" w:sz="4" w:space="0"/>
              <w:right w:val="single" w:color="000000" w:sz="4" w:space="0"/>
            </w:tcBorders>
            <w:vAlign w:val="center"/>
          </w:tcPr>
          <w:p w14:paraId="6F692F16">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姓名</w:t>
            </w:r>
          </w:p>
        </w:tc>
        <w:tc>
          <w:tcPr>
            <w:tcW w:w="783" w:type="dxa"/>
            <w:tcBorders>
              <w:top w:val="single" w:color="000000" w:sz="4" w:space="0"/>
              <w:left w:val="nil"/>
              <w:bottom w:val="single" w:color="000000" w:sz="4" w:space="0"/>
              <w:right w:val="single" w:color="000000" w:sz="4" w:space="0"/>
            </w:tcBorders>
            <w:vAlign w:val="center"/>
          </w:tcPr>
          <w:p w14:paraId="78DED5C2">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性别</w:t>
            </w:r>
          </w:p>
        </w:tc>
        <w:tc>
          <w:tcPr>
            <w:tcW w:w="750" w:type="dxa"/>
            <w:tcBorders>
              <w:top w:val="single" w:color="000000" w:sz="4" w:space="0"/>
              <w:left w:val="nil"/>
              <w:bottom w:val="single" w:color="000000" w:sz="4" w:space="0"/>
              <w:right w:val="single" w:color="000000" w:sz="4" w:space="0"/>
            </w:tcBorders>
            <w:vAlign w:val="center"/>
          </w:tcPr>
          <w:p w14:paraId="0C717A50">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年龄</w:t>
            </w:r>
          </w:p>
        </w:tc>
        <w:tc>
          <w:tcPr>
            <w:tcW w:w="973" w:type="dxa"/>
            <w:tcBorders>
              <w:top w:val="single" w:color="000000" w:sz="4" w:space="0"/>
              <w:left w:val="nil"/>
              <w:bottom w:val="single" w:color="000000" w:sz="4" w:space="0"/>
              <w:right w:val="single" w:color="000000" w:sz="4" w:space="0"/>
            </w:tcBorders>
            <w:vAlign w:val="center"/>
          </w:tcPr>
          <w:p w14:paraId="064E44FE">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专业</w:t>
            </w:r>
          </w:p>
        </w:tc>
        <w:tc>
          <w:tcPr>
            <w:tcW w:w="931" w:type="dxa"/>
            <w:tcBorders>
              <w:top w:val="single" w:color="000000" w:sz="4" w:space="0"/>
              <w:left w:val="nil"/>
              <w:bottom w:val="single" w:color="000000" w:sz="4" w:space="0"/>
              <w:right w:val="single" w:color="000000" w:sz="4" w:space="0"/>
            </w:tcBorders>
            <w:vAlign w:val="center"/>
          </w:tcPr>
          <w:p w14:paraId="3A136175">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学历</w:t>
            </w:r>
          </w:p>
        </w:tc>
        <w:tc>
          <w:tcPr>
            <w:tcW w:w="1020" w:type="dxa"/>
            <w:tcBorders>
              <w:top w:val="single" w:color="000000" w:sz="4" w:space="0"/>
              <w:left w:val="nil"/>
              <w:bottom w:val="single" w:color="000000" w:sz="4" w:space="0"/>
              <w:right w:val="single" w:color="000000" w:sz="4" w:space="0"/>
            </w:tcBorders>
            <w:vAlign w:val="center"/>
          </w:tcPr>
          <w:p w14:paraId="13A21579">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执业</w:t>
            </w:r>
          </w:p>
          <w:p w14:paraId="2834537E">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资格</w:t>
            </w:r>
          </w:p>
        </w:tc>
        <w:tc>
          <w:tcPr>
            <w:tcW w:w="994" w:type="dxa"/>
            <w:tcBorders>
              <w:top w:val="single" w:color="000000" w:sz="4" w:space="0"/>
              <w:left w:val="nil"/>
              <w:bottom w:val="single" w:color="000000" w:sz="4" w:space="0"/>
              <w:right w:val="single" w:color="000000" w:sz="4" w:space="0"/>
            </w:tcBorders>
            <w:vAlign w:val="center"/>
          </w:tcPr>
          <w:p w14:paraId="25F1F7DE">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证书号</w:t>
            </w:r>
          </w:p>
        </w:tc>
        <w:tc>
          <w:tcPr>
            <w:tcW w:w="882" w:type="dxa"/>
            <w:tcBorders>
              <w:top w:val="single" w:color="000000" w:sz="4" w:space="0"/>
              <w:left w:val="nil"/>
              <w:bottom w:val="single" w:color="000000" w:sz="4" w:space="0"/>
              <w:right w:val="single" w:color="000000" w:sz="4" w:space="0"/>
            </w:tcBorders>
            <w:vAlign w:val="center"/>
          </w:tcPr>
          <w:p w14:paraId="31B7E54D">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技术职称</w:t>
            </w:r>
          </w:p>
        </w:tc>
        <w:tc>
          <w:tcPr>
            <w:tcW w:w="850" w:type="dxa"/>
            <w:tcBorders>
              <w:top w:val="single" w:color="000000" w:sz="4" w:space="0"/>
              <w:left w:val="nil"/>
              <w:bottom w:val="single" w:color="000000" w:sz="4" w:space="0"/>
              <w:right w:val="single" w:color="000000" w:sz="4" w:space="0"/>
            </w:tcBorders>
            <w:vAlign w:val="center"/>
          </w:tcPr>
          <w:p w14:paraId="4F3AC6E9">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相关工作年限</w:t>
            </w:r>
          </w:p>
        </w:tc>
        <w:tc>
          <w:tcPr>
            <w:tcW w:w="851" w:type="dxa"/>
            <w:tcBorders>
              <w:top w:val="single" w:color="000000" w:sz="4" w:space="0"/>
              <w:left w:val="nil"/>
              <w:bottom w:val="single" w:color="000000" w:sz="4" w:space="0"/>
              <w:right w:val="single" w:color="000000" w:sz="4" w:space="0"/>
            </w:tcBorders>
            <w:vAlign w:val="center"/>
          </w:tcPr>
          <w:p w14:paraId="3B4BD851">
            <w:pPr>
              <w:pStyle w:val="29"/>
              <w:numPr>
                <w:ilvl w:val="255"/>
                <w:numId w:val="0"/>
              </w:numPr>
              <w:jc w:val="center"/>
              <w:rPr>
                <w:rFonts w:hint="eastAsia" w:ascii="仿宋" w:hAnsi="仿宋" w:eastAsia="仿宋" w:cs="仿宋"/>
                <w:b w:val="0"/>
                <w:bCs w:val="0"/>
                <w:snapToGrid w:val="0"/>
                <w:color w:val="000000"/>
                <w:kern w:val="0"/>
                <w:sz w:val="24"/>
                <w:szCs w:val="24"/>
              </w:rPr>
            </w:pPr>
            <w:r>
              <w:rPr>
                <w:rFonts w:hint="eastAsia" w:ascii="仿宋" w:hAnsi="仿宋" w:eastAsia="仿宋" w:cs="仿宋"/>
                <w:b w:val="0"/>
                <w:bCs w:val="0"/>
                <w:snapToGrid w:val="0"/>
                <w:color w:val="000000"/>
                <w:kern w:val="0"/>
                <w:sz w:val="24"/>
                <w:szCs w:val="24"/>
              </w:rPr>
              <w:t>备注</w:t>
            </w:r>
          </w:p>
        </w:tc>
      </w:tr>
      <w:tr w14:paraId="661EF975">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2D03BE63">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0632A2B3">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102AEE6A">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15F37632">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2B707A95">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2D4D17EF">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1B522F4E">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7B6A280F">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1EDD3DF5">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2355B906">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6B4D200B">
            <w:pPr>
              <w:pStyle w:val="29"/>
              <w:numPr>
                <w:ilvl w:val="255"/>
                <w:numId w:val="0"/>
              </w:numPr>
              <w:rPr>
                <w:rFonts w:hint="eastAsia" w:ascii="仿宋" w:hAnsi="仿宋" w:eastAsia="仿宋" w:cs="仿宋"/>
                <w:snapToGrid w:val="0"/>
                <w:color w:val="000000"/>
                <w:kern w:val="0"/>
                <w:sz w:val="28"/>
                <w:szCs w:val="28"/>
              </w:rPr>
            </w:pPr>
          </w:p>
        </w:tc>
      </w:tr>
      <w:tr w14:paraId="3A910865">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4AF39106">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47DC800C">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0967AC83">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7F13350E">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5531038D">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1180DB1B">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4ABC207E">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6AEDE66E">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53595D39">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3AE16379">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231E676C">
            <w:pPr>
              <w:pStyle w:val="29"/>
              <w:numPr>
                <w:ilvl w:val="255"/>
                <w:numId w:val="0"/>
              </w:numPr>
              <w:rPr>
                <w:rFonts w:hint="eastAsia" w:ascii="仿宋" w:hAnsi="仿宋" w:eastAsia="仿宋" w:cs="仿宋"/>
                <w:snapToGrid w:val="0"/>
                <w:color w:val="000000"/>
                <w:kern w:val="0"/>
                <w:sz w:val="28"/>
                <w:szCs w:val="28"/>
              </w:rPr>
            </w:pPr>
          </w:p>
        </w:tc>
      </w:tr>
      <w:tr w14:paraId="421E0260">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558D5C4B">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711FF15B">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4554B289">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5E66C26F">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51CBEC78">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3EB1111C">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10190B91">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2789D354">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1836E837">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3BA1F03A">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729602DE">
            <w:pPr>
              <w:pStyle w:val="29"/>
              <w:numPr>
                <w:ilvl w:val="255"/>
                <w:numId w:val="0"/>
              </w:numPr>
              <w:rPr>
                <w:rFonts w:hint="eastAsia" w:ascii="仿宋" w:hAnsi="仿宋" w:eastAsia="仿宋" w:cs="仿宋"/>
                <w:snapToGrid w:val="0"/>
                <w:color w:val="000000"/>
                <w:kern w:val="0"/>
                <w:sz w:val="28"/>
                <w:szCs w:val="28"/>
              </w:rPr>
            </w:pPr>
          </w:p>
        </w:tc>
      </w:tr>
      <w:tr w14:paraId="73289C6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12EB836A">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0941BC46">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52FF50AE">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108CFD0E">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110F10AF">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2BB83DF0">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0A8E6E2A">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3BCE0599">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71E739F1">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1E61515E">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4158D1FF">
            <w:pPr>
              <w:pStyle w:val="29"/>
              <w:numPr>
                <w:ilvl w:val="255"/>
                <w:numId w:val="0"/>
              </w:numPr>
              <w:rPr>
                <w:rFonts w:hint="eastAsia" w:ascii="仿宋" w:hAnsi="仿宋" w:eastAsia="仿宋" w:cs="仿宋"/>
                <w:snapToGrid w:val="0"/>
                <w:color w:val="000000"/>
                <w:kern w:val="0"/>
                <w:sz w:val="28"/>
                <w:szCs w:val="28"/>
              </w:rPr>
            </w:pPr>
          </w:p>
        </w:tc>
      </w:tr>
      <w:tr w14:paraId="134E9661">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27100867">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4CE2D074">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02DE7D7F">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462439D5">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5182F831">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68A30579">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19AD97AA">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58BBBE89">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48B8A5C8">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06E0F2F4">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0027A40C">
            <w:pPr>
              <w:pStyle w:val="29"/>
              <w:numPr>
                <w:ilvl w:val="255"/>
                <w:numId w:val="0"/>
              </w:numPr>
              <w:rPr>
                <w:rFonts w:hint="eastAsia" w:ascii="仿宋" w:hAnsi="仿宋" w:eastAsia="仿宋" w:cs="仿宋"/>
                <w:snapToGrid w:val="0"/>
                <w:color w:val="000000"/>
                <w:kern w:val="0"/>
                <w:sz w:val="28"/>
                <w:szCs w:val="28"/>
              </w:rPr>
            </w:pPr>
          </w:p>
        </w:tc>
      </w:tr>
      <w:tr w14:paraId="501243C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12D0A483">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06491A55">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1E9F4748">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37034DA0">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42AF1720">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7079DDBE">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056C0342">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2EBF0C93">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67E1D83D">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2C0939A1">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3953CF8A">
            <w:pPr>
              <w:pStyle w:val="29"/>
              <w:numPr>
                <w:ilvl w:val="255"/>
                <w:numId w:val="0"/>
              </w:numPr>
              <w:rPr>
                <w:rFonts w:hint="eastAsia" w:ascii="仿宋" w:hAnsi="仿宋" w:eastAsia="仿宋" w:cs="仿宋"/>
                <w:snapToGrid w:val="0"/>
                <w:color w:val="000000"/>
                <w:kern w:val="0"/>
                <w:sz w:val="28"/>
                <w:szCs w:val="28"/>
              </w:rPr>
            </w:pPr>
          </w:p>
        </w:tc>
      </w:tr>
      <w:tr w14:paraId="26CE7CE2">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02BCC287">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5ADE828F">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3C997204">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49E43E14">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545E3F2B">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4F113155">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34D1FFFD">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1FE551D7">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077366EF">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70788F0A">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2309653A">
            <w:pPr>
              <w:pStyle w:val="29"/>
              <w:numPr>
                <w:ilvl w:val="255"/>
                <w:numId w:val="0"/>
              </w:numPr>
              <w:rPr>
                <w:rFonts w:hint="eastAsia" w:ascii="仿宋" w:hAnsi="仿宋" w:eastAsia="仿宋" w:cs="仿宋"/>
                <w:snapToGrid w:val="0"/>
                <w:color w:val="000000"/>
                <w:kern w:val="0"/>
                <w:sz w:val="28"/>
                <w:szCs w:val="28"/>
              </w:rPr>
            </w:pPr>
          </w:p>
        </w:tc>
      </w:tr>
      <w:tr w14:paraId="6E8EA71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tcPr>
          <w:p w14:paraId="68B70295">
            <w:pPr>
              <w:pStyle w:val="29"/>
              <w:numPr>
                <w:ilvl w:val="255"/>
                <w:numId w:val="0"/>
              </w:numPr>
              <w:rPr>
                <w:rFonts w:hint="eastAsia" w:ascii="仿宋" w:hAnsi="仿宋" w:eastAsia="仿宋" w:cs="仿宋"/>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tcPr>
          <w:p w14:paraId="7095D069">
            <w:pPr>
              <w:pStyle w:val="29"/>
              <w:numPr>
                <w:ilvl w:val="255"/>
                <w:numId w:val="0"/>
              </w:numPr>
              <w:rPr>
                <w:rFonts w:hint="eastAsia" w:ascii="仿宋" w:hAnsi="仿宋" w:eastAsia="仿宋" w:cs="仿宋"/>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tcPr>
          <w:p w14:paraId="2CA939B5">
            <w:pPr>
              <w:pStyle w:val="29"/>
              <w:numPr>
                <w:ilvl w:val="255"/>
                <w:numId w:val="0"/>
              </w:numPr>
              <w:rPr>
                <w:rFonts w:hint="eastAsia" w:ascii="仿宋" w:hAnsi="仿宋" w:eastAsia="仿宋" w:cs="仿宋"/>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tcPr>
          <w:p w14:paraId="39285499">
            <w:pPr>
              <w:pStyle w:val="29"/>
              <w:numPr>
                <w:ilvl w:val="255"/>
                <w:numId w:val="0"/>
              </w:numPr>
              <w:rPr>
                <w:rFonts w:hint="eastAsia" w:ascii="仿宋" w:hAnsi="仿宋" w:eastAsia="仿宋" w:cs="仿宋"/>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tcPr>
          <w:p w14:paraId="2D833A4C">
            <w:pPr>
              <w:pStyle w:val="29"/>
              <w:numPr>
                <w:ilvl w:val="255"/>
                <w:numId w:val="0"/>
              </w:numPr>
              <w:rPr>
                <w:rFonts w:hint="eastAsia" w:ascii="仿宋" w:hAnsi="仿宋" w:eastAsia="仿宋" w:cs="仿宋"/>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tcPr>
          <w:p w14:paraId="64EFCDBC">
            <w:pPr>
              <w:pStyle w:val="29"/>
              <w:numPr>
                <w:ilvl w:val="255"/>
                <w:numId w:val="0"/>
              </w:numPr>
              <w:rPr>
                <w:rFonts w:hint="eastAsia" w:ascii="仿宋" w:hAnsi="仿宋" w:eastAsia="仿宋" w:cs="仿宋"/>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tcPr>
          <w:p w14:paraId="1A15A199">
            <w:pPr>
              <w:pStyle w:val="29"/>
              <w:numPr>
                <w:ilvl w:val="255"/>
                <w:numId w:val="0"/>
              </w:numPr>
              <w:rPr>
                <w:rFonts w:hint="eastAsia" w:ascii="仿宋" w:hAnsi="仿宋" w:eastAsia="仿宋" w:cs="仿宋"/>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tcPr>
          <w:p w14:paraId="4E2B1E94">
            <w:pPr>
              <w:pStyle w:val="29"/>
              <w:numPr>
                <w:ilvl w:val="255"/>
                <w:numId w:val="0"/>
              </w:numPr>
              <w:rPr>
                <w:rFonts w:hint="eastAsia" w:ascii="仿宋" w:hAnsi="仿宋" w:eastAsia="仿宋" w:cs="仿宋"/>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tcPr>
          <w:p w14:paraId="37670821">
            <w:pPr>
              <w:pStyle w:val="29"/>
              <w:numPr>
                <w:ilvl w:val="255"/>
                <w:numId w:val="0"/>
              </w:numPr>
              <w:rPr>
                <w:rFonts w:hint="eastAsia" w:ascii="仿宋" w:hAnsi="仿宋" w:eastAsia="仿宋" w:cs="仿宋"/>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tcPr>
          <w:p w14:paraId="4B989CA6">
            <w:pPr>
              <w:pStyle w:val="29"/>
              <w:numPr>
                <w:ilvl w:val="255"/>
                <w:numId w:val="0"/>
              </w:numPr>
              <w:rPr>
                <w:rFonts w:hint="eastAsia" w:ascii="仿宋" w:hAnsi="仿宋" w:eastAsia="仿宋" w:cs="仿宋"/>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tcPr>
          <w:p w14:paraId="343DCB71">
            <w:pPr>
              <w:pStyle w:val="29"/>
              <w:numPr>
                <w:ilvl w:val="255"/>
                <w:numId w:val="0"/>
              </w:numPr>
              <w:rPr>
                <w:rFonts w:hint="eastAsia" w:ascii="仿宋" w:hAnsi="仿宋" w:eastAsia="仿宋" w:cs="仿宋"/>
                <w:snapToGrid w:val="0"/>
                <w:color w:val="000000"/>
                <w:kern w:val="0"/>
                <w:sz w:val="28"/>
                <w:szCs w:val="28"/>
              </w:rPr>
            </w:pPr>
          </w:p>
        </w:tc>
      </w:tr>
    </w:tbl>
    <w:p w14:paraId="5DAED885">
      <w:pPr>
        <w:rPr>
          <w:rFonts w:hint="eastAsia" w:ascii="仿宋" w:hAnsi="仿宋" w:eastAsia="仿宋" w:cs="仿宋"/>
          <w:snapToGrid w:val="0"/>
          <w:color w:val="000000"/>
          <w:kern w:val="0"/>
          <w:sz w:val="28"/>
          <w:szCs w:val="28"/>
        </w:rPr>
      </w:pPr>
    </w:p>
    <w:p w14:paraId="17CB5DC1">
      <w:pPr>
        <w:pStyle w:val="29"/>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仿宋" w:hAnsi="仿宋" w:eastAsia="仿宋" w:cs="仿宋"/>
          <w:snapToGrid w:val="0"/>
          <w:color w:val="000000"/>
          <w:kern w:val="0"/>
          <w:sz w:val="28"/>
          <w:szCs w:val="28"/>
          <w:lang w:eastAsia="zh-CN"/>
        </w:rPr>
      </w:pPr>
      <w:r>
        <w:rPr>
          <w:rFonts w:hint="eastAsia" w:ascii="仿宋" w:hAnsi="仿宋" w:eastAsia="仿宋" w:cs="仿宋"/>
          <w:snapToGrid w:val="0"/>
          <w:color w:val="000000"/>
          <w:kern w:val="0"/>
          <w:sz w:val="28"/>
          <w:szCs w:val="28"/>
          <w:lang w:val="en-US" w:eastAsia="zh-CN"/>
        </w:rPr>
        <w:t>八、</w:t>
      </w:r>
      <w:r>
        <w:rPr>
          <w:rFonts w:hint="eastAsia" w:ascii="仿宋" w:hAnsi="仿宋" w:eastAsia="仿宋" w:cs="仿宋"/>
          <w:snapToGrid w:val="0"/>
          <w:color w:val="000000"/>
          <w:kern w:val="0"/>
          <w:sz w:val="28"/>
          <w:szCs w:val="28"/>
          <w:lang w:eastAsia="zh-CN"/>
        </w:rPr>
        <w:t>业绩（</w:t>
      </w:r>
      <w:r>
        <w:rPr>
          <w:rFonts w:hint="eastAsia" w:ascii="仿宋" w:hAnsi="仿宋" w:eastAsia="仿宋" w:cs="仿宋"/>
          <w:snapToGrid w:val="0"/>
          <w:color w:val="000000"/>
          <w:kern w:val="0"/>
          <w:sz w:val="28"/>
          <w:szCs w:val="28"/>
          <w:lang w:val="en-US" w:eastAsia="zh-CN"/>
        </w:rPr>
        <w:t>加盖电子公章</w:t>
      </w:r>
      <w:r>
        <w:rPr>
          <w:rFonts w:hint="eastAsia" w:ascii="仿宋" w:hAnsi="仿宋" w:eastAsia="仿宋" w:cs="仿宋"/>
          <w:snapToGrid w:val="0"/>
          <w:color w:val="000000"/>
          <w:kern w:val="0"/>
          <w:sz w:val="28"/>
          <w:szCs w:val="28"/>
          <w:lang w:eastAsia="zh-CN"/>
        </w:rPr>
        <w:t>）</w:t>
      </w:r>
    </w:p>
    <w:p w14:paraId="58F366E5">
      <w:pPr>
        <w:rPr>
          <w:rFonts w:hint="eastAsia" w:ascii="仿宋" w:hAnsi="仿宋" w:eastAsia="仿宋" w:cs="仿宋"/>
          <w:lang w:eastAsia="zh-CN"/>
        </w:rPr>
      </w:pPr>
    </w:p>
    <w:p w14:paraId="0E133EF2">
      <w:pPr>
        <w:rPr>
          <w:rFonts w:hint="eastAsia" w:ascii="仿宋" w:hAnsi="仿宋" w:eastAsia="仿宋" w:cs="仿宋"/>
        </w:rPr>
      </w:pPr>
    </w:p>
    <w:p w14:paraId="3053931E">
      <w:pPr>
        <w:rPr>
          <w:rFonts w:hint="eastAsia" w:ascii="仿宋" w:hAnsi="仿宋" w:eastAsia="仿宋" w:cs="仿宋"/>
        </w:rPr>
      </w:pPr>
    </w:p>
    <w:p w14:paraId="55744300">
      <w:pPr>
        <w:rPr>
          <w:rFonts w:hint="eastAsia" w:ascii="仿宋" w:hAnsi="仿宋" w:eastAsia="仿宋" w:cs="仿宋"/>
        </w:rPr>
      </w:pPr>
    </w:p>
    <w:p w14:paraId="3A336322">
      <w:pPr>
        <w:rPr>
          <w:rFonts w:hint="eastAsia" w:ascii="仿宋" w:hAnsi="仿宋" w:eastAsia="仿宋" w:cs="仿宋"/>
        </w:rPr>
      </w:pPr>
    </w:p>
    <w:p w14:paraId="605476EF">
      <w:pPr>
        <w:rPr>
          <w:rFonts w:hint="eastAsia" w:ascii="仿宋" w:hAnsi="仿宋" w:eastAsia="仿宋" w:cs="仿宋"/>
        </w:rPr>
      </w:pPr>
    </w:p>
    <w:p w14:paraId="43A1679C">
      <w:pPr>
        <w:rPr>
          <w:rFonts w:hint="eastAsia" w:ascii="仿宋" w:hAnsi="仿宋" w:eastAsia="仿宋" w:cs="仿宋"/>
        </w:rPr>
      </w:pPr>
    </w:p>
    <w:p w14:paraId="0B2212C4">
      <w:pPr>
        <w:rPr>
          <w:rFonts w:hint="eastAsia" w:ascii="仿宋" w:hAnsi="仿宋" w:eastAsia="仿宋" w:cs="仿宋"/>
        </w:rPr>
      </w:pPr>
    </w:p>
    <w:p w14:paraId="33FF34E1">
      <w:pPr>
        <w:rPr>
          <w:rFonts w:hint="eastAsia" w:ascii="仿宋" w:hAnsi="仿宋" w:eastAsia="仿宋" w:cs="仿宋"/>
        </w:rPr>
      </w:pPr>
    </w:p>
    <w:p w14:paraId="36BE1A8F">
      <w:pPr>
        <w:rPr>
          <w:rFonts w:hint="eastAsia" w:ascii="仿宋" w:hAnsi="仿宋" w:eastAsia="仿宋" w:cs="仿宋"/>
        </w:rPr>
      </w:pPr>
    </w:p>
    <w:p w14:paraId="05C70471">
      <w:pPr>
        <w:rPr>
          <w:rFonts w:hint="eastAsia" w:ascii="仿宋" w:hAnsi="仿宋" w:eastAsia="仿宋" w:cs="仿宋"/>
        </w:rPr>
      </w:pPr>
    </w:p>
    <w:p w14:paraId="465545F1">
      <w:pPr>
        <w:rPr>
          <w:rFonts w:hint="eastAsia" w:ascii="仿宋" w:hAnsi="仿宋" w:eastAsia="仿宋" w:cs="仿宋"/>
        </w:rPr>
      </w:pPr>
    </w:p>
    <w:p w14:paraId="0E2609C9">
      <w:pPr>
        <w:rPr>
          <w:rFonts w:hint="eastAsia" w:ascii="仿宋" w:hAnsi="仿宋" w:eastAsia="仿宋" w:cs="仿宋"/>
        </w:rPr>
      </w:pPr>
    </w:p>
    <w:p w14:paraId="2888D8DD">
      <w:pPr>
        <w:rPr>
          <w:rFonts w:hint="eastAsia" w:ascii="仿宋" w:hAnsi="仿宋" w:eastAsia="仿宋" w:cs="仿宋"/>
        </w:rPr>
      </w:pPr>
    </w:p>
    <w:p w14:paraId="121FB6F8">
      <w:pPr>
        <w:rPr>
          <w:rFonts w:hint="eastAsia" w:ascii="仿宋" w:hAnsi="仿宋" w:eastAsia="仿宋" w:cs="仿宋"/>
        </w:rPr>
      </w:pPr>
    </w:p>
    <w:p w14:paraId="4BE60567">
      <w:pPr>
        <w:rPr>
          <w:rFonts w:hint="eastAsia" w:ascii="仿宋" w:hAnsi="仿宋" w:eastAsia="仿宋" w:cs="仿宋"/>
        </w:rPr>
      </w:pPr>
    </w:p>
    <w:p w14:paraId="00FB2C2A">
      <w:pPr>
        <w:rPr>
          <w:rFonts w:hint="eastAsia" w:ascii="仿宋" w:hAnsi="仿宋" w:eastAsia="仿宋" w:cs="仿宋"/>
        </w:rPr>
      </w:pPr>
    </w:p>
    <w:p w14:paraId="548A1C01">
      <w:pPr>
        <w:rPr>
          <w:rFonts w:hint="eastAsia" w:ascii="仿宋" w:hAnsi="仿宋" w:eastAsia="仿宋" w:cs="仿宋"/>
        </w:rPr>
      </w:pPr>
    </w:p>
    <w:p w14:paraId="63615C44">
      <w:pPr>
        <w:rPr>
          <w:rFonts w:hint="eastAsia" w:ascii="仿宋" w:hAnsi="仿宋" w:eastAsia="仿宋" w:cs="仿宋"/>
        </w:rPr>
      </w:pPr>
    </w:p>
    <w:p w14:paraId="333B305C">
      <w:pPr>
        <w:rPr>
          <w:rFonts w:hint="eastAsia" w:ascii="仿宋" w:hAnsi="仿宋" w:eastAsia="仿宋" w:cs="仿宋"/>
        </w:rPr>
      </w:pPr>
    </w:p>
    <w:p w14:paraId="5B8108A4">
      <w:pPr>
        <w:rPr>
          <w:rFonts w:hint="eastAsia" w:ascii="仿宋" w:hAnsi="仿宋" w:eastAsia="仿宋" w:cs="仿宋"/>
        </w:rPr>
      </w:pPr>
    </w:p>
    <w:p w14:paraId="0C2CDA34">
      <w:pPr>
        <w:rPr>
          <w:rFonts w:hint="eastAsia" w:ascii="仿宋" w:hAnsi="仿宋" w:eastAsia="仿宋" w:cs="仿宋"/>
        </w:rPr>
      </w:pPr>
    </w:p>
    <w:p w14:paraId="21E8C48E">
      <w:pPr>
        <w:rPr>
          <w:rFonts w:hint="eastAsia" w:ascii="仿宋" w:hAnsi="仿宋" w:eastAsia="仿宋" w:cs="仿宋"/>
        </w:rPr>
      </w:pPr>
    </w:p>
    <w:p w14:paraId="22B7BFA1">
      <w:pPr>
        <w:rPr>
          <w:rFonts w:hint="eastAsia" w:ascii="仿宋" w:hAnsi="仿宋" w:eastAsia="仿宋" w:cs="仿宋"/>
        </w:rPr>
      </w:pPr>
    </w:p>
    <w:p w14:paraId="4AD47E41">
      <w:pPr>
        <w:rPr>
          <w:rFonts w:hint="eastAsia" w:ascii="仿宋" w:hAnsi="仿宋" w:eastAsia="仿宋" w:cs="仿宋"/>
        </w:rPr>
      </w:pPr>
    </w:p>
    <w:p w14:paraId="34096CA1">
      <w:pPr>
        <w:pStyle w:val="29"/>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仿宋" w:hAnsi="仿宋" w:eastAsia="仿宋" w:cs="仿宋"/>
          <w:snapToGrid w:val="0"/>
          <w:color w:val="000000"/>
          <w:kern w:val="0"/>
          <w:sz w:val="28"/>
          <w:szCs w:val="28"/>
        </w:rPr>
      </w:pPr>
      <w:r>
        <w:rPr>
          <w:rFonts w:hint="eastAsia" w:ascii="仿宋" w:hAnsi="仿宋" w:eastAsia="仿宋" w:cs="仿宋"/>
          <w:snapToGrid w:val="0"/>
          <w:color w:val="000000"/>
          <w:kern w:val="0"/>
          <w:sz w:val="28"/>
          <w:szCs w:val="28"/>
          <w:lang w:val="en-US" w:eastAsia="zh-CN"/>
        </w:rPr>
        <w:t>九、</w:t>
      </w:r>
      <w:r>
        <w:rPr>
          <w:rFonts w:hint="eastAsia" w:ascii="仿宋" w:hAnsi="仿宋" w:eastAsia="仿宋" w:cs="仿宋"/>
          <w:snapToGrid w:val="0"/>
          <w:color w:val="000000"/>
          <w:kern w:val="0"/>
          <w:sz w:val="28"/>
          <w:szCs w:val="28"/>
        </w:rPr>
        <w:t>中小企业声明函</w:t>
      </w:r>
    </w:p>
    <w:p w14:paraId="450432E8">
      <w:pPr>
        <w:spacing w:beforeLines="-2147483648" w:afterLines="-2147483648" w:line="240" w:lineRule="auto"/>
        <w:jc w:val="center"/>
        <w:outlineLvl w:val="9"/>
        <w:rPr>
          <w:rFonts w:hint="eastAsia" w:ascii="仿宋" w:hAnsi="仿宋" w:eastAsia="仿宋" w:cs="仿宋"/>
          <w:sz w:val="32"/>
          <w:szCs w:val="21"/>
        </w:rPr>
      </w:pPr>
      <w:r>
        <w:rPr>
          <w:rFonts w:hint="eastAsia" w:ascii="仿宋" w:hAnsi="仿宋" w:eastAsia="仿宋" w:cs="仿宋"/>
          <w:sz w:val="32"/>
          <w:szCs w:val="21"/>
        </w:rPr>
        <w:t>中小企业声明函（服务）</w:t>
      </w:r>
    </w:p>
    <w:p w14:paraId="1BBE3188">
      <w:pPr>
        <w:spacing w:beforeLines="0" w:afterLines="0"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XXXXXXXXXXXXXXXXXXXXXXXXX</w:t>
      </w:r>
      <w:r>
        <w:rPr>
          <w:rFonts w:hint="eastAsia" w:ascii="仿宋" w:hAnsi="仿宋" w:eastAsia="仿宋" w:cs="仿宋"/>
          <w:color w:val="000000"/>
          <w:sz w:val="24"/>
          <w:szCs w:val="24"/>
        </w:rPr>
        <w:t>（单位名称）采购编号为</w:t>
      </w:r>
      <w:r>
        <w:rPr>
          <w:rFonts w:hint="eastAsia" w:ascii="仿宋" w:hAnsi="仿宋" w:eastAsia="仿宋" w:cs="仿宋"/>
          <w:color w:val="000000"/>
          <w:sz w:val="24"/>
          <w:szCs w:val="24"/>
          <w:u w:val="single"/>
        </w:rPr>
        <w:t>XXXXXXXXXXXXXXXXXXXXXXXXX</w:t>
      </w:r>
      <w:r>
        <w:rPr>
          <w:rFonts w:hint="eastAsia" w:ascii="仿宋" w:hAnsi="仿宋" w:eastAsia="仿宋" w:cs="仿宋"/>
          <w:color w:val="000000"/>
          <w:sz w:val="24"/>
          <w:szCs w:val="24"/>
        </w:rPr>
        <w:t>项目（采购包号：</w:t>
      </w:r>
      <w:r>
        <w:rPr>
          <w:rFonts w:hint="eastAsia" w:ascii="仿宋" w:hAnsi="仿宋" w:eastAsia="仿宋" w:cs="仿宋"/>
          <w:color w:val="000000"/>
          <w:sz w:val="24"/>
          <w:szCs w:val="24"/>
          <w:u w:val="single"/>
        </w:rPr>
        <w:t>XXX</w:t>
      </w:r>
      <w:r>
        <w:rPr>
          <w:rFonts w:hint="eastAsia" w:ascii="仿宋" w:hAnsi="仿宋" w:eastAsia="仿宋" w:cs="仿宋"/>
          <w:color w:val="000000"/>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53469CBC">
      <w:pPr>
        <w:spacing w:beforeLines="0" w:afterLines="0"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（标的名称）属于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行业（磋商文件中明确的所属行业）；承接企业为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（企业名称），从业人员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4"/>
          <w:szCs w:val="24"/>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中型企业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小型企业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微型企业。</w:t>
      </w:r>
    </w:p>
    <w:p w14:paraId="6C3E3078">
      <w:pPr>
        <w:spacing w:beforeLines="0" w:afterLines="0" w:line="360" w:lineRule="auto"/>
        <w:ind w:firstLine="360"/>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（标的名称）属于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行业（磋商文件中明确的所属行业）；承接企业为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（企业名称），从业人员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4"/>
          <w:szCs w:val="24"/>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中型企业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 xml:space="preserve">小型企业 </w:t>
      </w:r>
      <w:r>
        <w:rPr>
          <w:rFonts w:hint="eastAsia" w:ascii="仿宋" w:hAnsi="仿宋" w:eastAsia="仿宋" w:cs="仿宋"/>
          <w:color w:val="000000"/>
          <w:sz w:val="24"/>
          <w:szCs w:val="24"/>
        </w:rPr>
        <w:sym w:font="Wingdings" w:char="F0A8"/>
      </w:r>
      <w:r>
        <w:rPr>
          <w:rFonts w:hint="eastAsia" w:ascii="仿宋" w:hAnsi="仿宋" w:eastAsia="仿宋" w:cs="仿宋"/>
          <w:color w:val="000000"/>
          <w:sz w:val="24"/>
          <w:szCs w:val="24"/>
        </w:rPr>
        <w:t>微型企业。</w:t>
      </w:r>
    </w:p>
    <w:p w14:paraId="4D14B169">
      <w:pPr>
        <w:spacing w:beforeLines="0" w:afterLines="0" w:line="360" w:lineRule="auto"/>
        <w:ind w:firstLine="360"/>
        <w:rPr>
          <w:rFonts w:hint="eastAsia"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14:paraId="57CE4C6C">
      <w:pPr>
        <w:spacing w:beforeLines="0" w:afterLines="0"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14:paraId="7EC710C5">
      <w:pPr>
        <w:spacing w:beforeLines="0" w:afterLines="0" w:line="360" w:lineRule="auto"/>
        <w:ind w:right="180" w:firstLine="36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企业名称：（加盖电子公章）</w:t>
      </w:r>
    </w:p>
    <w:p w14:paraId="4E137CB5">
      <w:pPr>
        <w:spacing w:beforeLines="0" w:afterLines="0" w:line="360" w:lineRule="auto"/>
        <w:ind w:firstLine="6000"/>
        <w:rPr>
          <w:rFonts w:hint="eastAsia" w:ascii="仿宋" w:hAnsi="仿宋" w:eastAsia="仿宋" w:cs="仿宋"/>
          <w:color w:val="000000"/>
          <w:sz w:val="24"/>
          <w:szCs w:val="24"/>
        </w:rPr>
      </w:pPr>
      <w:r>
        <w:rPr>
          <w:rFonts w:hint="eastAsia" w:ascii="仿宋" w:hAnsi="仿宋" w:eastAsia="仿宋" w:cs="仿宋"/>
          <w:color w:val="000000"/>
          <w:sz w:val="24"/>
          <w:szCs w:val="24"/>
        </w:rPr>
        <w:t>日    期：</w:t>
      </w:r>
    </w:p>
    <w:p w14:paraId="56454C0A">
      <w:pPr>
        <w:widowControl/>
        <w:spacing w:beforeLines="0" w:afterLines="0" w:line="360" w:lineRule="auto"/>
        <w:ind w:firstLine="480"/>
        <w:rPr>
          <w:rFonts w:hint="eastAsia" w:ascii="仿宋" w:hAnsi="仿宋" w:eastAsia="仿宋" w:cs="仿宋"/>
          <w:color w:val="000000"/>
          <w:sz w:val="24"/>
          <w:szCs w:val="24"/>
        </w:rPr>
      </w:pPr>
    </w:p>
    <w:p w14:paraId="5DAE84DF">
      <w:pPr>
        <w:spacing w:beforeLines="0" w:afterLines="0" w:line="24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521A17A9">
      <w:pPr>
        <w:adjustRightInd/>
        <w:snapToGrid/>
        <w:spacing w:line="240" w:lineRule="auto"/>
        <w:jc w:val="left"/>
        <w:outlineLvl w:val="9"/>
        <w:rPr>
          <w:rFonts w:hint="eastAsia" w:ascii="仿宋" w:hAnsi="仿宋" w:eastAsia="仿宋" w:cs="仿宋"/>
          <w:sz w:val="21"/>
          <w:szCs w:val="21"/>
        </w:rPr>
      </w:pPr>
    </w:p>
    <w:p w14:paraId="78A65322">
      <w:pPr>
        <w:pStyle w:val="29"/>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仿宋" w:hAnsi="仿宋" w:eastAsia="仿宋" w:cs="仿宋"/>
          <w:snapToGrid w:val="0"/>
          <w:color w:val="000000"/>
          <w:kern w:val="0"/>
          <w:sz w:val="28"/>
          <w:szCs w:val="28"/>
        </w:rPr>
      </w:pPr>
      <w:r>
        <w:rPr>
          <w:rFonts w:hint="eastAsia" w:ascii="仿宋" w:hAnsi="仿宋" w:eastAsia="仿宋" w:cs="仿宋"/>
          <w:snapToGrid w:val="0"/>
          <w:color w:val="000000"/>
          <w:kern w:val="0"/>
          <w:sz w:val="28"/>
          <w:szCs w:val="28"/>
          <w:lang w:val="en-US" w:eastAsia="zh-CN"/>
        </w:rPr>
        <w:t>十、</w:t>
      </w:r>
      <w:r>
        <w:rPr>
          <w:rFonts w:hint="eastAsia" w:ascii="仿宋" w:hAnsi="仿宋" w:eastAsia="仿宋" w:cs="仿宋"/>
          <w:snapToGrid w:val="0"/>
          <w:color w:val="000000"/>
          <w:kern w:val="0"/>
          <w:sz w:val="28"/>
          <w:szCs w:val="28"/>
        </w:rPr>
        <w:t>残疾人福利性单位声明函</w:t>
      </w:r>
      <w:r>
        <w:rPr>
          <w:rFonts w:hint="eastAsia" w:ascii="仿宋" w:hAnsi="仿宋" w:eastAsia="仿宋" w:cs="仿宋"/>
          <w:snapToGrid w:val="0"/>
          <w:color w:val="000000"/>
          <w:kern w:val="0"/>
          <w:sz w:val="28"/>
          <w:szCs w:val="28"/>
          <w:lang w:eastAsia="zh-CN"/>
        </w:rPr>
        <w:t>（如有）</w:t>
      </w:r>
    </w:p>
    <w:p w14:paraId="1951FA49">
      <w:pPr>
        <w:adjustRightInd/>
        <w:snapToGrid/>
        <w:spacing w:line="240" w:lineRule="auto"/>
        <w:jc w:val="center"/>
        <w:outlineLvl w:val="9"/>
        <w:rPr>
          <w:rFonts w:hint="eastAsia" w:ascii="仿宋" w:hAnsi="仿宋" w:eastAsia="仿宋" w:cs="仿宋"/>
          <w:sz w:val="32"/>
          <w:szCs w:val="21"/>
        </w:rPr>
      </w:pPr>
      <w:r>
        <w:rPr>
          <w:rFonts w:hint="eastAsia" w:ascii="仿宋" w:hAnsi="仿宋" w:eastAsia="仿宋" w:cs="仿宋"/>
          <w:sz w:val="32"/>
          <w:szCs w:val="21"/>
        </w:rPr>
        <w:t>残疾人福利性单位声明函</w:t>
      </w:r>
    </w:p>
    <w:p w14:paraId="0AF2D197">
      <w:pPr>
        <w:adjustRightInd w:val="0"/>
        <w:snapToGrid w:val="0"/>
        <w:spacing w:line="360" w:lineRule="auto"/>
        <w:ind w:firstLine="480" w:firstLineChars="200"/>
        <w:rPr>
          <w:rFonts w:hint="eastAsia" w:ascii="仿宋" w:hAnsi="仿宋" w:eastAsia="仿宋" w:cs="仿宋"/>
          <w:sz w:val="24"/>
          <w:szCs w:val="21"/>
        </w:rPr>
      </w:pPr>
      <w:r>
        <w:rPr>
          <w:rFonts w:hint="eastAsia" w:ascii="仿宋" w:hAnsi="仿宋" w:eastAsia="仿宋" w:cs="仿宋"/>
          <w:sz w:val="24"/>
          <w:szCs w:val="22"/>
        </w:rPr>
        <w:t>本单位郑重声明，根据《财政部 民政部 中国残疾人联合会关于促进残疾人就业政府采购政策的通知》（财库〔2017〕141号）的规定，本单位为符合条件的残疾人福利性单位，</w:t>
      </w:r>
      <w:r>
        <w:rPr>
          <w:rFonts w:hint="eastAsia" w:ascii="仿宋" w:hAnsi="仿宋" w:eastAsia="仿宋" w:cs="仿宋"/>
          <w:sz w:val="24"/>
          <w:szCs w:val="24"/>
        </w:rPr>
        <w:t>参加</w:t>
      </w:r>
      <w:r>
        <w:rPr>
          <w:rFonts w:hint="eastAsia" w:ascii="仿宋" w:hAnsi="仿宋" w:eastAsia="仿宋" w:cs="仿宋"/>
          <w:sz w:val="24"/>
          <w:szCs w:val="24"/>
          <w:u w:val="single"/>
        </w:rPr>
        <w:t>XXXXXXXXXXXXXXXXXXXXXXXXX</w:t>
      </w:r>
      <w:r>
        <w:rPr>
          <w:rFonts w:hint="eastAsia" w:ascii="仿宋" w:hAnsi="仿宋" w:eastAsia="仿宋" w:cs="仿宋"/>
          <w:sz w:val="24"/>
          <w:szCs w:val="24"/>
        </w:rPr>
        <w:t>（单位名称）项目编号为</w:t>
      </w:r>
      <w:r>
        <w:rPr>
          <w:rFonts w:hint="eastAsia" w:ascii="仿宋" w:hAnsi="仿宋" w:eastAsia="仿宋" w:cs="仿宋"/>
          <w:sz w:val="24"/>
          <w:szCs w:val="24"/>
          <w:u w:val="single"/>
        </w:rPr>
        <w:t>XXXXXXXXXXXXXXXXXXXXXXXXX</w:t>
      </w:r>
      <w:r>
        <w:rPr>
          <w:rFonts w:hint="eastAsia" w:ascii="仿宋" w:hAnsi="仿宋" w:eastAsia="仿宋" w:cs="仿宋"/>
          <w:sz w:val="24"/>
          <w:szCs w:val="24"/>
        </w:rPr>
        <w:t>项目）的采购活动</w:t>
      </w:r>
      <w:r>
        <w:rPr>
          <w:rFonts w:hint="eastAsia" w:ascii="仿宋" w:hAnsi="仿宋" w:eastAsia="仿宋" w:cs="仿宋"/>
          <w:sz w:val="24"/>
          <w:szCs w:val="22"/>
        </w:rPr>
        <w:t>，</w:t>
      </w:r>
      <w:r>
        <w:rPr>
          <w:rFonts w:hint="eastAsia" w:ascii="仿宋" w:hAnsi="仿宋" w:eastAsia="仿宋" w:cs="仿宋"/>
          <w:sz w:val="24"/>
          <w:szCs w:val="24"/>
        </w:rPr>
        <w:t>服务全部由本单位提供</w:t>
      </w:r>
      <w:r>
        <w:rPr>
          <w:rFonts w:hint="eastAsia" w:ascii="仿宋" w:hAnsi="仿宋" w:eastAsia="仿宋" w:cs="仿宋"/>
          <w:sz w:val="24"/>
          <w:szCs w:val="21"/>
        </w:rPr>
        <w:t>。</w:t>
      </w:r>
    </w:p>
    <w:p w14:paraId="51DAAEBB">
      <w:pPr>
        <w:adjustRightInd w:val="0"/>
        <w:snapToGrid w:val="0"/>
        <w:spacing w:line="360" w:lineRule="auto"/>
        <w:ind w:firstLine="480" w:firstLineChars="200"/>
        <w:rPr>
          <w:rFonts w:hint="eastAsia" w:ascii="仿宋" w:hAnsi="仿宋" w:eastAsia="仿宋" w:cs="仿宋"/>
          <w:sz w:val="24"/>
          <w:szCs w:val="22"/>
        </w:rPr>
      </w:pPr>
      <w:r>
        <w:rPr>
          <w:rFonts w:hint="eastAsia" w:ascii="仿宋" w:hAnsi="仿宋" w:eastAsia="仿宋" w:cs="仿宋"/>
          <w:sz w:val="24"/>
          <w:szCs w:val="22"/>
        </w:rPr>
        <w:t>本单位对上述声明的真实性负责，如有虚假，将依法承担相应责任。</w:t>
      </w:r>
    </w:p>
    <w:p w14:paraId="34E03990">
      <w:pPr>
        <w:pStyle w:val="41"/>
        <w:adjustRightInd w:val="0"/>
        <w:snapToGrid w:val="0"/>
        <w:spacing w:line="360" w:lineRule="auto"/>
        <w:rPr>
          <w:rFonts w:hint="eastAsia" w:ascii="仿宋" w:hAnsi="仿宋" w:eastAsia="仿宋" w:cs="仿宋"/>
          <w:sz w:val="24"/>
          <w:szCs w:val="24"/>
        </w:rPr>
      </w:pPr>
    </w:p>
    <w:p w14:paraId="6BB4F05B">
      <w:pPr>
        <w:adjustRightInd w:val="0"/>
        <w:snapToGrid w:val="0"/>
        <w:spacing w:line="360" w:lineRule="auto"/>
        <w:rPr>
          <w:rFonts w:hint="eastAsia" w:ascii="仿宋" w:hAnsi="仿宋" w:eastAsia="仿宋" w:cs="仿宋"/>
          <w:sz w:val="21"/>
          <w:szCs w:val="22"/>
        </w:rPr>
      </w:pPr>
    </w:p>
    <w:p w14:paraId="5698146D">
      <w:pPr>
        <w:pStyle w:val="19"/>
        <w:rPr>
          <w:rFonts w:hint="eastAsia" w:ascii="仿宋" w:hAnsi="仿宋" w:eastAsia="仿宋" w:cs="仿宋"/>
          <w:sz w:val="21"/>
          <w:szCs w:val="22"/>
        </w:rPr>
      </w:pPr>
    </w:p>
    <w:p w14:paraId="04457152">
      <w:pPr>
        <w:rPr>
          <w:rFonts w:hint="eastAsia" w:ascii="仿宋" w:hAnsi="仿宋" w:eastAsia="仿宋" w:cs="仿宋"/>
          <w:sz w:val="21"/>
          <w:szCs w:val="22"/>
        </w:rPr>
      </w:pPr>
    </w:p>
    <w:p w14:paraId="1C3C31BD">
      <w:pPr>
        <w:pStyle w:val="19"/>
        <w:rPr>
          <w:rFonts w:hint="eastAsia" w:ascii="仿宋" w:hAnsi="仿宋" w:eastAsia="仿宋" w:cs="仿宋"/>
          <w:sz w:val="21"/>
          <w:szCs w:val="22"/>
        </w:rPr>
      </w:pPr>
    </w:p>
    <w:p w14:paraId="07B85C7E">
      <w:pPr>
        <w:rPr>
          <w:rFonts w:hint="eastAsia" w:ascii="仿宋" w:hAnsi="仿宋" w:eastAsia="仿宋" w:cs="仿宋"/>
          <w:sz w:val="21"/>
          <w:szCs w:val="22"/>
        </w:rPr>
      </w:pPr>
    </w:p>
    <w:p w14:paraId="30723167">
      <w:pPr>
        <w:pStyle w:val="19"/>
        <w:rPr>
          <w:rFonts w:hint="eastAsia" w:ascii="仿宋" w:hAnsi="仿宋" w:eastAsia="仿宋" w:cs="仿宋"/>
          <w:sz w:val="28"/>
          <w:szCs w:val="21"/>
        </w:rPr>
      </w:pPr>
    </w:p>
    <w:p w14:paraId="1C7E1703">
      <w:pPr>
        <w:adjustRightInd w:val="0"/>
        <w:snapToGrid w:val="0"/>
        <w:spacing w:line="360" w:lineRule="auto"/>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供应商名称：（加盖电子公章）</w:t>
      </w:r>
    </w:p>
    <w:p w14:paraId="23D305A9">
      <w:pPr>
        <w:adjustRightInd w:val="0"/>
        <w:snapToGrid w:val="0"/>
        <w:spacing w:line="360" w:lineRule="auto"/>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日    期：</w:t>
      </w:r>
    </w:p>
    <w:p w14:paraId="35328C94">
      <w:pPr>
        <w:adjustRightInd w:val="0"/>
        <w:snapToGrid w:val="0"/>
        <w:spacing w:line="360" w:lineRule="auto"/>
        <w:ind w:firstLine="480" w:firstLineChars="200"/>
        <w:rPr>
          <w:rFonts w:hint="eastAsia" w:ascii="仿宋" w:hAnsi="仿宋" w:eastAsia="仿宋" w:cs="仿宋"/>
          <w:sz w:val="24"/>
          <w:szCs w:val="22"/>
        </w:rPr>
      </w:pPr>
    </w:p>
    <w:p w14:paraId="7DCF3C10">
      <w:pPr>
        <w:adjustRightInd w:val="0"/>
        <w:snapToGrid w:val="0"/>
        <w:spacing w:line="360" w:lineRule="auto"/>
        <w:ind w:firstLine="480" w:firstLineChars="200"/>
        <w:rPr>
          <w:rFonts w:hint="eastAsia" w:ascii="仿宋" w:hAnsi="仿宋" w:eastAsia="仿宋" w:cs="仿宋"/>
          <w:sz w:val="24"/>
          <w:szCs w:val="22"/>
        </w:rPr>
      </w:pPr>
      <w:r>
        <w:rPr>
          <w:rFonts w:hint="eastAsia" w:ascii="仿宋" w:hAnsi="仿宋" w:eastAsia="仿宋" w:cs="仿宋"/>
          <w:sz w:val="24"/>
          <w:szCs w:val="22"/>
        </w:rPr>
        <w:t>备注：</w:t>
      </w:r>
    </w:p>
    <w:p w14:paraId="672D3EFA">
      <w:pPr>
        <w:adjustRightInd/>
        <w:snapToGrid/>
        <w:spacing w:line="360" w:lineRule="auto"/>
        <w:ind w:firstLine="480" w:firstLineChars="200"/>
        <w:outlineLvl w:val="9"/>
        <w:rPr>
          <w:rFonts w:hint="eastAsia" w:ascii="仿宋" w:hAnsi="仿宋" w:eastAsia="仿宋" w:cs="仿宋"/>
          <w:sz w:val="24"/>
          <w:szCs w:val="21"/>
        </w:rPr>
      </w:pPr>
      <w:r>
        <w:rPr>
          <w:rFonts w:hint="eastAsia" w:ascii="仿宋" w:hAnsi="仿宋" w:eastAsia="仿宋" w:cs="仿宋"/>
          <w:sz w:val="24"/>
          <w:szCs w:val="21"/>
        </w:rPr>
        <w:t>1.供应商如不提供此声明函，价格将不做相应扣除。</w:t>
      </w:r>
    </w:p>
    <w:p w14:paraId="346899C7">
      <w:pPr>
        <w:spacing w:line="360" w:lineRule="auto"/>
        <w:ind w:firstLine="480" w:firstLineChars="200"/>
        <w:rPr>
          <w:rFonts w:hint="eastAsia" w:ascii="仿宋" w:hAnsi="仿宋" w:eastAsia="仿宋" w:cs="仿宋"/>
          <w:sz w:val="24"/>
          <w:szCs w:val="21"/>
        </w:rPr>
      </w:pPr>
      <w:r>
        <w:rPr>
          <w:rFonts w:hint="eastAsia" w:ascii="仿宋" w:hAnsi="仿宋" w:eastAsia="仿宋" w:cs="仿宋"/>
          <w:sz w:val="24"/>
          <w:szCs w:val="21"/>
        </w:rPr>
        <w:t>2.成交供应商为残疾人福利性单位的，此声明函将随成交结果同时公告，接受社会监督。</w:t>
      </w:r>
    </w:p>
    <w:p w14:paraId="0133E06D">
      <w:pPr>
        <w:rPr>
          <w:rFonts w:hint="eastAsia" w:ascii="仿宋" w:hAnsi="仿宋" w:eastAsia="仿宋" w:cs="仿宋"/>
          <w:sz w:val="24"/>
          <w:szCs w:val="22"/>
        </w:rPr>
      </w:pPr>
    </w:p>
    <w:p w14:paraId="6477816F">
      <w:pPr>
        <w:pStyle w:val="19"/>
        <w:rPr>
          <w:rFonts w:hint="eastAsia" w:ascii="仿宋" w:hAnsi="仿宋" w:eastAsia="仿宋" w:cs="仿宋"/>
          <w:sz w:val="24"/>
          <w:szCs w:val="22"/>
        </w:rPr>
      </w:pPr>
    </w:p>
    <w:p w14:paraId="2B2B342D">
      <w:pPr>
        <w:pStyle w:val="19"/>
        <w:rPr>
          <w:rFonts w:hint="eastAsia" w:ascii="仿宋" w:hAnsi="仿宋" w:eastAsia="仿宋" w:cs="仿宋"/>
          <w:sz w:val="24"/>
          <w:szCs w:val="22"/>
        </w:rPr>
      </w:pPr>
    </w:p>
    <w:bookmarkEnd w:id="175"/>
    <w:bookmarkEnd w:id="176"/>
    <w:bookmarkEnd w:id="177"/>
    <w:bookmarkEnd w:id="178"/>
    <w:bookmarkEnd w:id="179"/>
    <w:p w14:paraId="36B8F442">
      <w:pPr>
        <w:pStyle w:val="29"/>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仿宋" w:hAnsi="仿宋" w:eastAsia="仿宋" w:cs="仿宋"/>
          <w:snapToGrid w:val="0"/>
          <w:color w:val="000000"/>
          <w:kern w:val="0"/>
        </w:rPr>
      </w:pPr>
      <w:r>
        <w:rPr>
          <w:rFonts w:hint="eastAsia" w:ascii="仿宋" w:hAnsi="仿宋" w:eastAsia="仿宋" w:cs="仿宋"/>
          <w:snapToGrid w:val="0"/>
          <w:color w:val="000000"/>
          <w:kern w:val="0"/>
          <w:lang w:val="en-US" w:eastAsia="zh-CN"/>
        </w:rPr>
        <w:t>十一、</w:t>
      </w:r>
      <w:r>
        <w:rPr>
          <w:rFonts w:hint="eastAsia" w:ascii="仿宋" w:hAnsi="仿宋" w:eastAsia="仿宋" w:cs="仿宋"/>
          <w:snapToGrid w:val="0"/>
          <w:color w:val="000000"/>
          <w:kern w:val="0"/>
          <w:lang w:eastAsia="zh-CN"/>
        </w:rPr>
        <w:t>方案与承诺（格式自拟，</w:t>
      </w:r>
      <w:r>
        <w:rPr>
          <w:rFonts w:hint="eastAsia" w:ascii="仿宋" w:hAnsi="仿宋" w:eastAsia="仿宋" w:cs="仿宋"/>
          <w:snapToGrid w:val="0"/>
          <w:color w:val="000000"/>
          <w:kern w:val="0"/>
          <w:lang w:val="en-US" w:eastAsia="zh-CN"/>
        </w:rPr>
        <w:t>加盖电子公章</w:t>
      </w:r>
      <w:r>
        <w:rPr>
          <w:rFonts w:hint="eastAsia" w:ascii="仿宋" w:hAnsi="仿宋" w:eastAsia="仿宋" w:cs="仿宋"/>
          <w:snapToGrid w:val="0"/>
          <w:color w:val="000000"/>
          <w:kern w:val="0"/>
          <w:lang w:eastAsia="zh-CN"/>
        </w:rPr>
        <w:t>）</w:t>
      </w:r>
    </w:p>
    <w:p w14:paraId="4E13B77F">
      <w:pPr>
        <w:rPr>
          <w:rFonts w:hint="eastAsia" w:ascii="仿宋" w:hAnsi="仿宋" w:eastAsia="仿宋" w:cs="仿宋"/>
          <w:lang w:eastAsia="zh-CN"/>
        </w:rPr>
      </w:pPr>
    </w:p>
    <w:p w14:paraId="58ED6BF2">
      <w:pPr>
        <w:rPr>
          <w:rFonts w:hint="eastAsia" w:ascii="仿宋" w:hAnsi="仿宋" w:eastAsia="仿宋" w:cs="仿宋"/>
          <w:lang w:eastAsia="zh-CN"/>
        </w:rPr>
      </w:pPr>
    </w:p>
    <w:p w14:paraId="2C7B4320">
      <w:pPr>
        <w:rPr>
          <w:rFonts w:hint="eastAsia" w:ascii="仿宋" w:hAnsi="仿宋" w:eastAsia="仿宋" w:cs="仿宋"/>
          <w:lang w:eastAsia="zh-CN"/>
        </w:rPr>
      </w:pPr>
    </w:p>
    <w:p w14:paraId="33EDA74D">
      <w:pPr>
        <w:rPr>
          <w:rFonts w:hint="eastAsia" w:ascii="仿宋" w:hAnsi="仿宋" w:eastAsia="仿宋" w:cs="仿宋"/>
          <w:lang w:eastAsia="zh-CN"/>
        </w:rPr>
      </w:pPr>
    </w:p>
    <w:p w14:paraId="2B68B57A">
      <w:pPr>
        <w:rPr>
          <w:rFonts w:hint="eastAsia" w:ascii="仿宋" w:hAnsi="仿宋" w:eastAsia="仿宋" w:cs="仿宋"/>
          <w:lang w:eastAsia="zh-CN"/>
        </w:rPr>
      </w:pPr>
    </w:p>
    <w:p w14:paraId="74D05EA9">
      <w:pPr>
        <w:rPr>
          <w:rFonts w:hint="eastAsia" w:ascii="仿宋" w:hAnsi="仿宋" w:eastAsia="仿宋" w:cs="仿宋"/>
          <w:lang w:eastAsia="zh-CN"/>
        </w:rPr>
      </w:pPr>
    </w:p>
    <w:p w14:paraId="6728F390">
      <w:pPr>
        <w:rPr>
          <w:rFonts w:hint="eastAsia" w:ascii="仿宋" w:hAnsi="仿宋" w:eastAsia="仿宋" w:cs="仿宋"/>
          <w:lang w:eastAsia="zh-CN"/>
        </w:rPr>
      </w:pPr>
    </w:p>
    <w:p w14:paraId="5B86B01B">
      <w:pPr>
        <w:rPr>
          <w:rFonts w:hint="eastAsia" w:ascii="仿宋" w:hAnsi="仿宋" w:eastAsia="仿宋" w:cs="仿宋"/>
          <w:lang w:eastAsia="zh-CN"/>
        </w:rPr>
      </w:pPr>
    </w:p>
    <w:p w14:paraId="1A9C5CD2">
      <w:pPr>
        <w:rPr>
          <w:rFonts w:hint="eastAsia" w:ascii="仿宋" w:hAnsi="仿宋" w:eastAsia="仿宋" w:cs="仿宋"/>
          <w:lang w:eastAsia="zh-CN"/>
        </w:rPr>
      </w:pPr>
    </w:p>
    <w:p w14:paraId="3B916DC0">
      <w:pPr>
        <w:rPr>
          <w:rFonts w:hint="eastAsia" w:ascii="仿宋" w:hAnsi="仿宋" w:eastAsia="仿宋" w:cs="仿宋"/>
          <w:lang w:eastAsia="zh-CN"/>
        </w:rPr>
      </w:pPr>
    </w:p>
    <w:p w14:paraId="2BE4A93D">
      <w:pPr>
        <w:rPr>
          <w:rFonts w:hint="eastAsia" w:ascii="仿宋" w:hAnsi="仿宋" w:eastAsia="仿宋" w:cs="仿宋"/>
          <w:lang w:eastAsia="zh-CN"/>
        </w:rPr>
      </w:pPr>
    </w:p>
    <w:p w14:paraId="2564D035">
      <w:pPr>
        <w:rPr>
          <w:rFonts w:hint="eastAsia" w:ascii="仿宋" w:hAnsi="仿宋" w:eastAsia="仿宋" w:cs="仿宋"/>
          <w:lang w:eastAsia="zh-CN"/>
        </w:rPr>
      </w:pPr>
    </w:p>
    <w:p w14:paraId="3B13316F">
      <w:pPr>
        <w:rPr>
          <w:rFonts w:hint="eastAsia" w:ascii="仿宋" w:hAnsi="仿宋" w:eastAsia="仿宋" w:cs="仿宋"/>
          <w:lang w:eastAsia="zh-CN"/>
        </w:rPr>
      </w:pPr>
    </w:p>
    <w:p w14:paraId="3B8F44A2">
      <w:pPr>
        <w:rPr>
          <w:rFonts w:hint="eastAsia" w:ascii="仿宋" w:hAnsi="仿宋" w:eastAsia="仿宋" w:cs="仿宋"/>
          <w:lang w:eastAsia="zh-CN"/>
        </w:rPr>
      </w:pPr>
    </w:p>
    <w:p w14:paraId="2FFCA8FE">
      <w:pPr>
        <w:rPr>
          <w:rFonts w:hint="eastAsia" w:ascii="仿宋" w:hAnsi="仿宋" w:eastAsia="仿宋" w:cs="仿宋"/>
          <w:lang w:eastAsia="zh-CN"/>
        </w:rPr>
      </w:pPr>
    </w:p>
    <w:p w14:paraId="00D3E7D9">
      <w:pPr>
        <w:rPr>
          <w:rFonts w:hint="eastAsia" w:ascii="仿宋" w:hAnsi="仿宋" w:eastAsia="仿宋" w:cs="仿宋"/>
          <w:lang w:eastAsia="zh-CN"/>
        </w:rPr>
      </w:pPr>
    </w:p>
    <w:p w14:paraId="441A7DEF">
      <w:pPr>
        <w:rPr>
          <w:rFonts w:hint="eastAsia" w:ascii="仿宋" w:hAnsi="仿宋" w:eastAsia="仿宋" w:cs="仿宋"/>
          <w:lang w:eastAsia="zh-CN"/>
        </w:rPr>
      </w:pPr>
    </w:p>
    <w:p w14:paraId="4ACDF171">
      <w:pPr>
        <w:rPr>
          <w:rFonts w:hint="eastAsia" w:ascii="仿宋" w:hAnsi="仿宋" w:eastAsia="仿宋" w:cs="仿宋"/>
          <w:lang w:eastAsia="zh-CN"/>
        </w:rPr>
      </w:pPr>
    </w:p>
    <w:p w14:paraId="2727146D">
      <w:pPr>
        <w:rPr>
          <w:rFonts w:hint="eastAsia" w:ascii="仿宋" w:hAnsi="仿宋" w:eastAsia="仿宋" w:cs="仿宋"/>
          <w:lang w:eastAsia="zh-CN"/>
        </w:rPr>
      </w:pPr>
    </w:p>
    <w:p w14:paraId="41FAB84F">
      <w:pPr>
        <w:rPr>
          <w:rFonts w:hint="eastAsia" w:ascii="仿宋" w:hAnsi="仿宋" w:eastAsia="仿宋" w:cs="仿宋"/>
          <w:lang w:eastAsia="zh-CN"/>
        </w:rPr>
      </w:pPr>
    </w:p>
    <w:p w14:paraId="59438CF1">
      <w:pPr>
        <w:rPr>
          <w:rFonts w:hint="eastAsia" w:ascii="仿宋" w:hAnsi="仿宋" w:eastAsia="仿宋" w:cs="仿宋"/>
          <w:lang w:eastAsia="zh-CN"/>
        </w:rPr>
      </w:pPr>
    </w:p>
    <w:p w14:paraId="349B231E">
      <w:pPr>
        <w:rPr>
          <w:rFonts w:hint="eastAsia" w:ascii="仿宋" w:hAnsi="仿宋" w:eastAsia="仿宋" w:cs="仿宋"/>
          <w:lang w:eastAsia="zh-CN"/>
        </w:rPr>
      </w:pPr>
    </w:p>
    <w:p w14:paraId="79A09F00">
      <w:pPr>
        <w:rPr>
          <w:rFonts w:hint="eastAsia" w:ascii="仿宋" w:hAnsi="仿宋" w:eastAsia="仿宋" w:cs="仿宋"/>
          <w:lang w:eastAsia="zh-CN"/>
        </w:rPr>
      </w:pPr>
    </w:p>
    <w:p w14:paraId="447B67B9">
      <w:pPr>
        <w:rPr>
          <w:rFonts w:hint="eastAsia" w:ascii="仿宋" w:hAnsi="仿宋" w:eastAsia="仿宋" w:cs="仿宋"/>
          <w:lang w:eastAsia="zh-CN"/>
        </w:rPr>
      </w:pPr>
    </w:p>
    <w:p w14:paraId="49162C99">
      <w:pPr>
        <w:rPr>
          <w:rFonts w:hint="eastAsia" w:ascii="仿宋" w:hAnsi="仿宋" w:eastAsia="仿宋" w:cs="仿宋"/>
          <w:lang w:eastAsia="zh-CN"/>
        </w:rPr>
      </w:pPr>
    </w:p>
    <w:p w14:paraId="6AE83152">
      <w:pPr>
        <w:pStyle w:val="29"/>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仿宋" w:hAnsi="仿宋" w:eastAsia="仿宋" w:cs="仿宋"/>
          <w:snapToGrid w:val="0"/>
          <w:color w:val="000000"/>
          <w:kern w:val="0"/>
          <w:lang w:eastAsia="zh-CN"/>
        </w:rPr>
      </w:pPr>
      <w:r>
        <w:rPr>
          <w:rFonts w:hint="eastAsia" w:ascii="仿宋" w:hAnsi="仿宋" w:eastAsia="仿宋" w:cs="仿宋"/>
          <w:snapToGrid w:val="0"/>
          <w:color w:val="000000"/>
          <w:kern w:val="0"/>
          <w:lang w:val="en-US" w:eastAsia="zh-CN"/>
        </w:rPr>
        <w:t>十二、</w:t>
      </w:r>
      <w:r>
        <w:rPr>
          <w:rFonts w:hint="eastAsia" w:ascii="仿宋" w:hAnsi="仿宋" w:eastAsia="仿宋" w:cs="仿宋"/>
          <w:snapToGrid w:val="0"/>
          <w:color w:val="000000"/>
          <w:kern w:val="0"/>
          <w:lang w:eastAsia="zh-CN"/>
        </w:rPr>
        <w:t>其他（如有，</w:t>
      </w:r>
      <w:r>
        <w:rPr>
          <w:rFonts w:hint="eastAsia" w:ascii="仿宋" w:hAnsi="仿宋" w:eastAsia="仿宋" w:cs="仿宋"/>
          <w:snapToGrid w:val="0"/>
          <w:color w:val="000000"/>
          <w:kern w:val="0"/>
          <w:lang w:val="en-US" w:eastAsia="zh-CN"/>
        </w:rPr>
        <w:t>加盖电子公章</w:t>
      </w:r>
      <w:r>
        <w:rPr>
          <w:rFonts w:hint="eastAsia" w:ascii="仿宋" w:hAnsi="仿宋" w:eastAsia="仿宋" w:cs="仿宋"/>
          <w:snapToGrid w:val="0"/>
          <w:color w:val="000000"/>
          <w:kern w:val="0"/>
          <w:lang w:eastAsia="zh-CN"/>
        </w:rPr>
        <w:t>）</w:t>
      </w:r>
    </w:p>
    <w:bookmarkEnd w:id="150"/>
    <w:bookmarkEnd w:id="151"/>
    <w:p w14:paraId="5C3BD284">
      <w:pPr>
        <w:spacing w:line="588" w:lineRule="exact"/>
        <w:ind w:right="1560" w:firstLine="420" w:firstLineChars="200"/>
        <w:jc w:val="center"/>
        <w:textAlignment w:val="baseline"/>
        <w:rPr>
          <w:rFonts w:hint="eastAsia" w:ascii="仿宋" w:hAnsi="仿宋" w:eastAsia="仿宋" w:cs="仿宋"/>
          <w:color w:val="auto"/>
          <w:highlight w:val="none"/>
        </w:rPr>
      </w:pPr>
    </w:p>
    <w:sectPr>
      <w:headerReference r:id="rId11" w:type="default"/>
      <w:footerReference r:id="rId12" w:type="default"/>
      <w:pgSz w:w="11906" w:h="16838"/>
      <w:pgMar w:top="1440" w:right="1080" w:bottom="1440" w:left="1080" w:header="851" w:footer="992" w:gutter="0"/>
      <w:cols w:space="0" w:num="1"/>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6A9FC">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F4F1">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7AD10">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009A9">
    <w:pPr>
      <w:pStyle w:val="12"/>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F39CD">
                          <w:pPr>
                            <w:pStyle w:val="12"/>
                            <w:ind w:firstLine="36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59F39CD">
                    <w:pPr>
                      <w:pStyle w:val="12"/>
                      <w:ind w:firstLine="36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239FC">
    <w:pPr>
      <w:pStyle w:val="13"/>
      <w:pBdr>
        <w:bottom w:val="single" w:color="auto" w:sz="4" w:space="1"/>
      </w:pBdr>
      <w:spacing w:line="240" w:lineRule="atLeast"/>
      <w:ind w:firstLine="0" w:firstLineChars="0"/>
      <w:jc w:val="both"/>
      <w:rPr>
        <w:rFonts w:hint="eastAsia" w:ascii="楷体" w:hAnsi="楷体" w:eastAsia="楷体" w:cs="楷体"/>
      </w:rPr>
    </w:pPr>
  </w:p>
  <w:p w14:paraId="7171F61F">
    <w:pPr>
      <w:pStyle w:val="13"/>
      <w:pBdr>
        <w:bottom w:val="single" w:color="auto" w:sz="4" w:space="1"/>
      </w:pBdr>
      <w:spacing w:line="240" w:lineRule="atLeast"/>
      <w:ind w:firstLine="360"/>
      <w:jc w:val="both"/>
      <w:rPr>
        <w:rFonts w:hint="eastAsia" w:ascii="楷体" w:hAnsi="楷体" w:eastAsia="楷体" w:cs="楷体"/>
      </w:rPr>
    </w:pPr>
    <w:r>
      <w:rPr>
        <w:rFonts w:hint="eastAsia" w:ascii="仿宋" w:hAnsi="仿宋" w:eastAsia="仿宋" w:cs="仿宋"/>
        <w:lang w:eastAsia="zh-CN"/>
      </w:rPr>
      <w:t>JSZC-320000-SDCX-C2026-0002</w:t>
    </w:r>
    <w:r>
      <w:rPr>
        <w:rFonts w:hint="eastAsia" w:ascii="仿宋" w:hAnsi="仿宋" w:eastAsia="仿宋" w:cs="仿宋"/>
      </w:rPr>
      <w:t xml:space="preserve">                                                            江苏达琛鑫项目管理有限公司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BBA00">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AA6F2">
    <w:pPr>
      <w:pStyle w:val="13"/>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EB84E">
    <w:pPr>
      <w:pStyle w:val="13"/>
      <w:pBdr>
        <w:bottom w:val="single" w:color="auto" w:sz="4" w:space="1"/>
      </w:pBdr>
      <w:spacing w:line="240" w:lineRule="auto"/>
      <w:ind w:firstLine="0" w:firstLineChars="0"/>
      <w:rPr>
        <w:rFonts w:hint="eastAsia" w:ascii="仿宋" w:hAnsi="仿宋" w:eastAsia="仿宋" w:cs="仿宋"/>
      </w:rPr>
    </w:pPr>
    <w:r>
      <w:rPr>
        <w:rFonts w:hint="eastAsia" w:ascii="仿宋" w:hAnsi="仿宋" w:eastAsia="仿宋" w:cs="仿宋"/>
        <w:lang w:eastAsia="zh-CN"/>
      </w:rPr>
      <w:t>JSZC-320000-SDCX-C2026-0002</w:t>
    </w:r>
    <w:r>
      <w:rPr>
        <w:rFonts w:hint="eastAsia" w:ascii="仿宋" w:hAnsi="仿宋" w:eastAsia="仿宋" w:cs="仿宋"/>
      </w:rPr>
      <w:t xml:space="preserve">                                                    江苏达琛鑫项目管理有限公司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F258C9"/>
    <w:multiLevelType w:val="singleLevel"/>
    <w:tmpl w:val="A9F258C9"/>
    <w:lvl w:ilvl="0" w:tentative="0">
      <w:start w:val="4"/>
      <w:numFmt w:val="decimal"/>
      <w:lvlText w:val="%1."/>
      <w:lvlJc w:val="left"/>
      <w:pPr>
        <w:tabs>
          <w:tab w:val="left" w:pos="312"/>
        </w:tabs>
      </w:pPr>
    </w:lvl>
  </w:abstractNum>
  <w:abstractNum w:abstractNumId="1">
    <w:nsid w:val="B6E75315"/>
    <w:multiLevelType w:val="singleLevel"/>
    <w:tmpl w:val="B6E75315"/>
    <w:lvl w:ilvl="0" w:tentative="0">
      <w:start w:val="1"/>
      <w:numFmt w:val="chineseCounting"/>
      <w:suff w:val="nothing"/>
      <w:lvlText w:val="%1、"/>
      <w:lvlJc w:val="left"/>
      <w:rPr>
        <w:rFonts w:hint="eastAsia"/>
      </w:rPr>
    </w:lvl>
  </w:abstractNum>
  <w:abstractNum w:abstractNumId="2">
    <w:nsid w:val="00000004"/>
    <w:multiLevelType w:val="singleLevel"/>
    <w:tmpl w:val="00000004"/>
    <w:lvl w:ilvl="0" w:tentative="0">
      <w:start w:val="2"/>
      <w:numFmt w:val="chineseCounting"/>
      <w:suff w:val="nothing"/>
      <w:lvlText w:val="%1、"/>
      <w:lvlJc w:val="left"/>
      <w:rPr>
        <w:rFonts w:hint="eastAsia"/>
      </w:rPr>
    </w:lvl>
  </w:abstractNum>
  <w:abstractNum w:abstractNumId="3">
    <w:nsid w:val="00000007"/>
    <w:multiLevelType w:val="multilevel"/>
    <w:tmpl w:val="00000007"/>
    <w:lvl w:ilvl="0" w:tentative="0">
      <w:start w:val="1"/>
      <w:numFmt w:val="decimal"/>
      <w:pStyle w:val="2"/>
      <w:suff w:val="nothing"/>
      <w:lvlText w:val="第 %1 部分 "/>
      <w:lvlJc w:val="left"/>
      <w:rPr>
        <w:rFonts w:hint="eastAsia" w:ascii="黑体" w:hAnsi="宋体" w:eastAsia="黑体"/>
        <w:b/>
        <w:bCs/>
        <w:i w:val="0"/>
        <w:iCs w:val="0"/>
        <w:caps w:val="0"/>
        <w:smallCaps w:val="0"/>
        <w:spacing w:val="0"/>
        <w:position w:val="0"/>
        <w:u w:val="none"/>
        <w:vertAlign w:val="baseline"/>
      </w:rPr>
    </w:lvl>
    <w:lvl w:ilvl="1" w:tentative="0">
      <w:start w:val="1"/>
      <w:numFmt w:val="decimal"/>
      <w:pStyle w:val="3"/>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4">
    <w:nsid w:val="3D6FA580"/>
    <w:multiLevelType w:val="singleLevel"/>
    <w:tmpl w:val="3D6FA580"/>
    <w:lvl w:ilvl="0" w:tentative="0">
      <w:start w:val="6"/>
      <w:numFmt w:val="chineseCounting"/>
      <w:suff w:val="nothing"/>
      <w:lvlText w:val="%1、"/>
      <w:lvlJc w:val="left"/>
      <w:rPr>
        <w:rFonts w:hint="eastAsia"/>
      </w:rPr>
    </w:lvl>
  </w:abstractNum>
  <w:abstractNum w:abstractNumId="5">
    <w:nsid w:val="3F22B744"/>
    <w:multiLevelType w:val="singleLevel"/>
    <w:tmpl w:val="3F22B744"/>
    <w:lvl w:ilvl="0" w:tentative="0">
      <w:start w:val="1"/>
      <w:numFmt w:val="chineseCounting"/>
      <w:suff w:val="nothing"/>
      <w:lvlText w:val="%1、"/>
      <w:lvlJc w:val="left"/>
      <w:pPr>
        <w:ind w:left="0" w:firstLine="420"/>
      </w:pPr>
      <w:rPr>
        <w:rFonts w:hint="eastAsia"/>
      </w:rPr>
    </w:lvl>
  </w:abstractNum>
  <w:abstractNum w:abstractNumId="6">
    <w:nsid w:val="69C2946E"/>
    <w:multiLevelType w:val="singleLevel"/>
    <w:tmpl w:val="69C2946E"/>
    <w:lvl w:ilvl="0" w:tentative="0">
      <w:start w:val="1"/>
      <w:numFmt w:val="decimal"/>
      <w:suff w:val="nothing"/>
      <w:lvlText w:val="%1、"/>
      <w:lvlJc w:val="left"/>
    </w:lvl>
  </w:abstractNum>
  <w:abstractNum w:abstractNumId="7">
    <w:nsid w:val="69C29644"/>
    <w:multiLevelType w:val="singleLevel"/>
    <w:tmpl w:val="69C29644"/>
    <w:lvl w:ilvl="0" w:tentative="0">
      <w:start w:val="1"/>
      <w:numFmt w:val="decimal"/>
      <w:suff w:val="nothing"/>
      <w:lvlText w:val="%1、"/>
      <w:lvlJc w:val="left"/>
    </w:lvl>
  </w:abstractNum>
  <w:abstractNum w:abstractNumId="8">
    <w:nsid w:val="69C2A662"/>
    <w:multiLevelType w:val="singleLevel"/>
    <w:tmpl w:val="69C2A662"/>
    <w:lvl w:ilvl="0" w:tentative="0">
      <w:start w:val="1"/>
      <w:numFmt w:val="decimal"/>
      <w:suff w:val="nothing"/>
      <w:lvlText w:val="（%1）"/>
      <w:lvlJc w:val="left"/>
    </w:lvl>
  </w:abstractNum>
  <w:num w:numId="1">
    <w:abstractNumId w:val="3"/>
  </w:num>
  <w:num w:numId="2">
    <w:abstractNumId w:val="1"/>
  </w:num>
  <w:num w:numId="3">
    <w:abstractNumId w:val="4"/>
  </w:num>
  <w:num w:numId="4">
    <w:abstractNumId w:val="0"/>
  </w:num>
  <w:num w:numId="5">
    <w:abstractNumId w:val="5"/>
  </w:num>
  <w:num w:numId="6">
    <w:abstractNumId w:val="7"/>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yZGEyN2E4MTBjZDZiMWI1NmFkNGQyMmRmMDFhYjAifQ=="/>
  </w:docVars>
  <w:rsids>
    <w:rsidRoot w:val="764500C9"/>
    <w:rsid w:val="000374E4"/>
    <w:rsid w:val="00063B20"/>
    <w:rsid w:val="000647FD"/>
    <w:rsid w:val="00116BAC"/>
    <w:rsid w:val="00186387"/>
    <w:rsid w:val="001D68FF"/>
    <w:rsid w:val="00207EDD"/>
    <w:rsid w:val="00216A3E"/>
    <w:rsid w:val="00230136"/>
    <w:rsid w:val="002A213C"/>
    <w:rsid w:val="002D427D"/>
    <w:rsid w:val="002E27AE"/>
    <w:rsid w:val="00331313"/>
    <w:rsid w:val="00370EE3"/>
    <w:rsid w:val="003B4F7F"/>
    <w:rsid w:val="003E2A51"/>
    <w:rsid w:val="004153B9"/>
    <w:rsid w:val="004452CA"/>
    <w:rsid w:val="00456728"/>
    <w:rsid w:val="004B1278"/>
    <w:rsid w:val="004D19FC"/>
    <w:rsid w:val="004E4C68"/>
    <w:rsid w:val="00515A0D"/>
    <w:rsid w:val="00545DD0"/>
    <w:rsid w:val="00570EBE"/>
    <w:rsid w:val="00576837"/>
    <w:rsid w:val="005921E2"/>
    <w:rsid w:val="005C0075"/>
    <w:rsid w:val="005E22CE"/>
    <w:rsid w:val="005F1E12"/>
    <w:rsid w:val="00630F5A"/>
    <w:rsid w:val="00637931"/>
    <w:rsid w:val="0063797F"/>
    <w:rsid w:val="00641E35"/>
    <w:rsid w:val="00655082"/>
    <w:rsid w:val="006905B7"/>
    <w:rsid w:val="00697268"/>
    <w:rsid w:val="007118EB"/>
    <w:rsid w:val="00712BDA"/>
    <w:rsid w:val="00770D2D"/>
    <w:rsid w:val="007F389A"/>
    <w:rsid w:val="00810384"/>
    <w:rsid w:val="00866C4F"/>
    <w:rsid w:val="00867104"/>
    <w:rsid w:val="00881F7D"/>
    <w:rsid w:val="00884617"/>
    <w:rsid w:val="00885ABA"/>
    <w:rsid w:val="008E1986"/>
    <w:rsid w:val="009169A2"/>
    <w:rsid w:val="00921C94"/>
    <w:rsid w:val="00932D9D"/>
    <w:rsid w:val="009909EA"/>
    <w:rsid w:val="00A062BB"/>
    <w:rsid w:val="00A33FA6"/>
    <w:rsid w:val="00A602DF"/>
    <w:rsid w:val="00AE6F3C"/>
    <w:rsid w:val="00B133E2"/>
    <w:rsid w:val="00B208DD"/>
    <w:rsid w:val="00B23003"/>
    <w:rsid w:val="00B61DA3"/>
    <w:rsid w:val="00B806C4"/>
    <w:rsid w:val="00BB5B8F"/>
    <w:rsid w:val="00BC4E5D"/>
    <w:rsid w:val="00C03B25"/>
    <w:rsid w:val="00C14B91"/>
    <w:rsid w:val="00C23B4A"/>
    <w:rsid w:val="00C61B8F"/>
    <w:rsid w:val="00C8760B"/>
    <w:rsid w:val="00CC5FF9"/>
    <w:rsid w:val="00CF6A74"/>
    <w:rsid w:val="00D36B92"/>
    <w:rsid w:val="00D37F56"/>
    <w:rsid w:val="00D445B0"/>
    <w:rsid w:val="00D61726"/>
    <w:rsid w:val="00DB116D"/>
    <w:rsid w:val="00DC1D8B"/>
    <w:rsid w:val="00DC340B"/>
    <w:rsid w:val="00DD6E15"/>
    <w:rsid w:val="00DF2F17"/>
    <w:rsid w:val="00E056ED"/>
    <w:rsid w:val="00E9110D"/>
    <w:rsid w:val="00E958E8"/>
    <w:rsid w:val="00EA31A2"/>
    <w:rsid w:val="00EC3478"/>
    <w:rsid w:val="00EC57D5"/>
    <w:rsid w:val="00ED7949"/>
    <w:rsid w:val="00EE7AAD"/>
    <w:rsid w:val="00F27D08"/>
    <w:rsid w:val="00F30865"/>
    <w:rsid w:val="00F30870"/>
    <w:rsid w:val="00F416D6"/>
    <w:rsid w:val="00F539CD"/>
    <w:rsid w:val="00F865CD"/>
    <w:rsid w:val="01626374"/>
    <w:rsid w:val="018502B5"/>
    <w:rsid w:val="019422A6"/>
    <w:rsid w:val="01A06E9D"/>
    <w:rsid w:val="020E3ABD"/>
    <w:rsid w:val="0210222A"/>
    <w:rsid w:val="026D2DA0"/>
    <w:rsid w:val="028A1957"/>
    <w:rsid w:val="032A279F"/>
    <w:rsid w:val="037B196F"/>
    <w:rsid w:val="03C73C40"/>
    <w:rsid w:val="043B2EAD"/>
    <w:rsid w:val="04B30C95"/>
    <w:rsid w:val="04D22D00"/>
    <w:rsid w:val="04F217D9"/>
    <w:rsid w:val="0534113D"/>
    <w:rsid w:val="053C6EDC"/>
    <w:rsid w:val="055E0A2E"/>
    <w:rsid w:val="058218B8"/>
    <w:rsid w:val="058D549D"/>
    <w:rsid w:val="05D12528"/>
    <w:rsid w:val="05DF2399"/>
    <w:rsid w:val="05E645AA"/>
    <w:rsid w:val="0620067D"/>
    <w:rsid w:val="0659561B"/>
    <w:rsid w:val="06700A8E"/>
    <w:rsid w:val="069D505E"/>
    <w:rsid w:val="06C44870"/>
    <w:rsid w:val="06C45BA7"/>
    <w:rsid w:val="06C50E73"/>
    <w:rsid w:val="07325917"/>
    <w:rsid w:val="08690845"/>
    <w:rsid w:val="086F3039"/>
    <w:rsid w:val="08FA3CB8"/>
    <w:rsid w:val="09297019"/>
    <w:rsid w:val="098715CE"/>
    <w:rsid w:val="09C7388E"/>
    <w:rsid w:val="09E83B71"/>
    <w:rsid w:val="0A416F02"/>
    <w:rsid w:val="0A456833"/>
    <w:rsid w:val="0AE15EC9"/>
    <w:rsid w:val="0B1F2F4E"/>
    <w:rsid w:val="0B2674CC"/>
    <w:rsid w:val="0B642B47"/>
    <w:rsid w:val="0BFE4EEC"/>
    <w:rsid w:val="0C316C0D"/>
    <w:rsid w:val="0C5D092F"/>
    <w:rsid w:val="0CE3778F"/>
    <w:rsid w:val="0D9602CC"/>
    <w:rsid w:val="0DA47D15"/>
    <w:rsid w:val="0E1032A1"/>
    <w:rsid w:val="0E1F1149"/>
    <w:rsid w:val="0E56100F"/>
    <w:rsid w:val="0E660B78"/>
    <w:rsid w:val="0E7E2169"/>
    <w:rsid w:val="0E882FE5"/>
    <w:rsid w:val="0EA969AA"/>
    <w:rsid w:val="0EAF1804"/>
    <w:rsid w:val="0EDE5518"/>
    <w:rsid w:val="0F072309"/>
    <w:rsid w:val="0F443720"/>
    <w:rsid w:val="0F6948D6"/>
    <w:rsid w:val="0F7E3051"/>
    <w:rsid w:val="0F8A741A"/>
    <w:rsid w:val="0F9B1E29"/>
    <w:rsid w:val="0F9C1555"/>
    <w:rsid w:val="0FF94DA2"/>
    <w:rsid w:val="10000F3D"/>
    <w:rsid w:val="100909FE"/>
    <w:rsid w:val="10404EC5"/>
    <w:rsid w:val="105A46BB"/>
    <w:rsid w:val="10606175"/>
    <w:rsid w:val="11252F1A"/>
    <w:rsid w:val="11334E37"/>
    <w:rsid w:val="115B371B"/>
    <w:rsid w:val="11BE4AFF"/>
    <w:rsid w:val="11F8209C"/>
    <w:rsid w:val="12215623"/>
    <w:rsid w:val="125908D2"/>
    <w:rsid w:val="12BE7183"/>
    <w:rsid w:val="12FA2DB5"/>
    <w:rsid w:val="13181F25"/>
    <w:rsid w:val="136F4921"/>
    <w:rsid w:val="137F2DB6"/>
    <w:rsid w:val="13C06F2A"/>
    <w:rsid w:val="13C7506C"/>
    <w:rsid w:val="13D810D5"/>
    <w:rsid w:val="13E72ADA"/>
    <w:rsid w:val="141334FE"/>
    <w:rsid w:val="141F09C2"/>
    <w:rsid w:val="14626706"/>
    <w:rsid w:val="147D56FE"/>
    <w:rsid w:val="14BE0B6A"/>
    <w:rsid w:val="14D42C8D"/>
    <w:rsid w:val="14D964F6"/>
    <w:rsid w:val="14DC5885"/>
    <w:rsid w:val="150C68CB"/>
    <w:rsid w:val="15277D36"/>
    <w:rsid w:val="152B1668"/>
    <w:rsid w:val="15C62573"/>
    <w:rsid w:val="15C94DE8"/>
    <w:rsid w:val="168F3A04"/>
    <w:rsid w:val="169D455F"/>
    <w:rsid w:val="16A3500D"/>
    <w:rsid w:val="16B8050F"/>
    <w:rsid w:val="16C60CFC"/>
    <w:rsid w:val="16CF7BB0"/>
    <w:rsid w:val="16D927DD"/>
    <w:rsid w:val="16DE0D4E"/>
    <w:rsid w:val="16E11692"/>
    <w:rsid w:val="16F5513D"/>
    <w:rsid w:val="171C1C63"/>
    <w:rsid w:val="17383A9A"/>
    <w:rsid w:val="17473074"/>
    <w:rsid w:val="175E71E6"/>
    <w:rsid w:val="17B17D7F"/>
    <w:rsid w:val="17C50FB3"/>
    <w:rsid w:val="17F378CF"/>
    <w:rsid w:val="17F63141"/>
    <w:rsid w:val="18A33B4C"/>
    <w:rsid w:val="18AC0851"/>
    <w:rsid w:val="18AD1DCB"/>
    <w:rsid w:val="18B21538"/>
    <w:rsid w:val="18BD7EDC"/>
    <w:rsid w:val="190C7D15"/>
    <w:rsid w:val="191A1956"/>
    <w:rsid w:val="19F52027"/>
    <w:rsid w:val="1A9E02D5"/>
    <w:rsid w:val="1ABB5603"/>
    <w:rsid w:val="1AC64DEC"/>
    <w:rsid w:val="1AFE6CB6"/>
    <w:rsid w:val="1B653C2B"/>
    <w:rsid w:val="1BE2234B"/>
    <w:rsid w:val="1C0B72B1"/>
    <w:rsid w:val="1C413834"/>
    <w:rsid w:val="1C961170"/>
    <w:rsid w:val="1CB4699D"/>
    <w:rsid w:val="1CBE55B6"/>
    <w:rsid w:val="1CD86955"/>
    <w:rsid w:val="1D0D54B9"/>
    <w:rsid w:val="1D4B3D09"/>
    <w:rsid w:val="1DAD751A"/>
    <w:rsid w:val="1DB268C5"/>
    <w:rsid w:val="1DBB6F17"/>
    <w:rsid w:val="1DE8016A"/>
    <w:rsid w:val="1DF510EF"/>
    <w:rsid w:val="1E9A1D9F"/>
    <w:rsid w:val="1EDD33D4"/>
    <w:rsid w:val="1F624061"/>
    <w:rsid w:val="1FB922B6"/>
    <w:rsid w:val="1FD942F5"/>
    <w:rsid w:val="200E01D7"/>
    <w:rsid w:val="20375D57"/>
    <w:rsid w:val="20873494"/>
    <w:rsid w:val="213A031C"/>
    <w:rsid w:val="21A015F5"/>
    <w:rsid w:val="22433284"/>
    <w:rsid w:val="22546672"/>
    <w:rsid w:val="225C679B"/>
    <w:rsid w:val="22644903"/>
    <w:rsid w:val="22832569"/>
    <w:rsid w:val="228A52D3"/>
    <w:rsid w:val="22A9157D"/>
    <w:rsid w:val="22D90B99"/>
    <w:rsid w:val="235B489E"/>
    <w:rsid w:val="23875946"/>
    <w:rsid w:val="2412732E"/>
    <w:rsid w:val="242723CA"/>
    <w:rsid w:val="24660D15"/>
    <w:rsid w:val="24C41C93"/>
    <w:rsid w:val="24DF75B7"/>
    <w:rsid w:val="24E24F53"/>
    <w:rsid w:val="24ED091C"/>
    <w:rsid w:val="25A11B95"/>
    <w:rsid w:val="25B350E1"/>
    <w:rsid w:val="25C1725E"/>
    <w:rsid w:val="25DE0E47"/>
    <w:rsid w:val="262F1860"/>
    <w:rsid w:val="26422613"/>
    <w:rsid w:val="26924E35"/>
    <w:rsid w:val="26A2565A"/>
    <w:rsid w:val="26FC4342"/>
    <w:rsid w:val="27702CEA"/>
    <w:rsid w:val="27DF6F67"/>
    <w:rsid w:val="27E168C8"/>
    <w:rsid w:val="27F20CBB"/>
    <w:rsid w:val="281766AF"/>
    <w:rsid w:val="28230B9F"/>
    <w:rsid w:val="283D7CCB"/>
    <w:rsid w:val="285F61AF"/>
    <w:rsid w:val="28837213"/>
    <w:rsid w:val="28964FEA"/>
    <w:rsid w:val="289B16A2"/>
    <w:rsid w:val="28AE4351"/>
    <w:rsid w:val="28AF284D"/>
    <w:rsid w:val="28BC781F"/>
    <w:rsid w:val="28F35A83"/>
    <w:rsid w:val="297F64ED"/>
    <w:rsid w:val="29887DFD"/>
    <w:rsid w:val="29A02323"/>
    <w:rsid w:val="29A25F55"/>
    <w:rsid w:val="2A415045"/>
    <w:rsid w:val="2BB601D7"/>
    <w:rsid w:val="2BD44BCD"/>
    <w:rsid w:val="2C422574"/>
    <w:rsid w:val="2C8121F8"/>
    <w:rsid w:val="2CA927FA"/>
    <w:rsid w:val="2CC876FD"/>
    <w:rsid w:val="2CE455E0"/>
    <w:rsid w:val="2CF02708"/>
    <w:rsid w:val="2D5460BA"/>
    <w:rsid w:val="2D5F02DC"/>
    <w:rsid w:val="2DB651CE"/>
    <w:rsid w:val="2DD22B23"/>
    <w:rsid w:val="2DE57862"/>
    <w:rsid w:val="2E386BB9"/>
    <w:rsid w:val="2E53502F"/>
    <w:rsid w:val="2E6463FD"/>
    <w:rsid w:val="2E892F60"/>
    <w:rsid w:val="2EDA6E9C"/>
    <w:rsid w:val="2FAF353A"/>
    <w:rsid w:val="2FDE2151"/>
    <w:rsid w:val="2FFB056A"/>
    <w:rsid w:val="3004646E"/>
    <w:rsid w:val="302D4B96"/>
    <w:rsid w:val="306901F3"/>
    <w:rsid w:val="30A448A3"/>
    <w:rsid w:val="30B359F5"/>
    <w:rsid w:val="30B87426"/>
    <w:rsid w:val="30BE5A68"/>
    <w:rsid w:val="30DC589F"/>
    <w:rsid w:val="31A1597F"/>
    <w:rsid w:val="31E90E35"/>
    <w:rsid w:val="320E382B"/>
    <w:rsid w:val="323A4620"/>
    <w:rsid w:val="3260395B"/>
    <w:rsid w:val="32797297"/>
    <w:rsid w:val="32C26754"/>
    <w:rsid w:val="32E853E6"/>
    <w:rsid w:val="3361163C"/>
    <w:rsid w:val="33A97DE9"/>
    <w:rsid w:val="33C00B55"/>
    <w:rsid w:val="341C31C5"/>
    <w:rsid w:val="34724240"/>
    <w:rsid w:val="34B174C1"/>
    <w:rsid w:val="34C673D6"/>
    <w:rsid w:val="352B0250"/>
    <w:rsid w:val="3566572C"/>
    <w:rsid w:val="358B4481"/>
    <w:rsid w:val="35D20537"/>
    <w:rsid w:val="35E148C1"/>
    <w:rsid w:val="36730100"/>
    <w:rsid w:val="369A647B"/>
    <w:rsid w:val="370C5E5F"/>
    <w:rsid w:val="376778FC"/>
    <w:rsid w:val="37904CE2"/>
    <w:rsid w:val="379D3729"/>
    <w:rsid w:val="37B409D1"/>
    <w:rsid w:val="3836588A"/>
    <w:rsid w:val="388457C5"/>
    <w:rsid w:val="389231C7"/>
    <w:rsid w:val="38936601"/>
    <w:rsid w:val="38D65A42"/>
    <w:rsid w:val="391677C1"/>
    <w:rsid w:val="393B5939"/>
    <w:rsid w:val="397274C1"/>
    <w:rsid w:val="398C14D9"/>
    <w:rsid w:val="398D4278"/>
    <w:rsid w:val="39A71116"/>
    <w:rsid w:val="39AC516F"/>
    <w:rsid w:val="39D8182D"/>
    <w:rsid w:val="3A092A6B"/>
    <w:rsid w:val="3A283CA3"/>
    <w:rsid w:val="3A873428"/>
    <w:rsid w:val="3A8834F8"/>
    <w:rsid w:val="3AA41785"/>
    <w:rsid w:val="3AAE79C1"/>
    <w:rsid w:val="3AC34295"/>
    <w:rsid w:val="3B183024"/>
    <w:rsid w:val="3B3236F8"/>
    <w:rsid w:val="3B5941FC"/>
    <w:rsid w:val="3B860C92"/>
    <w:rsid w:val="3B892174"/>
    <w:rsid w:val="3B936B4F"/>
    <w:rsid w:val="3BA46ED8"/>
    <w:rsid w:val="3BE46816"/>
    <w:rsid w:val="3C2A5659"/>
    <w:rsid w:val="3C654D26"/>
    <w:rsid w:val="3D0806D8"/>
    <w:rsid w:val="3D363C36"/>
    <w:rsid w:val="3D3D3705"/>
    <w:rsid w:val="3D916A12"/>
    <w:rsid w:val="3EA60B13"/>
    <w:rsid w:val="3F292BA3"/>
    <w:rsid w:val="3F9A4950"/>
    <w:rsid w:val="3FAA1280"/>
    <w:rsid w:val="3FAE2FB5"/>
    <w:rsid w:val="406C4147"/>
    <w:rsid w:val="41032081"/>
    <w:rsid w:val="410F5ABF"/>
    <w:rsid w:val="41816BDF"/>
    <w:rsid w:val="41961147"/>
    <w:rsid w:val="41986319"/>
    <w:rsid w:val="41E22888"/>
    <w:rsid w:val="4205408F"/>
    <w:rsid w:val="420B6DD4"/>
    <w:rsid w:val="426B7BBA"/>
    <w:rsid w:val="42A82789"/>
    <w:rsid w:val="42BF281B"/>
    <w:rsid w:val="42BF495A"/>
    <w:rsid w:val="42EB589D"/>
    <w:rsid w:val="42F75A6F"/>
    <w:rsid w:val="43591A91"/>
    <w:rsid w:val="43760227"/>
    <w:rsid w:val="43F920A9"/>
    <w:rsid w:val="44110F59"/>
    <w:rsid w:val="44112F2B"/>
    <w:rsid w:val="441909AD"/>
    <w:rsid w:val="444C4F69"/>
    <w:rsid w:val="44655746"/>
    <w:rsid w:val="44F22C0D"/>
    <w:rsid w:val="45216F7A"/>
    <w:rsid w:val="454F7DCA"/>
    <w:rsid w:val="4557299B"/>
    <w:rsid w:val="45F152FF"/>
    <w:rsid w:val="46A2147A"/>
    <w:rsid w:val="476E191F"/>
    <w:rsid w:val="47836DC1"/>
    <w:rsid w:val="48C540C0"/>
    <w:rsid w:val="48C601B9"/>
    <w:rsid w:val="48CC6FD5"/>
    <w:rsid w:val="48D9309F"/>
    <w:rsid w:val="48E82B89"/>
    <w:rsid w:val="490270C2"/>
    <w:rsid w:val="495A03DF"/>
    <w:rsid w:val="49956188"/>
    <w:rsid w:val="4A197447"/>
    <w:rsid w:val="4A1C1F7D"/>
    <w:rsid w:val="4A39294E"/>
    <w:rsid w:val="4A6212A5"/>
    <w:rsid w:val="4BF04BBE"/>
    <w:rsid w:val="4BFD4D75"/>
    <w:rsid w:val="4C43246E"/>
    <w:rsid w:val="4DC204EB"/>
    <w:rsid w:val="4DEA7E67"/>
    <w:rsid w:val="4DFC2FC7"/>
    <w:rsid w:val="4E285222"/>
    <w:rsid w:val="4E327B41"/>
    <w:rsid w:val="4E346B38"/>
    <w:rsid w:val="4E7110CC"/>
    <w:rsid w:val="4EEC05F8"/>
    <w:rsid w:val="4F3855EC"/>
    <w:rsid w:val="4F797711"/>
    <w:rsid w:val="4FD550A2"/>
    <w:rsid w:val="505F1F08"/>
    <w:rsid w:val="50AB003F"/>
    <w:rsid w:val="50CC6933"/>
    <w:rsid w:val="512E1092"/>
    <w:rsid w:val="51305806"/>
    <w:rsid w:val="5153343D"/>
    <w:rsid w:val="516F2435"/>
    <w:rsid w:val="51BA47DE"/>
    <w:rsid w:val="51D24241"/>
    <w:rsid w:val="51DD4905"/>
    <w:rsid w:val="527252B8"/>
    <w:rsid w:val="53831FA8"/>
    <w:rsid w:val="53BF452D"/>
    <w:rsid w:val="53C315D6"/>
    <w:rsid w:val="54372316"/>
    <w:rsid w:val="54EB04C1"/>
    <w:rsid w:val="554051FA"/>
    <w:rsid w:val="55453AE8"/>
    <w:rsid w:val="56093AF7"/>
    <w:rsid w:val="5684380C"/>
    <w:rsid w:val="569F71AF"/>
    <w:rsid w:val="56AB4841"/>
    <w:rsid w:val="56AD4B11"/>
    <w:rsid w:val="5717055C"/>
    <w:rsid w:val="57567478"/>
    <w:rsid w:val="57744F93"/>
    <w:rsid w:val="57792C45"/>
    <w:rsid w:val="579730CB"/>
    <w:rsid w:val="57F338AB"/>
    <w:rsid w:val="58993514"/>
    <w:rsid w:val="58C163D9"/>
    <w:rsid w:val="595028AA"/>
    <w:rsid w:val="59574990"/>
    <w:rsid w:val="59656A6D"/>
    <w:rsid w:val="599D70BF"/>
    <w:rsid w:val="59A87624"/>
    <w:rsid w:val="59E82607"/>
    <w:rsid w:val="5A023CF9"/>
    <w:rsid w:val="5A6A0A65"/>
    <w:rsid w:val="5A8913F1"/>
    <w:rsid w:val="5AB34E1E"/>
    <w:rsid w:val="5AC430CC"/>
    <w:rsid w:val="5B20369D"/>
    <w:rsid w:val="5B296730"/>
    <w:rsid w:val="5BBC7778"/>
    <w:rsid w:val="5C3166BC"/>
    <w:rsid w:val="5C3201A5"/>
    <w:rsid w:val="5CA74588"/>
    <w:rsid w:val="5CB07976"/>
    <w:rsid w:val="5CC613FD"/>
    <w:rsid w:val="5CD66444"/>
    <w:rsid w:val="5D1F2797"/>
    <w:rsid w:val="5D2B6C2E"/>
    <w:rsid w:val="5D6723AC"/>
    <w:rsid w:val="5DC3391C"/>
    <w:rsid w:val="5E2818A0"/>
    <w:rsid w:val="5E947656"/>
    <w:rsid w:val="5F0D1254"/>
    <w:rsid w:val="5F5C7154"/>
    <w:rsid w:val="5FB932DC"/>
    <w:rsid w:val="60161979"/>
    <w:rsid w:val="602C50B7"/>
    <w:rsid w:val="602D5EE7"/>
    <w:rsid w:val="60B0212D"/>
    <w:rsid w:val="60C018E5"/>
    <w:rsid w:val="60E55C4F"/>
    <w:rsid w:val="61010707"/>
    <w:rsid w:val="612202E4"/>
    <w:rsid w:val="61982D5D"/>
    <w:rsid w:val="61D01CF8"/>
    <w:rsid w:val="61D31E1C"/>
    <w:rsid w:val="61D85C18"/>
    <w:rsid w:val="61E353B6"/>
    <w:rsid w:val="62316557"/>
    <w:rsid w:val="62354BCE"/>
    <w:rsid w:val="62532C8D"/>
    <w:rsid w:val="627036B6"/>
    <w:rsid w:val="6278621C"/>
    <w:rsid w:val="62BA520D"/>
    <w:rsid w:val="62CB5446"/>
    <w:rsid w:val="632D38B1"/>
    <w:rsid w:val="63452778"/>
    <w:rsid w:val="637846F9"/>
    <w:rsid w:val="638567A7"/>
    <w:rsid w:val="63A159FD"/>
    <w:rsid w:val="63A66D95"/>
    <w:rsid w:val="63D01E3F"/>
    <w:rsid w:val="641125B3"/>
    <w:rsid w:val="64244CEF"/>
    <w:rsid w:val="642A5891"/>
    <w:rsid w:val="65534AD5"/>
    <w:rsid w:val="65F737B9"/>
    <w:rsid w:val="66806A2A"/>
    <w:rsid w:val="66D07DB4"/>
    <w:rsid w:val="67082171"/>
    <w:rsid w:val="67535538"/>
    <w:rsid w:val="67A352B0"/>
    <w:rsid w:val="67ED1A09"/>
    <w:rsid w:val="67F40245"/>
    <w:rsid w:val="67FA1B80"/>
    <w:rsid w:val="6842701C"/>
    <w:rsid w:val="684F5168"/>
    <w:rsid w:val="695F613F"/>
    <w:rsid w:val="69636A9B"/>
    <w:rsid w:val="698514C1"/>
    <w:rsid w:val="69D46497"/>
    <w:rsid w:val="6A060D38"/>
    <w:rsid w:val="6A1824CC"/>
    <w:rsid w:val="6A383AFE"/>
    <w:rsid w:val="6A75300F"/>
    <w:rsid w:val="6A9D3B1B"/>
    <w:rsid w:val="6B1B40B9"/>
    <w:rsid w:val="6B9D4B03"/>
    <w:rsid w:val="6C0A53E0"/>
    <w:rsid w:val="6C0B13F9"/>
    <w:rsid w:val="6C2B5634"/>
    <w:rsid w:val="6C546790"/>
    <w:rsid w:val="6C8071A0"/>
    <w:rsid w:val="6CC91E58"/>
    <w:rsid w:val="6D1A2E8D"/>
    <w:rsid w:val="6D337899"/>
    <w:rsid w:val="6D4C1214"/>
    <w:rsid w:val="6D6C6CA9"/>
    <w:rsid w:val="6DE60142"/>
    <w:rsid w:val="6E223E11"/>
    <w:rsid w:val="6E464647"/>
    <w:rsid w:val="6E4E23C0"/>
    <w:rsid w:val="6E5879DA"/>
    <w:rsid w:val="6E5C6C5E"/>
    <w:rsid w:val="6E6876AC"/>
    <w:rsid w:val="6E9F4E0D"/>
    <w:rsid w:val="6EF03395"/>
    <w:rsid w:val="6EF34A3C"/>
    <w:rsid w:val="6F0A64BA"/>
    <w:rsid w:val="6F150E28"/>
    <w:rsid w:val="6F586007"/>
    <w:rsid w:val="6F6F075E"/>
    <w:rsid w:val="6F85243F"/>
    <w:rsid w:val="6FC10353"/>
    <w:rsid w:val="6FD15F90"/>
    <w:rsid w:val="6FE911D4"/>
    <w:rsid w:val="70041CEA"/>
    <w:rsid w:val="70113A6A"/>
    <w:rsid w:val="70215A23"/>
    <w:rsid w:val="704F34CF"/>
    <w:rsid w:val="70746064"/>
    <w:rsid w:val="70CC1BE0"/>
    <w:rsid w:val="7117245F"/>
    <w:rsid w:val="7120495C"/>
    <w:rsid w:val="716E4667"/>
    <w:rsid w:val="71E0761F"/>
    <w:rsid w:val="724F3DEC"/>
    <w:rsid w:val="735E17F3"/>
    <w:rsid w:val="73B57063"/>
    <w:rsid w:val="73CA7C52"/>
    <w:rsid w:val="73F7554E"/>
    <w:rsid w:val="74263AD1"/>
    <w:rsid w:val="744709C2"/>
    <w:rsid w:val="745B670D"/>
    <w:rsid w:val="74652FE8"/>
    <w:rsid w:val="746714EB"/>
    <w:rsid w:val="74A8053B"/>
    <w:rsid w:val="751E7C07"/>
    <w:rsid w:val="7527105F"/>
    <w:rsid w:val="7533487A"/>
    <w:rsid w:val="75451FEE"/>
    <w:rsid w:val="758B2A0D"/>
    <w:rsid w:val="75EB4796"/>
    <w:rsid w:val="760C7720"/>
    <w:rsid w:val="760D6F22"/>
    <w:rsid w:val="7625741D"/>
    <w:rsid w:val="762A53DF"/>
    <w:rsid w:val="7641097A"/>
    <w:rsid w:val="764500C9"/>
    <w:rsid w:val="76580711"/>
    <w:rsid w:val="767E1A12"/>
    <w:rsid w:val="76830F93"/>
    <w:rsid w:val="76874EE2"/>
    <w:rsid w:val="7750518E"/>
    <w:rsid w:val="77A613DD"/>
    <w:rsid w:val="77D00208"/>
    <w:rsid w:val="77D51242"/>
    <w:rsid w:val="77F83093"/>
    <w:rsid w:val="780F5746"/>
    <w:rsid w:val="785A1FFF"/>
    <w:rsid w:val="78713CBA"/>
    <w:rsid w:val="789B25C4"/>
    <w:rsid w:val="78CC6223"/>
    <w:rsid w:val="78FB1E09"/>
    <w:rsid w:val="7915769B"/>
    <w:rsid w:val="791646B6"/>
    <w:rsid w:val="79FD0325"/>
    <w:rsid w:val="7A174984"/>
    <w:rsid w:val="7A37631C"/>
    <w:rsid w:val="7AAC4F5C"/>
    <w:rsid w:val="7AC760AD"/>
    <w:rsid w:val="7ACB1436"/>
    <w:rsid w:val="7AF16E13"/>
    <w:rsid w:val="7AF90780"/>
    <w:rsid w:val="7B3F5C90"/>
    <w:rsid w:val="7B5F09F3"/>
    <w:rsid w:val="7B6A670A"/>
    <w:rsid w:val="7B9842CF"/>
    <w:rsid w:val="7BA613DD"/>
    <w:rsid w:val="7C021CBC"/>
    <w:rsid w:val="7C47503C"/>
    <w:rsid w:val="7D1E3A47"/>
    <w:rsid w:val="7D58774B"/>
    <w:rsid w:val="7DB61C4E"/>
    <w:rsid w:val="7DDB3462"/>
    <w:rsid w:val="7E1C0204"/>
    <w:rsid w:val="7E6B444F"/>
    <w:rsid w:val="7E6C7514"/>
    <w:rsid w:val="7E803B66"/>
    <w:rsid w:val="7F4D213E"/>
    <w:rsid w:val="7F4F6393"/>
    <w:rsid w:val="7F6753B1"/>
    <w:rsid w:val="7FE230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keepNext/>
      <w:numPr>
        <w:ilvl w:val="0"/>
        <w:numId w:val="1"/>
      </w:numPr>
      <w:spacing w:line="360" w:lineRule="auto"/>
      <w:ind w:firstLine="200" w:firstLineChars="200"/>
      <w:jc w:val="center"/>
      <w:outlineLvl w:val="0"/>
    </w:pPr>
    <w:rPr>
      <w:rFonts w:ascii="楷体_GB2312" w:eastAsia="楷体_GB2312" w:cs="Times New Roman"/>
      <w:sz w:val="28"/>
      <w:szCs w:val="28"/>
    </w:rPr>
  </w:style>
  <w:style w:type="paragraph" w:styleId="3">
    <w:name w:val="heading 2"/>
    <w:basedOn w:val="1"/>
    <w:next w:val="1"/>
    <w:qFormat/>
    <w:uiPriority w:val="0"/>
    <w:pPr>
      <w:keepNext/>
      <w:keepLines/>
      <w:numPr>
        <w:ilvl w:val="1"/>
        <w:numId w:val="1"/>
      </w:numPr>
      <w:spacing w:before="260" w:after="260" w:line="415" w:lineRule="auto"/>
      <w:ind w:firstLine="200" w:firstLineChars="200"/>
      <w:jc w:val="center"/>
      <w:outlineLvl w:val="1"/>
    </w:pPr>
    <w:rPr>
      <w:rFonts w:ascii="Arial" w:hAnsi="Arial" w:eastAsia="幼圆" w:cs="Times New Roman"/>
      <w:b/>
      <w:bCs/>
      <w:sz w:val="44"/>
      <w:szCs w:val="44"/>
    </w:rPr>
  </w:style>
  <w:style w:type="paragraph" w:styleId="4">
    <w:name w:val="heading 4"/>
    <w:basedOn w:val="1"/>
    <w:next w:val="1"/>
    <w:qFormat/>
    <w:uiPriority w:val="9"/>
    <w:pPr>
      <w:keepNext/>
      <w:keepLines/>
      <w:spacing w:line="376" w:lineRule="auto"/>
      <w:outlineLvl w:val="3"/>
    </w:pPr>
    <w:rPr>
      <w:rFonts w:ascii="Cambria" w:hAnsi="Cambria" w:cs="Times New Roman"/>
      <w:b/>
      <w:bCs/>
      <w:kern w:val="0"/>
      <w:sz w:val="28"/>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qFormat/>
    <w:uiPriority w:val="0"/>
    <w:pPr>
      <w:jc w:val="left"/>
    </w:pPr>
  </w:style>
  <w:style w:type="paragraph" w:styleId="7">
    <w:name w:val="Salutation"/>
    <w:basedOn w:val="1"/>
    <w:next w:val="1"/>
    <w:qFormat/>
    <w:uiPriority w:val="0"/>
    <w:rPr>
      <w:rFonts w:ascii="Times New Roman" w:hAnsi="Times New Roman" w:cs="Times New Roman"/>
    </w:rPr>
  </w:style>
  <w:style w:type="paragraph" w:styleId="8">
    <w:name w:val="Body Text"/>
    <w:basedOn w:val="1"/>
    <w:next w:val="1"/>
    <w:qFormat/>
    <w:uiPriority w:val="0"/>
    <w:pPr>
      <w:autoSpaceDE w:val="0"/>
      <w:autoSpaceDN w:val="0"/>
      <w:jc w:val="left"/>
    </w:pPr>
    <w:rPr>
      <w:rFonts w:ascii="宋体" w:hAnsi="宋体" w:cs="宋体"/>
      <w:kern w:val="0"/>
      <w:lang w:val="zh-CN" w:bidi="zh-CN"/>
    </w:rPr>
  </w:style>
  <w:style w:type="paragraph" w:styleId="9">
    <w:name w:val="Body Text Indent"/>
    <w:basedOn w:val="1"/>
    <w:next w:val="10"/>
    <w:qFormat/>
    <w:uiPriority w:val="99"/>
    <w:pPr>
      <w:snapToGrid w:val="0"/>
      <w:spacing w:line="440" w:lineRule="exact"/>
      <w:ind w:firstLine="403" w:firstLineChars="192"/>
    </w:pPr>
    <w:rPr>
      <w:rFonts w:ascii="宋体" w:hAnsi="宋体" w:cs="宋体"/>
    </w:rPr>
  </w:style>
  <w:style w:type="paragraph" w:styleId="10">
    <w:name w:val="envelope return"/>
    <w:basedOn w:val="1"/>
    <w:qFormat/>
    <w:uiPriority w:val="0"/>
    <w:pPr>
      <w:snapToGrid w:val="0"/>
    </w:pPr>
    <w:rPr>
      <w:rFonts w:ascii="Arial" w:hAnsi="Arial"/>
    </w:rPr>
  </w:style>
  <w:style w:type="paragraph" w:styleId="11">
    <w:name w:val="index 4"/>
    <w:basedOn w:val="1"/>
    <w:next w:val="1"/>
    <w:qFormat/>
    <w:uiPriority w:val="99"/>
    <w:pPr>
      <w:ind w:left="600" w:leftChars="600"/>
    </w:pPr>
    <w:rPr>
      <w:rFonts w:ascii="Verdana" w:hAnsi="Verdana"/>
      <w:szCs w:val="20"/>
    </w:rPr>
  </w:style>
  <w:style w:type="paragraph" w:styleId="12">
    <w:name w:val="footer"/>
    <w:basedOn w:val="1"/>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3">
    <w:name w:val="header"/>
    <w:basedOn w:val="1"/>
    <w:qFormat/>
    <w:uiPriority w:val="0"/>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4">
    <w:name w:val="toc 1"/>
    <w:basedOn w:val="1"/>
    <w:next w:val="1"/>
    <w:qFormat/>
    <w:uiPriority w:val="0"/>
    <w:pPr>
      <w:spacing w:before="120" w:after="120"/>
      <w:jc w:val="left"/>
    </w:pPr>
    <w:rPr>
      <w:b/>
      <w:bCs/>
      <w:caps/>
      <w:sz w:val="20"/>
      <w:szCs w:val="20"/>
    </w:rPr>
  </w:style>
  <w:style w:type="paragraph" w:styleId="15">
    <w:name w:val="toc 2"/>
    <w:basedOn w:val="1"/>
    <w:next w:val="1"/>
    <w:qFormat/>
    <w:uiPriority w:val="39"/>
    <w:pPr>
      <w:ind w:left="210"/>
      <w:jc w:val="left"/>
    </w:pPr>
    <w:rPr>
      <w:smallCaps/>
      <w:sz w:val="20"/>
      <w:szCs w:val="20"/>
    </w:rPr>
  </w:style>
  <w:style w:type="paragraph" w:styleId="16">
    <w:name w:val="Body Text 2"/>
    <w:basedOn w:val="1"/>
    <w:unhideWhenUsed/>
    <w:qFormat/>
    <w:uiPriority w:val="99"/>
    <w:pPr>
      <w:spacing w:after="120" w:line="480" w:lineRule="auto"/>
    </w:pPr>
  </w:style>
  <w:style w:type="paragraph" w:styleId="17">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1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9">
    <w:name w:val="Body Text First Indent 2"/>
    <w:basedOn w:val="1"/>
    <w:next w:val="1"/>
    <w:qFormat/>
    <w:uiPriority w:val="99"/>
    <w:pPr>
      <w:ind w:firstLine="420" w:firstLineChars="200"/>
    </w:pPr>
  </w:style>
  <w:style w:type="table" w:styleId="21">
    <w:name w:val="Table Grid"/>
    <w:basedOn w:val="2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bCs/>
    </w:rPr>
  </w:style>
  <w:style w:type="character" w:styleId="24">
    <w:name w:val="annotation reference"/>
    <w:basedOn w:val="22"/>
    <w:qFormat/>
    <w:uiPriority w:val="0"/>
    <w:rPr>
      <w:sz w:val="21"/>
      <w:szCs w:val="21"/>
    </w:rPr>
  </w:style>
  <w:style w:type="paragraph" w:customStyle="1" w:styleId="25">
    <w:name w:val="DAS正文"/>
    <w:qFormat/>
    <w:uiPriority w:val="0"/>
    <w:pPr>
      <w:widowControl w:val="0"/>
      <w:spacing w:after="160" w:line="360" w:lineRule="auto"/>
      <w:ind w:right="181" w:firstLine="480"/>
      <w:jc w:val="both"/>
    </w:pPr>
    <w:rPr>
      <w:rFonts w:ascii="Verdana" w:hAnsi="Verdana" w:eastAsia="宋体" w:cs="Times New Roman"/>
      <w:kern w:val="2"/>
      <w:sz w:val="21"/>
      <w:szCs w:val="24"/>
      <w:lang w:val="en-US" w:eastAsia="zh-CN" w:bidi="ar-SA"/>
    </w:rPr>
  </w:style>
  <w:style w:type="paragraph" w:customStyle="1" w:styleId="26">
    <w:name w:val="报告正文"/>
    <w:basedOn w:val="1"/>
    <w:qFormat/>
    <w:uiPriority w:val="0"/>
    <w:pPr>
      <w:adjustRightInd w:val="0"/>
      <w:snapToGrid w:val="0"/>
      <w:ind w:firstLine="560" w:firstLineChars="200"/>
    </w:pPr>
    <w:rPr>
      <w:kern w:val="0"/>
      <w:szCs w:val="20"/>
      <w:lang w:val="zh-CN"/>
    </w:rPr>
  </w:style>
  <w:style w:type="paragraph" w:customStyle="1" w:styleId="27">
    <w:name w:val="普通正文"/>
    <w:basedOn w:val="1"/>
    <w:qFormat/>
    <w:uiPriority w:val="0"/>
    <w:pPr>
      <w:adjustRightInd w:val="0"/>
      <w:spacing w:before="120" w:after="120" w:line="360" w:lineRule="auto"/>
      <w:ind w:firstLine="480" w:firstLineChars="200"/>
      <w:jc w:val="left"/>
    </w:pPr>
    <w:rPr>
      <w:rFonts w:ascii="Arial" w:hAnsi="Arial" w:cs="Times New Roman"/>
      <w:kern w:val="0"/>
      <w:sz w:val="24"/>
      <w:szCs w:val="24"/>
    </w:rPr>
  </w:style>
  <w:style w:type="paragraph" w:customStyle="1" w:styleId="28">
    <w:name w:val="一级目录"/>
    <w:next w:val="1"/>
    <w:qFormat/>
    <w:uiPriority w:val="99"/>
    <w:pPr>
      <w:spacing w:after="160" w:afterLines="100" w:line="278" w:lineRule="auto"/>
      <w:jc w:val="center"/>
      <w:outlineLvl w:val="0"/>
    </w:pPr>
    <w:rPr>
      <w:rFonts w:ascii="黑体" w:hAnsi="Times New Roman" w:eastAsia="黑体" w:cs="Times New Roman"/>
      <w:b/>
      <w:bCs/>
      <w:kern w:val="2"/>
      <w:sz w:val="44"/>
      <w:szCs w:val="44"/>
      <w:lang w:val="en-US" w:eastAsia="zh-CN" w:bidi="ar-SA"/>
    </w:rPr>
  </w:style>
  <w:style w:type="paragraph" w:customStyle="1" w:styleId="29">
    <w:name w:val="二级目录"/>
    <w:next w:val="1"/>
    <w:qFormat/>
    <w:uiPriority w:val="99"/>
    <w:pPr>
      <w:tabs>
        <w:tab w:val="left" w:pos="720"/>
      </w:tabs>
      <w:spacing w:after="160" w:line="278" w:lineRule="auto"/>
      <w:ind w:left="720" w:hanging="720"/>
      <w:outlineLvl w:val="1"/>
    </w:pPr>
    <w:rPr>
      <w:rFonts w:ascii="Calibri" w:hAnsi="Calibri" w:eastAsia="宋体" w:cs="Times New Roman"/>
      <w:b/>
      <w:bCs/>
      <w:kern w:val="2"/>
      <w:sz w:val="28"/>
      <w:szCs w:val="28"/>
      <w:lang w:val="en-US" w:eastAsia="zh-CN" w:bidi="ar-SA"/>
    </w:rPr>
  </w:style>
  <w:style w:type="paragraph" w:customStyle="1" w:styleId="30">
    <w:name w:val="列表段落1"/>
    <w:basedOn w:val="1"/>
    <w:qFormat/>
    <w:uiPriority w:val="1"/>
    <w:pPr>
      <w:ind w:firstLine="420" w:firstLineChars="200"/>
    </w:pPr>
    <w:rPr>
      <w:rFonts w:cs="Times New Roman"/>
      <w:szCs w:val="22"/>
    </w:rPr>
  </w:style>
  <w:style w:type="paragraph" w:customStyle="1" w:styleId="31">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32">
    <w:name w:val="NormalCharacter"/>
    <w:qFormat/>
    <w:uiPriority w:val="0"/>
  </w:style>
  <w:style w:type="paragraph" w:customStyle="1" w:styleId="33">
    <w:name w:val="列出段落1"/>
    <w:basedOn w:val="1"/>
    <w:qFormat/>
    <w:uiPriority w:val="99"/>
    <w:pPr>
      <w:ind w:firstLine="420" w:firstLineChars="200"/>
    </w:pPr>
  </w:style>
  <w:style w:type="paragraph" w:customStyle="1" w:styleId="34">
    <w:name w:val="_Style 3"/>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35">
    <w:name w:val="Char1"/>
    <w:basedOn w:val="1"/>
    <w:qFormat/>
    <w:uiPriority w:val="99"/>
    <w:rPr>
      <w:rFonts w:ascii="Tahoma" w:hAnsi="Tahoma" w:cs="Tahoma"/>
      <w:sz w:val="24"/>
      <w:szCs w:val="24"/>
    </w:rPr>
  </w:style>
  <w:style w:type="paragraph" w:customStyle="1" w:styleId="36">
    <w:name w:val="WPSOffice手动目录 1"/>
    <w:qFormat/>
    <w:uiPriority w:val="0"/>
    <w:pPr>
      <w:spacing w:after="160" w:line="278" w:lineRule="auto"/>
    </w:pPr>
    <w:rPr>
      <w:rFonts w:ascii="Times New Roman" w:hAnsi="Times New Roman" w:eastAsia="宋体" w:cs="Times New Roman"/>
      <w:lang w:val="en-US" w:eastAsia="zh-CN" w:bidi="ar-SA"/>
    </w:rPr>
  </w:style>
  <w:style w:type="paragraph" w:customStyle="1" w:styleId="37">
    <w:name w:val="正文1"/>
    <w:qFormat/>
    <w:uiPriority w:val="0"/>
    <w:pPr>
      <w:spacing w:after="160" w:line="278" w:lineRule="auto"/>
      <w:jc w:val="both"/>
    </w:pPr>
    <w:rPr>
      <w:rFonts w:ascii="Times New Roman" w:hAnsi="Times New Roman" w:eastAsia="宋体" w:cs="Times New Roman"/>
      <w:kern w:val="2"/>
      <w:sz w:val="21"/>
      <w:szCs w:val="21"/>
      <w:lang w:val="en-US" w:eastAsia="zh-CN" w:bidi="ar-SA"/>
    </w:rPr>
  </w:style>
  <w:style w:type="paragraph" w:customStyle="1" w:styleId="38">
    <w:name w:val="无间隔1"/>
    <w:qFormat/>
    <w:uiPriority w:val="99"/>
    <w:pPr>
      <w:widowControl w:val="0"/>
      <w:spacing w:after="160" w:line="278" w:lineRule="auto"/>
      <w:jc w:val="both"/>
    </w:pPr>
    <w:rPr>
      <w:rFonts w:ascii="Calibri" w:hAnsi="Calibri" w:eastAsia="宋体" w:cs="Calibri"/>
      <w:kern w:val="2"/>
      <w:sz w:val="21"/>
      <w:szCs w:val="21"/>
      <w:lang w:val="en-US" w:eastAsia="zh-CN" w:bidi="ar-SA"/>
    </w:rPr>
  </w:style>
  <w:style w:type="paragraph" w:customStyle="1" w:styleId="39">
    <w:name w:val="标题 41"/>
    <w:basedOn w:val="1"/>
    <w:next w:val="40"/>
    <w:unhideWhenUsed/>
    <w:qFormat/>
    <w:uiPriority w:val="0"/>
    <w:pPr>
      <w:keepNext/>
      <w:keepLines/>
      <w:spacing w:before="280" w:beforeLines="0" w:after="290" w:afterLines="0" w:line="376" w:lineRule="auto"/>
      <w:outlineLvl w:val="3"/>
    </w:pPr>
    <w:rPr>
      <w:rFonts w:hint="default" w:ascii="Arial" w:hAnsi="Arial" w:eastAsia="黑体" w:cs="Arial"/>
      <w:b/>
      <w:sz w:val="28"/>
      <w:szCs w:val="28"/>
    </w:rPr>
  </w:style>
  <w:style w:type="paragraph" w:customStyle="1" w:styleId="40">
    <w:name w:val="正文缩进1"/>
    <w:basedOn w:val="1"/>
    <w:unhideWhenUsed/>
    <w:qFormat/>
    <w:uiPriority w:val="0"/>
    <w:pPr>
      <w:spacing w:beforeLines="0" w:afterLines="0"/>
      <w:ind w:firstLine="420"/>
    </w:pPr>
    <w:rPr>
      <w:rFonts w:hint="default"/>
      <w:sz w:val="21"/>
      <w:szCs w:val="21"/>
    </w:rPr>
  </w:style>
  <w:style w:type="paragraph" w:customStyle="1" w:styleId="41">
    <w:name w:val="索引 41"/>
    <w:basedOn w:val="1"/>
    <w:next w:val="1"/>
    <w:unhideWhenUsed/>
    <w:qFormat/>
    <w:uiPriority w:val="0"/>
    <w:pPr>
      <w:spacing w:beforeLines="0" w:afterLines="0"/>
      <w:ind w:left="1260"/>
    </w:pPr>
    <w:rPr>
      <w:rFonts w:hint="default" w:ascii="Calibri" w:hAnsi="Calibri" w:eastAsia="Calibri" w:cs="宋体"/>
      <w:sz w:val="20"/>
      <w:szCs w:val="22"/>
      <w:lang w:val="zh-CN"/>
    </w:rPr>
  </w:style>
  <w:style w:type="paragraph" w:customStyle="1" w:styleId="42">
    <w:name w:val="正文文本 211"/>
    <w:basedOn w:val="1"/>
    <w:unhideWhenUsed/>
    <w:qFormat/>
    <w:uiPriority w:val="99"/>
    <w:pPr>
      <w:spacing w:beforeLines="0" w:afterLines="0"/>
      <w:jc w:val="center"/>
    </w:pPr>
    <w:rPr>
      <w:rFonts w:hint="default"/>
      <w:b/>
      <w:sz w:val="20"/>
      <w:szCs w:val="20"/>
    </w:rPr>
  </w:style>
  <w:style w:type="paragraph" w:customStyle="1" w:styleId="43">
    <w:name w:val="Char"/>
    <w:basedOn w:val="1"/>
    <w:unhideWhenUsed/>
    <w:qFormat/>
    <w:uiPriority w:val="0"/>
    <w:pPr>
      <w:tabs>
        <w:tab w:val="left" w:pos="360"/>
      </w:tabs>
      <w:spacing w:beforeLines="0" w:afterLines="0"/>
      <w:ind w:firstLine="200"/>
    </w:pPr>
    <w:rPr>
      <w:rFonts w:hint="default"/>
      <w:sz w:val="28"/>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15514</Words>
  <Characters>16622</Characters>
  <Lines>326</Lines>
  <Paragraphs>91</Paragraphs>
  <TotalTime>15</TotalTime>
  <ScaleCrop>false</ScaleCrop>
  <LinksUpToDate>false</LinksUpToDate>
  <CharactersWithSpaces>17285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2021-10-22T01:50:00Z</dcterms:created>
  <dc:creator>oem</dc:creator>
  <cp:lastModifiedBy>徐舒舒</cp:lastModifiedBy>
  <cp:lastPrinted>2026-04-17T04:06:00Z</cp:lastPrinted>
  <dcterms:modified xsi:type="dcterms:W3CDTF">2026-04-17T05:12:49Z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0BB704D600CC4C9D861958FE39EF8D9C_13</vt:lpwstr>
  </property>
  <property fmtid="{D5CDD505-2E9C-101B-9397-08002B2CF9AE}" pid="4" name="KSOTemplateDocerSaveRecord">
    <vt:lpwstr>eyJoZGlkIjoiZThiN2MyYTNmZjE0NjJlYzA2ZTJkZjVjMWE5ZTY4MjYiLCJ1c2VySWQiOiI1OTE4NjkyMTQifQ==</vt:lpwstr>
  </property>
</Properties>
</file>