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E5DC1">
      <w:pPr>
        <w:pStyle w:val="199"/>
        <w:ind w:firstLine="0"/>
        <w:jc w:val="center"/>
        <w:rPr>
          <w:rFonts w:ascii="黑体" w:hAnsi="黑体" w:eastAsia="黑体" w:cs="黑体"/>
          <w:bCs/>
          <w:color w:val="auto"/>
          <w:sz w:val="48"/>
          <w:szCs w:val="48"/>
          <w:highlight w:val="none"/>
        </w:rPr>
      </w:pPr>
      <w:r>
        <w:rPr>
          <w:rFonts w:hint="eastAsia" w:ascii="黑体" w:hAnsi="黑体" w:eastAsia="黑体" w:cs="黑体"/>
          <w:bCs/>
          <w:color w:val="auto"/>
          <w:sz w:val="48"/>
          <w:szCs w:val="48"/>
          <w:highlight w:val="none"/>
        </w:rPr>
        <w:t>如皋市政府采购框架协议（封闭式）</w:t>
      </w:r>
    </w:p>
    <w:p w14:paraId="3E979028">
      <w:pPr>
        <w:pStyle w:val="199"/>
        <w:ind w:firstLine="0"/>
        <w:jc w:val="center"/>
        <w:rPr>
          <w:rFonts w:ascii="仿宋" w:eastAsia="仿宋"/>
          <w:bCs/>
          <w:color w:val="auto"/>
          <w:sz w:val="52"/>
          <w:szCs w:val="52"/>
          <w:highlight w:val="none"/>
        </w:rPr>
      </w:pPr>
      <w:r>
        <w:rPr>
          <w:rFonts w:hint="eastAsia" w:ascii="仿宋" w:eastAsia="仿宋"/>
          <w:bCs/>
          <w:color w:val="auto"/>
          <w:sz w:val="62"/>
          <w:szCs w:val="62"/>
          <w:highlight w:val="none"/>
        </w:rPr>
        <w:t>征集文件</w:t>
      </w:r>
    </w:p>
    <w:p w14:paraId="28B38F12">
      <w:pPr>
        <w:pStyle w:val="199"/>
        <w:ind w:firstLine="0"/>
        <w:jc w:val="center"/>
        <w:rPr>
          <w:rFonts w:ascii="仿宋" w:eastAsia="仿宋"/>
          <w:bCs/>
          <w:color w:val="auto"/>
          <w:sz w:val="44"/>
          <w:szCs w:val="44"/>
          <w:highlight w:val="none"/>
        </w:rPr>
      </w:pPr>
    </w:p>
    <w:p w14:paraId="669824A1">
      <w:pPr>
        <w:pStyle w:val="199"/>
        <w:ind w:firstLine="0"/>
        <w:rPr>
          <w:b/>
          <w:bCs/>
          <w:color w:val="auto"/>
          <w:sz w:val="32"/>
          <w:highlight w:val="none"/>
        </w:rPr>
      </w:pPr>
    </w:p>
    <w:p w14:paraId="70FA72CF">
      <w:pPr>
        <w:pStyle w:val="199"/>
        <w:ind w:firstLine="0"/>
        <w:rPr>
          <w:b/>
          <w:bCs/>
          <w:color w:val="auto"/>
          <w:sz w:val="32"/>
          <w:highlight w:val="none"/>
        </w:rPr>
      </w:pPr>
    </w:p>
    <w:p w14:paraId="19742CF6">
      <w:pPr>
        <w:pStyle w:val="199"/>
        <w:tabs>
          <w:tab w:val="left" w:pos="6036"/>
        </w:tabs>
        <w:ind w:firstLine="0"/>
        <w:rPr>
          <w:b/>
          <w:bCs/>
          <w:color w:val="auto"/>
          <w:sz w:val="32"/>
          <w:highlight w:val="none"/>
        </w:rPr>
      </w:pPr>
      <w:r>
        <w:rPr>
          <w:rFonts w:hint="eastAsia"/>
          <w:b/>
          <w:bCs/>
          <w:color w:val="auto"/>
          <w:sz w:val="32"/>
          <w:highlight w:val="none"/>
        </w:rPr>
        <w:tab/>
      </w:r>
    </w:p>
    <w:tbl>
      <w:tblPr>
        <w:tblStyle w:val="41"/>
        <w:tblW w:w="0" w:type="auto"/>
        <w:jc w:val="center"/>
        <w:tblLayout w:type="fixed"/>
        <w:tblCellMar>
          <w:top w:w="0" w:type="dxa"/>
          <w:left w:w="108" w:type="dxa"/>
          <w:bottom w:w="0" w:type="dxa"/>
          <w:right w:w="108" w:type="dxa"/>
        </w:tblCellMar>
      </w:tblPr>
      <w:tblGrid>
        <w:gridCol w:w="1735"/>
        <w:gridCol w:w="6439"/>
      </w:tblGrid>
      <w:tr w14:paraId="2025A157">
        <w:tblPrEx>
          <w:tblCellMar>
            <w:top w:w="0" w:type="dxa"/>
            <w:left w:w="108" w:type="dxa"/>
            <w:bottom w:w="0" w:type="dxa"/>
            <w:right w:w="108" w:type="dxa"/>
          </w:tblCellMar>
        </w:tblPrEx>
        <w:trPr>
          <w:trHeight w:val="1087" w:hRule="atLeast"/>
          <w:jc w:val="center"/>
        </w:trPr>
        <w:tc>
          <w:tcPr>
            <w:tcW w:w="1735" w:type="dxa"/>
            <w:noWrap w:val="0"/>
          </w:tcPr>
          <w:p w14:paraId="1264A21A">
            <w:pPr>
              <w:pStyle w:val="199"/>
              <w:ind w:right="-105" w:firstLine="0"/>
              <w:jc w:val="right"/>
              <w:rPr>
                <w:b/>
                <w:bCs/>
                <w:color w:val="auto"/>
                <w:sz w:val="32"/>
                <w:highlight w:val="none"/>
              </w:rPr>
            </w:pPr>
            <w:r>
              <w:rPr>
                <w:b/>
                <w:bCs/>
                <w:color w:val="auto"/>
                <w:sz w:val="32"/>
                <w:highlight w:val="none"/>
              </w:rPr>
              <w:t>项目名称：</w:t>
            </w:r>
          </w:p>
        </w:tc>
        <w:tc>
          <w:tcPr>
            <w:tcW w:w="6439" w:type="dxa"/>
            <w:noWrap w:val="0"/>
          </w:tcPr>
          <w:p w14:paraId="3A13A5EF">
            <w:pPr>
              <w:pStyle w:val="199"/>
              <w:ind w:firstLine="0"/>
              <w:jc w:val="center"/>
              <w:rPr>
                <w:rFonts w:eastAsia="宋体"/>
                <w:b/>
                <w:bCs/>
                <w:color w:val="auto"/>
                <w:sz w:val="32"/>
                <w:highlight w:val="none"/>
              </w:rPr>
            </w:pPr>
            <w:r>
              <w:rPr>
                <w:rFonts w:hint="eastAsia"/>
                <w:b/>
                <w:bCs/>
                <w:color w:val="auto"/>
                <w:sz w:val="32"/>
                <w:highlight w:val="none"/>
                <w:lang w:val="en-US" w:eastAsia="zh-CN"/>
              </w:rPr>
              <w:tab/>
            </w:r>
            <w:r>
              <w:rPr>
                <w:rFonts w:hint="eastAsia"/>
                <w:b/>
                <w:bCs/>
                <w:color w:val="auto"/>
                <w:sz w:val="32"/>
                <w:highlight w:val="none"/>
                <w:lang w:val="en-US" w:eastAsia="zh-CN"/>
              </w:rPr>
              <w:t>2026年食品、食用农产品抽检项目</w:t>
            </w:r>
          </w:p>
        </w:tc>
      </w:tr>
      <w:tr w14:paraId="42311C63">
        <w:tblPrEx>
          <w:tblCellMar>
            <w:top w:w="0" w:type="dxa"/>
            <w:left w:w="108" w:type="dxa"/>
            <w:bottom w:w="0" w:type="dxa"/>
            <w:right w:w="108" w:type="dxa"/>
          </w:tblCellMar>
        </w:tblPrEx>
        <w:trPr>
          <w:trHeight w:val="895" w:hRule="atLeast"/>
          <w:jc w:val="center"/>
        </w:trPr>
        <w:tc>
          <w:tcPr>
            <w:tcW w:w="1735" w:type="dxa"/>
            <w:noWrap w:val="0"/>
            <w:vAlign w:val="center"/>
          </w:tcPr>
          <w:p w14:paraId="5FF5F00D">
            <w:pPr>
              <w:pStyle w:val="199"/>
              <w:ind w:right="-105" w:firstLine="0"/>
              <w:jc w:val="center"/>
              <w:rPr>
                <w:b/>
                <w:bCs/>
                <w:color w:val="auto"/>
                <w:sz w:val="32"/>
                <w:highlight w:val="none"/>
              </w:rPr>
            </w:pPr>
            <w:r>
              <w:rPr>
                <w:rFonts w:hint="eastAsia"/>
                <w:b/>
                <w:bCs/>
                <w:color w:val="auto"/>
                <w:sz w:val="32"/>
                <w:highlight w:val="none"/>
              </w:rPr>
              <w:t>计划编号：</w:t>
            </w:r>
          </w:p>
        </w:tc>
        <w:tc>
          <w:tcPr>
            <w:tcW w:w="6439" w:type="dxa"/>
            <w:noWrap w:val="0"/>
          </w:tcPr>
          <w:p w14:paraId="0D902F03">
            <w:pPr>
              <w:pStyle w:val="199"/>
              <w:ind w:firstLine="0"/>
              <w:jc w:val="center"/>
              <w:rPr>
                <w:rFonts w:hint="default"/>
                <w:b/>
                <w:bCs/>
                <w:color w:val="auto"/>
                <w:sz w:val="32"/>
                <w:highlight w:val="none"/>
                <w:lang w:val="en-US"/>
              </w:rPr>
            </w:pPr>
            <w:r>
              <w:rPr>
                <w:rFonts w:hint="eastAsia"/>
                <w:b/>
                <w:bCs/>
                <w:color w:val="auto"/>
                <w:sz w:val="32"/>
                <w:highlight w:val="none"/>
              </w:rPr>
              <w:t>JSZC-320682-JSDZ-K2026-0019</w:t>
            </w:r>
          </w:p>
        </w:tc>
      </w:tr>
    </w:tbl>
    <w:p w14:paraId="4CBC70CB">
      <w:pPr>
        <w:pStyle w:val="199"/>
        <w:ind w:firstLine="0"/>
        <w:jc w:val="both"/>
        <w:rPr>
          <w:b/>
          <w:bCs/>
          <w:color w:val="auto"/>
          <w:sz w:val="32"/>
          <w:highlight w:val="none"/>
        </w:rPr>
      </w:pPr>
    </w:p>
    <w:p w14:paraId="1CB03A8A">
      <w:pPr>
        <w:pStyle w:val="199"/>
        <w:ind w:firstLine="0"/>
        <w:jc w:val="center"/>
        <w:rPr>
          <w:b/>
          <w:bCs/>
          <w:color w:val="auto"/>
          <w:sz w:val="32"/>
          <w:highlight w:val="none"/>
        </w:rPr>
      </w:pPr>
    </w:p>
    <w:p w14:paraId="3934E352">
      <w:pPr>
        <w:pStyle w:val="199"/>
        <w:spacing w:line="240" w:lineRule="auto"/>
        <w:ind w:firstLine="1263"/>
        <w:rPr>
          <w:rFonts w:eastAsia="宋体"/>
          <w:b/>
          <w:bCs/>
          <w:color w:val="auto"/>
          <w:sz w:val="32"/>
          <w:highlight w:val="none"/>
        </w:rPr>
      </w:pPr>
      <w:r>
        <w:rPr>
          <w:rFonts w:hint="eastAsia"/>
          <w:b/>
          <w:bCs/>
          <w:color w:val="auto"/>
          <w:sz w:val="32"/>
          <w:highlight w:val="none"/>
        </w:rPr>
        <w:t>采   购   人：</w:t>
      </w:r>
      <w:r>
        <w:rPr>
          <w:rFonts w:hint="eastAsia"/>
          <w:b/>
          <w:bCs/>
          <w:sz w:val="32"/>
          <w:highlight w:val="none"/>
          <w:u w:val="none"/>
          <w:lang w:val="en-US" w:eastAsia="zh-CN"/>
        </w:rPr>
        <w:t>如皋市市场监督管理局</w:t>
      </w:r>
    </w:p>
    <w:p w14:paraId="2FB10766">
      <w:pPr>
        <w:pStyle w:val="199"/>
        <w:spacing w:line="240" w:lineRule="auto"/>
        <w:rPr>
          <w:b/>
          <w:bCs/>
          <w:color w:val="auto"/>
          <w:sz w:val="32"/>
          <w:highlight w:val="none"/>
        </w:rPr>
      </w:pPr>
      <w:r>
        <w:rPr>
          <w:rFonts w:hint="eastAsia"/>
          <w:b/>
          <w:bCs/>
          <w:color w:val="auto"/>
          <w:sz w:val="32"/>
          <w:highlight w:val="none"/>
        </w:rPr>
        <w:t>采购代理机构：大洲设计咨询集团有限公司如皋分公司</w:t>
      </w:r>
    </w:p>
    <w:p w14:paraId="764413C3">
      <w:pPr>
        <w:pStyle w:val="199"/>
        <w:spacing w:line="240" w:lineRule="auto"/>
        <w:ind w:firstLine="1263"/>
        <w:rPr>
          <w:b/>
          <w:bCs/>
          <w:color w:val="auto"/>
          <w:sz w:val="32"/>
          <w:highlight w:val="none"/>
        </w:rPr>
      </w:pPr>
      <w:r>
        <w:rPr>
          <w:rFonts w:hint="eastAsia"/>
          <w:b/>
          <w:bCs/>
          <w:color w:val="auto"/>
          <w:sz w:val="32"/>
          <w:highlight w:val="none"/>
        </w:rPr>
        <w:t>日        期：  202</w:t>
      </w:r>
      <w:r>
        <w:rPr>
          <w:rFonts w:hint="eastAsia"/>
          <w:b/>
          <w:bCs/>
          <w:color w:val="auto"/>
          <w:sz w:val="32"/>
          <w:highlight w:val="none"/>
          <w:lang w:val="en-US" w:eastAsia="zh-CN"/>
        </w:rPr>
        <w:t>6</w:t>
      </w:r>
      <w:r>
        <w:rPr>
          <w:rFonts w:hint="eastAsia"/>
          <w:b/>
          <w:bCs/>
          <w:color w:val="auto"/>
          <w:sz w:val="32"/>
          <w:highlight w:val="none"/>
        </w:rPr>
        <w:t>年 0</w:t>
      </w:r>
      <w:r>
        <w:rPr>
          <w:rFonts w:hint="eastAsia"/>
          <w:b/>
          <w:bCs/>
          <w:color w:val="auto"/>
          <w:sz w:val="32"/>
          <w:highlight w:val="none"/>
          <w:lang w:val="en-US" w:eastAsia="zh-CN"/>
        </w:rPr>
        <w:t>3</w:t>
      </w:r>
      <w:r>
        <w:rPr>
          <w:rFonts w:hint="eastAsia"/>
          <w:b/>
          <w:bCs/>
          <w:color w:val="auto"/>
          <w:sz w:val="32"/>
          <w:highlight w:val="none"/>
        </w:rPr>
        <w:t>月</w:t>
      </w:r>
      <w:r>
        <w:rPr>
          <w:rFonts w:hint="eastAsia"/>
          <w:b/>
          <w:bCs/>
          <w:color w:val="auto"/>
          <w:sz w:val="32"/>
          <w:highlight w:val="none"/>
          <w:lang w:val="en-US" w:eastAsia="zh-CN"/>
        </w:rPr>
        <w:t>26</w:t>
      </w:r>
      <w:r>
        <w:rPr>
          <w:rFonts w:hint="eastAsia"/>
          <w:b/>
          <w:bCs/>
          <w:color w:val="auto"/>
          <w:sz w:val="32"/>
          <w:highlight w:val="none"/>
        </w:rPr>
        <w:t>日</w:t>
      </w:r>
    </w:p>
    <w:p w14:paraId="4B94E602">
      <w:pPr>
        <w:pStyle w:val="199"/>
        <w:spacing w:line="240" w:lineRule="auto"/>
        <w:ind w:firstLine="1263"/>
        <w:rPr>
          <w:b/>
          <w:bCs/>
          <w:color w:val="auto"/>
          <w:sz w:val="32"/>
          <w:highlight w:val="none"/>
        </w:rPr>
      </w:pPr>
    </w:p>
    <w:p w14:paraId="7E053543">
      <w:pPr>
        <w:jc w:val="center"/>
        <w:rPr>
          <w:rFonts w:ascii="宋体" w:hAnsi="宋体"/>
          <w:b/>
          <w:bCs/>
          <w:color w:val="auto"/>
          <w:sz w:val="28"/>
          <w:szCs w:val="36"/>
          <w:highlight w:val="none"/>
        </w:rPr>
        <w:sectPr>
          <w:headerReference r:id="rId3" w:type="default"/>
          <w:footerReference r:id="rId4" w:type="even"/>
          <w:pgSz w:w="11906" w:h="16838"/>
          <w:pgMar w:top="1984" w:right="1587" w:bottom="1440" w:left="1587" w:header="851" w:footer="992" w:gutter="0"/>
          <w:cols w:space="720" w:num="1"/>
          <w:docGrid w:linePitch="360" w:charSpace="0"/>
        </w:sectPr>
      </w:pPr>
    </w:p>
    <w:p w14:paraId="5D37CEB1">
      <w:pPr>
        <w:jc w:val="center"/>
        <w:outlineLvl w:val="0"/>
        <w:rPr>
          <w:rFonts w:ascii="黑体" w:hAnsi="黑体" w:eastAsia="黑体" w:cs="黑体"/>
          <w:color w:val="auto"/>
          <w:sz w:val="52"/>
          <w:szCs w:val="52"/>
          <w:highlight w:val="none"/>
          <w:shd w:val="clear" w:color="auto" w:fill="FFFFFF"/>
        </w:rPr>
      </w:pPr>
      <w:bookmarkStart w:id="0" w:name="_Toc3305"/>
      <w:r>
        <w:rPr>
          <w:rFonts w:hint="eastAsia" w:ascii="黑体" w:hAnsi="黑体" w:eastAsia="黑体" w:cs="黑体"/>
          <w:color w:val="auto"/>
          <w:sz w:val="52"/>
          <w:szCs w:val="52"/>
          <w:highlight w:val="none"/>
          <w:shd w:val="clear" w:color="auto" w:fill="FFFFFF"/>
        </w:rPr>
        <w:t>第一章  征集公告</w:t>
      </w:r>
      <w:bookmarkEnd w:id="0"/>
    </w:p>
    <w:p w14:paraId="42168AFF">
      <w:pPr>
        <w:tabs>
          <w:tab w:val="left" w:pos="2070"/>
          <w:tab w:val="center" w:pos="4365"/>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p>
    <w:p w14:paraId="56B92845">
      <w:pPr>
        <w:pStyle w:val="22"/>
        <w:spacing w:after="0" w:line="500" w:lineRule="exact"/>
        <w:ind w:firstLine="560"/>
        <w:outlineLvl w:val="1"/>
        <w:rPr>
          <w:rFonts w:ascii="黑体" w:hAnsi="黑体" w:eastAsia="黑体" w:cs="Times New Roman"/>
          <w:color w:val="auto"/>
          <w:sz w:val="28"/>
          <w:szCs w:val="28"/>
          <w:highlight w:val="none"/>
        </w:rPr>
      </w:pPr>
      <w:bookmarkStart w:id="1" w:name="_Toc7092"/>
      <w:r>
        <w:rPr>
          <w:rFonts w:hint="eastAsia" w:ascii="黑体" w:hAnsi="黑体" w:eastAsia="黑体" w:cs="Times New Roman"/>
          <w:color w:val="auto"/>
          <w:sz w:val="28"/>
          <w:szCs w:val="28"/>
          <w:highlight w:val="none"/>
        </w:rPr>
        <w:t>一、项目基本情况</w:t>
      </w:r>
      <w:bookmarkEnd w:id="1"/>
    </w:p>
    <w:p w14:paraId="64CC0798">
      <w:pPr>
        <w:pStyle w:val="198"/>
        <w:keepNext w:val="0"/>
        <w:keepLines w:val="0"/>
        <w:pageBreakBefore w:val="0"/>
        <w:widowControl w:val="0"/>
        <w:spacing w:line="480" w:lineRule="exact"/>
        <w:ind w:firstLine="560"/>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（一）项目名称：</w:t>
      </w:r>
      <w:r>
        <w:rPr>
          <w:rFonts w:hint="eastAsia" w:ascii="仿宋" w:hAnsi="仿宋" w:eastAsia="仿宋" w:cs="Times New Roman"/>
          <w:color w:val="auto"/>
          <w:sz w:val="28"/>
          <w:szCs w:val="28"/>
          <w:highlight w:val="none"/>
          <w:lang w:eastAsia="zh-CN"/>
        </w:rPr>
        <w:t>202</w:t>
      </w:r>
      <w:r>
        <w:rPr>
          <w:rFonts w:hint="eastAsia" w:ascii="仿宋" w:hAnsi="仿宋" w:eastAsia="仿宋" w:cs="Times New Roman"/>
          <w:color w:val="auto"/>
          <w:sz w:val="28"/>
          <w:szCs w:val="28"/>
          <w:highlight w:val="none"/>
          <w:lang w:val="en-US" w:eastAsia="zh-CN"/>
        </w:rPr>
        <w:t>6</w:t>
      </w:r>
      <w:r>
        <w:rPr>
          <w:rFonts w:hint="eastAsia" w:ascii="仿宋" w:hAnsi="仿宋" w:eastAsia="仿宋" w:cs="Times New Roman"/>
          <w:color w:val="auto"/>
          <w:sz w:val="28"/>
          <w:szCs w:val="28"/>
          <w:highlight w:val="none"/>
          <w:lang w:eastAsia="zh-CN"/>
        </w:rPr>
        <w:t>年食品、食用农产品抽检项目</w:t>
      </w:r>
    </w:p>
    <w:p w14:paraId="6732546F">
      <w:pPr>
        <w:pStyle w:val="198"/>
        <w:keepNext w:val="0"/>
        <w:keepLines w:val="0"/>
        <w:pageBreakBefore w:val="0"/>
        <w:widowControl w:val="0"/>
        <w:spacing w:line="480" w:lineRule="exact"/>
        <w:ind w:firstLine="56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（二）项目编号：JSZC-320682-JSDZ-K2026-0019</w:t>
      </w:r>
    </w:p>
    <w:p w14:paraId="2E82D4F6">
      <w:pPr>
        <w:pStyle w:val="198"/>
        <w:keepNext w:val="0"/>
        <w:keepLines w:val="0"/>
        <w:pageBreakBefore w:val="0"/>
        <w:widowControl w:val="0"/>
        <w:spacing w:line="48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（三）预算金额：人民币</w:t>
      </w:r>
      <w:r>
        <w:rPr>
          <w:rFonts w:hint="eastAsia" w:ascii="仿宋" w:hAnsi="仿宋" w:eastAsia="仿宋" w:cs="Times New Roman"/>
          <w:color w:val="auto"/>
          <w:sz w:val="28"/>
          <w:szCs w:val="28"/>
          <w:highlight w:val="none"/>
          <w:lang w:val="en-US" w:eastAsia="zh-CN"/>
        </w:rPr>
        <w:t>180</w:t>
      </w:r>
      <w:r>
        <w:rPr>
          <w:rFonts w:hint="eastAsia" w:ascii="仿宋" w:hAnsi="仿宋" w:eastAsia="仿宋" w:cs="Times New Roman"/>
          <w:color w:val="auto"/>
          <w:sz w:val="28"/>
          <w:szCs w:val="28"/>
          <w:highlight w:val="none"/>
        </w:rPr>
        <w:t>万元</w:t>
      </w:r>
    </w:p>
    <w:p w14:paraId="65B540A5">
      <w:pPr>
        <w:pStyle w:val="15"/>
        <w:keepNext w:val="0"/>
        <w:keepLines w:val="0"/>
        <w:pageBreakBefore w:val="0"/>
        <w:widowControl w:val="0"/>
        <w:spacing w:line="48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（四）最高限价：</w:t>
      </w:r>
      <w:r>
        <w:rPr>
          <w:rFonts w:hint="eastAsia" w:ascii="仿宋" w:hAnsi="仿宋" w:eastAsia="仿宋" w:cs="Times New Roman"/>
          <w:color w:val="auto"/>
          <w:sz w:val="28"/>
          <w:szCs w:val="28"/>
          <w:highlight w:val="none"/>
          <w:lang w:val="en-US" w:eastAsia="zh-CN"/>
        </w:rPr>
        <w:t>180万元，</w:t>
      </w:r>
      <w:r>
        <w:rPr>
          <w:rFonts w:hint="eastAsia" w:ascii="仿宋" w:hAnsi="仿宋" w:eastAsia="仿宋" w:cs="Times New Roman"/>
          <w:color w:val="auto"/>
          <w:sz w:val="28"/>
          <w:szCs w:val="28"/>
          <w:highlight w:val="none"/>
        </w:rPr>
        <w:t>本项目以单价报价，食品抽检最高单价限价为人民币450元/批次，报价超过最高单价限价的为无效响应。</w:t>
      </w:r>
    </w:p>
    <w:p w14:paraId="53E6C33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（五）</w:t>
      </w:r>
      <w:r>
        <w:rPr>
          <w:rFonts w:hint="eastAsia" w:ascii="仿宋" w:hAnsi="仿宋" w:eastAsia="仿宋" w:cs="仿宋"/>
          <w:color w:val="auto"/>
          <w:sz w:val="28"/>
          <w:szCs w:val="28"/>
          <w:highlight w:val="none"/>
        </w:rPr>
        <w:t>采购需求：</w:t>
      </w:r>
      <w:bookmarkStart w:id="2" w:name="_Toc35393791"/>
      <w:bookmarkStart w:id="3" w:name="_Toc35393622"/>
      <w:bookmarkStart w:id="4" w:name="_Toc28359080"/>
      <w:bookmarkStart w:id="5" w:name="_Toc28359003"/>
      <w:r>
        <w:rPr>
          <w:rFonts w:hint="eastAsia" w:ascii="仿宋" w:hAnsi="仿宋" w:eastAsia="仿宋" w:cs="仿宋"/>
          <w:color w:val="auto"/>
          <w:sz w:val="28"/>
          <w:szCs w:val="28"/>
          <w:highlight w:val="none"/>
        </w:rPr>
        <w:t>根据南通市市场监督管理局要求，为确保完成全年任务，本项目用于202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年食品、食用农产品抽检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含乳制品生产企业的原料及成品抽检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，共计</w:t>
      </w:r>
      <w:r>
        <w:rPr>
          <w:rFonts w:hint="eastAsia" w:ascii="仿宋" w:hAnsi="仿宋" w:eastAsia="仿宋" w:cs="仿宋"/>
          <w:color w:val="auto"/>
          <w:sz w:val="28"/>
          <w:szCs w:val="28"/>
          <w:highlight w:val="none"/>
          <w:lang w:val="en-US" w:eastAsia="zh-CN"/>
        </w:rPr>
        <w:t>4000</w:t>
      </w:r>
      <w:r>
        <w:rPr>
          <w:rFonts w:hint="eastAsia" w:ascii="仿宋" w:hAnsi="仿宋" w:eastAsia="仿宋" w:cs="仿宋"/>
          <w:color w:val="auto"/>
          <w:sz w:val="28"/>
          <w:szCs w:val="28"/>
          <w:highlight w:val="none"/>
        </w:rPr>
        <w:t>批次，现向社会公开征集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家供应商。</w:t>
      </w:r>
    </w:p>
    <w:p w14:paraId="5A08554A">
      <w:pPr>
        <w:spacing w:line="5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（六）合同履行期限：自合同签订后至202</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年11月30日止，具体时间应结合工作进展，时间以采购人通知为准。</w:t>
      </w:r>
    </w:p>
    <w:p w14:paraId="4D840DC0">
      <w:pPr>
        <w:pStyle w:val="198"/>
        <w:spacing w:line="48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（七）服务地点：如皋市</w:t>
      </w:r>
    </w:p>
    <w:p w14:paraId="3A3BF778">
      <w:pPr>
        <w:pStyle w:val="198"/>
        <w:spacing w:line="48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（八）本项目不接受联合体。 </w:t>
      </w:r>
    </w:p>
    <w:p w14:paraId="591830F1">
      <w:pPr>
        <w:pStyle w:val="198"/>
        <w:spacing w:line="480" w:lineRule="exact"/>
        <w:ind w:firstLine="560"/>
        <w:rPr>
          <w:rFonts w:hint="eastAsia" w:ascii="仿宋" w:hAnsi="仿宋" w:eastAsia="仿宋"/>
          <w:color w:val="auto"/>
          <w:sz w:val="28"/>
          <w:szCs w:val="28"/>
          <w:highlight w:val="none"/>
        </w:rPr>
      </w:pPr>
      <w:r>
        <w:rPr>
          <w:rFonts w:hint="eastAsia" w:ascii="仿宋" w:hAnsi="仿宋" w:eastAsia="仿宋" w:cs="仿宋"/>
          <w:bCs/>
          <w:color w:val="auto"/>
          <w:sz w:val="28"/>
          <w:szCs w:val="28"/>
          <w:highlight w:val="none"/>
        </w:rPr>
        <w:t>（九）</w:t>
      </w:r>
      <w:r>
        <w:rPr>
          <w:rFonts w:hint="eastAsia" w:ascii="仿宋" w:hAnsi="仿宋" w:eastAsia="仿宋"/>
          <w:color w:val="auto"/>
          <w:sz w:val="28"/>
          <w:szCs w:val="28"/>
          <w:highlight w:val="none"/>
        </w:rPr>
        <w:t>本项目是否专门面向中小企业采购：</w:t>
      </w:r>
      <w:r>
        <w:rPr>
          <w:rFonts w:hint="eastAsia" w:ascii="仿宋" w:hAnsi="仿宋" w:eastAsia="仿宋"/>
          <w:b w:val="0"/>
          <w:bCs w:val="0"/>
          <w:i w:val="0"/>
          <w:iCs/>
          <w:color w:val="auto"/>
          <w:sz w:val="28"/>
          <w:szCs w:val="28"/>
          <w:highlight w:val="none"/>
        </w:rPr>
        <w:t>是</w:t>
      </w:r>
      <w:r>
        <w:rPr>
          <w:rFonts w:hint="eastAsia" w:ascii="仿宋" w:hAnsi="仿宋" w:eastAsia="仿宋"/>
          <w:color w:val="auto"/>
          <w:sz w:val="28"/>
          <w:szCs w:val="28"/>
          <w:highlight w:val="none"/>
        </w:rPr>
        <w:t>。</w:t>
      </w:r>
    </w:p>
    <w:p w14:paraId="7BFFBC6F">
      <w:pPr>
        <w:pStyle w:val="198"/>
        <w:spacing w:line="480" w:lineRule="exact"/>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十）项目类型：服务。</w:t>
      </w:r>
    </w:p>
    <w:p w14:paraId="45514BE6">
      <w:pPr>
        <w:pStyle w:val="198"/>
        <w:spacing w:line="480" w:lineRule="exact"/>
        <w:ind w:firstLine="560"/>
        <w:rPr>
          <w:rFonts w:hint="eastAsia" w:ascii="仿宋" w:hAnsi="仿宋" w:eastAsia="仿宋"/>
          <w:color w:val="auto"/>
          <w:sz w:val="28"/>
          <w:szCs w:val="28"/>
          <w:highlight w:val="none"/>
        </w:rPr>
      </w:pPr>
      <w:r>
        <w:rPr>
          <w:rFonts w:hint="eastAsia" w:ascii="仿宋" w:hAnsi="仿宋" w:eastAsia="仿宋" w:cs="仿宋"/>
          <w:bCs/>
          <w:color w:val="auto"/>
          <w:sz w:val="28"/>
          <w:szCs w:val="28"/>
          <w:highlight w:val="none"/>
          <w:lang w:val="en-US" w:eastAsia="zh-CN"/>
        </w:rPr>
        <w:t>（十一）项目所属行业：其他未列明行业</w:t>
      </w:r>
      <w:r>
        <w:rPr>
          <w:rFonts w:hint="eastAsia" w:ascii="仿宋" w:hAnsi="仿宋" w:eastAsia="仿宋" w:cs="仿宋"/>
          <w:bCs/>
          <w:color w:val="auto"/>
          <w:sz w:val="28"/>
          <w:szCs w:val="28"/>
          <w:highlight w:val="none"/>
          <w:lang w:eastAsia="zh-CN"/>
        </w:rPr>
        <w:t>。</w:t>
      </w:r>
      <w:bookmarkEnd w:id="2"/>
      <w:bookmarkEnd w:id="3"/>
      <w:bookmarkEnd w:id="4"/>
      <w:bookmarkEnd w:id="5"/>
    </w:p>
    <w:p w14:paraId="49DA3EA9">
      <w:pPr>
        <w:pStyle w:val="22"/>
        <w:spacing w:after="0" w:line="500" w:lineRule="exact"/>
        <w:ind w:firstLine="560"/>
        <w:outlineLvl w:val="1"/>
        <w:rPr>
          <w:rFonts w:ascii="黑体" w:hAnsi="黑体" w:eastAsia="黑体"/>
          <w:color w:val="auto"/>
          <w:sz w:val="28"/>
          <w:szCs w:val="28"/>
          <w:highlight w:val="none"/>
        </w:rPr>
      </w:pPr>
      <w:bookmarkStart w:id="6" w:name="_Toc24799"/>
      <w:bookmarkStart w:id="7" w:name="_Toc19772"/>
      <w:bookmarkStart w:id="8" w:name="_Toc28359004"/>
      <w:bookmarkStart w:id="9" w:name="_Toc28359081"/>
      <w:r>
        <w:rPr>
          <w:rFonts w:hint="eastAsia" w:ascii="黑体" w:hAnsi="黑体" w:eastAsia="黑体"/>
          <w:color w:val="auto"/>
          <w:sz w:val="28"/>
          <w:szCs w:val="28"/>
          <w:highlight w:val="none"/>
        </w:rPr>
        <w:t>二、供应商的资格要求：</w:t>
      </w:r>
      <w:bookmarkEnd w:id="6"/>
      <w:bookmarkEnd w:id="7"/>
    </w:p>
    <w:p w14:paraId="0489AAA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（一）《中华人民共和国政府采购法》第二十二条规定的条件：</w:t>
      </w:r>
    </w:p>
    <w:p w14:paraId="5800F57D">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1.具有独立承担民事责任的能力;</w:t>
      </w:r>
    </w:p>
    <w:p w14:paraId="7B25AEBC">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2.具有良好的商业信誉和健全的财务会计制度;</w:t>
      </w:r>
    </w:p>
    <w:p w14:paraId="0F462066">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3.具有履行合同所必需的设备和专业技术能力;</w:t>
      </w:r>
    </w:p>
    <w:p w14:paraId="00B74096">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4.有依法缴纳税收和社会保障资金的良好记录;</w:t>
      </w:r>
    </w:p>
    <w:p w14:paraId="3C780FFD">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5.参加政府采购活动前三年内，在经营活动中没有重大违法记录;</w:t>
      </w:r>
    </w:p>
    <w:p w14:paraId="4FD421B7">
      <w:pPr>
        <w:pStyle w:val="37"/>
        <w:shd w:val="clear" w:color="auto"/>
        <w:spacing w:beforeAutospacing="0" w:afterAutospacing="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6.法律、行政法规规定的其他条件。</w:t>
      </w:r>
    </w:p>
    <w:p w14:paraId="4C624DFA">
      <w:pPr>
        <w:shd w:val="clear" w:color="auto"/>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08B8EE70">
      <w:pPr>
        <w:pStyle w:val="37"/>
        <w:shd w:val="clear" w:color="auto"/>
        <w:spacing w:before="0" w:beforeAutospacing="0" w:after="0" w:afterAutospacing="0" w:line="500" w:lineRule="exact"/>
        <w:ind w:firstLine="482"/>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提供《中小企业声明函》、《残疾人福利性单位声明函》或监狱和省级以上监狱管理局、戒毒管理局（含新疆生产建设兵团）出具的属于监狱企业的证明文件。对于专门面向中小企业采购的项目，不提供的，按无效</w:t>
      </w:r>
      <w:r>
        <w:rPr>
          <w:rFonts w:hint="eastAsia" w:ascii="仿宋" w:hAnsi="仿宋" w:eastAsia="仿宋" w:cs="Times New Roman"/>
          <w:sz w:val="28"/>
          <w:szCs w:val="28"/>
          <w:highlight w:val="none"/>
          <w:lang w:val="en-US" w:eastAsia="zh-CN"/>
        </w:rPr>
        <w:t>响应</w:t>
      </w:r>
      <w:r>
        <w:rPr>
          <w:rFonts w:hint="eastAsia" w:ascii="仿宋" w:hAnsi="仿宋" w:eastAsia="仿宋" w:cs="Times New Roman"/>
          <w:sz w:val="28"/>
          <w:szCs w:val="28"/>
          <w:highlight w:val="none"/>
        </w:rPr>
        <w:t>处理；对于非专门面向中小企业采购的项目，</w:t>
      </w:r>
      <w:r>
        <w:rPr>
          <w:rFonts w:ascii="仿宋" w:hAnsi="仿宋" w:eastAsia="仿宋" w:cs="Times New Roman"/>
          <w:sz w:val="28"/>
          <w:szCs w:val="28"/>
          <w:highlight w:val="none"/>
        </w:rPr>
        <w:t>供应商</w:t>
      </w:r>
      <w:r>
        <w:rPr>
          <w:rFonts w:hint="eastAsia" w:ascii="仿宋" w:hAnsi="仿宋" w:eastAsia="仿宋" w:cs="Times New Roman"/>
          <w:sz w:val="28"/>
          <w:szCs w:val="28"/>
          <w:highlight w:val="none"/>
        </w:rPr>
        <w:t>属于</w:t>
      </w:r>
      <w:r>
        <w:rPr>
          <w:rFonts w:ascii="仿宋" w:hAnsi="仿宋" w:eastAsia="仿宋" w:cs="Times New Roman"/>
          <w:sz w:val="28"/>
          <w:szCs w:val="28"/>
          <w:highlight w:val="none"/>
        </w:rPr>
        <w:t>小微企业</w:t>
      </w:r>
      <w:r>
        <w:rPr>
          <w:rFonts w:hint="eastAsia" w:ascii="仿宋" w:hAnsi="仿宋" w:eastAsia="仿宋" w:cs="Times New Roman"/>
          <w:sz w:val="28"/>
          <w:szCs w:val="28"/>
          <w:highlight w:val="none"/>
        </w:rPr>
        <w:t>、</w:t>
      </w:r>
      <w:r>
        <w:rPr>
          <w:rFonts w:ascii="仿宋" w:hAnsi="仿宋" w:eastAsia="仿宋" w:cs="Times New Roman"/>
          <w:sz w:val="28"/>
          <w:szCs w:val="28"/>
          <w:highlight w:val="none"/>
        </w:rPr>
        <w:t>监狱企业</w:t>
      </w:r>
      <w:r>
        <w:rPr>
          <w:rFonts w:hint="eastAsia" w:ascii="仿宋" w:hAnsi="仿宋" w:eastAsia="仿宋" w:cs="Times New Roman"/>
          <w:sz w:val="28"/>
          <w:szCs w:val="28"/>
          <w:highlight w:val="none"/>
        </w:rPr>
        <w:t>或者</w:t>
      </w:r>
      <w:r>
        <w:rPr>
          <w:rFonts w:ascii="仿宋" w:hAnsi="仿宋" w:eastAsia="仿宋" w:cs="Times New Roman"/>
          <w:sz w:val="28"/>
          <w:szCs w:val="28"/>
          <w:highlight w:val="none"/>
        </w:rPr>
        <w:t>残疾人福利性单位的</w:t>
      </w:r>
      <w:r>
        <w:rPr>
          <w:rFonts w:hint="eastAsia" w:ascii="仿宋" w:hAnsi="仿宋" w:eastAsia="仿宋" w:cs="Times New Roman"/>
          <w:sz w:val="28"/>
          <w:szCs w:val="28"/>
          <w:highlight w:val="none"/>
        </w:rPr>
        <w:t>，享受价格扣除优惠。</w:t>
      </w:r>
    </w:p>
    <w:p w14:paraId="03D05F70">
      <w:pPr>
        <w:pStyle w:val="37"/>
        <w:shd w:val="clear" w:color="auto"/>
        <w:spacing w:before="0" w:beforeAutospacing="0" w:after="0" w:afterAutospacing="0" w:line="500" w:lineRule="exact"/>
        <w:ind w:firstLine="482"/>
        <w:rPr>
          <w:rFonts w:hint="eastAsia" w:ascii="仿宋" w:hAnsi="仿宋" w:eastAsia="仿宋"/>
          <w:iCs/>
          <w:sz w:val="28"/>
          <w:szCs w:val="28"/>
          <w:highlight w:val="none"/>
        </w:rPr>
      </w:pPr>
      <w:r>
        <w:rPr>
          <w:rFonts w:hint="eastAsia" w:ascii="仿宋" w:hAnsi="仿宋" w:eastAsia="仿宋" w:cs="Times New Roman"/>
          <w:sz w:val="28"/>
          <w:szCs w:val="28"/>
          <w:highlight w:val="none"/>
          <w:lang w:val="en-US" w:eastAsia="zh-CN"/>
        </w:rPr>
        <w:t>2.响应</w:t>
      </w:r>
      <w:r>
        <w:rPr>
          <w:rFonts w:hint="eastAsia" w:ascii="仿宋" w:hAnsi="仿宋" w:eastAsia="仿宋"/>
          <w:iCs/>
          <w:sz w:val="28"/>
          <w:szCs w:val="28"/>
          <w:highlight w:val="none"/>
        </w:rPr>
        <w:t>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w:t>
      </w:r>
    </w:p>
    <w:p w14:paraId="2A99756A">
      <w:pPr>
        <w:pStyle w:val="37"/>
        <w:pageBreakBefore w:val="0"/>
        <w:shd w:val="clear" w:color="auto"/>
        <w:spacing w:beforeAutospacing="0" w:afterAutospacing="0" w:line="520" w:lineRule="exact"/>
        <w:ind w:firstLine="560"/>
        <w:rPr>
          <w:rFonts w:hint="eastAsia" w:ascii="仿宋" w:hAnsi="仿宋" w:eastAsia="仿宋" w:cs="仿宋"/>
          <w:color w:val="auto"/>
          <w:sz w:val="28"/>
          <w:szCs w:val="28"/>
          <w:highlight w:val="none"/>
        </w:rPr>
      </w:pPr>
      <w:r>
        <w:rPr>
          <w:rFonts w:hint="eastAsia" w:ascii="仿宋" w:hAnsi="仿宋" w:eastAsia="仿宋"/>
          <w:iCs/>
          <w:sz w:val="28"/>
          <w:szCs w:val="28"/>
          <w:highlight w:val="none"/>
          <w:lang w:val="en-US" w:eastAsia="zh-CN"/>
        </w:rPr>
        <w:t>3.响应</w:t>
      </w:r>
      <w:r>
        <w:rPr>
          <w:rFonts w:hint="eastAsia" w:ascii="仿宋" w:hAnsi="仿宋" w:eastAsia="仿宋" w:cs="Times New Roman"/>
          <w:iCs/>
          <w:sz w:val="28"/>
          <w:szCs w:val="28"/>
          <w:highlight w:val="none"/>
        </w:rPr>
        <w:t>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,以及全国认证认可信息公共服务平台查询截图</w:t>
      </w:r>
      <w:r>
        <w:rPr>
          <w:rFonts w:hint="eastAsia" w:ascii="仿宋" w:hAnsi="仿宋" w:eastAsia="仿宋" w:cs="Times New Roman"/>
          <w:iCs/>
          <w:sz w:val="28"/>
          <w:szCs w:val="28"/>
          <w:highlight w:val="none"/>
        </w:rPr>
        <w:t>。</w:t>
      </w:r>
    </w:p>
    <w:p w14:paraId="3B94B3BB">
      <w:pPr>
        <w:pStyle w:val="37"/>
        <w:shd w:val="clear" w:color="auto"/>
        <w:spacing w:beforeAutospacing="0" w:afterAutospacing="0" w:line="500" w:lineRule="exact"/>
        <w:ind w:firstLine="562"/>
        <w:rPr>
          <w:rFonts w:ascii="仿宋" w:hAnsi="仿宋" w:eastAsia="仿宋"/>
          <w:color w:val="auto"/>
          <w:sz w:val="28"/>
          <w:szCs w:val="28"/>
          <w:highlight w:val="none"/>
        </w:rPr>
      </w:pPr>
      <w:r>
        <w:rPr>
          <w:rFonts w:hint="eastAsia" w:ascii="仿宋" w:hAnsi="仿宋" w:eastAsia="仿宋"/>
          <w:b/>
          <w:bCs/>
          <w:color w:val="auto"/>
          <w:sz w:val="28"/>
          <w:szCs w:val="28"/>
          <w:highlight w:val="none"/>
        </w:rPr>
        <w:t>（三）本项目的特定资格要求</w:t>
      </w:r>
      <w:r>
        <w:rPr>
          <w:rFonts w:hint="eastAsia" w:ascii="仿宋" w:hAnsi="仿宋" w:eastAsia="仿宋"/>
          <w:color w:val="auto"/>
          <w:sz w:val="28"/>
          <w:szCs w:val="28"/>
          <w:highlight w:val="none"/>
        </w:rPr>
        <w:t>：</w:t>
      </w:r>
    </w:p>
    <w:p w14:paraId="5F7C5D00">
      <w:pPr>
        <w:keepNext w:val="0"/>
        <w:keepLines w:val="0"/>
        <w:pageBreakBefore w:val="0"/>
        <w:widowControl/>
        <w:shd w:val="clear" w:color="auto"/>
        <w:spacing w:line="48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val="en-US" w:eastAsia="zh-CN"/>
        </w:rPr>
        <w:t>本项目为专门面向中小企业项目，</w:t>
      </w:r>
      <w:bookmarkStart w:id="299" w:name="_GoBack"/>
      <w:bookmarkEnd w:id="299"/>
      <w:r>
        <w:rPr>
          <w:rFonts w:hint="eastAsia" w:ascii="仿宋" w:hAnsi="仿宋" w:eastAsia="仿宋" w:cs="Times New Roman"/>
          <w:color w:val="auto"/>
          <w:sz w:val="28"/>
          <w:szCs w:val="28"/>
          <w:highlight w:val="none"/>
        </w:rPr>
        <w:t>响应供应商须提供中小企业声明函，根据《中小企业划型标准规定》（工信部联企业〔2011〕300 号）文件规定，本项目属于</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u w:val="single"/>
          <w:lang w:val="en-US" w:eastAsia="zh-CN"/>
        </w:rPr>
        <w:t>其他未列明行业</w:t>
      </w:r>
      <w:r>
        <w:rPr>
          <w:rFonts w:hint="eastAsia" w:ascii="仿宋" w:hAnsi="仿宋" w:eastAsia="仿宋" w:cs="Times New Roman"/>
          <w:color w:val="auto"/>
          <w:sz w:val="28"/>
          <w:szCs w:val="28"/>
          <w:highlight w:val="none"/>
        </w:rPr>
        <w:t>。</w:t>
      </w:r>
    </w:p>
    <w:p w14:paraId="4649F584">
      <w:pPr>
        <w:pStyle w:val="37"/>
        <w:shd w:val="clear" w:color="auto"/>
        <w:spacing w:before="0" w:beforeAutospacing="0" w:after="0" w:afterAutospacing="0" w:line="500" w:lineRule="exact"/>
        <w:ind w:firstLine="567"/>
        <w:rPr>
          <w:rFonts w:hint="eastAsia" w:ascii="仿宋" w:hAnsi="仿宋" w:eastAsia="仿宋" w:cs="仿宋"/>
          <w:color w:val="auto"/>
          <w:sz w:val="28"/>
          <w:szCs w:val="28"/>
          <w:highlight w:val="none"/>
          <w:lang w:eastAsia="zh-CN"/>
        </w:rPr>
      </w:pPr>
      <w:r>
        <w:rPr>
          <w:rFonts w:hint="eastAsia" w:ascii="仿宋" w:hAnsi="仿宋" w:eastAsia="仿宋" w:cs="仿宋"/>
          <w:iCs/>
          <w:color w:val="auto"/>
          <w:sz w:val="28"/>
          <w:szCs w:val="28"/>
          <w:highlight w:val="none"/>
          <w:lang w:val="en-US" w:eastAsia="zh-CN"/>
        </w:rPr>
        <w:t>2.</w:t>
      </w:r>
      <w:r>
        <w:rPr>
          <w:rFonts w:hint="eastAsia" w:ascii="仿宋" w:hAnsi="仿宋" w:eastAsia="仿宋"/>
          <w:sz w:val="28"/>
          <w:szCs w:val="28"/>
          <w:highlight w:val="none"/>
        </w:rPr>
        <w:t>供应商的法定代表人参加框架协议采购活动的，须在响应文件中提供法定代表人身份证明和身份证复印件；委托代理人参加</w:t>
      </w:r>
      <w:r>
        <w:rPr>
          <w:rFonts w:hint="eastAsia" w:ascii="仿宋" w:hAnsi="仿宋" w:eastAsia="仿宋"/>
          <w:sz w:val="28"/>
          <w:szCs w:val="28"/>
          <w:highlight w:val="none"/>
          <w:lang w:val="en-US" w:eastAsia="zh-CN"/>
        </w:rPr>
        <w:t>采购</w:t>
      </w:r>
      <w:r>
        <w:rPr>
          <w:rFonts w:hint="eastAsia" w:ascii="仿宋" w:hAnsi="仿宋" w:eastAsia="仿宋"/>
          <w:sz w:val="28"/>
          <w:szCs w:val="28"/>
          <w:highlight w:val="none"/>
        </w:rPr>
        <w:t>活动的，还须在响应文件中提供法定代表人的授权委托书。代理人须为响应供应商的正式员工并为本项目负责人，</w:t>
      </w:r>
      <w:r>
        <w:rPr>
          <w:rFonts w:hint="eastAsia" w:ascii="仿宋" w:hAnsi="仿宋" w:eastAsia="仿宋"/>
          <w:iCs/>
          <w:sz w:val="28"/>
          <w:szCs w:val="28"/>
          <w:highlight w:val="none"/>
        </w:rPr>
        <w:t>并提供响应文件提交截止日前最近1个月响应供应商为其缴纳社保的证明</w:t>
      </w:r>
      <w:r>
        <w:rPr>
          <w:rFonts w:hint="eastAsia" w:ascii="仿宋" w:hAnsi="仿宋" w:eastAsia="仿宋"/>
          <w:sz w:val="28"/>
          <w:szCs w:val="28"/>
          <w:highlight w:val="none"/>
        </w:rPr>
        <w:t>；新成立企业距截止日期不足30日的，可不提供缴纳社保的证明（以新办企业营业执照发放日期为准）。</w:t>
      </w:r>
    </w:p>
    <w:p w14:paraId="17027998">
      <w:pPr>
        <w:pStyle w:val="37"/>
        <w:pageBreakBefore w:val="0"/>
        <w:shd w:val="clear" w:color="auto"/>
        <w:spacing w:beforeAutospacing="0" w:afterAutospacing="0" w:line="520" w:lineRule="exact"/>
        <w:ind w:firstLine="567"/>
        <w:rPr>
          <w:highlight w:val="none"/>
        </w:rPr>
      </w:pPr>
    </w:p>
    <w:p w14:paraId="431B3B36">
      <w:pPr>
        <w:pageBreakBefore w:val="0"/>
        <w:widowControl/>
        <w:shd w:val="clear" w:color="auto"/>
        <w:spacing w:line="520" w:lineRule="exact"/>
        <w:ind w:firstLine="560"/>
        <w:jc w:val="left"/>
        <w:rPr>
          <w:rFonts w:hint="eastAsia" w:ascii="仿宋" w:hAnsi="仿宋" w:eastAsia="仿宋" w:cs="Times New Roman"/>
          <w:sz w:val="28"/>
          <w:szCs w:val="28"/>
          <w:highlight w:val="none"/>
        </w:rPr>
      </w:pPr>
      <w:bookmarkStart w:id="10" w:name="_Toc35393623"/>
      <w:bookmarkStart w:id="11" w:name="_Toc35393792"/>
      <w:r>
        <w:rPr>
          <w:rFonts w:hint="eastAsia" w:ascii="仿宋" w:hAnsi="仿宋" w:eastAsia="仿宋" w:cs="仿宋"/>
          <w:color w:val="auto"/>
          <w:sz w:val="28"/>
          <w:szCs w:val="28"/>
          <w:highlight w:val="none"/>
        </w:rPr>
        <w:t>（四）</w:t>
      </w:r>
      <w:r>
        <w:rPr>
          <w:rFonts w:hint="eastAsia" w:ascii="仿宋" w:hAnsi="仿宋" w:eastAsia="仿宋" w:cs="Times New Roman"/>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41AC7A9">
      <w:pPr>
        <w:pStyle w:val="37"/>
        <w:pageBreakBefore w:val="0"/>
        <w:shd w:val="clear" w:color="auto"/>
        <w:spacing w:beforeAutospacing="0" w:afterAutospacing="0"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（五）未被“信用中国</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”、“中国政府采购网</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”网站列入失信被执行人或重大税收违法案件当事人名单或政府采购严重失信行为记录名单，查询结果以评审过程中现场网络截图为准。</w:t>
      </w:r>
    </w:p>
    <w:p w14:paraId="5261DBA9">
      <w:pPr>
        <w:pStyle w:val="22"/>
        <w:spacing w:after="0" w:line="500" w:lineRule="exact"/>
        <w:ind w:firstLine="560"/>
        <w:outlineLvl w:val="1"/>
        <w:rPr>
          <w:rFonts w:hint="eastAsia" w:ascii="黑体" w:hAnsi="黑体" w:eastAsia="黑体" w:cs="Times New Roman"/>
          <w:color w:val="auto"/>
          <w:sz w:val="28"/>
          <w:szCs w:val="28"/>
          <w:highlight w:val="none"/>
        </w:rPr>
      </w:pPr>
      <w:bookmarkStart w:id="12" w:name="_Toc13799"/>
      <w:r>
        <w:rPr>
          <w:rFonts w:hint="eastAsia" w:ascii="黑体" w:hAnsi="黑体" w:eastAsia="黑体" w:cs="Times New Roman"/>
          <w:color w:val="auto"/>
          <w:sz w:val="28"/>
          <w:szCs w:val="28"/>
          <w:highlight w:val="none"/>
        </w:rPr>
        <w:t>三、</w:t>
      </w:r>
      <w:bookmarkEnd w:id="8"/>
      <w:bookmarkEnd w:id="9"/>
      <w:bookmarkEnd w:id="10"/>
      <w:bookmarkEnd w:id="11"/>
      <w:r>
        <w:rPr>
          <w:rFonts w:hint="eastAsia" w:ascii="黑体" w:hAnsi="黑体" w:eastAsia="黑体" w:cs="Times New Roman"/>
          <w:color w:val="auto"/>
          <w:sz w:val="28"/>
          <w:szCs w:val="28"/>
          <w:highlight w:val="none"/>
        </w:rPr>
        <w:t>获取征集文件的时间、地点、方式</w:t>
      </w:r>
      <w:bookmarkEnd w:id="12"/>
    </w:p>
    <w:p w14:paraId="3FCA2895">
      <w:pPr>
        <w:pageBreakBefore w:val="0"/>
        <w:shd w:val="clear" w:color="auto"/>
        <w:spacing w:line="520" w:lineRule="exact"/>
        <w:ind w:firstLine="560"/>
        <w:rPr>
          <w:rFonts w:hint="eastAsia" w:ascii="仿宋" w:hAnsi="仿宋" w:eastAsia="仿宋" w:cs="仿宋"/>
          <w:color w:val="auto"/>
          <w:sz w:val="28"/>
          <w:szCs w:val="28"/>
          <w:highlight w:val="none"/>
          <w:lang w:val="en-US" w:eastAsia="zh-CN"/>
        </w:rPr>
      </w:pPr>
      <w:bookmarkStart w:id="13" w:name="_Toc9499"/>
      <w:bookmarkStart w:id="14" w:name="_Toc28359084"/>
      <w:bookmarkStart w:id="15" w:name="_Toc35393625"/>
      <w:bookmarkStart w:id="16" w:name="_Toc28359007"/>
      <w:bookmarkStart w:id="17" w:name="_Toc35393794"/>
      <w:r>
        <w:rPr>
          <w:rFonts w:hint="eastAsia" w:ascii="仿宋" w:hAnsi="仿宋" w:eastAsia="仿宋" w:cs="仿宋"/>
          <w:color w:val="auto"/>
          <w:sz w:val="28"/>
          <w:szCs w:val="28"/>
          <w:highlight w:val="none"/>
        </w:rPr>
        <w:t>（一）时间：</w:t>
      </w:r>
      <w:r>
        <w:rPr>
          <w:rFonts w:hint="eastAsia" w:ascii="仿宋" w:hAnsi="仿宋" w:eastAsia="仿宋" w:cs="仿宋"/>
          <w:color w:val="auto"/>
          <w:sz w:val="28"/>
          <w:szCs w:val="28"/>
          <w:highlight w:val="none"/>
          <w:lang w:val="en-US" w:eastAsia="zh-CN"/>
        </w:rPr>
        <w:t>自</w:t>
      </w:r>
      <w:r>
        <w:rPr>
          <w:rFonts w:hint="eastAsia" w:ascii="仿宋" w:hAnsi="仿宋" w:eastAsia="仿宋" w:cs="仿宋"/>
          <w:color w:val="auto"/>
          <w:sz w:val="28"/>
          <w:szCs w:val="28"/>
          <w:highlight w:val="none"/>
        </w:rPr>
        <w:t>本公告发布之日起</w:t>
      </w:r>
      <w:r>
        <w:rPr>
          <w:rFonts w:hint="eastAsia" w:ascii="仿宋" w:hAnsi="仿宋" w:eastAsia="仿宋" w:cs="仿宋"/>
          <w:color w:val="auto"/>
          <w:sz w:val="28"/>
          <w:szCs w:val="28"/>
          <w:highlight w:val="none"/>
          <w:lang w:val="en-US" w:eastAsia="zh-CN"/>
        </w:rPr>
        <w:t>5个工作日。</w:t>
      </w:r>
    </w:p>
    <w:p w14:paraId="3B64A274">
      <w:pPr>
        <w:pageBreakBefore w:val="0"/>
        <w:shd w:val="clear" w:color="auto"/>
        <w:spacing w:line="520" w:lineRule="exact"/>
        <w:ind w:firstLine="560"/>
        <w:rPr>
          <w:rFonts w:hint="eastAsia" w:ascii="仿宋" w:hAnsi="仿宋" w:eastAsia="仿宋" w:cs="仿宋"/>
          <w:sz w:val="30"/>
          <w:highlight w:val="none"/>
        </w:rPr>
      </w:pPr>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val="en-US" w:eastAsia="zh-CN"/>
        </w:rPr>
        <w:t>地点：江苏省政府采购网。</w:t>
      </w:r>
    </w:p>
    <w:p w14:paraId="10DE54CE">
      <w:pPr>
        <w:pageBreakBefore w:val="0"/>
        <w:shd w:val="clear" w:color="auto"/>
        <w:spacing w:line="520" w:lineRule="exact"/>
        <w:ind w:firstLine="560"/>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w:t>
      </w:r>
      <w:r>
        <w:rPr>
          <w:rFonts w:hint="eastAsia" w:ascii="仿宋" w:hAnsi="仿宋" w:eastAsia="仿宋" w:cs="仿宋"/>
          <w:sz w:val="30"/>
          <w:highlight w:val="none"/>
        </w:rPr>
        <w:t>方式：</w:t>
      </w:r>
      <w:r>
        <w:rPr>
          <w:rFonts w:hint="eastAsia" w:ascii="仿宋" w:hAnsi="仿宋" w:eastAsia="仿宋" w:cs="仿宋"/>
          <w:color w:val="auto"/>
          <w:sz w:val="28"/>
          <w:szCs w:val="28"/>
          <w:highlight w:val="none"/>
        </w:rPr>
        <w:t>本项目采用“苏采云”系统网上注册登记方式，具体详见《江苏省政府采购管理交易系统（苏采云）投标人操作手册》。</w:t>
      </w:r>
    </w:p>
    <w:bookmarkEnd w:id="13"/>
    <w:p w14:paraId="540462EF">
      <w:pPr>
        <w:pStyle w:val="22"/>
        <w:spacing w:after="0" w:line="500" w:lineRule="exact"/>
        <w:ind w:firstLine="560"/>
        <w:outlineLvl w:val="1"/>
        <w:rPr>
          <w:rFonts w:hint="eastAsia" w:ascii="黑体" w:hAnsi="黑体" w:eastAsia="黑体" w:cs="Times New Roman"/>
          <w:color w:val="auto"/>
          <w:sz w:val="28"/>
          <w:szCs w:val="28"/>
          <w:highlight w:val="none"/>
        </w:rPr>
      </w:pPr>
      <w:bookmarkStart w:id="18" w:name="_Toc28359092"/>
      <w:bookmarkStart w:id="19" w:name="_Toc28359015"/>
      <w:bookmarkStart w:id="20" w:name="_Toc35393801"/>
      <w:bookmarkStart w:id="21" w:name="_Toc35393632"/>
      <w:bookmarkStart w:id="22" w:name="_Toc7585"/>
      <w:r>
        <w:rPr>
          <w:rFonts w:hint="eastAsia" w:ascii="黑体" w:hAnsi="黑体" w:eastAsia="黑体" w:cs="Times New Roman"/>
          <w:color w:val="auto"/>
          <w:sz w:val="28"/>
          <w:szCs w:val="28"/>
          <w:highlight w:val="none"/>
        </w:rPr>
        <w:t>四、提交</w:t>
      </w:r>
      <w:r>
        <w:rPr>
          <w:rFonts w:hint="eastAsia" w:ascii="黑体" w:hAnsi="黑体" w:eastAsia="黑体" w:cs="Times New Roman"/>
          <w:color w:val="auto"/>
          <w:sz w:val="28"/>
          <w:szCs w:val="28"/>
          <w:highlight w:val="none"/>
          <w:lang w:val="en-US" w:eastAsia="zh-CN"/>
        </w:rPr>
        <w:t>响应</w:t>
      </w:r>
      <w:r>
        <w:rPr>
          <w:rFonts w:hint="eastAsia" w:ascii="黑体" w:hAnsi="黑体" w:eastAsia="黑体" w:cs="Times New Roman"/>
          <w:color w:val="auto"/>
          <w:sz w:val="28"/>
          <w:szCs w:val="28"/>
          <w:highlight w:val="none"/>
        </w:rPr>
        <w:t>文件</w:t>
      </w:r>
      <w:bookmarkEnd w:id="18"/>
      <w:bookmarkEnd w:id="19"/>
      <w:bookmarkEnd w:id="20"/>
      <w:bookmarkEnd w:id="21"/>
      <w:r>
        <w:rPr>
          <w:rFonts w:hint="eastAsia" w:ascii="黑体" w:hAnsi="黑体" w:eastAsia="黑体" w:cs="Times New Roman"/>
          <w:color w:val="auto"/>
          <w:sz w:val="28"/>
          <w:szCs w:val="28"/>
          <w:highlight w:val="none"/>
        </w:rPr>
        <w:t>截止时间、开标时间和地点</w:t>
      </w:r>
      <w:bookmarkEnd w:id="22"/>
    </w:p>
    <w:p w14:paraId="129646E3">
      <w:pPr>
        <w:spacing w:line="50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截止时间：</w:t>
      </w:r>
      <w:r>
        <w:rPr>
          <w:rFonts w:hint="eastAsia" w:ascii="仿宋" w:hAnsi="仿宋" w:eastAsia="仿宋"/>
          <w:sz w:val="28"/>
          <w:szCs w:val="28"/>
          <w:highlight w:val="none"/>
          <w:lang w:val="en-US" w:eastAsia="zh-CN"/>
        </w:rPr>
        <w:t>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17</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7230AB9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地点：通过“苏采云”系统提交，具体详见《江苏省政府采购管理交易系统（苏采云）投标人操作手册》。</w:t>
      </w:r>
    </w:p>
    <w:p w14:paraId="6EEA1867">
      <w:pPr>
        <w:spacing w:line="500" w:lineRule="exact"/>
        <w:ind w:firstLine="560"/>
        <w:rPr>
          <w:rFonts w:ascii="仿宋" w:hAnsi="仿宋" w:eastAsia="仿宋"/>
          <w:bCs/>
          <w:sz w:val="28"/>
          <w:szCs w:val="28"/>
          <w:highlight w:val="none"/>
        </w:rPr>
      </w:pPr>
      <w:r>
        <w:rPr>
          <w:rFonts w:hint="eastAsia" w:ascii="仿宋" w:hAnsi="仿宋" w:eastAsia="仿宋"/>
          <w:sz w:val="28"/>
          <w:szCs w:val="28"/>
          <w:highlight w:val="none"/>
        </w:rPr>
        <w:t>开标时间：</w:t>
      </w:r>
      <w:r>
        <w:rPr>
          <w:rFonts w:hint="eastAsia" w:ascii="仿宋" w:hAnsi="仿宋" w:eastAsia="仿宋"/>
          <w:sz w:val="28"/>
          <w:szCs w:val="28"/>
          <w:highlight w:val="none"/>
          <w:lang w:val="en-US" w:eastAsia="zh-CN"/>
        </w:rPr>
        <w:t>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17</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0EBAD76B">
      <w:pPr>
        <w:spacing w:line="500" w:lineRule="exact"/>
        <w:ind w:firstLine="560"/>
        <w:rPr>
          <w:rFonts w:ascii="仿宋" w:hAnsi="仿宋" w:eastAsia="仿宋"/>
          <w:color w:val="0000FF"/>
          <w:sz w:val="28"/>
          <w:szCs w:val="28"/>
          <w:highlight w:val="none"/>
        </w:rPr>
      </w:pPr>
      <w:r>
        <w:rPr>
          <w:rFonts w:hint="eastAsia" w:ascii="仿宋" w:hAnsi="仿宋" w:eastAsia="仿宋"/>
          <w:bCs/>
          <w:sz w:val="28"/>
          <w:szCs w:val="28"/>
          <w:highlight w:val="none"/>
        </w:rPr>
        <w:t>开标地点：</w:t>
      </w:r>
      <w:r>
        <w:rPr>
          <w:rFonts w:ascii="仿宋" w:hAnsi="仿宋" w:eastAsia="仿宋"/>
          <w:sz w:val="28"/>
          <w:szCs w:val="28"/>
          <w:highlight w:val="none"/>
        </w:rPr>
        <w:t>“苏采云”系统（网址：http://jszfcg.jsczt.cn/）“开标大厅”。</w:t>
      </w:r>
    </w:p>
    <w:p w14:paraId="5105E80B">
      <w:pPr>
        <w:pStyle w:val="22"/>
        <w:spacing w:after="0" w:line="500" w:lineRule="exact"/>
        <w:ind w:firstLine="560"/>
        <w:outlineLvl w:val="1"/>
        <w:rPr>
          <w:rFonts w:hint="eastAsia" w:ascii="黑体" w:hAnsi="黑体" w:eastAsia="黑体" w:cs="Times New Roman"/>
          <w:color w:val="auto"/>
          <w:sz w:val="28"/>
          <w:szCs w:val="28"/>
          <w:highlight w:val="none"/>
        </w:rPr>
      </w:pPr>
      <w:bookmarkStart w:id="23" w:name="_Toc29873"/>
      <w:r>
        <w:rPr>
          <w:rFonts w:hint="eastAsia" w:ascii="黑体" w:hAnsi="黑体" w:eastAsia="黑体" w:cs="Times New Roman"/>
          <w:color w:val="auto"/>
          <w:sz w:val="28"/>
          <w:szCs w:val="28"/>
          <w:highlight w:val="none"/>
        </w:rPr>
        <w:t>五、公告期限</w:t>
      </w:r>
      <w:bookmarkEnd w:id="14"/>
      <w:bookmarkEnd w:id="15"/>
      <w:bookmarkEnd w:id="16"/>
      <w:bookmarkEnd w:id="17"/>
      <w:bookmarkEnd w:id="23"/>
    </w:p>
    <w:p w14:paraId="1B48A0E4">
      <w:pPr>
        <w:pStyle w:val="198"/>
        <w:spacing w:line="48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自本公告发布之日起5个工作日。</w:t>
      </w:r>
    </w:p>
    <w:p w14:paraId="5D99263F">
      <w:pPr>
        <w:pStyle w:val="22"/>
        <w:spacing w:after="0" w:line="500" w:lineRule="exact"/>
        <w:ind w:firstLine="560"/>
        <w:outlineLvl w:val="1"/>
        <w:rPr>
          <w:rFonts w:hint="eastAsia" w:ascii="黑体" w:hAnsi="黑体" w:eastAsia="黑体" w:cs="Times New Roman"/>
          <w:color w:val="auto"/>
          <w:sz w:val="28"/>
          <w:szCs w:val="28"/>
          <w:highlight w:val="none"/>
        </w:rPr>
      </w:pPr>
      <w:bookmarkStart w:id="24" w:name="_Toc35393626"/>
      <w:bookmarkStart w:id="25" w:name="_Toc15544"/>
      <w:bookmarkStart w:id="26" w:name="_Toc35393795"/>
      <w:r>
        <w:rPr>
          <w:rFonts w:hint="eastAsia" w:ascii="黑体" w:hAnsi="黑体" w:eastAsia="黑体" w:cs="Times New Roman"/>
          <w:color w:val="auto"/>
          <w:sz w:val="28"/>
          <w:szCs w:val="28"/>
          <w:highlight w:val="none"/>
        </w:rPr>
        <w:t>六、其他补充事宜</w:t>
      </w:r>
      <w:bookmarkEnd w:id="24"/>
      <w:bookmarkEnd w:id="25"/>
      <w:bookmarkEnd w:id="26"/>
    </w:p>
    <w:p w14:paraId="3D94EE8C">
      <w:pPr>
        <w:spacing w:line="500" w:lineRule="exact"/>
        <w:ind w:firstLine="565" w:firstLineChars="202"/>
        <w:rPr>
          <w:rFonts w:ascii="仿宋" w:hAnsi="仿宋" w:eastAsia="仿宋" w:cs="宋体"/>
          <w:bCs/>
          <w:sz w:val="28"/>
          <w:szCs w:val="28"/>
          <w:highlight w:val="none"/>
        </w:rPr>
      </w:pPr>
      <w:bookmarkStart w:id="27" w:name="_Toc28359085"/>
      <w:bookmarkStart w:id="28" w:name="_Toc35393627"/>
      <w:bookmarkStart w:id="29" w:name="_Toc35393796"/>
      <w:bookmarkStart w:id="30" w:name="_Toc28359008"/>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sz w:val="28"/>
          <w:szCs w:val="28"/>
          <w:highlight w:val="none"/>
        </w:rPr>
        <w:t>具体详见《江苏省政府采购管理交易系统（苏采云）投标人操作手册》，特别</w:t>
      </w:r>
      <w:r>
        <w:rPr>
          <w:rFonts w:hint="eastAsia" w:ascii="仿宋" w:hAnsi="仿宋" w:eastAsia="仿宋" w:cs="宋体"/>
          <w:bCs/>
          <w:sz w:val="28"/>
          <w:szCs w:val="28"/>
          <w:highlight w:val="none"/>
        </w:rPr>
        <w:t>注意以下事项：</w:t>
      </w:r>
    </w:p>
    <w:p w14:paraId="67350706">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1C24D993">
      <w:pPr>
        <w:keepNext w:val="0"/>
        <w:keepLines w:val="0"/>
        <w:pageBreakBefore w:val="0"/>
        <w:widowControl w:val="0"/>
        <w:kinsoku/>
        <w:wordWrap w:val="0"/>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highlight w:val="none"/>
        </w:rPr>
      </w:pPr>
      <w:r>
        <w:rPr>
          <w:rFonts w:hint="eastAsia" w:ascii="仿宋" w:hAnsi="仿宋" w:eastAsia="仿宋" w:cs="宋体"/>
          <w:bCs/>
          <w:sz w:val="28"/>
          <w:szCs w:val="28"/>
          <w:highlight w:val="none"/>
        </w:rPr>
        <w:t>（2）</w:t>
      </w:r>
      <w:r>
        <w:rPr>
          <w:rFonts w:hint="eastAsia" w:ascii="仿宋" w:hAnsi="仿宋" w:eastAsia="仿宋" w:cs="仿宋"/>
          <w:sz w:val="28"/>
          <w:szCs w:val="28"/>
          <w:highlight w:val="none"/>
        </w:rPr>
        <w:t>投标人</w:t>
      </w:r>
      <w:r>
        <w:rPr>
          <w:rFonts w:hint="eastAsia" w:ascii="仿宋" w:hAnsi="仿宋" w:eastAsia="仿宋" w:cs="宋体"/>
          <w:bCs/>
          <w:sz w:val="28"/>
          <w:szCs w:val="28"/>
          <w:highlight w:val="none"/>
        </w:rPr>
        <w:t>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46"/>
          <w:rFonts w:ascii="仿宋" w:hAnsi="仿宋" w:eastAsia="仿宋" w:cs="宋体"/>
          <w:bCs/>
          <w:sz w:val="28"/>
          <w:szCs w:val="28"/>
          <w:highlight w:val="none"/>
        </w:rPr>
        <w:t>http://jsxcmm.com/help/gys.html</w:t>
      </w:r>
      <w:r>
        <w:rPr>
          <w:rStyle w:val="46"/>
          <w:rFonts w:ascii="仿宋" w:hAnsi="仿宋" w:eastAsia="仿宋" w:cs="宋体"/>
          <w:bCs/>
          <w:sz w:val="28"/>
          <w:szCs w:val="28"/>
          <w:highlight w:val="none"/>
        </w:rPr>
        <w:fldChar w:fldCharType="end"/>
      </w:r>
      <w:r>
        <w:rPr>
          <w:rFonts w:ascii="仿宋" w:hAnsi="仿宋" w:eastAsia="仿宋" w:cs="宋体"/>
          <w:bCs/>
          <w:sz w:val="28"/>
          <w:szCs w:val="28"/>
          <w:highlight w:val="none"/>
        </w:rPr>
        <w:t>）</w:t>
      </w:r>
      <w:r>
        <w:rPr>
          <w:rFonts w:hint="eastAsia" w:ascii="仿宋" w:hAnsi="仿宋" w:eastAsia="仿宋" w:cs="宋体"/>
          <w:bCs/>
          <w:sz w:val="28"/>
          <w:szCs w:val="28"/>
          <w:highlight w:val="none"/>
        </w:rPr>
        <w:t>。</w:t>
      </w:r>
    </w:p>
    <w:p w14:paraId="4BC223BB">
      <w:pPr>
        <w:spacing w:line="500" w:lineRule="exact"/>
        <w:ind w:firstLine="560" w:firstLineChars="200"/>
        <w:rPr>
          <w:rFonts w:ascii="仿宋" w:hAnsi="仿宋" w:eastAsia="仿宋"/>
          <w:sz w:val="28"/>
          <w:szCs w:val="28"/>
          <w:highlight w:val="none"/>
        </w:rPr>
      </w:pPr>
      <w:r>
        <w:rPr>
          <w:rFonts w:hint="eastAsia" w:ascii="仿宋" w:hAnsi="仿宋" w:eastAsia="仿宋" w:cs="仿宋"/>
          <w:sz w:val="28"/>
          <w:szCs w:val="28"/>
          <w:highlight w:val="none"/>
        </w:rPr>
        <w:t>（3）</w:t>
      </w:r>
      <w:r>
        <w:rPr>
          <w:rFonts w:ascii="仿宋" w:hAnsi="仿宋" w:eastAsia="仿宋"/>
          <w:sz w:val="28"/>
          <w:szCs w:val="28"/>
          <w:highlight w:val="none"/>
        </w:rPr>
        <w:t>使用谷歌浏览器。</w:t>
      </w:r>
    </w:p>
    <w:p w14:paraId="00D52BA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提前准备好麦克风、音响，摄像头，</w:t>
      </w:r>
      <w:r>
        <w:rPr>
          <w:rFonts w:hint="eastAsia" w:ascii="仿宋" w:hAnsi="仿宋" w:eastAsia="仿宋"/>
          <w:sz w:val="28"/>
          <w:szCs w:val="28"/>
          <w:highlight w:val="none"/>
        </w:rPr>
        <w:t>并</w:t>
      </w:r>
      <w:r>
        <w:rPr>
          <w:rFonts w:ascii="仿宋" w:hAnsi="仿宋" w:eastAsia="仿宋"/>
          <w:sz w:val="28"/>
          <w:szCs w:val="28"/>
          <w:highlight w:val="none"/>
        </w:rPr>
        <w:t>检查保证能够正常使用。</w:t>
      </w:r>
    </w:p>
    <w:p w14:paraId="4CF5290C">
      <w:pPr>
        <w:spacing w:line="500" w:lineRule="exact"/>
        <w:ind w:firstLine="560" w:firstLineChars="200"/>
        <w:rPr>
          <w:rFonts w:ascii="仿宋" w:hAnsi="仿宋" w:eastAsia="仿宋" w:cs="宋体"/>
          <w:bCs/>
          <w:sz w:val="28"/>
          <w:szCs w:val="28"/>
          <w:highlight w:val="none"/>
        </w:rPr>
      </w:pPr>
      <w:r>
        <w:rPr>
          <w:rFonts w:hint="eastAsia" w:ascii="仿宋" w:hAnsi="仿宋" w:eastAsia="仿宋"/>
          <w:sz w:val="28"/>
          <w:szCs w:val="28"/>
          <w:highlight w:val="none"/>
        </w:rPr>
        <w:t>（5）</w:t>
      </w:r>
      <w:r>
        <w:rPr>
          <w:rFonts w:ascii="仿宋" w:hAnsi="仿宋" w:eastAsia="仿宋"/>
          <w:sz w:val="28"/>
          <w:szCs w:val="28"/>
          <w:highlight w:val="none"/>
        </w:rPr>
        <w:t>操作系统至少win7以上，建议使用win10操作系统。</w:t>
      </w:r>
    </w:p>
    <w:p w14:paraId="79213E3B">
      <w:pPr>
        <w:spacing w:line="500" w:lineRule="exact"/>
        <w:ind w:firstLine="480"/>
        <w:rPr>
          <w:rFonts w:ascii="仿宋" w:hAnsi="仿宋" w:eastAsia="仿宋"/>
          <w:color w:val="0000FF"/>
          <w:sz w:val="28"/>
          <w:szCs w:val="28"/>
          <w:highlight w:val="none"/>
        </w:rPr>
      </w:pPr>
      <w:r>
        <w:rPr>
          <w:rFonts w:hint="eastAsia" w:ascii="仿宋" w:hAnsi="仿宋" w:eastAsia="仿宋" w:cs="宋体"/>
          <w:bCs/>
          <w:sz w:val="28"/>
          <w:szCs w:val="28"/>
          <w:highlight w:val="none"/>
        </w:rPr>
        <w:t>（6）供应商应当通过“苏采云”系统提交电子投标文件，投标文件不得超过150M。</w:t>
      </w:r>
    </w:p>
    <w:p w14:paraId="1C617E3E">
      <w:pPr>
        <w:adjustRightInd w:val="0"/>
        <w:snapToGrid w:val="0"/>
        <w:spacing w:line="500" w:lineRule="exact"/>
        <w:ind w:firstLine="560" w:firstLineChars="200"/>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投标保证金</w:t>
      </w:r>
      <w:r>
        <w:rPr>
          <w:rFonts w:hint="eastAsia" w:ascii="仿宋" w:hAnsi="仿宋" w:eastAsia="仿宋" w:cs="宋体"/>
          <w:sz w:val="28"/>
          <w:szCs w:val="28"/>
          <w:highlight w:val="none"/>
        </w:rPr>
        <w:t>及履约保证金</w:t>
      </w:r>
      <w:r>
        <w:rPr>
          <w:rFonts w:ascii="仿宋" w:hAnsi="仿宋" w:eastAsia="仿宋" w:cs="宋体"/>
          <w:sz w:val="28"/>
          <w:szCs w:val="28"/>
          <w:highlight w:val="none"/>
        </w:rPr>
        <w:t>：免收</w:t>
      </w:r>
    </w:p>
    <w:p w14:paraId="63BB9021">
      <w:pPr>
        <w:pStyle w:val="22"/>
        <w:spacing w:after="0" w:line="500" w:lineRule="exact"/>
        <w:ind w:firstLine="560"/>
        <w:outlineLvl w:val="1"/>
        <w:rPr>
          <w:rFonts w:hint="eastAsia" w:ascii="黑体" w:hAnsi="黑体" w:eastAsia="黑体" w:cs="Times New Roman"/>
          <w:color w:val="auto"/>
          <w:sz w:val="28"/>
          <w:szCs w:val="28"/>
          <w:highlight w:val="none"/>
        </w:rPr>
      </w:pPr>
      <w:bookmarkStart w:id="31" w:name="_Toc21803"/>
      <w:r>
        <w:rPr>
          <w:rFonts w:hint="eastAsia" w:ascii="黑体" w:hAnsi="黑体" w:eastAsia="黑体" w:cs="Times New Roman"/>
          <w:color w:val="auto"/>
          <w:sz w:val="28"/>
          <w:szCs w:val="28"/>
          <w:highlight w:val="none"/>
        </w:rPr>
        <w:t>七、对本次招标提出询问，请按以下方式联系</w:t>
      </w:r>
      <w:bookmarkEnd w:id="27"/>
      <w:bookmarkEnd w:id="28"/>
      <w:bookmarkEnd w:id="29"/>
      <w:bookmarkEnd w:id="30"/>
      <w:bookmarkEnd w:id="31"/>
    </w:p>
    <w:p w14:paraId="6A67C657">
      <w:pPr>
        <w:spacing w:line="500" w:lineRule="exact"/>
        <w:ind w:firstLine="540"/>
        <w:rPr>
          <w:rFonts w:ascii="仿宋" w:hAnsi="仿宋" w:eastAsia="仿宋" w:cs="宋体"/>
          <w:sz w:val="28"/>
          <w:szCs w:val="28"/>
          <w:highlight w:val="none"/>
        </w:rPr>
      </w:pPr>
      <w:bookmarkStart w:id="32" w:name="_Toc28359096"/>
      <w:bookmarkStart w:id="33" w:name="_Toc35393637"/>
      <w:bookmarkStart w:id="34" w:name="_Toc28359019"/>
      <w:bookmarkStart w:id="35" w:name="_Toc35393806"/>
      <w:r>
        <w:rPr>
          <w:rFonts w:hint="eastAsia" w:ascii="仿宋" w:hAnsi="仿宋" w:eastAsia="仿宋" w:cs="宋体"/>
          <w:sz w:val="28"/>
          <w:szCs w:val="28"/>
          <w:highlight w:val="none"/>
        </w:rPr>
        <w:t>1. 采购人信息</w:t>
      </w:r>
      <w:bookmarkEnd w:id="32"/>
      <w:bookmarkEnd w:id="33"/>
      <w:bookmarkEnd w:id="34"/>
      <w:bookmarkEnd w:id="35"/>
    </w:p>
    <w:p w14:paraId="3AE3EFA1">
      <w:pPr>
        <w:spacing w:line="500" w:lineRule="exact"/>
        <w:ind w:left="1129" w:hanging="350"/>
        <w:jc w:val="left"/>
        <w:rPr>
          <w:rFonts w:ascii="仿宋" w:hAnsi="仿宋" w:eastAsia="仿宋"/>
          <w:sz w:val="28"/>
          <w:szCs w:val="28"/>
          <w:highlight w:val="none"/>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　</w:t>
      </w:r>
      <w:r>
        <w:rPr>
          <w:rFonts w:hint="eastAsia" w:ascii="仿宋" w:hAnsi="仿宋" w:eastAsia="仿宋" w:cs="仿宋"/>
          <w:sz w:val="28"/>
          <w:szCs w:val="28"/>
          <w:highlight w:val="none"/>
          <w:u w:val="single"/>
          <w:lang w:eastAsia="zh-CN"/>
        </w:rPr>
        <w:t>如皋市市场监督管理局</w:t>
      </w:r>
      <w:r>
        <w:rPr>
          <w:rFonts w:hint="eastAsia" w:ascii="仿宋" w:hAnsi="仿宋" w:eastAsia="仿宋" w:cs="仿宋"/>
          <w:sz w:val="28"/>
          <w:szCs w:val="28"/>
          <w:highlight w:val="none"/>
          <w:u w:val="single"/>
          <w:lang w:val="en-US" w:eastAsia="zh-CN"/>
        </w:rPr>
        <w:t>　</w:t>
      </w:r>
    </w:p>
    <w:p w14:paraId="1FAAFE1C">
      <w:pPr>
        <w:spacing w:line="500" w:lineRule="exact"/>
        <w:ind w:left="1129" w:hanging="350"/>
        <w:jc w:val="left"/>
        <w:rPr>
          <w:rFonts w:hint="eastAsia" w:ascii="仿宋" w:hAnsi="仿宋" w:eastAsia="仿宋"/>
          <w:sz w:val="28"/>
          <w:szCs w:val="28"/>
          <w:highlight w:val="none"/>
          <w:u w:val="singl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　</w:t>
      </w:r>
      <w:r>
        <w:rPr>
          <w:rFonts w:hint="eastAsia" w:ascii="仿宋" w:hAnsi="仿宋" w:eastAsia="仿宋" w:cs="仿宋"/>
          <w:sz w:val="28"/>
          <w:szCs w:val="28"/>
          <w:highlight w:val="none"/>
          <w:u w:val="single"/>
        </w:rPr>
        <w:t>如皋市如城街道</w:t>
      </w:r>
      <w:r>
        <w:rPr>
          <w:rFonts w:hint="eastAsia" w:ascii="仿宋" w:hAnsi="仿宋" w:eastAsia="仿宋" w:cs="仿宋"/>
          <w:sz w:val="28"/>
          <w:szCs w:val="28"/>
          <w:highlight w:val="none"/>
          <w:u w:val="single"/>
          <w:lang w:val="en-US" w:eastAsia="zh-CN"/>
        </w:rPr>
        <w:t>解放西路</w:t>
      </w:r>
      <w:r>
        <w:rPr>
          <w:rFonts w:hint="eastAsia" w:ascii="仿宋" w:hAnsi="仿宋" w:eastAsia="仿宋"/>
          <w:sz w:val="28"/>
          <w:szCs w:val="28"/>
          <w:highlight w:val="none"/>
          <w:u w:val="single"/>
        </w:rPr>
        <w:t>　</w:t>
      </w:r>
    </w:p>
    <w:p w14:paraId="40045030">
      <w:pPr>
        <w:spacing w:line="500" w:lineRule="exact"/>
        <w:ind w:left="1129" w:hanging="350"/>
        <w:jc w:val="left"/>
        <w:rPr>
          <w:rFonts w:ascii="仿宋" w:hAnsi="仿宋" w:eastAsia="仿宋"/>
          <w:sz w:val="28"/>
          <w:szCs w:val="28"/>
          <w:highlight w:val="none"/>
        </w:rPr>
      </w:pPr>
      <w:r>
        <w:rPr>
          <w:rFonts w:hint="eastAsia" w:ascii="仿宋" w:hAnsi="仿宋" w:eastAsia="仿宋"/>
          <w:sz w:val="28"/>
          <w:szCs w:val="28"/>
          <w:highlight w:val="none"/>
        </w:rPr>
        <w:t>项目经办人姓名：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卢海学       </w:t>
      </w:r>
      <w:r>
        <w:rPr>
          <w:rFonts w:hint="eastAsia" w:ascii="仿宋" w:hAnsi="仿宋" w:eastAsia="仿宋"/>
          <w:sz w:val="28"/>
          <w:szCs w:val="28"/>
          <w:highlight w:val="none"/>
          <w:u w:val="single"/>
        </w:rPr>
        <w:t xml:space="preserve">     </w:t>
      </w:r>
    </w:p>
    <w:p w14:paraId="76ECA7D1">
      <w:pPr>
        <w:spacing w:line="500" w:lineRule="exact"/>
        <w:ind w:left="1129" w:hanging="350"/>
        <w:jc w:val="left"/>
        <w:rPr>
          <w:rFonts w:ascii="仿宋" w:hAnsi="仿宋" w:eastAsia="仿宋"/>
          <w:sz w:val="28"/>
          <w:szCs w:val="28"/>
          <w:highlight w:val="none"/>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u w:val="single"/>
        </w:rPr>
        <w:t>　</w:t>
      </w:r>
      <w:r>
        <w:rPr>
          <w:rFonts w:hint="eastAsia" w:ascii="仿宋" w:hAnsi="仿宋" w:eastAsia="仿宋"/>
          <w:color w:val="auto"/>
          <w:sz w:val="28"/>
          <w:szCs w:val="28"/>
          <w:highlight w:val="none"/>
          <w:u w:val="single"/>
          <w:lang w:val="en-US" w:eastAsia="zh-CN"/>
        </w:rPr>
        <w:t>0513-89788920</w:t>
      </w:r>
      <w:r>
        <w:rPr>
          <w:rFonts w:hint="eastAsia" w:ascii="仿宋" w:hAnsi="仿宋" w:eastAsia="仿宋" w:cs="仿宋"/>
          <w:i w:val="0"/>
          <w:iCs w:val="0"/>
          <w:sz w:val="28"/>
          <w:szCs w:val="28"/>
          <w:highlight w:val="none"/>
          <w:u w:val="single"/>
          <w:lang w:val="en-US" w:eastAsia="zh-CN" w:bidi="ar-SA"/>
        </w:rPr>
        <w:t xml:space="preserve"> </w:t>
      </w:r>
    </w:p>
    <w:p w14:paraId="63371E9E">
      <w:pPr>
        <w:spacing w:line="500" w:lineRule="exact"/>
        <w:ind w:firstLine="540"/>
        <w:rPr>
          <w:rFonts w:ascii="仿宋" w:hAnsi="仿宋" w:eastAsia="仿宋" w:cs="宋体"/>
          <w:sz w:val="28"/>
          <w:szCs w:val="28"/>
          <w:highlight w:val="none"/>
        </w:rPr>
      </w:pPr>
      <w:bookmarkStart w:id="36" w:name="_Toc28359020"/>
      <w:bookmarkStart w:id="37" w:name="_Toc35393638"/>
      <w:bookmarkStart w:id="38" w:name="_Toc35393807"/>
      <w:bookmarkStart w:id="39" w:name="_Toc28359097"/>
      <w:r>
        <w:rPr>
          <w:rFonts w:hint="eastAsia" w:ascii="仿宋" w:hAnsi="仿宋" w:eastAsia="仿宋" w:cs="宋体"/>
          <w:sz w:val="28"/>
          <w:szCs w:val="28"/>
          <w:highlight w:val="none"/>
        </w:rPr>
        <w:t>2. 采购代理机构信息</w:t>
      </w:r>
      <w:bookmarkEnd w:id="36"/>
      <w:bookmarkEnd w:id="37"/>
      <w:bookmarkEnd w:id="38"/>
      <w:bookmarkEnd w:id="39"/>
    </w:p>
    <w:p w14:paraId="5B53533F">
      <w:pPr>
        <w:spacing w:line="500" w:lineRule="exact"/>
        <w:ind w:firstLine="840"/>
        <w:rPr>
          <w:rFonts w:ascii="仿宋" w:hAnsi="仿宋" w:eastAsia="仿宋"/>
          <w:sz w:val="28"/>
          <w:szCs w:val="28"/>
          <w:highlight w:val="none"/>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　</w:t>
      </w:r>
      <w:r>
        <w:rPr>
          <w:rFonts w:hint="eastAsia" w:ascii="仿宋" w:hAnsi="仿宋" w:eastAsia="仿宋" w:cs="仿宋"/>
          <w:sz w:val="28"/>
          <w:szCs w:val="28"/>
          <w:highlight w:val="none"/>
          <w:u w:val="single"/>
        </w:rPr>
        <w:t>大洲设计咨询集团有限公司如皋分公司</w:t>
      </w:r>
      <w:r>
        <w:rPr>
          <w:rFonts w:hint="eastAsia" w:ascii="仿宋" w:hAnsi="仿宋" w:eastAsia="仿宋"/>
          <w:sz w:val="28"/>
          <w:szCs w:val="28"/>
          <w:highlight w:val="none"/>
          <w:u w:val="single"/>
        </w:rPr>
        <w:t>　</w:t>
      </w:r>
    </w:p>
    <w:p w14:paraId="64C420AC">
      <w:pPr>
        <w:pageBreakBefore w:val="0"/>
        <w:spacing w:line="520" w:lineRule="exact"/>
        <w:ind w:firstLine="840"/>
        <w:rPr>
          <w:rFonts w:hint="eastAsia" w:ascii="仿宋" w:hAnsi="仿宋" w:eastAsia="仿宋" w:cs="仿宋"/>
          <w:sz w:val="28"/>
          <w:szCs w:val="28"/>
          <w:highlight w:val="none"/>
          <w:u w:val="singl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　</w:t>
      </w:r>
      <w:r>
        <w:rPr>
          <w:rFonts w:hint="eastAsia" w:ascii="仿宋" w:hAnsi="仿宋" w:eastAsia="仿宋" w:cs="仿宋"/>
          <w:sz w:val="28"/>
          <w:szCs w:val="28"/>
          <w:highlight w:val="none"/>
          <w:u w:val="single"/>
        </w:rPr>
        <w:t>如皋市如城街道健康路1号紫竹园312幢（兴业银行）</w:t>
      </w:r>
    </w:p>
    <w:p w14:paraId="1DBBE7B5">
      <w:pPr>
        <w:pageBreakBefore w:val="0"/>
        <w:spacing w:line="520" w:lineRule="exact"/>
        <w:ind w:firstLine="2240"/>
        <w:rPr>
          <w:rFonts w:ascii="仿宋" w:hAnsi="仿宋" w:eastAsia="仿宋"/>
          <w:sz w:val="28"/>
          <w:szCs w:val="28"/>
          <w:highlight w:val="none"/>
        </w:rPr>
      </w:pP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五层　</w:t>
      </w:r>
      <w:r>
        <w:rPr>
          <w:rFonts w:hint="eastAsia" w:ascii="仿宋" w:hAnsi="仿宋" w:eastAsia="仿宋"/>
          <w:sz w:val="28"/>
          <w:szCs w:val="28"/>
          <w:highlight w:val="none"/>
          <w:u w:val="single"/>
        </w:rPr>
        <w:t>　　　　　　　　　</w:t>
      </w:r>
    </w:p>
    <w:p w14:paraId="643344A6">
      <w:pPr>
        <w:spacing w:line="500" w:lineRule="exact"/>
        <w:ind w:firstLine="840"/>
        <w:rPr>
          <w:rFonts w:hint="eastAsia" w:ascii="仿宋" w:hAnsi="仿宋" w:eastAsia="仿宋"/>
          <w:sz w:val="28"/>
          <w:szCs w:val="28"/>
          <w:highlight w:val="none"/>
          <w:u w:val="single"/>
        </w:rPr>
      </w:pPr>
      <w:r>
        <w:rPr>
          <w:rFonts w:hint="eastAsia" w:ascii="仿宋" w:hAnsi="仿宋" w:eastAsia="仿宋"/>
          <w:sz w:val="28"/>
          <w:szCs w:val="28"/>
          <w:highlight w:val="none"/>
        </w:rPr>
        <w:t>项目经办人姓名：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张慧莉</w:t>
      </w:r>
      <w:r>
        <w:rPr>
          <w:rFonts w:hint="eastAsia" w:ascii="仿宋" w:hAnsi="仿宋" w:eastAsia="仿宋"/>
          <w:sz w:val="28"/>
          <w:szCs w:val="28"/>
          <w:highlight w:val="none"/>
          <w:u w:val="single"/>
        </w:rPr>
        <w:t xml:space="preserve">             </w:t>
      </w:r>
    </w:p>
    <w:p w14:paraId="7AAB70A0">
      <w:pPr>
        <w:spacing w:line="500" w:lineRule="exact"/>
        <w:ind w:firstLine="840"/>
        <w:rPr>
          <w:rFonts w:hint="default" w:ascii="仿宋" w:hAnsi="仿宋" w:eastAsia="仿宋"/>
          <w:sz w:val="28"/>
          <w:szCs w:val="28"/>
          <w:highlight w:val="none"/>
          <w:u w:val="single"/>
          <w:lang w:val="en-US"/>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u w:val="single"/>
        </w:rPr>
        <w:t>　</w:t>
      </w:r>
      <w:r>
        <w:rPr>
          <w:rFonts w:hint="eastAsia" w:ascii="仿宋" w:hAnsi="仿宋" w:eastAsia="仿宋"/>
          <w:sz w:val="28"/>
          <w:szCs w:val="28"/>
          <w:highlight w:val="none"/>
          <w:u w:val="single"/>
          <w:lang w:val="en-US" w:eastAsia="zh-CN"/>
        </w:rPr>
        <w:t>0513-88555586   18951420193</w:t>
      </w:r>
    </w:p>
    <w:p w14:paraId="6210D6E9">
      <w:pPr>
        <w:adjustRightInd w:val="0"/>
        <w:snapToGrid w:val="0"/>
        <w:spacing w:line="500" w:lineRule="exact"/>
        <w:rPr>
          <w:rFonts w:ascii="仿宋" w:hAnsi="仿宋" w:eastAsia="仿宋"/>
          <w:b/>
          <w:sz w:val="28"/>
          <w:szCs w:val="28"/>
          <w:highlight w:val="none"/>
        </w:rPr>
      </w:pPr>
      <w:r>
        <w:rPr>
          <w:rFonts w:ascii="仿宋" w:hAnsi="仿宋" w:eastAsia="仿宋"/>
          <w:b/>
          <w:sz w:val="28"/>
          <w:szCs w:val="28"/>
          <w:highlight w:val="none"/>
        </w:rPr>
        <w:t>附件:</w:t>
      </w:r>
    </w:p>
    <w:p w14:paraId="74726C3E">
      <w:pPr>
        <w:adjustRightInd w:val="0"/>
        <w:snapToGrid w:val="0"/>
        <w:spacing w:line="500" w:lineRule="exact"/>
        <w:rPr>
          <w:rFonts w:ascii="仿宋" w:hAnsi="仿宋" w:eastAsia="仿宋"/>
          <w:b/>
          <w:sz w:val="28"/>
          <w:szCs w:val="28"/>
          <w:highlight w:val="none"/>
        </w:rPr>
      </w:pPr>
      <w:r>
        <w:rPr>
          <w:rFonts w:hint="eastAsia" w:ascii="仿宋" w:hAnsi="仿宋" w:eastAsia="仿宋"/>
          <w:b/>
          <w:sz w:val="28"/>
          <w:szCs w:val="28"/>
          <w:highlight w:val="none"/>
        </w:rPr>
        <w:t>1.办理政采贷和履约保函（保险）告知函</w:t>
      </w:r>
    </w:p>
    <w:p w14:paraId="48CE2519">
      <w:pPr>
        <w:adjustRightInd w:val="0"/>
        <w:snapToGrid w:val="0"/>
        <w:spacing w:line="500" w:lineRule="exact"/>
        <w:rPr>
          <w:rFonts w:ascii="仿宋" w:hAnsi="仿宋" w:eastAsia="仿宋"/>
          <w:b/>
          <w:sz w:val="28"/>
          <w:szCs w:val="28"/>
          <w:highlight w:val="none"/>
        </w:rPr>
      </w:pPr>
      <w:r>
        <w:rPr>
          <w:rFonts w:hint="eastAsia" w:ascii="仿宋" w:hAnsi="仿宋" w:eastAsia="仿宋"/>
          <w:b/>
          <w:sz w:val="28"/>
          <w:szCs w:val="28"/>
          <w:highlight w:val="none"/>
        </w:rPr>
        <w:t>2.</w:t>
      </w:r>
      <w:r>
        <w:rPr>
          <w:rFonts w:hint="eastAsia" w:ascii="仿宋" w:hAnsi="仿宋" w:eastAsia="仿宋"/>
          <w:b/>
          <w:sz w:val="28"/>
          <w:szCs w:val="28"/>
          <w:highlight w:val="none"/>
          <w:lang w:val="en-US" w:eastAsia="zh-CN"/>
        </w:rPr>
        <w:t>框架协议采购</w:t>
      </w:r>
      <w:r>
        <w:rPr>
          <w:rFonts w:ascii="仿宋" w:hAnsi="仿宋" w:eastAsia="仿宋"/>
          <w:b/>
          <w:sz w:val="28"/>
          <w:szCs w:val="28"/>
          <w:highlight w:val="none"/>
        </w:rPr>
        <w:t>文件</w:t>
      </w:r>
    </w:p>
    <w:p w14:paraId="2979C0DF">
      <w:pPr>
        <w:pStyle w:val="199"/>
        <w:spacing w:before="0" w:after="0" w:line="500" w:lineRule="exact"/>
        <w:ind w:firstLine="0"/>
        <w:rPr>
          <w:rFonts w:ascii="仿宋" w:hAnsi="仿宋" w:eastAsia="仿宋"/>
          <w:b/>
          <w:sz w:val="28"/>
          <w:szCs w:val="28"/>
          <w:highlight w:val="none"/>
        </w:rPr>
      </w:pPr>
      <w:r>
        <w:rPr>
          <w:rFonts w:hint="eastAsia" w:ascii="仿宋" w:hAnsi="仿宋" w:eastAsia="仿宋"/>
          <w:b/>
          <w:sz w:val="28"/>
          <w:szCs w:val="28"/>
          <w:highlight w:val="none"/>
        </w:rPr>
        <w:t>3.采购人</w:t>
      </w:r>
      <w:r>
        <w:rPr>
          <w:rFonts w:ascii="仿宋" w:hAnsi="仿宋" w:eastAsia="仿宋"/>
          <w:b/>
          <w:sz w:val="28"/>
          <w:szCs w:val="28"/>
          <w:highlight w:val="none"/>
        </w:rPr>
        <w:t>信用承诺</w:t>
      </w:r>
    </w:p>
    <w:p w14:paraId="0E2E435F">
      <w:pPr>
        <w:keepNext w:val="0"/>
        <w:keepLines w:val="0"/>
        <w:pageBreakBefore w:val="0"/>
        <w:widowControl w:val="0"/>
        <w:kinsoku/>
        <w:wordWrap/>
        <w:overflowPunct/>
        <w:topLinePunct w:val="0"/>
        <w:autoSpaceDE/>
        <w:autoSpaceDN/>
        <w:bidi w:val="0"/>
        <w:adjustRightInd/>
        <w:snapToGrid/>
        <w:jc w:val="center"/>
        <w:textAlignment w:val="auto"/>
        <w:outlineLvl w:val="0"/>
        <w:rPr>
          <w:rFonts w:ascii="黑体" w:hAnsi="黑体" w:eastAsia="黑体" w:cs="黑体"/>
          <w:color w:val="auto"/>
          <w:sz w:val="52"/>
          <w:szCs w:val="52"/>
          <w:highlight w:val="none"/>
          <w:shd w:val="clear" w:color="auto" w:fill="FFFFFF"/>
        </w:rPr>
      </w:pPr>
      <w:r>
        <w:rPr>
          <w:b/>
          <w:bCs/>
          <w:color w:val="auto"/>
          <w:sz w:val="36"/>
          <w:szCs w:val="44"/>
          <w:highlight w:val="none"/>
        </w:rPr>
        <w:br w:type="page" w:clear="all"/>
      </w:r>
      <w:bookmarkStart w:id="40" w:name="_Toc29102"/>
      <w:r>
        <w:rPr>
          <w:rFonts w:hint="eastAsia" w:ascii="黑体" w:hAnsi="黑体" w:eastAsia="黑体" w:cs="黑体"/>
          <w:color w:val="auto"/>
          <w:sz w:val="52"/>
          <w:szCs w:val="52"/>
          <w:highlight w:val="none"/>
          <w:shd w:val="clear" w:color="auto" w:fill="FFFFFF"/>
        </w:rPr>
        <w:t>第二章 征集文件</w:t>
      </w:r>
      <w:bookmarkEnd w:id="40"/>
    </w:p>
    <w:p w14:paraId="4DA9D81A">
      <w:pPr>
        <w:pStyle w:val="32"/>
        <w:rPr>
          <w:color w:val="auto"/>
          <w:highlight w:val="none"/>
        </w:rPr>
      </w:pPr>
    </w:p>
    <w:p w14:paraId="20A2D809">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41" w:name="_Toc1092"/>
      <w:r>
        <w:rPr>
          <w:rFonts w:hint="eastAsia" w:ascii="黑体" w:hAnsi="黑体" w:eastAsia="黑体" w:cs="黑体"/>
          <w:color w:val="auto"/>
          <w:sz w:val="30"/>
          <w:szCs w:val="30"/>
          <w:highlight w:val="none"/>
          <w:shd w:val="clear" w:color="auto" w:fill="FFFFFF"/>
        </w:rPr>
        <w:t>一、参加征集活动的邀请</w:t>
      </w:r>
      <w:bookmarkEnd w:id="41"/>
      <w:bookmarkStart w:id="42" w:name="_Toc8265"/>
      <w:bookmarkStart w:id="43" w:name="_Toc24455"/>
      <w:bookmarkStart w:id="44" w:name="_Toc4569"/>
      <w:bookmarkStart w:id="45" w:name="_Toc1212"/>
      <w:bookmarkStart w:id="46" w:name="_Toc18866"/>
      <w:bookmarkStart w:id="47" w:name="_Toc30727"/>
    </w:p>
    <w:p w14:paraId="71543DF0">
      <w:pPr>
        <w:pStyle w:val="37"/>
        <w:widowControl/>
        <w:spacing w:beforeAutospacing="0" w:afterAutospacing="0" w:line="500" w:lineRule="exact"/>
        <w:jc w:val="both"/>
        <w:rPr>
          <w:rFonts w:ascii="黑体" w:hAnsi="黑体" w:eastAsia="黑体" w:cs="黑体"/>
          <w:b/>
          <w:bCs/>
          <w:color w:val="auto"/>
          <w:sz w:val="44"/>
          <w:szCs w:val="44"/>
          <w:highlight w:val="none"/>
        </w:rPr>
      </w:pPr>
    </w:p>
    <w:p w14:paraId="2FFABD85">
      <w:pPr>
        <w:pStyle w:val="37"/>
        <w:widowControl/>
        <w:spacing w:beforeAutospacing="0" w:afterAutospacing="0" w:line="500" w:lineRule="exact"/>
        <w:jc w:val="center"/>
        <w:rPr>
          <w:rFonts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征 集</w:t>
      </w:r>
      <w:r>
        <w:rPr>
          <w:rFonts w:hint="eastAsia" w:ascii="黑体" w:hAnsi="黑体" w:eastAsia="黑体" w:cs="黑体"/>
          <w:b/>
          <w:bCs/>
          <w:color w:val="auto"/>
          <w:sz w:val="44"/>
          <w:szCs w:val="44"/>
          <w:highlight w:val="none"/>
        </w:rPr>
        <w:tab/>
      </w:r>
      <w:r>
        <w:rPr>
          <w:rFonts w:hint="eastAsia" w:ascii="黑体" w:hAnsi="黑体" w:eastAsia="黑体" w:cs="黑体"/>
          <w:b/>
          <w:bCs/>
          <w:color w:val="auto"/>
          <w:sz w:val="44"/>
          <w:szCs w:val="44"/>
          <w:highlight w:val="none"/>
        </w:rPr>
        <w:t>邀 请 函</w:t>
      </w:r>
      <w:bookmarkEnd w:id="42"/>
      <w:bookmarkEnd w:id="43"/>
      <w:bookmarkEnd w:id="44"/>
      <w:bookmarkEnd w:id="45"/>
      <w:bookmarkEnd w:id="46"/>
      <w:bookmarkEnd w:id="47"/>
    </w:p>
    <w:p w14:paraId="77263575">
      <w:pPr>
        <w:pStyle w:val="16"/>
        <w:spacing w:line="500" w:lineRule="exact"/>
        <w:rPr>
          <w:rFonts w:ascii="Arial Unicode MS"/>
          <w:color w:val="auto"/>
          <w:sz w:val="22"/>
          <w:highlight w:val="none"/>
        </w:rPr>
      </w:pPr>
    </w:p>
    <w:p w14:paraId="3CBF0770">
      <w:pPr>
        <w:pStyle w:val="16"/>
        <w:spacing w:line="500" w:lineRule="exact"/>
        <w:ind w:right="488" w:firstLine="548"/>
        <w:rPr>
          <w:rFonts w:ascii="仿宋" w:hAnsi="仿宋" w:eastAsia="仿宋" w:cs="仿宋"/>
          <w:color w:val="auto"/>
          <w:spacing w:val="-3"/>
          <w:szCs w:val="36"/>
          <w:highlight w:val="none"/>
        </w:rPr>
      </w:pPr>
    </w:p>
    <w:p w14:paraId="6E000694">
      <w:pPr>
        <w:pStyle w:val="16"/>
        <w:tabs>
          <w:tab w:val="left" w:pos="8400"/>
        </w:tabs>
        <w:spacing w:line="500" w:lineRule="exact"/>
        <w:ind w:right="-94" w:firstLine="560"/>
        <w:rPr>
          <w:rFonts w:ascii="仿宋" w:hAnsi="仿宋" w:eastAsia="仿宋" w:cs="仿宋"/>
          <w:color w:val="auto"/>
          <w:spacing w:val="-3"/>
          <w:szCs w:val="36"/>
          <w:highlight w:val="none"/>
        </w:rPr>
      </w:pPr>
      <w:r>
        <w:rPr>
          <w:rFonts w:hint="eastAsia" w:ascii="仿宋" w:hAnsi="仿宋" w:eastAsia="仿宋" w:cs="仿宋"/>
          <w:color w:val="auto"/>
          <w:szCs w:val="28"/>
          <w:highlight w:val="none"/>
          <w:u w:val="single"/>
          <w:lang w:eastAsia="zh-CN"/>
        </w:rPr>
        <w:t>202</w:t>
      </w:r>
      <w:r>
        <w:rPr>
          <w:rFonts w:hint="eastAsia" w:ascii="仿宋" w:hAnsi="仿宋" w:eastAsia="仿宋" w:cs="仿宋"/>
          <w:color w:val="auto"/>
          <w:szCs w:val="28"/>
          <w:highlight w:val="none"/>
          <w:u w:val="single"/>
          <w:lang w:val="en-US" w:eastAsia="zh-CN"/>
        </w:rPr>
        <w:t>6</w:t>
      </w:r>
      <w:r>
        <w:rPr>
          <w:rFonts w:hint="eastAsia" w:ascii="仿宋" w:hAnsi="仿宋" w:eastAsia="仿宋" w:cs="仿宋"/>
          <w:color w:val="auto"/>
          <w:szCs w:val="28"/>
          <w:highlight w:val="none"/>
          <w:u w:val="single"/>
          <w:lang w:eastAsia="zh-CN"/>
        </w:rPr>
        <w:t>年食品、食用农产品抽检项目</w:t>
      </w:r>
      <w:r>
        <w:rPr>
          <w:rFonts w:hint="eastAsia" w:ascii="仿宋" w:hAnsi="仿宋" w:eastAsia="仿宋" w:cs="仿宋"/>
          <w:color w:val="auto"/>
          <w:spacing w:val="-3"/>
          <w:szCs w:val="36"/>
          <w:highlight w:val="none"/>
        </w:rPr>
        <w:t xml:space="preserve"> 已经相关部门批准实施，项目地点位于</w:t>
      </w:r>
      <w:r>
        <w:rPr>
          <w:rFonts w:hint="eastAsia" w:ascii="仿宋" w:hAnsi="仿宋" w:eastAsia="仿宋" w:cs="仿宋"/>
          <w:color w:val="auto"/>
          <w:spacing w:val="-3"/>
          <w:szCs w:val="36"/>
          <w:highlight w:val="none"/>
          <w:u w:val="single"/>
        </w:rPr>
        <w:t>如皋市范围内，</w:t>
      </w:r>
      <w:r>
        <w:rPr>
          <w:rFonts w:hint="eastAsia" w:ascii="仿宋" w:hAnsi="仿宋" w:eastAsia="仿宋" w:cs="仿宋"/>
          <w:color w:val="auto"/>
          <w:spacing w:val="-3"/>
          <w:szCs w:val="36"/>
          <w:highlight w:val="none"/>
        </w:rPr>
        <w:t>现通过</w:t>
      </w:r>
      <w:r>
        <w:rPr>
          <w:rFonts w:hint="eastAsia" w:ascii="仿宋" w:hAnsi="仿宋" w:eastAsia="仿宋" w:cs="仿宋"/>
          <w:color w:val="auto"/>
          <w:spacing w:val="-3"/>
          <w:szCs w:val="36"/>
          <w:highlight w:val="none"/>
          <w:u w:val="single"/>
        </w:rPr>
        <w:t>征集</w:t>
      </w:r>
      <w:r>
        <w:rPr>
          <w:rFonts w:hint="eastAsia" w:ascii="仿宋" w:hAnsi="仿宋" w:eastAsia="仿宋" w:cs="仿宋"/>
          <w:color w:val="auto"/>
          <w:spacing w:val="-3"/>
          <w:szCs w:val="36"/>
          <w:highlight w:val="none"/>
        </w:rPr>
        <w:t>选定</w:t>
      </w:r>
      <w:r>
        <w:rPr>
          <w:rFonts w:hint="eastAsia" w:ascii="仿宋" w:hAnsi="仿宋" w:eastAsia="仿宋" w:cs="仿宋"/>
          <w:color w:val="auto"/>
          <w:spacing w:val="-3"/>
          <w:szCs w:val="36"/>
          <w:highlight w:val="none"/>
          <w:u w:val="single"/>
        </w:rPr>
        <w:t>符合要求</w:t>
      </w:r>
      <w:r>
        <w:rPr>
          <w:rFonts w:hint="eastAsia" w:ascii="仿宋" w:hAnsi="仿宋" w:eastAsia="仿宋" w:cs="仿宋"/>
          <w:color w:val="auto"/>
          <w:spacing w:val="-3"/>
          <w:szCs w:val="36"/>
          <w:highlight w:val="none"/>
          <w:u w:val="single"/>
          <w:lang w:val="en-US" w:eastAsia="zh-CN"/>
        </w:rPr>
        <w:t>3</w:t>
      </w:r>
      <w:r>
        <w:rPr>
          <w:rFonts w:hint="eastAsia" w:ascii="仿宋" w:hAnsi="仿宋" w:eastAsia="仿宋" w:cs="仿宋"/>
          <w:color w:val="auto"/>
          <w:spacing w:val="-3"/>
          <w:szCs w:val="36"/>
          <w:highlight w:val="none"/>
        </w:rPr>
        <w:t>家供应商。该项目由</w:t>
      </w:r>
      <w:r>
        <w:rPr>
          <w:rFonts w:hint="eastAsia" w:ascii="仿宋" w:hAnsi="仿宋" w:eastAsia="仿宋" w:cs="仿宋"/>
          <w:color w:val="auto"/>
          <w:spacing w:val="-3"/>
          <w:szCs w:val="36"/>
          <w:highlight w:val="none"/>
          <w:u w:val="single"/>
          <w:lang w:val="en-US" w:eastAsia="zh-CN"/>
        </w:rPr>
        <w:t>大洲设计咨询集团有限公司如皋分公司</w:t>
      </w:r>
      <w:r>
        <w:rPr>
          <w:rFonts w:hint="eastAsia" w:ascii="仿宋" w:hAnsi="仿宋" w:eastAsia="仿宋" w:cs="仿宋"/>
          <w:color w:val="auto"/>
          <w:spacing w:val="-3"/>
          <w:szCs w:val="36"/>
          <w:highlight w:val="none"/>
          <w:u w:val="single"/>
        </w:rPr>
        <w:t>（以下简称“采购代理机构”）</w:t>
      </w:r>
      <w:r>
        <w:rPr>
          <w:rFonts w:hint="eastAsia" w:ascii="仿宋" w:hAnsi="仿宋" w:eastAsia="仿宋" w:cs="仿宋"/>
          <w:color w:val="auto"/>
          <w:spacing w:val="-3"/>
          <w:szCs w:val="36"/>
          <w:highlight w:val="none"/>
        </w:rPr>
        <w:t>受采购人的委托，负责本项目的征集事宜，有关事项详见附后征集文件，现邀请符合条件的潜在供应商参加本项目征集活动。</w:t>
      </w:r>
    </w:p>
    <w:p w14:paraId="4ABC44E4">
      <w:pPr>
        <w:spacing w:line="480" w:lineRule="exact"/>
        <w:ind w:right="-92" w:firstLine="548"/>
        <w:rPr>
          <w:rFonts w:ascii="仿宋" w:hAnsi="仿宋" w:eastAsia="仿宋" w:cs="仿宋"/>
          <w:color w:val="auto"/>
          <w:sz w:val="28"/>
          <w:szCs w:val="36"/>
          <w:highlight w:val="none"/>
        </w:rPr>
      </w:pPr>
      <w:r>
        <w:rPr>
          <w:rFonts w:hint="eastAsia" w:ascii="仿宋" w:hAnsi="仿宋" w:eastAsia="仿宋" w:cs="仿宋"/>
          <w:color w:val="auto"/>
          <w:spacing w:val="-3"/>
          <w:sz w:val="28"/>
          <w:szCs w:val="36"/>
          <w:highlight w:val="none"/>
        </w:rPr>
        <w:t>现邀请符合条件供应商</w:t>
      </w:r>
      <w:r>
        <w:rPr>
          <w:rFonts w:hint="eastAsia" w:ascii="仿宋" w:hAnsi="仿宋" w:eastAsia="仿宋" w:cs="仿宋"/>
          <w:color w:val="auto"/>
          <w:spacing w:val="-1"/>
          <w:sz w:val="28"/>
          <w:szCs w:val="36"/>
          <w:highlight w:val="none"/>
        </w:rPr>
        <w:t>参与本项目的征集活动，如有意参与请于</w:t>
      </w:r>
      <w:r>
        <w:rPr>
          <w:rFonts w:hint="eastAsia" w:ascii="仿宋" w:hAnsi="仿宋" w:eastAsia="仿宋" w:cs="仿宋"/>
          <w:color w:val="auto"/>
          <w:spacing w:val="-1"/>
          <w:sz w:val="28"/>
          <w:szCs w:val="36"/>
          <w:highlight w:val="none"/>
          <w:u w:val="single"/>
        </w:rPr>
        <w:t xml:space="preserve"> </w:t>
      </w:r>
      <w:r>
        <w:rPr>
          <w:rFonts w:hint="eastAsia" w:ascii="仿宋" w:hAnsi="仿宋" w:eastAsia="仿宋" w:cs="仿宋"/>
          <w:color w:val="auto"/>
          <w:sz w:val="28"/>
          <w:szCs w:val="36"/>
          <w:highlight w:val="none"/>
          <w:u w:val="single"/>
        </w:rPr>
        <w:t>202</w:t>
      </w:r>
      <w:r>
        <w:rPr>
          <w:rFonts w:hint="eastAsia" w:ascii="仿宋" w:hAnsi="仿宋" w:eastAsia="仿宋" w:cs="仿宋"/>
          <w:color w:val="auto"/>
          <w:sz w:val="28"/>
          <w:szCs w:val="36"/>
          <w:highlight w:val="none"/>
          <w:u w:val="single"/>
          <w:lang w:val="en-US" w:eastAsia="zh-CN"/>
        </w:rPr>
        <w:t>6</w:t>
      </w:r>
      <w:r>
        <w:rPr>
          <w:rFonts w:hint="eastAsia" w:ascii="仿宋" w:hAnsi="仿宋" w:eastAsia="仿宋" w:cs="仿宋"/>
          <w:color w:val="auto"/>
          <w:sz w:val="28"/>
          <w:szCs w:val="36"/>
          <w:highlight w:val="none"/>
        </w:rPr>
        <w:t>年</w:t>
      </w:r>
      <w:r>
        <w:rPr>
          <w:rFonts w:hint="eastAsia" w:ascii="仿宋" w:hAnsi="仿宋" w:eastAsia="仿宋" w:cs="仿宋"/>
          <w:color w:val="auto"/>
          <w:sz w:val="28"/>
          <w:szCs w:val="36"/>
          <w:highlight w:val="none"/>
          <w:u w:val="single"/>
        </w:rPr>
        <w:t>0</w:t>
      </w:r>
      <w:r>
        <w:rPr>
          <w:rFonts w:hint="eastAsia" w:ascii="仿宋" w:hAnsi="仿宋" w:eastAsia="仿宋" w:cs="仿宋"/>
          <w:color w:val="auto"/>
          <w:sz w:val="28"/>
          <w:szCs w:val="36"/>
          <w:highlight w:val="none"/>
          <w:u w:val="single"/>
          <w:lang w:val="en-US" w:eastAsia="zh-CN"/>
        </w:rPr>
        <w:t>4</w:t>
      </w:r>
      <w:r>
        <w:rPr>
          <w:rFonts w:hint="eastAsia" w:ascii="仿宋" w:hAnsi="仿宋" w:eastAsia="仿宋" w:cs="仿宋"/>
          <w:color w:val="auto"/>
          <w:sz w:val="28"/>
          <w:szCs w:val="36"/>
          <w:highlight w:val="none"/>
        </w:rPr>
        <w:t>月</w:t>
      </w:r>
      <w:r>
        <w:rPr>
          <w:rFonts w:hint="eastAsia" w:ascii="仿宋" w:hAnsi="仿宋" w:eastAsia="仿宋" w:cs="仿宋"/>
          <w:color w:val="auto"/>
          <w:sz w:val="28"/>
          <w:szCs w:val="36"/>
          <w:highlight w:val="none"/>
          <w:u w:val="single"/>
          <w:lang w:val="en-US" w:eastAsia="zh-CN"/>
        </w:rPr>
        <w:t xml:space="preserve"> 17 </w:t>
      </w:r>
      <w:r>
        <w:rPr>
          <w:rFonts w:hint="eastAsia" w:ascii="仿宋" w:hAnsi="仿宋" w:eastAsia="仿宋" w:cs="仿宋"/>
          <w:color w:val="auto"/>
          <w:spacing w:val="-1"/>
          <w:sz w:val="28"/>
          <w:szCs w:val="36"/>
          <w:highlight w:val="none"/>
        </w:rPr>
        <w:t>日</w:t>
      </w:r>
      <w:r>
        <w:rPr>
          <w:rFonts w:hint="eastAsia" w:ascii="仿宋" w:hAnsi="仿宋" w:eastAsia="仿宋" w:cs="仿宋"/>
          <w:color w:val="auto"/>
          <w:spacing w:val="-1"/>
          <w:sz w:val="28"/>
          <w:szCs w:val="36"/>
          <w:highlight w:val="none"/>
          <w:u w:val="single"/>
        </w:rPr>
        <w:t xml:space="preserve"> </w:t>
      </w:r>
      <w:r>
        <w:rPr>
          <w:rFonts w:hint="eastAsia" w:ascii="仿宋" w:hAnsi="仿宋" w:eastAsia="仿宋" w:cs="仿宋"/>
          <w:color w:val="auto"/>
          <w:spacing w:val="-1"/>
          <w:sz w:val="28"/>
          <w:szCs w:val="36"/>
          <w:highlight w:val="none"/>
          <w:u w:val="single"/>
          <w:lang w:val="en-US" w:eastAsia="zh-CN"/>
        </w:rPr>
        <w:t>9</w:t>
      </w:r>
      <w:r>
        <w:rPr>
          <w:rFonts w:hint="eastAsia" w:ascii="仿宋" w:hAnsi="仿宋" w:eastAsia="仿宋" w:cs="仿宋"/>
          <w:color w:val="auto"/>
          <w:sz w:val="28"/>
          <w:szCs w:val="36"/>
          <w:highlight w:val="none"/>
          <w:u w:val="single"/>
        </w:rPr>
        <w:t>:</w:t>
      </w:r>
      <w:r>
        <w:rPr>
          <w:rFonts w:hint="eastAsia" w:ascii="仿宋" w:hAnsi="仿宋" w:eastAsia="仿宋" w:cs="仿宋"/>
          <w:color w:val="auto"/>
          <w:sz w:val="28"/>
          <w:szCs w:val="36"/>
          <w:highlight w:val="none"/>
          <w:u w:val="single"/>
          <w:lang w:val="en-US" w:eastAsia="zh-CN"/>
        </w:rPr>
        <w:t>0</w:t>
      </w:r>
      <w:r>
        <w:rPr>
          <w:rFonts w:hint="eastAsia" w:ascii="仿宋" w:hAnsi="仿宋" w:eastAsia="仿宋" w:cs="仿宋"/>
          <w:color w:val="auto"/>
          <w:sz w:val="28"/>
          <w:szCs w:val="36"/>
          <w:highlight w:val="none"/>
          <w:u w:val="single"/>
        </w:rPr>
        <w:t>0</w:t>
      </w:r>
      <w:r>
        <w:rPr>
          <w:rFonts w:hint="eastAsia" w:ascii="仿宋" w:hAnsi="仿宋" w:eastAsia="仿宋" w:cs="仿宋"/>
          <w:color w:val="auto"/>
          <w:spacing w:val="-1"/>
          <w:sz w:val="28"/>
          <w:szCs w:val="36"/>
          <w:highlight w:val="none"/>
        </w:rPr>
        <w:t xml:space="preserve"> 时前根据本征集文件要求提交</w:t>
      </w:r>
      <w:r>
        <w:rPr>
          <w:rFonts w:hint="eastAsia" w:ascii="仿宋" w:hAnsi="仿宋" w:eastAsia="仿宋" w:cs="仿宋"/>
          <w:color w:val="auto"/>
          <w:sz w:val="28"/>
          <w:szCs w:val="36"/>
          <w:highlight w:val="none"/>
        </w:rPr>
        <w:t>响应文件。</w:t>
      </w:r>
    </w:p>
    <w:p w14:paraId="62F388CF">
      <w:pPr>
        <w:pStyle w:val="16"/>
        <w:spacing w:line="500" w:lineRule="exact"/>
        <w:rPr>
          <w:color w:val="auto"/>
          <w:highlight w:val="none"/>
        </w:rPr>
      </w:pPr>
    </w:p>
    <w:p w14:paraId="7DB4D190">
      <w:pPr>
        <w:pStyle w:val="16"/>
        <w:spacing w:line="500" w:lineRule="exact"/>
        <w:rPr>
          <w:color w:val="auto"/>
          <w:highlight w:val="none"/>
        </w:rPr>
      </w:pPr>
    </w:p>
    <w:p w14:paraId="60A78894">
      <w:pPr>
        <w:pStyle w:val="16"/>
        <w:spacing w:line="500" w:lineRule="exact"/>
        <w:rPr>
          <w:color w:val="auto"/>
          <w:sz w:val="25"/>
          <w:highlight w:val="none"/>
        </w:rPr>
      </w:pPr>
    </w:p>
    <w:p w14:paraId="7E4A05D6">
      <w:pPr>
        <w:pStyle w:val="16"/>
        <w:spacing w:line="500" w:lineRule="exact"/>
        <w:ind w:right="488" w:firstLine="548"/>
        <w:jc w:val="right"/>
        <w:rPr>
          <w:rFonts w:ascii="仿宋" w:hAnsi="仿宋" w:eastAsia="仿宋" w:cs="仿宋"/>
          <w:color w:val="auto"/>
          <w:spacing w:val="-3"/>
          <w:szCs w:val="36"/>
          <w:highlight w:val="none"/>
          <w:u w:val="single"/>
        </w:rPr>
      </w:pPr>
      <w:r>
        <w:rPr>
          <w:rFonts w:hint="eastAsia" w:ascii="仿宋" w:hAnsi="仿宋" w:eastAsia="仿宋" w:cs="仿宋"/>
          <w:color w:val="auto"/>
          <w:spacing w:val="-3"/>
          <w:szCs w:val="36"/>
          <w:highlight w:val="none"/>
        </w:rPr>
        <w:t>征集人：</w:t>
      </w:r>
      <w:r>
        <w:rPr>
          <w:rFonts w:hint="eastAsia" w:ascii="仿宋" w:hAnsi="仿宋" w:eastAsia="仿宋" w:cs="仿宋"/>
          <w:color w:val="auto"/>
          <w:spacing w:val="-3"/>
          <w:szCs w:val="36"/>
          <w:highlight w:val="none"/>
          <w:u w:val="single"/>
        </w:rPr>
        <w:t>如皋市市场监督管理局</w:t>
      </w:r>
    </w:p>
    <w:p w14:paraId="6226E55D">
      <w:pPr>
        <w:pStyle w:val="16"/>
        <w:spacing w:line="500" w:lineRule="exact"/>
        <w:ind w:right="488" w:firstLine="548"/>
        <w:jc w:val="right"/>
        <w:rPr>
          <w:rFonts w:ascii="仿宋" w:hAnsi="仿宋" w:eastAsia="仿宋" w:cs="仿宋"/>
          <w:color w:val="auto"/>
          <w:spacing w:val="-3"/>
          <w:szCs w:val="36"/>
          <w:highlight w:val="none"/>
        </w:rPr>
      </w:pPr>
      <w:r>
        <w:rPr>
          <w:rFonts w:hint="eastAsia" w:ascii="仿宋" w:hAnsi="仿宋" w:eastAsia="仿宋" w:cs="仿宋"/>
          <w:color w:val="auto"/>
          <w:spacing w:val="-3"/>
          <w:szCs w:val="36"/>
          <w:highlight w:val="none"/>
        </w:rPr>
        <w:t>日</w:t>
      </w:r>
      <w:r>
        <w:rPr>
          <w:rFonts w:hint="eastAsia" w:ascii="仿宋" w:hAnsi="仿宋" w:eastAsia="仿宋" w:cs="仿宋"/>
          <w:color w:val="auto"/>
          <w:spacing w:val="-3"/>
          <w:szCs w:val="36"/>
          <w:highlight w:val="none"/>
        </w:rPr>
        <w:tab/>
      </w:r>
      <w:r>
        <w:rPr>
          <w:rFonts w:hint="eastAsia" w:ascii="仿宋" w:hAnsi="仿宋" w:eastAsia="仿宋" w:cs="仿宋"/>
          <w:color w:val="auto"/>
          <w:spacing w:val="-3"/>
          <w:szCs w:val="36"/>
          <w:highlight w:val="none"/>
        </w:rPr>
        <w:t>期：202</w:t>
      </w:r>
      <w:r>
        <w:rPr>
          <w:rFonts w:hint="eastAsia" w:ascii="仿宋" w:hAnsi="仿宋" w:eastAsia="仿宋" w:cs="仿宋"/>
          <w:color w:val="auto"/>
          <w:spacing w:val="-3"/>
          <w:szCs w:val="36"/>
          <w:highlight w:val="none"/>
          <w:lang w:val="en-US" w:eastAsia="zh-CN"/>
        </w:rPr>
        <w:t>6</w:t>
      </w:r>
      <w:r>
        <w:rPr>
          <w:rFonts w:hint="eastAsia" w:ascii="仿宋" w:hAnsi="仿宋" w:eastAsia="仿宋" w:cs="仿宋"/>
          <w:color w:val="auto"/>
          <w:spacing w:val="-3"/>
          <w:szCs w:val="36"/>
          <w:highlight w:val="none"/>
        </w:rPr>
        <w:t>年 0</w:t>
      </w:r>
      <w:r>
        <w:rPr>
          <w:rFonts w:hint="eastAsia" w:ascii="仿宋" w:hAnsi="仿宋" w:eastAsia="仿宋" w:cs="仿宋"/>
          <w:color w:val="auto"/>
          <w:spacing w:val="-3"/>
          <w:szCs w:val="36"/>
          <w:highlight w:val="none"/>
          <w:lang w:val="en-US" w:eastAsia="zh-CN"/>
        </w:rPr>
        <w:t>3</w:t>
      </w:r>
      <w:r>
        <w:rPr>
          <w:rFonts w:hint="eastAsia" w:ascii="仿宋" w:hAnsi="仿宋" w:eastAsia="仿宋" w:cs="仿宋"/>
          <w:color w:val="auto"/>
          <w:spacing w:val="-3"/>
          <w:szCs w:val="36"/>
          <w:highlight w:val="none"/>
        </w:rPr>
        <w:t>月</w:t>
      </w:r>
      <w:r>
        <w:rPr>
          <w:rFonts w:hint="eastAsia" w:ascii="仿宋" w:hAnsi="仿宋" w:eastAsia="仿宋" w:cs="仿宋"/>
          <w:color w:val="auto"/>
          <w:spacing w:val="-3"/>
          <w:szCs w:val="36"/>
          <w:highlight w:val="none"/>
          <w:lang w:val="en-US" w:eastAsia="zh-CN"/>
        </w:rPr>
        <w:t xml:space="preserve"> 26</w:t>
      </w:r>
      <w:r>
        <w:rPr>
          <w:rFonts w:hint="eastAsia" w:ascii="仿宋" w:hAnsi="仿宋" w:eastAsia="仿宋" w:cs="仿宋"/>
          <w:color w:val="auto"/>
          <w:spacing w:val="-3"/>
          <w:szCs w:val="36"/>
          <w:highlight w:val="none"/>
        </w:rPr>
        <w:t>日</w:t>
      </w:r>
    </w:p>
    <w:p w14:paraId="24A1CB66">
      <w:pPr>
        <w:tabs>
          <w:tab w:val="left" w:pos="1101"/>
          <w:tab w:val="left" w:pos="2200"/>
          <w:tab w:val="left" w:pos="3299"/>
          <w:tab w:val="left" w:pos="4401"/>
        </w:tabs>
        <w:spacing w:line="500" w:lineRule="exact"/>
        <w:jc w:val="center"/>
        <w:rPr>
          <w:rFonts w:ascii="宋体" w:hAnsi="宋体" w:eastAsia="宋体" w:cs="宋体"/>
          <w:color w:val="auto"/>
          <w:sz w:val="24"/>
          <w:highlight w:val="none"/>
          <w:shd w:val="clear" w:color="auto" w:fill="FFFFFF"/>
        </w:rPr>
      </w:pPr>
      <w:r>
        <w:rPr>
          <w:rFonts w:hint="eastAsia" w:ascii="仿宋" w:hAnsi="仿宋" w:eastAsia="仿宋" w:cs="仿宋"/>
          <w:color w:val="auto"/>
          <w:spacing w:val="-3"/>
          <w:sz w:val="28"/>
          <w:szCs w:val="36"/>
          <w:highlight w:val="none"/>
        </w:rPr>
        <w:br w:type="page" w:clear="all"/>
      </w:r>
    </w:p>
    <w:p w14:paraId="3470C6D0">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48" w:name="_Toc1809"/>
      <w:r>
        <w:rPr>
          <w:rFonts w:hint="eastAsia" w:ascii="黑体" w:hAnsi="黑体" w:eastAsia="黑体" w:cs="黑体"/>
          <w:color w:val="auto"/>
          <w:sz w:val="30"/>
          <w:szCs w:val="30"/>
          <w:highlight w:val="none"/>
          <w:shd w:val="clear" w:color="auto" w:fill="FFFFFF"/>
        </w:rPr>
        <w:t>二、供应商应当提交的资格材料</w:t>
      </w:r>
      <w:bookmarkEnd w:id="48"/>
    </w:p>
    <w:p w14:paraId="5DB147A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资格证明文件包括以下内容：</w:t>
      </w:r>
    </w:p>
    <w:p w14:paraId="6FC264D0">
      <w:pPr>
        <w:spacing w:line="500" w:lineRule="exact"/>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法人或者其他组织的营业执照，自然人的身份证明（复印件）。</w:t>
      </w:r>
    </w:p>
    <w:p w14:paraId="2636C69E">
      <w:pPr>
        <w:spacing w:line="500" w:lineRule="exact"/>
        <w:ind w:firstLine="560"/>
        <w:rPr>
          <w:rFonts w:ascii="仿宋" w:hAnsi="仿宋" w:eastAsia="仿宋" w:cs="Arial"/>
          <w:color w:val="auto"/>
          <w:sz w:val="28"/>
          <w:szCs w:val="28"/>
          <w:highlight w:val="none"/>
        </w:rPr>
      </w:pPr>
      <w:r>
        <w:rPr>
          <w:rFonts w:hint="eastAsia" w:ascii="仿宋" w:hAnsi="仿宋" w:eastAsia="仿宋" w:cs="Arial"/>
          <w:color w:val="auto"/>
          <w:sz w:val="28"/>
          <w:szCs w:val="28"/>
          <w:highlight w:val="none"/>
        </w:rPr>
        <w:t>（二）</w:t>
      </w:r>
      <w:r>
        <w:rPr>
          <w:rFonts w:hint="eastAsia" w:ascii="仿宋" w:hAnsi="仿宋" w:eastAsia="仿宋"/>
          <w:color w:val="auto"/>
          <w:sz w:val="28"/>
          <w:szCs w:val="28"/>
          <w:highlight w:val="none"/>
        </w:rPr>
        <w:t>参加本次采购活动前的会计报表</w:t>
      </w:r>
      <w:r>
        <w:rPr>
          <w:rFonts w:hint="eastAsia" w:ascii="仿宋" w:hAnsi="仿宋" w:eastAsia="仿宋" w:cs="Arial"/>
          <w:color w:val="auto"/>
          <w:sz w:val="28"/>
          <w:szCs w:val="28"/>
          <w:highlight w:val="none"/>
        </w:rPr>
        <w:t>（复印件，成立不满一年不需提供）。</w:t>
      </w:r>
    </w:p>
    <w:p w14:paraId="3E5D91FE">
      <w:pPr>
        <w:spacing w:line="500" w:lineRule="exact"/>
        <w:ind w:firstLine="560"/>
        <w:rPr>
          <w:rFonts w:ascii="仿宋" w:hAnsi="仿宋" w:eastAsia="仿宋" w:cs="Arial"/>
          <w:color w:val="auto"/>
          <w:sz w:val="28"/>
          <w:szCs w:val="28"/>
          <w:highlight w:val="none"/>
        </w:rPr>
      </w:pPr>
      <w:r>
        <w:rPr>
          <w:rFonts w:hint="eastAsia" w:ascii="仿宋" w:hAnsi="仿宋" w:eastAsia="仿宋" w:cs="Arial"/>
          <w:color w:val="auto"/>
          <w:sz w:val="28"/>
          <w:szCs w:val="28"/>
          <w:highlight w:val="none"/>
        </w:rPr>
        <w:t>（三）参加本次采购活动前一年内至少一个月缴纳增值税、营业税或者企业所得税的凭据（如属于免税单位的需出具税务部门免税证明材料复印件），以及缴纳社会保险的凭据（专用收据或者社会保险缴纳清单）（复印件）。</w:t>
      </w:r>
    </w:p>
    <w:p w14:paraId="301C6AA8">
      <w:pPr>
        <w:spacing w:line="500" w:lineRule="exact"/>
        <w:ind w:firstLine="560"/>
        <w:jc w:val="left"/>
        <w:rPr>
          <w:rFonts w:ascii="仿宋" w:hAnsi="仿宋" w:eastAsia="仿宋" w:cs="Arial"/>
          <w:color w:val="auto"/>
          <w:sz w:val="28"/>
          <w:szCs w:val="28"/>
          <w:highlight w:val="none"/>
        </w:rPr>
      </w:pP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r>
        <w:rPr>
          <w:rFonts w:ascii="仿宋" w:hAnsi="仿宋" w:eastAsia="仿宋" w:cs="Arial"/>
          <w:color w:val="auto"/>
          <w:sz w:val="28"/>
          <w:szCs w:val="28"/>
          <w:highlight w:val="none"/>
        </w:rPr>
        <w:t>原件</w:t>
      </w:r>
      <w:r>
        <w:rPr>
          <w:rFonts w:hint="eastAsia" w:ascii="仿宋" w:hAnsi="仿宋" w:eastAsia="仿宋" w:cs="Arial"/>
          <w:color w:val="auto"/>
          <w:sz w:val="28"/>
          <w:szCs w:val="28"/>
          <w:highlight w:val="none"/>
        </w:rPr>
        <w:t>）</w:t>
      </w:r>
    </w:p>
    <w:p w14:paraId="623CA50C">
      <w:pPr>
        <w:spacing w:line="500" w:lineRule="exact"/>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参加政府采购活动前 3 年内在经营活动中没有重大违法记录的书面声明（</w:t>
      </w:r>
      <w:r>
        <w:rPr>
          <w:rFonts w:ascii="仿宋" w:hAnsi="仿宋" w:eastAsia="仿宋"/>
          <w:color w:val="auto"/>
          <w:sz w:val="28"/>
          <w:szCs w:val="28"/>
          <w:highlight w:val="none"/>
        </w:rPr>
        <w:t>原件</w:t>
      </w:r>
      <w:r>
        <w:rPr>
          <w:rFonts w:hint="eastAsia" w:ascii="仿宋" w:hAnsi="仿宋" w:eastAsia="仿宋" w:cs="Arial"/>
          <w:color w:val="auto"/>
          <w:sz w:val="28"/>
          <w:szCs w:val="28"/>
          <w:highlight w:val="none"/>
        </w:rPr>
        <w:t>）。</w:t>
      </w:r>
    </w:p>
    <w:p w14:paraId="47F4D109">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（六）法定代表人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书（原件）</w:t>
      </w:r>
      <w:r>
        <w:rPr>
          <w:rFonts w:hint="eastAsia" w:ascii="仿宋" w:hAnsi="仿宋" w:eastAsia="仿宋"/>
          <w:color w:val="auto"/>
          <w:sz w:val="28"/>
          <w:szCs w:val="28"/>
          <w:highlight w:val="none"/>
        </w:rPr>
        <w:t>。</w:t>
      </w:r>
    </w:p>
    <w:p w14:paraId="63D8DFB6">
      <w:pPr>
        <w:spacing w:line="500" w:lineRule="exact"/>
        <w:ind w:firstLine="560"/>
        <w:jc w:val="lef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（七）</w:t>
      </w:r>
      <w:r>
        <w:rPr>
          <w:rFonts w:hint="eastAsia" w:ascii="仿宋" w:hAnsi="仿宋" w:eastAsia="仿宋" w:cs="Arial"/>
          <w:color w:val="auto"/>
          <w:sz w:val="28"/>
          <w:szCs w:val="28"/>
          <w:highlight w:val="none"/>
        </w:rPr>
        <w:t>参与征集确认函（原件）。</w:t>
      </w:r>
    </w:p>
    <w:p w14:paraId="150A18A5">
      <w:pPr>
        <w:spacing w:line="500" w:lineRule="exact"/>
        <w:jc w:val="lef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    （八）</w:t>
      </w:r>
      <w:r>
        <w:rPr>
          <w:rFonts w:hint="eastAsia" w:ascii="仿宋" w:hAnsi="仿宋" w:eastAsia="仿宋"/>
          <w:color w:val="auto"/>
          <w:sz w:val="28"/>
          <w:szCs w:val="28"/>
          <w:highlight w:val="none"/>
        </w:rPr>
        <w:t>其他资格证明材料（格式自拟），包括但不限于</w:t>
      </w:r>
      <w:r>
        <w:rPr>
          <w:rFonts w:hint="eastAsia" w:ascii="仿宋" w:hAnsi="仿宋" w:eastAsia="仿宋" w:cs="Arial"/>
          <w:color w:val="auto"/>
          <w:sz w:val="28"/>
          <w:szCs w:val="28"/>
          <w:highlight w:val="none"/>
        </w:rPr>
        <w:t>对应本项目征集公告中申请人的特定资格要求中的</w:t>
      </w:r>
      <w:r>
        <w:rPr>
          <w:rFonts w:hint="eastAsia" w:ascii="仿宋" w:hAnsi="仿宋" w:eastAsia="仿宋"/>
          <w:color w:val="auto"/>
          <w:sz w:val="28"/>
          <w:szCs w:val="28"/>
          <w:highlight w:val="none"/>
        </w:rPr>
        <w:t>相应其他证明材料。</w:t>
      </w:r>
    </w:p>
    <w:p w14:paraId="26FC39F1">
      <w:pPr>
        <w:spacing w:line="500" w:lineRule="exact"/>
        <w:ind w:firstLine="562"/>
        <w:rPr>
          <w:rFonts w:ascii="仿宋" w:hAnsi="仿宋" w:eastAsia="仿宋"/>
          <w:color w:val="auto"/>
          <w:sz w:val="28"/>
          <w:szCs w:val="28"/>
          <w:highlight w:val="none"/>
        </w:rPr>
      </w:pPr>
      <w:r>
        <w:rPr>
          <w:rFonts w:hint="eastAsia" w:ascii="仿宋" w:hAnsi="仿宋" w:eastAsia="仿宋"/>
          <w:b/>
          <w:color w:val="auto"/>
          <w:sz w:val="28"/>
          <w:szCs w:val="28"/>
          <w:highlight w:val="none"/>
        </w:rPr>
        <w:t>注意：声明函、确认函、委托书格式文本见附件；</w:t>
      </w:r>
      <w:r>
        <w:rPr>
          <w:rFonts w:hint="eastAsia" w:ascii="仿宋" w:hAnsi="仿宋" w:eastAsia="仿宋"/>
          <w:b/>
          <w:bCs/>
          <w:color w:val="auto"/>
          <w:sz w:val="28"/>
          <w:szCs w:val="28"/>
          <w:highlight w:val="none"/>
        </w:rPr>
        <w:t>以上所有资格证明文件必须加盖公章</w:t>
      </w:r>
      <w:r>
        <w:rPr>
          <w:rFonts w:hint="eastAsia" w:ascii="仿宋" w:hAnsi="仿宋" w:eastAsia="仿宋"/>
          <w:b/>
          <w:color w:val="auto"/>
          <w:sz w:val="28"/>
          <w:szCs w:val="28"/>
          <w:highlight w:val="none"/>
        </w:rPr>
        <w:t>。</w:t>
      </w:r>
    </w:p>
    <w:p w14:paraId="4A600729">
      <w:pPr>
        <w:rPr>
          <w:b/>
          <w:bCs/>
          <w:color w:val="auto"/>
          <w:sz w:val="36"/>
          <w:szCs w:val="44"/>
          <w:highlight w:val="none"/>
        </w:rPr>
      </w:pPr>
      <w:r>
        <w:rPr>
          <w:b/>
          <w:bCs/>
          <w:color w:val="auto"/>
          <w:sz w:val="36"/>
          <w:szCs w:val="44"/>
          <w:highlight w:val="none"/>
        </w:rPr>
        <w:br w:type="page" w:clear="all"/>
      </w:r>
    </w:p>
    <w:p w14:paraId="32E11BFD">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49" w:name="_Toc13867"/>
      <w:r>
        <w:rPr>
          <w:rFonts w:hint="eastAsia" w:ascii="黑体" w:hAnsi="黑体" w:eastAsia="黑体" w:cs="黑体"/>
          <w:color w:val="auto"/>
          <w:sz w:val="30"/>
          <w:szCs w:val="30"/>
          <w:highlight w:val="none"/>
          <w:shd w:val="clear" w:color="auto" w:fill="FFFFFF"/>
        </w:rPr>
        <w:t>三、资格审查方法和标准</w:t>
      </w:r>
      <w:bookmarkEnd w:id="49"/>
    </w:p>
    <w:p w14:paraId="5602988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1.采购人依据法律法规和征集公告、征集文件的规定，对征集文件中的资格证明材料等进行符合性审查，以确定供应商是否具备参加征集的资格。</w:t>
      </w:r>
    </w:p>
    <w:p w14:paraId="3BFB9A7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2.评审小组将在“信用中国”、“中国政府采购网  ”网站对供应商是否被列入失信被执行人或重大税收违法案件当事人名单或政府采购严重失信行为记录名单情况进行查询，以确定供应商是否具备投标的资格。</w:t>
      </w:r>
    </w:p>
    <w:p w14:paraId="5731EA43">
      <w:pPr>
        <w:pStyle w:val="37"/>
        <w:widowControl/>
        <w:spacing w:beforeAutospacing="0" w:afterAutospacing="0" w:line="500" w:lineRule="exact"/>
        <w:ind w:firstLine="560"/>
        <w:jc w:val="both"/>
        <w:rPr>
          <w:rFonts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3.资格审查合格的供应商进入下一阶段的评审。</w:t>
      </w:r>
    </w:p>
    <w:p w14:paraId="126AE6C5">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50" w:name="_Toc3278"/>
      <w:r>
        <w:rPr>
          <w:rFonts w:hint="eastAsia" w:ascii="黑体" w:hAnsi="黑体" w:eastAsia="黑体" w:cs="黑体"/>
          <w:color w:val="auto"/>
          <w:sz w:val="30"/>
          <w:szCs w:val="30"/>
          <w:highlight w:val="none"/>
          <w:shd w:val="clear" w:color="auto" w:fill="FFFFFF"/>
        </w:rPr>
        <w:t>四、采购需求以及最高限制单</w:t>
      </w:r>
      <w:bookmarkStart w:id="51" w:name="_Toc23207"/>
      <w:r>
        <w:rPr>
          <w:rFonts w:hint="eastAsia" w:ascii="黑体" w:hAnsi="黑体" w:eastAsia="黑体" w:cs="黑体"/>
          <w:color w:val="auto"/>
          <w:sz w:val="30"/>
          <w:szCs w:val="30"/>
          <w:highlight w:val="none"/>
          <w:shd w:val="clear" w:color="auto" w:fill="FFFFFF"/>
        </w:rPr>
        <w:t>价</w:t>
      </w:r>
      <w:bookmarkEnd w:id="50"/>
    </w:p>
    <w:p w14:paraId="437B036A">
      <w:pPr>
        <w:spacing w:line="500" w:lineRule="exact"/>
        <w:ind w:firstLine="560"/>
        <w:outlineLvl w:val="1"/>
        <w:rPr>
          <w:rFonts w:ascii="黑体" w:hAnsi="黑体" w:eastAsia="黑体"/>
          <w:color w:val="auto"/>
          <w:sz w:val="28"/>
          <w:szCs w:val="28"/>
          <w:highlight w:val="none"/>
        </w:rPr>
      </w:pPr>
      <w:bookmarkStart w:id="52" w:name="_Toc32194"/>
      <w:r>
        <w:rPr>
          <w:rFonts w:hint="eastAsia" w:ascii="黑体" w:hAnsi="黑体" w:eastAsia="黑体"/>
          <w:color w:val="auto"/>
          <w:sz w:val="28"/>
          <w:szCs w:val="28"/>
          <w:highlight w:val="none"/>
        </w:rPr>
        <w:t>（一）项目简介</w:t>
      </w:r>
      <w:bookmarkEnd w:id="51"/>
      <w:bookmarkEnd w:id="52"/>
    </w:p>
    <w:p w14:paraId="4515F239">
      <w:pPr>
        <w:pStyle w:val="198"/>
        <w:spacing w:line="480" w:lineRule="exact"/>
        <w:ind w:firstLine="560"/>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采购需求：</w:t>
      </w:r>
      <w:r>
        <w:rPr>
          <w:rFonts w:hint="eastAsia" w:ascii="仿宋" w:hAnsi="仿宋" w:eastAsia="仿宋"/>
          <w:sz w:val="28"/>
          <w:szCs w:val="28"/>
          <w:highlight w:val="none"/>
          <w:lang w:val="en-US" w:eastAsia="zh-CN"/>
        </w:rPr>
        <w:t>根据南通市市场监督管理局要求，为确保完成全年任务，本项目用于2026年食品、食用农产品抽检（含乳制品生产企业的原料及成品抽检），共计4000批次，现向社会公开征集3家供应商。</w:t>
      </w:r>
    </w:p>
    <w:p w14:paraId="21397993">
      <w:pPr>
        <w:spacing w:line="500" w:lineRule="exact"/>
        <w:ind w:firstLine="560"/>
        <w:outlineLvl w:val="1"/>
        <w:rPr>
          <w:rFonts w:ascii="黑体" w:hAnsi="黑体" w:eastAsia="黑体"/>
          <w:color w:val="auto"/>
          <w:sz w:val="28"/>
          <w:szCs w:val="28"/>
          <w:highlight w:val="none"/>
        </w:rPr>
      </w:pPr>
      <w:bookmarkStart w:id="53" w:name="_Toc4801"/>
      <w:bookmarkStart w:id="54" w:name="_Toc10812"/>
      <w:r>
        <w:rPr>
          <w:rFonts w:hint="eastAsia" w:ascii="黑体" w:hAnsi="黑体" w:eastAsia="黑体"/>
          <w:color w:val="auto"/>
          <w:sz w:val="28"/>
          <w:szCs w:val="28"/>
          <w:highlight w:val="none"/>
        </w:rPr>
        <w:t>（二）采购内容</w:t>
      </w:r>
      <w:bookmarkEnd w:id="53"/>
      <w:bookmarkEnd w:id="54"/>
    </w:p>
    <w:p w14:paraId="7602F745">
      <w:pPr>
        <w:spacing w:line="500" w:lineRule="exact"/>
        <w:ind w:firstLine="560"/>
        <w:rPr>
          <w:rFonts w:hint="eastAsia" w:ascii="仿宋" w:hAnsi="仿宋" w:eastAsia="仿宋" w:cs="Times New Roman"/>
          <w:color w:val="auto"/>
          <w:sz w:val="28"/>
          <w:szCs w:val="28"/>
          <w:highlight w:val="none"/>
          <w:lang w:eastAsia="zh-CN"/>
        </w:rPr>
      </w:pPr>
      <w:bookmarkStart w:id="55" w:name="_Toc6020"/>
      <w:r>
        <w:rPr>
          <w:rFonts w:hint="eastAsia" w:ascii="仿宋" w:hAnsi="仿宋" w:eastAsia="仿宋" w:cs="Times New Roman"/>
          <w:color w:val="auto"/>
          <w:sz w:val="28"/>
          <w:szCs w:val="28"/>
          <w:highlight w:val="none"/>
          <w:lang w:eastAsia="zh-CN"/>
        </w:rPr>
        <w:t>202</w:t>
      </w:r>
      <w:r>
        <w:rPr>
          <w:rFonts w:hint="eastAsia" w:ascii="仿宋" w:hAnsi="仿宋" w:eastAsia="仿宋" w:cs="Times New Roman"/>
          <w:color w:val="auto"/>
          <w:sz w:val="28"/>
          <w:szCs w:val="28"/>
          <w:highlight w:val="none"/>
          <w:lang w:val="en-US" w:eastAsia="zh-CN"/>
        </w:rPr>
        <w:t>6</w:t>
      </w:r>
      <w:r>
        <w:rPr>
          <w:rFonts w:hint="eastAsia" w:ascii="仿宋" w:hAnsi="仿宋" w:eastAsia="仿宋" w:cs="Times New Roman"/>
          <w:color w:val="auto"/>
          <w:sz w:val="28"/>
          <w:szCs w:val="28"/>
          <w:highlight w:val="none"/>
          <w:lang w:eastAsia="zh-CN"/>
        </w:rPr>
        <w:t>年食品、食用农产品抽检项目入围供应商</w:t>
      </w:r>
      <w:r>
        <w:rPr>
          <w:rFonts w:hint="eastAsia" w:ascii="仿宋" w:hAnsi="仿宋" w:eastAsia="仿宋" w:cs="Times New Roman"/>
          <w:color w:val="auto"/>
          <w:sz w:val="28"/>
          <w:szCs w:val="28"/>
          <w:highlight w:val="none"/>
          <w:lang w:val="en-US" w:eastAsia="zh-CN"/>
        </w:rPr>
        <w:t>3</w:t>
      </w:r>
      <w:r>
        <w:rPr>
          <w:rFonts w:hint="eastAsia" w:ascii="仿宋" w:hAnsi="仿宋" w:eastAsia="仿宋" w:cs="Times New Roman"/>
          <w:color w:val="auto"/>
          <w:sz w:val="28"/>
          <w:szCs w:val="28"/>
          <w:highlight w:val="none"/>
          <w:lang w:eastAsia="zh-CN"/>
        </w:rPr>
        <w:t>家。</w:t>
      </w:r>
    </w:p>
    <w:p w14:paraId="3534A8F1">
      <w:pPr>
        <w:spacing w:line="500" w:lineRule="exact"/>
        <w:ind w:firstLine="560"/>
        <w:jc w:val="left"/>
        <w:outlineLvl w:val="1"/>
        <w:rPr>
          <w:rFonts w:ascii="黑体" w:hAnsi="黑体" w:eastAsia="黑体"/>
          <w:color w:val="auto"/>
          <w:sz w:val="28"/>
          <w:szCs w:val="28"/>
          <w:highlight w:val="none"/>
        </w:rPr>
      </w:pPr>
      <w:bookmarkStart w:id="56" w:name="_Toc19714"/>
      <w:r>
        <w:rPr>
          <w:rFonts w:hint="eastAsia" w:ascii="黑体" w:hAnsi="黑体" w:eastAsia="黑体"/>
          <w:color w:val="auto"/>
          <w:sz w:val="28"/>
          <w:szCs w:val="28"/>
          <w:highlight w:val="none"/>
        </w:rPr>
        <w:t>（三）服务要求：</w:t>
      </w:r>
      <w:bookmarkEnd w:id="55"/>
      <w:bookmarkEnd w:id="56"/>
    </w:p>
    <w:p w14:paraId="0A8B7181">
      <w:pPr>
        <w:keepNext w:val="0"/>
        <w:keepLines w:val="0"/>
        <w:pageBreakBefore w:val="0"/>
        <w:widowControl w:val="0"/>
        <w:numPr>
          <w:ilvl w:val="0"/>
          <w:numId w:val="0"/>
        </w:numPr>
        <w:spacing w:line="520" w:lineRule="exact"/>
        <w:ind w:firstLine="560"/>
        <w:jc w:val="left"/>
        <w:rPr>
          <w:rFonts w:hint="default" w:ascii="仿宋" w:hAnsi="仿宋" w:eastAsia="仿宋"/>
          <w:sz w:val="28"/>
          <w:szCs w:val="28"/>
          <w:highlight w:val="none"/>
          <w:lang w:val="en-US" w:eastAsia="zh-CN"/>
        </w:rPr>
      </w:pPr>
      <w:bookmarkStart w:id="57" w:name="_Toc2230"/>
      <w:r>
        <w:rPr>
          <w:rFonts w:hint="eastAsia" w:ascii="仿宋" w:hAnsi="仿宋" w:eastAsia="仿宋"/>
          <w:sz w:val="28"/>
          <w:szCs w:val="28"/>
          <w:highlight w:val="none"/>
        </w:rPr>
        <w:t xml:space="preserve">1. </w:t>
      </w:r>
      <w:r>
        <w:rPr>
          <w:rFonts w:hint="eastAsia" w:ascii="仿宋" w:hAnsi="仿宋" w:eastAsia="仿宋"/>
          <w:sz w:val="28"/>
          <w:szCs w:val="28"/>
          <w:highlight w:val="none"/>
          <w:lang w:val="en-US" w:eastAsia="zh-CN"/>
        </w:rPr>
        <w:t>具体安排</w:t>
      </w:r>
    </w:p>
    <w:p w14:paraId="2480108A">
      <w:pPr>
        <w:keepNext w:val="0"/>
        <w:keepLines w:val="0"/>
        <w:pageBreakBefore w:val="0"/>
        <w:widowControl w:val="0"/>
        <w:numPr>
          <w:ilvl w:val="0"/>
          <w:numId w:val="0"/>
        </w:numPr>
        <w:spacing w:line="520" w:lineRule="exact"/>
        <w:ind w:firstLine="560"/>
        <w:jc w:val="left"/>
        <w:rPr>
          <w:rFonts w:hint="eastAsia" w:ascii="仿宋" w:hAnsi="仿宋" w:eastAsia="仿宋"/>
          <w:color w:val="FF0000"/>
          <w:sz w:val="28"/>
          <w:szCs w:val="28"/>
          <w:highlight w:val="none"/>
          <w:lang w:val="en-US" w:eastAsia="zh-CN"/>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抽检品种和项目。食用农产品抽检品种包括蔬菜、水果、畜禽肉及副产品、水产品、鲜蛋等。抽检项目应包含所指定的项目，要突出农兽药残留、重金属等。抽检项目依据市场监管总局制定的</w:t>
      </w:r>
      <w:r>
        <w:rPr>
          <w:rFonts w:hint="eastAsia" w:ascii="仿宋" w:hAnsi="仿宋" w:eastAsia="仿宋"/>
          <w:sz w:val="28"/>
          <w:szCs w:val="28"/>
          <w:highlight w:val="none"/>
          <w:lang w:eastAsia="zh-CN"/>
        </w:rPr>
        <w:t>《国家食品安全监督抽检实施细则（2025年版）》（如有更新，使用最新版本）</w:t>
      </w:r>
      <w:r>
        <w:rPr>
          <w:rFonts w:hint="eastAsia" w:ascii="仿宋" w:hAnsi="仿宋" w:eastAsia="仿宋"/>
          <w:sz w:val="28"/>
          <w:szCs w:val="28"/>
          <w:highlight w:val="none"/>
        </w:rPr>
        <w:t>。</w:t>
      </w:r>
    </w:p>
    <w:p w14:paraId="172CC614">
      <w:pPr>
        <w:keepNext w:val="0"/>
        <w:keepLines w:val="0"/>
        <w:pageBreakBefore w:val="0"/>
        <w:widowControl w:val="0"/>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抽检对象。生产环节主要针对食品小作坊和上级部门未抽检到的企业开展抽检</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实现生产环节全覆盖</w:t>
      </w:r>
      <w:r>
        <w:rPr>
          <w:rFonts w:hint="eastAsia" w:ascii="仿宋" w:hAnsi="仿宋" w:eastAsia="仿宋"/>
          <w:sz w:val="28"/>
          <w:szCs w:val="28"/>
          <w:highlight w:val="none"/>
        </w:rPr>
        <w:t>。流通环节采样应涵盖农副产品批发市场、农贸市场、商场、超市、小食杂店、食品摊贩等不同业态。餐饮环节采样重点为学校和托幼</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养老</w:t>
      </w:r>
      <w:r>
        <w:rPr>
          <w:rFonts w:hint="eastAsia" w:ascii="仿宋" w:hAnsi="仿宋" w:eastAsia="仿宋"/>
          <w:sz w:val="28"/>
          <w:szCs w:val="28"/>
          <w:highlight w:val="none"/>
        </w:rPr>
        <w:t>机构食堂以及中央厨房、集体用餐配送单位、旅游景区餐饮服务单位、网络餐饮供餐单位、小餐饮等，加强对餐饮企业食品原材料、自制食品的抽检。对于粮食加工品、食用油、油脂及其制品、乳制品、饮料、葡萄酒、饼干、炒货食品及坚果制品等品种，可安排抽检一定量的网购食品和进口食品。</w:t>
      </w:r>
    </w:p>
    <w:p w14:paraId="440A5396">
      <w:pPr>
        <w:keepNext w:val="0"/>
        <w:keepLines w:val="0"/>
        <w:pageBreakBefore w:val="0"/>
        <w:widowControl w:val="0"/>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抽检时间和频次。要全年均衡完成抽检任务，原则上应每周抽检蔬菜、水果、畜禽肉、水产品、鲜蛋等食用农产品，承检进度按照每月完成任务数的</w:t>
      </w:r>
      <w:r>
        <w:rPr>
          <w:rFonts w:hint="eastAsia" w:ascii="仿宋" w:hAnsi="仿宋" w:eastAsia="仿宋"/>
          <w:sz w:val="28"/>
          <w:szCs w:val="28"/>
          <w:highlight w:val="none"/>
          <w:lang w:val="en-US" w:eastAsia="zh-CN"/>
        </w:rPr>
        <w:t>17</w:t>
      </w:r>
      <w:r>
        <w:rPr>
          <w:rFonts w:ascii="仿宋" w:hAnsi="仿宋" w:eastAsia="仿宋"/>
          <w:sz w:val="28"/>
          <w:szCs w:val="28"/>
          <w:highlight w:val="none"/>
        </w:rPr>
        <w:t>%</w:t>
      </w:r>
      <w:r>
        <w:rPr>
          <w:rFonts w:hint="eastAsia" w:ascii="仿宋" w:hAnsi="仿宋" w:eastAsia="仿宋"/>
          <w:sz w:val="28"/>
          <w:szCs w:val="28"/>
          <w:highlight w:val="none"/>
        </w:rPr>
        <w:t>推进。季节性生产销售的食品或存在季节性质量安全风险的食品在相应季节增加采样量。节令性食品要在节前开展抽检工作。结合舆情监测、日常监管等情况，对反映较突出的问题适时开展专项抽检。加大对高风险食品的抽检频次，高风险产品每月抽检一次，较高风险产品每季度抽检一次，一般风险产品每半年抽检一次。同时要增加对以往检出不合格产品企业的抽检频次。</w:t>
      </w:r>
    </w:p>
    <w:p w14:paraId="05455B5A">
      <w:pPr>
        <w:keepNext w:val="0"/>
        <w:keepLines w:val="0"/>
        <w:pageBreakBefore w:val="0"/>
        <w:widowControl w:val="0"/>
        <w:spacing w:line="520" w:lineRule="exact"/>
        <w:ind w:firstLine="420"/>
        <w:jc w:val="left"/>
        <w:rPr>
          <w:rFonts w:hint="eastAsia"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服务项目明细及要求</w:t>
      </w:r>
    </w:p>
    <w:p w14:paraId="71088BB8">
      <w:pPr>
        <w:keepNext w:val="0"/>
        <w:keepLines w:val="0"/>
        <w:pageBreakBefore w:val="0"/>
        <w:widowControl w:val="0"/>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服务要求</w:t>
      </w:r>
    </w:p>
    <w:p w14:paraId="78196EA3">
      <w:pPr>
        <w:keepNext w:val="0"/>
        <w:keepLines w:val="0"/>
        <w:pageBreakBefore w:val="0"/>
        <w:widowControl w:val="0"/>
        <w:spacing w:line="560" w:lineRule="exact"/>
        <w:ind w:firstLine="560"/>
        <w:outlineLvl w:val="9"/>
        <w:rPr>
          <w:rFonts w:hint="eastAsia" w:ascii="仿宋" w:hAnsi="仿宋" w:eastAsia="仿宋" w:cs="仿宋"/>
          <w:color w:val="auto"/>
          <w:sz w:val="28"/>
          <w:szCs w:val="28"/>
          <w:highlight w:val="none"/>
          <w:lang w:eastAsia="zh-CN"/>
        </w:rPr>
      </w:pPr>
      <w:r>
        <w:rPr>
          <w:rFonts w:hint="eastAsia" w:ascii="仿宋" w:hAnsi="仿宋" w:eastAsia="仿宋" w:cs="仿宋"/>
          <w:sz w:val="28"/>
          <w:szCs w:val="28"/>
          <w:highlight w:val="none"/>
        </w:rPr>
        <w:t>按时报送数据。承检机构要在每月15日前将前期的不合格项目说明报</w:t>
      </w:r>
      <w:r>
        <w:rPr>
          <w:rFonts w:hint="eastAsia" w:ascii="仿宋" w:hAnsi="仿宋" w:eastAsia="仿宋" w:cs="仿宋"/>
          <w:sz w:val="28"/>
          <w:szCs w:val="28"/>
          <w:highlight w:val="none"/>
          <w:lang w:val="en-US" w:eastAsia="zh-CN"/>
        </w:rPr>
        <w:t>如皋</w:t>
      </w:r>
      <w:r>
        <w:rPr>
          <w:rFonts w:hint="eastAsia" w:ascii="仿宋" w:hAnsi="仿宋" w:eastAsia="仿宋" w:cs="仿宋"/>
          <w:sz w:val="28"/>
          <w:szCs w:val="28"/>
          <w:highlight w:val="none"/>
        </w:rPr>
        <w:t>市市场监督管理局，严格按照规定时限和规范要求在“国家食品安全抽样检验信息系统”完成食品和食用农产品的抽样、检验，并在每月25日前在“国家食品安全抽样检验信息系统”公示模块完成前期食品抽检结果的数据公示。</w:t>
      </w:r>
      <w:r>
        <w:rPr>
          <w:rFonts w:hint="eastAsia" w:ascii="仿宋" w:hAnsi="仿宋" w:eastAsia="仿宋" w:cs="仿宋"/>
          <w:color w:val="auto"/>
          <w:sz w:val="28"/>
          <w:szCs w:val="28"/>
          <w:highlight w:val="none"/>
          <w:lang w:val="en-US" w:eastAsia="zh-CN"/>
        </w:rPr>
        <w:t>纸质</w:t>
      </w:r>
      <w:r>
        <w:rPr>
          <w:rFonts w:hint="eastAsia" w:ascii="仿宋" w:hAnsi="仿宋" w:eastAsia="仿宋" w:cs="仿宋"/>
          <w:color w:val="auto"/>
          <w:sz w:val="28"/>
          <w:szCs w:val="28"/>
          <w:highlight w:val="none"/>
          <w:lang w:eastAsia="zh-CN"/>
        </w:rPr>
        <w:t>合格报告一式两份，不合格报告一式五份；供应商根据采购人需要安排抽检时间，采样过程全程摄像。</w:t>
      </w:r>
    </w:p>
    <w:p w14:paraId="19657F97">
      <w:pPr>
        <w:keepNext w:val="0"/>
        <w:keepLines w:val="0"/>
        <w:pageBreakBefore w:val="0"/>
        <w:widowControl w:val="0"/>
        <w:spacing w:line="520" w:lineRule="exact"/>
        <w:ind w:firstLine="560"/>
        <w:jc w:val="left"/>
        <w:rPr>
          <w:rFonts w:ascii="仿宋" w:hAnsi="仿宋" w:eastAsia="仿宋"/>
          <w:sz w:val="28"/>
          <w:szCs w:val="28"/>
          <w:highlight w:val="none"/>
        </w:rPr>
      </w:pPr>
      <w:r>
        <w:rPr>
          <w:rFonts w:hint="eastAsia" w:ascii="仿宋" w:hAnsi="仿宋" w:eastAsia="仿宋"/>
          <w:sz w:val="28"/>
          <w:szCs w:val="28"/>
          <w:highlight w:val="none"/>
        </w:rPr>
        <w:t>承检机构发现不合格样品中可能存在重大风险隐患或急性健康风险的，应当在确认检验结果后24小时之内报告相关监管部门，并抄送国家市场监督管理总局。若拖延抄送数据，影响采购人考核，采购人有权</w:t>
      </w:r>
      <w:r>
        <w:rPr>
          <w:rFonts w:hint="eastAsia" w:ascii="仿宋" w:hAnsi="仿宋" w:eastAsia="仿宋"/>
          <w:sz w:val="28"/>
          <w:szCs w:val="28"/>
          <w:highlight w:val="none"/>
          <w:lang w:val="en-US" w:eastAsia="zh-CN"/>
        </w:rPr>
        <w:t>解除</w:t>
      </w:r>
      <w:r>
        <w:rPr>
          <w:rFonts w:hint="eastAsia" w:ascii="仿宋" w:hAnsi="仿宋" w:eastAsia="仿宋"/>
          <w:sz w:val="28"/>
          <w:szCs w:val="28"/>
          <w:highlight w:val="none"/>
        </w:rPr>
        <w:t>合同，如造成经济损失及不良影响的，追究其经济赔偿责任和法律责任。</w:t>
      </w:r>
    </w:p>
    <w:p w14:paraId="0DC38D30">
      <w:pPr>
        <w:keepNext w:val="0"/>
        <w:keepLines w:val="0"/>
        <w:pageBreakBefore w:val="0"/>
        <w:widowControl w:val="0"/>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各有关承检机构及相关人员不得随意更改抽检信息，不得瞒报、谎报、漏报检验数据，不得擅自发布有关抽检的信息，不得在开展抽样工作前事先通知被抽检单位和接受被抽检单位的馈赠，不得利用抽检结果开展有偿活动、牟取不正当利益。对发现的违法违规抽检行为一律依法依规追究相关单位及人员责任。</w:t>
      </w:r>
    </w:p>
    <w:p w14:paraId="346B1769">
      <w:pPr>
        <w:keepNext w:val="0"/>
        <w:keepLines w:val="0"/>
        <w:pageBreakBefore w:val="0"/>
        <w:widowControl w:val="0"/>
        <w:numPr>
          <w:ilvl w:val="0"/>
          <w:numId w:val="0"/>
        </w:num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3.基本要求</w:t>
      </w:r>
    </w:p>
    <w:p w14:paraId="3FA7F338">
      <w:pPr>
        <w:keepNext w:val="0"/>
        <w:keepLines w:val="0"/>
        <w:pageBreakBefore w:val="0"/>
        <w:widowControl w:val="0"/>
        <w:spacing w:line="520" w:lineRule="exact"/>
        <w:ind w:firstLine="562"/>
        <w:jc w:val="left"/>
        <w:rPr>
          <w:rFonts w:hint="eastAsia" w:ascii="仿宋" w:hAnsi="仿宋" w:eastAsia="仿宋" w:cs="仿宋"/>
          <w:b/>
          <w:bCs/>
          <w:color w:val="FF0000"/>
          <w:sz w:val="28"/>
          <w:szCs w:val="28"/>
          <w:highlight w:val="none"/>
        </w:rPr>
      </w:pP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1</w:t>
      </w:r>
      <w:r>
        <w:rPr>
          <w:rFonts w:hint="eastAsia" w:ascii="仿宋" w:hAnsi="仿宋" w:eastAsia="仿宋" w:cs="仿宋"/>
          <w:b/>
          <w:sz w:val="28"/>
          <w:szCs w:val="28"/>
          <w:highlight w:val="none"/>
          <w:lang w:eastAsia="zh-CN"/>
        </w:rPr>
        <w:t>）</w:t>
      </w:r>
      <w:r>
        <w:rPr>
          <w:rFonts w:hint="eastAsia" w:ascii="仿宋" w:hAnsi="仿宋" w:eastAsia="仿宋" w:cs="仿宋"/>
          <w:b/>
          <w:bCs/>
          <w:color w:val="auto"/>
          <w:sz w:val="28"/>
          <w:szCs w:val="28"/>
          <w:highlight w:val="none"/>
          <w:lang w:eastAsia="zh-CN"/>
        </w:rPr>
        <w:t>供应商必须具备承担项目任务涉及到的所有检验项目的CMA资质（有效期内）</w:t>
      </w:r>
      <w:r>
        <w:rPr>
          <w:rFonts w:hint="eastAsia" w:ascii="仿宋" w:hAnsi="仿宋" w:eastAsia="仿宋" w:cs="仿宋"/>
          <w:color w:val="auto"/>
          <w:sz w:val="28"/>
          <w:szCs w:val="28"/>
          <w:highlight w:val="none"/>
          <w:lang w:eastAsia="zh-CN"/>
        </w:rPr>
        <w:t>，检验项目的检验方法需与食品安全国家标准、食品安全江苏省地方标准或国家市场监督管理总局《</w:t>
      </w:r>
      <w:r>
        <w:rPr>
          <w:rFonts w:hint="eastAsia" w:ascii="仿宋" w:hAnsi="仿宋" w:eastAsia="仿宋" w:cs="仿宋"/>
          <w:color w:val="auto"/>
          <w:sz w:val="28"/>
          <w:szCs w:val="28"/>
          <w:highlight w:val="none"/>
          <w:lang w:val="en-US" w:eastAsia="zh-CN"/>
        </w:rPr>
        <w:t>国家</w:t>
      </w:r>
      <w:r>
        <w:rPr>
          <w:rFonts w:hint="eastAsia" w:ascii="仿宋" w:hAnsi="仿宋" w:eastAsia="仿宋" w:cs="仿宋"/>
          <w:color w:val="auto"/>
          <w:sz w:val="28"/>
          <w:szCs w:val="28"/>
          <w:highlight w:val="none"/>
          <w:lang w:eastAsia="zh-CN"/>
        </w:rPr>
        <w:t>食品安全监督抽检实施细则（</w:t>
      </w:r>
      <w:r>
        <w:rPr>
          <w:rFonts w:hint="eastAsia" w:ascii="仿宋" w:hAnsi="仿宋" w:eastAsia="仿宋" w:cs="仿宋"/>
          <w:color w:val="auto"/>
          <w:sz w:val="28"/>
          <w:szCs w:val="28"/>
          <w:highlight w:val="none"/>
          <w:lang w:val="en-US" w:eastAsia="zh-CN"/>
        </w:rPr>
        <w:t>2025</w:t>
      </w:r>
      <w:r>
        <w:rPr>
          <w:rFonts w:hint="eastAsia" w:ascii="仿宋" w:hAnsi="仿宋" w:eastAsia="仿宋" w:cs="仿宋"/>
          <w:color w:val="auto"/>
          <w:sz w:val="28"/>
          <w:szCs w:val="28"/>
          <w:highlight w:val="none"/>
          <w:lang w:eastAsia="zh-CN"/>
        </w:rPr>
        <w:t>年版）》</w:t>
      </w:r>
      <w:r>
        <w:rPr>
          <w:rFonts w:hint="eastAsia" w:ascii="仿宋" w:hAnsi="仿宋" w:eastAsia="仿宋"/>
          <w:sz w:val="28"/>
          <w:szCs w:val="28"/>
          <w:highlight w:val="none"/>
          <w:lang w:eastAsia="zh-CN"/>
        </w:rPr>
        <w:t>（如有更新，使用最新版本）</w:t>
      </w:r>
      <w:r>
        <w:rPr>
          <w:rFonts w:hint="eastAsia" w:ascii="仿宋" w:hAnsi="仿宋" w:eastAsia="仿宋" w:cs="仿宋"/>
          <w:color w:val="auto"/>
          <w:sz w:val="28"/>
          <w:szCs w:val="28"/>
          <w:highlight w:val="none"/>
          <w:lang w:eastAsia="zh-CN"/>
        </w:rPr>
        <w:t>要求一致，方有资格承担该任务。</w:t>
      </w:r>
      <w:r>
        <w:rPr>
          <w:rFonts w:hint="eastAsia" w:ascii="仿宋" w:hAnsi="仿宋" w:eastAsia="仿宋" w:cs="仿宋"/>
          <w:b/>
          <w:bCs/>
          <w:color w:val="auto"/>
          <w:sz w:val="28"/>
          <w:szCs w:val="28"/>
          <w:highlight w:val="none"/>
          <w:lang w:eastAsia="zh-CN"/>
        </w:rPr>
        <w:t>响应文件中须</w:t>
      </w:r>
      <w:r>
        <w:rPr>
          <w:rFonts w:hint="eastAsia" w:ascii="仿宋" w:hAnsi="仿宋" w:eastAsia="仿宋" w:cs="仿宋"/>
          <w:b/>
          <w:bCs/>
          <w:color w:val="auto"/>
          <w:sz w:val="28"/>
          <w:szCs w:val="28"/>
          <w:highlight w:val="none"/>
          <w:lang w:val="en-US" w:eastAsia="zh-CN"/>
        </w:rPr>
        <w:t>提供资质证书复印件加盖响应供应商公章</w:t>
      </w:r>
      <w:r>
        <w:rPr>
          <w:rFonts w:hint="eastAsia" w:ascii="仿宋" w:hAnsi="仿宋" w:eastAsia="仿宋" w:cs="仿宋"/>
          <w:b/>
          <w:bCs/>
          <w:color w:val="auto"/>
          <w:sz w:val="28"/>
          <w:szCs w:val="28"/>
          <w:highlight w:val="none"/>
          <w:lang w:eastAsia="zh-CN"/>
        </w:rPr>
        <w:t>。</w:t>
      </w:r>
    </w:p>
    <w:p w14:paraId="5675FB3A">
      <w:pPr>
        <w:keepNext w:val="0"/>
        <w:keepLines w:val="0"/>
        <w:pageBreakBefore w:val="0"/>
        <w:widowControl w:val="0"/>
        <w:spacing w:line="520" w:lineRule="exact"/>
        <w:ind w:firstLine="562"/>
        <w:jc w:val="left"/>
        <w:rPr>
          <w:rFonts w:hint="eastAsia" w:ascii="仿宋" w:hAnsi="仿宋" w:eastAsia="仿宋" w:cs="仿宋"/>
          <w:b/>
          <w:bCs/>
          <w:color w:val="auto"/>
          <w:sz w:val="28"/>
          <w:szCs w:val="28"/>
          <w:highlight w:val="none"/>
          <w:lang w:eastAsia="zh-CN"/>
        </w:rPr>
      </w:pP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2</w:t>
      </w:r>
      <w:r>
        <w:rPr>
          <w:rFonts w:hint="eastAsia" w:ascii="仿宋" w:hAnsi="仿宋" w:eastAsia="仿宋" w:cs="仿宋"/>
          <w:b/>
          <w:sz w:val="28"/>
          <w:szCs w:val="28"/>
          <w:highlight w:val="none"/>
          <w:lang w:eastAsia="zh-CN"/>
        </w:rPr>
        <w:t>）</w:t>
      </w:r>
      <w:r>
        <w:rPr>
          <w:rFonts w:hint="eastAsia" w:ascii="仿宋" w:hAnsi="仿宋" w:eastAsia="仿宋" w:cs="仿宋"/>
          <w:b/>
          <w:bCs/>
          <w:sz w:val="28"/>
          <w:szCs w:val="28"/>
          <w:highlight w:val="none"/>
        </w:rPr>
        <w:t>不合格食品发现率应高于上一年度全省平均水平。</w:t>
      </w:r>
      <w:r>
        <w:rPr>
          <w:rFonts w:hint="eastAsia" w:ascii="仿宋" w:hAnsi="仿宋" w:eastAsia="仿宋" w:cs="仿宋"/>
          <w:b/>
          <w:bCs/>
          <w:color w:val="auto"/>
          <w:sz w:val="28"/>
          <w:szCs w:val="28"/>
          <w:highlight w:val="none"/>
          <w:lang w:eastAsia="zh-CN"/>
        </w:rPr>
        <w:t>响应文件须</w:t>
      </w:r>
      <w:r>
        <w:rPr>
          <w:rFonts w:hint="eastAsia" w:ascii="仿宋" w:hAnsi="仿宋" w:eastAsia="仿宋" w:cs="仿宋"/>
          <w:b/>
          <w:bCs/>
          <w:color w:val="auto"/>
          <w:sz w:val="28"/>
          <w:szCs w:val="28"/>
          <w:highlight w:val="none"/>
          <w:lang w:val="en-US" w:eastAsia="zh-CN"/>
        </w:rPr>
        <w:t>提供承诺书加盖响应供应商公章，承诺书格式自拟</w:t>
      </w:r>
      <w:r>
        <w:rPr>
          <w:rFonts w:hint="eastAsia" w:ascii="仿宋" w:hAnsi="仿宋" w:eastAsia="仿宋" w:cs="仿宋"/>
          <w:b/>
          <w:bCs/>
          <w:color w:val="auto"/>
          <w:sz w:val="28"/>
          <w:szCs w:val="28"/>
          <w:highlight w:val="none"/>
          <w:lang w:eastAsia="zh-CN"/>
        </w:rPr>
        <w:t>。</w:t>
      </w:r>
    </w:p>
    <w:p w14:paraId="4D99083C">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）抽样办法：根据检验项目及国家标准中规定的采样方法及采样数量抽取样品。</w:t>
      </w:r>
    </w:p>
    <w:p w14:paraId="38CF970C">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）样品运输：由供应商负责，并确保样品贮存、运输符合国家相关规定和包装标示的要求，不发生影响检验结论的变化。</w:t>
      </w:r>
    </w:p>
    <w:p w14:paraId="230CFB99">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）样品检验：由供应商负责，并对样品检验结果负责。</w:t>
      </w:r>
    </w:p>
    <w:p w14:paraId="1DAB58DB">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）按照专业操守尽职尽责，根据国内的相关标准进行样品的抽样、检验及判定工作，并且按当次抽检方案约定日期出具检验报告；在采购方与第三方同等的条件下，应优先完成对采购方的抽检和监测任务。</w:t>
      </w:r>
    </w:p>
    <w:p w14:paraId="61331B21">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食品安全抽检工作遵照《食品安全抽样检验管理办法》（国家市场监督管理总局令第15号）、原国家食药监总局制定的《食品安全监督抽检和风险监测工作规范》和江苏省、南通市市场监督管理局相关要求执行。</w:t>
      </w:r>
    </w:p>
    <w:p w14:paraId="430C4424">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）供应商应在规定时间内完成采购人部署的抽检检验工作，依法出具检验报告，上报与检验报告对应的电子数据和PDF文件至指定的数据平台，汇总样品抽检结果信息，提交抽检工作分析总结报告。</w:t>
      </w:r>
    </w:p>
    <w:p w14:paraId="0B4E0D9A">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对抽检程序及检验结果的规范性、真实性负责，由于抽检程序操作违法违规或虚假、错误检验数据和结论而给被检人造成损失的，或者给社会带来不良影响的，取消其承检资格，并承担赔偿责任及相应法律责任。</w:t>
      </w:r>
    </w:p>
    <w:p w14:paraId="08BEBD05">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对涉及抽样的全部情况，包括计划制定、抽检过程及数据结果，进行信息保密，不得向除采购方外的任何单位与个人透露，否则取消其承检资格；如造成经济损失及不良影响的，追究其经济赔偿责任和法律责任。</w:t>
      </w:r>
    </w:p>
    <w:p w14:paraId="7D2116CF">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）供应商对其承担项目抽取的样品负责，检验结果反映送检样品的真实状况。</w:t>
      </w:r>
    </w:p>
    <w:p w14:paraId="67D0CA3B">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12</w:t>
      </w:r>
      <w:r>
        <w:rPr>
          <w:rFonts w:hint="eastAsia" w:ascii="仿宋" w:hAnsi="仿宋" w:eastAsia="仿宋"/>
          <w:sz w:val="28"/>
          <w:szCs w:val="28"/>
          <w:highlight w:val="none"/>
        </w:rPr>
        <w:t>）应针对每次任务提供承接项目的质量保障计划、措施和结果，保证原始记录规范完整，并接受采购人组织的专家检验及评估。</w:t>
      </w:r>
    </w:p>
    <w:p w14:paraId="356DE503">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）在本项目服务期内，采购人可根据市场实际需求，涉及标准更新、增加商品新品种、调整部分商品检测项目或机动抽检、临时专项抽检。</w:t>
      </w:r>
    </w:p>
    <w:p w14:paraId="3B3E2A02">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）供应商在开展抽检监测过程中弄虚作假或不配合采购人开展工作的，取消其承检资格。</w:t>
      </w:r>
    </w:p>
    <w:p w14:paraId="6D9C3986">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）必须自觉接受采购人的考核、检查、比对。</w:t>
      </w:r>
    </w:p>
    <w:p w14:paraId="108ABF95">
      <w:pPr>
        <w:keepNext w:val="0"/>
        <w:keepLines w:val="0"/>
        <w:pageBreakBefore w:val="0"/>
        <w:widowControl w:val="0"/>
        <w:tabs>
          <w:tab w:val="left" w:pos="4999"/>
        </w:tabs>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）除采购方同意外，不得将检验任务外包或分包给其他检验机构检验，一经发现，立即取消承检资格。</w:t>
      </w:r>
    </w:p>
    <w:p w14:paraId="06CFAB29">
      <w:pPr>
        <w:pageBreakBefore w:val="0"/>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4.后续技术服务要求</w:t>
      </w:r>
    </w:p>
    <w:p w14:paraId="2AACF411">
      <w:pPr>
        <w:pageBreakBefore w:val="0"/>
        <w:spacing w:line="520" w:lineRule="exact"/>
        <w:ind w:firstLine="560"/>
        <w:rPr>
          <w:rFonts w:hint="eastAsia" w:ascii="仿宋" w:hAnsi="仿宋" w:eastAsia="仿宋" w:cs="仿宋"/>
          <w:b/>
          <w:sz w:val="28"/>
          <w:szCs w:val="28"/>
          <w:highlight w:val="none"/>
          <w:lang w:val="en-US" w:eastAsia="zh-CN"/>
        </w:rPr>
      </w:pPr>
      <w:r>
        <w:rPr>
          <w:rFonts w:hint="eastAsia" w:ascii="仿宋" w:hAnsi="仿宋" w:eastAsia="仿宋" w:cs="仿宋"/>
          <w:color w:val="auto"/>
          <w:sz w:val="28"/>
          <w:szCs w:val="28"/>
          <w:highlight w:val="none"/>
          <w:lang w:val="en-US" w:eastAsia="zh-CN"/>
        </w:rPr>
        <w:t>如成交供应商提供的服务成果在使用过程中发生质量问题，供应商接到采购人服务缺陷通知后应在3小时内到达采购方指定现场，按国家及行业标准对服务缺陷进行及时处理。</w:t>
      </w:r>
    </w:p>
    <w:p w14:paraId="4103F32A">
      <w:pPr>
        <w:spacing w:line="500" w:lineRule="exact"/>
        <w:ind w:firstLine="560"/>
        <w:outlineLvl w:val="1"/>
        <w:rPr>
          <w:rFonts w:ascii="黑体" w:hAnsi="黑体" w:eastAsia="黑体"/>
          <w:color w:val="auto"/>
          <w:sz w:val="28"/>
          <w:szCs w:val="28"/>
          <w:highlight w:val="none"/>
        </w:rPr>
      </w:pPr>
      <w:bookmarkStart w:id="58" w:name="_Toc14720"/>
      <w:r>
        <w:rPr>
          <w:rFonts w:hint="eastAsia" w:ascii="黑体" w:hAnsi="黑体" w:eastAsia="黑体"/>
          <w:color w:val="auto"/>
          <w:sz w:val="28"/>
          <w:szCs w:val="28"/>
          <w:highlight w:val="none"/>
        </w:rPr>
        <w:t>（四）</w:t>
      </w:r>
      <w:r>
        <w:rPr>
          <w:rFonts w:hint="eastAsia" w:ascii="黑体" w:hAnsi="黑体" w:eastAsia="黑体"/>
          <w:color w:val="auto"/>
          <w:sz w:val="28"/>
          <w:szCs w:val="28"/>
          <w:highlight w:val="none"/>
          <w:lang w:val="en-US" w:eastAsia="zh-CN"/>
        </w:rPr>
        <w:t>服务</w:t>
      </w:r>
      <w:r>
        <w:rPr>
          <w:rFonts w:hint="eastAsia" w:ascii="黑体" w:hAnsi="黑体" w:eastAsia="黑体"/>
          <w:color w:val="auto"/>
          <w:sz w:val="28"/>
          <w:szCs w:val="28"/>
          <w:highlight w:val="none"/>
        </w:rPr>
        <w:t>标准</w:t>
      </w:r>
      <w:bookmarkEnd w:id="57"/>
      <w:bookmarkEnd w:id="58"/>
    </w:p>
    <w:p w14:paraId="6D485FE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Cs/>
          <w:sz w:val="28"/>
          <w:szCs w:val="28"/>
          <w:highlight w:val="none"/>
        </w:rPr>
      </w:pPr>
      <w:bookmarkStart w:id="59" w:name="_Toc25249"/>
      <w:r>
        <w:rPr>
          <w:rFonts w:hint="eastAsia" w:ascii="仿宋" w:hAnsi="仿宋" w:eastAsia="仿宋" w:cs="仿宋"/>
          <w:bCs/>
          <w:sz w:val="28"/>
          <w:szCs w:val="28"/>
          <w:highlight w:val="none"/>
        </w:rPr>
        <w:t>（一）合格。符合中华人民共和国颁发的有关</w:t>
      </w:r>
      <w:r>
        <w:rPr>
          <w:rFonts w:hint="eastAsia" w:ascii="仿宋" w:hAnsi="仿宋" w:eastAsia="仿宋" w:cs="仿宋"/>
          <w:bCs/>
          <w:sz w:val="28"/>
          <w:szCs w:val="28"/>
          <w:highlight w:val="none"/>
          <w:lang w:val="en-US" w:eastAsia="zh-CN"/>
        </w:rPr>
        <w:t>行业</w:t>
      </w:r>
      <w:r>
        <w:rPr>
          <w:rFonts w:hint="eastAsia" w:ascii="仿宋" w:hAnsi="仿宋" w:eastAsia="仿宋" w:cs="仿宋"/>
          <w:bCs/>
          <w:sz w:val="28"/>
          <w:szCs w:val="28"/>
          <w:highlight w:val="none"/>
        </w:rPr>
        <w:t>标准、规范、强制性条款及省、市有关规定。</w:t>
      </w:r>
    </w:p>
    <w:p w14:paraId="53CBC6CA">
      <w:pPr>
        <w:pStyle w:val="48"/>
        <w:keepNext w:val="0"/>
        <w:keepLines w:val="0"/>
        <w:pageBreakBefore w:val="0"/>
        <w:widowControl w:val="0"/>
        <w:kinsoku/>
        <w:wordWrap/>
        <w:overflowPunct/>
        <w:topLinePunct w:val="0"/>
        <w:autoSpaceDE/>
        <w:autoSpaceDN/>
        <w:bidi w:val="0"/>
        <w:adjustRightInd/>
        <w:snapToGrid/>
        <w:spacing w:before="0" w:after="0"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（二）供应商须对采购单位提供的数据、材料、成果等具有保密义务，如发现有泄密行为，采购单位有权解除合同并追究其相关责任。</w:t>
      </w:r>
    </w:p>
    <w:p w14:paraId="4C4080B9">
      <w:pPr>
        <w:pStyle w:val="48"/>
        <w:keepNext w:val="0"/>
        <w:keepLines w:val="0"/>
        <w:pageBreakBefore w:val="0"/>
        <w:widowControl w:val="0"/>
        <w:kinsoku/>
        <w:wordWrap/>
        <w:overflowPunct/>
        <w:topLinePunct w:val="0"/>
        <w:autoSpaceDE/>
        <w:autoSpaceDN/>
        <w:bidi w:val="0"/>
        <w:adjustRightInd/>
        <w:snapToGrid/>
        <w:spacing w:before="0" w:after="0"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（三）如发现成交供应商出现弄虚作假行为的，采购单位有权解除合同并追究其相关责任。</w:t>
      </w:r>
    </w:p>
    <w:p w14:paraId="10238B0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四</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成交人应采取必要的安全措施保证</w:t>
      </w:r>
      <w:r>
        <w:rPr>
          <w:rFonts w:hint="eastAsia" w:ascii="仿宋" w:hAnsi="仿宋" w:eastAsia="仿宋" w:cs="仿宋"/>
          <w:bCs/>
          <w:color w:val="auto"/>
          <w:sz w:val="28"/>
          <w:szCs w:val="28"/>
          <w:highlight w:val="none"/>
          <w:lang w:val="en-US" w:eastAsia="zh-CN"/>
        </w:rPr>
        <w:t>抽检活动</w:t>
      </w:r>
      <w:r>
        <w:rPr>
          <w:rFonts w:hint="eastAsia" w:ascii="仿宋" w:hAnsi="仿宋" w:eastAsia="仿宋" w:cs="仿宋"/>
          <w:bCs/>
          <w:color w:val="auto"/>
          <w:sz w:val="28"/>
          <w:szCs w:val="28"/>
          <w:highlight w:val="none"/>
        </w:rPr>
        <w:t>的安全，并承担货</w:t>
      </w:r>
      <w:r>
        <w:rPr>
          <w:rFonts w:hint="eastAsia" w:ascii="仿宋" w:hAnsi="仿宋" w:eastAsia="仿宋" w:cs="仿宋"/>
          <w:bCs/>
          <w:color w:val="auto"/>
          <w:sz w:val="28"/>
          <w:szCs w:val="28"/>
          <w:highlight w:val="none"/>
          <w:lang w:val="en-US" w:eastAsia="zh-CN"/>
        </w:rPr>
        <w:t>物检测</w:t>
      </w:r>
      <w:r>
        <w:rPr>
          <w:rFonts w:hint="eastAsia" w:ascii="仿宋" w:hAnsi="仿宋" w:eastAsia="仿宋" w:cs="仿宋"/>
          <w:bCs/>
          <w:color w:val="auto"/>
          <w:sz w:val="28"/>
          <w:szCs w:val="28"/>
          <w:highlight w:val="none"/>
        </w:rPr>
        <w:t>过程中产生的</w:t>
      </w:r>
      <w:r>
        <w:rPr>
          <w:rFonts w:hint="eastAsia" w:ascii="仿宋" w:hAnsi="仿宋" w:eastAsia="仿宋" w:cs="仿宋"/>
          <w:bCs/>
          <w:color w:val="auto"/>
          <w:sz w:val="28"/>
          <w:szCs w:val="28"/>
          <w:highlight w:val="none"/>
          <w:lang w:val="en-US" w:eastAsia="zh-CN"/>
        </w:rPr>
        <w:t>安全</w:t>
      </w:r>
      <w:r>
        <w:rPr>
          <w:rFonts w:hint="eastAsia" w:ascii="仿宋" w:hAnsi="仿宋" w:eastAsia="仿宋" w:cs="仿宋"/>
          <w:bCs/>
          <w:color w:val="auto"/>
          <w:sz w:val="28"/>
          <w:szCs w:val="28"/>
          <w:highlight w:val="none"/>
        </w:rPr>
        <w:t>风险。</w:t>
      </w:r>
    </w:p>
    <w:p w14:paraId="52DAB01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五</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成交人</w:t>
      </w:r>
      <w:r>
        <w:rPr>
          <w:rFonts w:hint="eastAsia" w:ascii="仿宋" w:hAnsi="仿宋" w:eastAsia="仿宋" w:cs="仿宋"/>
          <w:bCs/>
          <w:color w:val="auto"/>
          <w:sz w:val="28"/>
          <w:szCs w:val="28"/>
          <w:highlight w:val="none"/>
          <w:lang w:val="en-US" w:eastAsia="zh-CN"/>
        </w:rPr>
        <w:t>对</w:t>
      </w:r>
      <w:r>
        <w:rPr>
          <w:rFonts w:hint="eastAsia" w:ascii="仿宋" w:hAnsi="仿宋" w:eastAsia="仿宋" w:cs="仿宋"/>
          <w:bCs/>
          <w:color w:val="auto"/>
          <w:sz w:val="28"/>
          <w:szCs w:val="28"/>
          <w:highlight w:val="none"/>
        </w:rPr>
        <w:t>所</w:t>
      </w:r>
      <w:r>
        <w:rPr>
          <w:rFonts w:hint="eastAsia" w:ascii="仿宋" w:hAnsi="仿宋" w:eastAsia="仿宋" w:cs="仿宋"/>
          <w:bCs/>
          <w:color w:val="auto"/>
          <w:sz w:val="28"/>
          <w:szCs w:val="28"/>
          <w:highlight w:val="none"/>
          <w:lang w:val="en-US" w:eastAsia="zh-CN"/>
        </w:rPr>
        <w:t>提交检测报告由于技术</w:t>
      </w:r>
      <w:r>
        <w:rPr>
          <w:rFonts w:hint="eastAsia" w:ascii="仿宋" w:hAnsi="仿宋" w:eastAsia="仿宋" w:cs="仿宋"/>
          <w:bCs/>
          <w:color w:val="auto"/>
          <w:sz w:val="28"/>
          <w:szCs w:val="28"/>
          <w:highlight w:val="none"/>
        </w:rPr>
        <w:t>缺陷而发生的任何不足或故障负责，并承担由此引起的一切后果。</w:t>
      </w:r>
    </w:p>
    <w:p w14:paraId="6D08994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六</w:t>
      </w:r>
      <w:r>
        <w:rPr>
          <w:rFonts w:hint="eastAsia" w:ascii="仿宋" w:hAnsi="仿宋" w:eastAsia="仿宋" w:cs="仿宋"/>
          <w:bCs/>
          <w:sz w:val="28"/>
          <w:szCs w:val="28"/>
          <w:highlight w:val="none"/>
        </w:rPr>
        <w:t>）所有成交标准按国家标准执行，无国家标准的，按行业标准执行，无国家和行业标准的，按企业标准执行；但在采购文件中有特别要求的，按采购文件中规定的要求执行，并且符合相关法律、法规规定的要求。</w:t>
      </w:r>
    </w:p>
    <w:p w14:paraId="7F3B15B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outlineLvl w:val="1"/>
        <w:rPr>
          <w:rFonts w:hint="eastAsia" w:ascii="仿宋" w:hAnsi="仿宋" w:eastAsia="仿宋" w:cs="仿宋"/>
          <w:bCs/>
          <w:sz w:val="28"/>
          <w:szCs w:val="28"/>
          <w:highlight w:val="none"/>
        </w:rPr>
      </w:pPr>
      <w:bookmarkStart w:id="60" w:name="_Toc19777"/>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七</w:t>
      </w:r>
      <w:r>
        <w:rPr>
          <w:rFonts w:hint="eastAsia" w:ascii="仿宋" w:hAnsi="仿宋" w:eastAsia="仿宋" w:cs="仿宋"/>
          <w:bCs/>
          <w:sz w:val="28"/>
          <w:szCs w:val="28"/>
          <w:highlight w:val="none"/>
        </w:rPr>
        <w:t>）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bookmarkEnd w:id="60"/>
    </w:p>
    <w:p w14:paraId="6898233F">
      <w:pPr>
        <w:spacing w:line="500" w:lineRule="exact"/>
        <w:ind w:left="420"/>
        <w:outlineLvl w:val="1"/>
        <w:rPr>
          <w:rFonts w:ascii="黑体" w:hAnsi="黑体" w:eastAsia="黑体"/>
          <w:color w:val="auto"/>
          <w:sz w:val="28"/>
          <w:szCs w:val="28"/>
          <w:highlight w:val="none"/>
        </w:rPr>
      </w:pPr>
      <w:bookmarkStart w:id="61" w:name="_Toc16195"/>
      <w:r>
        <w:rPr>
          <w:rFonts w:hint="eastAsia" w:ascii="黑体" w:hAnsi="黑体" w:eastAsia="黑体"/>
          <w:color w:val="auto"/>
          <w:sz w:val="28"/>
          <w:szCs w:val="28"/>
          <w:highlight w:val="none"/>
        </w:rPr>
        <w:t>（五）最高限价</w:t>
      </w:r>
      <w:bookmarkEnd w:id="59"/>
      <w:bookmarkEnd w:id="61"/>
    </w:p>
    <w:p w14:paraId="4D045751">
      <w:pPr>
        <w:pStyle w:val="37"/>
        <w:widowControl/>
        <w:spacing w:beforeAutospacing="0" w:afterAutospacing="0" w:line="500" w:lineRule="exact"/>
        <w:ind w:firstLine="560"/>
        <w:jc w:val="both"/>
        <w:outlineLvl w:val="0"/>
        <w:rPr>
          <w:rFonts w:hint="eastAsia" w:ascii="仿宋" w:hAnsi="仿宋" w:eastAsia="仿宋" w:cs="Times New Roman"/>
          <w:color w:val="auto"/>
          <w:sz w:val="28"/>
          <w:szCs w:val="28"/>
          <w:highlight w:val="none"/>
        </w:rPr>
      </w:pPr>
      <w:bookmarkStart w:id="62" w:name="_Toc30370"/>
      <w:r>
        <w:rPr>
          <w:rFonts w:hint="eastAsia" w:ascii="仿宋" w:hAnsi="仿宋" w:eastAsia="仿宋" w:cs="Times New Roman"/>
          <w:color w:val="auto"/>
          <w:sz w:val="28"/>
          <w:szCs w:val="28"/>
          <w:highlight w:val="none"/>
        </w:rPr>
        <w:t>本项目以单价报价，食品抽检最高单价限价为人民币450元/批次，报价超过最高单价限价的为无效响应。</w:t>
      </w:r>
      <w:bookmarkEnd w:id="62"/>
    </w:p>
    <w:p w14:paraId="02FEB4BF">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63" w:name="_Toc10436"/>
      <w:r>
        <w:rPr>
          <w:rFonts w:hint="eastAsia" w:ascii="黑体" w:hAnsi="黑体" w:eastAsia="黑体" w:cs="黑体"/>
          <w:color w:val="auto"/>
          <w:sz w:val="30"/>
          <w:szCs w:val="30"/>
          <w:highlight w:val="none"/>
          <w:shd w:val="clear" w:color="auto" w:fill="FFFFFF"/>
        </w:rPr>
        <w:t>五、政府采购政策要求以及政策执行措施</w:t>
      </w:r>
      <w:bookmarkEnd w:id="63"/>
    </w:p>
    <w:p w14:paraId="180E1DD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 对于非专门面向中小企业采购的项目，小微型企业享受价格扣除优惠。</w:t>
      </w:r>
    </w:p>
    <w:p w14:paraId="549F7E9C">
      <w:pPr>
        <w:spacing w:line="50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A69A909">
      <w:pPr>
        <w:spacing w:line="50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p>
    <w:p w14:paraId="1DEA5B9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价格扣除比例或者价格分加分比例对小型企业和微型企业同等对待，不作区分。</w:t>
      </w:r>
    </w:p>
    <w:p w14:paraId="01E744F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在政府采购活动中，供应商提供的货物、工程或者服务符合下列情形的，享受价格扣除政策：</w:t>
      </w:r>
    </w:p>
    <w:p w14:paraId="24112B9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hint="eastAsia" w:ascii="仿宋" w:hAnsi="仿宋" w:eastAsia="仿宋"/>
          <w:sz w:val="28"/>
          <w:szCs w:val="28"/>
          <w:highlight w:val="none"/>
        </w:rPr>
        <w:t>在货物采购项目中，货物由小微企业制造，即货物由小微企业生产且使用该小微企业商号或者注册商标；</w:t>
      </w:r>
    </w:p>
    <w:p w14:paraId="46ABF67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在工程采购项目中，工程由小微企业承建，即工程施工单位为小微企业；</w:t>
      </w:r>
    </w:p>
    <w:p w14:paraId="5B4EC95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③</w:t>
      </w:r>
      <w:r>
        <w:rPr>
          <w:rFonts w:hint="eastAsia" w:ascii="仿宋" w:hAnsi="仿宋" w:eastAsia="仿宋"/>
          <w:sz w:val="28"/>
          <w:szCs w:val="28"/>
          <w:highlight w:val="none"/>
        </w:rPr>
        <w:t>在服务采购项目中，服务由小微企业承接，即提供服务的人员为小微企业依照《中华人民共和国劳动合同法》订立劳动合同的从业人员。</w:t>
      </w:r>
    </w:p>
    <w:p w14:paraId="76863860">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④</w:t>
      </w:r>
      <w:r>
        <w:rPr>
          <w:rFonts w:hint="eastAsia" w:ascii="仿宋" w:hAnsi="仿宋" w:eastAsia="仿宋"/>
          <w:sz w:val="28"/>
          <w:szCs w:val="28"/>
          <w:highlight w:val="none"/>
        </w:rPr>
        <w:t>以联合体形式参加政府采购活动，联合体各方均为小微企业的，联合体视同小微企业。</w:t>
      </w:r>
    </w:p>
    <w:p w14:paraId="61B909C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016C696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下列情形不享受价格扣除政策：</w:t>
      </w:r>
    </w:p>
    <w:p w14:paraId="5D85FBA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hint="eastAsia" w:ascii="仿宋" w:hAnsi="仿宋" w:eastAsia="仿宋"/>
          <w:sz w:val="28"/>
          <w:szCs w:val="28"/>
          <w:highlight w:val="none"/>
        </w:rPr>
        <w:t>在货物采购项目中，供应商提供的货物既有中小企业制造货物，也有大型企业制造货物的。</w:t>
      </w:r>
    </w:p>
    <w:p w14:paraId="2195C5A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 xml:space="preserve"> 响应供应商与大企业的负责人为同一人，或者与大企业存在直接控股、管理关系。</w:t>
      </w:r>
    </w:p>
    <w:p w14:paraId="07C60FF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《中小企业划型标准规定》（工信部联企业〔2011〕300号）</w:t>
      </w:r>
    </w:p>
    <w:tbl>
      <w:tblPr>
        <w:tblStyle w:val="41"/>
        <w:tblW w:w="50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2"/>
        <w:gridCol w:w="1758"/>
        <w:gridCol w:w="683"/>
        <w:gridCol w:w="1830"/>
        <w:gridCol w:w="1572"/>
        <w:gridCol w:w="1036"/>
      </w:tblGrid>
      <w:tr w14:paraId="7C3C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763" w:type="dxa"/>
            <w:noWrap w:val="0"/>
            <w:vAlign w:val="center"/>
          </w:tcPr>
          <w:p w14:paraId="05811424">
            <w:pPr>
              <w:spacing w:line="500" w:lineRule="exact"/>
              <w:jc w:val="center"/>
              <w:rPr>
                <w:rFonts w:ascii="仿宋" w:hAnsi="仿宋" w:eastAsia="仿宋"/>
                <w:b/>
                <w:highlight w:val="none"/>
              </w:rPr>
            </w:pPr>
            <w:r>
              <w:rPr>
                <w:rFonts w:ascii="仿宋" w:hAnsi="仿宋" w:eastAsia="仿宋"/>
                <w:b/>
                <w:highlight w:val="none"/>
              </w:rPr>
              <w:t>行业名称</w:t>
            </w:r>
          </w:p>
        </w:tc>
        <w:tc>
          <w:tcPr>
            <w:tcW w:w="1758" w:type="dxa"/>
            <w:noWrap w:val="0"/>
            <w:vAlign w:val="center"/>
          </w:tcPr>
          <w:p w14:paraId="56372B9A">
            <w:pPr>
              <w:spacing w:line="500" w:lineRule="exact"/>
              <w:jc w:val="center"/>
              <w:rPr>
                <w:rFonts w:ascii="仿宋" w:hAnsi="仿宋" w:eastAsia="仿宋"/>
                <w:b/>
                <w:highlight w:val="none"/>
              </w:rPr>
            </w:pPr>
            <w:r>
              <w:rPr>
                <w:rFonts w:ascii="仿宋" w:hAnsi="仿宋" w:eastAsia="仿宋"/>
                <w:b/>
                <w:highlight w:val="none"/>
              </w:rPr>
              <w:t>指标名称</w:t>
            </w:r>
          </w:p>
        </w:tc>
        <w:tc>
          <w:tcPr>
            <w:tcW w:w="683" w:type="dxa"/>
            <w:noWrap w:val="0"/>
            <w:vAlign w:val="center"/>
          </w:tcPr>
          <w:p w14:paraId="113CF77E">
            <w:pPr>
              <w:spacing w:line="500" w:lineRule="exact"/>
              <w:jc w:val="center"/>
              <w:rPr>
                <w:rFonts w:ascii="仿宋" w:hAnsi="仿宋" w:eastAsia="仿宋"/>
                <w:b/>
                <w:highlight w:val="none"/>
              </w:rPr>
            </w:pPr>
            <w:r>
              <w:rPr>
                <w:rFonts w:ascii="仿宋" w:hAnsi="仿宋" w:eastAsia="仿宋"/>
                <w:b/>
                <w:highlight w:val="none"/>
              </w:rPr>
              <w:t>计量</w:t>
            </w:r>
          </w:p>
          <w:p w14:paraId="7165E817">
            <w:pPr>
              <w:spacing w:line="500" w:lineRule="exact"/>
              <w:jc w:val="center"/>
              <w:rPr>
                <w:rFonts w:ascii="仿宋" w:hAnsi="仿宋" w:eastAsia="仿宋"/>
                <w:b/>
                <w:highlight w:val="none"/>
              </w:rPr>
            </w:pPr>
            <w:r>
              <w:rPr>
                <w:rFonts w:ascii="仿宋" w:hAnsi="仿宋" w:eastAsia="仿宋"/>
                <w:b/>
                <w:highlight w:val="none"/>
              </w:rPr>
              <w:t>单位</w:t>
            </w:r>
          </w:p>
        </w:tc>
        <w:tc>
          <w:tcPr>
            <w:tcW w:w="1830" w:type="dxa"/>
            <w:noWrap w:val="0"/>
            <w:vAlign w:val="center"/>
          </w:tcPr>
          <w:p w14:paraId="0C601D97">
            <w:pPr>
              <w:spacing w:line="500" w:lineRule="exact"/>
              <w:jc w:val="center"/>
              <w:rPr>
                <w:rFonts w:ascii="仿宋" w:hAnsi="仿宋" w:eastAsia="仿宋"/>
                <w:b/>
                <w:highlight w:val="none"/>
              </w:rPr>
            </w:pPr>
            <w:r>
              <w:rPr>
                <w:rFonts w:ascii="仿宋" w:hAnsi="仿宋" w:eastAsia="仿宋"/>
                <w:b/>
                <w:highlight w:val="none"/>
              </w:rPr>
              <w:t>中型</w:t>
            </w:r>
          </w:p>
        </w:tc>
        <w:tc>
          <w:tcPr>
            <w:tcW w:w="1572" w:type="dxa"/>
            <w:noWrap w:val="0"/>
            <w:vAlign w:val="center"/>
          </w:tcPr>
          <w:p w14:paraId="5B5451F5">
            <w:pPr>
              <w:spacing w:line="500" w:lineRule="exact"/>
              <w:jc w:val="center"/>
              <w:rPr>
                <w:rFonts w:ascii="仿宋" w:hAnsi="仿宋" w:eastAsia="仿宋"/>
                <w:b/>
                <w:highlight w:val="none"/>
              </w:rPr>
            </w:pPr>
            <w:r>
              <w:rPr>
                <w:rFonts w:ascii="仿宋" w:hAnsi="仿宋" w:eastAsia="仿宋"/>
                <w:b/>
                <w:highlight w:val="none"/>
              </w:rPr>
              <w:t>小型</w:t>
            </w:r>
          </w:p>
        </w:tc>
        <w:tc>
          <w:tcPr>
            <w:tcW w:w="1036" w:type="dxa"/>
            <w:noWrap w:val="0"/>
            <w:vAlign w:val="center"/>
          </w:tcPr>
          <w:p w14:paraId="4B63A069">
            <w:pPr>
              <w:spacing w:line="500" w:lineRule="exact"/>
              <w:jc w:val="center"/>
              <w:rPr>
                <w:rFonts w:ascii="仿宋" w:hAnsi="仿宋" w:eastAsia="仿宋"/>
                <w:b/>
                <w:highlight w:val="none"/>
              </w:rPr>
            </w:pPr>
            <w:r>
              <w:rPr>
                <w:rFonts w:ascii="仿宋" w:hAnsi="仿宋" w:eastAsia="仿宋"/>
                <w:b/>
                <w:highlight w:val="none"/>
              </w:rPr>
              <w:t>微型</w:t>
            </w:r>
          </w:p>
        </w:tc>
      </w:tr>
      <w:tr w14:paraId="3CAC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noWrap w:val="0"/>
            <w:vAlign w:val="center"/>
          </w:tcPr>
          <w:p w14:paraId="0BE1E514">
            <w:pPr>
              <w:spacing w:line="500" w:lineRule="exact"/>
              <w:jc w:val="center"/>
              <w:rPr>
                <w:rFonts w:ascii="仿宋" w:hAnsi="仿宋" w:eastAsia="仿宋"/>
                <w:highlight w:val="none"/>
              </w:rPr>
            </w:pPr>
            <w:r>
              <w:rPr>
                <w:rFonts w:ascii="仿宋" w:hAnsi="仿宋" w:eastAsia="仿宋"/>
                <w:highlight w:val="none"/>
              </w:rPr>
              <w:t>农、林、牧、渔</w:t>
            </w:r>
          </w:p>
        </w:tc>
        <w:tc>
          <w:tcPr>
            <w:tcW w:w="1758" w:type="dxa"/>
            <w:noWrap w:val="0"/>
            <w:vAlign w:val="center"/>
          </w:tcPr>
          <w:p w14:paraId="59D1193A">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48265C83">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860261A">
            <w:pPr>
              <w:spacing w:line="500" w:lineRule="exact"/>
              <w:jc w:val="center"/>
              <w:rPr>
                <w:rFonts w:eastAsia="仿宋"/>
                <w:highlight w:val="none"/>
              </w:rPr>
            </w:pPr>
            <w:r>
              <w:rPr>
                <w:rFonts w:eastAsia="仿宋"/>
                <w:highlight w:val="none"/>
              </w:rPr>
              <w:t>500≤Y&lt;20000</w:t>
            </w:r>
          </w:p>
        </w:tc>
        <w:tc>
          <w:tcPr>
            <w:tcW w:w="1572" w:type="dxa"/>
            <w:noWrap w:val="0"/>
            <w:vAlign w:val="center"/>
          </w:tcPr>
          <w:p w14:paraId="24AB88AB">
            <w:pPr>
              <w:spacing w:line="500" w:lineRule="exact"/>
              <w:jc w:val="center"/>
              <w:rPr>
                <w:rFonts w:eastAsia="仿宋"/>
                <w:highlight w:val="none"/>
              </w:rPr>
            </w:pPr>
            <w:r>
              <w:rPr>
                <w:rFonts w:eastAsia="仿宋"/>
                <w:highlight w:val="none"/>
              </w:rPr>
              <w:t>50≤Y&lt;500</w:t>
            </w:r>
          </w:p>
        </w:tc>
        <w:tc>
          <w:tcPr>
            <w:tcW w:w="1036" w:type="dxa"/>
            <w:noWrap w:val="0"/>
            <w:vAlign w:val="center"/>
          </w:tcPr>
          <w:p w14:paraId="7F570883">
            <w:pPr>
              <w:spacing w:line="500" w:lineRule="exact"/>
              <w:jc w:val="center"/>
              <w:rPr>
                <w:rFonts w:eastAsia="仿宋"/>
                <w:highlight w:val="none"/>
              </w:rPr>
            </w:pPr>
            <w:r>
              <w:rPr>
                <w:rFonts w:eastAsia="仿宋"/>
                <w:highlight w:val="none"/>
              </w:rPr>
              <w:t>Y&lt;50</w:t>
            </w:r>
          </w:p>
        </w:tc>
      </w:tr>
      <w:tr w14:paraId="6C33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7D4CD8DB">
            <w:pPr>
              <w:spacing w:line="500" w:lineRule="exact"/>
              <w:jc w:val="center"/>
              <w:rPr>
                <w:rFonts w:ascii="仿宋" w:hAnsi="仿宋" w:eastAsia="仿宋"/>
                <w:highlight w:val="none"/>
              </w:rPr>
            </w:pPr>
            <w:r>
              <w:rPr>
                <w:rFonts w:ascii="仿宋" w:hAnsi="仿宋" w:eastAsia="仿宋"/>
                <w:highlight w:val="none"/>
              </w:rPr>
              <w:t>工业</w:t>
            </w:r>
          </w:p>
        </w:tc>
        <w:tc>
          <w:tcPr>
            <w:tcW w:w="1758" w:type="dxa"/>
            <w:noWrap w:val="0"/>
            <w:vAlign w:val="center"/>
          </w:tcPr>
          <w:p w14:paraId="1BC35050">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088EB10E">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B7F502C">
            <w:pPr>
              <w:spacing w:line="500" w:lineRule="exact"/>
              <w:jc w:val="center"/>
              <w:rPr>
                <w:rFonts w:eastAsia="仿宋"/>
                <w:highlight w:val="none"/>
              </w:rPr>
            </w:pPr>
            <w:r>
              <w:rPr>
                <w:rFonts w:eastAsia="仿宋"/>
                <w:highlight w:val="none"/>
              </w:rPr>
              <w:t>300≤X&lt;1000</w:t>
            </w:r>
          </w:p>
        </w:tc>
        <w:tc>
          <w:tcPr>
            <w:tcW w:w="1572" w:type="dxa"/>
            <w:noWrap w:val="0"/>
            <w:vAlign w:val="center"/>
          </w:tcPr>
          <w:p w14:paraId="77163C4B">
            <w:pPr>
              <w:spacing w:line="500" w:lineRule="exact"/>
              <w:jc w:val="center"/>
              <w:rPr>
                <w:rFonts w:eastAsia="仿宋"/>
                <w:highlight w:val="none"/>
              </w:rPr>
            </w:pPr>
            <w:r>
              <w:rPr>
                <w:rFonts w:eastAsia="仿宋"/>
                <w:highlight w:val="none"/>
              </w:rPr>
              <w:t>20≤X&lt;300</w:t>
            </w:r>
          </w:p>
        </w:tc>
        <w:tc>
          <w:tcPr>
            <w:tcW w:w="1036" w:type="dxa"/>
            <w:noWrap w:val="0"/>
            <w:vAlign w:val="center"/>
          </w:tcPr>
          <w:p w14:paraId="57D926DE">
            <w:pPr>
              <w:spacing w:line="500" w:lineRule="exact"/>
              <w:jc w:val="center"/>
              <w:rPr>
                <w:rFonts w:eastAsia="仿宋"/>
                <w:highlight w:val="none"/>
              </w:rPr>
            </w:pPr>
            <w:r>
              <w:rPr>
                <w:rFonts w:eastAsia="仿宋"/>
                <w:highlight w:val="none"/>
              </w:rPr>
              <w:t>X&lt;20</w:t>
            </w:r>
          </w:p>
        </w:tc>
      </w:tr>
      <w:tr w14:paraId="362B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7163570E">
            <w:pPr>
              <w:spacing w:line="500" w:lineRule="exact"/>
              <w:jc w:val="center"/>
              <w:rPr>
                <w:rFonts w:ascii="仿宋" w:hAnsi="仿宋" w:eastAsia="仿宋"/>
                <w:highlight w:val="none"/>
              </w:rPr>
            </w:pPr>
          </w:p>
        </w:tc>
        <w:tc>
          <w:tcPr>
            <w:tcW w:w="1758" w:type="dxa"/>
            <w:noWrap w:val="0"/>
            <w:vAlign w:val="center"/>
          </w:tcPr>
          <w:p w14:paraId="47E9BB2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6121D98">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7D4C2214">
            <w:pPr>
              <w:spacing w:line="500" w:lineRule="exact"/>
              <w:jc w:val="center"/>
              <w:rPr>
                <w:rFonts w:eastAsia="仿宋"/>
                <w:highlight w:val="none"/>
              </w:rPr>
            </w:pPr>
            <w:r>
              <w:rPr>
                <w:rFonts w:eastAsia="仿宋"/>
                <w:highlight w:val="none"/>
              </w:rPr>
              <w:t>2000≤Y&lt;40000</w:t>
            </w:r>
          </w:p>
        </w:tc>
        <w:tc>
          <w:tcPr>
            <w:tcW w:w="1572" w:type="dxa"/>
            <w:noWrap w:val="0"/>
            <w:vAlign w:val="center"/>
          </w:tcPr>
          <w:p w14:paraId="6AD2D073">
            <w:pPr>
              <w:spacing w:line="500" w:lineRule="exact"/>
              <w:jc w:val="center"/>
              <w:rPr>
                <w:rFonts w:eastAsia="仿宋"/>
                <w:highlight w:val="none"/>
              </w:rPr>
            </w:pPr>
            <w:r>
              <w:rPr>
                <w:rFonts w:eastAsia="仿宋"/>
                <w:highlight w:val="none"/>
              </w:rPr>
              <w:t>300≤Y&lt;2000</w:t>
            </w:r>
          </w:p>
        </w:tc>
        <w:tc>
          <w:tcPr>
            <w:tcW w:w="1036" w:type="dxa"/>
            <w:noWrap w:val="0"/>
            <w:vAlign w:val="center"/>
          </w:tcPr>
          <w:p w14:paraId="52AA47DA">
            <w:pPr>
              <w:spacing w:line="500" w:lineRule="exact"/>
              <w:jc w:val="center"/>
              <w:rPr>
                <w:rFonts w:eastAsia="仿宋"/>
                <w:highlight w:val="none"/>
              </w:rPr>
            </w:pPr>
            <w:r>
              <w:rPr>
                <w:rFonts w:eastAsia="仿宋"/>
                <w:highlight w:val="none"/>
              </w:rPr>
              <w:t>Y&lt;300</w:t>
            </w:r>
          </w:p>
        </w:tc>
      </w:tr>
      <w:tr w14:paraId="093F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306B7D61">
            <w:pPr>
              <w:spacing w:line="500" w:lineRule="exact"/>
              <w:jc w:val="center"/>
              <w:rPr>
                <w:rFonts w:ascii="仿宋" w:hAnsi="仿宋" w:eastAsia="仿宋"/>
                <w:highlight w:val="none"/>
              </w:rPr>
            </w:pPr>
            <w:r>
              <w:rPr>
                <w:rFonts w:ascii="仿宋" w:hAnsi="仿宋" w:eastAsia="仿宋"/>
                <w:highlight w:val="none"/>
              </w:rPr>
              <w:t>建筑业</w:t>
            </w:r>
          </w:p>
        </w:tc>
        <w:tc>
          <w:tcPr>
            <w:tcW w:w="1758" w:type="dxa"/>
            <w:noWrap w:val="0"/>
            <w:vAlign w:val="center"/>
          </w:tcPr>
          <w:p w14:paraId="4F4E9174">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39889092">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6611B1A1">
            <w:pPr>
              <w:spacing w:line="500" w:lineRule="exact"/>
              <w:jc w:val="center"/>
              <w:rPr>
                <w:rFonts w:eastAsia="仿宋"/>
                <w:highlight w:val="none"/>
              </w:rPr>
            </w:pPr>
            <w:r>
              <w:rPr>
                <w:rFonts w:eastAsia="仿宋"/>
                <w:highlight w:val="none"/>
              </w:rPr>
              <w:t>6000≤Y&lt;80000</w:t>
            </w:r>
          </w:p>
        </w:tc>
        <w:tc>
          <w:tcPr>
            <w:tcW w:w="1572" w:type="dxa"/>
            <w:noWrap w:val="0"/>
            <w:vAlign w:val="center"/>
          </w:tcPr>
          <w:p w14:paraId="386CF9E7">
            <w:pPr>
              <w:spacing w:line="500" w:lineRule="exact"/>
              <w:jc w:val="center"/>
              <w:rPr>
                <w:rFonts w:eastAsia="仿宋"/>
                <w:highlight w:val="none"/>
              </w:rPr>
            </w:pPr>
            <w:r>
              <w:rPr>
                <w:rFonts w:eastAsia="仿宋"/>
                <w:highlight w:val="none"/>
              </w:rPr>
              <w:t>300≤Y&lt;6000</w:t>
            </w:r>
          </w:p>
        </w:tc>
        <w:tc>
          <w:tcPr>
            <w:tcW w:w="1036" w:type="dxa"/>
            <w:noWrap w:val="0"/>
            <w:vAlign w:val="center"/>
          </w:tcPr>
          <w:p w14:paraId="3F17AA0F">
            <w:pPr>
              <w:spacing w:line="500" w:lineRule="exact"/>
              <w:jc w:val="center"/>
              <w:rPr>
                <w:rFonts w:eastAsia="仿宋"/>
                <w:highlight w:val="none"/>
              </w:rPr>
            </w:pPr>
            <w:r>
              <w:rPr>
                <w:rFonts w:eastAsia="仿宋"/>
                <w:highlight w:val="none"/>
              </w:rPr>
              <w:t>Y&lt;300</w:t>
            </w:r>
          </w:p>
        </w:tc>
      </w:tr>
      <w:tr w14:paraId="2651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1411A8FC">
            <w:pPr>
              <w:spacing w:line="500" w:lineRule="exact"/>
              <w:jc w:val="center"/>
              <w:rPr>
                <w:rFonts w:ascii="仿宋" w:hAnsi="仿宋" w:eastAsia="仿宋"/>
                <w:highlight w:val="none"/>
              </w:rPr>
            </w:pPr>
          </w:p>
        </w:tc>
        <w:tc>
          <w:tcPr>
            <w:tcW w:w="1758" w:type="dxa"/>
            <w:noWrap w:val="0"/>
            <w:vAlign w:val="center"/>
          </w:tcPr>
          <w:p w14:paraId="2AD6E434">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0FF8B5BC">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23CDAEB1">
            <w:pPr>
              <w:spacing w:line="500" w:lineRule="exact"/>
              <w:jc w:val="center"/>
              <w:rPr>
                <w:rFonts w:eastAsia="仿宋"/>
                <w:highlight w:val="none"/>
              </w:rPr>
            </w:pPr>
            <w:r>
              <w:rPr>
                <w:rFonts w:eastAsia="仿宋"/>
                <w:highlight w:val="none"/>
              </w:rPr>
              <w:t>5000≤Z &lt;80000</w:t>
            </w:r>
          </w:p>
        </w:tc>
        <w:tc>
          <w:tcPr>
            <w:tcW w:w="1572" w:type="dxa"/>
            <w:noWrap w:val="0"/>
            <w:vAlign w:val="center"/>
          </w:tcPr>
          <w:p w14:paraId="47B3F612">
            <w:pPr>
              <w:spacing w:line="500" w:lineRule="exact"/>
              <w:jc w:val="center"/>
              <w:rPr>
                <w:rFonts w:eastAsia="仿宋"/>
                <w:highlight w:val="none"/>
              </w:rPr>
            </w:pPr>
            <w:r>
              <w:rPr>
                <w:rFonts w:eastAsia="仿宋"/>
                <w:highlight w:val="none"/>
              </w:rPr>
              <w:t>300≤Z &lt;5000</w:t>
            </w:r>
          </w:p>
        </w:tc>
        <w:tc>
          <w:tcPr>
            <w:tcW w:w="1036" w:type="dxa"/>
            <w:noWrap w:val="0"/>
            <w:vAlign w:val="center"/>
          </w:tcPr>
          <w:p w14:paraId="6E31633A">
            <w:pPr>
              <w:spacing w:line="500" w:lineRule="exact"/>
              <w:jc w:val="center"/>
              <w:rPr>
                <w:rFonts w:eastAsia="仿宋"/>
                <w:highlight w:val="none"/>
              </w:rPr>
            </w:pPr>
            <w:r>
              <w:rPr>
                <w:rFonts w:eastAsia="仿宋"/>
                <w:highlight w:val="none"/>
              </w:rPr>
              <w:t>Z&lt;300</w:t>
            </w:r>
          </w:p>
        </w:tc>
      </w:tr>
      <w:tr w14:paraId="0B16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2F8FC8AE">
            <w:pPr>
              <w:spacing w:line="500" w:lineRule="exact"/>
              <w:jc w:val="center"/>
              <w:rPr>
                <w:rFonts w:ascii="仿宋" w:hAnsi="仿宋" w:eastAsia="仿宋"/>
                <w:highlight w:val="none"/>
              </w:rPr>
            </w:pPr>
            <w:r>
              <w:rPr>
                <w:rFonts w:ascii="仿宋" w:hAnsi="仿宋" w:eastAsia="仿宋"/>
                <w:highlight w:val="none"/>
              </w:rPr>
              <w:t>批发业</w:t>
            </w:r>
          </w:p>
        </w:tc>
        <w:tc>
          <w:tcPr>
            <w:tcW w:w="1758" w:type="dxa"/>
            <w:noWrap w:val="0"/>
            <w:vAlign w:val="center"/>
          </w:tcPr>
          <w:p w14:paraId="4C03732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67DEE533">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57DEDA53">
            <w:pPr>
              <w:spacing w:line="500" w:lineRule="exact"/>
              <w:jc w:val="center"/>
              <w:rPr>
                <w:rFonts w:eastAsia="仿宋"/>
                <w:highlight w:val="none"/>
              </w:rPr>
            </w:pPr>
            <w:r>
              <w:rPr>
                <w:rFonts w:eastAsia="仿宋"/>
                <w:highlight w:val="none"/>
              </w:rPr>
              <w:t>20≤X&lt;200</w:t>
            </w:r>
          </w:p>
        </w:tc>
        <w:tc>
          <w:tcPr>
            <w:tcW w:w="1572" w:type="dxa"/>
            <w:noWrap w:val="0"/>
            <w:vAlign w:val="center"/>
          </w:tcPr>
          <w:p w14:paraId="5F9C96EA">
            <w:pPr>
              <w:spacing w:line="500" w:lineRule="exact"/>
              <w:jc w:val="center"/>
              <w:rPr>
                <w:rFonts w:eastAsia="仿宋"/>
                <w:highlight w:val="none"/>
              </w:rPr>
            </w:pPr>
            <w:r>
              <w:rPr>
                <w:rFonts w:eastAsia="仿宋"/>
                <w:highlight w:val="none"/>
              </w:rPr>
              <w:t>5≤X&lt;20</w:t>
            </w:r>
          </w:p>
        </w:tc>
        <w:tc>
          <w:tcPr>
            <w:tcW w:w="1036" w:type="dxa"/>
            <w:noWrap w:val="0"/>
            <w:vAlign w:val="center"/>
          </w:tcPr>
          <w:p w14:paraId="408806F1">
            <w:pPr>
              <w:spacing w:line="500" w:lineRule="exact"/>
              <w:jc w:val="center"/>
              <w:rPr>
                <w:rFonts w:eastAsia="仿宋"/>
                <w:highlight w:val="none"/>
              </w:rPr>
            </w:pPr>
            <w:r>
              <w:rPr>
                <w:rFonts w:eastAsia="仿宋"/>
                <w:highlight w:val="none"/>
              </w:rPr>
              <w:t>X&lt;5</w:t>
            </w:r>
          </w:p>
        </w:tc>
      </w:tr>
      <w:tr w14:paraId="21FA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73968C7C">
            <w:pPr>
              <w:spacing w:line="500" w:lineRule="exact"/>
              <w:jc w:val="center"/>
              <w:rPr>
                <w:rFonts w:ascii="仿宋" w:hAnsi="仿宋" w:eastAsia="仿宋"/>
                <w:highlight w:val="none"/>
              </w:rPr>
            </w:pPr>
          </w:p>
        </w:tc>
        <w:tc>
          <w:tcPr>
            <w:tcW w:w="1758" w:type="dxa"/>
            <w:noWrap w:val="0"/>
            <w:vAlign w:val="center"/>
          </w:tcPr>
          <w:p w14:paraId="204F685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6488D228">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7FA049AD">
            <w:pPr>
              <w:spacing w:line="500" w:lineRule="exact"/>
              <w:jc w:val="center"/>
              <w:rPr>
                <w:rFonts w:eastAsia="仿宋"/>
                <w:highlight w:val="none"/>
              </w:rPr>
            </w:pPr>
            <w:r>
              <w:rPr>
                <w:rFonts w:eastAsia="仿宋"/>
                <w:highlight w:val="none"/>
              </w:rPr>
              <w:t>5000≤Y&lt;50000</w:t>
            </w:r>
          </w:p>
        </w:tc>
        <w:tc>
          <w:tcPr>
            <w:tcW w:w="1572" w:type="dxa"/>
            <w:noWrap w:val="0"/>
            <w:vAlign w:val="center"/>
          </w:tcPr>
          <w:p w14:paraId="54ECAA6C">
            <w:pPr>
              <w:spacing w:line="500" w:lineRule="exact"/>
              <w:jc w:val="center"/>
              <w:rPr>
                <w:rFonts w:eastAsia="仿宋"/>
                <w:highlight w:val="none"/>
              </w:rPr>
            </w:pPr>
            <w:r>
              <w:rPr>
                <w:rFonts w:eastAsia="仿宋"/>
                <w:highlight w:val="none"/>
              </w:rPr>
              <w:t>1000≤Y&lt;5000</w:t>
            </w:r>
          </w:p>
        </w:tc>
        <w:tc>
          <w:tcPr>
            <w:tcW w:w="1036" w:type="dxa"/>
            <w:noWrap w:val="0"/>
            <w:vAlign w:val="center"/>
          </w:tcPr>
          <w:p w14:paraId="360C7F01">
            <w:pPr>
              <w:spacing w:line="500" w:lineRule="exact"/>
              <w:jc w:val="center"/>
              <w:rPr>
                <w:rFonts w:eastAsia="仿宋"/>
                <w:highlight w:val="none"/>
              </w:rPr>
            </w:pPr>
            <w:r>
              <w:rPr>
                <w:rFonts w:eastAsia="仿宋"/>
                <w:highlight w:val="none"/>
              </w:rPr>
              <w:t>Y&lt;1000</w:t>
            </w:r>
          </w:p>
        </w:tc>
      </w:tr>
      <w:tr w14:paraId="010F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7D03EAA6">
            <w:pPr>
              <w:spacing w:line="500" w:lineRule="exact"/>
              <w:jc w:val="center"/>
              <w:rPr>
                <w:rFonts w:ascii="仿宋" w:hAnsi="仿宋" w:eastAsia="仿宋"/>
                <w:highlight w:val="none"/>
              </w:rPr>
            </w:pPr>
            <w:r>
              <w:rPr>
                <w:rFonts w:hint="eastAsia" w:ascii="仿宋" w:hAnsi="仿宋" w:eastAsia="仿宋"/>
                <w:highlight w:val="none"/>
              </w:rPr>
              <w:t>零售业</w:t>
            </w:r>
          </w:p>
        </w:tc>
        <w:tc>
          <w:tcPr>
            <w:tcW w:w="1758" w:type="dxa"/>
            <w:noWrap w:val="0"/>
            <w:vAlign w:val="center"/>
          </w:tcPr>
          <w:p w14:paraId="65F70157">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6F8122FD">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109E2B99">
            <w:pPr>
              <w:spacing w:line="500" w:lineRule="exact"/>
              <w:jc w:val="center"/>
              <w:rPr>
                <w:rFonts w:eastAsia="仿宋"/>
                <w:highlight w:val="none"/>
              </w:rPr>
            </w:pPr>
            <w:r>
              <w:rPr>
                <w:rFonts w:eastAsia="仿宋"/>
                <w:highlight w:val="none"/>
              </w:rPr>
              <w:t>50≤X&lt;300</w:t>
            </w:r>
          </w:p>
        </w:tc>
        <w:tc>
          <w:tcPr>
            <w:tcW w:w="1572" w:type="dxa"/>
            <w:noWrap w:val="0"/>
            <w:vAlign w:val="center"/>
          </w:tcPr>
          <w:p w14:paraId="01DE44EB">
            <w:pPr>
              <w:spacing w:line="500" w:lineRule="exact"/>
              <w:jc w:val="center"/>
              <w:rPr>
                <w:rFonts w:eastAsia="仿宋"/>
                <w:highlight w:val="none"/>
              </w:rPr>
            </w:pPr>
            <w:r>
              <w:rPr>
                <w:rFonts w:eastAsia="仿宋"/>
                <w:highlight w:val="none"/>
              </w:rPr>
              <w:t>10≤X&lt;50</w:t>
            </w:r>
          </w:p>
        </w:tc>
        <w:tc>
          <w:tcPr>
            <w:tcW w:w="1036" w:type="dxa"/>
            <w:noWrap w:val="0"/>
            <w:vAlign w:val="center"/>
          </w:tcPr>
          <w:p w14:paraId="66087ABE">
            <w:pPr>
              <w:spacing w:line="500" w:lineRule="exact"/>
              <w:jc w:val="center"/>
              <w:rPr>
                <w:rFonts w:eastAsia="仿宋"/>
                <w:highlight w:val="none"/>
              </w:rPr>
            </w:pPr>
            <w:r>
              <w:rPr>
                <w:rFonts w:eastAsia="仿宋"/>
                <w:highlight w:val="none"/>
              </w:rPr>
              <w:t>X&lt;10</w:t>
            </w:r>
          </w:p>
        </w:tc>
      </w:tr>
      <w:tr w14:paraId="063D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286F80D0">
            <w:pPr>
              <w:spacing w:line="500" w:lineRule="exact"/>
              <w:jc w:val="center"/>
              <w:rPr>
                <w:rFonts w:ascii="仿宋" w:hAnsi="仿宋" w:eastAsia="仿宋"/>
                <w:highlight w:val="none"/>
              </w:rPr>
            </w:pPr>
          </w:p>
        </w:tc>
        <w:tc>
          <w:tcPr>
            <w:tcW w:w="1758" w:type="dxa"/>
            <w:noWrap w:val="0"/>
            <w:vAlign w:val="center"/>
          </w:tcPr>
          <w:p w14:paraId="1CC77E1D">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CDAA4B1">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B2A6CA9">
            <w:pPr>
              <w:spacing w:line="500" w:lineRule="exact"/>
              <w:jc w:val="center"/>
              <w:rPr>
                <w:rFonts w:eastAsia="仿宋"/>
                <w:highlight w:val="none"/>
              </w:rPr>
            </w:pPr>
            <w:r>
              <w:rPr>
                <w:rFonts w:eastAsia="仿宋"/>
                <w:highlight w:val="none"/>
              </w:rPr>
              <w:t>500≤Y&lt;20000</w:t>
            </w:r>
          </w:p>
        </w:tc>
        <w:tc>
          <w:tcPr>
            <w:tcW w:w="1572" w:type="dxa"/>
            <w:noWrap w:val="0"/>
            <w:vAlign w:val="center"/>
          </w:tcPr>
          <w:p w14:paraId="754F6C11">
            <w:pPr>
              <w:spacing w:line="500" w:lineRule="exact"/>
              <w:jc w:val="center"/>
              <w:rPr>
                <w:rFonts w:eastAsia="仿宋"/>
                <w:highlight w:val="none"/>
              </w:rPr>
            </w:pPr>
            <w:r>
              <w:rPr>
                <w:rFonts w:eastAsia="仿宋"/>
                <w:highlight w:val="none"/>
              </w:rPr>
              <w:t>100≤Y&lt;500</w:t>
            </w:r>
          </w:p>
        </w:tc>
        <w:tc>
          <w:tcPr>
            <w:tcW w:w="1036" w:type="dxa"/>
            <w:noWrap w:val="0"/>
            <w:vAlign w:val="center"/>
          </w:tcPr>
          <w:p w14:paraId="21254BC4">
            <w:pPr>
              <w:spacing w:line="500" w:lineRule="exact"/>
              <w:jc w:val="center"/>
              <w:rPr>
                <w:rFonts w:eastAsia="仿宋"/>
                <w:highlight w:val="none"/>
              </w:rPr>
            </w:pPr>
            <w:r>
              <w:rPr>
                <w:rFonts w:eastAsia="仿宋"/>
                <w:highlight w:val="none"/>
              </w:rPr>
              <w:t>Y&lt;100</w:t>
            </w:r>
          </w:p>
        </w:tc>
      </w:tr>
      <w:tr w14:paraId="726F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46E21EBC">
            <w:pPr>
              <w:spacing w:line="500" w:lineRule="exact"/>
              <w:jc w:val="center"/>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758" w:type="dxa"/>
            <w:noWrap w:val="0"/>
            <w:vAlign w:val="center"/>
          </w:tcPr>
          <w:p w14:paraId="34282622">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67BD26F9">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53F4FE1">
            <w:pPr>
              <w:spacing w:line="500" w:lineRule="exact"/>
              <w:jc w:val="center"/>
              <w:rPr>
                <w:rFonts w:eastAsia="仿宋"/>
                <w:highlight w:val="none"/>
              </w:rPr>
            </w:pPr>
            <w:r>
              <w:rPr>
                <w:rFonts w:eastAsia="仿宋"/>
                <w:highlight w:val="none"/>
              </w:rPr>
              <w:t>300≤X&lt;1000</w:t>
            </w:r>
          </w:p>
        </w:tc>
        <w:tc>
          <w:tcPr>
            <w:tcW w:w="1572" w:type="dxa"/>
            <w:noWrap w:val="0"/>
            <w:vAlign w:val="center"/>
          </w:tcPr>
          <w:p w14:paraId="19584D0F">
            <w:pPr>
              <w:spacing w:line="500" w:lineRule="exact"/>
              <w:jc w:val="center"/>
              <w:rPr>
                <w:rFonts w:eastAsia="仿宋"/>
                <w:highlight w:val="none"/>
              </w:rPr>
            </w:pPr>
            <w:r>
              <w:rPr>
                <w:rFonts w:eastAsia="仿宋"/>
                <w:highlight w:val="none"/>
              </w:rPr>
              <w:t>20≤X&lt;300</w:t>
            </w:r>
          </w:p>
        </w:tc>
        <w:tc>
          <w:tcPr>
            <w:tcW w:w="1036" w:type="dxa"/>
            <w:noWrap w:val="0"/>
            <w:vAlign w:val="center"/>
          </w:tcPr>
          <w:p w14:paraId="76F86A2A">
            <w:pPr>
              <w:spacing w:line="500" w:lineRule="exact"/>
              <w:jc w:val="center"/>
              <w:rPr>
                <w:rFonts w:eastAsia="仿宋"/>
                <w:highlight w:val="none"/>
              </w:rPr>
            </w:pPr>
            <w:r>
              <w:rPr>
                <w:rFonts w:eastAsia="仿宋"/>
                <w:highlight w:val="none"/>
              </w:rPr>
              <w:t>X&lt;20</w:t>
            </w:r>
          </w:p>
        </w:tc>
      </w:tr>
      <w:tr w14:paraId="6BE0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4FDB7BBF">
            <w:pPr>
              <w:spacing w:line="500" w:lineRule="exact"/>
              <w:jc w:val="center"/>
              <w:rPr>
                <w:rFonts w:ascii="仿宋" w:hAnsi="仿宋" w:eastAsia="仿宋"/>
                <w:highlight w:val="none"/>
              </w:rPr>
            </w:pPr>
          </w:p>
        </w:tc>
        <w:tc>
          <w:tcPr>
            <w:tcW w:w="1758" w:type="dxa"/>
            <w:noWrap w:val="0"/>
            <w:vAlign w:val="center"/>
          </w:tcPr>
          <w:p w14:paraId="3BB2B51B">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71C816DA">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12B269FB">
            <w:pPr>
              <w:spacing w:line="500" w:lineRule="exact"/>
              <w:jc w:val="center"/>
              <w:rPr>
                <w:rFonts w:eastAsia="仿宋"/>
                <w:highlight w:val="none"/>
              </w:rPr>
            </w:pPr>
            <w:r>
              <w:rPr>
                <w:rFonts w:eastAsia="仿宋"/>
                <w:highlight w:val="none"/>
              </w:rPr>
              <w:t>3000≤Y&lt;30000</w:t>
            </w:r>
          </w:p>
        </w:tc>
        <w:tc>
          <w:tcPr>
            <w:tcW w:w="1572" w:type="dxa"/>
            <w:noWrap w:val="0"/>
            <w:vAlign w:val="center"/>
          </w:tcPr>
          <w:p w14:paraId="4CD9ABD3">
            <w:pPr>
              <w:spacing w:line="500" w:lineRule="exact"/>
              <w:jc w:val="center"/>
              <w:rPr>
                <w:rFonts w:eastAsia="仿宋"/>
                <w:highlight w:val="none"/>
              </w:rPr>
            </w:pPr>
            <w:r>
              <w:rPr>
                <w:rFonts w:eastAsia="仿宋"/>
                <w:highlight w:val="none"/>
              </w:rPr>
              <w:t>200≤Y&lt;3000</w:t>
            </w:r>
          </w:p>
        </w:tc>
        <w:tc>
          <w:tcPr>
            <w:tcW w:w="1036" w:type="dxa"/>
            <w:noWrap w:val="0"/>
            <w:vAlign w:val="center"/>
          </w:tcPr>
          <w:p w14:paraId="588E6B2C">
            <w:pPr>
              <w:spacing w:line="500" w:lineRule="exact"/>
              <w:jc w:val="center"/>
              <w:rPr>
                <w:rFonts w:eastAsia="仿宋"/>
                <w:highlight w:val="none"/>
              </w:rPr>
            </w:pPr>
            <w:r>
              <w:rPr>
                <w:rFonts w:eastAsia="仿宋"/>
                <w:highlight w:val="none"/>
              </w:rPr>
              <w:t>Y&lt;200</w:t>
            </w:r>
          </w:p>
        </w:tc>
      </w:tr>
      <w:tr w14:paraId="0C87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22094DF2">
            <w:pPr>
              <w:spacing w:line="500" w:lineRule="exact"/>
              <w:jc w:val="center"/>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758" w:type="dxa"/>
            <w:noWrap w:val="0"/>
            <w:vAlign w:val="center"/>
          </w:tcPr>
          <w:p w14:paraId="0DBB00AA">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1BA3C094">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BDAF88B">
            <w:pPr>
              <w:spacing w:line="500" w:lineRule="exact"/>
              <w:jc w:val="center"/>
              <w:rPr>
                <w:rFonts w:eastAsia="仿宋"/>
                <w:highlight w:val="none"/>
              </w:rPr>
            </w:pPr>
            <w:r>
              <w:rPr>
                <w:rFonts w:eastAsia="仿宋"/>
                <w:highlight w:val="none"/>
              </w:rPr>
              <w:t>100≤X&lt;200</w:t>
            </w:r>
          </w:p>
        </w:tc>
        <w:tc>
          <w:tcPr>
            <w:tcW w:w="1572" w:type="dxa"/>
            <w:noWrap w:val="0"/>
            <w:vAlign w:val="center"/>
          </w:tcPr>
          <w:p w14:paraId="09814056">
            <w:pPr>
              <w:spacing w:line="500" w:lineRule="exact"/>
              <w:jc w:val="center"/>
              <w:rPr>
                <w:rFonts w:eastAsia="仿宋"/>
                <w:highlight w:val="none"/>
              </w:rPr>
            </w:pPr>
            <w:r>
              <w:rPr>
                <w:rFonts w:eastAsia="仿宋"/>
                <w:highlight w:val="none"/>
              </w:rPr>
              <w:t>20≤X&lt;100</w:t>
            </w:r>
          </w:p>
        </w:tc>
        <w:tc>
          <w:tcPr>
            <w:tcW w:w="1036" w:type="dxa"/>
            <w:noWrap w:val="0"/>
            <w:vAlign w:val="center"/>
          </w:tcPr>
          <w:p w14:paraId="1424E802">
            <w:pPr>
              <w:spacing w:line="500" w:lineRule="exact"/>
              <w:jc w:val="center"/>
              <w:rPr>
                <w:rFonts w:eastAsia="仿宋"/>
                <w:highlight w:val="none"/>
              </w:rPr>
            </w:pPr>
            <w:r>
              <w:rPr>
                <w:rFonts w:eastAsia="仿宋"/>
                <w:highlight w:val="none"/>
              </w:rPr>
              <w:t>X&lt;20</w:t>
            </w:r>
          </w:p>
        </w:tc>
      </w:tr>
      <w:tr w14:paraId="7F9C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2EE7F9AE">
            <w:pPr>
              <w:spacing w:line="500" w:lineRule="exact"/>
              <w:jc w:val="center"/>
              <w:rPr>
                <w:rFonts w:ascii="仿宋" w:hAnsi="仿宋" w:eastAsia="仿宋"/>
                <w:highlight w:val="none"/>
              </w:rPr>
            </w:pPr>
          </w:p>
        </w:tc>
        <w:tc>
          <w:tcPr>
            <w:tcW w:w="1758" w:type="dxa"/>
            <w:noWrap w:val="0"/>
            <w:vAlign w:val="center"/>
          </w:tcPr>
          <w:p w14:paraId="424FCCFB">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9E36205">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750F62EF">
            <w:pPr>
              <w:spacing w:line="500" w:lineRule="exact"/>
              <w:jc w:val="center"/>
              <w:rPr>
                <w:rFonts w:eastAsia="仿宋"/>
                <w:highlight w:val="none"/>
              </w:rPr>
            </w:pPr>
            <w:r>
              <w:rPr>
                <w:rFonts w:eastAsia="仿宋"/>
                <w:highlight w:val="none"/>
              </w:rPr>
              <w:t>1000≤Y&lt;30000</w:t>
            </w:r>
          </w:p>
        </w:tc>
        <w:tc>
          <w:tcPr>
            <w:tcW w:w="1572" w:type="dxa"/>
            <w:noWrap w:val="0"/>
            <w:vAlign w:val="center"/>
          </w:tcPr>
          <w:p w14:paraId="3EA7333C">
            <w:pPr>
              <w:spacing w:line="500" w:lineRule="exact"/>
              <w:jc w:val="center"/>
              <w:rPr>
                <w:rFonts w:eastAsia="仿宋"/>
                <w:highlight w:val="none"/>
              </w:rPr>
            </w:pPr>
            <w:r>
              <w:rPr>
                <w:rFonts w:eastAsia="仿宋"/>
                <w:highlight w:val="none"/>
              </w:rPr>
              <w:t>100≤Y&lt;1000</w:t>
            </w:r>
          </w:p>
        </w:tc>
        <w:tc>
          <w:tcPr>
            <w:tcW w:w="1036" w:type="dxa"/>
            <w:noWrap w:val="0"/>
            <w:vAlign w:val="center"/>
          </w:tcPr>
          <w:p w14:paraId="1494CC54">
            <w:pPr>
              <w:spacing w:line="500" w:lineRule="exact"/>
              <w:jc w:val="center"/>
              <w:rPr>
                <w:rFonts w:eastAsia="仿宋"/>
                <w:highlight w:val="none"/>
              </w:rPr>
            </w:pPr>
            <w:r>
              <w:rPr>
                <w:rFonts w:eastAsia="仿宋"/>
                <w:highlight w:val="none"/>
              </w:rPr>
              <w:t>Y&lt;100</w:t>
            </w:r>
          </w:p>
        </w:tc>
      </w:tr>
      <w:tr w14:paraId="677FC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62FBA208">
            <w:pPr>
              <w:spacing w:line="500" w:lineRule="exact"/>
              <w:jc w:val="center"/>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758" w:type="dxa"/>
            <w:noWrap w:val="0"/>
            <w:vAlign w:val="center"/>
          </w:tcPr>
          <w:p w14:paraId="1C2238B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1920F6F1">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3BC7C5B0">
            <w:pPr>
              <w:spacing w:line="500" w:lineRule="exact"/>
              <w:jc w:val="center"/>
              <w:rPr>
                <w:rFonts w:eastAsia="仿宋"/>
                <w:highlight w:val="none"/>
              </w:rPr>
            </w:pPr>
            <w:r>
              <w:rPr>
                <w:rFonts w:eastAsia="仿宋"/>
                <w:highlight w:val="none"/>
              </w:rPr>
              <w:t>300≤X&lt;1000</w:t>
            </w:r>
          </w:p>
        </w:tc>
        <w:tc>
          <w:tcPr>
            <w:tcW w:w="1572" w:type="dxa"/>
            <w:noWrap w:val="0"/>
            <w:vAlign w:val="center"/>
          </w:tcPr>
          <w:p w14:paraId="0F38EE02">
            <w:pPr>
              <w:spacing w:line="500" w:lineRule="exact"/>
              <w:jc w:val="center"/>
              <w:rPr>
                <w:rFonts w:eastAsia="仿宋"/>
                <w:highlight w:val="none"/>
              </w:rPr>
            </w:pPr>
            <w:r>
              <w:rPr>
                <w:rFonts w:eastAsia="仿宋"/>
                <w:highlight w:val="none"/>
              </w:rPr>
              <w:t>20≤X&lt;300</w:t>
            </w:r>
          </w:p>
        </w:tc>
        <w:tc>
          <w:tcPr>
            <w:tcW w:w="1036" w:type="dxa"/>
            <w:noWrap w:val="0"/>
            <w:vAlign w:val="center"/>
          </w:tcPr>
          <w:p w14:paraId="29B4B9A2">
            <w:pPr>
              <w:spacing w:line="500" w:lineRule="exact"/>
              <w:jc w:val="center"/>
              <w:rPr>
                <w:rFonts w:eastAsia="仿宋"/>
                <w:highlight w:val="none"/>
              </w:rPr>
            </w:pPr>
            <w:r>
              <w:rPr>
                <w:rFonts w:eastAsia="仿宋"/>
                <w:highlight w:val="none"/>
              </w:rPr>
              <w:t>X&lt;20</w:t>
            </w:r>
          </w:p>
        </w:tc>
      </w:tr>
      <w:tr w14:paraId="580C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222FE3A3">
            <w:pPr>
              <w:spacing w:line="500" w:lineRule="exact"/>
              <w:jc w:val="center"/>
              <w:rPr>
                <w:rFonts w:ascii="仿宋" w:hAnsi="仿宋" w:eastAsia="仿宋"/>
                <w:highlight w:val="none"/>
              </w:rPr>
            </w:pPr>
          </w:p>
        </w:tc>
        <w:tc>
          <w:tcPr>
            <w:tcW w:w="1758" w:type="dxa"/>
            <w:noWrap w:val="0"/>
            <w:vAlign w:val="center"/>
          </w:tcPr>
          <w:p w14:paraId="77DB271E">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4535DC9A">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6BB49FAB">
            <w:pPr>
              <w:spacing w:line="500" w:lineRule="exact"/>
              <w:jc w:val="center"/>
              <w:rPr>
                <w:rFonts w:eastAsia="仿宋"/>
                <w:highlight w:val="none"/>
              </w:rPr>
            </w:pPr>
            <w:r>
              <w:rPr>
                <w:rFonts w:eastAsia="仿宋"/>
                <w:highlight w:val="none"/>
              </w:rPr>
              <w:t>2000≤Y&lt;30000</w:t>
            </w:r>
          </w:p>
        </w:tc>
        <w:tc>
          <w:tcPr>
            <w:tcW w:w="1572" w:type="dxa"/>
            <w:noWrap w:val="0"/>
            <w:vAlign w:val="center"/>
          </w:tcPr>
          <w:p w14:paraId="5AA82624">
            <w:pPr>
              <w:spacing w:line="500" w:lineRule="exact"/>
              <w:jc w:val="center"/>
              <w:rPr>
                <w:rFonts w:eastAsia="仿宋"/>
                <w:highlight w:val="none"/>
              </w:rPr>
            </w:pPr>
            <w:r>
              <w:rPr>
                <w:rFonts w:eastAsia="仿宋"/>
                <w:highlight w:val="none"/>
              </w:rPr>
              <w:t>100≤Y&lt;2000</w:t>
            </w:r>
          </w:p>
        </w:tc>
        <w:tc>
          <w:tcPr>
            <w:tcW w:w="1036" w:type="dxa"/>
            <w:noWrap w:val="0"/>
            <w:vAlign w:val="center"/>
          </w:tcPr>
          <w:p w14:paraId="16FFC9CC">
            <w:pPr>
              <w:spacing w:line="500" w:lineRule="exact"/>
              <w:jc w:val="center"/>
              <w:rPr>
                <w:rFonts w:eastAsia="仿宋"/>
                <w:highlight w:val="none"/>
              </w:rPr>
            </w:pPr>
            <w:r>
              <w:rPr>
                <w:rFonts w:eastAsia="仿宋"/>
                <w:highlight w:val="none"/>
              </w:rPr>
              <w:t>Y&lt;100</w:t>
            </w:r>
          </w:p>
        </w:tc>
      </w:tr>
      <w:tr w14:paraId="53EF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779E8CF6">
            <w:pPr>
              <w:spacing w:line="500" w:lineRule="exact"/>
              <w:jc w:val="center"/>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758" w:type="dxa"/>
            <w:noWrap w:val="0"/>
            <w:vAlign w:val="center"/>
          </w:tcPr>
          <w:p w14:paraId="2F5BEAB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19D53331">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55D1B448">
            <w:pPr>
              <w:spacing w:line="500" w:lineRule="exact"/>
              <w:jc w:val="center"/>
              <w:rPr>
                <w:rFonts w:eastAsia="仿宋"/>
                <w:highlight w:val="none"/>
              </w:rPr>
            </w:pPr>
            <w:r>
              <w:rPr>
                <w:rFonts w:eastAsia="仿宋"/>
                <w:highlight w:val="none"/>
              </w:rPr>
              <w:t>100≤X&lt;300</w:t>
            </w:r>
          </w:p>
        </w:tc>
        <w:tc>
          <w:tcPr>
            <w:tcW w:w="1572" w:type="dxa"/>
            <w:noWrap w:val="0"/>
            <w:vAlign w:val="center"/>
          </w:tcPr>
          <w:p w14:paraId="1F782124">
            <w:pPr>
              <w:spacing w:line="500" w:lineRule="exact"/>
              <w:jc w:val="center"/>
              <w:rPr>
                <w:rFonts w:eastAsia="仿宋"/>
                <w:highlight w:val="none"/>
              </w:rPr>
            </w:pPr>
            <w:r>
              <w:rPr>
                <w:rFonts w:eastAsia="仿宋"/>
                <w:highlight w:val="none"/>
              </w:rPr>
              <w:t>10≤X&lt;100</w:t>
            </w:r>
          </w:p>
        </w:tc>
        <w:tc>
          <w:tcPr>
            <w:tcW w:w="1036" w:type="dxa"/>
            <w:noWrap w:val="0"/>
            <w:vAlign w:val="center"/>
          </w:tcPr>
          <w:p w14:paraId="644DBD62">
            <w:pPr>
              <w:spacing w:line="500" w:lineRule="exact"/>
              <w:jc w:val="center"/>
              <w:rPr>
                <w:rFonts w:eastAsia="仿宋"/>
                <w:highlight w:val="none"/>
              </w:rPr>
            </w:pPr>
            <w:r>
              <w:rPr>
                <w:rFonts w:eastAsia="仿宋"/>
                <w:highlight w:val="none"/>
              </w:rPr>
              <w:t>X&lt;10</w:t>
            </w:r>
          </w:p>
        </w:tc>
      </w:tr>
      <w:tr w14:paraId="10A0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695C27B1">
            <w:pPr>
              <w:spacing w:line="500" w:lineRule="exact"/>
              <w:jc w:val="center"/>
              <w:rPr>
                <w:rFonts w:ascii="仿宋" w:hAnsi="仿宋" w:eastAsia="仿宋"/>
                <w:highlight w:val="none"/>
              </w:rPr>
            </w:pPr>
          </w:p>
        </w:tc>
        <w:tc>
          <w:tcPr>
            <w:tcW w:w="1758" w:type="dxa"/>
            <w:noWrap w:val="0"/>
            <w:vAlign w:val="center"/>
          </w:tcPr>
          <w:p w14:paraId="3D21C03B">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20A42068">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6CC0542A">
            <w:pPr>
              <w:spacing w:line="500" w:lineRule="exact"/>
              <w:jc w:val="center"/>
              <w:rPr>
                <w:rFonts w:eastAsia="仿宋"/>
                <w:highlight w:val="none"/>
              </w:rPr>
            </w:pPr>
            <w:r>
              <w:rPr>
                <w:rFonts w:eastAsia="仿宋"/>
                <w:highlight w:val="none"/>
              </w:rPr>
              <w:t>2000≤Y&lt;10000</w:t>
            </w:r>
          </w:p>
        </w:tc>
        <w:tc>
          <w:tcPr>
            <w:tcW w:w="1572" w:type="dxa"/>
            <w:noWrap w:val="0"/>
            <w:vAlign w:val="center"/>
          </w:tcPr>
          <w:p w14:paraId="5570E0C5">
            <w:pPr>
              <w:spacing w:line="500" w:lineRule="exact"/>
              <w:jc w:val="center"/>
              <w:rPr>
                <w:rFonts w:eastAsia="仿宋"/>
                <w:highlight w:val="none"/>
              </w:rPr>
            </w:pPr>
            <w:r>
              <w:rPr>
                <w:rFonts w:eastAsia="仿宋"/>
                <w:highlight w:val="none"/>
              </w:rPr>
              <w:t>100≤Y&lt;2000</w:t>
            </w:r>
          </w:p>
        </w:tc>
        <w:tc>
          <w:tcPr>
            <w:tcW w:w="1036" w:type="dxa"/>
            <w:noWrap w:val="0"/>
            <w:vAlign w:val="center"/>
          </w:tcPr>
          <w:p w14:paraId="6047D060">
            <w:pPr>
              <w:spacing w:line="500" w:lineRule="exact"/>
              <w:jc w:val="center"/>
              <w:rPr>
                <w:rFonts w:eastAsia="仿宋"/>
                <w:highlight w:val="none"/>
              </w:rPr>
            </w:pPr>
            <w:r>
              <w:rPr>
                <w:rFonts w:eastAsia="仿宋"/>
                <w:highlight w:val="none"/>
              </w:rPr>
              <w:t>Y&lt;100</w:t>
            </w:r>
          </w:p>
        </w:tc>
      </w:tr>
      <w:tr w14:paraId="6522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12AD1F8E">
            <w:pPr>
              <w:spacing w:line="500" w:lineRule="exact"/>
              <w:jc w:val="center"/>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758" w:type="dxa"/>
            <w:noWrap w:val="0"/>
            <w:vAlign w:val="center"/>
          </w:tcPr>
          <w:p w14:paraId="31CAEC1E">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7BD2DCD8">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7480DEBD">
            <w:pPr>
              <w:spacing w:line="500" w:lineRule="exact"/>
              <w:jc w:val="center"/>
              <w:rPr>
                <w:rFonts w:eastAsia="仿宋"/>
                <w:highlight w:val="none"/>
              </w:rPr>
            </w:pPr>
            <w:r>
              <w:rPr>
                <w:rFonts w:eastAsia="仿宋"/>
                <w:highlight w:val="none"/>
              </w:rPr>
              <w:t>100≤X&lt;300</w:t>
            </w:r>
          </w:p>
        </w:tc>
        <w:tc>
          <w:tcPr>
            <w:tcW w:w="1572" w:type="dxa"/>
            <w:noWrap w:val="0"/>
            <w:vAlign w:val="center"/>
          </w:tcPr>
          <w:p w14:paraId="4A15F9B1">
            <w:pPr>
              <w:spacing w:line="500" w:lineRule="exact"/>
              <w:jc w:val="center"/>
              <w:rPr>
                <w:rFonts w:eastAsia="仿宋"/>
                <w:highlight w:val="none"/>
              </w:rPr>
            </w:pPr>
            <w:r>
              <w:rPr>
                <w:rFonts w:eastAsia="仿宋"/>
                <w:highlight w:val="none"/>
              </w:rPr>
              <w:t>10≤X&lt;100</w:t>
            </w:r>
          </w:p>
        </w:tc>
        <w:tc>
          <w:tcPr>
            <w:tcW w:w="1036" w:type="dxa"/>
            <w:noWrap w:val="0"/>
            <w:vAlign w:val="center"/>
          </w:tcPr>
          <w:p w14:paraId="33F89949">
            <w:pPr>
              <w:spacing w:line="500" w:lineRule="exact"/>
              <w:jc w:val="center"/>
              <w:rPr>
                <w:rFonts w:eastAsia="仿宋"/>
                <w:highlight w:val="none"/>
              </w:rPr>
            </w:pPr>
            <w:r>
              <w:rPr>
                <w:rFonts w:eastAsia="仿宋"/>
                <w:highlight w:val="none"/>
              </w:rPr>
              <w:t>X&lt;10</w:t>
            </w:r>
          </w:p>
        </w:tc>
      </w:tr>
      <w:tr w14:paraId="5961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7B91DD21">
            <w:pPr>
              <w:spacing w:line="500" w:lineRule="exact"/>
              <w:jc w:val="center"/>
              <w:rPr>
                <w:rFonts w:ascii="仿宋" w:hAnsi="仿宋" w:eastAsia="仿宋"/>
                <w:highlight w:val="none"/>
              </w:rPr>
            </w:pPr>
          </w:p>
        </w:tc>
        <w:tc>
          <w:tcPr>
            <w:tcW w:w="1758" w:type="dxa"/>
            <w:noWrap w:val="0"/>
            <w:vAlign w:val="center"/>
          </w:tcPr>
          <w:p w14:paraId="02C1D40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179DC078">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89A807A">
            <w:pPr>
              <w:spacing w:line="500" w:lineRule="exact"/>
              <w:jc w:val="center"/>
              <w:rPr>
                <w:rFonts w:eastAsia="仿宋"/>
                <w:highlight w:val="none"/>
              </w:rPr>
            </w:pPr>
            <w:r>
              <w:rPr>
                <w:rFonts w:eastAsia="仿宋"/>
                <w:highlight w:val="none"/>
              </w:rPr>
              <w:t>2000≤Y&lt;10000</w:t>
            </w:r>
          </w:p>
        </w:tc>
        <w:tc>
          <w:tcPr>
            <w:tcW w:w="1572" w:type="dxa"/>
            <w:noWrap w:val="0"/>
            <w:vAlign w:val="center"/>
          </w:tcPr>
          <w:p w14:paraId="6642CC80">
            <w:pPr>
              <w:spacing w:line="500" w:lineRule="exact"/>
              <w:jc w:val="center"/>
              <w:rPr>
                <w:rFonts w:eastAsia="仿宋"/>
                <w:highlight w:val="none"/>
              </w:rPr>
            </w:pPr>
            <w:r>
              <w:rPr>
                <w:rFonts w:eastAsia="仿宋"/>
                <w:highlight w:val="none"/>
              </w:rPr>
              <w:t>100≤Y&lt;2000</w:t>
            </w:r>
          </w:p>
        </w:tc>
        <w:tc>
          <w:tcPr>
            <w:tcW w:w="1036" w:type="dxa"/>
            <w:noWrap w:val="0"/>
            <w:vAlign w:val="center"/>
          </w:tcPr>
          <w:p w14:paraId="319DF9AA">
            <w:pPr>
              <w:spacing w:line="500" w:lineRule="exact"/>
              <w:jc w:val="center"/>
              <w:rPr>
                <w:rFonts w:eastAsia="仿宋"/>
                <w:highlight w:val="none"/>
              </w:rPr>
            </w:pPr>
            <w:r>
              <w:rPr>
                <w:rFonts w:eastAsia="仿宋"/>
                <w:highlight w:val="none"/>
              </w:rPr>
              <w:t>Y&lt;100</w:t>
            </w:r>
          </w:p>
        </w:tc>
      </w:tr>
      <w:tr w14:paraId="4DE0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113A3C27">
            <w:pPr>
              <w:spacing w:line="500" w:lineRule="exact"/>
              <w:jc w:val="center"/>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758" w:type="dxa"/>
            <w:noWrap w:val="0"/>
            <w:vAlign w:val="center"/>
          </w:tcPr>
          <w:p w14:paraId="2843D8B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50EDDE7F">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009182E8">
            <w:pPr>
              <w:spacing w:line="500" w:lineRule="exact"/>
              <w:jc w:val="center"/>
              <w:rPr>
                <w:rFonts w:eastAsia="仿宋"/>
                <w:highlight w:val="none"/>
              </w:rPr>
            </w:pPr>
            <w:r>
              <w:rPr>
                <w:rFonts w:eastAsia="仿宋"/>
                <w:highlight w:val="none"/>
              </w:rPr>
              <w:t>100≤X&lt;2000</w:t>
            </w:r>
          </w:p>
        </w:tc>
        <w:tc>
          <w:tcPr>
            <w:tcW w:w="1572" w:type="dxa"/>
            <w:noWrap w:val="0"/>
            <w:vAlign w:val="center"/>
          </w:tcPr>
          <w:p w14:paraId="69F1ECD4">
            <w:pPr>
              <w:spacing w:line="500" w:lineRule="exact"/>
              <w:jc w:val="center"/>
              <w:rPr>
                <w:rFonts w:eastAsia="仿宋"/>
                <w:highlight w:val="none"/>
              </w:rPr>
            </w:pPr>
            <w:r>
              <w:rPr>
                <w:rFonts w:eastAsia="仿宋"/>
                <w:highlight w:val="none"/>
              </w:rPr>
              <w:t>10≤X&lt;100</w:t>
            </w:r>
          </w:p>
        </w:tc>
        <w:tc>
          <w:tcPr>
            <w:tcW w:w="1036" w:type="dxa"/>
            <w:noWrap w:val="0"/>
            <w:vAlign w:val="center"/>
          </w:tcPr>
          <w:p w14:paraId="6EF5C5A1">
            <w:pPr>
              <w:spacing w:line="500" w:lineRule="exact"/>
              <w:jc w:val="center"/>
              <w:rPr>
                <w:rFonts w:eastAsia="仿宋"/>
                <w:highlight w:val="none"/>
              </w:rPr>
            </w:pPr>
            <w:r>
              <w:rPr>
                <w:rFonts w:eastAsia="仿宋"/>
                <w:highlight w:val="none"/>
              </w:rPr>
              <w:t>X&lt;10</w:t>
            </w:r>
          </w:p>
        </w:tc>
      </w:tr>
      <w:tr w14:paraId="2EBE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68C481EF">
            <w:pPr>
              <w:spacing w:line="500" w:lineRule="exact"/>
              <w:jc w:val="center"/>
              <w:rPr>
                <w:rFonts w:ascii="仿宋" w:hAnsi="仿宋" w:eastAsia="仿宋"/>
                <w:highlight w:val="none"/>
              </w:rPr>
            </w:pPr>
          </w:p>
        </w:tc>
        <w:tc>
          <w:tcPr>
            <w:tcW w:w="1758" w:type="dxa"/>
            <w:noWrap w:val="0"/>
            <w:vAlign w:val="center"/>
          </w:tcPr>
          <w:p w14:paraId="5C7A7AC4">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5F861A2E">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6912418D">
            <w:pPr>
              <w:spacing w:line="500" w:lineRule="exact"/>
              <w:jc w:val="center"/>
              <w:rPr>
                <w:rFonts w:eastAsia="仿宋"/>
                <w:highlight w:val="none"/>
              </w:rPr>
            </w:pPr>
            <w:r>
              <w:rPr>
                <w:rFonts w:eastAsia="仿宋"/>
                <w:highlight w:val="none"/>
              </w:rPr>
              <w:t>1000≤Y&lt;100000</w:t>
            </w:r>
          </w:p>
        </w:tc>
        <w:tc>
          <w:tcPr>
            <w:tcW w:w="1572" w:type="dxa"/>
            <w:noWrap w:val="0"/>
            <w:vAlign w:val="center"/>
          </w:tcPr>
          <w:p w14:paraId="4D89F9AA">
            <w:pPr>
              <w:spacing w:line="500" w:lineRule="exact"/>
              <w:jc w:val="center"/>
              <w:rPr>
                <w:rFonts w:eastAsia="仿宋"/>
                <w:highlight w:val="none"/>
              </w:rPr>
            </w:pPr>
            <w:r>
              <w:rPr>
                <w:rFonts w:eastAsia="仿宋"/>
                <w:highlight w:val="none"/>
              </w:rPr>
              <w:t>100≤Y&lt;1000</w:t>
            </w:r>
          </w:p>
        </w:tc>
        <w:tc>
          <w:tcPr>
            <w:tcW w:w="1036" w:type="dxa"/>
            <w:noWrap w:val="0"/>
            <w:vAlign w:val="center"/>
          </w:tcPr>
          <w:p w14:paraId="6C26766B">
            <w:pPr>
              <w:spacing w:line="500" w:lineRule="exact"/>
              <w:jc w:val="center"/>
              <w:rPr>
                <w:rFonts w:eastAsia="仿宋"/>
                <w:highlight w:val="none"/>
              </w:rPr>
            </w:pPr>
            <w:r>
              <w:rPr>
                <w:rFonts w:eastAsia="仿宋"/>
                <w:highlight w:val="none"/>
              </w:rPr>
              <w:t>Y&lt;100</w:t>
            </w:r>
          </w:p>
        </w:tc>
      </w:tr>
      <w:tr w14:paraId="12BF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203F8A54">
            <w:pPr>
              <w:spacing w:line="500" w:lineRule="exact"/>
              <w:jc w:val="center"/>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758" w:type="dxa"/>
            <w:noWrap w:val="0"/>
            <w:vAlign w:val="center"/>
          </w:tcPr>
          <w:p w14:paraId="222D986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35FD28C4">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534D9607">
            <w:pPr>
              <w:spacing w:line="500" w:lineRule="exact"/>
              <w:jc w:val="center"/>
              <w:rPr>
                <w:rFonts w:eastAsia="仿宋"/>
                <w:highlight w:val="none"/>
              </w:rPr>
            </w:pPr>
            <w:r>
              <w:rPr>
                <w:rFonts w:eastAsia="仿宋"/>
                <w:highlight w:val="none"/>
              </w:rPr>
              <w:t>100≤X&lt;300</w:t>
            </w:r>
          </w:p>
        </w:tc>
        <w:tc>
          <w:tcPr>
            <w:tcW w:w="1572" w:type="dxa"/>
            <w:noWrap w:val="0"/>
            <w:vAlign w:val="center"/>
          </w:tcPr>
          <w:p w14:paraId="6EF80A73">
            <w:pPr>
              <w:spacing w:line="500" w:lineRule="exact"/>
              <w:jc w:val="center"/>
              <w:rPr>
                <w:rFonts w:eastAsia="仿宋"/>
                <w:highlight w:val="none"/>
              </w:rPr>
            </w:pPr>
            <w:r>
              <w:rPr>
                <w:rFonts w:eastAsia="仿宋"/>
                <w:highlight w:val="none"/>
              </w:rPr>
              <w:t>10≤X&lt;100</w:t>
            </w:r>
          </w:p>
        </w:tc>
        <w:tc>
          <w:tcPr>
            <w:tcW w:w="1036" w:type="dxa"/>
            <w:noWrap w:val="0"/>
            <w:vAlign w:val="center"/>
          </w:tcPr>
          <w:p w14:paraId="0A0A2CEC">
            <w:pPr>
              <w:spacing w:line="500" w:lineRule="exact"/>
              <w:jc w:val="center"/>
              <w:rPr>
                <w:rFonts w:eastAsia="仿宋"/>
                <w:highlight w:val="none"/>
              </w:rPr>
            </w:pPr>
            <w:r>
              <w:rPr>
                <w:rFonts w:eastAsia="仿宋"/>
                <w:highlight w:val="none"/>
              </w:rPr>
              <w:t>X&lt;10</w:t>
            </w:r>
          </w:p>
        </w:tc>
      </w:tr>
      <w:tr w14:paraId="179F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6D818428">
            <w:pPr>
              <w:spacing w:line="500" w:lineRule="exact"/>
              <w:jc w:val="center"/>
              <w:rPr>
                <w:rFonts w:ascii="仿宋" w:hAnsi="仿宋" w:eastAsia="仿宋"/>
                <w:highlight w:val="none"/>
              </w:rPr>
            </w:pPr>
          </w:p>
        </w:tc>
        <w:tc>
          <w:tcPr>
            <w:tcW w:w="1758" w:type="dxa"/>
            <w:noWrap w:val="0"/>
            <w:vAlign w:val="center"/>
          </w:tcPr>
          <w:p w14:paraId="015B44CD">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5935368E">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006EC51">
            <w:pPr>
              <w:spacing w:line="500" w:lineRule="exact"/>
              <w:jc w:val="center"/>
              <w:rPr>
                <w:rFonts w:eastAsia="仿宋"/>
                <w:highlight w:val="none"/>
              </w:rPr>
            </w:pPr>
            <w:r>
              <w:rPr>
                <w:rFonts w:eastAsia="仿宋"/>
                <w:highlight w:val="none"/>
              </w:rPr>
              <w:t>1000≤Y&lt;10000</w:t>
            </w:r>
          </w:p>
        </w:tc>
        <w:tc>
          <w:tcPr>
            <w:tcW w:w="1572" w:type="dxa"/>
            <w:noWrap w:val="0"/>
            <w:vAlign w:val="center"/>
          </w:tcPr>
          <w:p w14:paraId="0AEEA3C8">
            <w:pPr>
              <w:spacing w:line="500" w:lineRule="exact"/>
              <w:jc w:val="center"/>
              <w:rPr>
                <w:rFonts w:eastAsia="仿宋"/>
                <w:highlight w:val="none"/>
              </w:rPr>
            </w:pPr>
            <w:r>
              <w:rPr>
                <w:rFonts w:eastAsia="仿宋"/>
                <w:highlight w:val="none"/>
              </w:rPr>
              <w:t>50≤Y&lt;1000</w:t>
            </w:r>
          </w:p>
        </w:tc>
        <w:tc>
          <w:tcPr>
            <w:tcW w:w="1036" w:type="dxa"/>
            <w:noWrap w:val="0"/>
            <w:vAlign w:val="center"/>
          </w:tcPr>
          <w:p w14:paraId="17326201">
            <w:pPr>
              <w:spacing w:line="500" w:lineRule="exact"/>
              <w:jc w:val="center"/>
              <w:rPr>
                <w:rFonts w:eastAsia="仿宋"/>
                <w:highlight w:val="none"/>
              </w:rPr>
            </w:pPr>
            <w:r>
              <w:rPr>
                <w:rFonts w:eastAsia="仿宋"/>
                <w:highlight w:val="none"/>
              </w:rPr>
              <w:t>Y&lt;50</w:t>
            </w:r>
          </w:p>
        </w:tc>
      </w:tr>
      <w:tr w14:paraId="426E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4139BC54">
            <w:pPr>
              <w:spacing w:line="500" w:lineRule="exact"/>
              <w:jc w:val="center"/>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758" w:type="dxa"/>
            <w:noWrap w:val="0"/>
            <w:vAlign w:val="center"/>
          </w:tcPr>
          <w:p w14:paraId="4DDC54E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7E6D11F2">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2906982C">
            <w:pPr>
              <w:spacing w:line="500" w:lineRule="exact"/>
              <w:jc w:val="center"/>
              <w:rPr>
                <w:rFonts w:eastAsia="仿宋"/>
                <w:highlight w:val="none"/>
              </w:rPr>
            </w:pPr>
            <w:r>
              <w:rPr>
                <w:rFonts w:eastAsia="仿宋"/>
                <w:highlight w:val="none"/>
              </w:rPr>
              <w:t>1000≤Y&lt;200000</w:t>
            </w:r>
          </w:p>
        </w:tc>
        <w:tc>
          <w:tcPr>
            <w:tcW w:w="1572" w:type="dxa"/>
            <w:noWrap w:val="0"/>
            <w:vAlign w:val="center"/>
          </w:tcPr>
          <w:p w14:paraId="41444FF7">
            <w:pPr>
              <w:spacing w:line="500" w:lineRule="exact"/>
              <w:jc w:val="center"/>
              <w:rPr>
                <w:rFonts w:eastAsia="仿宋"/>
                <w:highlight w:val="none"/>
              </w:rPr>
            </w:pPr>
            <w:r>
              <w:rPr>
                <w:rFonts w:eastAsia="仿宋"/>
                <w:highlight w:val="none"/>
              </w:rPr>
              <w:t>100≤Y&lt;1000</w:t>
            </w:r>
          </w:p>
        </w:tc>
        <w:tc>
          <w:tcPr>
            <w:tcW w:w="1036" w:type="dxa"/>
            <w:noWrap w:val="0"/>
            <w:vAlign w:val="center"/>
          </w:tcPr>
          <w:p w14:paraId="14F37B0C">
            <w:pPr>
              <w:spacing w:line="500" w:lineRule="exact"/>
              <w:jc w:val="center"/>
              <w:rPr>
                <w:rFonts w:eastAsia="仿宋"/>
                <w:highlight w:val="none"/>
              </w:rPr>
            </w:pPr>
            <w:r>
              <w:rPr>
                <w:rFonts w:eastAsia="仿宋"/>
                <w:highlight w:val="none"/>
              </w:rPr>
              <w:t>Y&lt;100</w:t>
            </w:r>
          </w:p>
        </w:tc>
      </w:tr>
      <w:tr w14:paraId="3602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68A3F81B">
            <w:pPr>
              <w:spacing w:line="500" w:lineRule="exact"/>
              <w:jc w:val="center"/>
              <w:rPr>
                <w:rFonts w:ascii="仿宋" w:hAnsi="仿宋" w:eastAsia="仿宋"/>
                <w:highlight w:val="none"/>
              </w:rPr>
            </w:pPr>
          </w:p>
        </w:tc>
        <w:tc>
          <w:tcPr>
            <w:tcW w:w="1758" w:type="dxa"/>
            <w:noWrap w:val="0"/>
            <w:vAlign w:val="center"/>
          </w:tcPr>
          <w:p w14:paraId="0BA9CD7C">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68D243C5">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D550927">
            <w:pPr>
              <w:spacing w:line="500" w:lineRule="exact"/>
              <w:jc w:val="center"/>
              <w:rPr>
                <w:rFonts w:eastAsia="仿宋"/>
                <w:highlight w:val="none"/>
              </w:rPr>
            </w:pPr>
            <w:r>
              <w:rPr>
                <w:rFonts w:eastAsia="仿宋"/>
                <w:highlight w:val="none"/>
              </w:rPr>
              <w:t>5000≤Z &lt;10000</w:t>
            </w:r>
          </w:p>
        </w:tc>
        <w:tc>
          <w:tcPr>
            <w:tcW w:w="1572" w:type="dxa"/>
            <w:noWrap w:val="0"/>
            <w:vAlign w:val="center"/>
          </w:tcPr>
          <w:p w14:paraId="0A975133">
            <w:pPr>
              <w:spacing w:line="500" w:lineRule="exact"/>
              <w:jc w:val="center"/>
              <w:rPr>
                <w:rFonts w:eastAsia="仿宋"/>
                <w:highlight w:val="none"/>
              </w:rPr>
            </w:pPr>
            <w:r>
              <w:rPr>
                <w:rFonts w:eastAsia="仿宋"/>
                <w:highlight w:val="none"/>
              </w:rPr>
              <w:t>2000≤Z &lt;5000</w:t>
            </w:r>
          </w:p>
        </w:tc>
        <w:tc>
          <w:tcPr>
            <w:tcW w:w="1036" w:type="dxa"/>
            <w:noWrap w:val="0"/>
            <w:vAlign w:val="center"/>
          </w:tcPr>
          <w:p w14:paraId="3DC71AF9">
            <w:pPr>
              <w:spacing w:line="500" w:lineRule="exact"/>
              <w:jc w:val="center"/>
              <w:rPr>
                <w:rFonts w:eastAsia="仿宋"/>
                <w:highlight w:val="none"/>
              </w:rPr>
            </w:pPr>
            <w:r>
              <w:rPr>
                <w:rFonts w:eastAsia="仿宋"/>
                <w:highlight w:val="none"/>
              </w:rPr>
              <w:t>Z&lt;2000</w:t>
            </w:r>
          </w:p>
        </w:tc>
      </w:tr>
      <w:tr w14:paraId="6872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354257AA">
            <w:pPr>
              <w:spacing w:line="500" w:lineRule="exact"/>
              <w:jc w:val="center"/>
              <w:rPr>
                <w:rFonts w:ascii="仿宋" w:hAnsi="仿宋" w:eastAsia="仿宋"/>
                <w:highlight w:val="none"/>
              </w:rPr>
            </w:pPr>
            <w:r>
              <w:rPr>
                <w:rFonts w:hint="eastAsia" w:ascii="仿宋" w:hAnsi="仿宋" w:eastAsia="仿宋"/>
                <w:highlight w:val="none"/>
              </w:rPr>
              <w:t>物业管理</w:t>
            </w:r>
          </w:p>
        </w:tc>
        <w:tc>
          <w:tcPr>
            <w:tcW w:w="1758" w:type="dxa"/>
            <w:noWrap w:val="0"/>
            <w:vAlign w:val="center"/>
          </w:tcPr>
          <w:p w14:paraId="067C6F4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6B9892DE">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F213F55">
            <w:pPr>
              <w:spacing w:line="500" w:lineRule="exact"/>
              <w:jc w:val="center"/>
              <w:rPr>
                <w:rFonts w:eastAsia="仿宋"/>
                <w:highlight w:val="none"/>
              </w:rPr>
            </w:pPr>
            <w:r>
              <w:rPr>
                <w:rFonts w:eastAsia="仿宋"/>
                <w:highlight w:val="none"/>
              </w:rPr>
              <w:t>300≤X&lt;1000</w:t>
            </w:r>
          </w:p>
        </w:tc>
        <w:tc>
          <w:tcPr>
            <w:tcW w:w="1572" w:type="dxa"/>
            <w:noWrap w:val="0"/>
            <w:vAlign w:val="center"/>
          </w:tcPr>
          <w:p w14:paraId="04CB02BD">
            <w:pPr>
              <w:spacing w:line="500" w:lineRule="exact"/>
              <w:jc w:val="center"/>
              <w:rPr>
                <w:rFonts w:eastAsia="仿宋"/>
                <w:highlight w:val="none"/>
              </w:rPr>
            </w:pPr>
            <w:r>
              <w:rPr>
                <w:rFonts w:eastAsia="仿宋"/>
                <w:highlight w:val="none"/>
              </w:rPr>
              <w:t>100≤X&lt;300</w:t>
            </w:r>
          </w:p>
        </w:tc>
        <w:tc>
          <w:tcPr>
            <w:tcW w:w="1036" w:type="dxa"/>
            <w:noWrap w:val="0"/>
            <w:vAlign w:val="center"/>
          </w:tcPr>
          <w:p w14:paraId="2CFC7F7C">
            <w:pPr>
              <w:spacing w:line="500" w:lineRule="exact"/>
              <w:jc w:val="center"/>
              <w:rPr>
                <w:rFonts w:eastAsia="仿宋"/>
                <w:highlight w:val="none"/>
              </w:rPr>
            </w:pPr>
            <w:r>
              <w:rPr>
                <w:rFonts w:eastAsia="仿宋"/>
                <w:highlight w:val="none"/>
              </w:rPr>
              <w:t>X&lt;100</w:t>
            </w:r>
          </w:p>
        </w:tc>
      </w:tr>
      <w:tr w14:paraId="6521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6D0F795A">
            <w:pPr>
              <w:spacing w:line="500" w:lineRule="exact"/>
              <w:jc w:val="center"/>
              <w:rPr>
                <w:rFonts w:ascii="仿宋" w:hAnsi="仿宋" w:eastAsia="仿宋"/>
                <w:highlight w:val="none"/>
              </w:rPr>
            </w:pPr>
          </w:p>
        </w:tc>
        <w:tc>
          <w:tcPr>
            <w:tcW w:w="1758" w:type="dxa"/>
            <w:noWrap w:val="0"/>
            <w:vAlign w:val="center"/>
          </w:tcPr>
          <w:p w14:paraId="4FCEC77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129F913">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1BA2534">
            <w:pPr>
              <w:spacing w:line="500" w:lineRule="exact"/>
              <w:jc w:val="center"/>
              <w:rPr>
                <w:rFonts w:eastAsia="仿宋"/>
                <w:highlight w:val="none"/>
              </w:rPr>
            </w:pPr>
            <w:r>
              <w:rPr>
                <w:rFonts w:eastAsia="仿宋"/>
                <w:highlight w:val="none"/>
              </w:rPr>
              <w:t>1000≤Y&lt;5000</w:t>
            </w:r>
          </w:p>
        </w:tc>
        <w:tc>
          <w:tcPr>
            <w:tcW w:w="1572" w:type="dxa"/>
            <w:noWrap w:val="0"/>
            <w:vAlign w:val="center"/>
          </w:tcPr>
          <w:p w14:paraId="587EBD31">
            <w:pPr>
              <w:spacing w:line="500" w:lineRule="exact"/>
              <w:jc w:val="center"/>
              <w:rPr>
                <w:rFonts w:eastAsia="仿宋"/>
                <w:highlight w:val="none"/>
              </w:rPr>
            </w:pPr>
            <w:r>
              <w:rPr>
                <w:rFonts w:eastAsia="仿宋"/>
                <w:highlight w:val="none"/>
              </w:rPr>
              <w:t>500≤Y&lt;1000</w:t>
            </w:r>
          </w:p>
        </w:tc>
        <w:tc>
          <w:tcPr>
            <w:tcW w:w="1036" w:type="dxa"/>
            <w:noWrap w:val="0"/>
            <w:vAlign w:val="center"/>
          </w:tcPr>
          <w:p w14:paraId="76225F51">
            <w:pPr>
              <w:spacing w:line="500" w:lineRule="exact"/>
              <w:jc w:val="center"/>
              <w:rPr>
                <w:rFonts w:eastAsia="仿宋"/>
                <w:highlight w:val="none"/>
              </w:rPr>
            </w:pPr>
            <w:r>
              <w:rPr>
                <w:rFonts w:eastAsia="仿宋"/>
                <w:highlight w:val="none"/>
              </w:rPr>
              <w:t>Y&lt;500</w:t>
            </w:r>
          </w:p>
        </w:tc>
      </w:tr>
      <w:tr w14:paraId="4E41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restart"/>
            <w:noWrap w:val="0"/>
            <w:vAlign w:val="center"/>
          </w:tcPr>
          <w:p w14:paraId="413D53BA">
            <w:pPr>
              <w:spacing w:line="500" w:lineRule="exact"/>
              <w:jc w:val="center"/>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758" w:type="dxa"/>
            <w:noWrap w:val="0"/>
            <w:vAlign w:val="center"/>
          </w:tcPr>
          <w:p w14:paraId="75E40C4A">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55E8AF19">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6D0F2CC7">
            <w:pPr>
              <w:spacing w:line="500" w:lineRule="exact"/>
              <w:jc w:val="center"/>
              <w:rPr>
                <w:rFonts w:eastAsia="仿宋"/>
                <w:highlight w:val="none"/>
              </w:rPr>
            </w:pPr>
            <w:r>
              <w:rPr>
                <w:rFonts w:eastAsia="仿宋"/>
                <w:highlight w:val="none"/>
              </w:rPr>
              <w:t>100≤X&lt;300</w:t>
            </w:r>
          </w:p>
        </w:tc>
        <w:tc>
          <w:tcPr>
            <w:tcW w:w="1572" w:type="dxa"/>
            <w:noWrap w:val="0"/>
            <w:vAlign w:val="center"/>
          </w:tcPr>
          <w:p w14:paraId="1D4A7FDF">
            <w:pPr>
              <w:spacing w:line="500" w:lineRule="exact"/>
              <w:jc w:val="center"/>
              <w:rPr>
                <w:rFonts w:eastAsia="仿宋"/>
                <w:highlight w:val="none"/>
              </w:rPr>
            </w:pPr>
            <w:r>
              <w:rPr>
                <w:rFonts w:eastAsia="仿宋"/>
                <w:highlight w:val="none"/>
              </w:rPr>
              <w:t>10≤X&lt;100</w:t>
            </w:r>
          </w:p>
        </w:tc>
        <w:tc>
          <w:tcPr>
            <w:tcW w:w="1036" w:type="dxa"/>
            <w:noWrap w:val="0"/>
            <w:vAlign w:val="center"/>
          </w:tcPr>
          <w:p w14:paraId="415EFBC0">
            <w:pPr>
              <w:spacing w:line="500" w:lineRule="exact"/>
              <w:jc w:val="center"/>
              <w:rPr>
                <w:rFonts w:eastAsia="仿宋"/>
                <w:highlight w:val="none"/>
              </w:rPr>
            </w:pPr>
            <w:r>
              <w:rPr>
                <w:rFonts w:eastAsia="仿宋"/>
                <w:highlight w:val="none"/>
              </w:rPr>
              <w:t>X&lt;10</w:t>
            </w:r>
          </w:p>
        </w:tc>
      </w:tr>
      <w:tr w14:paraId="644B0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vMerge w:val="continue"/>
            <w:noWrap w:val="0"/>
            <w:vAlign w:val="center"/>
          </w:tcPr>
          <w:p w14:paraId="5A91BC6E">
            <w:pPr>
              <w:spacing w:line="500" w:lineRule="exact"/>
              <w:jc w:val="center"/>
              <w:rPr>
                <w:rFonts w:ascii="仿宋" w:hAnsi="仿宋" w:eastAsia="仿宋"/>
                <w:highlight w:val="none"/>
              </w:rPr>
            </w:pPr>
          </w:p>
        </w:tc>
        <w:tc>
          <w:tcPr>
            <w:tcW w:w="1758" w:type="dxa"/>
            <w:noWrap w:val="0"/>
            <w:vAlign w:val="center"/>
          </w:tcPr>
          <w:p w14:paraId="00402829">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4338A076">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AC5915B">
            <w:pPr>
              <w:spacing w:line="500" w:lineRule="exact"/>
              <w:jc w:val="center"/>
              <w:rPr>
                <w:rFonts w:eastAsia="仿宋"/>
                <w:highlight w:val="none"/>
              </w:rPr>
            </w:pPr>
            <w:r>
              <w:rPr>
                <w:rFonts w:eastAsia="仿宋"/>
                <w:highlight w:val="none"/>
              </w:rPr>
              <w:t>8000≤Z &lt;120000</w:t>
            </w:r>
          </w:p>
        </w:tc>
        <w:tc>
          <w:tcPr>
            <w:tcW w:w="1572" w:type="dxa"/>
            <w:noWrap w:val="0"/>
            <w:vAlign w:val="center"/>
          </w:tcPr>
          <w:p w14:paraId="4767F0B4">
            <w:pPr>
              <w:spacing w:line="500" w:lineRule="exact"/>
              <w:jc w:val="center"/>
              <w:rPr>
                <w:rFonts w:eastAsia="仿宋"/>
                <w:highlight w:val="none"/>
              </w:rPr>
            </w:pPr>
            <w:r>
              <w:rPr>
                <w:rFonts w:eastAsia="仿宋"/>
                <w:highlight w:val="none"/>
              </w:rPr>
              <w:t>100≤Z &lt;8000</w:t>
            </w:r>
          </w:p>
        </w:tc>
        <w:tc>
          <w:tcPr>
            <w:tcW w:w="1036" w:type="dxa"/>
            <w:noWrap w:val="0"/>
            <w:vAlign w:val="center"/>
          </w:tcPr>
          <w:p w14:paraId="20F9ED6F">
            <w:pPr>
              <w:spacing w:line="500" w:lineRule="exact"/>
              <w:jc w:val="center"/>
              <w:rPr>
                <w:rFonts w:eastAsia="仿宋"/>
                <w:highlight w:val="none"/>
              </w:rPr>
            </w:pPr>
            <w:r>
              <w:rPr>
                <w:rFonts w:eastAsia="仿宋"/>
                <w:highlight w:val="none"/>
              </w:rPr>
              <w:t>Z&lt;100</w:t>
            </w:r>
          </w:p>
        </w:tc>
      </w:tr>
      <w:tr w14:paraId="1BB0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63" w:type="dxa"/>
            <w:noWrap w:val="0"/>
            <w:vAlign w:val="center"/>
          </w:tcPr>
          <w:p w14:paraId="25690614">
            <w:pPr>
              <w:spacing w:line="500" w:lineRule="exact"/>
              <w:jc w:val="center"/>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758" w:type="dxa"/>
            <w:noWrap w:val="0"/>
            <w:vAlign w:val="center"/>
          </w:tcPr>
          <w:p w14:paraId="5846A98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2DF9AE87">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5DE03A0D">
            <w:pPr>
              <w:spacing w:line="500" w:lineRule="exact"/>
              <w:jc w:val="center"/>
              <w:rPr>
                <w:rFonts w:eastAsia="仿宋"/>
                <w:highlight w:val="none"/>
              </w:rPr>
            </w:pPr>
            <w:r>
              <w:rPr>
                <w:rFonts w:eastAsia="仿宋"/>
                <w:highlight w:val="none"/>
              </w:rPr>
              <w:t>100≤X&lt;300</w:t>
            </w:r>
          </w:p>
        </w:tc>
        <w:tc>
          <w:tcPr>
            <w:tcW w:w="1572" w:type="dxa"/>
            <w:noWrap w:val="0"/>
            <w:vAlign w:val="center"/>
          </w:tcPr>
          <w:p w14:paraId="228F7D1F">
            <w:pPr>
              <w:spacing w:line="500" w:lineRule="exact"/>
              <w:jc w:val="center"/>
              <w:rPr>
                <w:rFonts w:eastAsia="仿宋"/>
                <w:highlight w:val="none"/>
              </w:rPr>
            </w:pPr>
            <w:r>
              <w:rPr>
                <w:rFonts w:eastAsia="仿宋"/>
                <w:highlight w:val="none"/>
              </w:rPr>
              <w:t>10≤X&lt;100</w:t>
            </w:r>
          </w:p>
        </w:tc>
        <w:tc>
          <w:tcPr>
            <w:tcW w:w="1036" w:type="dxa"/>
            <w:noWrap w:val="0"/>
            <w:vAlign w:val="center"/>
          </w:tcPr>
          <w:p w14:paraId="6DE52033">
            <w:pPr>
              <w:spacing w:line="500" w:lineRule="exact"/>
              <w:jc w:val="center"/>
              <w:rPr>
                <w:rFonts w:eastAsia="仿宋"/>
                <w:highlight w:val="none"/>
              </w:rPr>
            </w:pPr>
            <w:r>
              <w:rPr>
                <w:rFonts w:eastAsia="仿宋"/>
                <w:highlight w:val="none"/>
              </w:rPr>
              <w:t>X&lt;10</w:t>
            </w:r>
          </w:p>
        </w:tc>
      </w:tr>
    </w:tbl>
    <w:p w14:paraId="23213170">
      <w:pPr>
        <w:spacing w:line="500" w:lineRule="exact"/>
        <w:ind w:firstLine="420"/>
        <w:rPr>
          <w:rFonts w:ascii="仿宋" w:hAnsi="仿宋" w:eastAsia="仿宋"/>
          <w:sz w:val="28"/>
          <w:szCs w:val="28"/>
          <w:highlight w:val="none"/>
        </w:rPr>
      </w:pPr>
      <w:r>
        <w:rPr>
          <w:rFonts w:hint="eastAsia" w:ascii="仿宋" w:hAnsi="仿宋" w:eastAsia="仿宋"/>
          <w:highlight w:val="none"/>
        </w:rPr>
        <w:t>说明：大型、中型和小型企业须同时满足所列指标的下限，否则下划一档；微型企业只须满足所列指标中的一项即可。</w:t>
      </w:r>
    </w:p>
    <w:p w14:paraId="7D4B9D3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残疾人福利单位价格扣除</w:t>
      </w:r>
    </w:p>
    <w:p w14:paraId="5327D67B">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ascii="仿宋" w:hAnsi="仿宋" w:eastAsia="仿宋"/>
          <w:sz w:val="28"/>
          <w:szCs w:val="28"/>
          <w:highlight w:val="none"/>
        </w:rPr>
        <w:t>受政府采购支持政策的残疾人福利性单位应当同时满足以下条件：</w:t>
      </w:r>
    </w:p>
    <w:p w14:paraId="569C81E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ascii="仿宋" w:hAnsi="仿宋" w:eastAsia="仿宋"/>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18206C9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 xml:space="preserve"> </w:t>
      </w:r>
      <w:r>
        <w:rPr>
          <w:rFonts w:ascii="仿宋" w:hAnsi="仿宋" w:eastAsia="仿宋"/>
          <w:sz w:val="28"/>
          <w:szCs w:val="28"/>
          <w:highlight w:val="none"/>
        </w:rPr>
        <w:t>依法与安置的每位残疾人签订了一年以上（含一年）的劳动合同或服务协议；</w:t>
      </w:r>
    </w:p>
    <w:p w14:paraId="7DC6859D">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③</w:t>
      </w:r>
      <w:r>
        <w:rPr>
          <w:rFonts w:hint="eastAsia" w:ascii="仿宋" w:hAnsi="仿宋" w:eastAsia="仿宋"/>
          <w:sz w:val="28"/>
          <w:szCs w:val="28"/>
          <w:highlight w:val="none"/>
        </w:rPr>
        <w:t xml:space="preserve"> </w:t>
      </w:r>
      <w:r>
        <w:rPr>
          <w:rFonts w:ascii="仿宋" w:hAnsi="仿宋" w:eastAsia="仿宋"/>
          <w:sz w:val="28"/>
          <w:szCs w:val="28"/>
          <w:highlight w:val="none"/>
        </w:rPr>
        <w:t>为安置的每位残疾人按月足额缴纳了基本养老保险、基本医疗保险、失业保险、工伤保险和生育保险等社会保险费；</w:t>
      </w:r>
    </w:p>
    <w:p w14:paraId="62AAF38D">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④</w:t>
      </w:r>
      <w:r>
        <w:rPr>
          <w:rFonts w:hint="eastAsia" w:ascii="仿宋" w:hAnsi="仿宋" w:eastAsia="仿宋"/>
          <w:sz w:val="28"/>
          <w:szCs w:val="28"/>
          <w:highlight w:val="none"/>
        </w:rPr>
        <w:t xml:space="preserve"> </w:t>
      </w:r>
      <w:r>
        <w:rPr>
          <w:rFonts w:ascii="仿宋" w:hAnsi="仿宋" w:eastAsia="仿宋"/>
          <w:sz w:val="28"/>
          <w:szCs w:val="28"/>
          <w:highlight w:val="none"/>
        </w:rPr>
        <w:t>通过银行等金融机构向安置的每位残疾人，按月支付了不低于单位所在区县适用的经省级人民政府批准的月最低工资标准的工资；</w:t>
      </w:r>
    </w:p>
    <w:p w14:paraId="714C2A1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⑤</w:t>
      </w:r>
      <w:r>
        <w:rPr>
          <w:rFonts w:hint="eastAsia" w:ascii="仿宋" w:hAnsi="仿宋" w:eastAsia="仿宋"/>
          <w:sz w:val="28"/>
          <w:szCs w:val="28"/>
          <w:highlight w:val="none"/>
        </w:rPr>
        <w:t xml:space="preserve"> </w:t>
      </w:r>
      <w:r>
        <w:rPr>
          <w:rFonts w:ascii="仿宋" w:hAnsi="仿宋" w:eastAsia="仿宋"/>
          <w:sz w:val="28"/>
          <w:szCs w:val="28"/>
          <w:highlight w:val="none"/>
        </w:rPr>
        <w:t>提供本单位制造的货物、承担的工程或者服务（以下简称产品），或者提供其他残疾人福利性单位制造的货物（不包括使用非残疾人福利性单位注册商标的货物）。</w:t>
      </w:r>
    </w:p>
    <w:p w14:paraId="631017E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ascii="仿宋" w:hAnsi="仿宋" w:eastAsia="仿宋"/>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76982EB">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残疾人福利单位需按照采购文件的要求提供《残疾人福利性单位声明函》，否则不予享受。</w:t>
      </w:r>
    </w:p>
    <w:p w14:paraId="4D53EDFD">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残疾人福利单位属于小型、微型企业的，不重复享受政策。</w:t>
      </w:r>
    </w:p>
    <w:p w14:paraId="53AA0D7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监狱和戒毒企业价格扣除</w:t>
      </w:r>
    </w:p>
    <w:p w14:paraId="0783AB6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76875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监狱企业参加政府采购活动时，应当提供由省级以上监狱管理局、戒毒管理局(含新疆生产建设兵团)出具的属于监狱企业的证明文件。</w:t>
      </w:r>
    </w:p>
    <w:p w14:paraId="716EC7C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在政府采购活动中，监狱企业视同小型、微型企业，享受预留份额、评审中价格扣除等政府采购促进中小企业发展的政府采购政策。</w:t>
      </w:r>
    </w:p>
    <w:p w14:paraId="5DD4EF1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监狱企业属于小型、微型企业的，不重复享受政策。</w:t>
      </w:r>
    </w:p>
    <w:p w14:paraId="79F7E0E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根据《财政部、发展改革委关于印发节能产品政府采购品目清单的通知》（</w:t>
      </w:r>
      <w:r>
        <w:rPr>
          <w:rFonts w:hint="eastAsia" w:ascii="仿宋" w:hAnsi="仿宋" w:eastAsia="仿宋" w:cs="宋体"/>
          <w:color w:val="000000"/>
          <w:sz w:val="26"/>
          <w:szCs w:val="26"/>
          <w:highlight w:val="none"/>
        </w:rPr>
        <w:t>财库〔2019〕19号</w:t>
      </w:r>
      <w:r>
        <w:rPr>
          <w:rFonts w:hint="eastAsia" w:ascii="仿宋" w:hAnsi="仿宋" w:eastAsia="仿宋"/>
          <w:sz w:val="28"/>
          <w:szCs w:val="28"/>
          <w:highlight w:val="none"/>
        </w:rPr>
        <w:t>）要求，下列产品实行强制采购或者优先采购：</w:t>
      </w:r>
    </w:p>
    <w:p w14:paraId="18341B5B">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6D019E2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7CACF1D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内的</w:t>
      </w:r>
      <w:r>
        <w:rPr>
          <w:rFonts w:hint="eastAsia" w:ascii="仿宋" w:hAnsi="仿宋" w:eastAsia="仿宋"/>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5F33D25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 xml:space="preserve"> 根据《江苏省政府采购供应商监督管理暂行办法》的规定，诚信记录分每减10分，给予本项目总分值2%的扣分，扣分最多不超过本项目总分值6%。</w:t>
      </w:r>
    </w:p>
    <w:p w14:paraId="673AA8E7">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64" w:name="_Toc18510"/>
      <w:r>
        <w:rPr>
          <w:rFonts w:hint="eastAsia" w:ascii="黑体" w:hAnsi="黑体" w:eastAsia="黑体" w:cs="黑体"/>
          <w:color w:val="auto"/>
          <w:sz w:val="30"/>
          <w:szCs w:val="30"/>
          <w:highlight w:val="none"/>
          <w:shd w:val="clear" w:color="auto" w:fill="FFFFFF"/>
        </w:rPr>
        <w:t>六、框架协议的期限</w:t>
      </w:r>
      <w:bookmarkEnd w:id="64"/>
    </w:p>
    <w:p w14:paraId="0FBEA758">
      <w:pPr>
        <w:pStyle w:val="37"/>
        <w:widowControl/>
        <w:spacing w:beforeAutospacing="0" w:afterAutospacing="0" w:line="500" w:lineRule="exact"/>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r>
        <w:rPr>
          <w:rFonts w:hint="eastAsia" w:ascii="仿宋" w:hAnsi="仿宋" w:eastAsia="仿宋" w:cs="仿宋"/>
          <w:bCs/>
          <w:sz w:val="28"/>
          <w:szCs w:val="28"/>
          <w:highlight w:val="none"/>
        </w:rPr>
        <w:t>自合同签订后</w:t>
      </w:r>
      <w:r>
        <w:rPr>
          <w:rFonts w:hint="eastAsia" w:ascii="仿宋" w:hAnsi="仿宋" w:eastAsia="仿宋" w:cs="仿宋"/>
          <w:color w:val="auto"/>
          <w:sz w:val="28"/>
          <w:szCs w:val="28"/>
          <w:highlight w:val="none"/>
          <w:lang w:eastAsia="zh-CN"/>
        </w:rPr>
        <w:t>至202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日止</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具体时间应结合工作进展</w:t>
      </w:r>
      <w:r>
        <w:rPr>
          <w:rFonts w:hint="eastAsia" w:ascii="仿宋" w:hAnsi="仿宋" w:eastAsia="仿宋" w:cs="仿宋"/>
          <w:color w:val="auto"/>
          <w:sz w:val="28"/>
          <w:szCs w:val="28"/>
          <w:highlight w:val="none"/>
          <w:lang w:eastAsia="zh-CN"/>
        </w:rPr>
        <w:t>，</w:t>
      </w:r>
      <w:r>
        <w:rPr>
          <w:rFonts w:hint="eastAsia" w:ascii="仿宋" w:hAnsi="仿宋" w:eastAsia="仿宋" w:cs="仿宋"/>
          <w:bCs/>
          <w:sz w:val="28"/>
          <w:szCs w:val="28"/>
          <w:highlight w:val="none"/>
        </w:rPr>
        <w:t>时间以采购人通知为准。</w:t>
      </w:r>
    </w:p>
    <w:p w14:paraId="1589D8F7">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65" w:name="_Toc19406"/>
      <w:r>
        <w:rPr>
          <w:rFonts w:hint="eastAsia" w:ascii="黑体" w:hAnsi="黑体" w:eastAsia="黑体" w:cs="黑体"/>
          <w:color w:val="auto"/>
          <w:sz w:val="30"/>
          <w:szCs w:val="30"/>
          <w:highlight w:val="none"/>
          <w:shd w:val="clear" w:color="auto" w:fill="FFFFFF"/>
        </w:rPr>
        <w:t>七、报价要求</w:t>
      </w:r>
      <w:bookmarkEnd w:id="65"/>
    </w:p>
    <w:p w14:paraId="5EBA0B47">
      <w:pPr>
        <w:pageBreakBefore w:val="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一）</w:t>
      </w:r>
      <w:r>
        <w:rPr>
          <w:rFonts w:hint="eastAsia" w:ascii="仿宋" w:hAnsi="仿宋" w:eastAsia="仿宋" w:cs="仿宋"/>
          <w:color w:val="auto"/>
          <w:sz w:val="28"/>
          <w:szCs w:val="28"/>
          <w:highlight w:val="none"/>
        </w:rPr>
        <w:t>报价应包含服务期内</w:t>
      </w:r>
      <w:r>
        <w:rPr>
          <w:rFonts w:hint="eastAsia" w:ascii="仿宋" w:hAnsi="仿宋" w:eastAsia="仿宋" w:cs="仿宋"/>
          <w:color w:val="auto"/>
          <w:sz w:val="28"/>
          <w:szCs w:val="28"/>
          <w:highlight w:val="none"/>
          <w:lang w:val="en-US" w:eastAsia="zh-CN"/>
        </w:rPr>
        <w:t>所有</w:t>
      </w:r>
      <w:r>
        <w:rPr>
          <w:rFonts w:hint="eastAsia" w:ascii="仿宋" w:hAnsi="仿宋" w:eastAsia="仿宋" w:cs="仿宋"/>
          <w:color w:val="auto"/>
          <w:sz w:val="28"/>
          <w:szCs w:val="28"/>
          <w:highlight w:val="none"/>
        </w:rPr>
        <w:t>的</w:t>
      </w:r>
      <w:r>
        <w:rPr>
          <w:rFonts w:hint="eastAsia" w:ascii="仿宋" w:hAnsi="仿宋" w:eastAsia="仿宋" w:cs="仿宋"/>
          <w:sz w:val="28"/>
          <w:szCs w:val="28"/>
          <w:highlight w:val="none"/>
          <w:lang w:val="en-US" w:eastAsia="zh-CN"/>
        </w:rPr>
        <w:t>材料、检测、人工、机械、运输、税费、安全费、</w:t>
      </w:r>
      <w:r>
        <w:rPr>
          <w:rFonts w:hint="eastAsia" w:ascii="仿宋" w:hAnsi="仿宋" w:eastAsia="仿宋" w:cs="仿宋"/>
          <w:color w:val="auto"/>
          <w:sz w:val="28"/>
          <w:szCs w:val="28"/>
          <w:highlight w:val="none"/>
        </w:rPr>
        <w:t>采购代理服务等一切与本项目相关的费用。</w:t>
      </w:r>
    </w:p>
    <w:p w14:paraId="2C2D6C3F">
      <w:pPr>
        <w:pageBreakBefore w:val="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二</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响应供应商应对采购文件内的全部内容进行响应，采购文件未列明，而供应商认为其他必需的费用也需列入单价中。在合同实施时，采购方将不予支付成交人没有填列的项目费用，并认为此项目的费用已包括在报价中。</w:t>
      </w:r>
    </w:p>
    <w:p w14:paraId="45380051">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66" w:name="_Toc20257"/>
      <w:r>
        <w:rPr>
          <w:rFonts w:hint="eastAsia" w:ascii="黑体" w:hAnsi="黑体" w:eastAsia="黑体" w:cs="黑体"/>
          <w:color w:val="auto"/>
          <w:sz w:val="30"/>
          <w:szCs w:val="30"/>
          <w:highlight w:val="none"/>
          <w:shd w:val="clear" w:color="auto" w:fill="FFFFFF"/>
        </w:rPr>
        <w:t>八、确定第一阶段入围供应商的评审方法、评审标准、确定入围供应商的淘汰率或者入围供应商数量上限和响应文件无效情形 </w:t>
      </w:r>
      <w:bookmarkEnd w:id="66"/>
    </w:p>
    <w:p w14:paraId="3E26D92D">
      <w:pPr>
        <w:spacing w:line="480" w:lineRule="exact"/>
        <w:ind w:firstLine="560"/>
        <w:rPr>
          <w:rFonts w:ascii="仿宋" w:hAnsi="仿宋" w:eastAsia="仿宋"/>
          <w:color w:val="auto"/>
          <w:sz w:val="28"/>
          <w:szCs w:val="28"/>
          <w:highlight w:val="none"/>
          <w:lang w:bidi="ar"/>
        </w:rPr>
      </w:pPr>
      <w:r>
        <w:rPr>
          <w:rFonts w:hint="eastAsia" w:ascii="仿宋" w:hAnsi="仿宋" w:eastAsia="仿宋"/>
          <w:color w:val="auto"/>
          <w:sz w:val="28"/>
          <w:szCs w:val="28"/>
          <w:highlight w:val="none"/>
          <w:lang w:bidi="ar"/>
        </w:rPr>
        <w:t>（一）评审标准和方法：</w:t>
      </w:r>
    </w:p>
    <w:p w14:paraId="58994130">
      <w:pPr>
        <w:pStyle w:val="37"/>
        <w:widowControl/>
        <w:spacing w:beforeAutospacing="0" w:afterAutospacing="0" w:line="480" w:lineRule="exact"/>
        <w:ind w:firstLine="560"/>
        <w:jc w:val="both"/>
        <w:rPr>
          <w:rFonts w:ascii="仿宋" w:hAnsi="仿宋" w:eastAsia="仿宋"/>
          <w:color w:val="auto"/>
          <w:sz w:val="28"/>
          <w:szCs w:val="28"/>
          <w:highlight w:val="none"/>
        </w:rPr>
      </w:pPr>
      <w:r>
        <w:rPr>
          <w:rFonts w:hint="eastAsia" w:ascii="仿宋" w:hAnsi="仿宋" w:eastAsia="仿宋" w:cstheme="minorBidi"/>
          <w:color w:val="auto"/>
          <w:sz w:val="28"/>
          <w:szCs w:val="28"/>
          <w:highlight w:val="none"/>
          <w:lang w:bidi="ar"/>
        </w:rPr>
        <w:t>1.本项采用服务</w:t>
      </w:r>
      <w:r>
        <w:rPr>
          <w:rFonts w:hint="eastAsia" w:ascii="仿宋" w:hAnsi="仿宋" w:eastAsia="仿宋" w:cstheme="minorBidi"/>
          <w:bCs/>
          <w:color w:val="auto"/>
          <w:sz w:val="28"/>
          <w:szCs w:val="28"/>
          <w:highlight w:val="none"/>
        </w:rPr>
        <w:t>质量优先法</w:t>
      </w:r>
      <w:r>
        <w:rPr>
          <w:rFonts w:hint="eastAsia" w:ascii="仿宋" w:hAnsi="仿宋" w:eastAsia="仿宋"/>
          <w:color w:val="auto"/>
          <w:sz w:val="28"/>
          <w:szCs w:val="28"/>
          <w:highlight w:val="none"/>
        </w:rPr>
        <w:t>。</w:t>
      </w:r>
    </w:p>
    <w:p w14:paraId="5B465BE8">
      <w:pPr>
        <w:pStyle w:val="37"/>
        <w:widowControl/>
        <w:spacing w:beforeAutospacing="0" w:afterAutospacing="0" w:line="480" w:lineRule="exact"/>
        <w:ind w:firstLine="560"/>
        <w:jc w:val="both"/>
        <w:rPr>
          <w:rFonts w:ascii="仿宋" w:hAnsi="仿宋" w:eastAsia="仿宋"/>
          <w:color w:val="auto"/>
          <w:sz w:val="28"/>
          <w:szCs w:val="28"/>
          <w:highlight w:val="none"/>
        </w:rPr>
      </w:pPr>
      <w:r>
        <w:rPr>
          <w:rFonts w:hint="eastAsia" w:ascii="仿宋" w:hAnsi="仿宋" w:eastAsia="仿宋"/>
          <w:color w:val="auto"/>
          <w:sz w:val="28"/>
          <w:szCs w:val="28"/>
          <w:highlight w:val="none"/>
        </w:rPr>
        <w:t>2.评审小组将对通过资格符合性检查的各合格供应商根据质量评分表进行量化打分，得分从高到</w:t>
      </w:r>
      <w:r>
        <w:rPr>
          <w:rFonts w:hint="eastAsia" w:ascii="仿宋" w:hAnsi="仿宋" w:eastAsia="仿宋"/>
          <w:color w:val="auto"/>
          <w:sz w:val="28"/>
          <w:szCs w:val="28"/>
          <w:highlight w:val="none"/>
          <w:lang w:val="en-US" w:eastAsia="zh-CN"/>
        </w:rPr>
        <w:t>低</w:t>
      </w:r>
      <w:r>
        <w:rPr>
          <w:rFonts w:hint="eastAsia" w:ascii="仿宋" w:hAnsi="仿宋" w:eastAsia="仿宋"/>
          <w:color w:val="auto"/>
          <w:sz w:val="28"/>
          <w:szCs w:val="28"/>
          <w:highlight w:val="none"/>
        </w:rPr>
        <w:t>排名，取1-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名为入围供应商。若总分得分相同，则依据技术力量得分、业绩得分、服务响应情况得分依次排名，若得分全部相同则抽签确定。</w:t>
      </w:r>
    </w:p>
    <w:p w14:paraId="78256367">
      <w:pPr>
        <w:pStyle w:val="37"/>
        <w:widowControl/>
        <w:spacing w:beforeAutospacing="0" w:afterAutospacing="0" w:line="480" w:lineRule="exact"/>
        <w:ind w:firstLine="560"/>
        <w:jc w:val="both"/>
        <w:rPr>
          <w:rFonts w:ascii="仿宋" w:hAnsi="仿宋" w:eastAsia="仿宋"/>
          <w:color w:val="auto"/>
          <w:sz w:val="28"/>
          <w:szCs w:val="28"/>
          <w:highlight w:val="none"/>
        </w:rPr>
      </w:pPr>
      <w:r>
        <w:rPr>
          <w:rFonts w:hint="eastAsia" w:ascii="仿宋" w:hAnsi="仿宋" w:eastAsia="仿宋"/>
          <w:color w:val="auto"/>
          <w:sz w:val="28"/>
          <w:szCs w:val="28"/>
          <w:highlight w:val="none"/>
        </w:rPr>
        <w:t>（二）本项目淘汰率设为</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0%且至少淘汰1家；入围供应商上限数设为</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家；如报名家数不足，入围家数依据淘汰率淘汰后递减。</w:t>
      </w:r>
    </w:p>
    <w:p w14:paraId="6144BA2D">
      <w:pPr>
        <w:pStyle w:val="37"/>
        <w:widowControl/>
        <w:spacing w:beforeAutospacing="0" w:afterAutospacing="0" w:line="480" w:lineRule="exact"/>
        <w:ind w:firstLine="560"/>
        <w:jc w:val="both"/>
        <w:rPr>
          <w:rFonts w:ascii="仿宋" w:hAnsi="仿宋" w:eastAsia="仿宋" w:cstheme="minorBidi"/>
          <w:color w:val="auto"/>
          <w:sz w:val="28"/>
          <w:szCs w:val="28"/>
          <w:highlight w:val="none"/>
          <w:lang w:bidi="ar"/>
        </w:rPr>
      </w:pPr>
      <w:r>
        <w:rPr>
          <w:rFonts w:hint="eastAsia" w:ascii="仿宋" w:hAnsi="仿宋" w:eastAsia="仿宋" w:cstheme="minorBidi"/>
          <w:color w:val="auto"/>
          <w:sz w:val="28"/>
          <w:szCs w:val="28"/>
          <w:highlight w:val="none"/>
          <w:lang w:bidi="ar"/>
        </w:rPr>
        <w:t>（三）质量评分表</w:t>
      </w:r>
    </w:p>
    <w:tbl>
      <w:tblPr>
        <w:tblStyle w:val="41"/>
        <w:tblpPr w:leftFromText="180" w:rightFromText="180" w:vertAnchor="text" w:horzAnchor="page" w:tblpX="1680" w:tblpY="792"/>
        <w:tblW w:w="9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225"/>
        <w:gridCol w:w="2400"/>
        <w:gridCol w:w="4900"/>
      </w:tblGrid>
      <w:tr w14:paraId="557E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214782D9">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序号</w:t>
            </w:r>
          </w:p>
        </w:tc>
        <w:tc>
          <w:tcPr>
            <w:tcW w:w="1225" w:type="dxa"/>
            <w:noWrap w:val="0"/>
            <w:vAlign w:val="center"/>
          </w:tcPr>
          <w:p w14:paraId="0A67E8AF">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评审因素</w:t>
            </w:r>
          </w:p>
        </w:tc>
        <w:tc>
          <w:tcPr>
            <w:tcW w:w="2400" w:type="dxa"/>
            <w:noWrap w:val="0"/>
            <w:vAlign w:val="center"/>
          </w:tcPr>
          <w:p w14:paraId="38D9207A">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评审分值</w:t>
            </w:r>
          </w:p>
        </w:tc>
        <w:tc>
          <w:tcPr>
            <w:tcW w:w="4900" w:type="dxa"/>
            <w:noWrap w:val="0"/>
            <w:vAlign w:val="center"/>
          </w:tcPr>
          <w:p w14:paraId="05166CC8">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评审要求或标准</w:t>
            </w:r>
          </w:p>
        </w:tc>
      </w:tr>
      <w:tr w14:paraId="285BF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49E088D4">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w:t>
            </w:r>
          </w:p>
        </w:tc>
        <w:tc>
          <w:tcPr>
            <w:tcW w:w="1225" w:type="dxa"/>
            <w:noWrap w:val="0"/>
            <w:vAlign w:val="center"/>
          </w:tcPr>
          <w:p w14:paraId="6AD8B274">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人员配备</w:t>
            </w:r>
          </w:p>
        </w:tc>
        <w:tc>
          <w:tcPr>
            <w:tcW w:w="2400" w:type="dxa"/>
            <w:noWrap w:val="0"/>
            <w:vAlign w:val="center"/>
          </w:tcPr>
          <w:p w14:paraId="58F9A708">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14分</w:t>
            </w:r>
          </w:p>
        </w:tc>
        <w:tc>
          <w:tcPr>
            <w:tcW w:w="4900" w:type="dxa"/>
            <w:noWrap w:val="0"/>
            <w:vAlign w:val="center"/>
          </w:tcPr>
          <w:p w14:paraId="20BBEC71">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检验检测机构具有与食品抽检工作相匹配的专职抽样人员和检验人员。</w:t>
            </w:r>
          </w:p>
          <w:p w14:paraId="46A5BB82">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1.人员数量(10分)：</w:t>
            </w:r>
          </w:p>
          <w:p w14:paraId="5B6F5DF8">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（1）食品抽样人员12人以下不得分，达到12人得3分，12人以上每增加1人得0.5分，本项最高5分。</w:t>
            </w:r>
          </w:p>
          <w:p w14:paraId="704196C7">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（2）食品检验人员22人以下不得分，达到22人得3分，22人以上每增加1人得0.5分，本项最高5分。</w:t>
            </w:r>
          </w:p>
          <w:p w14:paraId="0081DE16">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抽样人员和检验人员不能同时申报。</w:t>
            </w:r>
          </w:p>
          <w:p w14:paraId="0A1AD450">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2.人员实力(4分)：食品检验人员中具有食品相关专业（食品、生物、化学）正高级职称每有1人得1分，具有食品相关专业（食品、生物、化学）副高级职称的，每有1人得0.5分，本项最高4分。</w:t>
            </w:r>
          </w:p>
          <w:p w14:paraId="6DB4643C">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注：以上人员须提供人员名册（含姓名、岗位、职称、从事抽检工作年限等）、学历证明、职称证明、2026年1月响应供应商单位为其缴纳社保证明等证明材料复印件并加盖响应供应商公章。</w:t>
            </w:r>
          </w:p>
        </w:tc>
      </w:tr>
      <w:tr w14:paraId="44F1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23A144D1">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p>
        </w:tc>
        <w:tc>
          <w:tcPr>
            <w:tcW w:w="1225" w:type="dxa"/>
            <w:noWrap w:val="0"/>
            <w:vAlign w:val="center"/>
          </w:tcPr>
          <w:p w14:paraId="3C843415">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设施投入</w:t>
            </w:r>
          </w:p>
        </w:tc>
        <w:tc>
          <w:tcPr>
            <w:tcW w:w="2400" w:type="dxa"/>
            <w:noWrap w:val="0"/>
            <w:vAlign w:val="center"/>
          </w:tcPr>
          <w:p w14:paraId="220C38D9">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22分</w:t>
            </w:r>
          </w:p>
        </w:tc>
        <w:tc>
          <w:tcPr>
            <w:tcW w:w="4900" w:type="dxa"/>
            <w:noWrap w:val="0"/>
            <w:vAlign w:val="center"/>
          </w:tcPr>
          <w:p w14:paraId="3F615498">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实验室场地（6分）：具备与食品检测工作相适应的实验场所，布局合理符合检验检测要求。食品检测实验室建筑面积达到5000(含）平方以上，并设立微生物检验区和理化检验区的，得6分；实验室面积在4500（含）-5000平方的，得5分；实验室面积在4000（含）-4500平方的，得4分；实验室面积在3500（含）-4000平方的，得3分；实验室面积在3000（含）-3500平方的，得2分；实验室面积在3000平方以下的，不得分。本项最高得6分。须提供实验室平面布局图，自有实验室须提供产权证明，租赁场地须提供租赁合同和产权证明复印件并加盖响应供应商公章。</w:t>
            </w:r>
          </w:p>
          <w:p w14:paraId="4184C9CF">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2.仪器设备（10分）：具有满足食品安全检测的设施及仪器设备。其中具有液质联用仪3台、气质联用仪3台、液相色谱仪4台、气相色谱仪3台、电感耦合等离子体质谱仪（ICP-MS）2 台、原子荧光光谱仪 1 台，原子吸收光谱仪1台，满足以上仪器台数要求得基础分 6 分。每增加 1 台加 1 分，本项最高得 10 分。须提供仪器设备清单、购置时间、台套数、发票复印件、仪器在实验室的照片等其他证明材料并加盖响应供应商公章，租赁不得分。</w:t>
            </w:r>
          </w:p>
          <w:p w14:paraId="19B7A4F4">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运输工具（6分）：具备满足食品抽样要求的抽样工具和车辆（含特殊温度要求的冷冻、冷藏设备）。（1）普通采样运输车有1台得0.4分，最多2分；（2）冷藏车有1台得1分，最多1分。（3）车载冰箱有1台得1分，最多2分。（4）用于采样过程取证的采样记录仪达到5部得1分。本项最高得6分。须提供</w:t>
            </w:r>
            <w:r>
              <w:rPr>
                <w:rFonts w:hint="default" w:ascii="Calibri" w:hAnsi="Calibri" w:eastAsia="仿宋" w:cs="Calibri"/>
                <w:b w:val="0"/>
                <w:bCs/>
                <w:color w:val="auto"/>
                <w:sz w:val="24"/>
                <w:szCs w:val="24"/>
                <w:highlight w:val="none"/>
                <w:lang w:val="en-US" w:eastAsia="zh-CN"/>
              </w:rPr>
              <w:t>①</w:t>
            </w:r>
            <w:r>
              <w:rPr>
                <w:rFonts w:hint="eastAsia" w:ascii="仿宋" w:hAnsi="仿宋" w:eastAsia="仿宋" w:cs="仿宋"/>
                <w:b w:val="0"/>
                <w:bCs/>
                <w:color w:val="auto"/>
                <w:sz w:val="24"/>
                <w:szCs w:val="24"/>
                <w:highlight w:val="none"/>
                <w:lang w:val="en-US" w:eastAsia="zh-CN"/>
              </w:rPr>
              <w:t>车载冰箱、采样记录仪发票；</w:t>
            </w:r>
            <w:r>
              <w:rPr>
                <w:rFonts w:hint="default" w:ascii="Calibri" w:hAnsi="Calibri" w:eastAsia="仿宋" w:cs="Calibri"/>
                <w:b w:val="0"/>
                <w:bCs/>
                <w:color w:val="auto"/>
                <w:sz w:val="24"/>
                <w:szCs w:val="24"/>
                <w:highlight w:val="none"/>
                <w:lang w:val="en-US" w:eastAsia="zh-CN"/>
              </w:rPr>
              <w:t>②</w:t>
            </w:r>
            <w:r>
              <w:rPr>
                <w:rFonts w:hint="eastAsia" w:ascii="仿宋" w:hAnsi="仿宋" w:eastAsia="仿宋" w:cs="仿宋"/>
                <w:b w:val="0"/>
                <w:bCs/>
                <w:color w:val="auto"/>
                <w:sz w:val="24"/>
                <w:szCs w:val="24"/>
                <w:highlight w:val="none"/>
                <w:lang w:val="en-US" w:eastAsia="zh-CN"/>
              </w:rPr>
              <w:t>车辆行驶证、图片、购置发票；</w:t>
            </w:r>
            <w:r>
              <w:rPr>
                <w:rFonts w:hint="default" w:ascii="Calibri" w:hAnsi="Calibri" w:eastAsia="仿宋" w:cs="Calibri"/>
                <w:b w:val="0"/>
                <w:bCs/>
                <w:color w:val="auto"/>
                <w:sz w:val="24"/>
                <w:szCs w:val="24"/>
                <w:highlight w:val="none"/>
                <w:lang w:val="en-US" w:eastAsia="zh-CN"/>
              </w:rPr>
              <w:t>③</w:t>
            </w:r>
            <w:r>
              <w:rPr>
                <w:rFonts w:hint="eastAsia" w:ascii="仿宋" w:hAnsi="仿宋" w:eastAsia="仿宋" w:cs="仿宋"/>
                <w:b w:val="0"/>
                <w:bCs/>
                <w:color w:val="auto"/>
                <w:sz w:val="24"/>
                <w:szCs w:val="24"/>
                <w:highlight w:val="none"/>
                <w:lang w:val="en-US" w:eastAsia="zh-CN"/>
              </w:rPr>
              <w:t>车载冰箱及车辆如为租赁的要提供租赁合同等证明材料复印件并加盖公章。</w:t>
            </w:r>
          </w:p>
        </w:tc>
      </w:tr>
      <w:tr w14:paraId="4F44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0CB3CECE">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w:t>
            </w:r>
          </w:p>
        </w:tc>
        <w:tc>
          <w:tcPr>
            <w:tcW w:w="1225" w:type="dxa"/>
            <w:noWrap w:val="0"/>
            <w:vAlign w:val="center"/>
          </w:tcPr>
          <w:p w14:paraId="2A2EDB0D">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样品送达时限</w:t>
            </w:r>
          </w:p>
        </w:tc>
        <w:tc>
          <w:tcPr>
            <w:tcW w:w="2400" w:type="dxa"/>
            <w:noWrap w:val="0"/>
            <w:vAlign w:val="center"/>
          </w:tcPr>
          <w:p w14:paraId="7912D016">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5分</w:t>
            </w:r>
          </w:p>
        </w:tc>
        <w:tc>
          <w:tcPr>
            <w:tcW w:w="4900" w:type="dxa"/>
            <w:noWrap w:val="0"/>
            <w:vAlign w:val="center"/>
          </w:tcPr>
          <w:p w14:paraId="2EC584FF">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服务时限（5分）：提供样品送达时限承诺函，同时提供单程服务时限以响应供应商实验室到如皋市市场监督管理局（地址：如皋市解放西路18号）的主流导航“驾车”模式截图为准（法定工作日间上午9:00到10:00之间为准，截图须显示具体日期、时间，否则，不予认可）。样品采集检测最优服务时限：抽检样品单程服务时限在1.5小时（含）之内送达的，得5分；3小时（含）之内送达的，得3分；5小时（含）之内送达的，得1分；5小时以上送达的，不得分。本项最高得5分。查询结果以评审过程中现场网络截图为准。</w:t>
            </w:r>
          </w:p>
        </w:tc>
      </w:tr>
      <w:tr w14:paraId="05B1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0945C86F">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w:t>
            </w:r>
          </w:p>
        </w:tc>
        <w:tc>
          <w:tcPr>
            <w:tcW w:w="1225" w:type="dxa"/>
            <w:noWrap w:val="0"/>
            <w:vAlign w:val="center"/>
          </w:tcPr>
          <w:p w14:paraId="023BF709">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应急响应及保障措施</w:t>
            </w:r>
          </w:p>
          <w:p w14:paraId="692DE528">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p>
        </w:tc>
        <w:tc>
          <w:tcPr>
            <w:tcW w:w="2400" w:type="dxa"/>
            <w:noWrap w:val="0"/>
            <w:vAlign w:val="center"/>
          </w:tcPr>
          <w:p w14:paraId="5EBE6C30">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12分</w:t>
            </w:r>
          </w:p>
        </w:tc>
        <w:tc>
          <w:tcPr>
            <w:tcW w:w="4900" w:type="dxa"/>
            <w:noWrap w:val="0"/>
            <w:vAlign w:val="center"/>
          </w:tcPr>
          <w:p w14:paraId="072D2A79">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1.应急方案(6分)：响应供应商须针对本项目提供合理、科学、全面、可行的应急方案，上述内容缺少扣6分。每有一处需求分析内容存在缺陷或不足的扣1分，扣完为止。本项最高得6分。</w:t>
            </w:r>
          </w:p>
          <w:p w14:paraId="6379C2C4">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质量保证措施(6分)：响应供应商须针对本项目提供能满足抽检要求的科学合理内容详细的质量保证措施，应包括但不限于抽样、检验、数据上报、分析汇总等各项内容，上述内容缺少扣6分。每有一处需求分析内容存在缺陷或不足的扣1分，扣完为止。本项最高得6分。</w:t>
            </w:r>
          </w:p>
          <w:p w14:paraId="2E800CEB">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eastAsia="仿宋"/>
                <w:color w:val="auto"/>
                <w:highlight w:val="none"/>
                <w:lang w:val="en-US" w:eastAsia="zh-CN"/>
              </w:rPr>
            </w:pPr>
            <w:r>
              <w:rPr>
                <w:rFonts w:hint="eastAsia" w:ascii="仿宋" w:hAnsi="仿宋" w:eastAsia="仿宋" w:cs="仿宋"/>
                <w:b/>
                <w:color w:val="auto"/>
                <w:sz w:val="24"/>
                <w:highlight w:val="none"/>
              </w:rPr>
              <w:t>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仿宋" w:hAnsi="仿宋" w:eastAsia="仿宋" w:cs="仿宋"/>
                <w:b/>
                <w:color w:val="auto"/>
                <w:sz w:val="24"/>
                <w:highlight w:val="none"/>
                <w:lang w:val="en-US" w:eastAsia="zh-CN"/>
              </w:rPr>
              <w:t>未提供方案的不得分。</w:t>
            </w:r>
          </w:p>
        </w:tc>
      </w:tr>
      <w:tr w14:paraId="1520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08C46F8F">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w:t>
            </w:r>
          </w:p>
        </w:tc>
        <w:tc>
          <w:tcPr>
            <w:tcW w:w="1225" w:type="dxa"/>
            <w:noWrap w:val="0"/>
            <w:vAlign w:val="center"/>
          </w:tcPr>
          <w:p w14:paraId="1981185D">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企业实力</w:t>
            </w:r>
          </w:p>
        </w:tc>
        <w:tc>
          <w:tcPr>
            <w:tcW w:w="2400" w:type="dxa"/>
            <w:noWrap w:val="0"/>
            <w:vAlign w:val="center"/>
          </w:tcPr>
          <w:p w14:paraId="486C4ACD">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21分</w:t>
            </w:r>
          </w:p>
        </w:tc>
        <w:tc>
          <w:tcPr>
            <w:tcW w:w="4900" w:type="dxa"/>
            <w:noWrap w:val="0"/>
            <w:vAlign w:val="center"/>
          </w:tcPr>
          <w:p w14:paraId="2E64389B">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综合覆盖率（8分）：响应供应商CMA资质附表，对《国家食品安全监督抽检实施细则（2025年版）》中食品列出的各产品检验项目表的项目覆盖率100%的得8分，每降低1%减1分，降低不足1%的按照1%计算，综合覆盖率95％以下不得分。须提供资质证书、实验室资质及检验项目资质情况表的对照表、项目覆盖率在100%的承诺书。</w:t>
            </w:r>
          </w:p>
          <w:p w14:paraId="2D755633">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能力验证（8分）：自2024年1月1日以来（以证书颁发或相关证明文件出具时间为准），供应商参加过省级及以上实验室能力验证，并获得满意结果的，覆盖全部领域的，得8分；每少1个领域，扣1分，扣完为止。9个领域为：农药残留、兽药残留、重金属、真菌毒素、食品添加剂、非法添加、微生物、营养元素、转基因（同一领域参加多次的，按一次计算，不重复计分。）。须提供能力验证报告或证明结果满意的证书复印件，并加盖供应商公章，否则不得分。</w:t>
            </w:r>
          </w:p>
          <w:p w14:paraId="35DD8C44">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专利、科研项目（5分）：供应商参与过国家、行业、地方、团体等食品相关标准或者检验方法制定（提供正式标准文本）、承担过地市级及以上食品相关科研项目的（提供结题报告，相关单位盖章），具有食品检测专利的（须提供专利证书），每有一个得1分，本项最高得5分。</w:t>
            </w:r>
          </w:p>
        </w:tc>
      </w:tr>
      <w:tr w14:paraId="5EB37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3" w:type="dxa"/>
            <w:noWrap w:val="0"/>
            <w:vAlign w:val="center"/>
          </w:tcPr>
          <w:p w14:paraId="47648180">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w:t>
            </w:r>
          </w:p>
        </w:tc>
        <w:tc>
          <w:tcPr>
            <w:tcW w:w="1225" w:type="dxa"/>
            <w:noWrap w:val="0"/>
            <w:vAlign w:val="center"/>
          </w:tcPr>
          <w:p w14:paraId="31B9C622">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工作业绩</w:t>
            </w:r>
          </w:p>
        </w:tc>
        <w:tc>
          <w:tcPr>
            <w:tcW w:w="2400" w:type="dxa"/>
            <w:noWrap w:val="0"/>
            <w:vAlign w:val="center"/>
          </w:tcPr>
          <w:p w14:paraId="31DC31AD">
            <w:pPr>
              <w:keepNext w:val="0"/>
              <w:keepLines w:val="0"/>
              <w:pageBreakBefore w:val="0"/>
              <w:widowControl w:val="0"/>
              <w:kinsoku/>
              <w:wordWrap w:val="0"/>
              <w:overflowPunct/>
              <w:topLinePunct w:val="0"/>
              <w:autoSpaceDE/>
              <w:autoSpaceDN/>
              <w:bidi w:val="0"/>
              <w:adjustRightInd/>
              <w:snapToGrid/>
              <w:spacing w:line="340" w:lineRule="exact"/>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26分</w:t>
            </w:r>
          </w:p>
        </w:tc>
        <w:tc>
          <w:tcPr>
            <w:tcW w:w="4900" w:type="dxa"/>
            <w:noWrap w:val="0"/>
            <w:vAlign w:val="center"/>
          </w:tcPr>
          <w:p w14:paraId="79C432A7">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抽检业绩（10分）：2025年，具有县级及以上市场监管部门委托的食品安全监督抽检、风险监测等经历，需在同一委托单位一年内任务总批次大于500批次。承担省、自治区、直辖市及以上抽检任务的每有一个业绩得3分；承担设区的市、自治州、直辖市的区抽检任务的每有一个业绩得2分；承担县级抽检任务的每有一个业绩得1分，本项最高10分。（注：以监管部门委托文件、合同或验收报告为准。）</w:t>
            </w:r>
          </w:p>
          <w:p w14:paraId="35F50F5E">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2.问题发现率（16分）：</w:t>
            </w:r>
          </w:p>
          <w:p w14:paraId="65698D17">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根据响应供应商2025年度承担县级及以上市场监管部门委托的食品安全监督抽检工作，提供监督抽检任务总批次（需在同一委托单位全年任务总批次大于500批次，餐具＜10%，单品种专项、餐饮、特殊食品抽检除外）的汇总表等相关材料和抽检不合格汇总表。供应商抽检不合格率3%，得基本分4分，每高0.1%，增加0.1分；每低0.1%，减少0.1分，低于2.5%不得分，本项最高8分。</w:t>
            </w:r>
            <w:r>
              <w:rPr>
                <w:rFonts w:hint="eastAsia" w:ascii="仿宋" w:hAnsi="仿宋" w:eastAsia="仿宋" w:cs="仿宋"/>
                <w:b/>
                <w:bCs w:val="0"/>
                <w:color w:val="auto"/>
                <w:sz w:val="24"/>
                <w:szCs w:val="24"/>
                <w:highlight w:val="none"/>
                <w:lang w:val="en-US" w:eastAsia="zh-CN"/>
              </w:rPr>
              <w:t>须提供委托抽检合同、委托书(能够体现本次抽检总批次数)、年度不合格抽检信息汇总表等相关证明材料复印件加盖响应供应商、被服务单位公章，不提供不得分。同时问题发现率须提供相关证据复印件并加盖响应供应商、被服务单位公章，不提供不得分。</w:t>
            </w:r>
          </w:p>
          <w:p w14:paraId="435C670D">
            <w:pPr>
              <w:keepNext w:val="0"/>
              <w:keepLines w:val="0"/>
              <w:pageBreakBefore w:val="0"/>
              <w:widowControl w:val="0"/>
              <w:kinsoku/>
              <w:wordWrap w:val="0"/>
              <w:overflowPunct/>
              <w:topLinePunct w:val="0"/>
              <w:autoSpaceDE/>
              <w:autoSpaceDN/>
              <w:bidi w:val="0"/>
              <w:adjustRightInd/>
              <w:snapToGrid/>
              <w:spacing w:line="340" w:lineRule="exact"/>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根据响应供应商2025年度在市场监管部门（省、市、县）农产品专项抽检中，总批次100批次以上，不合格率为8%的得基本分3分，批次每增加50（含50）或不合格率每高0.1%，增加0.1分，批次增加或不合格率增加只取其一，不重复计分，本项最高8分。（农产品专项，以国家食品安全抽样检验信息系统和委托的市场监管部门盖章为准。）</w:t>
            </w:r>
          </w:p>
        </w:tc>
      </w:tr>
    </w:tbl>
    <w:p w14:paraId="3623376C">
      <w:pPr>
        <w:pStyle w:val="14"/>
        <w:ind w:left="0" w:firstLine="0"/>
        <w:rPr>
          <w:color w:val="auto"/>
          <w:highlight w:val="none"/>
        </w:rPr>
      </w:pPr>
    </w:p>
    <w:p w14:paraId="67A6D27B">
      <w:pPr>
        <w:pStyle w:val="37"/>
        <w:pageBreakBefore w:val="0"/>
        <w:widowControl/>
        <w:spacing w:beforeAutospacing="0" w:afterAutospacing="0" w:line="52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w:t>
      </w:r>
      <w:r>
        <w:rPr>
          <w:rFonts w:hint="eastAsia" w:ascii="仿宋" w:hAnsi="仿宋" w:eastAsia="仿宋" w:cs="仿宋"/>
          <w:bCs/>
          <w:sz w:val="28"/>
          <w:szCs w:val="28"/>
          <w:highlight w:val="none"/>
        </w:rPr>
        <w:t>无效</w:t>
      </w:r>
      <w:r>
        <w:rPr>
          <w:rFonts w:hint="eastAsia" w:ascii="仿宋" w:hAnsi="仿宋" w:eastAsia="仿宋" w:cs="仿宋"/>
          <w:bCs/>
          <w:sz w:val="28"/>
          <w:szCs w:val="28"/>
          <w:highlight w:val="none"/>
          <w:lang w:val="en-US" w:eastAsia="zh-CN"/>
        </w:rPr>
        <w:t>响应</w:t>
      </w:r>
      <w:r>
        <w:rPr>
          <w:rFonts w:hint="eastAsia" w:ascii="仿宋" w:hAnsi="仿宋" w:eastAsia="仿宋" w:cs="仿宋"/>
          <w:bCs/>
          <w:sz w:val="28"/>
          <w:szCs w:val="28"/>
          <w:highlight w:val="none"/>
        </w:rPr>
        <w:t>和</w:t>
      </w:r>
      <w:r>
        <w:rPr>
          <w:rFonts w:hint="eastAsia" w:ascii="仿宋" w:hAnsi="仿宋" w:eastAsia="仿宋" w:cs="仿宋"/>
          <w:bCs/>
          <w:sz w:val="28"/>
          <w:szCs w:val="28"/>
          <w:highlight w:val="none"/>
          <w:lang w:val="en-US" w:eastAsia="zh-CN"/>
        </w:rPr>
        <w:t>框架协议采购</w:t>
      </w:r>
      <w:r>
        <w:rPr>
          <w:rFonts w:hint="eastAsia" w:ascii="仿宋" w:hAnsi="仿宋" w:eastAsia="仿宋" w:cs="仿宋"/>
          <w:bCs/>
          <w:sz w:val="28"/>
          <w:szCs w:val="28"/>
          <w:highlight w:val="none"/>
        </w:rPr>
        <w:t>活动终止</w:t>
      </w:r>
      <w:r>
        <w:rPr>
          <w:rFonts w:hint="eastAsia" w:ascii="仿宋" w:hAnsi="仿宋" w:eastAsia="仿宋" w:cs="仿宋"/>
          <w:color w:val="auto"/>
          <w:sz w:val="28"/>
          <w:szCs w:val="28"/>
          <w:highlight w:val="none"/>
        </w:rPr>
        <w:t>：</w:t>
      </w:r>
    </w:p>
    <w:p w14:paraId="3724345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 出现下列情形之一的，作无效</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处理。</w:t>
      </w:r>
      <w:r>
        <w:rPr>
          <w:rFonts w:hint="eastAsia" w:ascii="仿宋" w:hAnsi="仿宋" w:eastAsia="仿宋"/>
          <w:sz w:val="28"/>
          <w:szCs w:val="28"/>
          <w:highlight w:val="none"/>
        </w:rPr>
        <w:tab/>
      </w:r>
      <w:r>
        <w:rPr>
          <w:rFonts w:hint="eastAsia" w:ascii="仿宋" w:hAnsi="仿宋" w:eastAsia="仿宋"/>
          <w:sz w:val="28"/>
          <w:szCs w:val="28"/>
          <w:highlight w:val="none"/>
        </w:rPr>
        <w:tab/>
      </w:r>
    </w:p>
    <w:p w14:paraId="0D5200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不具备</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文件中规定的资格要求的。</w:t>
      </w:r>
    </w:p>
    <w:p w14:paraId="44EADA5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报价超过了采购预算或最高限价的。</w:t>
      </w:r>
    </w:p>
    <w:p w14:paraId="226BBF8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未通过符合性审查的。</w:t>
      </w:r>
    </w:p>
    <w:p w14:paraId="596BDEB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不符合法律、法规和</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文件中规定的其他实质性要求的。</w:t>
      </w:r>
    </w:p>
    <w:p w14:paraId="38BA2F9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lang w:eastAsia="zh-CN"/>
        </w:rPr>
        <w:t>）</w:t>
      </w:r>
      <w:r>
        <w:rPr>
          <w:rFonts w:hint="eastAsia" w:ascii="仿宋" w:hAnsi="仿宋" w:eastAsia="仿宋"/>
          <w:sz w:val="28"/>
          <w:szCs w:val="28"/>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0DB0CA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文件含有采购人不能接受的附加条件的。</w:t>
      </w:r>
    </w:p>
    <w:p w14:paraId="080F0E1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本项目采购产品被财政部、国家发改委、生态环境部等列入“节能产品品目清单”、“环境标志产品品目清单”强制采购范围，而供应商</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产品不在强制采购范围内的。</w:t>
      </w:r>
    </w:p>
    <w:p w14:paraId="5A5B82C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文件未按照</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文件要求加盖电子签章。</w:t>
      </w:r>
    </w:p>
    <w:p w14:paraId="732926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供应商在系统规定的时间内未成功解密电子</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文件的。</w:t>
      </w:r>
    </w:p>
    <w:p w14:paraId="15874FA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未完整上传</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文件电子文档的,或上传的文件打不开的。</w:t>
      </w:r>
    </w:p>
    <w:p w14:paraId="795A4DD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不同的供应商</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文件制作机器码、文件创建标识码一致的。</w:t>
      </w:r>
    </w:p>
    <w:p w14:paraId="69D18C7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12</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不同</w:t>
      </w:r>
      <w:r>
        <w:rPr>
          <w:rFonts w:hint="eastAsia" w:ascii="仿宋" w:hAnsi="仿宋" w:eastAsia="仿宋"/>
          <w:sz w:val="28"/>
          <w:szCs w:val="28"/>
          <w:highlight w:val="none"/>
          <w:lang w:val="en-US" w:eastAsia="zh-CN"/>
        </w:rPr>
        <w:t>供应商</w:t>
      </w:r>
      <w:r>
        <w:rPr>
          <w:rFonts w:hint="eastAsia" w:ascii="仿宋" w:hAnsi="仿宋" w:eastAsia="仿宋"/>
          <w:sz w:val="28"/>
          <w:szCs w:val="28"/>
          <w:highlight w:val="none"/>
        </w:rPr>
        <w:t>委托同一单位或者个人办理投标事宜。</w:t>
      </w:r>
    </w:p>
    <w:p w14:paraId="61897F7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同</w:t>
      </w:r>
      <w:r>
        <w:rPr>
          <w:rFonts w:hint="eastAsia" w:ascii="仿宋" w:hAnsi="仿宋" w:eastAsia="仿宋"/>
          <w:sz w:val="28"/>
          <w:szCs w:val="28"/>
          <w:highlight w:val="none"/>
          <w:lang w:val="en-US" w:eastAsia="zh-CN"/>
        </w:rPr>
        <w:t>供应商</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文件载明的项目管理成员或者联系人员为同一人。</w:t>
      </w:r>
    </w:p>
    <w:p w14:paraId="30441FC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不同</w:t>
      </w:r>
      <w:r>
        <w:rPr>
          <w:rFonts w:hint="eastAsia" w:ascii="仿宋" w:hAnsi="仿宋" w:eastAsia="仿宋"/>
          <w:sz w:val="28"/>
          <w:szCs w:val="28"/>
          <w:highlight w:val="none"/>
          <w:lang w:val="en-US" w:eastAsia="zh-CN"/>
        </w:rPr>
        <w:t>供应商</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文件异常一致或者投标报价呈规律性差异。</w:t>
      </w:r>
    </w:p>
    <w:p w14:paraId="353EB21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15</w:t>
      </w:r>
      <w:r>
        <w:rPr>
          <w:rFonts w:hint="eastAsia" w:ascii="仿宋" w:hAnsi="仿宋" w:eastAsia="仿宋"/>
          <w:sz w:val="28"/>
          <w:szCs w:val="28"/>
          <w:highlight w:val="none"/>
          <w:lang w:eastAsia="zh-CN"/>
        </w:rPr>
        <w:t>）</w:t>
      </w:r>
      <w:r>
        <w:rPr>
          <w:rFonts w:hint="eastAsia" w:ascii="仿宋" w:hAnsi="仿宋" w:eastAsia="仿宋"/>
          <w:sz w:val="28"/>
          <w:szCs w:val="28"/>
          <w:highlight w:val="none"/>
        </w:rPr>
        <w:t>其他法律、法规及本</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文件规定的属无效投标的情形。</w:t>
      </w:r>
    </w:p>
    <w:p w14:paraId="01B7005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出现下列情形之一的，本次</w:t>
      </w:r>
      <w:r>
        <w:rPr>
          <w:rFonts w:hint="eastAsia" w:ascii="仿宋" w:hAnsi="仿宋" w:eastAsia="仿宋"/>
          <w:sz w:val="28"/>
          <w:szCs w:val="28"/>
          <w:highlight w:val="none"/>
          <w:lang w:val="en-US" w:eastAsia="zh-CN"/>
        </w:rPr>
        <w:t>框架协议采购</w:t>
      </w:r>
      <w:r>
        <w:rPr>
          <w:rFonts w:hint="eastAsia" w:ascii="仿宋" w:hAnsi="仿宋" w:eastAsia="仿宋"/>
          <w:sz w:val="28"/>
          <w:szCs w:val="28"/>
          <w:highlight w:val="none"/>
        </w:rPr>
        <w:t>活动将被终止：</w:t>
      </w:r>
    </w:p>
    <w:p w14:paraId="62CE35C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响应供应商</w:t>
      </w:r>
      <w:r>
        <w:rPr>
          <w:rFonts w:ascii="仿宋" w:hAnsi="仿宋" w:eastAsia="仿宋"/>
          <w:sz w:val="28"/>
          <w:szCs w:val="28"/>
          <w:highlight w:val="none"/>
        </w:rPr>
        <w:t>不足</w:t>
      </w:r>
      <w:r>
        <w:rPr>
          <w:rFonts w:hint="eastAsia" w:ascii="仿宋" w:hAnsi="仿宋" w:eastAsia="仿宋"/>
          <w:sz w:val="28"/>
          <w:szCs w:val="28"/>
          <w:highlight w:val="none"/>
        </w:rPr>
        <w:t>3家</w:t>
      </w:r>
      <w:r>
        <w:rPr>
          <w:rFonts w:ascii="仿宋" w:hAnsi="仿宋" w:eastAsia="仿宋"/>
          <w:sz w:val="28"/>
          <w:szCs w:val="28"/>
          <w:highlight w:val="none"/>
        </w:rPr>
        <w:t>的；</w:t>
      </w:r>
    </w:p>
    <w:p w14:paraId="512269D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ascii="仿宋" w:hAnsi="仿宋" w:eastAsia="仿宋"/>
          <w:sz w:val="28"/>
          <w:szCs w:val="28"/>
          <w:highlight w:val="none"/>
        </w:rPr>
        <w:t>出现影响采购公正的违法、违规行为的；</w:t>
      </w:r>
    </w:p>
    <w:p w14:paraId="0107A75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因重大变故，采购任务取消的。</w:t>
      </w:r>
    </w:p>
    <w:p w14:paraId="28B07E02">
      <w:pPr>
        <w:spacing w:line="500" w:lineRule="exact"/>
        <w:ind w:firstLine="600"/>
        <w:outlineLvl w:val="0"/>
        <w:rPr>
          <w:rFonts w:ascii="宋体" w:hAnsi="宋体" w:eastAsia="宋体" w:cs="宋体"/>
          <w:color w:val="auto"/>
          <w:sz w:val="24"/>
          <w:highlight w:val="none"/>
        </w:rPr>
      </w:pPr>
      <w:bookmarkStart w:id="67" w:name="_Toc16162"/>
      <w:r>
        <w:rPr>
          <w:rFonts w:hint="eastAsia" w:ascii="黑体" w:hAnsi="黑体" w:eastAsia="黑体" w:cs="黑体"/>
          <w:color w:val="auto"/>
          <w:sz w:val="30"/>
          <w:szCs w:val="30"/>
          <w:highlight w:val="none"/>
          <w:shd w:val="clear" w:color="auto" w:fill="FFFFFF"/>
        </w:rPr>
        <w:t>九、响应文件的编制要求，提交方式、提交截止时间和地点，开启方式、时间和地点，以及响应文件有效期</w:t>
      </w:r>
      <w:r>
        <w:rPr>
          <w:rFonts w:hint="eastAsia" w:ascii="宋体" w:hAnsi="宋体" w:eastAsia="宋体" w:cs="宋体"/>
          <w:color w:val="auto"/>
          <w:sz w:val="24"/>
          <w:highlight w:val="none"/>
          <w:shd w:val="clear" w:color="auto" w:fill="FFFFFF"/>
        </w:rPr>
        <w:t> </w:t>
      </w:r>
      <w:bookmarkEnd w:id="67"/>
    </w:p>
    <w:p w14:paraId="711EE20E">
      <w:pPr>
        <w:pageBreakBefore w:val="0"/>
        <w:spacing w:line="520" w:lineRule="exact"/>
        <w:ind w:firstLine="560"/>
        <w:rPr>
          <w:rFonts w:hint="eastAsia" w:ascii="仿宋" w:hAnsi="仿宋" w:eastAsia="仿宋" w:cs="仿宋"/>
          <w:color w:val="auto"/>
          <w:sz w:val="28"/>
          <w:szCs w:val="28"/>
          <w:highlight w:val="none"/>
        </w:rPr>
      </w:pPr>
      <w:bookmarkStart w:id="68" w:name="_Toc32664"/>
      <w:r>
        <w:rPr>
          <w:rFonts w:hint="eastAsia" w:ascii="仿宋" w:hAnsi="仿宋" w:eastAsia="仿宋" w:cs="仿宋"/>
          <w:color w:val="auto"/>
          <w:sz w:val="28"/>
          <w:szCs w:val="28"/>
          <w:highlight w:val="none"/>
        </w:rPr>
        <w:t>（一）响应文件的编制</w:t>
      </w:r>
      <w:bookmarkEnd w:id="68"/>
    </w:p>
    <w:p w14:paraId="3C9577BF">
      <w:pPr>
        <w:spacing w:line="500" w:lineRule="exact"/>
        <w:ind w:firstLine="560"/>
        <w:rPr>
          <w:rFonts w:ascii="仿宋" w:hAnsi="仿宋" w:eastAsia="仿宋"/>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sz w:val="28"/>
          <w:szCs w:val="28"/>
          <w:highlight w:val="none"/>
        </w:rPr>
        <w:t>供应商应认真阅读</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文件中所有的事项、格式、条款和规范等要求。按</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文件要求和规定编制</w:t>
      </w:r>
      <w:r>
        <w:rPr>
          <w:rFonts w:hint="eastAsia" w:ascii="仿宋" w:hAnsi="仿宋" w:eastAsia="仿宋"/>
          <w:sz w:val="28"/>
          <w:szCs w:val="28"/>
          <w:highlight w:val="none"/>
          <w:lang w:val="en-US" w:eastAsia="zh-CN"/>
        </w:rPr>
        <w:t>征集响应</w:t>
      </w:r>
      <w:r>
        <w:rPr>
          <w:rFonts w:hint="eastAsia" w:ascii="仿宋" w:hAnsi="仿宋" w:eastAsia="仿宋"/>
          <w:sz w:val="28"/>
          <w:szCs w:val="28"/>
          <w:highlight w:val="none"/>
        </w:rPr>
        <w:t>文件，并保证所提供的全部资料的真实性，以使其</w:t>
      </w:r>
      <w:r>
        <w:rPr>
          <w:rFonts w:hint="eastAsia" w:ascii="仿宋" w:hAnsi="仿宋" w:eastAsia="仿宋"/>
          <w:sz w:val="28"/>
          <w:szCs w:val="28"/>
          <w:highlight w:val="none"/>
          <w:lang w:val="en-US" w:eastAsia="zh-CN"/>
        </w:rPr>
        <w:t>征集响应</w:t>
      </w:r>
      <w:r>
        <w:rPr>
          <w:rFonts w:hint="eastAsia" w:ascii="仿宋" w:hAnsi="仿宋" w:eastAsia="仿宋"/>
          <w:sz w:val="28"/>
          <w:szCs w:val="28"/>
          <w:highlight w:val="none"/>
        </w:rPr>
        <w:t>文件对</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文件作出实质性响应，否则其风险由供应商自行承担</w:t>
      </w:r>
      <w:r>
        <w:rPr>
          <w:rFonts w:ascii="仿宋" w:hAnsi="仿宋" w:eastAsia="仿宋"/>
          <w:sz w:val="28"/>
          <w:szCs w:val="28"/>
          <w:highlight w:val="none"/>
        </w:rPr>
        <w:t>。</w:t>
      </w:r>
    </w:p>
    <w:p w14:paraId="1CDBF940">
      <w:pPr>
        <w:pageBreakBefore w:val="0"/>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2.征集文件由四部分组成，分别为：第一部分开标一览表、第二部资格证明文件、第三部分商务技术文件和第四部分报价文件，具体格式详见本文件附件。</w:t>
      </w:r>
    </w:p>
    <w:p w14:paraId="00E0D61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rPr>
        <w:t xml:space="preserve">3. </w:t>
      </w:r>
      <w:r>
        <w:rPr>
          <w:rFonts w:hint="eastAsia" w:ascii="仿宋" w:hAnsi="仿宋" w:eastAsia="仿宋"/>
          <w:bCs/>
          <w:sz w:val="28"/>
          <w:szCs w:val="28"/>
          <w:highlight w:val="none"/>
        </w:rPr>
        <w:t>除技术性能另有规定外，投标文件所使用的度量衡单位，均须采用国家法定计量单位</w:t>
      </w:r>
      <w:r>
        <w:rPr>
          <w:rFonts w:ascii="仿宋" w:hAnsi="仿宋" w:eastAsia="仿宋"/>
          <w:sz w:val="28"/>
          <w:szCs w:val="28"/>
          <w:highlight w:val="none"/>
        </w:rPr>
        <w:t>。</w:t>
      </w:r>
    </w:p>
    <w:p w14:paraId="3A5EC92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征集响应</w:t>
      </w:r>
      <w:r>
        <w:rPr>
          <w:rFonts w:hint="eastAsia" w:ascii="仿宋" w:hAnsi="仿宋" w:eastAsia="仿宋"/>
          <w:sz w:val="28"/>
          <w:szCs w:val="28"/>
          <w:highlight w:val="none"/>
        </w:rPr>
        <w:t>文件由开标一览表、资格审查文件、商务技术文件和报价文件等四部分组成，</w:t>
      </w:r>
      <w:r>
        <w:rPr>
          <w:rFonts w:hint="eastAsia" w:ascii="仿宋" w:hAnsi="仿宋" w:eastAsia="仿宋"/>
          <w:bCs/>
          <w:sz w:val="28"/>
          <w:szCs w:val="28"/>
          <w:highlight w:val="none"/>
        </w:rPr>
        <w:t>具体按照“第</w:t>
      </w:r>
      <w:r>
        <w:rPr>
          <w:rFonts w:hint="eastAsia" w:ascii="仿宋" w:hAnsi="仿宋" w:eastAsia="仿宋"/>
          <w:bCs/>
          <w:sz w:val="28"/>
          <w:szCs w:val="28"/>
          <w:highlight w:val="none"/>
          <w:lang w:val="en-US" w:eastAsia="zh-CN"/>
        </w:rPr>
        <w:t>六</w:t>
      </w:r>
      <w:r>
        <w:rPr>
          <w:rFonts w:hint="eastAsia" w:ascii="仿宋" w:hAnsi="仿宋" w:eastAsia="仿宋"/>
          <w:bCs/>
          <w:sz w:val="28"/>
          <w:szCs w:val="28"/>
          <w:highlight w:val="none"/>
        </w:rPr>
        <w:t xml:space="preserve">章 </w:t>
      </w:r>
      <w:r>
        <w:rPr>
          <w:rFonts w:hint="eastAsia" w:ascii="仿宋" w:hAnsi="仿宋" w:eastAsia="仿宋"/>
          <w:bCs/>
          <w:sz w:val="28"/>
          <w:szCs w:val="28"/>
          <w:highlight w:val="none"/>
          <w:lang w:val="en-US" w:eastAsia="zh-CN"/>
        </w:rPr>
        <w:t>框架协议响应</w:t>
      </w:r>
      <w:r>
        <w:rPr>
          <w:rFonts w:hint="eastAsia" w:ascii="仿宋" w:hAnsi="仿宋" w:eastAsia="仿宋"/>
          <w:bCs/>
          <w:sz w:val="28"/>
          <w:szCs w:val="28"/>
          <w:highlight w:val="none"/>
        </w:rPr>
        <w:t>文件组成”要求编写</w:t>
      </w:r>
      <w:r>
        <w:rPr>
          <w:rFonts w:ascii="仿宋" w:hAnsi="仿宋" w:eastAsia="仿宋"/>
          <w:sz w:val="28"/>
          <w:szCs w:val="28"/>
          <w:highlight w:val="none"/>
        </w:rPr>
        <w:t>。</w:t>
      </w:r>
    </w:p>
    <w:p w14:paraId="4788E8DA">
      <w:pPr>
        <w:pageBreakBefore w:val="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征集文件规定的相关要求，如果供应商在征集文件中没有以书面方式提出不符合的说明，则视为供应商能够完全理解并满足征集文件要求。对有不符合征集文件技术、商务要求的，不管是多么微小，供应商都应在《技术部分正负偏离表》中如实详细说明，供应商在成交后才提出或被采购人发现供应商有不符合征集文件要求的均按虚假应标处理，拒绝其参与征集或取消成交结果，其虚假应标行为上报监督管理部门。</w:t>
      </w:r>
    </w:p>
    <w:p w14:paraId="50EDC5EB">
      <w:pPr>
        <w:pStyle w:val="37"/>
        <w:pageBreakBefore w:val="0"/>
        <w:widowControl/>
        <w:spacing w:beforeAutospacing="0" w:afterAutospacing="0" w:line="520" w:lineRule="exact"/>
        <w:ind w:firstLine="560"/>
        <w:jc w:val="both"/>
        <w:rPr>
          <w:rFonts w:hint="eastAsia" w:ascii="仿宋" w:hAnsi="仿宋" w:eastAsia="仿宋" w:cs="仿宋"/>
          <w:color w:val="auto"/>
          <w:sz w:val="28"/>
          <w:szCs w:val="28"/>
          <w:highlight w:val="none"/>
        </w:rPr>
      </w:pPr>
      <w:bookmarkStart w:id="69" w:name="_Toc9606"/>
      <w:r>
        <w:rPr>
          <w:rFonts w:hint="eastAsia" w:ascii="仿宋" w:hAnsi="仿宋" w:eastAsia="仿宋" w:cs="仿宋"/>
          <w:color w:val="auto"/>
          <w:sz w:val="28"/>
          <w:szCs w:val="28"/>
          <w:highlight w:val="none"/>
        </w:rPr>
        <w:t>（二）提交方式、提交截止时间和地点</w:t>
      </w:r>
      <w:bookmarkEnd w:id="69"/>
    </w:p>
    <w:p w14:paraId="1E698567">
      <w:pPr>
        <w:spacing w:line="500" w:lineRule="exact"/>
        <w:ind w:firstLine="560"/>
        <w:rPr>
          <w:rFonts w:ascii="仿宋" w:hAnsi="仿宋" w:eastAsia="仿宋"/>
          <w:bCs/>
          <w:sz w:val="28"/>
          <w:szCs w:val="28"/>
          <w:highlight w:val="none"/>
        </w:rPr>
      </w:pPr>
      <w:bookmarkStart w:id="70" w:name="_Toc4060"/>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供应商</w:t>
      </w:r>
      <w:r>
        <w:rPr>
          <w:rFonts w:hint="eastAsia" w:ascii="仿宋" w:hAnsi="仿宋" w:eastAsia="仿宋"/>
          <w:bCs/>
          <w:sz w:val="28"/>
          <w:szCs w:val="28"/>
          <w:highlight w:val="none"/>
        </w:rPr>
        <w:t>对CA证书妥善保管，如被他人盗用投标，因此带来的结果均由供应商自行承担。</w:t>
      </w:r>
    </w:p>
    <w:p w14:paraId="60540B5C">
      <w:pPr>
        <w:spacing w:line="500" w:lineRule="exact"/>
        <w:ind w:firstLine="560"/>
        <w:rPr>
          <w:rFonts w:ascii="仿宋" w:hAnsi="仿宋" w:eastAsia="仿宋"/>
          <w:bCs/>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 xml:space="preserve"> </w:t>
      </w:r>
      <w:r>
        <w:rPr>
          <w:rFonts w:hint="eastAsia" w:ascii="仿宋" w:hAnsi="仿宋" w:eastAsia="仿宋"/>
          <w:bCs/>
          <w:sz w:val="28"/>
          <w:szCs w:val="28"/>
          <w:highlight w:val="none"/>
        </w:rPr>
        <w:t>供应商应当按照采购文件和“苏采云”系统的要求编制并加密</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w:t>
      </w:r>
    </w:p>
    <w:p w14:paraId="7E58225E">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3.</w:t>
      </w:r>
      <w:r>
        <w:rPr>
          <w:rFonts w:hint="eastAsia" w:ascii="仿宋" w:hAnsi="仿宋" w:eastAsia="仿宋"/>
          <w:bCs/>
          <w:sz w:val="28"/>
          <w:szCs w:val="28"/>
          <w:highlight w:val="none"/>
        </w:rPr>
        <w:t xml:space="preserve"> 供应商应当对采购文件提出的实质性要求和条件作出实质性响应，并在电子投标系统逐条应答。</w:t>
      </w:r>
    </w:p>
    <w:p w14:paraId="7907EAEC">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供应商应对要求提供的资格证明文件（如资质证书、资格证书）、技术资料（如白皮书、彩页、手册、检测报告等）扫描上传至投标系统。</w:t>
      </w:r>
    </w:p>
    <w:p w14:paraId="428BD4C0">
      <w:pPr>
        <w:spacing w:line="500" w:lineRule="exact"/>
        <w:ind w:firstLine="560"/>
        <w:rPr>
          <w:rFonts w:ascii="仿宋" w:hAnsi="仿宋" w:eastAsia="仿宋"/>
          <w:sz w:val="28"/>
          <w:szCs w:val="28"/>
          <w:highlight w:val="none"/>
        </w:rPr>
      </w:pP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 供应商须通过“苏采云”系统提供的政府采购客户端工具（使用“CA数字证书”）加盖电子签章，并对电子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文件加密。未按规定加密的</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文件，“苏采云”系统拒收并提示。</w:t>
      </w:r>
    </w:p>
    <w:p w14:paraId="16DCCFCF">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 xml:space="preserve"> 供应商应当在</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文件提交截止时间前，通过“苏采云”系统提交电子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文件。逾期提交的</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文件，“苏采云”系统将自动拒收。供应商应充分考虑到网络环境、网络带宽等风险因素，如因供应商自身原因造成的电子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文件上传不成功由供应商自行承担全部责任。</w:t>
      </w:r>
    </w:p>
    <w:p w14:paraId="0E8EC6D1">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 xml:space="preserve"> 供应商可在</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文件提交截止时间前，撤回其电子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文件，具体操作方法见《江苏省政府采购（供应商）国信CA数字证书及电子签章办理指南》。供应商撤回电子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文件的，则认为其不再参与本项目</w:t>
      </w:r>
      <w:r>
        <w:rPr>
          <w:rFonts w:hint="eastAsia" w:ascii="仿宋" w:hAnsi="仿宋" w:eastAsia="仿宋"/>
          <w:bCs/>
          <w:sz w:val="28"/>
          <w:szCs w:val="28"/>
          <w:highlight w:val="none"/>
          <w:lang w:val="en-US" w:eastAsia="zh-CN"/>
        </w:rPr>
        <w:t>框架协议采购</w:t>
      </w:r>
      <w:r>
        <w:rPr>
          <w:rFonts w:hint="eastAsia" w:ascii="仿宋" w:hAnsi="仿宋" w:eastAsia="仿宋"/>
          <w:bCs/>
          <w:sz w:val="28"/>
          <w:szCs w:val="28"/>
          <w:highlight w:val="none"/>
        </w:rPr>
        <w:t>活动。</w:t>
      </w:r>
    </w:p>
    <w:p w14:paraId="0FF5C50F">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供应商可在</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文件提交截止时间前，对其电子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文件进行修改。在</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文件提交截止时间之后，供应商不得对其电子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文件作任何修改。</w:t>
      </w:r>
    </w:p>
    <w:p w14:paraId="45BC600B">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 xml:space="preserve"> 采购代理机构可以通过修改</w:t>
      </w:r>
      <w:r>
        <w:rPr>
          <w:rFonts w:hint="eastAsia" w:ascii="仿宋" w:hAnsi="仿宋" w:eastAsia="仿宋"/>
          <w:bCs/>
          <w:sz w:val="28"/>
          <w:szCs w:val="28"/>
          <w:highlight w:val="none"/>
          <w:lang w:val="en-US" w:eastAsia="zh-CN"/>
        </w:rPr>
        <w:t>征集</w:t>
      </w:r>
      <w:r>
        <w:rPr>
          <w:rFonts w:hint="eastAsia" w:ascii="仿宋" w:hAnsi="仿宋" w:eastAsia="仿宋"/>
          <w:bCs/>
          <w:sz w:val="28"/>
          <w:szCs w:val="28"/>
          <w:highlight w:val="none"/>
        </w:rPr>
        <w:t>文件，酌情延长</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文件提交截止时间。</w:t>
      </w:r>
    </w:p>
    <w:p w14:paraId="6784431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 xml:space="preserve"> </w:t>
      </w:r>
      <w:r>
        <w:rPr>
          <w:rFonts w:hint="eastAsia" w:ascii="仿宋" w:hAnsi="仿宋" w:eastAsia="仿宋" w:cs="仿宋"/>
          <w:color w:val="auto"/>
          <w:sz w:val="28"/>
          <w:szCs w:val="28"/>
          <w:highlight w:val="none"/>
        </w:rPr>
        <w:t>征集响应文件有效期</w:t>
      </w:r>
      <w:r>
        <w:rPr>
          <w:rFonts w:hint="eastAsia" w:ascii="仿宋" w:hAnsi="仿宋" w:eastAsia="仿宋"/>
          <w:sz w:val="28"/>
          <w:szCs w:val="28"/>
          <w:highlight w:val="none"/>
        </w:rPr>
        <w:t>：从提交</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文件截止日起90天。</w:t>
      </w:r>
      <w:bookmarkEnd w:id="70"/>
    </w:p>
    <w:p w14:paraId="716C152D">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71" w:name="_Toc22243"/>
      <w:r>
        <w:rPr>
          <w:rFonts w:hint="eastAsia" w:ascii="黑体" w:hAnsi="黑体" w:eastAsia="黑体" w:cs="黑体"/>
          <w:color w:val="auto"/>
          <w:sz w:val="30"/>
          <w:szCs w:val="30"/>
          <w:highlight w:val="none"/>
          <w:shd w:val="clear" w:color="auto" w:fill="FFFFFF"/>
        </w:rPr>
        <w:t>十、拟签订的框架协议文本和采购合同文本</w:t>
      </w:r>
      <w:bookmarkEnd w:id="71"/>
    </w:p>
    <w:p w14:paraId="55A3EB9C">
      <w:pPr>
        <w:pStyle w:val="37"/>
        <w:widowControl/>
        <w:spacing w:beforeAutospacing="0" w:afterAutospacing="0" w:line="500" w:lineRule="exact"/>
        <w:ind w:firstLine="560"/>
        <w:jc w:val="both"/>
        <w:rPr>
          <w:rFonts w:ascii="仿宋" w:hAnsi="仿宋" w:eastAsia="仿宋"/>
          <w:color w:val="auto"/>
          <w:sz w:val="28"/>
          <w:szCs w:val="28"/>
          <w:highlight w:val="none"/>
        </w:rPr>
      </w:pPr>
      <w:r>
        <w:rPr>
          <w:rFonts w:hint="eastAsia" w:ascii="仿宋" w:hAnsi="仿宋" w:eastAsia="仿宋"/>
          <w:color w:val="auto"/>
          <w:sz w:val="28"/>
          <w:szCs w:val="28"/>
          <w:highlight w:val="none"/>
        </w:rPr>
        <w:t>框架协议文本和采购合同文本见附件； </w:t>
      </w:r>
    </w:p>
    <w:p w14:paraId="68A31F97">
      <w:pPr>
        <w:pStyle w:val="37"/>
        <w:widowControl/>
        <w:spacing w:beforeAutospacing="0" w:afterAutospacing="0" w:line="500" w:lineRule="exact"/>
        <w:ind w:firstLine="600"/>
        <w:jc w:val="both"/>
        <w:outlineLvl w:val="0"/>
        <w:rPr>
          <w:rFonts w:ascii="宋体" w:hAnsi="宋体" w:eastAsia="宋体" w:cs="宋体"/>
          <w:color w:val="auto"/>
          <w:highlight w:val="none"/>
          <w:shd w:val="clear" w:color="auto" w:fill="FFFFFF"/>
        </w:rPr>
      </w:pPr>
      <w:bookmarkStart w:id="72" w:name="_Toc5959"/>
      <w:r>
        <w:rPr>
          <w:rFonts w:hint="eastAsia" w:ascii="黑体" w:hAnsi="黑体" w:eastAsia="黑体" w:cs="黑体"/>
          <w:color w:val="auto"/>
          <w:sz w:val="30"/>
          <w:szCs w:val="30"/>
          <w:highlight w:val="none"/>
          <w:shd w:val="clear" w:color="auto" w:fill="FFFFFF"/>
        </w:rPr>
        <w:t>十一、确定第二阶段成交供应商的方式</w:t>
      </w:r>
      <w:r>
        <w:rPr>
          <w:rFonts w:hint="eastAsia" w:ascii="宋体" w:hAnsi="宋体" w:eastAsia="宋体" w:cs="宋体"/>
          <w:color w:val="auto"/>
          <w:highlight w:val="none"/>
          <w:shd w:val="clear" w:color="auto" w:fill="FFFFFF"/>
        </w:rPr>
        <w:t> </w:t>
      </w:r>
      <w:bookmarkEnd w:id="72"/>
    </w:p>
    <w:p w14:paraId="2C84102E">
      <w:pPr>
        <w:keepNext w:val="0"/>
        <w:keepLines w:val="0"/>
        <w:pageBreakBefore w:val="0"/>
        <w:widowControl w:val="0"/>
        <w:kinsoku/>
        <w:wordWrap/>
        <w:overflowPunct/>
        <w:topLinePunct w:val="0"/>
        <w:autoSpaceDE/>
        <w:autoSpaceDN/>
        <w:bidi w:val="0"/>
        <w:adjustRightInd/>
        <w:snapToGrid/>
        <w:spacing w:line="480" w:lineRule="exact"/>
        <w:ind w:firstLine="561"/>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（一）本项目第二阶段成交供应商的确定采用“直接选定”方式进行。 </w:t>
      </w:r>
    </w:p>
    <w:p w14:paraId="18833D00">
      <w:pPr>
        <w:pStyle w:val="32"/>
        <w:keepNext w:val="0"/>
        <w:keepLines w:val="0"/>
        <w:pageBreakBefore w:val="0"/>
        <w:widowControl w:val="0"/>
        <w:kinsoku/>
        <w:wordWrap/>
        <w:overflowPunct/>
        <w:topLinePunct w:val="0"/>
        <w:autoSpaceDE/>
        <w:autoSpaceDN/>
        <w:bidi w:val="0"/>
        <w:adjustRightInd/>
        <w:snapToGrid/>
        <w:spacing w:line="480" w:lineRule="exact"/>
        <w:ind w:firstLine="561"/>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（二）采购人将</w:t>
      </w:r>
      <w:r>
        <w:rPr>
          <w:rFonts w:ascii="仿宋" w:hAnsi="仿宋" w:eastAsia="仿宋"/>
          <w:color w:val="auto"/>
          <w:sz w:val="28"/>
          <w:szCs w:val="28"/>
          <w:highlight w:val="none"/>
        </w:rPr>
        <w:t>建立用户反馈和评价机制，</w:t>
      </w:r>
      <w:r>
        <w:rPr>
          <w:rFonts w:hint="eastAsia" w:ascii="仿宋" w:hAnsi="仿宋" w:eastAsia="仿宋"/>
          <w:color w:val="auto"/>
          <w:sz w:val="28"/>
          <w:szCs w:val="28"/>
          <w:highlight w:val="none"/>
        </w:rPr>
        <w:t>入围供应商须</w:t>
      </w:r>
      <w:r>
        <w:rPr>
          <w:rFonts w:ascii="仿宋" w:hAnsi="仿宋" w:eastAsia="仿宋"/>
          <w:color w:val="auto"/>
          <w:sz w:val="28"/>
          <w:szCs w:val="28"/>
          <w:highlight w:val="none"/>
        </w:rPr>
        <w:t>接受采购人和服务对象对入围供应商履行框架协议和采购合同情况的反馈与评价，并将用户反馈和评价情况向采购人和服务对象公开，作为第二阶段直接选定成交供应商的参考</w:t>
      </w:r>
      <w:r>
        <w:rPr>
          <w:rFonts w:hint="eastAsia" w:ascii="仿宋" w:hAnsi="仿宋" w:eastAsia="仿宋"/>
          <w:color w:val="auto"/>
          <w:sz w:val="28"/>
          <w:szCs w:val="28"/>
          <w:highlight w:val="none"/>
        </w:rPr>
        <w:t>。</w:t>
      </w:r>
    </w:p>
    <w:p w14:paraId="224CEF16">
      <w:pPr>
        <w:spacing w:line="500" w:lineRule="exact"/>
        <w:ind w:firstLine="600"/>
        <w:outlineLvl w:val="0"/>
        <w:rPr>
          <w:rFonts w:ascii="黑体" w:hAnsi="黑体" w:eastAsia="黑体" w:cs="黑体"/>
          <w:color w:val="auto"/>
          <w:sz w:val="30"/>
          <w:szCs w:val="30"/>
          <w:highlight w:val="none"/>
          <w:shd w:val="clear" w:color="auto"/>
        </w:rPr>
      </w:pPr>
      <w:bookmarkStart w:id="73" w:name="_Toc16980"/>
      <w:r>
        <w:rPr>
          <w:rFonts w:hint="eastAsia" w:ascii="黑体" w:hAnsi="黑体" w:eastAsia="黑体" w:cs="黑体"/>
          <w:color w:val="auto"/>
          <w:sz w:val="30"/>
          <w:szCs w:val="30"/>
          <w:highlight w:val="none"/>
          <w:shd w:val="clear" w:color="auto" w:fill="FFFFFF"/>
        </w:rPr>
        <w:t>十二、采购资金的</w:t>
      </w:r>
      <w:r>
        <w:rPr>
          <w:rFonts w:hint="eastAsia" w:ascii="黑体" w:hAnsi="黑体" w:eastAsia="黑体" w:cs="黑体"/>
          <w:color w:val="auto"/>
          <w:sz w:val="30"/>
          <w:szCs w:val="30"/>
          <w:highlight w:val="none"/>
          <w:shd w:val="clear" w:color="auto"/>
        </w:rPr>
        <w:t>支付方式、时间和条件</w:t>
      </w:r>
      <w:bookmarkEnd w:id="73"/>
    </w:p>
    <w:p w14:paraId="5EE7B4C9">
      <w:pPr>
        <w:keepNext w:val="0"/>
        <w:keepLines w:val="0"/>
        <w:pageBreakBefore w:val="0"/>
        <w:widowControl w:val="0"/>
        <w:spacing w:line="560" w:lineRule="exact"/>
        <w:ind w:firstLine="56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）付款方式：</w:t>
      </w:r>
    </w:p>
    <w:p w14:paraId="00C01EAD">
      <w:pPr>
        <w:pStyle w:val="37"/>
        <w:widowControl/>
        <w:spacing w:beforeAutospacing="0" w:afterAutospacing="0" w:line="500" w:lineRule="exact"/>
        <w:ind w:firstLine="560"/>
        <w:jc w:val="both"/>
        <w:outlineLvl w:val="0"/>
        <w:rPr>
          <w:rFonts w:hint="eastAsia" w:ascii="仿宋" w:hAnsi="仿宋" w:eastAsia="仿宋" w:cs="仿宋"/>
          <w:color w:val="auto"/>
          <w:sz w:val="28"/>
          <w:szCs w:val="28"/>
          <w:highlight w:val="none"/>
          <w:lang w:eastAsia="zh-CN"/>
        </w:rPr>
      </w:pPr>
      <w:bookmarkStart w:id="74" w:name="_Toc13037"/>
      <w:bookmarkStart w:id="75" w:name="_Toc10843"/>
      <w:bookmarkStart w:id="76" w:name="_Toc20807"/>
      <w:r>
        <w:rPr>
          <w:rFonts w:hint="eastAsia" w:ascii="仿宋" w:hAnsi="仿宋" w:eastAsia="仿宋" w:cs="仿宋"/>
          <w:color w:val="auto"/>
          <w:sz w:val="28"/>
          <w:szCs w:val="28"/>
          <w:highlight w:val="none"/>
          <w:lang w:eastAsia="zh-CN"/>
        </w:rPr>
        <w:t>任务完成结算抽检费用，抽样检测费用为供应商成交单价*实际抽样检测批次数。</w:t>
      </w:r>
      <w:bookmarkEnd w:id="74"/>
    </w:p>
    <w:p w14:paraId="2B84101A">
      <w:pPr>
        <w:pStyle w:val="37"/>
        <w:widowControl/>
        <w:spacing w:beforeAutospacing="0" w:afterAutospacing="0" w:line="500" w:lineRule="exact"/>
        <w:ind w:firstLine="560"/>
        <w:jc w:val="both"/>
        <w:outlineLvl w:val="0"/>
        <w:rPr>
          <w:rFonts w:hint="eastAsia" w:ascii="仿宋" w:hAnsi="仿宋" w:eastAsia="仿宋" w:cs="仿宋"/>
          <w:b w:val="0"/>
          <w:bCs/>
          <w:color w:val="auto"/>
          <w:sz w:val="28"/>
          <w:szCs w:val="28"/>
          <w:highlight w:val="none"/>
          <w:lang w:val="zh-CN"/>
        </w:rPr>
      </w:pPr>
      <w:bookmarkStart w:id="77" w:name="_Toc10387"/>
      <w:r>
        <w:rPr>
          <w:rFonts w:hint="eastAsia" w:ascii="仿宋" w:hAnsi="仿宋" w:eastAsia="仿宋" w:cs="仿宋"/>
          <w:color w:val="auto"/>
          <w:sz w:val="28"/>
          <w:szCs w:val="28"/>
          <w:highlight w:val="none"/>
          <w:lang w:eastAsia="zh-CN"/>
        </w:rPr>
        <w:t>根据现行税法</w:t>
      </w:r>
      <w:r>
        <w:rPr>
          <w:rFonts w:hint="eastAsia" w:ascii="仿宋" w:hAnsi="仿宋" w:eastAsia="仿宋" w:cs="仿宋"/>
          <w:color w:val="auto"/>
          <w:sz w:val="28"/>
          <w:szCs w:val="28"/>
          <w:highlight w:val="none"/>
          <w:lang w:val="en-US" w:eastAsia="zh-CN"/>
        </w:rPr>
        <w:t>对采购人</w:t>
      </w:r>
      <w:r>
        <w:rPr>
          <w:rFonts w:hint="eastAsia" w:ascii="仿宋" w:hAnsi="仿宋" w:eastAsia="仿宋" w:cs="仿宋"/>
          <w:color w:val="auto"/>
          <w:sz w:val="28"/>
          <w:szCs w:val="28"/>
          <w:highlight w:val="none"/>
          <w:lang w:eastAsia="zh-CN"/>
        </w:rPr>
        <w:t>征收的与本合同有关的一切税费均由</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lang w:eastAsia="zh-CN"/>
        </w:rPr>
        <w:t>承担；根据现行税法对</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lang w:eastAsia="zh-CN"/>
        </w:rPr>
        <w:t>征收的与本合同有关的一切税费均由</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lang w:eastAsia="zh-CN"/>
        </w:rPr>
        <w:t>承担。</w:t>
      </w:r>
      <w:r>
        <w:rPr>
          <w:rFonts w:hint="eastAsia" w:ascii="仿宋" w:hAnsi="仿宋" w:eastAsia="仿宋" w:cs="仿宋"/>
          <w:b w:val="0"/>
          <w:bCs/>
          <w:color w:val="auto"/>
          <w:sz w:val="28"/>
          <w:szCs w:val="28"/>
          <w:highlight w:val="none"/>
          <w:lang w:val="zh-CN"/>
        </w:rPr>
        <w:t>每次支付前，成交人均应出具正式</w:t>
      </w:r>
      <w:r>
        <w:rPr>
          <w:rFonts w:hint="eastAsia" w:ascii="仿宋" w:hAnsi="仿宋" w:eastAsia="仿宋" w:cs="仿宋"/>
          <w:b w:val="0"/>
          <w:bCs/>
          <w:color w:val="auto"/>
          <w:sz w:val="28"/>
          <w:szCs w:val="28"/>
          <w:highlight w:val="none"/>
          <w:lang w:val="en-US" w:eastAsia="zh-CN"/>
        </w:rPr>
        <w:t>发</w:t>
      </w:r>
      <w:r>
        <w:rPr>
          <w:rFonts w:hint="eastAsia" w:ascii="仿宋" w:hAnsi="仿宋" w:eastAsia="仿宋" w:cs="仿宋"/>
          <w:b w:val="0"/>
          <w:bCs/>
          <w:color w:val="auto"/>
          <w:sz w:val="28"/>
          <w:szCs w:val="28"/>
          <w:highlight w:val="none"/>
          <w:lang w:val="zh-CN"/>
        </w:rPr>
        <w:t>票。</w:t>
      </w:r>
      <w:bookmarkEnd w:id="75"/>
      <w:bookmarkEnd w:id="76"/>
      <w:bookmarkEnd w:id="77"/>
    </w:p>
    <w:p w14:paraId="6A7C9E5C">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78" w:name="_Toc23357"/>
      <w:r>
        <w:rPr>
          <w:rFonts w:hint="eastAsia" w:ascii="黑体" w:hAnsi="黑体" w:eastAsia="黑体" w:cs="黑体"/>
          <w:color w:val="auto"/>
          <w:sz w:val="30"/>
          <w:szCs w:val="30"/>
          <w:highlight w:val="none"/>
          <w:shd w:val="clear" w:color="auto" w:fill="FFFFFF"/>
        </w:rPr>
        <w:t>十三、入围产品升级换代规则 </w:t>
      </w:r>
      <w:bookmarkEnd w:id="78"/>
    </w:p>
    <w:p w14:paraId="7DB8705E">
      <w:pPr>
        <w:pStyle w:val="4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本框架协议</w:t>
      </w:r>
      <w:r>
        <w:rPr>
          <w:rFonts w:hint="eastAsia" w:ascii="仿宋" w:hAnsi="仿宋" w:eastAsia="仿宋"/>
          <w:color w:val="auto"/>
          <w:sz w:val="28"/>
          <w:szCs w:val="28"/>
          <w:highlight w:val="none"/>
          <w:lang w:val="en-US" w:eastAsia="zh-CN"/>
        </w:rPr>
        <w:t>在</w:t>
      </w:r>
      <w:r>
        <w:rPr>
          <w:rFonts w:hint="eastAsia" w:ascii="仿宋" w:hAnsi="仿宋" w:eastAsia="仿宋"/>
          <w:color w:val="auto"/>
          <w:sz w:val="28"/>
          <w:szCs w:val="28"/>
          <w:highlight w:val="none"/>
        </w:rPr>
        <w:t>服务期</w:t>
      </w:r>
      <w:r>
        <w:rPr>
          <w:rFonts w:hint="eastAsia" w:ascii="仿宋" w:hAnsi="仿宋" w:eastAsia="仿宋"/>
          <w:color w:val="auto"/>
          <w:sz w:val="28"/>
          <w:szCs w:val="28"/>
          <w:highlight w:val="none"/>
          <w:lang w:val="en-US" w:eastAsia="zh-CN"/>
        </w:rPr>
        <w:t>内</w:t>
      </w:r>
      <w:r>
        <w:rPr>
          <w:rFonts w:hint="eastAsia" w:ascii="仿宋" w:hAnsi="仿宋" w:eastAsia="仿宋"/>
          <w:color w:val="auto"/>
          <w:sz w:val="28"/>
          <w:szCs w:val="28"/>
          <w:highlight w:val="none"/>
        </w:rPr>
        <w:t>服务内容和要求原则不予升级换代。如遇国家政策调整相应服务需升级的，在服务质量与服务价格不变的前提下，入围供应商需提供国家最新标准的服务。</w:t>
      </w:r>
    </w:p>
    <w:p w14:paraId="12D9E73D">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79" w:name="_Toc2719"/>
      <w:r>
        <w:rPr>
          <w:rFonts w:hint="eastAsia" w:ascii="黑体" w:hAnsi="黑体" w:eastAsia="黑体" w:cs="黑体"/>
          <w:color w:val="auto"/>
          <w:sz w:val="30"/>
          <w:szCs w:val="30"/>
          <w:highlight w:val="none"/>
          <w:shd w:val="clear" w:color="auto" w:fill="FFFFFF"/>
        </w:rPr>
        <w:t>十四、用户反馈和评价机制 </w:t>
      </w:r>
      <w:bookmarkEnd w:id="79"/>
    </w:p>
    <w:p w14:paraId="11F60B23">
      <w:pPr>
        <w:pStyle w:val="37"/>
        <w:widowControl/>
        <w:spacing w:beforeAutospacing="0" w:afterAutospacing="0" w:line="500" w:lineRule="exact"/>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w:t>
      </w:r>
      <w:r>
        <w:rPr>
          <w:rFonts w:hint="eastAsia" w:ascii="仿宋" w:hAnsi="仿宋" w:eastAsia="仿宋"/>
          <w:color w:val="auto"/>
          <w:sz w:val="28"/>
          <w:szCs w:val="28"/>
          <w:highlight w:val="none"/>
        </w:rPr>
        <w:t>征集人将定期组织服务对象测评，对入围供应商的服务态度、服务过程、检测质量进行全面评价。结果作为付款或清退入围供应商的依据。</w:t>
      </w:r>
    </w:p>
    <w:p w14:paraId="5C1C17C6">
      <w:pPr>
        <w:pStyle w:val="37"/>
        <w:widowControl/>
        <w:spacing w:beforeAutospacing="0" w:afterAutospacing="0" w:line="500" w:lineRule="exact"/>
        <w:ind w:firstLine="600"/>
        <w:jc w:val="both"/>
        <w:outlineLvl w:val="0"/>
        <w:rPr>
          <w:rFonts w:ascii="宋体" w:hAnsi="宋体" w:eastAsia="宋体" w:cs="宋体"/>
          <w:color w:val="auto"/>
          <w:highlight w:val="none"/>
        </w:rPr>
      </w:pPr>
      <w:bookmarkStart w:id="80" w:name="_Toc24521"/>
      <w:r>
        <w:rPr>
          <w:rFonts w:hint="eastAsia" w:ascii="黑体" w:hAnsi="黑体" w:eastAsia="黑体" w:cs="黑体"/>
          <w:color w:val="auto"/>
          <w:sz w:val="30"/>
          <w:szCs w:val="30"/>
          <w:highlight w:val="none"/>
          <w:shd w:val="clear" w:color="auto" w:fill="FFFFFF"/>
        </w:rPr>
        <w:t>十五、入围供应商的清退和补充规则</w:t>
      </w:r>
      <w:r>
        <w:rPr>
          <w:rFonts w:hint="eastAsia" w:ascii="宋体" w:hAnsi="宋体" w:eastAsia="宋体" w:cs="宋体"/>
          <w:color w:val="auto"/>
          <w:highlight w:val="none"/>
          <w:shd w:val="clear" w:color="auto" w:fill="FFFFFF"/>
        </w:rPr>
        <w:t> </w:t>
      </w:r>
      <w:bookmarkEnd w:id="80"/>
    </w:p>
    <w:p w14:paraId="1BB477AE">
      <w:pPr>
        <w:pStyle w:val="37"/>
        <w:widowControl/>
        <w:spacing w:beforeAutospacing="0" w:afterAutospacing="0" w:line="500" w:lineRule="exact"/>
        <w:ind w:firstLine="480"/>
        <w:jc w:val="both"/>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1.入围供应商的清退</w:t>
      </w:r>
    </w:p>
    <w:p w14:paraId="7066739E">
      <w:pPr>
        <w:pStyle w:val="37"/>
        <w:widowControl/>
        <w:spacing w:beforeAutospacing="0" w:afterAutospacing="0" w:line="500" w:lineRule="exact"/>
        <w:ind w:firstLine="480"/>
        <w:jc w:val="both"/>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出现以下情形之一，征集人有权清退入围供应商。</w:t>
      </w:r>
    </w:p>
    <w:p w14:paraId="7B1FA8B6">
      <w:pPr>
        <w:pStyle w:val="37"/>
        <w:widowControl/>
        <w:spacing w:beforeAutospacing="0" w:afterAutospacing="0" w:line="500" w:lineRule="exact"/>
        <w:ind w:firstLine="560"/>
        <w:jc w:val="both"/>
        <w:rPr>
          <w:rFonts w:ascii="仿宋" w:hAnsi="仿宋" w:eastAsia="仿宋"/>
          <w:color w:val="auto"/>
          <w:sz w:val="28"/>
          <w:szCs w:val="28"/>
          <w:highlight w:val="none"/>
        </w:rPr>
      </w:pPr>
      <w:r>
        <w:rPr>
          <w:rFonts w:hint="eastAsia" w:ascii="仿宋" w:hAnsi="仿宋" w:eastAsia="仿宋"/>
          <w:color w:val="auto"/>
          <w:sz w:val="28"/>
          <w:szCs w:val="28"/>
          <w:highlight w:val="none"/>
        </w:rPr>
        <w:t>（1）恶意串通谋取入围或者合同成交的； </w:t>
      </w:r>
    </w:p>
    <w:p w14:paraId="2591B4B3">
      <w:pPr>
        <w:pStyle w:val="37"/>
        <w:widowControl/>
        <w:spacing w:beforeAutospacing="0" w:afterAutospacing="0" w:line="500" w:lineRule="exact"/>
        <w:jc w:val="both"/>
        <w:rPr>
          <w:rFonts w:ascii="仿宋" w:hAnsi="仿宋" w:eastAsia="仿宋"/>
          <w:color w:val="auto"/>
          <w:sz w:val="28"/>
          <w:szCs w:val="28"/>
          <w:highlight w:val="none"/>
        </w:rPr>
      </w:pPr>
      <w:r>
        <w:rPr>
          <w:rFonts w:hint="eastAsia" w:ascii="仿宋" w:hAnsi="仿宋" w:eastAsia="仿宋"/>
          <w:color w:val="auto"/>
          <w:sz w:val="28"/>
          <w:szCs w:val="28"/>
          <w:highlight w:val="none"/>
        </w:rPr>
        <w:t>　　（2）提供虚假材料谋取入围或者合同成交的； </w:t>
      </w:r>
    </w:p>
    <w:p w14:paraId="77BA424F">
      <w:pPr>
        <w:pStyle w:val="37"/>
        <w:widowControl/>
        <w:spacing w:beforeAutospacing="0" w:afterAutospacing="0" w:line="500" w:lineRule="exact"/>
        <w:jc w:val="both"/>
        <w:rPr>
          <w:rFonts w:ascii="仿宋" w:hAnsi="仿宋" w:eastAsia="仿宋"/>
          <w:color w:val="auto"/>
          <w:sz w:val="28"/>
          <w:szCs w:val="28"/>
          <w:highlight w:val="none"/>
        </w:rPr>
      </w:pPr>
      <w:r>
        <w:rPr>
          <w:rFonts w:hint="eastAsia" w:ascii="仿宋" w:hAnsi="仿宋" w:eastAsia="仿宋"/>
          <w:color w:val="auto"/>
          <w:sz w:val="28"/>
          <w:szCs w:val="28"/>
          <w:highlight w:val="none"/>
        </w:rPr>
        <w:t>　　（3）无正当理由拒不接受合同授予的； </w:t>
      </w:r>
    </w:p>
    <w:p w14:paraId="036454D8">
      <w:pPr>
        <w:pStyle w:val="37"/>
        <w:widowControl/>
        <w:spacing w:beforeAutospacing="0" w:afterAutospacing="0" w:line="500" w:lineRule="exact"/>
        <w:jc w:val="both"/>
        <w:rPr>
          <w:rFonts w:ascii="仿宋" w:hAnsi="仿宋" w:eastAsia="仿宋"/>
          <w:color w:val="auto"/>
          <w:sz w:val="28"/>
          <w:szCs w:val="28"/>
          <w:highlight w:val="none"/>
        </w:rPr>
      </w:pPr>
      <w:r>
        <w:rPr>
          <w:rFonts w:hint="eastAsia" w:ascii="仿宋" w:hAnsi="仿宋" w:eastAsia="仿宋"/>
          <w:color w:val="auto"/>
          <w:sz w:val="28"/>
          <w:szCs w:val="28"/>
          <w:highlight w:val="none"/>
        </w:rPr>
        <w:t>　　（4）不履行合同义务或者履行合同义务不符合约定，经采购人请求履行后仍不履行或者仍未按约定履行的； </w:t>
      </w:r>
    </w:p>
    <w:p w14:paraId="5425A0F8">
      <w:pPr>
        <w:pStyle w:val="37"/>
        <w:widowControl/>
        <w:spacing w:beforeAutospacing="0" w:afterAutospacing="0" w:line="500" w:lineRule="exact"/>
        <w:ind w:firstLine="563"/>
        <w:jc w:val="both"/>
        <w:rPr>
          <w:rFonts w:ascii="仿宋" w:hAnsi="仿宋" w:eastAsia="仿宋"/>
          <w:color w:val="auto"/>
          <w:sz w:val="28"/>
          <w:szCs w:val="28"/>
          <w:highlight w:val="none"/>
        </w:rPr>
      </w:pPr>
      <w:r>
        <w:rPr>
          <w:rFonts w:hint="eastAsia" w:ascii="仿宋" w:hAnsi="仿宋" w:eastAsia="仿宋"/>
          <w:color w:val="auto"/>
          <w:sz w:val="28"/>
          <w:szCs w:val="28"/>
          <w:highlight w:val="none"/>
        </w:rPr>
        <w:t>（5）框架协议有效期内，因违法行为被禁止或限制参加政府采购活动的； </w:t>
      </w:r>
    </w:p>
    <w:p w14:paraId="347F3C0A">
      <w:pPr>
        <w:pStyle w:val="37"/>
        <w:widowControl/>
        <w:spacing w:beforeAutospacing="0" w:afterAutospacing="0" w:line="500" w:lineRule="exact"/>
        <w:ind w:firstLine="563"/>
        <w:jc w:val="both"/>
        <w:rPr>
          <w:rFonts w:ascii="仿宋" w:hAnsi="仿宋" w:eastAsia="仿宋"/>
          <w:color w:val="auto"/>
          <w:sz w:val="28"/>
          <w:szCs w:val="28"/>
          <w:highlight w:val="none"/>
        </w:rPr>
      </w:pPr>
      <w:r>
        <w:rPr>
          <w:rFonts w:hint="eastAsia" w:ascii="仿宋" w:hAnsi="仿宋" w:eastAsia="仿宋"/>
          <w:color w:val="auto"/>
          <w:sz w:val="28"/>
          <w:szCs w:val="28"/>
          <w:highlight w:val="none"/>
        </w:rPr>
        <w:t>（6）入围供应商不遵守保密规定，发生泄漏成果且造成后果的；</w:t>
      </w:r>
    </w:p>
    <w:p w14:paraId="711FEC78">
      <w:pPr>
        <w:pStyle w:val="37"/>
        <w:widowControl/>
        <w:spacing w:beforeAutospacing="0" w:afterAutospacing="0" w:line="500" w:lineRule="exact"/>
        <w:ind w:firstLine="563"/>
        <w:jc w:val="both"/>
        <w:rPr>
          <w:rFonts w:ascii="仿宋" w:hAnsi="仿宋" w:eastAsia="仿宋"/>
          <w:color w:val="auto"/>
          <w:sz w:val="28"/>
          <w:szCs w:val="28"/>
          <w:highlight w:val="none"/>
        </w:rPr>
      </w:pPr>
      <w:r>
        <w:rPr>
          <w:rFonts w:hint="eastAsia" w:ascii="仿宋" w:hAnsi="仿宋" w:eastAsia="仿宋"/>
          <w:color w:val="auto"/>
          <w:sz w:val="28"/>
          <w:szCs w:val="28"/>
          <w:highlight w:val="none"/>
        </w:rPr>
        <w:t>（7）入围供应商在履行合同过程中出现供货逾期、所供产品或安装质量问题采购人将直接予以清退，取消入围资格。</w:t>
      </w:r>
    </w:p>
    <w:p w14:paraId="273D5294">
      <w:pPr>
        <w:pStyle w:val="37"/>
        <w:widowControl/>
        <w:spacing w:beforeAutospacing="0" w:afterAutospacing="0" w:line="500" w:lineRule="exact"/>
        <w:ind w:firstLine="560"/>
        <w:jc w:val="both"/>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2.入围供应商的补充规则</w:t>
      </w:r>
    </w:p>
    <w:p w14:paraId="737E0A60">
      <w:pPr>
        <w:pStyle w:val="37"/>
        <w:widowControl/>
        <w:spacing w:beforeAutospacing="0" w:afterAutospacing="0" w:line="500" w:lineRule="exact"/>
        <w:ind w:firstLine="480"/>
        <w:jc w:val="both"/>
        <w:rPr>
          <w:rFonts w:ascii="仿宋" w:hAnsi="仿宋" w:eastAsia="仿宋" w:cs="宋体"/>
          <w:color w:val="auto"/>
          <w:sz w:val="28"/>
          <w:szCs w:val="28"/>
          <w:highlight w:val="none"/>
        </w:rPr>
      </w:pPr>
      <w:r>
        <w:rPr>
          <w:rFonts w:hint="eastAsia" w:ascii="宋体" w:hAnsi="宋体" w:eastAsia="宋体" w:cs="宋体"/>
          <w:color w:val="auto"/>
          <w:highlight w:val="none"/>
          <w:shd w:val="clear" w:color="auto" w:fill="FFFFFF"/>
        </w:rPr>
        <w:t>（1）</w:t>
      </w:r>
      <w:r>
        <w:rPr>
          <w:rFonts w:hint="eastAsia" w:ascii="仿宋" w:hAnsi="仿宋" w:eastAsia="仿宋" w:cs="宋体"/>
          <w:color w:val="auto"/>
          <w:sz w:val="28"/>
          <w:szCs w:val="28"/>
          <w:highlight w:val="none"/>
        </w:rPr>
        <w:t>除剩余入围供应商不足入围供应商总数70%且影响框架协议执行的情形外，框架协议有效期内，征集人不补充征集供应商。 </w:t>
      </w:r>
    </w:p>
    <w:p w14:paraId="6566D95F">
      <w:pPr>
        <w:pStyle w:val="37"/>
        <w:widowControl/>
        <w:spacing w:beforeAutospacing="0" w:afterAutospacing="0" w:line="500" w:lineRule="exact"/>
        <w:ind w:firstLine="480"/>
        <w:jc w:val="both"/>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（2）如果出现征集人补充征集供应商情形的，补充征集的条件、程序、评审方法和淘汰比例应当与初次征集相同。补充征集应当遵守原框架协议的有效期。补充征集期间，原框架协议继续履行。</w:t>
      </w:r>
    </w:p>
    <w:p w14:paraId="43CB3122">
      <w:pPr>
        <w:pStyle w:val="37"/>
        <w:widowControl/>
        <w:spacing w:beforeAutospacing="0" w:afterAutospacing="0" w:line="500" w:lineRule="exact"/>
        <w:ind w:firstLine="480"/>
        <w:jc w:val="both"/>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w:t>
      </w:r>
      <w:r>
        <w:rPr>
          <w:rFonts w:hint="eastAsia" w:ascii="仿宋" w:hAnsi="仿宋" w:eastAsia="仿宋"/>
          <w:color w:val="auto"/>
          <w:sz w:val="28"/>
          <w:szCs w:val="28"/>
          <w:highlight w:val="none"/>
        </w:rPr>
        <w:t>被取消入围资格或者被解除框架协议的供应商不得参加同一封闭式框架协议补充征集。</w:t>
      </w:r>
    </w:p>
    <w:p w14:paraId="201AA95F">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81" w:name="_Toc18952"/>
      <w:r>
        <w:rPr>
          <w:rFonts w:hint="eastAsia" w:ascii="黑体" w:hAnsi="黑体" w:eastAsia="黑体" w:cs="黑体"/>
          <w:color w:val="auto"/>
          <w:sz w:val="30"/>
          <w:szCs w:val="30"/>
          <w:highlight w:val="none"/>
          <w:shd w:val="clear" w:color="auto" w:fill="FFFFFF"/>
        </w:rPr>
        <w:t>十</w:t>
      </w:r>
      <w:r>
        <w:rPr>
          <w:rFonts w:hint="eastAsia" w:ascii="黑体" w:hAnsi="黑体" w:eastAsia="黑体" w:cs="黑体"/>
          <w:color w:val="auto"/>
          <w:sz w:val="30"/>
          <w:szCs w:val="30"/>
          <w:highlight w:val="none"/>
          <w:shd w:val="clear" w:color="auto" w:fill="FFFFFF"/>
          <w:lang w:val="en-US" w:eastAsia="zh-CN"/>
        </w:rPr>
        <w:t>六</w:t>
      </w:r>
      <w:r>
        <w:rPr>
          <w:rFonts w:hint="eastAsia" w:ascii="黑体" w:hAnsi="黑体" w:eastAsia="黑体" w:cs="黑体"/>
          <w:color w:val="auto"/>
          <w:sz w:val="30"/>
          <w:szCs w:val="30"/>
          <w:highlight w:val="none"/>
          <w:shd w:val="clear" w:color="auto" w:fill="FFFFFF"/>
        </w:rPr>
        <w:t>、采购代理机构代理费用的收取标准和方式 </w:t>
      </w:r>
      <w:bookmarkEnd w:id="81"/>
    </w:p>
    <w:p w14:paraId="7576ED70">
      <w:pPr>
        <w:spacing w:line="500" w:lineRule="exact"/>
        <w:ind w:firstLine="560" w:firstLineChars="200"/>
        <w:jc w:val="left"/>
        <w:rPr>
          <w:rFonts w:hint="default" w:ascii="仿宋" w:hAnsi="仿宋" w:eastAsia="仿宋"/>
          <w:sz w:val="28"/>
          <w:szCs w:val="28"/>
          <w:highlight w:val="none"/>
          <w:lang w:val="en-US" w:eastAsia="zh-CN"/>
        </w:rPr>
      </w:pPr>
      <w:r>
        <w:rPr>
          <w:rFonts w:hint="eastAsia" w:ascii="仿宋" w:hAnsi="仿宋" w:eastAsia="仿宋" w:cs="仿宋"/>
          <w:color w:val="auto"/>
          <w:sz w:val="28"/>
          <w:szCs w:val="28"/>
          <w:highlight w:val="none"/>
        </w:rPr>
        <w:t>（一）根据《江苏省政府采购代理服务收费指导意见》（苏政采协〔2024〕20号）</w:t>
      </w:r>
      <w:r>
        <w:rPr>
          <w:rFonts w:hint="eastAsia" w:ascii="仿宋" w:hAnsi="仿宋" w:eastAsia="仿宋" w:cs="仿宋"/>
          <w:color w:val="auto"/>
          <w:sz w:val="28"/>
          <w:szCs w:val="28"/>
          <w:highlight w:val="none"/>
          <w:lang w:eastAsia="zh-CN"/>
        </w:rPr>
        <w:t>，</w:t>
      </w:r>
      <w:r>
        <w:rPr>
          <w:rFonts w:hint="eastAsia" w:ascii="仿宋" w:hAnsi="仿宋" w:eastAsia="仿宋" w:cs="仿宋"/>
          <w:sz w:val="28"/>
          <w:szCs w:val="28"/>
          <w:highlight w:val="none"/>
        </w:rPr>
        <w:t>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sz w:val="28"/>
          <w:szCs w:val="28"/>
          <w:highlight w:val="none"/>
          <w:lang w:val="en-US" w:eastAsia="zh-CN"/>
        </w:rPr>
        <w:t>本项目代理服务费按25500元收取，由各入围供应商平均分担。</w:t>
      </w:r>
      <w:r>
        <w:rPr>
          <w:rFonts w:hint="eastAsia" w:ascii="仿宋" w:hAnsi="仿宋" w:eastAsia="仿宋" w:cs="仿宋"/>
          <w:sz w:val="28"/>
          <w:szCs w:val="28"/>
          <w:highlight w:val="none"/>
        </w:rPr>
        <w:t>本项目预算中包含此费用，响应供应商在报价中需考虑此费用的代付，采购人不再另行支付。</w:t>
      </w:r>
    </w:p>
    <w:p w14:paraId="5240B179">
      <w:pPr>
        <w:spacing w:line="500" w:lineRule="exact"/>
        <w:ind w:firstLine="560"/>
        <w:jc w:val="left"/>
        <w:rPr>
          <w:rFonts w:hint="eastAsia" w:ascii="仿宋" w:hAnsi="仿宋" w:eastAsia="仿宋"/>
          <w:sz w:val="28"/>
          <w:szCs w:val="28"/>
          <w:highlight w:val="none"/>
        </w:rPr>
      </w:pPr>
      <w:r>
        <w:rPr>
          <w:rFonts w:hint="eastAsia" w:ascii="仿宋" w:hAnsi="仿宋" w:eastAsia="仿宋" w:cs="仿宋"/>
          <w:color w:val="auto"/>
          <w:sz w:val="28"/>
          <w:szCs w:val="28"/>
          <w:highlight w:val="none"/>
        </w:rPr>
        <w:t>（二）</w:t>
      </w:r>
      <w:r>
        <w:rPr>
          <w:rFonts w:hint="eastAsia" w:ascii="仿宋" w:hAnsi="仿宋" w:eastAsia="仿宋"/>
          <w:sz w:val="28"/>
          <w:szCs w:val="28"/>
          <w:highlight w:val="none"/>
          <w:lang w:val="en-US" w:eastAsia="zh-CN"/>
        </w:rPr>
        <w:t>成交</w:t>
      </w:r>
      <w:r>
        <w:rPr>
          <w:rFonts w:hint="eastAsia" w:ascii="仿宋" w:hAnsi="仿宋" w:eastAsia="仿宋"/>
          <w:sz w:val="28"/>
          <w:szCs w:val="28"/>
          <w:highlight w:val="none"/>
        </w:rPr>
        <w:t>供应商自</w:t>
      </w:r>
      <w:r>
        <w:rPr>
          <w:rFonts w:hint="eastAsia" w:ascii="仿宋" w:hAnsi="仿宋" w:eastAsia="仿宋"/>
          <w:sz w:val="28"/>
          <w:szCs w:val="28"/>
          <w:highlight w:val="none"/>
          <w:lang w:val="en-US" w:eastAsia="zh-CN"/>
        </w:rPr>
        <w:t>入围</w:t>
      </w:r>
      <w:r>
        <w:rPr>
          <w:rFonts w:hint="eastAsia" w:ascii="仿宋" w:hAnsi="仿宋" w:eastAsia="仿宋"/>
          <w:sz w:val="28"/>
          <w:szCs w:val="28"/>
          <w:highlight w:val="none"/>
        </w:rPr>
        <w:t>结果公告发布之日起五个工作日内，</w:t>
      </w:r>
      <w:r>
        <w:rPr>
          <w:rFonts w:hint="eastAsia" w:ascii="仿宋" w:hAnsi="仿宋" w:eastAsia="仿宋" w:cs="仿宋"/>
          <w:color w:val="auto"/>
          <w:sz w:val="28"/>
          <w:szCs w:val="28"/>
          <w:highlight w:val="none"/>
        </w:rPr>
        <w:t>须将采购代理服务费汇入采购代理机构公司账户。</w:t>
      </w:r>
    </w:p>
    <w:p w14:paraId="407FA9ED">
      <w:pPr>
        <w:pageBreakBefore w:val="0"/>
        <w:widowControl w:val="0"/>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1.收款单位名称为：大洲设计咨询集团有限公司如皋分公司；</w:t>
      </w:r>
    </w:p>
    <w:p w14:paraId="454922C5">
      <w:pPr>
        <w:pageBreakBefore w:val="0"/>
        <w:widowControl w:val="0"/>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2.账户号码：408890100100068270；</w:t>
      </w:r>
    </w:p>
    <w:p w14:paraId="5F31F762">
      <w:pPr>
        <w:pStyle w:val="37"/>
        <w:pageBreakBefore w:val="0"/>
        <w:widowControl/>
        <w:spacing w:beforeAutospacing="0" w:afterAutospacing="0" w:line="520" w:lineRule="exact"/>
        <w:ind w:firstLine="560"/>
        <w:jc w:val="both"/>
        <w:outlineLvl w:val="0"/>
        <w:rPr>
          <w:rFonts w:hint="eastAsia" w:ascii="仿宋" w:hAnsi="仿宋" w:eastAsia="仿宋" w:cs="仿宋"/>
          <w:sz w:val="28"/>
          <w:szCs w:val="28"/>
          <w:highlight w:val="none"/>
        </w:rPr>
      </w:pPr>
      <w:bookmarkStart w:id="82" w:name="_Toc20100"/>
      <w:bookmarkStart w:id="83" w:name="_Toc5592"/>
      <w:bookmarkStart w:id="84" w:name="_Toc21254"/>
      <w:r>
        <w:rPr>
          <w:rFonts w:hint="eastAsia" w:ascii="仿宋" w:hAnsi="仿宋" w:eastAsia="仿宋" w:cs="仿宋"/>
          <w:sz w:val="28"/>
          <w:szCs w:val="28"/>
          <w:highlight w:val="none"/>
        </w:rPr>
        <w:t>3.开户行：兴业银行如皋支行。</w:t>
      </w:r>
      <w:bookmarkEnd w:id="82"/>
      <w:bookmarkEnd w:id="83"/>
      <w:bookmarkEnd w:id="84"/>
    </w:p>
    <w:p w14:paraId="5EFFCEF4">
      <w:pPr>
        <w:pStyle w:val="37"/>
        <w:widowControl/>
        <w:spacing w:beforeAutospacing="0" w:afterAutospacing="0" w:line="500" w:lineRule="exact"/>
        <w:ind w:firstLine="600"/>
        <w:jc w:val="both"/>
        <w:outlineLvl w:val="0"/>
        <w:rPr>
          <w:rFonts w:ascii="黑体" w:hAnsi="黑体" w:eastAsia="黑体" w:cs="黑体"/>
          <w:color w:val="auto"/>
          <w:sz w:val="30"/>
          <w:szCs w:val="30"/>
          <w:highlight w:val="none"/>
          <w:shd w:val="clear" w:color="auto" w:fill="FFFFFF"/>
        </w:rPr>
      </w:pPr>
      <w:bookmarkStart w:id="85" w:name="_Toc4619"/>
      <w:r>
        <w:rPr>
          <w:rFonts w:hint="eastAsia" w:ascii="黑体" w:hAnsi="黑体" w:eastAsia="黑体" w:cs="黑体"/>
          <w:color w:val="auto"/>
          <w:sz w:val="30"/>
          <w:szCs w:val="30"/>
          <w:highlight w:val="none"/>
          <w:shd w:val="clear" w:color="auto" w:fill="FFFFFF"/>
        </w:rPr>
        <w:t>十</w:t>
      </w:r>
      <w:r>
        <w:rPr>
          <w:rFonts w:hint="eastAsia" w:ascii="黑体" w:hAnsi="黑体" w:eastAsia="黑体" w:cs="黑体"/>
          <w:color w:val="auto"/>
          <w:sz w:val="30"/>
          <w:szCs w:val="30"/>
          <w:highlight w:val="none"/>
          <w:shd w:val="clear" w:color="auto" w:fill="FFFFFF"/>
          <w:lang w:val="en-US" w:eastAsia="zh-CN"/>
        </w:rPr>
        <w:t>七</w:t>
      </w:r>
      <w:r>
        <w:rPr>
          <w:rFonts w:hint="eastAsia" w:ascii="黑体" w:hAnsi="黑体" w:eastAsia="黑体" w:cs="黑体"/>
          <w:color w:val="auto"/>
          <w:sz w:val="30"/>
          <w:szCs w:val="30"/>
          <w:highlight w:val="none"/>
          <w:shd w:val="clear" w:color="auto" w:fill="FFFFFF"/>
        </w:rPr>
        <w:t>、省级以上财政部门规定的其他事项。 </w:t>
      </w:r>
      <w:bookmarkEnd w:id="85"/>
    </w:p>
    <w:p w14:paraId="20FE3784">
      <w:pPr>
        <w:spacing w:line="500" w:lineRule="exact"/>
        <w:ind w:firstLine="548"/>
        <w:outlineLvl w:val="1"/>
        <w:rPr>
          <w:rFonts w:ascii="黑体" w:hAnsi="黑体" w:eastAsia="黑体"/>
          <w:color w:val="auto"/>
          <w:sz w:val="28"/>
          <w:szCs w:val="28"/>
          <w:highlight w:val="none"/>
        </w:rPr>
      </w:pPr>
      <w:bookmarkStart w:id="86" w:name="_Toc29547"/>
      <w:bookmarkStart w:id="87" w:name="_Toc15571"/>
      <w:bookmarkStart w:id="88" w:name="_Toc18292"/>
      <w:bookmarkStart w:id="89" w:name="_Toc2986"/>
      <w:bookmarkStart w:id="90" w:name="_Toc5584"/>
      <w:r>
        <w:rPr>
          <w:rFonts w:hint="eastAsia" w:ascii="黑体" w:hAnsi="黑体" w:eastAsia="黑体"/>
          <w:color w:val="auto"/>
          <w:sz w:val="28"/>
          <w:szCs w:val="28"/>
          <w:highlight w:val="none"/>
        </w:rPr>
        <w:t>（一）征集费用</w:t>
      </w:r>
      <w:bookmarkEnd w:id="86"/>
      <w:bookmarkEnd w:id="87"/>
      <w:bookmarkEnd w:id="88"/>
      <w:bookmarkEnd w:id="89"/>
      <w:bookmarkEnd w:id="90"/>
    </w:p>
    <w:p w14:paraId="4A1DB397">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供应商应自行承担所有与征集有关的费用。不论最终的征集结果如何，采购人或者代理机构在任何情况下均无义务和责任承担这些费用。</w:t>
      </w:r>
    </w:p>
    <w:p w14:paraId="4CF37D3C">
      <w:pPr>
        <w:pageBreakBefore w:val="0"/>
        <w:tabs>
          <w:tab w:val="left" w:pos="900"/>
        </w:tabs>
        <w:spacing w:line="520" w:lineRule="exact"/>
        <w:ind w:firstLine="560"/>
        <w:outlineLvl w:val="1"/>
        <w:rPr>
          <w:rFonts w:hint="eastAsia" w:ascii="仿宋" w:hAnsi="仿宋" w:eastAsia="仿宋" w:cs="仿宋"/>
          <w:color w:val="auto"/>
          <w:sz w:val="28"/>
          <w:szCs w:val="28"/>
          <w:highlight w:val="none"/>
        </w:rPr>
      </w:pPr>
      <w:bookmarkStart w:id="91" w:name="_Hlt26670523"/>
      <w:bookmarkEnd w:id="91"/>
      <w:bookmarkStart w:id="92" w:name="_Hlt26954832"/>
      <w:bookmarkEnd w:id="92"/>
      <w:bookmarkStart w:id="93" w:name="_Hlt26954830"/>
      <w:bookmarkEnd w:id="93"/>
      <w:bookmarkStart w:id="94" w:name="_Hlt26668969"/>
      <w:bookmarkEnd w:id="94"/>
      <w:bookmarkStart w:id="95" w:name="_Hlt26670354"/>
      <w:bookmarkEnd w:id="95"/>
      <w:bookmarkStart w:id="96" w:name="_Hlt26670348"/>
      <w:bookmarkEnd w:id="96"/>
      <w:bookmarkStart w:id="97" w:name="_Hlt26670345"/>
      <w:bookmarkEnd w:id="97"/>
      <w:bookmarkStart w:id="98" w:name="_Hlt26954828"/>
      <w:bookmarkEnd w:id="98"/>
      <w:bookmarkStart w:id="99" w:name="_Hlt26954864"/>
      <w:bookmarkEnd w:id="99"/>
      <w:bookmarkStart w:id="100" w:name="_Toc25539"/>
      <w:bookmarkStart w:id="101" w:name="_Toc11951"/>
      <w:bookmarkStart w:id="102" w:name="_Toc5180"/>
      <w:bookmarkStart w:id="103" w:name="_Toc19412"/>
      <w:bookmarkStart w:id="104" w:name="_Toc2245"/>
      <w:bookmarkStart w:id="105" w:name="_Toc230"/>
      <w:bookmarkStart w:id="106" w:name="_Toc19069"/>
      <w:bookmarkStart w:id="107" w:name="_Toc25521"/>
      <w:bookmarkStart w:id="108" w:name="_Toc30654"/>
      <w:bookmarkStart w:id="109" w:name="_Toc21914"/>
      <w:bookmarkStart w:id="110" w:name="_Toc22351"/>
      <w:bookmarkStart w:id="111" w:name="_Toc16729"/>
      <w:bookmarkStart w:id="112" w:name="_Toc26682"/>
      <w:r>
        <w:rPr>
          <w:rFonts w:hint="eastAsia" w:ascii="仿宋" w:hAnsi="仿宋" w:eastAsia="仿宋" w:cs="仿宋"/>
          <w:color w:val="auto"/>
          <w:sz w:val="28"/>
          <w:szCs w:val="28"/>
          <w:highlight w:val="none"/>
        </w:rPr>
        <w:t>（二）征集文件的约束力</w:t>
      </w:r>
      <w:bookmarkEnd w:id="100"/>
      <w:bookmarkEnd w:id="101"/>
      <w:bookmarkEnd w:id="102"/>
      <w:bookmarkEnd w:id="103"/>
      <w:bookmarkEnd w:id="104"/>
      <w:bookmarkEnd w:id="105"/>
      <w:bookmarkEnd w:id="106"/>
      <w:bookmarkEnd w:id="107"/>
    </w:p>
    <w:p w14:paraId="34CD454A">
      <w:pPr>
        <w:pageBreakBefore w:val="0"/>
        <w:tabs>
          <w:tab w:val="left" w:pos="900"/>
        </w:tabs>
        <w:spacing w:line="520" w:lineRule="exact"/>
        <w:ind w:left="12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1.供应商一旦获取或下载了本征集文件并决定可参加征集活动，即被认为接受了本征集文件的规定和约束，并且视为已经知道或应当知道自身权益是否受到了损害。</w:t>
      </w:r>
    </w:p>
    <w:p w14:paraId="235DB4B2">
      <w:pPr>
        <w:pageBreakBefore w:val="0"/>
        <w:tabs>
          <w:tab w:val="left" w:pos="90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任何要求对征集文件进行澄清的响应供应商，均应在提交首次征集文件截止时间10个工作日前按照征集公告中的通讯地址，以书面形式通知采购人或者代理机构。采购人或者代理机构可以对已发出的征集文件、征集邀请书进行必要的澄清或者修改，但不得改变采购标的和资格条件。澄清或者修改的内容作为征集文件、资格预审文件、征集邀请书的组成部分。</w:t>
      </w:r>
    </w:p>
    <w:p w14:paraId="34D9F0DE">
      <w:pPr>
        <w:tabs>
          <w:tab w:val="left" w:pos="900"/>
        </w:tabs>
        <w:spacing w:line="500" w:lineRule="exact"/>
        <w:ind w:firstLine="69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sz w:val="28"/>
          <w:szCs w:val="28"/>
          <w:highlight w:val="none"/>
        </w:rPr>
        <w:t>采购人或者采购代理机构通过“苏采云”系统发布澄清公告或者修改的内容，并以所发布的本项目的“更正（澄清）公告”的形式通知所有获取</w:t>
      </w:r>
      <w:r>
        <w:rPr>
          <w:rFonts w:hint="eastAsia" w:ascii="仿宋" w:hAnsi="仿宋" w:eastAsia="仿宋"/>
          <w:sz w:val="28"/>
          <w:szCs w:val="28"/>
          <w:highlight w:val="none"/>
          <w:lang w:val="en-US" w:eastAsia="zh-CN"/>
        </w:rPr>
        <w:t>征集文件</w:t>
      </w:r>
      <w:r>
        <w:rPr>
          <w:rFonts w:hint="eastAsia" w:ascii="仿宋" w:hAnsi="仿宋" w:eastAsia="仿宋"/>
          <w:sz w:val="28"/>
          <w:szCs w:val="28"/>
          <w:highlight w:val="none"/>
        </w:rPr>
        <w:t>的潜在供应商。敬请各潜在供应商关注本项目的“更正（澄清）公告”，并通过“苏采云”系统重新下载更正（澄清）后的</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文件（后缀名为“.kedt”），离线编制投标文件，否则，将自行承担相应的风险。</w:t>
      </w:r>
    </w:p>
    <w:p w14:paraId="57B40904">
      <w:pPr>
        <w:pageBreakBefore w:val="0"/>
        <w:tabs>
          <w:tab w:val="left" w:pos="90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4.澄清或者修改的内容可能影响征集文件编制的，采购人或者代理机构应当在征集截止时间至少15日前，在</w:t>
      </w:r>
      <w:r>
        <w:rPr>
          <w:rFonts w:hint="eastAsia" w:ascii="仿宋" w:hAnsi="仿宋" w:eastAsia="仿宋" w:cs="仿宋"/>
          <w:color w:val="auto"/>
          <w:sz w:val="28"/>
          <w:szCs w:val="28"/>
          <w:highlight w:val="none"/>
          <w:lang w:val="en-US" w:eastAsia="zh-CN"/>
        </w:rPr>
        <w:t>江苏政府采购网</w:t>
      </w:r>
      <w:r>
        <w:rPr>
          <w:rFonts w:hint="eastAsia" w:ascii="仿宋" w:hAnsi="仿宋" w:eastAsia="仿宋" w:cs="仿宋"/>
          <w:color w:val="auto"/>
          <w:sz w:val="28"/>
          <w:szCs w:val="28"/>
          <w:highlight w:val="none"/>
        </w:rPr>
        <w:t>发布书面更正公告形式通知所有获取征集文件的潜在供应商。不足15日的，采购人或者代理机构应当顺延提交征集文件的截止时间。</w:t>
      </w:r>
    </w:p>
    <w:p w14:paraId="002C5F62">
      <w:pPr>
        <w:pageBreakBefore w:val="0"/>
        <w:tabs>
          <w:tab w:val="left" w:pos="90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5.采购人或者采购代理机构在发布征集公告、资格预审公告或者发出征集邀请书后，除因重大变故采购任务取消情况外，不得擅自终止征集活动。</w:t>
      </w:r>
    </w:p>
    <w:p w14:paraId="131BB5B2">
      <w:pPr>
        <w:spacing w:line="500" w:lineRule="exact"/>
        <w:ind w:firstLine="560"/>
        <w:outlineLvl w:val="1"/>
        <w:rPr>
          <w:rFonts w:ascii="黑体" w:hAnsi="黑体" w:eastAsia="黑体"/>
          <w:color w:val="auto"/>
          <w:sz w:val="28"/>
          <w:szCs w:val="28"/>
          <w:highlight w:val="none"/>
        </w:rPr>
      </w:pPr>
      <w:bookmarkStart w:id="113" w:name="_Toc28329"/>
      <w:r>
        <w:rPr>
          <w:rFonts w:hint="eastAsia" w:ascii="黑体" w:hAnsi="黑体" w:eastAsia="黑体"/>
          <w:color w:val="auto"/>
          <w:sz w:val="28"/>
          <w:szCs w:val="28"/>
          <w:highlight w:val="none"/>
        </w:rPr>
        <w:t>（三）征集评审</w:t>
      </w:r>
      <w:bookmarkEnd w:id="108"/>
      <w:bookmarkEnd w:id="109"/>
      <w:bookmarkEnd w:id="110"/>
      <w:bookmarkEnd w:id="111"/>
      <w:bookmarkEnd w:id="112"/>
      <w:bookmarkEnd w:id="113"/>
    </w:p>
    <w:p w14:paraId="407B3078">
      <w:pPr>
        <w:spacing w:line="500" w:lineRule="exact"/>
        <w:ind w:firstLine="560"/>
        <w:rPr>
          <w:rFonts w:ascii="仿宋" w:hAnsi="仿宋" w:eastAsia="仿宋"/>
          <w:sz w:val="28"/>
          <w:szCs w:val="28"/>
          <w:highlight w:val="none"/>
        </w:rPr>
      </w:pPr>
      <w:bookmarkStart w:id="114" w:name="_Toc25937"/>
      <w:bookmarkStart w:id="115" w:name="_Toc20380"/>
      <w:bookmarkStart w:id="116" w:name="_Toc21529"/>
      <w:bookmarkStart w:id="117" w:name="_Toc23778"/>
      <w:bookmarkStart w:id="118" w:name="_Toc3665"/>
      <w:bookmarkStart w:id="119" w:name="_Toc513029235"/>
      <w:bookmarkStart w:id="120" w:name="_Toc16938551"/>
      <w:bookmarkStart w:id="121" w:name="_Toc20823309"/>
      <w:bookmarkStart w:id="122" w:name="_Toc16938553"/>
      <w:bookmarkStart w:id="123" w:name="_Toc20823307"/>
      <w:bookmarkStart w:id="124" w:name="_Toc513029237"/>
      <w:r>
        <w:rPr>
          <w:rFonts w:hint="eastAsia" w:ascii="仿宋" w:hAnsi="仿宋" w:eastAsia="仿宋" w:cs="仿宋"/>
          <w:color w:val="auto"/>
          <w:sz w:val="28"/>
          <w:szCs w:val="28"/>
          <w:highlight w:val="none"/>
        </w:rPr>
        <w:t>1.</w:t>
      </w:r>
      <w:r>
        <w:rPr>
          <w:rFonts w:hint="eastAsia" w:ascii="仿宋" w:hAnsi="仿宋" w:eastAsia="仿宋"/>
          <w:sz w:val="28"/>
          <w:szCs w:val="28"/>
          <w:highlight w:val="none"/>
        </w:rPr>
        <w:t xml:space="preserve"> 采购人或者采购代理机构将在</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公告中规定的时间和地点组织</w:t>
      </w:r>
      <w:r>
        <w:rPr>
          <w:rFonts w:hint="eastAsia" w:ascii="仿宋" w:hAnsi="仿宋" w:eastAsia="仿宋"/>
          <w:sz w:val="28"/>
          <w:szCs w:val="28"/>
          <w:highlight w:val="none"/>
          <w:lang w:val="en-US" w:eastAsia="zh-CN"/>
        </w:rPr>
        <w:t>框架协议采购</w:t>
      </w:r>
      <w:r>
        <w:rPr>
          <w:rFonts w:hint="eastAsia" w:ascii="仿宋" w:hAnsi="仿宋" w:eastAsia="仿宋"/>
          <w:sz w:val="28"/>
          <w:szCs w:val="28"/>
          <w:highlight w:val="none"/>
        </w:rPr>
        <w:t>活动。</w:t>
      </w:r>
    </w:p>
    <w:p w14:paraId="396D617F">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2.</w:t>
      </w:r>
      <w:r>
        <w:rPr>
          <w:rFonts w:hint="eastAsia" w:ascii="仿宋" w:hAnsi="仿宋" w:eastAsia="仿宋"/>
          <w:bCs/>
          <w:sz w:val="28"/>
          <w:szCs w:val="28"/>
          <w:highlight w:val="none"/>
        </w:rPr>
        <w:t>开标前，供应商使用CA数字证书登录“苏采云”系统，并根据开标会议区发出投标文件解密的指令，在30分钟之内使用CA数字证书解密各自投标文件。</w:t>
      </w:r>
    </w:p>
    <w:p w14:paraId="2FD83B04">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3.响应</w:t>
      </w:r>
      <w:r>
        <w:rPr>
          <w:rFonts w:hint="eastAsia" w:ascii="仿宋" w:hAnsi="仿宋" w:eastAsia="仿宋"/>
          <w:bCs/>
          <w:sz w:val="28"/>
          <w:szCs w:val="28"/>
          <w:highlight w:val="none"/>
        </w:rPr>
        <w:t>供应商因网络与电源不稳定、未按操作手册要求配置软硬件、解密锁发生故障或用错、故意不在要求时限内完成解密等自身原因，导致</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文件在规定时间内未能解密、解密失败或解密超时，视为</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供应商撤销其</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文件，系统内</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文件将被退回。</w:t>
      </w:r>
    </w:p>
    <w:p w14:paraId="7DF5B19B">
      <w:pPr>
        <w:spacing w:line="500" w:lineRule="exact"/>
        <w:ind w:firstLine="560"/>
        <w:rPr>
          <w:rFonts w:ascii="仿宋" w:hAnsi="仿宋" w:eastAsia="仿宋"/>
          <w:bCs/>
          <w:sz w:val="28"/>
          <w:szCs w:val="28"/>
          <w:highlight w:val="none"/>
        </w:rPr>
      </w:pP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因采购人原因或网上招投标平台发生故障，导致无法按时完成</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文件解密或</w:t>
      </w:r>
      <w:r>
        <w:rPr>
          <w:rFonts w:hint="eastAsia" w:ascii="仿宋" w:hAnsi="仿宋" w:eastAsia="仿宋"/>
          <w:bCs/>
          <w:sz w:val="28"/>
          <w:szCs w:val="28"/>
          <w:highlight w:val="none"/>
          <w:lang w:val="en-US" w:eastAsia="zh-CN"/>
        </w:rPr>
        <w:t>评审</w:t>
      </w:r>
      <w:r>
        <w:rPr>
          <w:rFonts w:hint="eastAsia" w:ascii="仿宋" w:hAnsi="仿宋" w:eastAsia="仿宋"/>
          <w:bCs/>
          <w:sz w:val="28"/>
          <w:szCs w:val="28"/>
          <w:highlight w:val="none"/>
        </w:rPr>
        <w:t>工作无法进行的，可根据实际情况相应延迟解密时间或调整</w:t>
      </w:r>
      <w:r>
        <w:rPr>
          <w:rFonts w:hint="eastAsia" w:ascii="仿宋" w:hAnsi="仿宋" w:eastAsia="仿宋"/>
          <w:bCs/>
          <w:sz w:val="28"/>
          <w:szCs w:val="28"/>
          <w:highlight w:val="none"/>
          <w:lang w:val="en-US" w:eastAsia="zh-CN"/>
        </w:rPr>
        <w:t>评审</w:t>
      </w:r>
      <w:r>
        <w:rPr>
          <w:rFonts w:hint="eastAsia" w:ascii="仿宋" w:hAnsi="仿宋" w:eastAsia="仿宋"/>
          <w:bCs/>
          <w:sz w:val="28"/>
          <w:szCs w:val="28"/>
          <w:highlight w:val="none"/>
        </w:rPr>
        <w:t>时间。</w:t>
      </w:r>
    </w:p>
    <w:p w14:paraId="093AF044">
      <w:pPr>
        <w:spacing w:line="500" w:lineRule="exact"/>
        <w:ind w:firstLine="560"/>
        <w:rPr>
          <w:rFonts w:hint="eastAsia" w:ascii="仿宋" w:hAnsi="仿宋" w:eastAsia="仿宋" w:cs="仿宋"/>
          <w:color w:val="auto"/>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bCs/>
          <w:sz w:val="28"/>
          <w:szCs w:val="28"/>
          <w:highlight w:val="none"/>
        </w:rPr>
        <w:t>供应商在</w:t>
      </w:r>
      <w:r>
        <w:rPr>
          <w:rFonts w:hint="eastAsia" w:ascii="仿宋" w:hAnsi="仿宋" w:eastAsia="仿宋"/>
          <w:bCs/>
          <w:sz w:val="28"/>
          <w:szCs w:val="28"/>
          <w:highlight w:val="none"/>
          <w:lang w:val="en-US" w:eastAsia="zh-CN"/>
        </w:rPr>
        <w:t>评审</w:t>
      </w:r>
      <w:r>
        <w:rPr>
          <w:rFonts w:hint="eastAsia" w:ascii="仿宋" w:hAnsi="仿宋" w:eastAsia="仿宋"/>
          <w:bCs/>
          <w:sz w:val="28"/>
          <w:szCs w:val="28"/>
          <w:highlight w:val="none"/>
        </w:rPr>
        <w:t>全过程中应保持通讯畅通，并安排专人与采购人或采购代理机构及</w:t>
      </w:r>
      <w:r>
        <w:rPr>
          <w:rFonts w:hint="eastAsia" w:ascii="仿宋" w:hAnsi="仿宋" w:eastAsia="仿宋"/>
          <w:bCs/>
          <w:sz w:val="28"/>
          <w:szCs w:val="28"/>
          <w:highlight w:val="none"/>
          <w:lang w:val="en-US" w:eastAsia="zh-CN"/>
        </w:rPr>
        <w:t>评审小组</w:t>
      </w:r>
      <w:r>
        <w:rPr>
          <w:rFonts w:hint="eastAsia" w:ascii="仿宋" w:hAnsi="仿宋" w:eastAsia="仿宋"/>
          <w:bCs/>
          <w:sz w:val="28"/>
          <w:szCs w:val="28"/>
          <w:highlight w:val="none"/>
        </w:rPr>
        <w:t>联系</w:t>
      </w:r>
      <w:r>
        <w:rPr>
          <w:rFonts w:ascii="仿宋" w:hAnsi="仿宋" w:eastAsia="仿宋"/>
          <w:sz w:val="28"/>
          <w:szCs w:val="28"/>
          <w:highlight w:val="none"/>
        </w:rPr>
        <w:t>。</w:t>
      </w:r>
    </w:p>
    <w:p w14:paraId="252048B6">
      <w:pPr>
        <w:spacing w:line="500" w:lineRule="exact"/>
        <w:ind w:firstLine="560"/>
        <w:rPr>
          <w:rFonts w:ascii="仿宋" w:hAnsi="仿宋" w:eastAsia="仿宋"/>
          <w:bCs/>
          <w:sz w:val="28"/>
          <w:szCs w:val="28"/>
          <w:highlight w:val="none"/>
        </w:rPr>
      </w:pPr>
      <w:bookmarkStart w:id="125" w:name="_Toc513029231"/>
      <w:bookmarkStart w:id="126" w:name="_Toc16938547"/>
      <w:bookmarkStart w:id="127" w:name="_Toc20823303"/>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 xml:space="preserve"> 开标结束后，</w:t>
      </w:r>
      <w:r>
        <w:rPr>
          <w:rFonts w:ascii="仿宋" w:hAnsi="仿宋" w:eastAsia="仿宋"/>
          <w:bCs/>
          <w:sz w:val="28"/>
          <w:szCs w:val="28"/>
          <w:highlight w:val="none"/>
        </w:rPr>
        <w:t>采购人或者采购代理机构依法对</w:t>
      </w:r>
      <w:r>
        <w:rPr>
          <w:rFonts w:hint="eastAsia" w:ascii="仿宋" w:hAnsi="仿宋" w:eastAsia="仿宋"/>
          <w:bCs/>
          <w:sz w:val="28"/>
          <w:szCs w:val="28"/>
          <w:highlight w:val="none"/>
          <w:lang w:val="en-US" w:eastAsia="zh-CN"/>
        </w:rPr>
        <w:t>响应供应商</w:t>
      </w:r>
      <w:r>
        <w:rPr>
          <w:rFonts w:ascii="仿宋" w:hAnsi="仿宋" w:eastAsia="仿宋"/>
          <w:bCs/>
          <w:sz w:val="28"/>
          <w:szCs w:val="28"/>
          <w:highlight w:val="none"/>
        </w:rPr>
        <w:t>资格进行审查。合格</w:t>
      </w:r>
      <w:r>
        <w:rPr>
          <w:rFonts w:hint="eastAsia" w:ascii="仿宋" w:hAnsi="仿宋" w:eastAsia="仿宋"/>
          <w:bCs/>
          <w:sz w:val="28"/>
          <w:szCs w:val="28"/>
          <w:highlight w:val="none"/>
          <w:lang w:val="en-US" w:eastAsia="zh-CN"/>
        </w:rPr>
        <w:t>响应供应商</w:t>
      </w:r>
      <w:r>
        <w:rPr>
          <w:rFonts w:ascii="仿宋" w:hAnsi="仿宋" w:eastAsia="仿宋"/>
          <w:bCs/>
          <w:sz w:val="28"/>
          <w:szCs w:val="28"/>
          <w:highlight w:val="none"/>
        </w:rPr>
        <w:t>不足3家的，不得</w:t>
      </w:r>
      <w:r>
        <w:rPr>
          <w:rFonts w:hint="eastAsia" w:ascii="仿宋" w:hAnsi="仿宋" w:eastAsia="仿宋"/>
          <w:bCs/>
          <w:sz w:val="28"/>
          <w:szCs w:val="28"/>
          <w:highlight w:val="none"/>
          <w:lang w:val="en-US" w:eastAsia="zh-CN"/>
        </w:rPr>
        <w:t>评审</w:t>
      </w:r>
      <w:r>
        <w:rPr>
          <w:rFonts w:ascii="仿宋" w:hAnsi="仿宋" w:eastAsia="仿宋"/>
          <w:bCs/>
          <w:sz w:val="28"/>
          <w:szCs w:val="28"/>
          <w:highlight w:val="none"/>
        </w:rPr>
        <w:t>。</w:t>
      </w:r>
    </w:p>
    <w:p w14:paraId="1378434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 </w:t>
      </w:r>
      <w:r>
        <w:rPr>
          <w:rFonts w:ascii="仿宋" w:hAnsi="仿宋" w:eastAsia="仿宋"/>
          <w:sz w:val="28"/>
          <w:szCs w:val="28"/>
          <w:highlight w:val="none"/>
        </w:rPr>
        <w:t>评标委员会由采购人代表和评审专家组成，成员人数应当为5人</w:t>
      </w:r>
      <w:r>
        <w:rPr>
          <w:rFonts w:hint="eastAsia" w:ascii="仿宋" w:hAnsi="仿宋" w:eastAsia="仿宋"/>
          <w:sz w:val="28"/>
          <w:szCs w:val="28"/>
          <w:highlight w:val="none"/>
          <w:lang w:eastAsia="zh-CN"/>
        </w:rPr>
        <w:t>及</w:t>
      </w:r>
      <w:r>
        <w:rPr>
          <w:rFonts w:ascii="仿宋" w:hAnsi="仿宋" w:eastAsia="仿宋"/>
          <w:sz w:val="28"/>
          <w:szCs w:val="28"/>
          <w:highlight w:val="none"/>
        </w:rPr>
        <w:t>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预算</w:t>
      </w:r>
      <w:r>
        <w:rPr>
          <w:rFonts w:ascii="仿宋" w:hAnsi="仿宋" w:eastAsia="仿宋"/>
          <w:sz w:val="28"/>
          <w:szCs w:val="28"/>
          <w:highlight w:val="none"/>
        </w:rPr>
        <w:fldChar w:fldCharType="end"/>
      </w:r>
      <w:r>
        <w:rPr>
          <w:rFonts w:ascii="仿宋" w:hAnsi="仿宋" w:eastAsia="仿宋"/>
          <w:sz w:val="28"/>
          <w:szCs w:val="28"/>
          <w:highlight w:val="none"/>
        </w:rPr>
        <w:t>金额在1000万元以上</w:t>
      </w:r>
      <w:r>
        <w:rPr>
          <w:rFonts w:hint="eastAsia" w:ascii="仿宋" w:hAnsi="仿宋" w:eastAsia="仿宋"/>
          <w:sz w:val="28"/>
          <w:szCs w:val="28"/>
          <w:highlight w:val="none"/>
        </w:rPr>
        <w:t>、</w:t>
      </w:r>
      <w:r>
        <w:rPr>
          <w:rFonts w:ascii="仿宋" w:hAnsi="仿宋" w:eastAsia="仿宋"/>
          <w:sz w:val="28"/>
          <w:szCs w:val="28"/>
          <w:highlight w:val="none"/>
        </w:rPr>
        <w:t>技术复杂</w:t>
      </w:r>
      <w:r>
        <w:rPr>
          <w:rFonts w:hint="eastAsia" w:ascii="仿宋" w:hAnsi="仿宋" w:eastAsia="仿宋"/>
          <w:sz w:val="28"/>
          <w:szCs w:val="28"/>
          <w:highlight w:val="none"/>
        </w:rPr>
        <w:t>或者</w:t>
      </w:r>
      <w:r>
        <w:rPr>
          <w:rFonts w:ascii="仿宋" w:hAnsi="仿宋" w:eastAsia="仿宋"/>
          <w:sz w:val="28"/>
          <w:szCs w:val="28"/>
          <w:highlight w:val="none"/>
        </w:rPr>
        <w:t>社会影响较大的采购项目，评标委员会成员人数应当为7人以上单数</w:t>
      </w:r>
      <w:r>
        <w:rPr>
          <w:rFonts w:hint="eastAsia" w:ascii="仿宋" w:hAnsi="仿宋" w:eastAsia="仿宋"/>
          <w:sz w:val="28"/>
          <w:szCs w:val="28"/>
          <w:highlight w:val="none"/>
        </w:rPr>
        <w:t>。</w:t>
      </w:r>
    </w:p>
    <w:p w14:paraId="1709782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 xml:space="preserve"> </w:t>
      </w:r>
      <w:r>
        <w:rPr>
          <w:rFonts w:ascii="仿宋" w:hAnsi="仿宋" w:eastAsia="仿宋"/>
          <w:sz w:val="28"/>
          <w:szCs w:val="28"/>
          <w:highlight w:val="none"/>
        </w:rPr>
        <w:t>采购人或者采购代理机构应当从省级以上财政部门设立的政府采购评审专家库中，通过随机方式抽取评审专家。</w:t>
      </w:r>
    </w:p>
    <w:p w14:paraId="52C23333">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 xml:space="preserve"> </w:t>
      </w:r>
      <w:r>
        <w:rPr>
          <w:rFonts w:ascii="仿宋" w:hAnsi="仿宋" w:eastAsia="仿宋"/>
          <w:sz w:val="28"/>
          <w:szCs w:val="28"/>
          <w:highlight w:val="none"/>
        </w:rPr>
        <w:t>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预算单位</w:t>
      </w:r>
      <w:r>
        <w:rPr>
          <w:rFonts w:ascii="仿宋" w:hAnsi="仿宋" w:eastAsia="仿宋"/>
          <w:sz w:val="28"/>
          <w:szCs w:val="28"/>
          <w:highlight w:val="none"/>
        </w:rPr>
        <w:fldChar w:fldCharType="end"/>
      </w:r>
      <w:r>
        <w:rPr>
          <w:rFonts w:ascii="仿宋" w:hAnsi="仿宋" w:eastAsia="仿宋"/>
          <w:sz w:val="28"/>
          <w:szCs w:val="28"/>
          <w:highlight w:val="none"/>
        </w:rPr>
        <w:t>同意，采购人可以自行选定相应专业领域的评审专家。</w:t>
      </w:r>
    </w:p>
    <w:p w14:paraId="10018B2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 xml:space="preserve"> 除了第9条规定的情形之外，</w:t>
      </w:r>
      <w:r>
        <w:rPr>
          <w:rFonts w:ascii="仿宋" w:hAnsi="仿宋" w:eastAsia="仿宋"/>
          <w:sz w:val="28"/>
          <w:szCs w:val="28"/>
          <w:highlight w:val="none"/>
        </w:rPr>
        <w:t>评审专家对本单位的采购项目只能作为采购人代表参与</w:t>
      </w:r>
      <w:r>
        <w:rPr>
          <w:rFonts w:hint="eastAsia" w:ascii="仿宋" w:hAnsi="仿宋" w:eastAsia="仿宋"/>
          <w:sz w:val="28"/>
          <w:szCs w:val="28"/>
          <w:highlight w:val="none"/>
          <w:lang w:val="en-US" w:eastAsia="zh-CN"/>
        </w:rPr>
        <w:t>评审</w:t>
      </w:r>
      <w:r>
        <w:rPr>
          <w:rFonts w:ascii="仿宋" w:hAnsi="仿宋" w:eastAsia="仿宋"/>
          <w:sz w:val="28"/>
          <w:szCs w:val="28"/>
          <w:highlight w:val="none"/>
        </w:rPr>
        <w:t>。</w:t>
      </w:r>
    </w:p>
    <w:p w14:paraId="7A7EEC7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 xml:space="preserve"> 评标委员会审查、评价</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文件是否符合</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文件的商务、技术等实质性要求；按照</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文件中规定的评标方法和标准，对符合性审查合格的</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文件进行商务和技术评估，综合比较与评价，确定</w:t>
      </w:r>
      <w:r>
        <w:rPr>
          <w:rFonts w:hint="eastAsia" w:ascii="仿宋" w:hAnsi="仿宋" w:eastAsia="仿宋"/>
          <w:sz w:val="28"/>
          <w:szCs w:val="28"/>
          <w:highlight w:val="none"/>
          <w:lang w:val="en-US" w:eastAsia="zh-CN"/>
        </w:rPr>
        <w:t>入围供应商</w:t>
      </w:r>
      <w:r>
        <w:rPr>
          <w:rFonts w:hint="eastAsia" w:ascii="仿宋" w:hAnsi="仿宋" w:eastAsia="仿宋"/>
          <w:sz w:val="28"/>
          <w:szCs w:val="28"/>
          <w:highlight w:val="none"/>
        </w:rPr>
        <w:t>。</w:t>
      </w:r>
    </w:p>
    <w:p w14:paraId="522CFA3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12. </w:t>
      </w:r>
      <w:r>
        <w:rPr>
          <w:rFonts w:hint="eastAsia" w:ascii="仿宋" w:hAnsi="仿宋" w:eastAsia="仿宋"/>
          <w:sz w:val="28"/>
          <w:szCs w:val="28"/>
          <w:highlight w:val="none"/>
        </w:rPr>
        <w:t>评标委员会</w:t>
      </w:r>
      <w:r>
        <w:rPr>
          <w:rFonts w:hint="eastAsia" w:ascii="仿宋" w:hAnsi="仿宋" w:eastAsia="仿宋"/>
          <w:sz w:val="28"/>
          <w:szCs w:val="28"/>
          <w:highlight w:val="none"/>
          <w:lang w:val="en-US" w:eastAsia="zh-CN"/>
        </w:rPr>
        <w:t>评审</w:t>
      </w:r>
      <w:r>
        <w:rPr>
          <w:rFonts w:hint="eastAsia" w:ascii="仿宋" w:hAnsi="仿宋" w:eastAsia="仿宋"/>
          <w:sz w:val="28"/>
          <w:szCs w:val="28"/>
          <w:highlight w:val="none"/>
        </w:rPr>
        <w:t>时，可以通过视频会议，要求供应商对</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文件中含义不明确、同类问题表述不一致或者有明显文字和计算错误的内容等作出必要的澄清、说明或者更正。</w:t>
      </w:r>
    </w:p>
    <w:p w14:paraId="2CA6086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13.</w:t>
      </w:r>
      <w:r>
        <w:rPr>
          <w:rFonts w:hint="eastAsia" w:ascii="仿宋" w:hAnsi="仿宋" w:eastAsia="仿宋"/>
          <w:sz w:val="28"/>
          <w:szCs w:val="28"/>
          <w:highlight w:val="none"/>
        </w:rPr>
        <w:t xml:space="preserve"> </w:t>
      </w:r>
      <w:r>
        <w:rPr>
          <w:rFonts w:hint="eastAsia" w:ascii="仿宋" w:hAnsi="仿宋" w:eastAsia="仿宋"/>
          <w:bCs/>
          <w:sz w:val="28"/>
          <w:szCs w:val="28"/>
          <w:highlight w:val="none"/>
        </w:rPr>
        <w:t>接到澄清要求的供应商，应在评标委员会规定的时间内做出澄清，澄清的内容作为</w:t>
      </w:r>
      <w:r>
        <w:rPr>
          <w:rFonts w:hint="eastAsia" w:ascii="仿宋" w:hAnsi="仿宋" w:eastAsia="仿宋"/>
          <w:bCs/>
          <w:sz w:val="28"/>
          <w:szCs w:val="28"/>
          <w:highlight w:val="none"/>
          <w:lang w:val="en-US" w:eastAsia="zh-CN"/>
        </w:rPr>
        <w:t>响应</w:t>
      </w:r>
      <w:r>
        <w:rPr>
          <w:rFonts w:hint="eastAsia" w:ascii="仿宋" w:hAnsi="仿宋" w:eastAsia="仿宋"/>
          <w:bCs/>
          <w:sz w:val="28"/>
          <w:szCs w:val="28"/>
          <w:highlight w:val="none"/>
        </w:rPr>
        <w:t>文件的补充部分，</w:t>
      </w:r>
      <w:r>
        <w:rPr>
          <w:rFonts w:hint="eastAsia" w:ascii="仿宋" w:hAnsi="仿宋" w:eastAsia="仿宋"/>
          <w:sz w:val="28"/>
          <w:szCs w:val="28"/>
          <w:highlight w:val="none"/>
        </w:rPr>
        <w:t>但澄清、说明或者更正不得超出</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文件的范围或者改变</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文件的实质性内容。</w:t>
      </w:r>
    </w:p>
    <w:p w14:paraId="5500830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评标委员会认为</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的报价明显低于其他通过符合性审查</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的报价，有可能影响产品质量或者不能诚信履约的，可以通过视频会议，要求供应商在合理的时间内提供说明，必要时提交相关证明材料。</w:t>
      </w:r>
    </w:p>
    <w:p w14:paraId="47F70304">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15.响应</w:t>
      </w:r>
      <w:r>
        <w:rPr>
          <w:rFonts w:hint="eastAsia" w:ascii="仿宋" w:hAnsi="仿宋" w:eastAsia="仿宋"/>
          <w:sz w:val="28"/>
          <w:szCs w:val="28"/>
          <w:highlight w:val="none"/>
        </w:rPr>
        <w:t>文件报价出现前后不一致的，除</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文件另有规定外，按照下列规定修正：</w:t>
      </w:r>
    </w:p>
    <w:p w14:paraId="3E622ED4">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文件中开标一览表（报价表）内容与</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文件中相应内容不一致的，以开标一览表（报价表）为准；</w:t>
      </w:r>
    </w:p>
    <w:p w14:paraId="7249982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大写金额和小写金额不一致的，以大写金额为准；</w:t>
      </w:r>
    </w:p>
    <w:p w14:paraId="538BC8EC">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单价金额小数点或者百分比有明显错位的，以开标一览表的总价为准，并修改单价；</w:t>
      </w:r>
    </w:p>
    <w:p w14:paraId="475E3E6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总价金额与按单价汇总金额不一致的，以单价金额计算结果为准。</w:t>
      </w:r>
    </w:p>
    <w:p w14:paraId="57380F1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lang w:eastAsia="zh-CN"/>
        </w:rPr>
        <w:t>）</w:t>
      </w:r>
      <w:r>
        <w:rPr>
          <w:rFonts w:hint="eastAsia" w:ascii="仿宋" w:hAnsi="仿宋" w:eastAsia="仿宋"/>
          <w:sz w:val="28"/>
          <w:szCs w:val="28"/>
          <w:highlight w:val="none"/>
        </w:rPr>
        <w:t>同时出现两种以上不一致的，按照前款规定的顺序修正。修正后的报价经</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确认后产生约束力，</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不确认的，其</w:t>
      </w:r>
      <w:r>
        <w:rPr>
          <w:rFonts w:hint="eastAsia" w:ascii="仿宋" w:hAnsi="仿宋" w:eastAsia="仿宋"/>
          <w:sz w:val="28"/>
          <w:szCs w:val="28"/>
          <w:highlight w:val="none"/>
          <w:lang w:val="en-US" w:eastAsia="zh-CN"/>
        </w:rPr>
        <w:t>响应</w:t>
      </w:r>
      <w:r>
        <w:rPr>
          <w:rFonts w:hint="eastAsia" w:ascii="仿宋" w:hAnsi="仿宋" w:eastAsia="仿宋"/>
          <w:sz w:val="28"/>
          <w:szCs w:val="28"/>
          <w:highlight w:val="none"/>
        </w:rPr>
        <w:t>无效。</w:t>
      </w:r>
    </w:p>
    <w:p w14:paraId="34D4E846">
      <w:pPr>
        <w:shd w:val="clear" w:color="auto"/>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16.</w:t>
      </w:r>
      <w:r>
        <w:rPr>
          <w:rFonts w:hint="eastAsia" w:ascii="仿宋" w:hAnsi="仿宋" w:eastAsia="仿宋"/>
          <w:sz w:val="28"/>
          <w:szCs w:val="28"/>
          <w:highlight w:val="none"/>
        </w:rPr>
        <w:t>采用最低评标价法的采购项目，提供相同品牌产品的不同投标人参加同一合同项下投标的，以其通过资格审查、符合性审查且报价最低的参加</w:t>
      </w:r>
      <w:r>
        <w:rPr>
          <w:rFonts w:hint="eastAsia" w:ascii="仿宋" w:hAnsi="仿宋" w:eastAsia="仿宋"/>
          <w:sz w:val="28"/>
          <w:szCs w:val="28"/>
          <w:highlight w:val="none"/>
          <w:lang w:val="en-US" w:eastAsia="zh-CN"/>
        </w:rPr>
        <w:t>评审</w:t>
      </w:r>
      <w:r>
        <w:rPr>
          <w:rFonts w:hint="eastAsia" w:ascii="仿宋" w:hAnsi="仿宋" w:eastAsia="仿宋"/>
          <w:sz w:val="28"/>
          <w:szCs w:val="28"/>
          <w:highlight w:val="none"/>
        </w:rPr>
        <w:t>；报价相同的，由采购人或者采购人委托评标委员会按照</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文件规定的方式确定一个参加</w:t>
      </w:r>
      <w:r>
        <w:rPr>
          <w:rFonts w:hint="eastAsia" w:ascii="仿宋" w:hAnsi="仿宋" w:eastAsia="仿宋"/>
          <w:sz w:val="28"/>
          <w:szCs w:val="28"/>
          <w:highlight w:val="none"/>
          <w:lang w:val="en-US" w:eastAsia="zh-CN"/>
        </w:rPr>
        <w:t>评审</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征集</w:t>
      </w:r>
      <w:r>
        <w:rPr>
          <w:rFonts w:hint="eastAsia" w:ascii="仿宋" w:hAnsi="仿宋" w:eastAsia="仿宋"/>
          <w:sz w:val="28"/>
          <w:szCs w:val="28"/>
          <w:highlight w:val="none"/>
        </w:rPr>
        <w:t>文件未规定的，采取随机抽取方式确定，其他</w:t>
      </w:r>
      <w:r>
        <w:rPr>
          <w:rFonts w:hint="eastAsia" w:ascii="仿宋" w:hAnsi="仿宋" w:eastAsia="仿宋"/>
          <w:sz w:val="28"/>
          <w:szCs w:val="28"/>
          <w:highlight w:val="none"/>
          <w:lang w:val="en-US" w:eastAsia="zh-CN"/>
        </w:rPr>
        <w:t>响应无效。</w:t>
      </w:r>
    </w:p>
    <w:p w14:paraId="19515A39">
      <w:pPr>
        <w:keepNext w:val="0"/>
        <w:keepLines w:val="0"/>
        <w:pageBreakBefore w:val="0"/>
        <w:widowControl/>
        <w:shd w:val="clear" w:color="auto"/>
        <w:spacing w:line="480" w:lineRule="exact"/>
        <w:ind w:firstLine="482"/>
        <w:jc w:val="left"/>
        <w:rPr>
          <w:rFonts w:hint="eastAsia" w:ascii="仿宋" w:hAnsi="仿宋" w:eastAsia="仿宋" w:cs="仿宋"/>
          <w:color w:val="auto"/>
          <w:sz w:val="28"/>
          <w:szCs w:val="28"/>
          <w:highlight w:val="none"/>
        </w:rPr>
      </w:pPr>
      <w:r>
        <w:rPr>
          <w:rFonts w:hint="eastAsia" w:ascii="仿宋" w:hAnsi="仿宋" w:eastAsia="仿宋"/>
          <w:sz w:val="28"/>
          <w:szCs w:val="28"/>
          <w:highlight w:val="none"/>
          <w:lang w:val="en-US" w:eastAsia="zh-CN"/>
        </w:rPr>
        <w:t>17.</w:t>
      </w:r>
      <w:r>
        <w:rPr>
          <w:rFonts w:ascii="仿宋" w:hAnsi="仿宋" w:eastAsia="仿宋"/>
          <w:sz w:val="28"/>
          <w:szCs w:val="28"/>
          <w:highlight w:val="none"/>
        </w:rPr>
        <w:t xml:space="preserve"> </w:t>
      </w:r>
      <w:r>
        <w:rPr>
          <w:rFonts w:hint="eastAsia" w:ascii="仿宋" w:hAnsi="仿宋" w:eastAsia="仿宋"/>
          <w:sz w:val="28"/>
          <w:szCs w:val="28"/>
          <w:highlight w:val="none"/>
          <w:lang w:val="en-US" w:eastAsia="zh-CN"/>
        </w:rPr>
        <w:t>评审</w:t>
      </w:r>
      <w:r>
        <w:rPr>
          <w:rFonts w:ascii="仿宋" w:hAnsi="仿宋" w:eastAsia="仿宋"/>
          <w:sz w:val="28"/>
          <w:szCs w:val="28"/>
          <w:highlight w:val="none"/>
        </w:rPr>
        <w:t>结果汇总完成后，除</w:t>
      </w:r>
      <w:r>
        <w:rPr>
          <w:rFonts w:hint="eastAsia" w:ascii="仿宋" w:hAnsi="仿宋" w:eastAsia="仿宋"/>
          <w:sz w:val="28"/>
          <w:szCs w:val="28"/>
          <w:highlight w:val="none"/>
        </w:rPr>
        <w:t>了</w:t>
      </w:r>
      <w:r>
        <w:rPr>
          <w:rFonts w:ascii="仿宋" w:hAnsi="仿宋" w:eastAsia="仿宋"/>
          <w:sz w:val="28"/>
          <w:szCs w:val="28"/>
          <w:highlight w:val="none"/>
        </w:rPr>
        <w:t>分值汇总计算错误</w:t>
      </w:r>
      <w:r>
        <w:rPr>
          <w:rFonts w:hint="eastAsia" w:ascii="仿宋" w:hAnsi="仿宋" w:eastAsia="仿宋"/>
          <w:sz w:val="28"/>
          <w:szCs w:val="28"/>
          <w:highlight w:val="none"/>
        </w:rPr>
        <w:t>、</w:t>
      </w:r>
      <w:r>
        <w:rPr>
          <w:rFonts w:ascii="仿宋" w:hAnsi="仿宋" w:eastAsia="仿宋"/>
          <w:sz w:val="28"/>
          <w:szCs w:val="28"/>
          <w:highlight w:val="none"/>
        </w:rPr>
        <w:t>分项评分超出评分标准范围</w:t>
      </w:r>
      <w:r>
        <w:rPr>
          <w:rFonts w:hint="eastAsia" w:ascii="仿宋" w:hAnsi="仿宋" w:eastAsia="仿宋"/>
          <w:sz w:val="28"/>
          <w:szCs w:val="28"/>
          <w:highlight w:val="none"/>
        </w:rPr>
        <w:t>、</w:t>
      </w:r>
      <w:r>
        <w:rPr>
          <w:rFonts w:ascii="仿宋" w:hAnsi="仿宋" w:eastAsia="仿宋"/>
          <w:sz w:val="28"/>
          <w:szCs w:val="28"/>
          <w:highlight w:val="none"/>
        </w:rPr>
        <w:t>评标委员会成员对客观评审因素评分不一致</w:t>
      </w:r>
      <w:r>
        <w:rPr>
          <w:rFonts w:hint="eastAsia" w:ascii="仿宋" w:hAnsi="仿宋" w:eastAsia="仿宋"/>
          <w:sz w:val="28"/>
          <w:szCs w:val="28"/>
          <w:highlight w:val="none"/>
        </w:rPr>
        <w:t>、或者</w:t>
      </w:r>
      <w:r>
        <w:rPr>
          <w:rFonts w:ascii="仿宋" w:hAnsi="仿宋" w:eastAsia="仿宋"/>
          <w:sz w:val="28"/>
          <w:szCs w:val="28"/>
          <w:highlight w:val="none"/>
        </w:rPr>
        <w:t>经评标委员会认定评分畸高、畸低</w:t>
      </w:r>
      <w:r>
        <w:rPr>
          <w:rFonts w:hint="eastAsia" w:ascii="仿宋" w:hAnsi="仿宋" w:eastAsia="仿宋"/>
          <w:sz w:val="28"/>
          <w:szCs w:val="28"/>
          <w:highlight w:val="none"/>
        </w:rPr>
        <w:t>等</w:t>
      </w:r>
      <w:r>
        <w:rPr>
          <w:rFonts w:ascii="仿宋" w:hAnsi="仿宋" w:eastAsia="仿宋"/>
          <w:sz w:val="28"/>
          <w:szCs w:val="28"/>
          <w:highlight w:val="none"/>
        </w:rPr>
        <w:t>情形之外，任何人不得修改</w:t>
      </w:r>
      <w:r>
        <w:rPr>
          <w:rFonts w:hint="eastAsia" w:ascii="仿宋" w:hAnsi="仿宋" w:eastAsia="仿宋"/>
          <w:sz w:val="28"/>
          <w:szCs w:val="28"/>
          <w:highlight w:val="none"/>
          <w:lang w:val="en-US" w:eastAsia="zh-CN"/>
        </w:rPr>
        <w:t>评审</w:t>
      </w:r>
      <w:r>
        <w:rPr>
          <w:rFonts w:ascii="仿宋" w:hAnsi="仿宋" w:eastAsia="仿宋"/>
          <w:sz w:val="28"/>
          <w:szCs w:val="28"/>
          <w:highlight w:val="none"/>
        </w:rPr>
        <w:t>结果</w:t>
      </w:r>
      <w:r>
        <w:rPr>
          <w:rFonts w:hint="eastAsia" w:ascii="仿宋" w:hAnsi="仿宋" w:eastAsia="仿宋"/>
          <w:sz w:val="28"/>
          <w:szCs w:val="28"/>
          <w:highlight w:val="none"/>
        </w:rPr>
        <w:t>。</w:t>
      </w:r>
      <w:bookmarkEnd w:id="125"/>
      <w:bookmarkEnd w:id="126"/>
      <w:bookmarkEnd w:id="127"/>
    </w:p>
    <w:p w14:paraId="2D9A6FC5">
      <w:pPr>
        <w:pStyle w:val="37"/>
        <w:widowControl/>
        <w:shd w:val="clear" w:color="auto"/>
        <w:spacing w:beforeAutospacing="0" w:afterAutospacing="0" w:line="500" w:lineRule="exact"/>
        <w:jc w:val="both"/>
        <w:outlineLvl w:val="1"/>
        <w:rPr>
          <w:rFonts w:ascii="黑体" w:hAnsi="黑体" w:eastAsia="黑体"/>
          <w:color w:val="auto"/>
          <w:sz w:val="28"/>
          <w:szCs w:val="28"/>
          <w:highlight w:val="none"/>
        </w:rPr>
      </w:pPr>
      <w:bookmarkStart w:id="128" w:name="_Toc27033"/>
      <w:r>
        <w:rPr>
          <w:rFonts w:hint="eastAsia" w:ascii="仿宋" w:hAnsi="仿宋" w:eastAsia="仿宋"/>
          <w:color w:val="auto"/>
          <w:sz w:val="28"/>
          <w:szCs w:val="28"/>
          <w:highlight w:val="none"/>
        </w:rPr>
        <w:t> </w:t>
      </w:r>
      <w:bookmarkStart w:id="129" w:name="_Toc3383"/>
      <w:r>
        <w:rPr>
          <w:rFonts w:hint="eastAsia" w:ascii="黑体" w:hAnsi="黑体" w:eastAsia="黑体" w:cstheme="minorBidi"/>
          <w:color w:val="auto"/>
          <w:sz w:val="28"/>
          <w:szCs w:val="28"/>
          <w:highlight w:val="none"/>
        </w:rPr>
        <w:t>（四）成交和合同</w:t>
      </w:r>
      <w:bookmarkEnd w:id="114"/>
      <w:bookmarkEnd w:id="115"/>
      <w:bookmarkEnd w:id="116"/>
      <w:bookmarkEnd w:id="117"/>
      <w:bookmarkEnd w:id="118"/>
      <w:bookmarkEnd w:id="128"/>
      <w:bookmarkEnd w:id="129"/>
    </w:p>
    <w:p w14:paraId="54E41B82">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1.确定第二阶段成交供应商的方式有：</w:t>
      </w:r>
    </w:p>
    <w:p w14:paraId="09BF4D86">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（1）直接选定方式：由采购人或者服务对象依据入围产品价格、质量以及服务便利性、用户评价等因素，从第一阶段入围供应商中直接选定。</w:t>
      </w:r>
    </w:p>
    <w:p w14:paraId="79712E5C">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二次竞价方式：以框架协议约定的入围产品、采购合同文本等为依据，以协议价格为最高限价，采购人明确第二阶段竞价需求，从入围供应商中选择所有符合竞价需求的供应商参与二次竞价，确定报价最低的为成交供应商的方式。进行二次竞价应当给予供应商必要的响应时间。 </w:t>
      </w:r>
    </w:p>
    <w:p w14:paraId="34D61EB9">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（3）顺序轮候方式：则根据征集文件中确定的轮候顺序规则，对所有入围供应商依次授予采购合同。 每个入围供应商在一个顺序轮候期内，只有一次获得合同授予的机会。合同授予顺序确定后，应当书面告知所有入围供应商。除清退入围供应商和补充征集外，框架协议有效期内不得调整合同授予顺序。</w:t>
      </w:r>
    </w:p>
    <w:p w14:paraId="1DCB289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color w:val="auto"/>
          <w:highlight w:val="none"/>
        </w:rPr>
        <w:t xml:space="preserve"> </w:t>
      </w:r>
      <w:r>
        <w:rPr>
          <w:rFonts w:hint="eastAsia" w:ascii="仿宋" w:hAnsi="仿宋" w:eastAsia="仿宋"/>
          <w:b/>
          <w:bCs/>
          <w:color w:val="auto"/>
          <w:sz w:val="28"/>
          <w:szCs w:val="28"/>
          <w:highlight w:val="none"/>
        </w:rPr>
        <w:t>采购人根据征集文件的规定确定</w:t>
      </w:r>
      <w:r>
        <w:rPr>
          <w:rFonts w:hint="eastAsia" w:ascii="仿宋" w:hAnsi="仿宋" w:eastAsia="仿宋" w:cs="Times New Roman"/>
          <w:b/>
          <w:bCs/>
          <w:color w:val="auto"/>
          <w:sz w:val="28"/>
          <w:szCs w:val="28"/>
          <w:highlight w:val="none"/>
        </w:rPr>
        <w:t>第二阶段成交供应商</w:t>
      </w:r>
      <w:r>
        <w:rPr>
          <w:rFonts w:hint="eastAsia" w:ascii="仿宋" w:hAnsi="仿宋" w:eastAsia="仿宋"/>
          <w:b/>
          <w:bCs/>
          <w:color w:val="auto"/>
          <w:sz w:val="28"/>
          <w:szCs w:val="28"/>
          <w:highlight w:val="none"/>
        </w:rPr>
        <w:t>应当自</w:t>
      </w:r>
      <w:r>
        <w:rPr>
          <w:rFonts w:hint="eastAsia" w:ascii="仿宋" w:hAnsi="仿宋" w:eastAsia="仿宋"/>
          <w:b/>
          <w:bCs/>
          <w:color w:val="auto"/>
          <w:sz w:val="28"/>
          <w:szCs w:val="28"/>
          <w:highlight w:val="none"/>
          <w:lang w:val="en-US" w:eastAsia="zh-CN"/>
        </w:rPr>
        <w:t>入围</w:t>
      </w:r>
      <w:r>
        <w:rPr>
          <w:rFonts w:hint="eastAsia" w:ascii="仿宋" w:hAnsi="仿宋" w:eastAsia="仿宋"/>
          <w:b/>
          <w:bCs/>
          <w:color w:val="auto"/>
          <w:sz w:val="28"/>
          <w:szCs w:val="28"/>
          <w:highlight w:val="none"/>
        </w:rPr>
        <w:t>通知书发出之日起30日内，按照征集文件和成交人签订书面合同。所签订的合同不得对征集文件确定的事项和成交人征集文件作实质性修改。</w:t>
      </w:r>
    </w:p>
    <w:p w14:paraId="65E3A02F">
      <w:pPr>
        <w:keepNext w:val="0"/>
        <w:keepLines w:val="0"/>
        <w:pageBreakBefore w:val="0"/>
        <w:widowControl w:val="0"/>
        <w:spacing w:line="48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3.采购人不得向成交人提出任何不合理的要求作为签订合同的条件。</w:t>
      </w:r>
    </w:p>
    <w:p w14:paraId="261B40E4">
      <w:pPr>
        <w:pStyle w:val="32"/>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4.确定第二阶段成交供应商，授予的单个合同金额不得超过政府采购限额标准（货物、服务限额标准为</w:t>
      </w:r>
      <w:r>
        <w:rPr>
          <w:rFonts w:hint="eastAsia" w:ascii="仿宋" w:hAnsi="仿宋" w:eastAsia="仿宋"/>
          <w:color w:val="auto"/>
          <w:sz w:val="28"/>
          <w:szCs w:val="28"/>
          <w:highlight w:val="none"/>
          <w:lang w:val="en-US" w:eastAsia="zh-CN"/>
        </w:rPr>
        <w:t>100</w:t>
      </w:r>
      <w:r>
        <w:rPr>
          <w:rFonts w:hint="eastAsia" w:ascii="仿宋" w:hAnsi="仿宋" w:eastAsia="仿宋"/>
          <w:color w:val="auto"/>
          <w:sz w:val="28"/>
          <w:szCs w:val="28"/>
          <w:highlight w:val="none"/>
        </w:rPr>
        <w:t>万元以下），如单个合同金额超过限额，应单列计划，另行采购。</w:t>
      </w:r>
    </w:p>
    <w:p w14:paraId="435B9DDE">
      <w:pPr>
        <w:pStyle w:val="14"/>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5.采购人与成交人应当根据合同的约定依法履行合同义务。政府采购合同的履行、违约责任和解决争议的方法等适用《中华人民共和国民法典》。</w:t>
      </w:r>
    </w:p>
    <w:p w14:paraId="60C002D6">
      <w:pPr>
        <w:pStyle w:val="14"/>
        <w:ind w:left="0" w:firstLine="562"/>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lang w:eastAsia="zh-CN"/>
        </w:rPr>
        <w:t>）政府采购政策功能落实</w:t>
      </w:r>
    </w:p>
    <w:p w14:paraId="1BF415B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 对于非专门面向中小企业采购的项目，小微型企业享受价格扣除优惠。</w:t>
      </w:r>
    </w:p>
    <w:p w14:paraId="0FF6DA9D">
      <w:pPr>
        <w:spacing w:line="50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C2AD19E">
      <w:pPr>
        <w:spacing w:line="50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p>
    <w:p w14:paraId="39242EE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价格扣除比例或者价格分加分比例对小型企业和微型企业同等对待，不作区分。</w:t>
      </w:r>
    </w:p>
    <w:p w14:paraId="25C2020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在政府采购活动中，供应商提供的货物、工程或者服务符合下列情形的，享受价格扣除政策：</w:t>
      </w:r>
    </w:p>
    <w:p w14:paraId="7DD69FC0">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hint="eastAsia" w:ascii="仿宋" w:hAnsi="仿宋" w:eastAsia="仿宋"/>
          <w:sz w:val="28"/>
          <w:szCs w:val="28"/>
          <w:highlight w:val="none"/>
        </w:rPr>
        <w:t>在货物采购项目中，货物由小微企业制造，即货物由小微企业生产且使用该小微企业商号或者注册商标；</w:t>
      </w:r>
    </w:p>
    <w:p w14:paraId="4883C28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在工程采购项目中，工程由小微企业承建，即工程施工单位为小微企业；</w:t>
      </w:r>
    </w:p>
    <w:p w14:paraId="563743C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③</w:t>
      </w:r>
      <w:r>
        <w:rPr>
          <w:rFonts w:hint="eastAsia" w:ascii="仿宋" w:hAnsi="仿宋" w:eastAsia="仿宋"/>
          <w:sz w:val="28"/>
          <w:szCs w:val="28"/>
          <w:highlight w:val="none"/>
        </w:rPr>
        <w:t>在服务采购项目中，服务由小微企业承接，即提供服务的人员为小微企业依照《中华人民共和国劳动合同法》订立劳动合同的从业人员。</w:t>
      </w:r>
    </w:p>
    <w:p w14:paraId="011EB48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④</w:t>
      </w:r>
      <w:r>
        <w:rPr>
          <w:rFonts w:hint="eastAsia" w:ascii="仿宋" w:hAnsi="仿宋" w:eastAsia="仿宋"/>
          <w:sz w:val="28"/>
          <w:szCs w:val="28"/>
          <w:highlight w:val="none"/>
        </w:rPr>
        <w:t>以联合体形式参加政府采购活动，联合体各方均为小微企业的，联合体视同小微企业。</w:t>
      </w:r>
    </w:p>
    <w:p w14:paraId="4AE8C88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53D3E08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下列情形不享受价格扣除政策：</w:t>
      </w:r>
    </w:p>
    <w:p w14:paraId="72E1CEB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hint="eastAsia" w:ascii="仿宋" w:hAnsi="仿宋" w:eastAsia="仿宋"/>
          <w:sz w:val="28"/>
          <w:szCs w:val="28"/>
          <w:highlight w:val="none"/>
        </w:rPr>
        <w:t>在货物采购项目中，供应商提供的货物既有中小企业制造货物，也有大型企业制造货物的。</w:t>
      </w:r>
    </w:p>
    <w:p w14:paraId="71F2CC6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 xml:space="preserve"> 响应供应商与大企业的负责人为同一人，或者与大企业存在直接控股、管理关系。</w:t>
      </w:r>
    </w:p>
    <w:p w14:paraId="6A31504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《中小企业划型标准规定》（工信部联企业〔2011〕300号）</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0"/>
        <w:gridCol w:w="1671"/>
        <w:gridCol w:w="683"/>
        <w:gridCol w:w="1830"/>
        <w:gridCol w:w="1572"/>
        <w:gridCol w:w="1036"/>
      </w:tblGrid>
      <w:tr w14:paraId="16BA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730" w:type="dxa"/>
            <w:noWrap w:val="0"/>
            <w:vAlign w:val="center"/>
          </w:tcPr>
          <w:p w14:paraId="2F63DB6F">
            <w:pPr>
              <w:spacing w:line="500" w:lineRule="exact"/>
              <w:jc w:val="center"/>
              <w:rPr>
                <w:rFonts w:ascii="仿宋" w:hAnsi="仿宋" w:eastAsia="仿宋"/>
                <w:b/>
                <w:highlight w:val="none"/>
              </w:rPr>
            </w:pPr>
            <w:r>
              <w:rPr>
                <w:rFonts w:ascii="仿宋" w:hAnsi="仿宋" w:eastAsia="仿宋"/>
                <w:b/>
                <w:highlight w:val="none"/>
              </w:rPr>
              <w:t>行业名称</w:t>
            </w:r>
          </w:p>
        </w:tc>
        <w:tc>
          <w:tcPr>
            <w:tcW w:w="1671" w:type="dxa"/>
            <w:noWrap w:val="0"/>
            <w:vAlign w:val="center"/>
          </w:tcPr>
          <w:p w14:paraId="3D5C47CE">
            <w:pPr>
              <w:spacing w:line="500" w:lineRule="exact"/>
              <w:jc w:val="center"/>
              <w:rPr>
                <w:rFonts w:ascii="仿宋" w:hAnsi="仿宋" w:eastAsia="仿宋"/>
                <w:b/>
                <w:highlight w:val="none"/>
              </w:rPr>
            </w:pPr>
            <w:r>
              <w:rPr>
                <w:rFonts w:ascii="仿宋" w:hAnsi="仿宋" w:eastAsia="仿宋"/>
                <w:b/>
                <w:highlight w:val="none"/>
              </w:rPr>
              <w:t>指标名称</w:t>
            </w:r>
          </w:p>
        </w:tc>
        <w:tc>
          <w:tcPr>
            <w:tcW w:w="683" w:type="dxa"/>
            <w:noWrap w:val="0"/>
            <w:vAlign w:val="center"/>
          </w:tcPr>
          <w:p w14:paraId="233E1144">
            <w:pPr>
              <w:spacing w:line="500" w:lineRule="exact"/>
              <w:jc w:val="center"/>
              <w:rPr>
                <w:rFonts w:ascii="仿宋" w:hAnsi="仿宋" w:eastAsia="仿宋"/>
                <w:b/>
                <w:highlight w:val="none"/>
              </w:rPr>
            </w:pPr>
            <w:r>
              <w:rPr>
                <w:rFonts w:ascii="仿宋" w:hAnsi="仿宋" w:eastAsia="仿宋"/>
                <w:b/>
                <w:highlight w:val="none"/>
              </w:rPr>
              <w:t>计量</w:t>
            </w:r>
          </w:p>
          <w:p w14:paraId="5B9249BC">
            <w:pPr>
              <w:spacing w:line="500" w:lineRule="exact"/>
              <w:jc w:val="center"/>
              <w:rPr>
                <w:rFonts w:ascii="仿宋" w:hAnsi="仿宋" w:eastAsia="仿宋"/>
                <w:b/>
                <w:highlight w:val="none"/>
              </w:rPr>
            </w:pPr>
            <w:r>
              <w:rPr>
                <w:rFonts w:ascii="仿宋" w:hAnsi="仿宋" w:eastAsia="仿宋"/>
                <w:b/>
                <w:highlight w:val="none"/>
              </w:rPr>
              <w:t>单位</w:t>
            </w:r>
          </w:p>
        </w:tc>
        <w:tc>
          <w:tcPr>
            <w:tcW w:w="1830" w:type="dxa"/>
            <w:noWrap w:val="0"/>
            <w:vAlign w:val="center"/>
          </w:tcPr>
          <w:p w14:paraId="34FF3405">
            <w:pPr>
              <w:spacing w:line="500" w:lineRule="exact"/>
              <w:jc w:val="center"/>
              <w:rPr>
                <w:rFonts w:ascii="仿宋" w:hAnsi="仿宋" w:eastAsia="仿宋"/>
                <w:b/>
                <w:highlight w:val="none"/>
              </w:rPr>
            </w:pPr>
            <w:r>
              <w:rPr>
                <w:rFonts w:ascii="仿宋" w:hAnsi="仿宋" w:eastAsia="仿宋"/>
                <w:b/>
                <w:highlight w:val="none"/>
              </w:rPr>
              <w:t>中型</w:t>
            </w:r>
          </w:p>
        </w:tc>
        <w:tc>
          <w:tcPr>
            <w:tcW w:w="1572" w:type="dxa"/>
            <w:noWrap w:val="0"/>
            <w:vAlign w:val="center"/>
          </w:tcPr>
          <w:p w14:paraId="4258B1B9">
            <w:pPr>
              <w:spacing w:line="500" w:lineRule="exact"/>
              <w:jc w:val="center"/>
              <w:rPr>
                <w:rFonts w:ascii="仿宋" w:hAnsi="仿宋" w:eastAsia="仿宋"/>
                <w:b/>
                <w:highlight w:val="none"/>
              </w:rPr>
            </w:pPr>
            <w:r>
              <w:rPr>
                <w:rFonts w:ascii="仿宋" w:hAnsi="仿宋" w:eastAsia="仿宋"/>
                <w:b/>
                <w:highlight w:val="none"/>
              </w:rPr>
              <w:t>小型</w:t>
            </w:r>
          </w:p>
        </w:tc>
        <w:tc>
          <w:tcPr>
            <w:tcW w:w="1036" w:type="dxa"/>
            <w:noWrap w:val="0"/>
            <w:vAlign w:val="center"/>
          </w:tcPr>
          <w:p w14:paraId="6131710E">
            <w:pPr>
              <w:spacing w:line="500" w:lineRule="exact"/>
              <w:jc w:val="center"/>
              <w:rPr>
                <w:rFonts w:ascii="仿宋" w:hAnsi="仿宋" w:eastAsia="仿宋"/>
                <w:b/>
                <w:highlight w:val="none"/>
              </w:rPr>
            </w:pPr>
            <w:r>
              <w:rPr>
                <w:rFonts w:ascii="仿宋" w:hAnsi="仿宋" w:eastAsia="仿宋"/>
                <w:b/>
                <w:highlight w:val="none"/>
              </w:rPr>
              <w:t>微型</w:t>
            </w:r>
          </w:p>
        </w:tc>
      </w:tr>
      <w:tr w14:paraId="3A27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noWrap w:val="0"/>
            <w:vAlign w:val="center"/>
          </w:tcPr>
          <w:p w14:paraId="098FD6C9">
            <w:pPr>
              <w:spacing w:line="500" w:lineRule="exact"/>
              <w:jc w:val="center"/>
              <w:rPr>
                <w:rFonts w:ascii="仿宋" w:hAnsi="仿宋" w:eastAsia="仿宋"/>
                <w:highlight w:val="none"/>
              </w:rPr>
            </w:pPr>
            <w:r>
              <w:rPr>
                <w:rFonts w:ascii="仿宋" w:hAnsi="仿宋" w:eastAsia="仿宋"/>
                <w:highlight w:val="none"/>
              </w:rPr>
              <w:t>农、林、牧、渔</w:t>
            </w:r>
          </w:p>
        </w:tc>
        <w:tc>
          <w:tcPr>
            <w:tcW w:w="1671" w:type="dxa"/>
            <w:noWrap w:val="0"/>
            <w:vAlign w:val="center"/>
          </w:tcPr>
          <w:p w14:paraId="2B273AF7">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199EF3CD">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8F84B6E">
            <w:pPr>
              <w:spacing w:line="500" w:lineRule="exact"/>
              <w:jc w:val="center"/>
              <w:rPr>
                <w:rFonts w:eastAsia="仿宋"/>
                <w:highlight w:val="none"/>
              </w:rPr>
            </w:pPr>
            <w:r>
              <w:rPr>
                <w:rFonts w:eastAsia="仿宋"/>
                <w:highlight w:val="none"/>
              </w:rPr>
              <w:t>500≤Y&lt;20000</w:t>
            </w:r>
          </w:p>
        </w:tc>
        <w:tc>
          <w:tcPr>
            <w:tcW w:w="1572" w:type="dxa"/>
            <w:noWrap w:val="0"/>
            <w:vAlign w:val="center"/>
          </w:tcPr>
          <w:p w14:paraId="1A19FC26">
            <w:pPr>
              <w:spacing w:line="500" w:lineRule="exact"/>
              <w:jc w:val="center"/>
              <w:rPr>
                <w:rFonts w:eastAsia="仿宋"/>
                <w:highlight w:val="none"/>
              </w:rPr>
            </w:pPr>
            <w:r>
              <w:rPr>
                <w:rFonts w:eastAsia="仿宋"/>
                <w:highlight w:val="none"/>
              </w:rPr>
              <w:t>50≤Y&lt;500</w:t>
            </w:r>
          </w:p>
        </w:tc>
        <w:tc>
          <w:tcPr>
            <w:tcW w:w="1036" w:type="dxa"/>
            <w:noWrap w:val="0"/>
            <w:vAlign w:val="center"/>
          </w:tcPr>
          <w:p w14:paraId="2C171462">
            <w:pPr>
              <w:spacing w:line="500" w:lineRule="exact"/>
              <w:jc w:val="center"/>
              <w:rPr>
                <w:rFonts w:eastAsia="仿宋"/>
                <w:highlight w:val="none"/>
              </w:rPr>
            </w:pPr>
            <w:r>
              <w:rPr>
                <w:rFonts w:eastAsia="仿宋"/>
                <w:highlight w:val="none"/>
              </w:rPr>
              <w:t>Y&lt;50</w:t>
            </w:r>
          </w:p>
        </w:tc>
      </w:tr>
      <w:tr w14:paraId="565D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0BF1B1DC">
            <w:pPr>
              <w:spacing w:line="500" w:lineRule="exact"/>
              <w:jc w:val="center"/>
              <w:rPr>
                <w:rFonts w:ascii="仿宋" w:hAnsi="仿宋" w:eastAsia="仿宋"/>
                <w:highlight w:val="none"/>
              </w:rPr>
            </w:pPr>
            <w:r>
              <w:rPr>
                <w:rFonts w:ascii="仿宋" w:hAnsi="仿宋" w:eastAsia="仿宋"/>
                <w:highlight w:val="none"/>
              </w:rPr>
              <w:t>工业</w:t>
            </w:r>
          </w:p>
        </w:tc>
        <w:tc>
          <w:tcPr>
            <w:tcW w:w="1671" w:type="dxa"/>
            <w:noWrap w:val="0"/>
            <w:vAlign w:val="center"/>
          </w:tcPr>
          <w:p w14:paraId="6AA21275">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0A54438D">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49872C1C">
            <w:pPr>
              <w:spacing w:line="500" w:lineRule="exact"/>
              <w:jc w:val="center"/>
              <w:rPr>
                <w:rFonts w:eastAsia="仿宋"/>
                <w:highlight w:val="none"/>
              </w:rPr>
            </w:pPr>
            <w:r>
              <w:rPr>
                <w:rFonts w:eastAsia="仿宋"/>
                <w:highlight w:val="none"/>
              </w:rPr>
              <w:t>300≤X&lt;1000</w:t>
            </w:r>
          </w:p>
        </w:tc>
        <w:tc>
          <w:tcPr>
            <w:tcW w:w="1572" w:type="dxa"/>
            <w:noWrap w:val="0"/>
            <w:vAlign w:val="center"/>
          </w:tcPr>
          <w:p w14:paraId="67CCE609">
            <w:pPr>
              <w:spacing w:line="500" w:lineRule="exact"/>
              <w:jc w:val="center"/>
              <w:rPr>
                <w:rFonts w:eastAsia="仿宋"/>
                <w:highlight w:val="none"/>
              </w:rPr>
            </w:pPr>
            <w:r>
              <w:rPr>
                <w:rFonts w:eastAsia="仿宋"/>
                <w:highlight w:val="none"/>
              </w:rPr>
              <w:t>20≤X&lt;300</w:t>
            </w:r>
          </w:p>
        </w:tc>
        <w:tc>
          <w:tcPr>
            <w:tcW w:w="1036" w:type="dxa"/>
            <w:noWrap w:val="0"/>
            <w:vAlign w:val="center"/>
          </w:tcPr>
          <w:p w14:paraId="3A6AB490">
            <w:pPr>
              <w:spacing w:line="500" w:lineRule="exact"/>
              <w:jc w:val="center"/>
              <w:rPr>
                <w:rFonts w:eastAsia="仿宋"/>
                <w:highlight w:val="none"/>
              </w:rPr>
            </w:pPr>
            <w:r>
              <w:rPr>
                <w:rFonts w:eastAsia="仿宋"/>
                <w:highlight w:val="none"/>
              </w:rPr>
              <w:t>X&lt;20</w:t>
            </w:r>
          </w:p>
        </w:tc>
      </w:tr>
      <w:tr w14:paraId="7ADB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453CCE22">
            <w:pPr>
              <w:spacing w:line="500" w:lineRule="exact"/>
              <w:jc w:val="center"/>
              <w:rPr>
                <w:rFonts w:ascii="仿宋" w:hAnsi="仿宋" w:eastAsia="仿宋"/>
                <w:highlight w:val="none"/>
              </w:rPr>
            </w:pPr>
          </w:p>
        </w:tc>
        <w:tc>
          <w:tcPr>
            <w:tcW w:w="1671" w:type="dxa"/>
            <w:noWrap w:val="0"/>
            <w:vAlign w:val="center"/>
          </w:tcPr>
          <w:p w14:paraId="5984DC1D">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779CFAFC">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0D4ECFCD">
            <w:pPr>
              <w:spacing w:line="500" w:lineRule="exact"/>
              <w:jc w:val="center"/>
              <w:rPr>
                <w:rFonts w:eastAsia="仿宋"/>
                <w:highlight w:val="none"/>
              </w:rPr>
            </w:pPr>
            <w:r>
              <w:rPr>
                <w:rFonts w:eastAsia="仿宋"/>
                <w:highlight w:val="none"/>
              </w:rPr>
              <w:t>2000≤Y&lt;40000</w:t>
            </w:r>
          </w:p>
        </w:tc>
        <w:tc>
          <w:tcPr>
            <w:tcW w:w="1572" w:type="dxa"/>
            <w:noWrap w:val="0"/>
            <w:vAlign w:val="center"/>
          </w:tcPr>
          <w:p w14:paraId="327F5ED1">
            <w:pPr>
              <w:spacing w:line="500" w:lineRule="exact"/>
              <w:jc w:val="center"/>
              <w:rPr>
                <w:rFonts w:eastAsia="仿宋"/>
                <w:highlight w:val="none"/>
              </w:rPr>
            </w:pPr>
            <w:r>
              <w:rPr>
                <w:rFonts w:eastAsia="仿宋"/>
                <w:highlight w:val="none"/>
              </w:rPr>
              <w:t>300≤Y&lt;2000</w:t>
            </w:r>
          </w:p>
        </w:tc>
        <w:tc>
          <w:tcPr>
            <w:tcW w:w="1036" w:type="dxa"/>
            <w:noWrap w:val="0"/>
            <w:vAlign w:val="center"/>
          </w:tcPr>
          <w:p w14:paraId="20061A55">
            <w:pPr>
              <w:spacing w:line="500" w:lineRule="exact"/>
              <w:jc w:val="center"/>
              <w:rPr>
                <w:rFonts w:eastAsia="仿宋"/>
                <w:highlight w:val="none"/>
              </w:rPr>
            </w:pPr>
            <w:r>
              <w:rPr>
                <w:rFonts w:eastAsia="仿宋"/>
                <w:highlight w:val="none"/>
              </w:rPr>
              <w:t>Y&lt;300</w:t>
            </w:r>
          </w:p>
        </w:tc>
      </w:tr>
      <w:tr w14:paraId="0B29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2F05822F">
            <w:pPr>
              <w:spacing w:line="500" w:lineRule="exact"/>
              <w:jc w:val="center"/>
              <w:rPr>
                <w:rFonts w:ascii="仿宋" w:hAnsi="仿宋" w:eastAsia="仿宋"/>
                <w:highlight w:val="none"/>
              </w:rPr>
            </w:pPr>
            <w:r>
              <w:rPr>
                <w:rFonts w:ascii="仿宋" w:hAnsi="仿宋" w:eastAsia="仿宋"/>
                <w:highlight w:val="none"/>
              </w:rPr>
              <w:t>建筑业</w:t>
            </w:r>
          </w:p>
        </w:tc>
        <w:tc>
          <w:tcPr>
            <w:tcW w:w="1671" w:type="dxa"/>
            <w:noWrap w:val="0"/>
            <w:vAlign w:val="center"/>
          </w:tcPr>
          <w:p w14:paraId="20DA9FD7">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4D2EB913">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0D6805F9">
            <w:pPr>
              <w:spacing w:line="500" w:lineRule="exact"/>
              <w:jc w:val="center"/>
              <w:rPr>
                <w:rFonts w:eastAsia="仿宋"/>
                <w:highlight w:val="none"/>
              </w:rPr>
            </w:pPr>
            <w:r>
              <w:rPr>
                <w:rFonts w:eastAsia="仿宋"/>
                <w:highlight w:val="none"/>
              </w:rPr>
              <w:t>6000≤Y&lt;80000</w:t>
            </w:r>
          </w:p>
        </w:tc>
        <w:tc>
          <w:tcPr>
            <w:tcW w:w="1572" w:type="dxa"/>
            <w:noWrap w:val="0"/>
            <w:vAlign w:val="center"/>
          </w:tcPr>
          <w:p w14:paraId="2C0BCDF5">
            <w:pPr>
              <w:spacing w:line="500" w:lineRule="exact"/>
              <w:jc w:val="center"/>
              <w:rPr>
                <w:rFonts w:eastAsia="仿宋"/>
                <w:highlight w:val="none"/>
              </w:rPr>
            </w:pPr>
            <w:r>
              <w:rPr>
                <w:rFonts w:eastAsia="仿宋"/>
                <w:highlight w:val="none"/>
              </w:rPr>
              <w:t>300≤Y&lt;6000</w:t>
            </w:r>
          </w:p>
        </w:tc>
        <w:tc>
          <w:tcPr>
            <w:tcW w:w="1036" w:type="dxa"/>
            <w:noWrap w:val="0"/>
            <w:vAlign w:val="center"/>
          </w:tcPr>
          <w:p w14:paraId="5A44E1B4">
            <w:pPr>
              <w:spacing w:line="500" w:lineRule="exact"/>
              <w:jc w:val="center"/>
              <w:rPr>
                <w:rFonts w:eastAsia="仿宋"/>
                <w:highlight w:val="none"/>
              </w:rPr>
            </w:pPr>
            <w:r>
              <w:rPr>
                <w:rFonts w:eastAsia="仿宋"/>
                <w:highlight w:val="none"/>
              </w:rPr>
              <w:t>Y&lt;300</w:t>
            </w:r>
          </w:p>
        </w:tc>
      </w:tr>
      <w:tr w14:paraId="78BC5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2AE77DEC">
            <w:pPr>
              <w:spacing w:line="500" w:lineRule="exact"/>
              <w:jc w:val="center"/>
              <w:rPr>
                <w:rFonts w:ascii="仿宋" w:hAnsi="仿宋" w:eastAsia="仿宋"/>
                <w:highlight w:val="none"/>
              </w:rPr>
            </w:pPr>
          </w:p>
        </w:tc>
        <w:tc>
          <w:tcPr>
            <w:tcW w:w="1671" w:type="dxa"/>
            <w:noWrap w:val="0"/>
            <w:vAlign w:val="center"/>
          </w:tcPr>
          <w:p w14:paraId="3125BF5A">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29EB9E9B">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3ECB3A74">
            <w:pPr>
              <w:spacing w:line="500" w:lineRule="exact"/>
              <w:jc w:val="center"/>
              <w:rPr>
                <w:rFonts w:eastAsia="仿宋"/>
                <w:highlight w:val="none"/>
              </w:rPr>
            </w:pPr>
            <w:r>
              <w:rPr>
                <w:rFonts w:eastAsia="仿宋"/>
                <w:highlight w:val="none"/>
              </w:rPr>
              <w:t>5000≤Z &lt;80000</w:t>
            </w:r>
          </w:p>
        </w:tc>
        <w:tc>
          <w:tcPr>
            <w:tcW w:w="1572" w:type="dxa"/>
            <w:noWrap w:val="0"/>
            <w:vAlign w:val="center"/>
          </w:tcPr>
          <w:p w14:paraId="54DD1E41">
            <w:pPr>
              <w:spacing w:line="500" w:lineRule="exact"/>
              <w:jc w:val="center"/>
              <w:rPr>
                <w:rFonts w:eastAsia="仿宋"/>
                <w:highlight w:val="none"/>
              </w:rPr>
            </w:pPr>
            <w:r>
              <w:rPr>
                <w:rFonts w:eastAsia="仿宋"/>
                <w:highlight w:val="none"/>
              </w:rPr>
              <w:t>300≤Z &lt;5000</w:t>
            </w:r>
          </w:p>
        </w:tc>
        <w:tc>
          <w:tcPr>
            <w:tcW w:w="1036" w:type="dxa"/>
            <w:noWrap w:val="0"/>
            <w:vAlign w:val="center"/>
          </w:tcPr>
          <w:p w14:paraId="332F9E36">
            <w:pPr>
              <w:spacing w:line="500" w:lineRule="exact"/>
              <w:jc w:val="center"/>
              <w:rPr>
                <w:rFonts w:eastAsia="仿宋"/>
                <w:highlight w:val="none"/>
              </w:rPr>
            </w:pPr>
            <w:r>
              <w:rPr>
                <w:rFonts w:eastAsia="仿宋"/>
                <w:highlight w:val="none"/>
              </w:rPr>
              <w:t>Z&lt;300</w:t>
            </w:r>
          </w:p>
        </w:tc>
      </w:tr>
      <w:tr w14:paraId="417C1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09FAFED7">
            <w:pPr>
              <w:spacing w:line="500" w:lineRule="exact"/>
              <w:jc w:val="center"/>
              <w:rPr>
                <w:rFonts w:ascii="仿宋" w:hAnsi="仿宋" w:eastAsia="仿宋"/>
                <w:highlight w:val="none"/>
              </w:rPr>
            </w:pPr>
            <w:r>
              <w:rPr>
                <w:rFonts w:ascii="仿宋" w:hAnsi="仿宋" w:eastAsia="仿宋"/>
                <w:highlight w:val="none"/>
              </w:rPr>
              <w:t>批发业</w:t>
            </w:r>
          </w:p>
        </w:tc>
        <w:tc>
          <w:tcPr>
            <w:tcW w:w="1671" w:type="dxa"/>
            <w:noWrap w:val="0"/>
            <w:vAlign w:val="center"/>
          </w:tcPr>
          <w:p w14:paraId="10F64DB2">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3DCA28D3">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3EC8C3F5">
            <w:pPr>
              <w:spacing w:line="500" w:lineRule="exact"/>
              <w:jc w:val="center"/>
              <w:rPr>
                <w:rFonts w:eastAsia="仿宋"/>
                <w:highlight w:val="none"/>
              </w:rPr>
            </w:pPr>
            <w:r>
              <w:rPr>
                <w:rFonts w:eastAsia="仿宋"/>
                <w:highlight w:val="none"/>
              </w:rPr>
              <w:t>20≤X&lt;200</w:t>
            </w:r>
          </w:p>
        </w:tc>
        <w:tc>
          <w:tcPr>
            <w:tcW w:w="1572" w:type="dxa"/>
            <w:noWrap w:val="0"/>
            <w:vAlign w:val="center"/>
          </w:tcPr>
          <w:p w14:paraId="0C828AD3">
            <w:pPr>
              <w:spacing w:line="500" w:lineRule="exact"/>
              <w:jc w:val="center"/>
              <w:rPr>
                <w:rFonts w:eastAsia="仿宋"/>
                <w:highlight w:val="none"/>
              </w:rPr>
            </w:pPr>
            <w:r>
              <w:rPr>
                <w:rFonts w:eastAsia="仿宋"/>
                <w:highlight w:val="none"/>
              </w:rPr>
              <w:t>5≤X&lt;20</w:t>
            </w:r>
          </w:p>
        </w:tc>
        <w:tc>
          <w:tcPr>
            <w:tcW w:w="1036" w:type="dxa"/>
            <w:noWrap w:val="0"/>
            <w:vAlign w:val="center"/>
          </w:tcPr>
          <w:p w14:paraId="08FB39AA">
            <w:pPr>
              <w:spacing w:line="500" w:lineRule="exact"/>
              <w:jc w:val="center"/>
              <w:rPr>
                <w:rFonts w:eastAsia="仿宋"/>
                <w:highlight w:val="none"/>
              </w:rPr>
            </w:pPr>
            <w:r>
              <w:rPr>
                <w:rFonts w:eastAsia="仿宋"/>
                <w:highlight w:val="none"/>
              </w:rPr>
              <w:t>X&lt;5</w:t>
            </w:r>
          </w:p>
        </w:tc>
      </w:tr>
      <w:tr w14:paraId="0C79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6A54B141">
            <w:pPr>
              <w:spacing w:line="500" w:lineRule="exact"/>
              <w:jc w:val="center"/>
              <w:rPr>
                <w:rFonts w:ascii="仿宋" w:hAnsi="仿宋" w:eastAsia="仿宋"/>
                <w:highlight w:val="none"/>
              </w:rPr>
            </w:pPr>
          </w:p>
        </w:tc>
        <w:tc>
          <w:tcPr>
            <w:tcW w:w="1671" w:type="dxa"/>
            <w:noWrap w:val="0"/>
            <w:vAlign w:val="center"/>
          </w:tcPr>
          <w:p w14:paraId="76A1A5F9">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7D9A6494">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A187855">
            <w:pPr>
              <w:spacing w:line="500" w:lineRule="exact"/>
              <w:jc w:val="center"/>
              <w:rPr>
                <w:rFonts w:eastAsia="仿宋"/>
                <w:highlight w:val="none"/>
              </w:rPr>
            </w:pPr>
            <w:r>
              <w:rPr>
                <w:rFonts w:eastAsia="仿宋"/>
                <w:highlight w:val="none"/>
              </w:rPr>
              <w:t>5000≤Y&lt;50000</w:t>
            </w:r>
          </w:p>
        </w:tc>
        <w:tc>
          <w:tcPr>
            <w:tcW w:w="1572" w:type="dxa"/>
            <w:noWrap w:val="0"/>
            <w:vAlign w:val="center"/>
          </w:tcPr>
          <w:p w14:paraId="0E0E3D3F">
            <w:pPr>
              <w:spacing w:line="500" w:lineRule="exact"/>
              <w:jc w:val="center"/>
              <w:rPr>
                <w:rFonts w:eastAsia="仿宋"/>
                <w:highlight w:val="none"/>
              </w:rPr>
            </w:pPr>
            <w:r>
              <w:rPr>
                <w:rFonts w:eastAsia="仿宋"/>
                <w:highlight w:val="none"/>
              </w:rPr>
              <w:t>1000≤Y&lt;5000</w:t>
            </w:r>
          </w:p>
        </w:tc>
        <w:tc>
          <w:tcPr>
            <w:tcW w:w="1036" w:type="dxa"/>
            <w:noWrap w:val="0"/>
            <w:vAlign w:val="center"/>
          </w:tcPr>
          <w:p w14:paraId="78457C08">
            <w:pPr>
              <w:spacing w:line="500" w:lineRule="exact"/>
              <w:jc w:val="center"/>
              <w:rPr>
                <w:rFonts w:eastAsia="仿宋"/>
                <w:highlight w:val="none"/>
              </w:rPr>
            </w:pPr>
            <w:r>
              <w:rPr>
                <w:rFonts w:eastAsia="仿宋"/>
                <w:highlight w:val="none"/>
              </w:rPr>
              <w:t>Y&lt;1000</w:t>
            </w:r>
          </w:p>
        </w:tc>
      </w:tr>
      <w:tr w14:paraId="00C2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05CFA845">
            <w:pPr>
              <w:spacing w:line="500" w:lineRule="exact"/>
              <w:jc w:val="center"/>
              <w:rPr>
                <w:rFonts w:ascii="仿宋" w:hAnsi="仿宋" w:eastAsia="仿宋"/>
                <w:highlight w:val="none"/>
              </w:rPr>
            </w:pPr>
            <w:r>
              <w:rPr>
                <w:rFonts w:hint="eastAsia" w:ascii="仿宋" w:hAnsi="仿宋" w:eastAsia="仿宋"/>
                <w:highlight w:val="none"/>
              </w:rPr>
              <w:t>零售业</w:t>
            </w:r>
          </w:p>
        </w:tc>
        <w:tc>
          <w:tcPr>
            <w:tcW w:w="1671" w:type="dxa"/>
            <w:noWrap w:val="0"/>
            <w:vAlign w:val="center"/>
          </w:tcPr>
          <w:p w14:paraId="60F0D1D1">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4DBA358E">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BB1D986">
            <w:pPr>
              <w:spacing w:line="500" w:lineRule="exact"/>
              <w:jc w:val="center"/>
              <w:rPr>
                <w:rFonts w:eastAsia="仿宋"/>
                <w:highlight w:val="none"/>
              </w:rPr>
            </w:pPr>
            <w:r>
              <w:rPr>
                <w:rFonts w:eastAsia="仿宋"/>
                <w:highlight w:val="none"/>
              </w:rPr>
              <w:t>50≤X&lt;300</w:t>
            </w:r>
          </w:p>
        </w:tc>
        <w:tc>
          <w:tcPr>
            <w:tcW w:w="1572" w:type="dxa"/>
            <w:noWrap w:val="0"/>
            <w:vAlign w:val="center"/>
          </w:tcPr>
          <w:p w14:paraId="126B0666">
            <w:pPr>
              <w:spacing w:line="500" w:lineRule="exact"/>
              <w:jc w:val="center"/>
              <w:rPr>
                <w:rFonts w:eastAsia="仿宋"/>
                <w:highlight w:val="none"/>
              </w:rPr>
            </w:pPr>
            <w:r>
              <w:rPr>
                <w:rFonts w:eastAsia="仿宋"/>
                <w:highlight w:val="none"/>
              </w:rPr>
              <w:t>10≤X&lt;50</w:t>
            </w:r>
          </w:p>
        </w:tc>
        <w:tc>
          <w:tcPr>
            <w:tcW w:w="1036" w:type="dxa"/>
            <w:noWrap w:val="0"/>
            <w:vAlign w:val="center"/>
          </w:tcPr>
          <w:p w14:paraId="5D5087AB">
            <w:pPr>
              <w:spacing w:line="500" w:lineRule="exact"/>
              <w:jc w:val="center"/>
              <w:rPr>
                <w:rFonts w:eastAsia="仿宋"/>
                <w:highlight w:val="none"/>
              </w:rPr>
            </w:pPr>
            <w:r>
              <w:rPr>
                <w:rFonts w:eastAsia="仿宋"/>
                <w:highlight w:val="none"/>
              </w:rPr>
              <w:t>X&lt;10</w:t>
            </w:r>
          </w:p>
        </w:tc>
      </w:tr>
      <w:tr w14:paraId="23A1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29A592AC">
            <w:pPr>
              <w:spacing w:line="500" w:lineRule="exact"/>
              <w:jc w:val="center"/>
              <w:rPr>
                <w:rFonts w:ascii="仿宋" w:hAnsi="仿宋" w:eastAsia="仿宋"/>
                <w:highlight w:val="none"/>
              </w:rPr>
            </w:pPr>
          </w:p>
        </w:tc>
        <w:tc>
          <w:tcPr>
            <w:tcW w:w="1671" w:type="dxa"/>
            <w:noWrap w:val="0"/>
            <w:vAlign w:val="center"/>
          </w:tcPr>
          <w:p w14:paraId="0F925FE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362E1ECE">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0537C86F">
            <w:pPr>
              <w:spacing w:line="500" w:lineRule="exact"/>
              <w:jc w:val="center"/>
              <w:rPr>
                <w:rFonts w:eastAsia="仿宋"/>
                <w:highlight w:val="none"/>
              </w:rPr>
            </w:pPr>
            <w:r>
              <w:rPr>
                <w:rFonts w:eastAsia="仿宋"/>
                <w:highlight w:val="none"/>
              </w:rPr>
              <w:t>500≤Y&lt;20000</w:t>
            </w:r>
          </w:p>
        </w:tc>
        <w:tc>
          <w:tcPr>
            <w:tcW w:w="1572" w:type="dxa"/>
            <w:noWrap w:val="0"/>
            <w:vAlign w:val="center"/>
          </w:tcPr>
          <w:p w14:paraId="30052669">
            <w:pPr>
              <w:spacing w:line="500" w:lineRule="exact"/>
              <w:jc w:val="center"/>
              <w:rPr>
                <w:rFonts w:eastAsia="仿宋"/>
                <w:highlight w:val="none"/>
              </w:rPr>
            </w:pPr>
            <w:r>
              <w:rPr>
                <w:rFonts w:eastAsia="仿宋"/>
                <w:highlight w:val="none"/>
              </w:rPr>
              <w:t>100≤Y&lt;500</w:t>
            </w:r>
          </w:p>
        </w:tc>
        <w:tc>
          <w:tcPr>
            <w:tcW w:w="1036" w:type="dxa"/>
            <w:noWrap w:val="0"/>
            <w:vAlign w:val="center"/>
          </w:tcPr>
          <w:p w14:paraId="7391216B">
            <w:pPr>
              <w:spacing w:line="500" w:lineRule="exact"/>
              <w:jc w:val="center"/>
              <w:rPr>
                <w:rFonts w:eastAsia="仿宋"/>
                <w:highlight w:val="none"/>
              </w:rPr>
            </w:pPr>
            <w:r>
              <w:rPr>
                <w:rFonts w:eastAsia="仿宋"/>
                <w:highlight w:val="none"/>
              </w:rPr>
              <w:t>Y&lt;100</w:t>
            </w:r>
          </w:p>
        </w:tc>
      </w:tr>
      <w:tr w14:paraId="4322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5527CE3A">
            <w:pPr>
              <w:spacing w:line="500" w:lineRule="exact"/>
              <w:jc w:val="center"/>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671" w:type="dxa"/>
            <w:noWrap w:val="0"/>
            <w:vAlign w:val="center"/>
          </w:tcPr>
          <w:p w14:paraId="0D043E9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569867DB">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1831FABA">
            <w:pPr>
              <w:spacing w:line="500" w:lineRule="exact"/>
              <w:jc w:val="center"/>
              <w:rPr>
                <w:rFonts w:eastAsia="仿宋"/>
                <w:highlight w:val="none"/>
              </w:rPr>
            </w:pPr>
            <w:r>
              <w:rPr>
                <w:rFonts w:eastAsia="仿宋"/>
                <w:highlight w:val="none"/>
              </w:rPr>
              <w:t>300≤X&lt;1000</w:t>
            </w:r>
          </w:p>
        </w:tc>
        <w:tc>
          <w:tcPr>
            <w:tcW w:w="1572" w:type="dxa"/>
            <w:noWrap w:val="0"/>
            <w:vAlign w:val="center"/>
          </w:tcPr>
          <w:p w14:paraId="2C9C125F">
            <w:pPr>
              <w:spacing w:line="500" w:lineRule="exact"/>
              <w:jc w:val="center"/>
              <w:rPr>
                <w:rFonts w:eastAsia="仿宋"/>
                <w:highlight w:val="none"/>
              </w:rPr>
            </w:pPr>
            <w:r>
              <w:rPr>
                <w:rFonts w:eastAsia="仿宋"/>
                <w:highlight w:val="none"/>
              </w:rPr>
              <w:t>20≤X&lt;300</w:t>
            </w:r>
          </w:p>
        </w:tc>
        <w:tc>
          <w:tcPr>
            <w:tcW w:w="1036" w:type="dxa"/>
            <w:noWrap w:val="0"/>
            <w:vAlign w:val="center"/>
          </w:tcPr>
          <w:p w14:paraId="5FDC7EA0">
            <w:pPr>
              <w:spacing w:line="500" w:lineRule="exact"/>
              <w:jc w:val="center"/>
              <w:rPr>
                <w:rFonts w:eastAsia="仿宋"/>
                <w:highlight w:val="none"/>
              </w:rPr>
            </w:pPr>
            <w:r>
              <w:rPr>
                <w:rFonts w:eastAsia="仿宋"/>
                <w:highlight w:val="none"/>
              </w:rPr>
              <w:t>X&lt;20</w:t>
            </w:r>
          </w:p>
        </w:tc>
      </w:tr>
      <w:tr w14:paraId="4935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74EE531F">
            <w:pPr>
              <w:spacing w:line="500" w:lineRule="exact"/>
              <w:jc w:val="center"/>
              <w:rPr>
                <w:rFonts w:ascii="仿宋" w:hAnsi="仿宋" w:eastAsia="仿宋"/>
                <w:highlight w:val="none"/>
              </w:rPr>
            </w:pPr>
          </w:p>
        </w:tc>
        <w:tc>
          <w:tcPr>
            <w:tcW w:w="1671" w:type="dxa"/>
            <w:noWrap w:val="0"/>
            <w:vAlign w:val="center"/>
          </w:tcPr>
          <w:p w14:paraId="6BF36C7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700A7DAD">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60FB53E3">
            <w:pPr>
              <w:spacing w:line="500" w:lineRule="exact"/>
              <w:jc w:val="center"/>
              <w:rPr>
                <w:rFonts w:eastAsia="仿宋"/>
                <w:highlight w:val="none"/>
              </w:rPr>
            </w:pPr>
            <w:r>
              <w:rPr>
                <w:rFonts w:eastAsia="仿宋"/>
                <w:highlight w:val="none"/>
              </w:rPr>
              <w:t>3000≤Y&lt;30000</w:t>
            </w:r>
          </w:p>
        </w:tc>
        <w:tc>
          <w:tcPr>
            <w:tcW w:w="1572" w:type="dxa"/>
            <w:noWrap w:val="0"/>
            <w:vAlign w:val="center"/>
          </w:tcPr>
          <w:p w14:paraId="492DD3D1">
            <w:pPr>
              <w:spacing w:line="500" w:lineRule="exact"/>
              <w:jc w:val="center"/>
              <w:rPr>
                <w:rFonts w:eastAsia="仿宋"/>
                <w:highlight w:val="none"/>
              </w:rPr>
            </w:pPr>
            <w:r>
              <w:rPr>
                <w:rFonts w:eastAsia="仿宋"/>
                <w:highlight w:val="none"/>
              </w:rPr>
              <w:t>200≤Y&lt;3000</w:t>
            </w:r>
          </w:p>
        </w:tc>
        <w:tc>
          <w:tcPr>
            <w:tcW w:w="1036" w:type="dxa"/>
            <w:noWrap w:val="0"/>
            <w:vAlign w:val="center"/>
          </w:tcPr>
          <w:p w14:paraId="31F8E393">
            <w:pPr>
              <w:spacing w:line="500" w:lineRule="exact"/>
              <w:jc w:val="center"/>
              <w:rPr>
                <w:rFonts w:eastAsia="仿宋"/>
                <w:highlight w:val="none"/>
              </w:rPr>
            </w:pPr>
            <w:r>
              <w:rPr>
                <w:rFonts w:eastAsia="仿宋"/>
                <w:highlight w:val="none"/>
              </w:rPr>
              <w:t>Y&lt;200</w:t>
            </w:r>
          </w:p>
        </w:tc>
      </w:tr>
      <w:tr w14:paraId="3991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6AE37150">
            <w:pPr>
              <w:spacing w:line="500" w:lineRule="exact"/>
              <w:jc w:val="center"/>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671" w:type="dxa"/>
            <w:noWrap w:val="0"/>
            <w:vAlign w:val="center"/>
          </w:tcPr>
          <w:p w14:paraId="0068FC4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2B2278F8">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33078D60">
            <w:pPr>
              <w:spacing w:line="500" w:lineRule="exact"/>
              <w:jc w:val="center"/>
              <w:rPr>
                <w:rFonts w:eastAsia="仿宋"/>
                <w:highlight w:val="none"/>
              </w:rPr>
            </w:pPr>
            <w:r>
              <w:rPr>
                <w:rFonts w:eastAsia="仿宋"/>
                <w:highlight w:val="none"/>
              </w:rPr>
              <w:t>100≤X&lt;200</w:t>
            </w:r>
          </w:p>
        </w:tc>
        <w:tc>
          <w:tcPr>
            <w:tcW w:w="1572" w:type="dxa"/>
            <w:noWrap w:val="0"/>
            <w:vAlign w:val="center"/>
          </w:tcPr>
          <w:p w14:paraId="27700F0B">
            <w:pPr>
              <w:spacing w:line="500" w:lineRule="exact"/>
              <w:jc w:val="center"/>
              <w:rPr>
                <w:rFonts w:eastAsia="仿宋"/>
                <w:highlight w:val="none"/>
              </w:rPr>
            </w:pPr>
            <w:r>
              <w:rPr>
                <w:rFonts w:eastAsia="仿宋"/>
                <w:highlight w:val="none"/>
              </w:rPr>
              <w:t>20≤X&lt;100</w:t>
            </w:r>
          </w:p>
        </w:tc>
        <w:tc>
          <w:tcPr>
            <w:tcW w:w="1036" w:type="dxa"/>
            <w:noWrap w:val="0"/>
            <w:vAlign w:val="center"/>
          </w:tcPr>
          <w:p w14:paraId="572E620C">
            <w:pPr>
              <w:spacing w:line="500" w:lineRule="exact"/>
              <w:jc w:val="center"/>
              <w:rPr>
                <w:rFonts w:eastAsia="仿宋"/>
                <w:highlight w:val="none"/>
              </w:rPr>
            </w:pPr>
            <w:r>
              <w:rPr>
                <w:rFonts w:eastAsia="仿宋"/>
                <w:highlight w:val="none"/>
              </w:rPr>
              <w:t>X&lt;20</w:t>
            </w:r>
          </w:p>
        </w:tc>
      </w:tr>
      <w:tr w14:paraId="3FF4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13C34E27">
            <w:pPr>
              <w:spacing w:line="500" w:lineRule="exact"/>
              <w:jc w:val="center"/>
              <w:rPr>
                <w:rFonts w:ascii="仿宋" w:hAnsi="仿宋" w:eastAsia="仿宋"/>
                <w:highlight w:val="none"/>
              </w:rPr>
            </w:pPr>
          </w:p>
        </w:tc>
        <w:tc>
          <w:tcPr>
            <w:tcW w:w="1671" w:type="dxa"/>
            <w:noWrap w:val="0"/>
            <w:vAlign w:val="center"/>
          </w:tcPr>
          <w:p w14:paraId="48677BD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1406E76D">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5AF1A5B">
            <w:pPr>
              <w:spacing w:line="500" w:lineRule="exact"/>
              <w:jc w:val="center"/>
              <w:rPr>
                <w:rFonts w:eastAsia="仿宋"/>
                <w:highlight w:val="none"/>
              </w:rPr>
            </w:pPr>
            <w:r>
              <w:rPr>
                <w:rFonts w:eastAsia="仿宋"/>
                <w:highlight w:val="none"/>
              </w:rPr>
              <w:t>1000≤Y&lt;30000</w:t>
            </w:r>
          </w:p>
        </w:tc>
        <w:tc>
          <w:tcPr>
            <w:tcW w:w="1572" w:type="dxa"/>
            <w:noWrap w:val="0"/>
            <w:vAlign w:val="center"/>
          </w:tcPr>
          <w:p w14:paraId="3A839E4B">
            <w:pPr>
              <w:spacing w:line="500" w:lineRule="exact"/>
              <w:jc w:val="center"/>
              <w:rPr>
                <w:rFonts w:eastAsia="仿宋"/>
                <w:highlight w:val="none"/>
              </w:rPr>
            </w:pPr>
            <w:r>
              <w:rPr>
                <w:rFonts w:eastAsia="仿宋"/>
                <w:highlight w:val="none"/>
              </w:rPr>
              <w:t>100≤Y&lt;1000</w:t>
            </w:r>
          </w:p>
        </w:tc>
        <w:tc>
          <w:tcPr>
            <w:tcW w:w="1036" w:type="dxa"/>
            <w:noWrap w:val="0"/>
            <w:vAlign w:val="center"/>
          </w:tcPr>
          <w:p w14:paraId="5BF3E919">
            <w:pPr>
              <w:spacing w:line="500" w:lineRule="exact"/>
              <w:jc w:val="center"/>
              <w:rPr>
                <w:rFonts w:eastAsia="仿宋"/>
                <w:highlight w:val="none"/>
              </w:rPr>
            </w:pPr>
            <w:r>
              <w:rPr>
                <w:rFonts w:eastAsia="仿宋"/>
                <w:highlight w:val="none"/>
              </w:rPr>
              <w:t>Y&lt;100</w:t>
            </w:r>
          </w:p>
        </w:tc>
      </w:tr>
      <w:tr w14:paraId="5EE6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0055151B">
            <w:pPr>
              <w:spacing w:line="500" w:lineRule="exact"/>
              <w:jc w:val="center"/>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671" w:type="dxa"/>
            <w:noWrap w:val="0"/>
            <w:vAlign w:val="center"/>
          </w:tcPr>
          <w:p w14:paraId="568F7E6B">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5EFBA65F">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470EEB86">
            <w:pPr>
              <w:spacing w:line="500" w:lineRule="exact"/>
              <w:jc w:val="center"/>
              <w:rPr>
                <w:rFonts w:eastAsia="仿宋"/>
                <w:highlight w:val="none"/>
              </w:rPr>
            </w:pPr>
            <w:r>
              <w:rPr>
                <w:rFonts w:eastAsia="仿宋"/>
                <w:highlight w:val="none"/>
              </w:rPr>
              <w:t>300≤X&lt;1000</w:t>
            </w:r>
          </w:p>
        </w:tc>
        <w:tc>
          <w:tcPr>
            <w:tcW w:w="1572" w:type="dxa"/>
            <w:noWrap w:val="0"/>
            <w:vAlign w:val="center"/>
          </w:tcPr>
          <w:p w14:paraId="2600BC96">
            <w:pPr>
              <w:spacing w:line="500" w:lineRule="exact"/>
              <w:jc w:val="center"/>
              <w:rPr>
                <w:rFonts w:eastAsia="仿宋"/>
                <w:highlight w:val="none"/>
              </w:rPr>
            </w:pPr>
            <w:r>
              <w:rPr>
                <w:rFonts w:eastAsia="仿宋"/>
                <w:highlight w:val="none"/>
              </w:rPr>
              <w:t>20≤X&lt;300</w:t>
            </w:r>
          </w:p>
        </w:tc>
        <w:tc>
          <w:tcPr>
            <w:tcW w:w="1036" w:type="dxa"/>
            <w:noWrap w:val="0"/>
            <w:vAlign w:val="center"/>
          </w:tcPr>
          <w:p w14:paraId="18725E37">
            <w:pPr>
              <w:spacing w:line="500" w:lineRule="exact"/>
              <w:jc w:val="center"/>
              <w:rPr>
                <w:rFonts w:eastAsia="仿宋"/>
                <w:highlight w:val="none"/>
              </w:rPr>
            </w:pPr>
            <w:r>
              <w:rPr>
                <w:rFonts w:eastAsia="仿宋"/>
                <w:highlight w:val="none"/>
              </w:rPr>
              <w:t>X&lt;20</w:t>
            </w:r>
          </w:p>
        </w:tc>
      </w:tr>
      <w:tr w14:paraId="5AD9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0E94BCA3">
            <w:pPr>
              <w:spacing w:line="500" w:lineRule="exact"/>
              <w:jc w:val="center"/>
              <w:rPr>
                <w:rFonts w:ascii="仿宋" w:hAnsi="仿宋" w:eastAsia="仿宋"/>
                <w:highlight w:val="none"/>
              </w:rPr>
            </w:pPr>
          </w:p>
        </w:tc>
        <w:tc>
          <w:tcPr>
            <w:tcW w:w="1671" w:type="dxa"/>
            <w:noWrap w:val="0"/>
            <w:vAlign w:val="center"/>
          </w:tcPr>
          <w:p w14:paraId="091D68F8">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421643ED">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30E3B656">
            <w:pPr>
              <w:spacing w:line="500" w:lineRule="exact"/>
              <w:jc w:val="center"/>
              <w:rPr>
                <w:rFonts w:eastAsia="仿宋"/>
                <w:highlight w:val="none"/>
              </w:rPr>
            </w:pPr>
            <w:r>
              <w:rPr>
                <w:rFonts w:eastAsia="仿宋"/>
                <w:highlight w:val="none"/>
              </w:rPr>
              <w:t>2000≤Y&lt;30000</w:t>
            </w:r>
          </w:p>
        </w:tc>
        <w:tc>
          <w:tcPr>
            <w:tcW w:w="1572" w:type="dxa"/>
            <w:noWrap w:val="0"/>
            <w:vAlign w:val="center"/>
          </w:tcPr>
          <w:p w14:paraId="7F5CA5B4">
            <w:pPr>
              <w:spacing w:line="500" w:lineRule="exact"/>
              <w:jc w:val="center"/>
              <w:rPr>
                <w:rFonts w:eastAsia="仿宋"/>
                <w:highlight w:val="none"/>
              </w:rPr>
            </w:pPr>
            <w:r>
              <w:rPr>
                <w:rFonts w:eastAsia="仿宋"/>
                <w:highlight w:val="none"/>
              </w:rPr>
              <w:t>100≤Y&lt;2000</w:t>
            </w:r>
          </w:p>
        </w:tc>
        <w:tc>
          <w:tcPr>
            <w:tcW w:w="1036" w:type="dxa"/>
            <w:noWrap w:val="0"/>
            <w:vAlign w:val="center"/>
          </w:tcPr>
          <w:p w14:paraId="2A265172">
            <w:pPr>
              <w:spacing w:line="500" w:lineRule="exact"/>
              <w:jc w:val="center"/>
              <w:rPr>
                <w:rFonts w:eastAsia="仿宋"/>
                <w:highlight w:val="none"/>
              </w:rPr>
            </w:pPr>
            <w:r>
              <w:rPr>
                <w:rFonts w:eastAsia="仿宋"/>
                <w:highlight w:val="none"/>
              </w:rPr>
              <w:t>Y&lt;100</w:t>
            </w:r>
          </w:p>
        </w:tc>
      </w:tr>
      <w:tr w14:paraId="29C4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7401580D">
            <w:pPr>
              <w:spacing w:line="500" w:lineRule="exact"/>
              <w:jc w:val="center"/>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671" w:type="dxa"/>
            <w:noWrap w:val="0"/>
            <w:vAlign w:val="center"/>
          </w:tcPr>
          <w:p w14:paraId="34C17D5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3FCE4906">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405811AB">
            <w:pPr>
              <w:spacing w:line="500" w:lineRule="exact"/>
              <w:jc w:val="center"/>
              <w:rPr>
                <w:rFonts w:eastAsia="仿宋"/>
                <w:highlight w:val="none"/>
              </w:rPr>
            </w:pPr>
            <w:r>
              <w:rPr>
                <w:rFonts w:eastAsia="仿宋"/>
                <w:highlight w:val="none"/>
              </w:rPr>
              <w:t>100≤X&lt;300</w:t>
            </w:r>
          </w:p>
        </w:tc>
        <w:tc>
          <w:tcPr>
            <w:tcW w:w="1572" w:type="dxa"/>
            <w:noWrap w:val="0"/>
            <w:vAlign w:val="center"/>
          </w:tcPr>
          <w:p w14:paraId="6A2F2F95">
            <w:pPr>
              <w:spacing w:line="500" w:lineRule="exact"/>
              <w:jc w:val="center"/>
              <w:rPr>
                <w:rFonts w:eastAsia="仿宋"/>
                <w:highlight w:val="none"/>
              </w:rPr>
            </w:pPr>
            <w:r>
              <w:rPr>
                <w:rFonts w:eastAsia="仿宋"/>
                <w:highlight w:val="none"/>
              </w:rPr>
              <w:t>10≤X&lt;100</w:t>
            </w:r>
          </w:p>
        </w:tc>
        <w:tc>
          <w:tcPr>
            <w:tcW w:w="1036" w:type="dxa"/>
            <w:noWrap w:val="0"/>
            <w:vAlign w:val="center"/>
          </w:tcPr>
          <w:p w14:paraId="0734BC4B">
            <w:pPr>
              <w:spacing w:line="500" w:lineRule="exact"/>
              <w:jc w:val="center"/>
              <w:rPr>
                <w:rFonts w:eastAsia="仿宋"/>
                <w:highlight w:val="none"/>
              </w:rPr>
            </w:pPr>
            <w:r>
              <w:rPr>
                <w:rFonts w:eastAsia="仿宋"/>
                <w:highlight w:val="none"/>
              </w:rPr>
              <w:t>X&lt;10</w:t>
            </w:r>
          </w:p>
        </w:tc>
      </w:tr>
      <w:tr w14:paraId="37D24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6F122BA3">
            <w:pPr>
              <w:spacing w:line="500" w:lineRule="exact"/>
              <w:jc w:val="center"/>
              <w:rPr>
                <w:rFonts w:ascii="仿宋" w:hAnsi="仿宋" w:eastAsia="仿宋"/>
                <w:highlight w:val="none"/>
              </w:rPr>
            </w:pPr>
          </w:p>
        </w:tc>
        <w:tc>
          <w:tcPr>
            <w:tcW w:w="1671" w:type="dxa"/>
            <w:noWrap w:val="0"/>
            <w:vAlign w:val="center"/>
          </w:tcPr>
          <w:p w14:paraId="34C50E2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E89EC44">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21B85B6">
            <w:pPr>
              <w:spacing w:line="500" w:lineRule="exact"/>
              <w:jc w:val="center"/>
              <w:rPr>
                <w:rFonts w:eastAsia="仿宋"/>
                <w:highlight w:val="none"/>
              </w:rPr>
            </w:pPr>
            <w:r>
              <w:rPr>
                <w:rFonts w:eastAsia="仿宋"/>
                <w:highlight w:val="none"/>
              </w:rPr>
              <w:t>2000≤Y&lt;10000</w:t>
            </w:r>
          </w:p>
        </w:tc>
        <w:tc>
          <w:tcPr>
            <w:tcW w:w="1572" w:type="dxa"/>
            <w:noWrap w:val="0"/>
            <w:vAlign w:val="center"/>
          </w:tcPr>
          <w:p w14:paraId="3485C037">
            <w:pPr>
              <w:spacing w:line="500" w:lineRule="exact"/>
              <w:jc w:val="center"/>
              <w:rPr>
                <w:rFonts w:eastAsia="仿宋"/>
                <w:highlight w:val="none"/>
              </w:rPr>
            </w:pPr>
            <w:r>
              <w:rPr>
                <w:rFonts w:eastAsia="仿宋"/>
                <w:highlight w:val="none"/>
              </w:rPr>
              <w:t>100≤Y&lt;2000</w:t>
            </w:r>
          </w:p>
        </w:tc>
        <w:tc>
          <w:tcPr>
            <w:tcW w:w="1036" w:type="dxa"/>
            <w:noWrap w:val="0"/>
            <w:vAlign w:val="center"/>
          </w:tcPr>
          <w:p w14:paraId="55291FED">
            <w:pPr>
              <w:spacing w:line="500" w:lineRule="exact"/>
              <w:jc w:val="center"/>
              <w:rPr>
                <w:rFonts w:eastAsia="仿宋"/>
                <w:highlight w:val="none"/>
              </w:rPr>
            </w:pPr>
            <w:r>
              <w:rPr>
                <w:rFonts w:eastAsia="仿宋"/>
                <w:highlight w:val="none"/>
              </w:rPr>
              <w:t>Y&lt;100</w:t>
            </w:r>
          </w:p>
        </w:tc>
      </w:tr>
      <w:tr w14:paraId="3DC7E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1FE670AC">
            <w:pPr>
              <w:spacing w:line="500" w:lineRule="exact"/>
              <w:jc w:val="center"/>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671" w:type="dxa"/>
            <w:noWrap w:val="0"/>
            <w:vAlign w:val="center"/>
          </w:tcPr>
          <w:p w14:paraId="5694F6E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0437BDFD">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03071EBB">
            <w:pPr>
              <w:spacing w:line="500" w:lineRule="exact"/>
              <w:jc w:val="center"/>
              <w:rPr>
                <w:rFonts w:eastAsia="仿宋"/>
                <w:highlight w:val="none"/>
              </w:rPr>
            </w:pPr>
            <w:r>
              <w:rPr>
                <w:rFonts w:eastAsia="仿宋"/>
                <w:highlight w:val="none"/>
              </w:rPr>
              <w:t>100≤X&lt;300</w:t>
            </w:r>
          </w:p>
        </w:tc>
        <w:tc>
          <w:tcPr>
            <w:tcW w:w="1572" w:type="dxa"/>
            <w:noWrap w:val="0"/>
            <w:vAlign w:val="center"/>
          </w:tcPr>
          <w:p w14:paraId="24BF91FE">
            <w:pPr>
              <w:spacing w:line="500" w:lineRule="exact"/>
              <w:jc w:val="center"/>
              <w:rPr>
                <w:rFonts w:eastAsia="仿宋"/>
                <w:highlight w:val="none"/>
              </w:rPr>
            </w:pPr>
            <w:r>
              <w:rPr>
                <w:rFonts w:eastAsia="仿宋"/>
                <w:highlight w:val="none"/>
              </w:rPr>
              <w:t>10≤X&lt;100</w:t>
            </w:r>
          </w:p>
        </w:tc>
        <w:tc>
          <w:tcPr>
            <w:tcW w:w="1036" w:type="dxa"/>
            <w:noWrap w:val="0"/>
            <w:vAlign w:val="center"/>
          </w:tcPr>
          <w:p w14:paraId="51DDAEE5">
            <w:pPr>
              <w:spacing w:line="500" w:lineRule="exact"/>
              <w:jc w:val="center"/>
              <w:rPr>
                <w:rFonts w:eastAsia="仿宋"/>
                <w:highlight w:val="none"/>
              </w:rPr>
            </w:pPr>
            <w:r>
              <w:rPr>
                <w:rFonts w:eastAsia="仿宋"/>
                <w:highlight w:val="none"/>
              </w:rPr>
              <w:t>X&lt;10</w:t>
            </w:r>
          </w:p>
        </w:tc>
      </w:tr>
      <w:tr w14:paraId="7357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2076B221">
            <w:pPr>
              <w:spacing w:line="500" w:lineRule="exact"/>
              <w:jc w:val="center"/>
              <w:rPr>
                <w:rFonts w:ascii="仿宋" w:hAnsi="仿宋" w:eastAsia="仿宋"/>
                <w:highlight w:val="none"/>
              </w:rPr>
            </w:pPr>
          </w:p>
        </w:tc>
        <w:tc>
          <w:tcPr>
            <w:tcW w:w="1671" w:type="dxa"/>
            <w:noWrap w:val="0"/>
            <w:vAlign w:val="center"/>
          </w:tcPr>
          <w:p w14:paraId="6CEC7BCE">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583550C3">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73D99EE7">
            <w:pPr>
              <w:spacing w:line="500" w:lineRule="exact"/>
              <w:jc w:val="center"/>
              <w:rPr>
                <w:rFonts w:eastAsia="仿宋"/>
                <w:highlight w:val="none"/>
              </w:rPr>
            </w:pPr>
            <w:r>
              <w:rPr>
                <w:rFonts w:eastAsia="仿宋"/>
                <w:highlight w:val="none"/>
              </w:rPr>
              <w:t>2000≤Y&lt;10000</w:t>
            </w:r>
          </w:p>
        </w:tc>
        <w:tc>
          <w:tcPr>
            <w:tcW w:w="1572" w:type="dxa"/>
            <w:noWrap w:val="0"/>
            <w:vAlign w:val="center"/>
          </w:tcPr>
          <w:p w14:paraId="55311971">
            <w:pPr>
              <w:spacing w:line="500" w:lineRule="exact"/>
              <w:jc w:val="center"/>
              <w:rPr>
                <w:rFonts w:eastAsia="仿宋"/>
                <w:highlight w:val="none"/>
              </w:rPr>
            </w:pPr>
            <w:r>
              <w:rPr>
                <w:rFonts w:eastAsia="仿宋"/>
                <w:highlight w:val="none"/>
              </w:rPr>
              <w:t>100≤Y&lt;2000</w:t>
            </w:r>
          </w:p>
        </w:tc>
        <w:tc>
          <w:tcPr>
            <w:tcW w:w="1036" w:type="dxa"/>
            <w:noWrap w:val="0"/>
            <w:vAlign w:val="center"/>
          </w:tcPr>
          <w:p w14:paraId="5C4E37F7">
            <w:pPr>
              <w:spacing w:line="500" w:lineRule="exact"/>
              <w:jc w:val="center"/>
              <w:rPr>
                <w:rFonts w:eastAsia="仿宋"/>
                <w:highlight w:val="none"/>
              </w:rPr>
            </w:pPr>
            <w:r>
              <w:rPr>
                <w:rFonts w:eastAsia="仿宋"/>
                <w:highlight w:val="none"/>
              </w:rPr>
              <w:t>Y&lt;100</w:t>
            </w:r>
          </w:p>
        </w:tc>
      </w:tr>
      <w:tr w14:paraId="6518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416FDA4E">
            <w:pPr>
              <w:spacing w:line="500" w:lineRule="exact"/>
              <w:jc w:val="center"/>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671" w:type="dxa"/>
            <w:noWrap w:val="0"/>
            <w:vAlign w:val="center"/>
          </w:tcPr>
          <w:p w14:paraId="5C8C6DB1">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3487FED9">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5498B128">
            <w:pPr>
              <w:spacing w:line="500" w:lineRule="exact"/>
              <w:jc w:val="center"/>
              <w:rPr>
                <w:rFonts w:eastAsia="仿宋"/>
                <w:highlight w:val="none"/>
              </w:rPr>
            </w:pPr>
            <w:r>
              <w:rPr>
                <w:rFonts w:eastAsia="仿宋"/>
                <w:highlight w:val="none"/>
              </w:rPr>
              <w:t>100≤X&lt;2000</w:t>
            </w:r>
          </w:p>
        </w:tc>
        <w:tc>
          <w:tcPr>
            <w:tcW w:w="1572" w:type="dxa"/>
            <w:noWrap w:val="0"/>
            <w:vAlign w:val="center"/>
          </w:tcPr>
          <w:p w14:paraId="56326CBE">
            <w:pPr>
              <w:spacing w:line="500" w:lineRule="exact"/>
              <w:jc w:val="center"/>
              <w:rPr>
                <w:rFonts w:eastAsia="仿宋"/>
                <w:highlight w:val="none"/>
              </w:rPr>
            </w:pPr>
            <w:r>
              <w:rPr>
                <w:rFonts w:eastAsia="仿宋"/>
                <w:highlight w:val="none"/>
              </w:rPr>
              <w:t>10≤X&lt;100</w:t>
            </w:r>
          </w:p>
        </w:tc>
        <w:tc>
          <w:tcPr>
            <w:tcW w:w="1036" w:type="dxa"/>
            <w:noWrap w:val="0"/>
            <w:vAlign w:val="center"/>
          </w:tcPr>
          <w:p w14:paraId="56260983">
            <w:pPr>
              <w:spacing w:line="500" w:lineRule="exact"/>
              <w:jc w:val="center"/>
              <w:rPr>
                <w:rFonts w:eastAsia="仿宋"/>
                <w:highlight w:val="none"/>
              </w:rPr>
            </w:pPr>
            <w:r>
              <w:rPr>
                <w:rFonts w:eastAsia="仿宋"/>
                <w:highlight w:val="none"/>
              </w:rPr>
              <w:t>X&lt;10</w:t>
            </w:r>
          </w:p>
        </w:tc>
      </w:tr>
      <w:tr w14:paraId="38ACB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1858EE68">
            <w:pPr>
              <w:spacing w:line="500" w:lineRule="exact"/>
              <w:jc w:val="center"/>
              <w:rPr>
                <w:rFonts w:ascii="仿宋" w:hAnsi="仿宋" w:eastAsia="仿宋"/>
                <w:highlight w:val="none"/>
              </w:rPr>
            </w:pPr>
          </w:p>
        </w:tc>
        <w:tc>
          <w:tcPr>
            <w:tcW w:w="1671" w:type="dxa"/>
            <w:noWrap w:val="0"/>
            <w:vAlign w:val="center"/>
          </w:tcPr>
          <w:p w14:paraId="20052471">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23383EDF">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2D94377E">
            <w:pPr>
              <w:spacing w:line="500" w:lineRule="exact"/>
              <w:jc w:val="center"/>
              <w:rPr>
                <w:rFonts w:eastAsia="仿宋"/>
                <w:highlight w:val="none"/>
              </w:rPr>
            </w:pPr>
            <w:r>
              <w:rPr>
                <w:rFonts w:eastAsia="仿宋"/>
                <w:highlight w:val="none"/>
              </w:rPr>
              <w:t>1000≤Y&lt;100000</w:t>
            </w:r>
          </w:p>
        </w:tc>
        <w:tc>
          <w:tcPr>
            <w:tcW w:w="1572" w:type="dxa"/>
            <w:noWrap w:val="0"/>
            <w:vAlign w:val="center"/>
          </w:tcPr>
          <w:p w14:paraId="455D86C9">
            <w:pPr>
              <w:spacing w:line="500" w:lineRule="exact"/>
              <w:jc w:val="center"/>
              <w:rPr>
                <w:rFonts w:eastAsia="仿宋"/>
                <w:highlight w:val="none"/>
              </w:rPr>
            </w:pPr>
            <w:r>
              <w:rPr>
                <w:rFonts w:eastAsia="仿宋"/>
                <w:highlight w:val="none"/>
              </w:rPr>
              <w:t>100≤Y&lt;1000</w:t>
            </w:r>
          </w:p>
        </w:tc>
        <w:tc>
          <w:tcPr>
            <w:tcW w:w="1036" w:type="dxa"/>
            <w:noWrap w:val="0"/>
            <w:vAlign w:val="center"/>
          </w:tcPr>
          <w:p w14:paraId="004A085A">
            <w:pPr>
              <w:spacing w:line="500" w:lineRule="exact"/>
              <w:jc w:val="center"/>
              <w:rPr>
                <w:rFonts w:eastAsia="仿宋"/>
                <w:highlight w:val="none"/>
              </w:rPr>
            </w:pPr>
            <w:r>
              <w:rPr>
                <w:rFonts w:eastAsia="仿宋"/>
                <w:highlight w:val="none"/>
              </w:rPr>
              <w:t>Y&lt;100</w:t>
            </w:r>
          </w:p>
        </w:tc>
      </w:tr>
      <w:tr w14:paraId="5AAE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72BE7A7B">
            <w:pPr>
              <w:spacing w:line="500" w:lineRule="exact"/>
              <w:jc w:val="center"/>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671" w:type="dxa"/>
            <w:noWrap w:val="0"/>
            <w:vAlign w:val="center"/>
          </w:tcPr>
          <w:p w14:paraId="141EA301">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6A2C100D">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6EA05BE0">
            <w:pPr>
              <w:spacing w:line="500" w:lineRule="exact"/>
              <w:jc w:val="center"/>
              <w:rPr>
                <w:rFonts w:eastAsia="仿宋"/>
                <w:highlight w:val="none"/>
              </w:rPr>
            </w:pPr>
            <w:r>
              <w:rPr>
                <w:rFonts w:eastAsia="仿宋"/>
                <w:highlight w:val="none"/>
              </w:rPr>
              <w:t>100≤X&lt;300</w:t>
            </w:r>
          </w:p>
        </w:tc>
        <w:tc>
          <w:tcPr>
            <w:tcW w:w="1572" w:type="dxa"/>
            <w:noWrap w:val="0"/>
            <w:vAlign w:val="center"/>
          </w:tcPr>
          <w:p w14:paraId="7544374E">
            <w:pPr>
              <w:spacing w:line="500" w:lineRule="exact"/>
              <w:jc w:val="center"/>
              <w:rPr>
                <w:rFonts w:eastAsia="仿宋"/>
                <w:highlight w:val="none"/>
              </w:rPr>
            </w:pPr>
            <w:r>
              <w:rPr>
                <w:rFonts w:eastAsia="仿宋"/>
                <w:highlight w:val="none"/>
              </w:rPr>
              <w:t>10≤X&lt;100</w:t>
            </w:r>
          </w:p>
        </w:tc>
        <w:tc>
          <w:tcPr>
            <w:tcW w:w="1036" w:type="dxa"/>
            <w:noWrap w:val="0"/>
            <w:vAlign w:val="center"/>
          </w:tcPr>
          <w:p w14:paraId="673FBDD5">
            <w:pPr>
              <w:spacing w:line="500" w:lineRule="exact"/>
              <w:jc w:val="center"/>
              <w:rPr>
                <w:rFonts w:eastAsia="仿宋"/>
                <w:highlight w:val="none"/>
              </w:rPr>
            </w:pPr>
            <w:r>
              <w:rPr>
                <w:rFonts w:eastAsia="仿宋"/>
                <w:highlight w:val="none"/>
              </w:rPr>
              <w:t>X&lt;10</w:t>
            </w:r>
          </w:p>
        </w:tc>
      </w:tr>
      <w:tr w14:paraId="6EB7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1F5F5576">
            <w:pPr>
              <w:spacing w:line="500" w:lineRule="exact"/>
              <w:jc w:val="center"/>
              <w:rPr>
                <w:rFonts w:ascii="仿宋" w:hAnsi="仿宋" w:eastAsia="仿宋"/>
                <w:highlight w:val="none"/>
              </w:rPr>
            </w:pPr>
          </w:p>
        </w:tc>
        <w:tc>
          <w:tcPr>
            <w:tcW w:w="1671" w:type="dxa"/>
            <w:noWrap w:val="0"/>
            <w:vAlign w:val="center"/>
          </w:tcPr>
          <w:p w14:paraId="4BC2ADE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0D48515C">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1B45476D">
            <w:pPr>
              <w:spacing w:line="500" w:lineRule="exact"/>
              <w:jc w:val="center"/>
              <w:rPr>
                <w:rFonts w:eastAsia="仿宋"/>
                <w:highlight w:val="none"/>
              </w:rPr>
            </w:pPr>
            <w:r>
              <w:rPr>
                <w:rFonts w:eastAsia="仿宋"/>
                <w:highlight w:val="none"/>
              </w:rPr>
              <w:t>1000≤Y&lt;10000</w:t>
            </w:r>
          </w:p>
        </w:tc>
        <w:tc>
          <w:tcPr>
            <w:tcW w:w="1572" w:type="dxa"/>
            <w:noWrap w:val="0"/>
            <w:vAlign w:val="center"/>
          </w:tcPr>
          <w:p w14:paraId="01B937E0">
            <w:pPr>
              <w:spacing w:line="500" w:lineRule="exact"/>
              <w:jc w:val="center"/>
              <w:rPr>
                <w:rFonts w:eastAsia="仿宋"/>
                <w:highlight w:val="none"/>
              </w:rPr>
            </w:pPr>
            <w:r>
              <w:rPr>
                <w:rFonts w:eastAsia="仿宋"/>
                <w:highlight w:val="none"/>
              </w:rPr>
              <w:t>50≤Y&lt;1000</w:t>
            </w:r>
          </w:p>
        </w:tc>
        <w:tc>
          <w:tcPr>
            <w:tcW w:w="1036" w:type="dxa"/>
            <w:noWrap w:val="0"/>
            <w:vAlign w:val="center"/>
          </w:tcPr>
          <w:p w14:paraId="24C5A69C">
            <w:pPr>
              <w:spacing w:line="500" w:lineRule="exact"/>
              <w:jc w:val="center"/>
              <w:rPr>
                <w:rFonts w:eastAsia="仿宋"/>
                <w:highlight w:val="none"/>
              </w:rPr>
            </w:pPr>
            <w:r>
              <w:rPr>
                <w:rFonts w:eastAsia="仿宋"/>
                <w:highlight w:val="none"/>
              </w:rPr>
              <w:t>Y&lt;50</w:t>
            </w:r>
          </w:p>
        </w:tc>
      </w:tr>
      <w:tr w14:paraId="07C7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43CA8D23">
            <w:pPr>
              <w:spacing w:line="500" w:lineRule="exact"/>
              <w:jc w:val="center"/>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671" w:type="dxa"/>
            <w:noWrap w:val="0"/>
            <w:vAlign w:val="center"/>
          </w:tcPr>
          <w:p w14:paraId="2685C95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2254A38E">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5E24F2C3">
            <w:pPr>
              <w:spacing w:line="500" w:lineRule="exact"/>
              <w:jc w:val="center"/>
              <w:rPr>
                <w:rFonts w:eastAsia="仿宋"/>
                <w:highlight w:val="none"/>
              </w:rPr>
            </w:pPr>
            <w:r>
              <w:rPr>
                <w:rFonts w:eastAsia="仿宋"/>
                <w:highlight w:val="none"/>
              </w:rPr>
              <w:t>1000≤Y&lt;200000</w:t>
            </w:r>
          </w:p>
        </w:tc>
        <w:tc>
          <w:tcPr>
            <w:tcW w:w="1572" w:type="dxa"/>
            <w:noWrap w:val="0"/>
            <w:vAlign w:val="center"/>
          </w:tcPr>
          <w:p w14:paraId="1BDF0728">
            <w:pPr>
              <w:spacing w:line="500" w:lineRule="exact"/>
              <w:jc w:val="center"/>
              <w:rPr>
                <w:rFonts w:eastAsia="仿宋"/>
                <w:highlight w:val="none"/>
              </w:rPr>
            </w:pPr>
            <w:r>
              <w:rPr>
                <w:rFonts w:eastAsia="仿宋"/>
                <w:highlight w:val="none"/>
              </w:rPr>
              <w:t>100≤Y&lt;1000</w:t>
            </w:r>
          </w:p>
        </w:tc>
        <w:tc>
          <w:tcPr>
            <w:tcW w:w="1036" w:type="dxa"/>
            <w:noWrap w:val="0"/>
            <w:vAlign w:val="center"/>
          </w:tcPr>
          <w:p w14:paraId="1DAEB196">
            <w:pPr>
              <w:spacing w:line="500" w:lineRule="exact"/>
              <w:jc w:val="center"/>
              <w:rPr>
                <w:rFonts w:eastAsia="仿宋"/>
                <w:highlight w:val="none"/>
              </w:rPr>
            </w:pPr>
            <w:r>
              <w:rPr>
                <w:rFonts w:eastAsia="仿宋"/>
                <w:highlight w:val="none"/>
              </w:rPr>
              <w:t>Y&lt;100</w:t>
            </w:r>
          </w:p>
        </w:tc>
      </w:tr>
      <w:tr w14:paraId="28E7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5EB93D4B">
            <w:pPr>
              <w:spacing w:line="500" w:lineRule="exact"/>
              <w:jc w:val="center"/>
              <w:rPr>
                <w:rFonts w:ascii="仿宋" w:hAnsi="仿宋" w:eastAsia="仿宋"/>
                <w:highlight w:val="none"/>
              </w:rPr>
            </w:pPr>
          </w:p>
        </w:tc>
        <w:tc>
          <w:tcPr>
            <w:tcW w:w="1671" w:type="dxa"/>
            <w:noWrap w:val="0"/>
            <w:vAlign w:val="center"/>
          </w:tcPr>
          <w:p w14:paraId="785B7A08">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7273C4B4">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4C55D4B2">
            <w:pPr>
              <w:spacing w:line="500" w:lineRule="exact"/>
              <w:jc w:val="center"/>
              <w:rPr>
                <w:rFonts w:eastAsia="仿宋"/>
                <w:highlight w:val="none"/>
              </w:rPr>
            </w:pPr>
            <w:r>
              <w:rPr>
                <w:rFonts w:eastAsia="仿宋"/>
                <w:highlight w:val="none"/>
              </w:rPr>
              <w:t>5000≤Z &lt;10000</w:t>
            </w:r>
          </w:p>
        </w:tc>
        <w:tc>
          <w:tcPr>
            <w:tcW w:w="1572" w:type="dxa"/>
            <w:noWrap w:val="0"/>
            <w:vAlign w:val="center"/>
          </w:tcPr>
          <w:p w14:paraId="14CB4870">
            <w:pPr>
              <w:spacing w:line="500" w:lineRule="exact"/>
              <w:jc w:val="center"/>
              <w:rPr>
                <w:rFonts w:eastAsia="仿宋"/>
                <w:highlight w:val="none"/>
              </w:rPr>
            </w:pPr>
            <w:r>
              <w:rPr>
                <w:rFonts w:eastAsia="仿宋"/>
                <w:highlight w:val="none"/>
              </w:rPr>
              <w:t>2000≤Z &lt;5000</w:t>
            </w:r>
          </w:p>
        </w:tc>
        <w:tc>
          <w:tcPr>
            <w:tcW w:w="1036" w:type="dxa"/>
            <w:noWrap w:val="0"/>
            <w:vAlign w:val="center"/>
          </w:tcPr>
          <w:p w14:paraId="32114779">
            <w:pPr>
              <w:spacing w:line="500" w:lineRule="exact"/>
              <w:jc w:val="center"/>
              <w:rPr>
                <w:rFonts w:eastAsia="仿宋"/>
                <w:highlight w:val="none"/>
              </w:rPr>
            </w:pPr>
            <w:r>
              <w:rPr>
                <w:rFonts w:eastAsia="仿宋"/>
                <w:highlight w:val="none"/>
              </w:rPr>
              <w:t>Z&lt;2000</w:t>
            </w:r>
          </w:p>
        </w:tc>
      </w:tr>
      <w:tr w14:paraId="7ABB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4F667304">
            <w:pPr>
              <w:spacing w:line="500" w:lineRule="exact"/>
              <w:jc w:val="center"/>
              <w:rPr>
                <w:rFonts w:ascii="仿宋" w:hAnsi="仿宋" w:eastAsia="仿宋"/>
                <w:highlight w:val="none"/>
              </w:rPr>
            </w:pPr>
            <w:r>
              <w:rPr>
                <w:rFonts w:hint="eastAsia" w:ascii="仿宋" w:hAnsi="仿宋" w:eastAsia="仿宋"/>
                <w:highlight w:val="none"/>
              </w:rPr>
              <w:t>物业管理</w:t>
            </w:r>
          </w:p>
        </w:tc>
        <w:tc>
          <w:tcPr>
            <w:tcW w:w="1671" w:type="dxa"/>
            <w:noWrap w:val="0"/>
            <w:vAlign w:val="center"/>
          </w:tcPr>
          <w:p w14:paraId="5C5A4487">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475999CF">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18258723">
            <w:pPr>
              <w:spacing w:line="500" w:lineRule="exact"/>
              <w:jc w:val="center"/>
              <w:rPr>
                <w:rFonts w:eastAsia="仿宋"/>
                <w:highlight w:val="none"/>
              </w:rPr>
            </w:pPr>
            <w:r>
              <w:rPr>
                <w:rFonts w:eastAsia="仿宋"/>
                <w:highlight w:val="none"/>
              </w:rPr>
              <w:t>300≤X&lt;1000</w:t>
            </w:r>
          </w:p>
        </w:tc>
        <w:tc>
          <w:tcPr>
            <w:tcW w:w="1572" w:type="dxa"/>
            <w:noWrap w:val="0"/>
            <w:vAlign w:val="center"/>
          </w:tcPr>
          <w:p w14:paraId="1B91CC23">
            <w:pPr>
              <w:spacing w:line="500" w:lineRule="exact"/>
              <w:jc w:val="center"/>
              <w:rPr>
                <w:rFonts w:eastAsia="仿宋"/>
                <w:highlight w:val="none"/>
              </w:rPr>
            </w:pPr>
            <w:r>
              <w:rPr>
                <w:rFonts w:eastAsia="仿宋"/>
                <w:highlight w:val="none"/>
              </w:rPr>
              <w:t>100≤X&lt;300</w:t>
            </w:r>
          </w:p>
        </w:tc>
        <w:tc>
          <w:tcPr>
            <w:tcW w:w="1036" w:type="dxa"/>
            <w:noWrap w:val="0"/>
            <w:vAlign w:val="center"/>
          </w:tcPr>
          <w:p w14:paraId="480FE84A">
            <w:pPr>
              <w:spacing w:line="500" w:lineRule="exact"/>
              <w:jc w:val="center"/>
              <w:rPr>
                <w:rFonts w:eastAsia="仿宋"/>
                <w:highlight w:val="none"/>
              </w:rPr>
            </w:pPr>
            <w:r>
              <w:rPr>
                <w:rFonts w:eastAsia="仿宋"/>
                <w:highlight w:val="none"/>
              </w:rPr>
              <w:t>X&lt;100</w:t>
            </w:r>
          </w:p>
        </w:tc>
      </w:tr>
      <w:tr w14:paraId="1701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0952E0C8">
            <w:pPr>
              <w:spacing w:line="500" w:lineRule="exact"/>
              <w:jc w:val="center"/>
              <w:rPr>
                <w:rFonts w:ascii="仿宋" w:hAnsi="仿宋" w:eastAsia="仿宋"/>
                <w:highlight w:val="none"/>
              </w:rPr>
            </w:pPr>
          </w:p>
        </w:tc>
        <w:tc>
          <w:tcPr>
            <w:tcW w:w="1671" w:type="dxa"/>
            <w:noWrap w:val="0"/>
            <w:vAlign w:val="center"/>
          </w:tcPr>
          <w:p w14:paraId="6C3CE43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noWrap w:val="0"/>
            <w:vAlign w:val="center"/>
          </w:tcPr>
          <w:p w14:paraId="2A820E1A">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1FD46D3C">
            <w:pPr>
              <w:spacing w:line="500" w:lineRule="exact"/>
              <w:jc w:val="center"/>
              <w:rPr>
                <w:rFonts w:eastAsia="仿宋"/>
                <w:highlight w:val="none"/>
              </w:rPr>
            </w:pPr>
            <w:r>
              <w:rPr>
                <w:rFonts w:eastAsia="仿宋"/>
                <w:highlight w:val="none"/>
              </w:rPr>
              <w:t>1000≤Y&lt;5000</w:t>
            </w:r>
          </w:p>
        </w:tc>
        <w:tc>
          <w:tcPr>
            <w:tcW w:w="1572" w:type="dxa"/>
            <w:noWrap w:val="0"/>
            <w:vAlign w:val="center"/>
          </w:tcPr>
          <w:p w14:paraId="4ED06622">
            <w:pPr>
              <w:spacing w:line="500" w:lineRule="exact"/>
              <w:jc w:val="center"/>
              <w:rPr>
                <w:rFonts w:eastAsia="仿宋"/>
                <w:highlight w:val="none"/>
              </w:rPr>
            </w:pPr>
            <w:r>
              <w:rPr>
                <w:rFonts w:eastAsia="仿宋"/>
                <w:highlight w:val="none"/>
              </w:rPr>
              <w:t>500≤Y&lt;1000</w:t>
            </w:r>
          </w:p>
        </w:tc>
        <w:tc>
          <w:tcPr>
            <w:tcW w:w="1036" w:type="dxa"/>
            <w:noWrap w:val="0"/>
            <w:vAlign w:val="center"/>
          </w:tcPr>
          <w:p w14:paraId="6328D990">
            <w:pPr>
              <w:spacing w:line="500" w:lineRule="exact"/>
              <w:jc w:val="center"/>
              <w:rPr>
                <w:rFonts w:eastAsia="仿宋"/>
                <w:highlight w:val="none"/>
              </w:rPr>
            </w:pPr>
            <w:r>
              <w:rPr>
                <w:rFonts w:eastAsia="仿宋"/>
                <w:highlight w:val="none"/>
              </w:rPr>
              <w:t>Y&lt;500</w:t>
            </w:r>
          </w:p>
        </w:tc>
      </w:tr>
      <w:tr w14:paraId="5429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restart"/>
            <w:noWrap w:val="0"/>
            <w:vAlign w:val="center"/>
          </w:tcPr>
          <w:p w14:paraId="0815C319">
            <w:pPr>
              <w:spacing w:line="500" w:lineRule="exact"/>
              <w:jc w:val="center"/>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671" w:type="dxa"/>
            <w:noWrap w:val="0"/>
            <w:vAlign w:val="center"/>
          </w:tcPr>
          <w:p w14:paraId="389E9DB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1436284C">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2FDF7713">
            <w:pPr>
              <w:spacing w:line="500" w:lineRule="exact"/>
              <w:jc w:val="center"/>
              <w:rPr>
                <w:rFonts w:eastAsia="仿宋"/>
                <w:highlight w:val="none"/>
              </w:rPr>
            </w:pPr>
            <w:r>
              <w:rPr>
                <w:rFonts w:eastAsia="仿宋"/>
                <w:highlight w:val="none"/>
              </w:rPr>
              <w:t>100≤X&lt;300</w:t>
            </w:r>
          </w:p>
        </w:tc>
        <w:tc>
          <w:tcPr>
            <w:tcW w:w="1572" w:type="dxa"/>
            <w:noWrap w:val="0"/>
            <w:vAlign w:val="center"/>
          </w:tcPr>
          <w:p w14:paraId="4642FCC2">
            <w:pPr>
              <w:spacing w:line="500" w:lineRule="exact"/>
              <w:jc w:val="center"/>
              <w:rPr>
                <w:rFonts w:eastAsia="仿宋"/>
                <w:highlight w:val="none"/>
              </w:rPr>
            </w:pPr>
            <w:r>
              <w:rPr>
                <w:rFonts w:eastAsia="仿宋"/>
                <w:highlight w:val="none"/>
              </w:rPr>
              <w:t>10≤X&lt;100</w:t>
            </w:r>
          </w:p>
        </w:tc>
        <w:tc>
          <w:tcPr>
            <w:tcW w:w="1036" w:type="dxa"/>
            <w:noWrap w:val="0"/>
            <w:vAlign w:val="center"/>
          </w:tcPr>
          <w:p w14:paraId="7379B2FE">
            <w:pPr>
              <w:spacing w:line="500" w:lineRule="exact"/>
              <w:jc w:val="center"/>
              <w:rPr>
                <w:rFonts w:eastAsia="仿宋"/>
                <w:highlight w:val="none"/>
              </w:rPr>
            </w:pPr>
            <w:r>
              <w:rPr>
                <w:rFonts w:eastAsia="仿宋"/>
                <w:highlight w:val="none"/>
              </w:rPr>
              <w:t>X&lt;10</w:t>
            </w:r>
          </w:p>
        </w:tc>
      </w:tr>
      <w:tr w14:paraId="3C1F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vMerge w:val="continue"/>
            <w:noWrap w:val="0"/>
            <w:vAlign w:val="center"/>
          </w:tcPr>
          <w:p w14:paraId="60AA065F">
            <w:pPr>
              <w:spacing w:line="500" w:lineRule="exact"/>
              <w:jc w:val="center"/>
              <w:rPr>
                <w:rFonts w:ascii="仿宋" w:hAnsi="仿宋" w:eastAsia="仿宋"/>
                <w:highlight w:val="none"/>
              </w:rPr>
            </w:pPr>
          </w:p>
        </w:tc>
        <w:tc>
          <w:tcPr>
            <w:tcW w:w="1671" w:type="dxa"/>
            <w:noWrap w:val="0"/>
            <w:vAlign w:val="center"/>
          </w:tcPr>
          <w:p w14:paraId="1F2A8D5A">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noWrap w:val="0"/>
            <w:vAlign w:val="center"/>
          </w:tcPr>
          <w:p w14:paraId="1769F1D4">
            <w:pPr>
              <w:spacing w:line="500" w:lineRule="exact"/>
              <w:jc w:val="center"/>
              <w:rPr>
                <w:rFonts w:ascii="仿宋" w:hAnsi="仿宋" w:eastAsia="仿宋"/>
                <w:highlight w:val="none"/>
              </w:rPr>
            </w:pPr>
            <w:r>
              <w:rPr>
                <w:rFonts w:ascii="仿宋" w:hAnsi="仿宋" w:eastAsia="仿宋"/>
                <w:highlight w:val="none"/>
              </w:rPr>
              <w:t>万元</w:t>
            </w:r>
          </w:p>
        </w:tc>
        <w:tc>
          <w:tcPr>
            <w:tcW w:w="1830" w:type="dxa"/>
            <w:noWrap w:val="0"/>
            <w:vAlign w:val="center"/>
          </w:tcPr>
          <w:p w14:paraId="1B934569">
            <w:pPr>
              <w:spacing w:line="500" w:lineRule="exact"/>
              <w:jc w:val="center"/>
              <w:rPr>
                <w:rFonts w:eastAsia="仿宋"/>
                <w:highlight w:val="none"/>
              </w:rPr>
            </w:pPr>
            <w:r>
              <w:rPr>
                <w:rFonts w:eastAsia="仿宋"/>
                <w:highlight w:val="none"/>
              </w:rPr>
              <w:t>8000≤Z &lt;120000</w:t>
            </w:r>
          </w:p>
        </w:tc>
        <w:tc>
          <w:tcPr>
            <w:tcW w:w="1572" w:type="dxa"/>
            <w:noWrap w:val="0"/>
            <w:vAlign w:val="center"/>
          </w:tcPr>
          <w:p w14:paraId="6149E086">
            <w:pPr>
              <w:spacing w:line="500" w:lineRule="exact"/>
              <w:jc w:val="center"/>
              <w:rPr>
                <w:rFonts w:eastAsia="仿宋"/>
                <w:highlight w:val="none"/>
              </w:rPr>
            </w:pPr>
            <w:r>
              <w:rPr>
                <w:rFonts w:eastAsia="仿宋"/>
                <w:highlight w:val="none"/>
              </w:rPr>
              <w:t>100≤Z &lt;8000</w:t>
            </w:r>
          </w:p>
        </w:tc>
        <w:tc>
          <w:tcPr>
            <w:tcW w:w="1036" w:type="dxa"/>
            <w:noWrap w:val="0"/>
            <w:vAlign w:val="center"/>
          </w:tcPr>
          <w:p w14:paraId="12BD018A">
            <w:pPr>
              <w:spacing w:line="500" w:lineRule="exact"/>
              <w:jc w:val="center"/>
              <w:rPr>
                <w:rFonts w:eastAsia="仿宋"/>
                <w:highlight w:val="none"/>
              </w:rPr>
            </w:pPr>
            <w:r>
              <w:rPr>
                <w:rFonts w:eastAsia="仿宋"/>
                <w:highlight w:val="none"/>
              </w:rPr>
              <w:t>Z&lt;100</w:t>
            </w:r>
          </w:p>
        </w:tc>
      </w:tr>
      <w:tr w14:paraId="0AA0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30" w:type="dxa"/>
            <w:noWrap w:val="0"/>
            <w:vAlign w:val="center"/>
          </w:tcPr>
          <w:p w14:paraId="34E350C6">
            <w:pPr>
              <w:spacing w:line="500" w:lineRule="exact"/>
              <w:jc w:val="center"/>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671" w:type="dxa"/>
            <w:noWrap w:val="0"/>
            <w:vAlign w:val="center"/>
          </w:tcPr>
          <w:p w14:paraId="57418758">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noWrap w:val="0"/>
            <w:vAlign w:val="center"/>
          </w:tcPr>
          <w:p w14:paraId="04D9CBF4">
            <w:pPr>
              <w:spacing w:line="500" w:lineRule="exact"/>
              <w:jc w:val="center"/>
              <w:rPr>
                <w:rFonts w:ascii="仿宋" w:hAnsi="仿宋" w:eastAsia="仿宋"/>
                <w:highlight w:val="none"/>
              </w:rPr>
            </w:pPr>
            <w:r>
              <w:rPr>
                <w:rFonts w:ascii="仿宋" w:hAnsi="仿宋" w:eastAsia="仿宋"/>
                <w:highlight w:val="none"/>
              </w:rPr>
              <w:t>人</w:t>
            </w:r>
          </w:p>
        </w:tc>
        <w:tc>
          <w:tcPr>
            <w:tcW w:w="1830" w:type="dxa"/>
            <w:noWrap w:val="0"/>
            <w:vAlign w:val="center"/>
          </w:tcPr>
          <w:p w14:paraId="35D9A397">
            <w:pPr>
              <w:spacing w:line="500" w:lineRule="exact"/>
              <w:jc w:val="center"/>
              <w:rPr>
                <w:rFonts w:eastAsia="仿宋"/>
                <w:highlight w:val="none"/>
              </w:rPr>
            </w:pPr>
            <w:r>
              <w:rPr>
                <w:rFonts w:eastAsia="仿宋"/>
                <w:highlight w:val="none"/>
              </w:rPr>
              <w:t>100≤X&lt;300</w:t>
            </w:r>
          </w:p>
        </w:tc>
        <w:tc>
          <w:tcPr>
            <w:tcW w:w="1572" w:type="dxa"/>
            <w:noWrap w:val="0"/>
            <w:vAlign w:val="center"/>
          </w:tcPr>
          <w:p w14:paraId="422E334C">
            <w:pPr>
              <w:spacing w:line="500" w:lineRule="exact"/>
              <w:jc w:val="center"/>
              <w:rPr>
                <w:rFonts w:eastAsia="仿宋"/>
                <w:highlight w:val="none"/>
              </w:rPr>
            </w:pPr>
            <w:r>
              <w:rPr>
                <w:rFonts w:eastAsia="仿宋"/>
                <w:highlight w:val="none"/>
              </w:rPr>
              <w:t>10≤X&lt;100</w:t>
            </w:r>
          </w:p>
        </w:tc>
        <w:tc>
          <w:tcPr>
            <w:tcW w:w="1036" w:type="dxa"/>
            <w:noWrap w:val="0"/>
            <w:vAlign w:val="center"/>
          </w:tcPr>
          <w:p w14:paraId="70902E69">
            <w:pPr>
              <w:spacing w:line="500" w:lineRule="exact"/>
              <w:jc w:val="center"/>
              <w:rPr>
                <w:rFonts w:eastAsia="仿宋"/>
                <w:highlight w:val="none"/>
              </w:rPr>
            </w:pPr>
            <w:r>
              <w:rPr>
                <w:rFonts w:eastAsia="仿宋"/>
                <w:highlight w:val="none"/>
              </w:rPr>
              <w:t>X&lt;10</w:t>
            </w:r>
          </w:p>
        </w:tc>
      </w:tr>
    </w:tbl>
    <w:p w14:paraId="7E9CEB41">
      <w:pPr>
        <w:spacing w:line="500" w:lineRule="exact"/>
        <w:ind w:firstLine="420"/>
        <w:rPr>
          <w:rFonts w:ascii="仿宋" w:hAnsi="仿宋" w:eastAsia="仿宋"/>
          <w:sz w:val="28"/>
          <w:szCs w:val="28"/>
          <w:highlight w:val="none"/>
        </w:rPr>
      </w:pPr>
      <w:r>
        <w:rPr>
          <w:rFonts w:hint="eastAsia" w:ascii="仿宋" w:hAnsi="仿宋" w:eastAsia="仿宋"/>
          <w:highlight w:val="none"/>
        </w:rPr>
        <w:t>说明：大型、中型和小型企业须同时满足所列指标的下限，否则下划一档；微型企业只须满足所列指标中的一项即可。</w:t>
      </w:r>
    </w:p>
    <w:p w14:paraId="02C81180">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残疾人福利单位价格扣除</w:t>
      </w:r>
    </w:p>
    <w:p w14:paraId="14675AFB">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ascii="仿宋" w:hAnsi="仿宋" w:eastAsia="仿宋"/>
          <w:sz w:val="28"/>
          <w:szCs w:val="28"/>
          <w:highlight w:val="none"/>
        </w:rPr>
        <w:t>受政府采购支持政策的残疾人福利性单位应当同时满足以下条件：</w:t>
      </w:r>
    </w:p>
    <w:p w14:paraId="5B04ACB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①</w:t>
      </w:r>
      <w:r>
        <w:rPr>
          <w:rFonts w:ascii="仿宋" w:hAnsi="仿宋" w:eastAsia="仿宋"/>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41ABF03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②</w:t>
      </w:r>
      <w:r>
        <w:rPr>
          <w:rFonts w:hint="eastAsia" w:ascii="仿宋" w:hAnsi="仿宋" w:eastAsia="仿宋"/>
          <w:sz w:val="28"/>
          <w:szCs w:val="28"/>
          <w:highlight w:val="none"/>
        </w:rPr>
        <w:t xml:space="preserve"> </w:t>
      </w:r>
      <w:r>
        <w:rPr>
          <w:rFonts w:ascii="仿宋" w:hAnsi="仿宋" w:eastAsia="仿宋"/>
          <w:sz w:val="28"/>
          <w:szCs w:val="28"/>
          <w:highlight w:val="none"/>
        </w:rPr>
        <w:t>依法与安置的每位残疾人签订了一年以上（含一年）的劳动合同或服务协议；</w:t>
      </w:r>
    </w:p>
    <w:p w14:paraId="3C269DD3">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③</w:t>
      </w:r>
      <w:r>
        <w:rPr>
          <w:rFonts w:hint="eastAsia" w:ascii="仿宋" w:hAnsi="仿宋" w:eastAsia="仿宋"/>
          <w:sz w:val="28"/>
          <w:szCs w:val="28"/>
          <w:highlight w:val="none"/>
        </w:rPr>
        <w:t xml:space="preserve"> </w:t>
      </w:r>
      <w:r>
        <w:rPr>
          <w:rFonts w:ascii="仿宋" w:hAnsi="仿宋" w:eastAsia="仿宋"/>
          <w:sz w:val="28"/>
          <w:szCs w:val="28"/>
          <w:highlight w:val="none"/>
        </w:rPr>
        <w:t>为安置的每位残疾人按月足额缴纳了基本养老保险、基本医疗保险、失业保险、工伤保险和生育保险等社会保险费；</w:t>
      </w:r>
    </w:p>
    <w:p w14:paraId="24132050">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④</w:t>
      </w:r>
      <w:r>
        <w:rPr>
          <w:rFonts w:hint="eastAsia" w:ascii="仿宋" w:hAnsi="仿宋" w:eastAsia="仿宋"/>
          <w:sz w:val="28"/>
          <w:szCs w:val="28"/>
          <w:highlight w:val="none"/>
        </w:rPr>
        <w:t xml:space="preserve"> </w:t>
      </w:r>
      <w:r>
        <w:rPr>
          <w:rFonts w:ascii="仿宋" w:hAnsi="仿宋" w:eastAsia="仿宋"/>
          <w:sz w:val="28"/>
          <w:szCs w:val="28"/>
          <w:highlight w:val="none"/>
        </w:rPr>
        <w:t>通过银行等金融机构向安置的每位残疾人，按月支付了不低于单位所在区县适用的经省级人民政府批准的月最低工资标准的工资；</w:t>
      </w:r>
    </w:p>
    <w:p w14:paraId="3EB9C8E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⑤</w:t>
      </w:r>
      <w:r>
        <w:rPr>
          <w:rFonts w:hint="eastAsia" w:ascii="仿宋" w:hAnsi="仿宋" w:eastAsia="仿宋"/>
          <w:sz w:val="28"/>
          <w:szCs w:val="28"/>
          <w:highlight w:val="none"/>
        </w:rPr>
        <w:t xml:space="preserve"> </w:t>
      </w:r>
      <w:r>
        <w:rPr>
          <w:rFonts w:ascii="仿宋" w:hAnsi="仿宋" w:eastAsia="仿宋"/>
          <w:sz w:val="28"/>
          <w:szCs w:val="28"/>
          <w:highlight w:val="none"/>
        </w:rPr>
        <w:t>提供本单位制造的货物、承担的工程或者服务（以下简称产品），或者提供其他残疾人福利性单位制造的货物（不包括使用非残疾人福利性单位注册商标的货物）。</w:t>
      </w:r>
    </w:p>
    <w:p w14:paraId="45AD7CA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ascii="仿宋" w:hAnsi="仿宋" w:eastAsia="仿宋"/>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5EDEB6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残疾人福利单位需按照采购文件的要求提供《残疾人福利性单位声明函》，否则不予享受。</w:t>
      </w:r>
    </w:p>
    <w:p w14:paraId="1C9100B2">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残疾人福利单位属于小型、微型企业的，不重复享受政策。</w:t>
      </w:r>
    </w:p>
    <w:p w14:paraId="07DABCDD">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监狱和戒毒企业价格扣除</w:t>
      </w:r>
    </w:p>
    <w:p w14:paraId="1612D9C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61BEE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监狱企业参加政府采购活动时，应当提供由省级以上监狱管理局、戒毒管理局(含新疆生产建设兵团)出具的属于监狱企业的证明文件。</w:t>
      </w:r>
    </w:p>
    <w:p w14:paraId="181C509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在政府采购活动中，监狱企业视同小型、微型企业，享受预留份额、评审中价格扣除等政府采购促进中小企业发展的政府采购政策。</w:t>
      </w:r>
    </w:p>
    <w:p w14:paraId="26490956">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监狱企业属于小型、微型企业的，不重复享受政策。</w:t>
      </w:r>
    </w:p>
    <w:p w14:paraId="20E4191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根据《财政部、发展改革委关于印发节能产品政府采购品目清单的通知》（</w:t>
      </w:r>
      <w:r>
        <w:rPr>
          <w:rFonts w:hint="eastAsia" w:ascii="仿宋" w:hAnsi="仿宋" w:eastAsia="仿宋" w:cs="宋体"/>
          <w:color w:val="000000"/>
          <w:sz w:val="26"/>
          <w:szCs w:val="26"/>
          <w:highlight w:val="none"/>
        </w:rPr>
        <w:t>财库〔2019〕19号</w:t>
      </w:r>
      <w:r>
        <w:rPr>
          <w:rFonts w:hint="eastAsia" w:ascii="仿宋" w:hAnsi="仿宋" w:eastAsia="仿宋"/>
          <w:sz w:val="28"/>
          <w:szCs w:val="28"/>
          <w:highlight w:val="none"/>
        </w:rPr>
        <w:t>）要求，下列产品实行强制采购或者优先采购：</w:t>
      </w:r>
    </w:p>
    <w:p w14:paraId="623C301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49E712D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21CCDCC8">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内的</w:t>
      </w:r>
      <w:r>
        <w:rPr>
          <w:rFonts w:hint="eastAsia" w:ascii="仿宋" w:hAnsi="仿宋" w:eastAsia="仿宋"/>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53565360">
      <w:pPr>
        <w:spacing w:line="50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 xml:space="preserve"> 根据《江苏省政府采购供应商监督管理暂行办法》的规定，诚信记录分每减10分，给予本项目总分值2%的扣分，扣分最多不超过本项目总分值6%。</w:t>
      </w:r>
    </w:p>
    <w:p w14:paraId="6BDC9087">
      <w:pPr>
        <w:spacing w:line="50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 xml:space="preserve"> 询问、质疑和投诉</w:t>
      </w:r>
    </w:p>
    <w:p w14:paraId="7761C254">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 供应商对政府采购活动事项有疑问的，可以向采购人或者采购代理机构提出询问，采购人或者采购代理机构应当在3个工作日内作出答复。</w:t>
      </w:r>
    </w:p>
    <w:p w14:paraId="55AC45B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供应商认为采购文件、采购过程、中标或者成交结果使自己的权益受到损害的，可以在知道或者应知其权益受到损害之日起7个工作日内，以书面形式向采购人、采购代理机构提出质疑。</w:t>
      </w:r>
    </w:p>
    <w:p w14:paraId="7F351E8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rPr>
        <w:t>上述应知其权益受到损害之日，是指：</w:t>
      </w:r>
      <w:r>
        <w:rPr>
          <w:rFonts w:ascii="仿宋" w:hAnsi="仿宋" w:eastAsia="仿宋"/>
          <w:sz w:val="28"/>
          <w:szCs w:val="28"/>
          <w:highlight w:val="none"/>
        </w:rPr>
        <w:t>对可以质疑的</w:t>
      </w:r>
      <w:r>
        <w:rPr>
          <w:rFonts w:hint="eastAsia" w:ascii="仿宋" w:hAnsi="仿宋" w:eastAsia="仿宋"/>
          <w:sz w:val="28"/>
          <w:szCs w:val="28"/>
          <w:highlight w:val="none"/>
        </w:rPr>
        <w:t>招标</w:t>
      </w:r>
      <w:r>
        <w:rPr>
          <w:rFonts w:ascii="仿宋" w:hAnsi="仿宋" w:eastAsia="仿宋"/>
          <w:sz w:val="28"/>
          <w:szCs w:val="28"/>
          <w:highlight w:val="none"/>
        </w:rPr>
        <w:t>文件提出质疑的，为收到</w:t>
      </w:r>
      <w:r>
        <w:rPr>
          <w:rFonts w:hint="eastAsia" w:ascii="仿宋" w:hAnsi="仿宋" w:eastAsia="仿宋"/>
          <w:sz w:val="28"/>
          <w:szCs w:val="28"/>
          <w:highlight w:val="none"/>
        </w:rPr>
        <w:t>招标</w:t>
      </w:r>
      <w:r>
        <w:rPr>
          <w:rFonts w:ascii="仿宋" w:hAnsi="仿宋" w:eastAsia="仿宋"/>
          <w:sz w:val="28"/>
          <w:szCs w:val="28"/>
          <w:highlight w:val="none"/>
        </w:rPr>
        <w:t>文件之日或者</w:t>
      </w:r>
      <w:r>
        <w:rPr>
          <w:rFonts w:hint="eastAsia" w:ascii="仿宋" w:hAnsi="仿宋" w:eastAsia="仿宋"/>
          <w:sz w:val="28"/>
          <w:szCs w:val="28"/>
          <w:highlight w:val="none"/>
        </w:rPr>
        <w:t>招标</w:t>
      </w:r>
      <w:r>
        <w:rPr>
          <w:rFonts w:ascii="仿宋" w:hAnsi="仿宋" w:eastAsia="仿宋"/>
          <w:sz w:val="28"/>
          <w:szCs w:val="28"/>
          <w:highlight w:val="none"/>
        </w:rPr>
        <w:t>文件公告期限届满之日；对采购过程提出质疑的，为各采购程序环节结束之日；对成交结果提出质疑的，为成交结果公告期限届满之日。</w:t>
      </w:r>
    </w:p>
    <w:p w14:paraId="4AFCE6A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 xml:space="preserve">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项目设立、项目预算、采购方式、组织形式、进口产品核准、采购需求调查过程、专门面向中小企业采购、合同履约等不属于可质疑事项。</w:t>
      </w:r>
    </w:p>
    <w:p w14:paraId="670A8824">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 xml:space="preserve"> 供应商提出质疑应当提交质疑函和必要的证明材料，质疑函内容详见第9条质疑函范本。供应商为自然人的，应当由本人签字；供应商为法人或者其他组织的，应当由法定代表人、主要负责人，或者其授权代表签字或者盖章，并加盖公章。</w:t>
      </w:r>
    </w:p>
    <w:p w14:paraId="32E5548B">
      <w:pPr>
        <w:spacing w:line="500" w:lineRule="exact"/>
        <w:ind w:firstLine="560"/>
        <w:rPr>
          <w:rFonts w:ascii="仿宋" w:hAnsi="仿宋" w:eastAsia="仿宋"/>
          <w:b/>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 xml:space="preserve"> </w:t>
      </w:r>
      <w:r>
        <w:rPr>
          <w:rFonts w:hint="eastAsia" w:ascii="仿宋" w:hAnsi="仿宋" w:eastAsia="仿宋"/>
          <w:b/>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6455CDED">
      <w:pPr>
        <w:spacing w:line="500" w:lineRule="exact"/>
        <w:ind w:firstLine="560"/>
        <w:rPr>
          <w:rFonts w:ascii="仿宋" w:hAnsi="仿宋" w:eastAsia="仿宋"/>
          <w:b/>
          <w:sz w:val="28"/>
          <w:szCs w:val="28"/>
          <w:highlight w:val="none"/>
        </w:rPr>
      </w:pP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 xml:space="preserve"> </w:t>
      </w:r>
      <w:r>
        <w:rPr>
          <w:rFonts w:hint="eastAsia" w:ascii="仿宋" w:hAnsi="仿宋" w:eastAsia="仿宋"/>
          <w:b/>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，见招标文件第</w:t>
      </w:r>
      <w:r>
        <w:rPr>
          <w:rFonts w:hint="eastAsia" w:ascii="仿宋" w:hAnsi="仿宋" w:eastAsia="仿宋"/>
          <w:b/>
          <w:sz w:val="28"/>
          <w:szCs w:val="28"/>
          <w:highlight w:val="none"/>
          <w:lang w:val="en-US" w:eastAsia="zh-CN"/>
        </w:rPr>
        <w:t>一</w:t>
      </w:r>
      <w:r>
        <w:rPr>
          <w:rFonts w:hint="eastAsia" w:ascii="仿宋" w:hAnsi="仿宋" w:eastAsia="仿宋"/>
          <w:b/>
          <w:sz w:val="28"/>
          <w:szCs w:val="28"/>
          <w:highlight w:val="none"/>
        </w:rPr>
        <w:t>章</w:t>
      </w:r>
      <w:r>
        <w:rPr>
          <w:rFonts w:ascii="仿宋" w:hAnsi="仿宋" w:eastAsia="仿宋"/>
          <w:b/>
          <w:sz w:val="28"/>
          <w:szCs w:val="28"/>
          <w:highlight w:val="none"/>
        </w:rPr>
        <w:t>。</w:t>
      </w:r>
    </w:p>
    <w:p w14:paraId="733B0277">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 xml:space="preserve"> </w:t>
      </w:r>
      <w:r>
        <w:rPr>
          <w:rFonts w:ascii="仿宋" w:hAnsi="仿宋" w:eastAsia="仿宋"/>
          <w:sz w:val="28"/>
          <w:szCs w:val="28"/>
          <w:highlight w:val="none"/>
        </w:rPr>
        <w:t>以下情形的质疑不予受理：</w:t>
      </w:r>
    </w:p>
    <w:p w14:paraId="134C5D49">
      <w:pPr>
        <w:keepNext w:val="0"/>
        <w:keepLines w:val="0"/>
        <w:pageBreakBefore w:val="0"/>
        <w:widowControl w:val="0"/>
        <w:numPr>
          <w:ilvl w:val="0"/>
          <w:numId w:val="1"/>
        </w:numPr>
        <w:spacing w:line="500" w:lineRule="exact"/>
        <w:ind w:left="0" w:firstLine="560"/>
        <w:rPr>
          <w:rFonts w:ascii="仿宋" w:hAnsi="仿宋" w:eastAsia="仿宋"/>
          <w:sz w:val="28"/>
          <w:szCs w:val="28"/>
          <w:highlight w:val="none"/>
        </w:rPr>
      </w:pPr>
      <w:r>
        <w:rPr>
          <w:rFonts w:ascii="仿宋" w:hAnsi="仿宋" w:eastAsia="仿宋"/>
          <w:sz w:val="28"/>
          <w:szCs w:val="28"/>
          <w:highlight w:val="none"/>
        </w:rPr>
        <w:t>内容不符合《政府采购质疑和投诉办法》第十二条规定的质疑。</w:t>
      </w:r>
    </w:p>
    <w:p w14:paraId="3FE01C06">
      <w:pPr>
        <w:keepNext w:val="0"/>
        <w:keepLines w:val="0"/>
        <w:pageBreakBefore w:val="0"/>
        <w:widowControl w:val="0"/>
        <w:numPr>
          <w:ilvl w:val="0"/>
          <w:numId w:val="1"/>
        </w:numPr>
        <w:spacing w:line="500" w:lineRule="exact"/>
        <w:ind w:left="0" w:firstLine="560"/>
        <w:rPr>
          <w:rFonts w:ascii="仿宋" w:hAnsi="仿宋" w:eastAsia="仿宋"/>
          <w:sz w:val="28"/>
          <w:szCs w:val="28"/>
          <w:highlight w:val="none"/>
        </w:rPr>
      </w:pPr>
      <w:r>
        <w:rPr>
          <w:rFonts w:ascii="仿宋" w:hAnsi="仿宋" w:eastAsia="仿宋"/>
          <w:sz w:val="28"/>
          <w:szCs w:val="28"/>
          <w:highlight w:val="none"/>
        </w:rPr>
        <w:t>超出政府采购法定期限的质疑。</w:t>
      </w:r>
    </w:p>
    <w:p w14:paraId="144CD74F">
      <w:pPr>
        <w:keepNext w:val="0"/>
        <w:keepLines w:val="0"/>
        <w:pageBreakBefore w:val="0"/>
        <w:widowControl w:val="0"/>
        <w:numPr>
          <w:ilvl w:val="0"/>
          <w:numId w:val="1"/>
        </w:numPr>
        <w:spacing w:line="500" w:lineRule="exact"/>
        <w:ind w:left="0" w:firstLine="560"/>
        <w:rPr>
          <w:rFonts w:ascii="仿宋" w:hAnsi="仿宋" w:eastAsia="仿宋"/>
          <w:sz w:val="28"/>
          <w:szCs w:val="28"/>
          <w:highlight w:val="none"/>
        </w:rPr>
      </w:pPr>
      <w:r>
        <w:rPr>
          <w:rFonts w:ascii="仿宋" w:hAnsi="仿宋" w:eastAsia="仿宋"/>
          <w:sz w:val="28"/>
          <w:szCs w:val="28"/>
          <w:highlight w:val="none"/>
        </w:rPr>
        <w:t>未参加招标活动的供应商或在招标活动中自身权益未受到损害的供应商所提出的质疑。</w:t>
      </w:r>
    </w:p>
    <w:p w14:paraId="087F9061">
      <w:pPr>
        <w:keepNext w:val="0"/>
        <w:keepLines w:val="0"/>
        <w:pageBreakBefore w:val="0"/>
        <w:widowControl w:val="0"/>
        <w:numPr>
          <w:ilvl w:val="0"/>
          <w:numId w:val="1"/>
        </w:numPr>
        <w:spacing w:line="500" w:lineRule="exact"/>
        <w:ind w:left="0" w:firstLine="560"/>
        <w:rPr>
          <w:rFonts w:ascii="仿宋" w:hAnsi="仿宋" w:eastAsia="仿宋"/>
          <w:sz w:val="28"/>
          <w:szCs w:val="28"/>
          <w:highlight w:val="none"/>
        </w:rPr>
      </w:pPr>
      <w:r>
        <w:rPr>
          <w:rFonts w:ascii="仿宋" w:hAnsi="仿宋" w:eastAsia="仿宋"/>
          <w:sz w:val="28"/>
          <w:szCs w:val="28"/>
          <w:highlight w:val="none"/>
        </w:rPr>
        <w:t>供应商组成联合体参加招标活动，联合体中任何一方或多方未按要求签字、盖章、加盖公章的质疑。</w:t>
      </w:r>
    </w:p>
    <w:p w14:paraId="397515E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8.</w:t>
      </w:r>
      <w:r>
        <w:rPr>
          <w:rFonts w:ascii="仿宋" w:hAnsi="仿宋" w:eastAsia="仿宋"/>
          <w:sz w:val="28"/>
          <w:szCs w:val="28"/>
          <w:highlight w:val="none"/>
        </w:rPr>
        <w:t>供应商提出书面质疑必须有理、有据，不得捏造事实、提供虚假材料进行恶意质疑。否则，一经查实，</w:t>
      </w:r>
      <w:r>
        <w:rPr>
          <w:rFonts w:hint="eastAsia" w:ascii="仿宋" w:hAnsi="仿宋" w:eastAsia="仿宋"/>
          <w:sz w:val="28"/>
          <w:szCs w:val="28"/>
          <w:highlight w:val="none"/>
        </w:rPr>
        <w:t>采购代理机构</w:t>
      </w:r>
      <w:r>
        <w:rPr>
          <w:rFonts w:ascii="仿宋" w:hAnsi="仿宋" w:eastAsia="仿宋"/>
          <w:sz w:val="28"/>
          <w:szCs w:val="28"/>
          <w:highlight w:val="none"/>
        </w:rPr>
        <w:t>有权依据政府采购的有关规定，报请政府采购监管部门对该供应商进行相应的行政处罚和记录该供应商的失信信息。</w:t>
      </w:r>
    </w:p>
    <w:p w14:paraId="68ADF12A">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 xml:space="preserve"> 质疑函范本</w:t>
      </w:r>
    </w:p>
    <w:p w14:paraId="1C706577">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质疑函</w:t>
      </w:r>
    </w:p>
    <w:p w14:paraId="6DB3CB0D">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一、质疑供应商基本信息</w:t>
      </w:r>
    </w:p>
    <w:p w14:paraId="425974D2">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质疑供应商：</w:t>
      </w:r>
    </w:p>
    <w:p w14:paraId="2ECC6C5E">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57857C49">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联系人：联系电话：</w:t>
      </w:r>
    </w:p>
    <w:p w14:paraId="6EA83DD2">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授权代表：联系电话：</w:t>
      </w:r>
    </w:p>
    <w:p w14:paraId="48C45630">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0883F1B9">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二、质疑项目基本情况</w:t>
      </w:r>
    </w:p>
    <w:p w14:paraId="4036E51E">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质疑项目的名称：</w:t>
      </w:r>
    </w:p>
    <w:p w14:paraId="2D5199B3">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质疑项目的编号：包号：</w:t>
      </w:r>
    </w:p>
    <w:p w14:paraId="0FFDE9CC">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采购人名称：</w:t>
      </w:r>
    </w:p>
    <w:p w14:paraId="13E975BD">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采购文件获取日期：</w:t>
      </w:r>
    </w:p>
    <w:p w14:paraId="587FECB3">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三、质疑事项具体内容</w:t>
      </w:r>
    </w:p>
    <w:p w14:paraId="53B27135">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质疑事项1：</w:t>
      </w:r>
    </w:p>
    <w:p w14:paraId="3B3BCE4A">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事实依据：</w:t>
      </w:r>
    </w:p>
    <w:p w14:paraId="757B79C9">
      <w:pPr>
        <w:spacing w:line="360" w:lineRule="auto"/>
        <w:rPr>
          <w:rFonts w:ascii="仿宋" w:hAnsi="仿宋" w:eastAsia="仿宋" w:cs="仿宋"/>
          <w:sz w:val="28"/>
          <w:szCs w:val="28"/>
          <w:highlight w:val="none"/>
        </w:rPr>
      </w:pPr>
    </w:p>
    <w:p w14:paraId="2ECA1C2D">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法律依据：</w:t>
      </w:r>
    </w:p>
    <w:p w14:paraId="7DF32602">
      <w:pPr>
        <w:spacing w:line="360" w:lineRule="auto"/>
        <w:rPr>
          <w:rFonts w:ascii="仿宋" w:hAnsi="仿宋" w:eastAsia="仿宋" w:cs="仿宋"/>
          <w:sz w:val="28"/>
          <w:szCs w:val="28"/>
          <w:highlight w:val="none"/>
          <w:u w:val="single"/>
        </w:rPr>
      </w:pPr>
    </w:p>
    <w:p w14:paraId="4EC23953">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质疑事项2</w:t>
      </w:r>
    </w:p>
    <w:p w14:paraId="7754914C">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w:t>
      </w:r>
    </w:p>
    <w:p w14:paraId="7B2F614D">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四、与质疑事项相关的质疑请求</w:t>
      </w:r>
    </w:p>
    <w:p w14:paraId="06CA73C5">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请求：</w:t>
      </w:r>
    </w:p>
    <w:p w14:paraId="18BD061E">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6A7F5BDA">
      <w:pPr>
        <w:spacing w:line="500" w:lineRule="exact"/>
        <w:ind w:right="560" w:firstLine="560"/>
        <w:rPr>
          <w:rFonts w:ascii="仿宋" w:hAnsi="仿宋" w:eastAsia="仿宋"/>
          <w:sz w:val="28"/>
          <w:szCs w:val="28"/>
          <w:highlight w:val="none"/>
        </w:rPr>
      </w:pPr>
      <w:r>
        <w:rPr>
          <w:rFonts w:hint="eastAsia" w:ascii="仿宋_GB2312" w:eastAsia="仿宋_GB2312"/>
          <w:sz w:val="28"/>
          <w:szCs w:val="28"/>
          <w:highlight w:val="none"/>
        </w:rPr>
        <w:t>日期：</w:t>
      </w:r>
    </w:p>
    <w:p w14:paraId="3536EA2F">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质疑供应商对采购人、采购代理机构的答复不满意，或者采购人、采购代理机构未在规定时间内作出答复的，可以在答复期满后15个工作日内向财政部门提起投诉。</w:t>
      </w:r>
    </w:p>
    <w:p w14:paraId="7F3B9020">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 xml:space="preserve"> 投诉人投诉时,应当提交投诉书和必要的证明材料，并按照被投诉采购人、采购代理机构（以下简称被投诉人）和与投诉事项有关的供应商数量提供投诉书的副本。</w:t>
      </w:r>
    </w:p>
    <w:p w14:paraId="51AB71D9">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12.</w:t>
      </w:r>
      <w:r>
        <w:rPr>
          <w:rFonts w:ascii="仿宋" w:hAnsi="仿宋" w:eastAsia="仿宋"/>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投诉人为自然人的，应当由本人签字；投诉人为法人或者其他组织的，应当由法定代表人、主要负责人，或者其授权代表签字或者盖章，并加盖公章。投诉书内容详见第14条投诉书范本。</w:t>
      </w:r>
    </w:p>
    <w:p w14:paraId="1AE3F94E">
      <w:pPr>
        <w:spacing w:line="500" w:lineRule="exact"/>
        <w:ind w:firstLine="560"/>
        <w:jc w:val="left"/>
        <w:rPr>
          <w:rFonts w:ascii="仿宋" w:hAnsi="仿宋" w:eastAsia="仿宋"/>
          <w:sz w:val="28"/>
          <w:szCs w:val="28"/>
          <w:highlight w:val="none"/>
        </w:rPr>
      </w:pPr>
      <w:r>
        <w:rPr>
          <w:rFonts w:hint="eastAsia" w:ascii="仿宋" w:hAnsi="仿宋" w:eastAsia="仿宋"/>
          <w:sz w:val="28"/>
          <w:szCs w:val="28"/>
          <w:highlight w:val="none"/>
          <w:lang w:val="en-US" w:eastAsia="zh-CN"/>
        </w:rPr>
        <w:t>13.</w:t>
      </w:r>
      <w:r>
        <w:rPr>
          <w:rFonts w:hint="eastAsia" w:ascii="仿宋" w:hAnsi="仿宋" w:eastAsia="仿宋"/>
          <w:sz w:val="28"/>
          <w:szCs w:val="28"/>
          <w:highlight w:val="none"/>
        </w:rPr>
        <w:t xml:space="preserve"> 投诉人应当将投诉书送达如皋市财政局政府采购管理科（</w:t>
      </w:r>
      <w:r>
        <w:rPr>
          <w:rFonts w:ascii="仿宋" w:hAnsi="仿宋" w:eastAsia="仿宋"/>
          <w:sz w:val="28"/>
          <w:szCs w:val="28"/>
          <w:highlight w:val="none"/>
        </w:rPr>
        <w:t>如皋市解放路199号，行政中心</w:t>
      </w:r>
      <w:r>
        <w:rPr>
          <w:rFonts w:hint="eastAsia" w:ascii="仿宋" w:hAnsi="仿宋" w:eastAsia="仿宋"/>
          <w:sz w:val="28"/>
          <w:szCs w:val="28"/>
          <w:highlight w:val="none"/>
        </w:rPr>
        <w:t>A座</w:t>
      </w:r>
      <w:r>
        <w:rPr>
          <w:rFonts w:hint="eastAsia" w:ascii="仿宋" w:hAnsi="仿宋" w:eastAsia="仿宋"/>
          <w:sz w:val="28"/>
          <w:szCs w:val="28"/>
          <w:highlight w:val="none"/>
          <w:lang w:val="en-US" w:eastAsia="zh-CN"/>
        </w:rPr>
        <w:t>710</w:t>
      </w:r>
      <w:r>
        <w:rPr>
          <w:rFonts w:hint="eastAsia" w:ascii="仿宋" w:hAnsi="仿宋" w:eastAsia="仿宋"/>
          <w:sz w:val="28"/>
          <w:szCs w:val="28"/>
          <w:highlight w:val="none"/>
        </w:rPr>
        <w:t>室，联系电话0513-87623860）。</w:t>
      </w:r>
    </w:p>
    <w:p w14:paraId="176A28E5">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 xml:space="preserve"> 投诉书范本</w:t>
      </w:r>
    </w:p>
    <w:p w14:paraId="7A33B115">
      <w:pPr>
        <w:jc w:val="center"/>
        <w:rPr>
          <w:rFonts w:ascii="宋体" w:hAnsi="宋体"/>
          <w:b/>
          <w:sz w:val="32"/>
          <w:szCs w:val="32"/>
          <w:highlight w:val="none"/>
        </w:rPr>
      </w:pPr>
      <w:r>
        <w:rPr>
          <w:rFonts w:hint="eastAsia" w:ascii="宋体" w:hAnsi="宋体"/>
          <w:b/>
          <w:sz w:val="32"/>
          <w:szCs w:val="32"/>
          <w:highlight w:val="none"/>
        </w:rPr>
        <w:t>投诉书</w:t>
      </w:r>
    </w:p>
    <w:p w14:paraId="17EB7416">
      <w:pPr>
        <w:rPr>
          <w:rFonts w:ascii="黑体" w:hAnsi="黑体" w:eastAsia="黑体"/>
          <w:sz w:val="28"/>
          <w:szCs w:val="28"/>
          <w:highlight w:val="none"/>
        </w:rPr>
      </w:pPr>
      <w:r>
        <w:rPr>
          <w:rFonts w:hint="eastAsia" w:ascii="黑体" w:hAnsi="黑体" w:eastAsia="黑体"/>
          <w:sz w:val="28"/>
          <w:szCs w:val="28"/>
          <w:highlight w:val="none"/>
        </w:rPr>
        <w:t>一、投诉相关主体基本情况</w:t>
      </w:r>
    </w:p>
    <w:p w14:paraId="4E590378">
      <w:pPr>
        <w:rPr>
          <w:rFonts w:ascii="仿宋_GB2312" w:eastAsia="仿宋_GB2312"/>
          <w:sz w:val="28"/>
          <w:szCs w:val="28"/>
          <w:highlight w:val="none"/>
          <w:u w:val="single"/>
        </w:rPr>
      </w:pPr>
      <w:r>
        <w:rPr>
          <w:rFonts w:hint="eastAsia" w:ascii="仿宋_GB2312" w:eastAsia="仿宋_GB2312"/>
          <w:sz w:val="28"/>
          <w:szCs w:val="28"/>
          <w:highlight w:val="none"/>
        </w:rPr>
        <w:t>投诉人：</w:t>
      </w:r>
    </w:p>
    <w:p w14:paraId="4D63D475">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605BDAC5">
      <w:pPr>
        <w:tabs>
          <w:tab w:val="left" w:pos="6510"/>
        </w:tabs>
        <w:jc w:val="left"/>
        <w:rPr>
          <w:rFonts w:ascii="仿宋_GB2312" w:eastAsia="仿宋_GB2312"/>
          <w:sz w:val="28"/>
          <w:szCs w:val="28"/>
          <w:highlight w:val="none"/>
        </w:rPr>
      </w:pPr>
      <w:r>
        <w:rPr>
          <w:rFonts w:hint="eastAsia" w:ascii="仿宋_GB2312" w:eastAsia="仿宋_GB2312"/>
          <w:sz w:val="28"/>
          <w:szCs w:val="28"/>
          <w:highlight w:val="none"/>
        </w:rPr>
        <w:t>法定代表人/主要负责人：联系电话：</w:t>
      </w:r>
    </w:p>
    <w:p w14:paraId="07BF5673">
      <w:pPr>
        <w:rPr>
          <w:rFonts w:ascii="仿宋_GB2312" w:eastAsia="仿宋_GB2312"/>
          <w:sz w:val="28"/>
          <w:szCs w:val="28"/>
          <w:highlight w:val="none"/>
          <w:u w:val="single"/>
        </w:rPr>
      </w:pPr>
      <w:r>
        <w:rPr>
          <w:rFonts w:hint="eastAsia" w:ascii="仿宋_GB2312" w:eastAsia="仿宋_GB2312"/>
          <w:sz w:val="28"/>
          <w:szCs w:val="28"/>
          <w:highlight w:val="none"/>
        </w:rPr>
        <w:t>授权代表：联系电话：</w:t>
      </w:r>
    </w:p>
    <w:p w14:paraId="3475475A">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5ED87FA7">
      <w:pPr>
        <w:rPr>
          <w:rFonts w:ascii="仿宋_GB2312" w:eastAsia="仿宋_GB2312"/>
          <w:sz w:val="28"/>
          <w:szCs w:val="28"/>
          <w:highlight w:val="none"/>
          <w:u w:val="single"/>
        </w:rPr>
      </w:pPr>
      <w:r>
        <w:rPr>
          <w:rFonts w:hint="eastAsia" w:ascii="仿宋_GB2312" w:eastAsia="仿宋_GB2312"/>
          <w:sz w:val="28"/>
          <w:szCs w:val="28"/>
          <w:highlight w:val="none"/>
        </w:rPr>
        <w:t>被投诉人1：</w:t>
      </w:r>
    </w:p>
    <w:p w14:paraId="1413347C">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649AF177">
      <w:pPr>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2916ABD0">
      <w:pPr>
        <w:rPr>
          <w:rFonts w:ascii="仿宋_GB2312" w:eastAsia="仿宋_GB2312"/>
          <w:sz w:val="28"/>
          <w:szCs w:val="28"/>
          <w:highlight w:val="none"/>
        </w:rPr>
      </w:pPr>
      <w:r>
        <w:rPr>
          <w:rFonts w:hint="eastAsia" w:ascii="仿宋_GB2312" w:eastAsia="仿宋_GB2312"/>
          <w:sz w:val="28"/>
          <w:szCs w:val="28"/>
          <w:highlight w:val="none"/>
        </w:rPr>
        <w:t>被投诉人2</w:t>
      </w:r>
    </w:p>
    <w:p w14:paraId="285F9F00">
      <w:pPr>
        <w:rPr>
          <w:rFonts w:ascii="仿宋_GB2312" w:eastAsia="仿宋_GB2312"/>
          <w:sz w:val="28"/>
          <w:szCs w:val="28"/>
          <w:highlight w:val="none"/>
          <w:u w:val="single"/>
        </w:rPr>
      </w:pPr>
      <w:r>
        <w:rPr>
          <w:rFonts w:hint="eastAsia" w:ascii="仿宋_GB2312" w:eastAsia="仿宋_GB2312"/>
          <w:sz w:val="28"/>
          <w:szCs w:val="28"/>
          <w:highlight w:val="none"/>
        </w:rPr>
        <w:t>……</w:t>
      </w:r>
    </w:p>
    <w:p w14:paraId="64528BA3">
      <w:pPr>
        <w:rPr>
          <w:rFonts w:ascii="仿宋_GB2312" w:eastAsia="仿宋_GB2312"/>
          <w:sz w:val="28"/>
          <w:szCs w:val="28"/>
          <w:highlight w:val="none"/>
          <w:u w:val="single"/>
        </w:rPr>
      </w:pPr>
      <w:r>
        <w:rPr>
          <w:rFonts w:hint="eastAsia" w:ascii="仿宋_GB2312" w:eastAsia="仿宋_GB2312"/>
          <w:sz w:val="28"/>
          <w:szCs w:val="28"/>
          <w:highlight w:val="none"/>
        </w:rPr>
        <w:t>相关供应商：</w:t>
      </w:r>
    </w:p>
    <w:p w14:paraId="63600FEC">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2E30E999">
      <w:pPr>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43EB1EDB">
      <w:pPr>
        <w:rPr>
          <w:rFonts w:ascii="黑体" w:hAnsi="黑体" w:eastAsia="黑体"/>
          <w:sz w:val="28"/>
          <w:szCs w:val="28"/>
          <w:highlight w:val="none"/>
        </w:rPr>
      </w:pPr>
      <w:r>
        <w:rPr>
          <w:rFonts w:hint="eastAsia" w:ascii="黑体" w:hAnsi="黑体" w:eastAsia="黑体"/>
          <w:sz w:val="28"/>
          <w:szCs w:val="28"/>
          <w:highlight w:val="none"/>
        </w:rPr>
        <w:t>二、投诉项目基本情况</w:t>
      </w:r>
    </w:p>
    <w:p w14:paraId="78ED0203">
      <w:pPr>
        <w:rPr>
          <w:rFonts w:ascii="仿宋_GB2312" w:eastAsia="仿宋_GB2312"/>
          <w:sz w:val="28"/>
          <w:szCs w:val="28"/>
          <w:highlight w:val="none"/>
          <w:u w:val="single"/>
        </w:rPr>
      </w:pPr>
      <w:r>
        <w:rPr>
          <w:rFonts w:hint="eastAsia" w:ascii="仿宋_GB2312" w:eastAsia="仿宋_GB2312"/>
          <w:sz w:val="28"/>
          <w:szCs w:val="28"/>
          <w:highlight w:val="none"/>
        </w:rPr>
        <w:t>采购项目名称：</w:t>
      </w:r>
    </w:p>
    <w:p w14:paraId="65DAD37F">
      <w:pPr>
        <w:rPr>
          <w:rFonts w:ascii="仿宋_GB2312" w:eastAsia="仿宋_GB2312"/>
          <w:sz w:val="28"/>
          <w:szCs w:val="28"/>
          <w:highlight w:val="none"/>
          <w:u w:val="single"/>
        </w:rPr>
      </w:pPr>
      <w:r>
        <w:rPr>
          <w:rFonts w:hint="eastAsia" w:ascii="仿宋_GB2312" w:eastAsia="仿宋_GB2312"/>
          <w:sz w:val="28"/>
          <w:szCs w:val="28"/>
          <w:highlight w:val="none"/>
        </w:rPr>
        <w:t>采购项目编号：包号：</w:t>
      </w:r>
    </w:p>
    <w:p w14:paraId="51011021">
      <w:pPr>
        <w:rPr>
          <w:rFonts w:ascii="仿宋_GB2312" w:eastAsia="仿宋_GB2312"/>
          <w:sz w:val="28"/>
          <w:szCs w:val="28"/>
          <w:highlight w:val="none"/>
        </w:rPr>
      </w:pPr>
      <w:r>
        <w:rPr>
          <w:rFonts w:hint="eastAsia" w:ascii="仿宋_GB2312" w:eastAsia="仿宋_GB2312"/>
          <w:sz w:val="28"/>
          <w:szCs w:val="28"/>
          <w:highlight w:val="none"/>
        </w:rPr>
        <w:t>采购人名称：</w:t>
      </w:r>
    </w:p>
    <w:p w14:paraId="40BAF021">
      <w:pPr>
        <w:rPr>
          <w:rFonts w:ascii="仿宋_GB2312" w:eastAsia="仿宋_GB2312"/>
          <w:sz w:val="28"/>
          <w:szCs w:val="28"/>
          <w:highlight w:val="none"/>
          <w:u w:val="single"/>
        </w:rPr>
      </w:pPr>
      <w:r>
        <w:rPr>
          <w:rFonts w:hint="eastAsia" w:ascii="仿宋_GB2312" w:eastAsia="仿宋_GB2312"/>
          <w:sz w:val="28"/>
          <w:szCs w:val="28"/>
          <w:highlight w:val="none"/>
        </w:rPr>
        <w:t>代理机构名称：</w:t>
      </w:r>
    </w:p>
    <w:p w14:paraId="14223FF8">
      <w:pPr>
        <w:rPr>
          <w:rFonts w:ascii="仿宋_GB2312" w:eastAsia="仿宋_GB2312"/>
          <w:sz w:val="28"/>
          <w:szCs w:val="28"/>
          <w:highlight w:val="none"/>
          <w:u w:val="single"/>
        </w:rPr>
      </w:pPr>
      <w:r>
        <w:rPr>
          <w:rFonts w:hint="eastAsia" w:ascii="仿宋_GB2312" w:eastAsia="仿宋_GB2312"/>
          <w:sz w:val="28"/>
          <w:szCs w:val="28"/>
          <w:highlight w:val="none"/>
        </w:rPr>
        <w:t>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5AA5956E">
      <w:pPr>
        <w:rPr>
          <w:rFonts w:ascii="仿宋_GB2312" w:eastAsia="仿宋_GB2312"/>
          <w:sz w:val="28"/>
          <w:szCs w:val="28"/>
          <w:highlight w:val="none"/>
          <w:u w:val="single"/>
        </w:rPr>
      </w:pPr>
      <w:r>
        <w:rPr>
          <w:rFonts w:hint="eastAsia" w:ascii="仿宋_GB2312" w:eastAsia="仿宋_GB2312"/>
          <w:sz w:val="28"/>
          <w:szCs w:val="28"/>
          <w:highlight w:val="none"/>
        </w:rPr>
        <w:t>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689396FA">
      <w:pPr>
        <w:rPr>
          <w:rFonts w:ascii="黑体" w:hAnsi="黑体" w:eastAsia="黑体"/>
          <w:sz w:val="28"/>
          <w:szCs w:val="28"/>
          <w:highlight w:val="none"/>
        </w:rPr>
      </w:pPr>
      <w:r>
        <w:rPr>
          <w:rFonts w:hint="eastAsia" w:ascii="黑体" w:hAnsi="黑体" w:eastAsia="黑体"/>
          <w:sz w:val="28"/>
          <w:szCs w:val="28"/>
          <w:highlight w:val="none"/>
        </w:rPr>
        <w:t>三、质疑基本情况</w:t>
      </w:r>
    </w:p>
    <w:p w14:paraId="325E9DC8">
      <w:pPr>
        <w:ind w:firstLine="560"/>
        <w:rPr>
          <w:rFonts w:ascii="仿宋_GB2312" w:eastAsia="仿宋_GB2312"/>
          <w:sz w:val="28"/>
          <w:szCs w:val="28"/>
          <w:highlight w:val="none"/>
          <w:u w:val="single"/>
        </w:rPr>
      </w:pPr>
      <w:r>
        <w:rPr>
          <w:rFonts w:hint="eastAsia" w:ascii="仿宋_GB2312" w:eastAsia="仿宋_GB2312"/>
          <w:sz w:val="28"/>
          <w:szCs w:val="28"/>
          <w:highlight w:val="none"/>
        </w:rPr>
        <w:t>投诉人于年月日,向提出质疑，质疑事项为：</w:t>
      </w:r>
    </w:p>
    <w:p w14:paraId="4095B424">
      <w:pPr>
        <w:rPr>
          <w:rFonts w:ascii="仿宋_GB2312" w:eastAsia="仿宋_GB2312"/>
          <w:sz w:val="28"/>
          <w:szCs w:val="28"/>
          <w:highlight w:val="none"/>
          <w:u w:val="single"/>
        </w:rPr>
      </w:pPr>
    </w:p>
    <w:p w14:paraId="64D58FA0">
      <w:pPr>
        <w:ind w:firstLine="420"/>
        <w:rPr>
          <w:rFonts w:ascii="仿宋_GB2312" w:eastAsia="仿宋_GB2312"/>
          <w:sz w:val="28"/>
          <w:szCs w:val="28"/>
          <w:highlight w:val="none"/>
        </w:rPr>
      </w:pPr>
      <w:r>
        <w:rPr>
          <w:rFonts w:hint="eastAsia" w:ascii="仿宋_GB2312" w:eastAsia="仿宋_GB2312"/>
          <w:sz w:val="28"/>
          <w:szCs w:val="28"/>
          <w:highlight w:val="none"/>
          <w:u w:val="single"/>
        </w:rPr>
        <w:t>采购人/代理机构</w:t>
      </w:r>
      <w:r>
        <w:rPr>
          <w:rFonts w:hint="eastAsia" w:ascii="仿宋_GB2312" w:eastAsia="仿宋_GB2312"/>
          <w:sz w:val="28"/>
          <w:szCs w:val="28"/>
          <w:highlight w:val="none"/>
        </w:rPr>
        <w:t>于年月日,就质疑事项作出了答复/没有在法定期限内作出答复。</w:t>
      </w:r>
    </w:p>
    <w:p w14:paraId="492DF9FD">
      <w:pPr>
        <w:rPr>
          <w:rFonts w:ascii="黑体" w:hAnsi="黑体" w:eastAsia="黑体"/>
          <w:sz w:val="28"/>
          <w:szCs w:val="28"/>
          <w:highlight w:val="none"/>
        </w:rPr>
      </w:pPr>
      <w:r>
        <w:rPr>
          <w:rFonts w:hint="eastAsia" w:ascii="黑体" w:hAnsi="黑体" w:eastAsia="黑体"/>
          <w:sz w:val="28"/>
          <w:szCs w:val="28"/>
          <w:highlight w:val="none"/>
        </w:rPr>
        <w:t>四、投诉事项具体内容</w:t>
      </w:r>
    </w:p>
    <w:p w14:paraId="21C1BAE9">
      <w:pPr>
        <w:rPr>
          <w:rFonts w:ascii="仿宋_GB2312" w:eastAsia="仿宋_GB2312"/>
          <w:sz w:val="28"/>
          <w:szCs w:val="28"/>
          <w:highlight w:val="none"/>
          <w:u w:val="single"/>
        </w:rPr>
      </w:pPr>
      <w:r>
        <w:rPr>
          <w:rFonts w:hint="eastAsia" w:ascii="仿宋_GB2312" w:eastAsia="仿宋_GB2312"/>
          <w:sz w:val="28"/>
          <w:szCs w:val="28"/>
          <w:highlight w:val="none"/>
        </w:rPr>
        <w:t>投诉事项 1：</w:t>
      </w:r>
    </w:p>
    <w:p w14:paraId="3A8C7D34">
      <w:pPr>
        <w:rPr>
          <w:rFonts w:ascii="仿宋_GB2312" w:eastAsia="仿宋_GB2312"/>
          <w:sz w:val="28"/>
          <w:szCs w:val="28"/>
          <w:highlight w:val="none"/>
        </w:rPr>
      </w:pPr>
      <w:r>
        <w:rPr>
          <w:rFonts w:hint="eastAsia" w:ascii="仿宋_GB2312" w:eastAsia="仿宋_GB2312"/>
          <w:sz w:val="28"/>
          <w:szCs w:val="28"/>
          <w:highlight w:val="none"/>
        </w:rPr>
        <w:t>事实依据：</w:t>
      </w:r>
    </w:p>
    <w:p w14:paraId="2D79D271">
      <w:pPr>
        <w:rPr>
          <w:rFonts w:ascii="仿宋_GB2312" w:eastAsia="仿宋_GB2312"/>
          <w:sz w:val="28"/>
          <w:szCs w:val="28"/>
          <w:highlight w:val="none"/>
          <w:u w:val="single"/>
        </w:rPr>
      </w:pPr>
    </w:p>
    <w:p w14:paraId="4DC0600D">
      <w:pPr>
        <w:rPr>
          <w:rFonts w:ascii="仿宋_GB2312" w:eastAsia="仿宋_GB2312"/>
          <w:sz w:val="28"/>
          <w:szCs w:val="28"/>
          <w:highlight w:val="none"/>
          <w:u w:val="single"/>
        </w:rPr>
      </w:pPr>
      <w:r>
        <w:rPr>
          <w:rFonts w:hint="eastAsia" w:ascii="仿宋_GB2312" w:eastAsia="仿宋_GB2312"/>
          <w:sz w:val="28"/>
          <w:szCs w:val="28"/>
          <w:highlight w:val="none"/>
        </w:rPr>
        <w:t>法律依据：</w:t>
      </w:r>
    </w:p>
    <w:p w14:paraId="27F99066">
      <w:pPr>
        <w:rPr>
          <w:rFonts w:ascii="仿宋_GB2312" w:eastAsia="仿宋_GB2312"/>
          <w:sz w:val="28"/>
          <w:szCs w:val="28"/>
          <w:highlight w:val="none"/>
          <w:u w:val="single"/>
        </w:rPr>
      </w:pPr>
    </w:p>
    <w:p w14:paraId="25CFD2C2">
      <w:pPr>
        <w:rPr>
          <w:rFonts w:ascii="仿宋_GB2312" w:eastAsia="仿宋_GB2312"/>
          <w:sz w:val="28"/>
          <w:szCs w:val="28"/>
          <w:highlight w:val="none"/>
        </w:rPr>
      </w:pPr>
      <w:r>
        <w:rPr>
          <w:rFonts w:hint="eastAsia" w:ascii="仿宋_GB2312" w:eastAsia="仿宋_GB2312"/>
          <w:sz w:val="28"/>
          <w:szCs w:val="28"/>
          <w:highlight w:val="none"/>
        </w:rPr>
        <w:t>投诉事项2</w:t>
      </w:r>
    </w:p>
    <w:p w14:paraId="561FEE77">
      <w:pPr>
        <w:rPr>
          <w:rFonts w:ascii="仿宋_GB2312" w:eastAsia="仿宋_GB2312"/>
          <w:sz w:val="28"/>
          <w:szCs w:val="28"/>
          <w:highlight w:val="none"/>
          <w:u w:val="single"/>
        </w:rPr>
      </w:pPr>
      <w:r>
        <w:rPr>
          <w:rFonts w:hint="eastAsia" w:ascii="仿宋_GB2312" w:eastAsia="仿宋_GB2312"/>
          <w:sz w:val="28"/>
          <w:szCs w:val="28"/>
          <w:highlight w:val="none"/>
        </w:rPr>
        <w:t>……</w:t>
      </w:r>
    </w:p>
    <w:p w14:paraId="66C2A901">
      <w:pPr>
        <w:rPr>
          <w:rFonts w:ascii="黑体" w:hAnsi="黑体" w:eastAsia="黑体"/>
          <w:sz w:val="28"/>
          <w:szCs w:val="28"/>
          <w:highlight w:val="none"/>
        </w:rPr>
      </w:pPr>
      <w:r>
        <w:rPr>
          <w:rFonts w:hint="eastAsia" w:ascii="黑体" w:hAnsi="黑体" w:eastAsia="黑体"/>
          <w:sz w:val="28"/>
          <w:szCs w:val="28"/>
          <w:highlight w:val="none"/>
        </w:rPr>
        <w:t>五、与投诉事项相关的投诉请求</w:t>
      </w:r>
    </w:p>
    <w:p w14:paraId="0CA81649">
      <w:pPr>
        <w:rPr>
          <w:rFonts w:ascii="仿宋_GB2312" w:eastAsia="仿宋_GB2312"/>
          <w:sz w:val="28"/>
          <w:szCs w:val="28"/>
          <w:highlight w:val="none"/>
        </w:rPr>
      </w:pPr>
      <w:r>
        <w:rPr>
          <w:rFonts w:hint="eastAsia" w:ascii="仿宋_GB2312" w:eastAsia="仿宋_GB2312"/>
          <w:sz w:val="28"/>
          <w:szCs w:val="28"/>
          <w:highlight w:val="none"/>
        </w:rPr>
        <w:t>请求：</w:t>
      </w:r>
    </w:p>
    <w:p w14:paraId="4F9EA81F">
      <w:pPr>
        <w:rPr>
          <w:rFonts w:ascii="仿宋_GB2312" w:eastAsia="仿宋_GB2312"/>
          <w:sz w:val="28"/>
          <w:szCs w:val="28"/>
          <w:highlight w:val="none"/>
          <w:u w:val="single"/>
        </w:rPr>
      </w:pPr>
    </w:p>
    <w:p w14:paraId="7F13D2F6">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2FF2615D">
      <w:pPr>
        <w:spacing w:line="500" w:lineRule="exact"/>
        <w:ind w:firstLine="560"/>
        <w:rPr>
          <w:rFonts w:ascii="仿宋" w:hAnsi="仿宋" w:eastAsia="仿宋"/>
          <w:sz w:val="28"/>
          <w:szCs w:val="28"/>
          <w:highlight w:val="none"/>
        </w:rPr>
      </w:pPr>
      <w:r>
        <w:rPr>
          <w:rFonts w:hint="eastAsia" w:ascii="仿宋_GB2312" w:eastAsia="仿宋_GB2312"/>
          <w:sz w:val="28"/>
          <w:szCs w:val="28"/>
          <w:highlight w:val="none"/>
        </w:rPr>
        <w:t xml:space="preserve">日期：    </w:t>
      </w:r>
    </w:p>
    <w:p w14:paraId="381E8BB5">
      <w:pPr>
        <w:spacing w:line="500" w:lineRule="exact"/>
        <w:ind w:firstLine="562"/>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政府采购合同信用融资扶持政策</w:t>
      </w:r>
    </w:p>
    <w:p w14:paraId="4B25F264">
      <w:pPr>
        <w:spacing w:line="500" w:lineRule="exact"/>
        <w:ind w:firstLine="560"/>
        <w:jc w:val="left"/>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 政府采购</w:t>
      </w:r>
      <w:r>
        <w:rPr>
          <w:rFonts w:hint="eastAsia" w:ascii="仿宋" w:hAnsi="仿宋" w:eastAsia="仿宋"/>
          <w:sz w:val="28"/>
          <w:szCs w:val="28"/>
          <w:highlight w:val="none"/>
          <w:lang w:val="en-US" w:eastAsia="zh-CN"/>
        </w:rPr>
        <w:t>入围</w:t>
      </w:r>
      <w:r>
        <w:rPr>
          <w:rFonts w:hint="eastAsia" w:ascii="仿宋" w:hAnsi="仿宋" w:eastAsia="仿宋"/>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BC88EA2">
      <w:pPr>
        <w:spacing w:line="500" w:lineRule="exact"/>
        <w:ind w:firstLine="560"/>
        <w:jc w:val="left"/>
        <w:rPr>
          <w:rFonts w:hint="eastAsia"/>
          <w:highlight w:val="none"/>
          <w:lang w:eastAsia="zh-CN"/>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入围</w:t>
      </w:r>
      <w:r>
        <w:rPr>
          <w:rFonts w:hint="eastAsia" w:ascii="仿宋" w:hAnsi="仿宋" w:eastAsia="仿宋"/>
          <w:sz w:val="28"/>
          <w:szCs w:val="28"/>
          <w:highlight w:val="none"/>
        </w:rPr>
        <w:t>供应商如需获得合同信用融资支持，可凭政府采购合同办理“政采贷”融资贷款，详情请见南通市政府采购网 “易企服”综合服务平台-金融产品全周期-贷款产品专栏。</w:t>
      </w:r>
    </w:p>
    <w:p w14:paraId="59469989">
      <w:pPr>
        <w:pageBreakBefore w:val="0"/>
        <w:spacing w:line="520" w:lineRule="exact"/>
        <w:ind w:firstLine="562"/>
        <w:outlineLvl w:val="1"/>
        <w:rPr>
          <w:rFonts w:hint="eastAsia" w:ascii="仿宋" w:hAnsi="仿宋" w:eastAsia="仿宋" w:cs="仿宋"/>
          <w:b/>
          <w:bCs/>
          <w:color w:val="auto"/>
          <w:sz w:val="28"/>
          <w:szCs w:val="28"/>
          <w:highlight w:val="none"/>
        </w:rPr>
      </w:pPr>
      <w:bookmarkStart w:id="130" w:name="_Toc22432"/>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）注意事项</w:t>
      </w:r>
      <w:bookmarkEnd w:id="130"/>
    </w:p>
    <w:p w14:paraId="07E9EDAF">
      <w:pPr>
        <w:pStyle w:val="32"/>
        <w:keepNext w:val="0"/>
        <w:keepLines w:val="0"/>
        <w:pageBreakBefore w:val="0"/>
        <w:widowControl w:val="0"/>
        <w:spacing w:line="480" w:lineRule="exact"/>
        <w:ind w:firstLine="560"/>
        <w:rPr>
          <w:rFonts w:hint="eastAsia" w:ascii="宋体" w:hAnsi="宋体" w:eastAsia="宋体" w:cs="宋体"/>
          <w:b/>
          <w:bCs/>
          <w:color w:val="auto"/>
          <w:sz w:val="30"/>
          <w:szCs w:val="30"/>
          <w:highlight w:val="none"/>
        </w:rPr>
      </w:pPr>
      <w:r>
        <w:rPr>
          <w:rFonts w:hint="eastAsia" w:ascii="仿宋" w:hAnsi="仿宋" w:eastAsia="仿宋" w:cs="仿宋"/>
          <w:color w:val="auto"/>
          <w:sz w:val="28"/>
          <w:szCs w:val="28"/>
          <w:highlight w:val="none"/>
        </w:rPr>
        <w:t>供应商应依照规定提交各类声明函、承诺函等，不要求提供原件备查或有关部门出具的相关证明文件，但中标或成交供应商应做好提交声明函、承诺函等响应原件的核查准备，</w:t>
      </w:r>
      <w:r>
        <w:rPr>
          <w:rFonts w:hint="eastAsia" w:ascii="仿宋" w:hAnsi="仿宋" w:eastAsia="仿宋" w:cs="宋体"/>
          <w:sz w:val="28"/>
          <w:szCs w:val="28"/>
          <w:highlight w:val="none"/>
        </w:rPr>
        <w:t>核查后发现虚假或违背承诺的，依照相关法律法规规定处理。</w:t>
      </w:r>
      <w:r>
        <w:rPr>
          <w:rFonts w:hint="eastAsia" w:ascii="仿宋" w:hAnsi="仿宋" w:eastAsia="仿宋" w:cs="仿宋"/>
          <w:bCs/>
          <w:color w:val="auto"/>
          <w:sz w:val="32"/>
          <w:szCs w:val="32"/>
          <w:highlight w:val="none"/>
        </w:rPr>
        <w:br w:type="page" w:clear="all"/>
      </w:r>
      <w:bookmarkEnd w:id="119"/>
      <w:bookmarkEnd w:id="120"/>
      <w:bookmarkEnd w:id="121"/>
      <w:bookmarkEnd w:id="122"/>
      <w:bookmarkEnd w:id="123"/>
      <w:bookmarkEnd w:id="124"/>
    </w:p>
    <w:p w14:paraId="6DEDF90D">
      <w:pPr>
        <w:pStyle w:val="199"/>
        <w:spacing w:before="0" w:after="0" w:line="500" w:lineRule="exact"/>
        <w:ind w:firstLine="0"/>
        <w:jc w:val="both"/>
        <w:outlineLvl w:val="1"/>
        <w:rPr>
          <w:rFonts w:ascii="宋体" w:hAnsi="宋体" w:eastAsia="宋体" w:cs="宋体"/>
          <w:b/>
          <w:bCs/>
          <w:color w:val="auto"/>
          <w:sz w:val="30"/>
          <w:szCs w:val="30"/>
          <w:highlight w:val="none"/>
        </w:rPr>
      </w:pPr>
      <w:bookmarkStart w:id="131" w:name="_Toc690"/>
      <w:r>
        <w:rPr>
          <w:rFonts w:hint="eastAsia" w:ascii="宋体" w:hAnsi="宋体" w:eastAsia="宋体" w:cs="宋体"/>
          <w:b/>
          <w:bCs/>
          <w:color w:val="auto"/>
          <w:sz w:val="30"/>
          <w:szCs w:val="30"/>
          <w:highlight w:val="none"/>
        </w:rPr>
        <w:t>附件1  框架协议文本</w:t>
      </w:r>
      <w:bookmarkEnd w:id="131"/>
    </w:p>
    <w:p w14:paraId="1C832274">
      <w:pPr>
        <w:pStyle w:val="199"/>
        <w:spacing w:before="0" w:after="0" w:line="500" w:lineRule="exact"/>
        <w:ind w:firstLine="0"/>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框架协议</w:t>
      </w:r>
    </w:p>
    <w:p w14:paraId="0E4B136D">
      <w:pPr>
        <w:spacing w:line="500" w:lineRule="exact"/>
        <w:ind w:firstLine="480"/>
        <w:rPr>
          <w:rFonts w:ascii="仿宋" w:hAnsi="仿宋" w:eastAsia="仿宋" w:cs="仿宋"/>
          <w:color w:val="auto"/>
          <w:sz w:val="24"/>
          <w:highlight w:val="none"/>
        </w:rPr>
      </w:pPr>
      <w:r>
        <w:rPr>
          <w:rFonts w:hint="eastAsia" w:ascii="宋体" w:hAnsi="宋体" w:eastAsia="宋体" w:cs="宋体"/>
          <w:color w:val="auto"/>
          <w:sz w:val="24"/>
          <w:highlight w:val="none"/>
        </w:rPr>
        <w:t>征</w:t>
      </w:r>
      <w:r>
        <w:rPr>
          <w:rFonts w:hint="eastAsia" w:ascii="仿宋" w:hAnsi="仿宋" w:eastAsia="仿宋" w:cs="仿宋"/>
          <w:color w:val="auto"/>
          <w:sz w:val="24"/>
          <w:highlight w:val="none"/>
        </w:rPr>
        <w:t>集人名称（甲方）：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如皋市市场监督管理局</w:t>
      </w:r>
      <w:r>
        <w:rPr>
          <w:rFonts w:hint="eastAsia" w:ascii="仿宋" w:hAnsi="仿宋" w:eastAsia="仿宋" w:cs="仿宋"/>
          <w:color w:val="auto"/>
          <w:sz w:val="24"/>
          <w:highlight w:val="none"/>
          <w:u w:val="single"/>
        </w:rPr>
        <w:t xml:space="preserve">     </w:t>
      </w:r>
    </w:p>
    <w:p w14:paraId="07DCAD68">
      <w:pPr>
        <w:spacing w:line="500" w:lineRule="exact"/>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征集人地址：</w:t>
      </w:r>
      <w:r>
        <w:rPr>
          <w:rFonts w:hint="eastAsia" w:ascii="仿宋" w:hAnsi="仿宋" w:eastAsia="仿宋" w:cs="仿宋"/>
          <w:color w:val="auto"/>
          <w:sz w:val="24"/>
          <w:highlight w:val="none"/>
          <w:u w:val="single"/>
        </w:rPr>
        <w:t xml:space="preserve">  江苏省南通市如皋市解放西路18号  </w:t>
      </w:r>
    </w:p>
    <w:p w14:paraId="3052D926">
      <w:pPr>
        <w:pStyle w:val="16"/>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征集人联系方式：</w:t>
      </w:r>
      <w:r>
        <w:rPr>
          <w:rFonts w:hint="eastAsia" w:ascii="仿宋" w:hAnsi="仿宋" w:eastAsia="仿宋" w:cs="仿宋"/>
          <w:color w:val="auto"/>
          <w:sz w:val="24"/>
          <w:szCs w:val="24"/>
          <w:highlight w:val="none"/>
          <w:u w:val="single"/>
        </w:rPr>
        <w:t xml:space="preserve">                               </w:t>
      </w:r>
    </w:p>
    <w:p w14:paraId="253E3740">
      <w:pPr>
        <w:spacing w:line="500" w:lineRule="exact"/>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入围供应商名称（乙方）：</w:t>
      </w:r>
      <w:r>
        <w:rPr>
          <w:rFonts w:hint="eastAsia" w:ascii="仿宋" w:hAnsi="仿宋" w:eastAsia="仿宋" w:cs="仿宋"/>
          <w:color w:val="auto"/>
          <w:sz w:val="24"/>
          <w:highlight w:val="none"/>
          <w:u w:val="single"/>
        </w:rPr>
        <w:t xml:space="preserve">                        </w:t>
      </w:r>
    </w:p>
    <w:p w14:paraId="658DF78F">
      <w:pPr>
        <w:spacing w:line="500" w:lineRule="exact"/>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入围供应商地址：</w:t>
      </w:r>
      <w:r>
        <w:rPr>
          <w:rFonts w:hint="eastAsia" w:ascii="仿宋" w:hAnsi="仿宋" w:eastAsia="仿宋" w:cs="仿宋"/>
          <w:color w:val="auto"/>
          <w:sz w:val="24"/>
          <w:highlight w:val="none"/>
          <w:u w:val="single"/>
        </w:rPr>
        <w:t xml:space="preserve">                               </w:t>
      </w:r>
    </w:p>
    <w:p w14:paraId="32D78198">
      <w:pPr>
        <w:pStyle w:val="16"/>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供应商联系方式：</w:t>
      </w:r>
      <w:r>
        <w:rPr>
          <w:rFonts w:hint="eastAsia" w:ascii="仿宋" w:hAnsi="仿宋" w:eastAsia="仿宋" w:cs="仿宋"/>
          <w:color w:val="auto"/>
          <w:sz w:val="24"/>
          <w:szCs w:val="24"/>
          <w:highlight w:val="none"/>
          <w:u w:val="single"/>
        </w:rPr>
        <w:t xml:space="preserve">                               </w:t>
      </w:r>
    </w:p>
    <w:p w14:paraId="4F8C6290">
      <w:pPr>
        <w:spacing w:line="500" w:lineRule="exact"/>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签订时间：      年    月    日</w:t>
      </w:r>
    </w:p>
    <w:p w14:paraId="5AA99CE4">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（甲方）（</w:t>
      </w:r>
      <w:r>
        <w:rPr>
          <w:rFonts w:hint="eastAsia" w:ascii="仿宋" w:hAnsi="仿宋" w:eastAsia="仿宋" w:cs="仿宋"/>
          <w:color w:val="auto"/>
          <w:sz w:val="24"/>
          <w:highlight w:val="none"/>
          <w:lang w:eastAsia="zh-CN"/>
        </w:rPr>
        <w: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年食品、食用农产品抽检项目</w:t>
      </w:r>
      <w:r>
        <w:rPr>
          <w:rFonts w:hint="eastAsia" w:ascii="仿宋" w:hAnsi="仿宋" w:eastAsia="仿宋" w:cs="仿宋"/>
          <w:color w:val="auto"/>
          <w:sz w:val="24"/>
          <w:highlight w:val="none"/>
        </w:rPr>
        <w:t>）委托（</w:t>
      </w:r>
      <w:r>
        <w:rPr>
          <w:rFonts w:hint="eastAsia" w:ascii="仿宋" w:hAnsi="仿宋" w:eastAsia="仿宋" w:cs="仿宋"/>
          <w:color w:val="auto"/>
          <w:sz w:val="24"/>
          <w:highlight w:val="none"/>
          <w:lang w:val="en-US" w:eastAsia="zh-CN"/>
        </w:rPr>
        <w:t>大洲设计咨询集团有限公司如皋分公司</w:t>
      </w:r>
      <w:r>
        <w:rPr>
          <w:rFonts w:hint="eastAsia" w:ascii="仿宋" w:hAnsi="仿宋" w:eastAsia="仿宋" w:cs="仿宋"/>
          <w:color w:val="auto"/>
          <w:sz w:val="24"/>
          <w:highlight w:val="none"/>
        </w:rPr>
        <w:t>）公开征集供应商。按照评审小组评审推荐，甲方确定乙方为入围单位。现甲乙双方协商同意签订本协议。</w:t>
      </w:r>
    </w:p>
    <w:p w14:paraId="3D65F1F3">
      <w:pPr>
        <w:pStyle w:val="37"/>
        <w:widowControl/>
        <w:spacing w:beforeAutospacing="0" w:afterAutospacing="0" w:line="500" w:lineRule="exact"/>
        <w:jc w:val="both"/>
        <w:rPr>
          <w:rFonts w:ascii="仿宋" w:hAnsi="仿宋" w:eastAsia="仿宋" w:cs="仿宋"/>
          <w:color w:val="auto"/>
          <w:highlight w:val="none"/>
          <w:u w:val="single"/>
          <w:shd w:val="clear" w:color="auto" w:fill="FFFFFF"/>
        </w:rPr>
      </w:pPr>
      <w:r>
        <w:rPr>
          <w:rFonts w:hint="eastAsia" w:ascii="仿宋" w:hAnsi="仿宋" w:eastAsia="仿宋" w:cs="仿宋"/>
          <w:color w:val="auto"/>
          <w:highlight w:val="none"/>
          <w:shd w:val="clear" w:color="auto" w:fill="FFFFFF"/>
        </w:rPr>
        <w:t>（一）采购项目名称</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u w:val="single"/>
          <w:shd w:val="clear" w:color="auto" w:fill="FFFFFF"/>
          <w:lang w:eastAsia="zh-CN"/>
        </w:rPr>
        <w:t>202</w:t>
      </w:r>
      <w:r>
        <w:rPr>
          <w:rFonts w:hint="eastAsia" w:ascii="仿宋" w:hAnsi="仿宋" w:eastAsia="仿宋" w:cs="仿宋"/>
          <w:color w:val="auto"/>
          <w:highlight w:val="none"/>
          <w:u w:val="single"/>
          <w:shd w:val="clear" w:color="auto" w:fill="FFFFFF"/>
          <w:lang w:val="en-US" w:eastAsia="zh-CN"/>
        </w:rPr>
        <w:t>6</w:t>
      </w:r>
      <w:r>
        <w:rPr>
          <w:rFonts w:hint="eastAsia" w:ascii="仿宋" w:hAnsi="仿宋" w:eastAsia="仿宋" w:cs="仿宋"/>
          <w:color w:val="auto"/>
          <w:highlight w:val="none"/>
          <w:u w:val="single"/>
          <w:shd w:val="clear" w:color="auto" w:fill="FFFFFF"/>
          <w:lang w:eastAsia="zh-CN"/>
        </w:rPr>
        <w:t>年食品、食用农产品抽检项目</w:t>
      </w:r>
      <w:r>
        <w:rPr>
          <w:rFonts w:hint="eastAsia" w:ascii="仿宋" w:hAnsi="仿宋" w:eastAsia="仿宋" w:cs="仿宋"/>
          <w:color w:val="auto"/>
          <w:highlight w:val="none"/>
          <w:u w:val="single"/>
          <w:shd w:val="clear" w:color="auto" w:fill="FFFFFF"/>
        </w:rPr>
        <w:t xml:space="preserve">       </w:t>
      </w:r>
    </w:p>
    <w:p w14:paraId="4C85DCE1">
      <w:pPr>
        <w:pStyle w:val="37"/>
        <w:widowControl/>
        <w:spacing w:beforeAutospacing="0" w:afterAutospacing="0" w:line="500" w:lineRule="exact"/>
        <w:ind w:firstLine="720"/>
        <w:jc w:val="both"/>
        <w:rPr>
          <w:rFonts w:ascii="仿宋" w:hAnsi="仿宋" w:eastAsia="仿宋" w:cs="仿宋"/>
          <w:color w:val="auto"/>
          <w:sz w:val="18"/>
          <w:szCs w:val="18"/>
          <w:highlight w:val="none"/>
        </w:rPr>
      </w:pPr>
      <w:r>
        <w:rPr>
          <w:rFonts w:hint="eastAsia" w:ascii="仿宋" w:hAnsi="仿宋" w:eastAsia="仿宋" w:cs="仿宋"/>
          <w:color w:val="auto"/>
          <w:highlight w:val="none"/>
          <w:shd w:val="clear" w:color="auto" w:fill="FFFFFF"/>
        </w:rPr>
        <w:t xml:space="preserve">编        号 </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w:t>
      </w:r>
    </w:p>
    <w:p w14:paraId="13C2EDA1">
      <w:pPr>
        <w:pStyle w:val="37"/>
        <w:widowControl/>
        <w:spacing w:beforeAutospacing="0" w:afterAutospacing="0" w:line="500" w:lineRule="exact"/>
        <w:jc w:val="both"/>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（二）采购需求以及最高限制单价；</w:t>
      </w:r>
    </w:p>
    <w:p w14:paraId="116CEFA3">
      <w:pPr>
        <w:spacing w:line="50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根据南通市市场监督管理局要求，为确保完成全年任务，本项目用于202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年食品、食用农产品抽检</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含乳制品生产企业的原料及成品抽检</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，共计</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000批次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最高单价限价为人民币450元/批次</w:t>
      </w:r>
      <w:r>
        <w:rPr>
          <w:rFonts w:hint="eastAsia" w:ascii="仿宋" w:hAnsi="仿宋" w:eastAsia="仿宋" w:cs="仿宋"/>
          <w:color w:val="auto"/>
          <w:sz w:val="24"/>
          <w:highlight w:val="none"/>
          <w:lang w:eastAsia="zh-CN"/>
        </w:rPr>
        <w:t>。</w:t>
      </w:r>
    </w:p>
    <w:p w14:paraId="727A8490">
      <w:pPr>
        <w:spacing w:line="50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（三）框架协议第一阶段的入围服务内容、服务标准，协议价格；</w:t>
      </w:r>
    </w:p>
    <w:p w14:paraId="0E1AE28D">
      <w:pPr>
        <w:pStyle w:val="37"/>
        <w:widowControl/>
        <w:spacing w:beforeAutospacing="0" w:afterAutospacing="0" w:line="400" w:lineRule="exact"/>
        <w:jc w:val="both"/>
        <w:rPr>
          <w:rFonts w:ascii="仿宋" w:hAnsi="仿宋" w:eastAsia="仿宋" w:cs="仿宋"/>
          <w:color w:val="auto"/>
          <w:highlight w:val="none"/>
        </w:rPr>
      </w:pPr>
      <w:r>
        <w:rPr>
          <w:rFonts w:hint="eastAsia" w:ascii="仿宋" w:hAnsi="仿宋" w:eastAsia="仿宋" w:cs="仿宋"/>
          <w:color w:val="auto"/>
          <w:highlight w:val="none"/>
        </w:rPr>
        <w:t>（四）入围产品升级换代规则：</w:t>
      </w:r>
    </w:p>
    <w:p w14:paraId="5AE26BD4">
      <w:pPr>
        <w:pStyle w:val="37"/>
        <w:widowControl/>
        <w:numPr>
          <w:ilvl w:val="0"/>
          <w:numId w:val="2"/>
        </w:numPr>
        <w:spacing w:beforeAutospacing="0" w:afterAutospacing="0" w:line="400" w:lineRule="exact"/>
        <w:jc w:val="both"/>
        <w:rPr>
          <w:rFonts w:ascii="仿宋" w:hAnsi="仿宋" w:eastAsia="仿宋" w:cs="仿宋"/>
          <w:color w:val="auto"/>
          <w:highlight w:val="none"/>
        </w:rPr>
      </w:pPr>
      <w:r>
        <w:rPr>
          <w:rFonts w:hint="eastAsia" w:ascii="仿宋" w:hAnsi="仿宋" w:eastAsia="仿宋" w:cs="仿宋"/>
          <w:color w:val="auto"/>
          <w:highlight w:val="none"/>
        </w:rPr>
        <w:t>确定第二阶段成交供应商的方式：</w:t>
      </w:r>
    </w:p>
    <w:p w14:paraId="1246C390">
      <w:pPr>
        <w:pStyle w:val="37"/>
        <w:widowControl/>
        <w:numPr>
          <w:ilvl w:val="0"/>
          <w:numId w:val="2"/>
        </w:numPr>
        <w:spacing w:beforeAutospacing="0" w:afterAutospacing="0" w:line="400" w:lineRule="exact"/>
        <w:jc w:val="both"/>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适用框架协议的采购人或者服务对象范围，以及履行合同的地域范围：</w:t>
      </w:r>
    </w:p>
    <w:p w14:paraId="0D83F3D8">
      <w:pPr>
        <w:pStyle w:val="37"/>
        <w:widowControl/>
        <w:numPr>
          <w:ilvl w:val="0"/>
          <w:numId w:val="2"/>
        </w:numPr>
        <w:spacing w:beforeAutospacing="0" w:afterAutospacing="0" w:line="400" w:lineRule="exact"/>
        <w:jc w:val="both"/>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资金支付方式、时间和条件； </w:t>
      </w:r>
    </w:p>
    <w:p w14:paraId="1F10BEB4">
      <w:pPr>
        <w:spacing w:line="40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任务完成结算抽检费用，抽样检测费用为供应商成交单价*实际抽样检测批次数。</w:t>
      </w:r>
    </w:p>
    <w:p w14:paraId="2CB1D623">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根据现行税法对采购人征收的与本合同有关的一切税费均由采购人承担；根据现行税法对成交人征收的与本合同有关的一切税费均由成交人承担。每次支付前，成交人均应出具正式发票。</w:t>
      </w:r>
    </w:p>
    <w:p w14:paraId="4FDC73FC">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（八）下列与本次采购活动有关的文件及附件是本协议不可分割的组成部分，与本协议具有同等法律效力，这些文件包括但不限于：</w:t>
      </w:r>
    </w:p>
    <w:p w14:paraId="5EDD1671">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1.（××号）采购文件；</w:t>
      </w:r>
    </w:p>
    <w:p w14:paraId="37D47F82">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2.征集响应文件；</w:t>
      </w:r>
    </w:p>
    <w:p w14:paraId="0521BEB5">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3.乙方在参加征集采购活动时的书面承诺；</w:t>
      </w:r>
    </w:p>
    <w:p w14:paraId="59648601">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4.（××号）入围通知书；</w:t>
      </w:r>
    </w:p>
    <w:p w14:paraId="6C671CD9">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5.协议补充条款或说明；</w:t>
      </w:r>
    </w:p>
    <w:p w14:paraId="7330CAB2">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6.保密协议或条款；</w:t>
      </w:r>
    </w:p>
    <w:p w14:paraId="798FC0A5">
      <w:pPr>
        <w:spacing w:line="400" w:lineRule="exact"/>
        <w:ind w:firstLine="480"/>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7.相关附件、图纸及电子版资料。</w:t>
      </w:r>
    </w:p>
    <w:p w14:paraId="2F91F445">
      <w:pPr>
        <w:pStyle w:val="37"/>
        <w:widowControl/>
        <w:spacing w:beforeAutospacing="0" w:afterAutospacing="0" w:line="400" w:lineRule="exact"/>
        <w:jc w:val="both"/>
        <w:rPr>
          <w:rFonts w:ascii="仿宋" w:hAnsi="仿宋" w:eastAsia="仿宋" w:cs="仿宋"/>
          <w:color w:val="auto"/>
          <w:highlight w:val="none"/>
        </w:rPr>
      </w:pPr>
      <w:r>
        <w:rPr>
          <w:rFonts w:hint="eastAsia" w:ascii="仿宋" w:hAnsi="仿宋" w:eastAsia="仿宋" w:cs="仿宋"/>
          <w:color w:val="auto"/>
          <w:highlight w:val="none"/>
          <w:shd w:val="clear" w:color="auto" w:fill="FFFFFF"/>
        </w:rPr>
        <w:t>　　（九）框架协议期限；</w:t>
      </w:r>
      <w:r>
        <w:rPr>
          <w:rFonts w:hint="eastAsia" w:ascii="仿宋" w:hAnsi="仿宋" w:eastAsia="仿宋" w:cs="仿宋"/>
          <w:bCs/>
          <w:color w:val="auto"/>
          <w:highlight w:val="none"/>
        </w:rPr>
        <w:t>自框架协议签订后</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年，具体以采购人通知为准。</w:t>
      </w:r>
      <w:r>
        <w:rPr>
          <w:rFonts w:hint="eastAsia" w:ascii="仿宋" w:hAnsi="仿宋" w:eastAsia="仿宋" w:cs="仿宋"/>
          <w:color w:val="auto"/>
          <w:highlight w:val="none"/>
          <w:shd w:val="clear" w:color="auto" w:fill="FFFFFF"/>
        </w:rPr>
        <w:t> </w:t>
      </w:r>
    </w:p>
    <w:p w14:paraId="76F4FB5A">
      <w:pPr>
        <w:pStyle w:val="37"/>
        <w:widowControl/>
        <w:spacing w:beforeAutospacing="0" w:afterAutospacing="0" w:line="400" w:lineRule="exact"/>
        <w:ind w:firstLine="480"/>
        <w:jc w:val="both"/>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（十一）入围供应商清退和补充规则；</w:t>
      </w:r>
    </w:p>
    <w:p w14:paraId="1745F38C">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shd w:val="clear" w:color="auto" w:fill="FFFFFF"/>
        </w:rPr>
        <w:t> </w:t>
      </w:r>
      <w:r>
        <w:rPr>
          <w:rFonts w:hint="eastAsia" w:ascii="仿宋" w:hAnsi="仿宋" w:eastAsia="仿宋" w:cs="仿宋"/>
          <w:color w:val="auto"/>
          <w:highlight w:val="none"/>
        </w:rPr>
        <w:t>1.除剩余入围供应商不足入围供应商总数70%且影响框架协议执行的情形外，框架协议有效期内，征集人不补充征集供应商。 </w:t>
      </w:r>
    </w:p>
    <w:p w14:paraId="065493F1">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2.征集人补充征集供应商的，补充征集的条件、程序、评审方法和淘汰比例应当与初次征集相同。补充征集应当遵守原框架协议的有效期。补充征集期间，原框架协议继续履行。</w:t>
      </w:r>
    </w:p>
    <w:p w14:paraId="224CDE6B">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3.出现以下情形之一，征集人有权清退入围供应商。</w:t>
      </w:r>
    </w:p>
    <w:p w14:paraId="60AD8EDE">
      <w:pPr>
        <w:pStyle w:val="37"/>
        <w:widowControl/>
        <w:spacing w:beforeAutospacing="0" w:afterAutospacing="0" w:line="400" w:lineRule="exact"/>
        <w:ind w:left="480"/>
        <w:jc w:val="both"/>
        <w:rPr>
          <w:rFonts w:ascii="仿宋" w:hAnsi="仿宋" w:eastAsia="仿宋" w:cs="仿宋"/>
          <w:color w:val="auto"/>
          <w:highlight w:val="none"/>
        </w:rPr>
      </w:pPr>
      <w:r>
        <w:rPr>
          <w:rFonts w:hint="eastAsia" w:ascii="仿宋" w:hAnsi="仿宋" w:eastAsia="仿宋" w:cs="仿宋"/>
          <w:color w:val="auto"/>
          <w:highlight w:val="none"/>
        </w:rPr>
        <w:t>（1）框架协议期间内，入围供应商被</w:t>
      </w:r>
    </w:p>
    <w:p w14:paraId="0CD7B1A9">
      <w:pPr>
        <w:pStyle w:val="37"/>
        <w:widowControl/>
        <w:spacing w:beforeAutospacing="0" w:afterAutospacing="0" w:line="400" w:lineRule="exact"/>
        <w:ind w:left="480"/>
        <w:jc w:val="both"/>
        <w:rPr>
          <w:rFonts w:ascii="仿宋" w:hAnsi="仿宋" w:eastAsia="仿宋" w:cs="仿宋"/>
          <w:color w:val="auto"/>
          <w:highlight w:val="none"/>
        </w:rPr>
      </w:pPr>
      <w:r>
        <w:rPr>
          <w:rFonts w:hint="eastAsia" w:ascii="仿宋" w:hAnsi="仿宋" w:eastAsia="仿宋" w:cs="仿宋"/>
          <w:color w:val="auto"/>
          <w:highlight w:val="none"/>
        </w:rPr>
        <w:t>“信用中国”、“中国政府采购网”、“信用江苏”网站列入失信被执行人或重大税收违法案件当事人名单或政府采购严重失信行为记录名单；</w:t>
      </w:r>
    </w:p>
    <w:p w14:paraId="071B90D9">
      <w:pPr>
        <w:pStyle w:val="37"/>
        <w:widowControl/>
        <w:spacing w:beforeAutospacing="0" w:afterAutospacing="0" w:line="400" w:lineRule="exact"/>
        <w:ind w:left="480"/>
        <w:jc w:val="both"/>
        <w:rPr>
          <w:rFonts w:ascii="仿宋" w:hAnsi="仿宋" w:eastAsia="仿宋" w:cs="仿宋"/>
          <w:color w:val="auto"/>
          <w:highlight w:val="none"/>
        </w:rPr>
      </w:pPr>
      <w:r>
        <w:rPr>
          <w:rFonts w:hint="eastAsia" w:ascii="仿宋" w:hAnsi="仿宋" w:eastAsia="仿宋" w:cs="仿宋"/>
          <w:color w:val="auto"/>
          <w:highlight w:val="none"/>
        </w:rPr>
        <w:t>（2）框架协议期间内入围供应商因自身经营问题，发生倒闭、注销、歇业的；</w:t>
      </w:r>
    </w:p>
    <w:p w14:paraId="1A831BAD">
      <w:pPr>
        <w:pStyle w:val="37"/>
        <w:widowControl/>
        <w:spacing w:beforeAutospacing="0" w:afterAutospacing="0" w:line="400" w:lineRule="exact"/>
        <w:ind w:left="480"/>
        <w:jc w:val="both"/>
        <w:rPr>
          <w:rFonts w:ascii="仿宋" w:hAnsi="仿宋" w:eastAsia="仿宋" w:cs="仿宋"/>
          <w:color w:val="auto"/>
          <w:highlight w:val="none"/>
        </w:rPr>
      </w:pPr>
      <w:r>
        <w:rPr>
          <w:rFonts w:hint="eastAsia" w:ascii="仿宋" w:hAnsi="仿宋" w:eastAsia="仿宋" w:cs="仿宋"/>
          <w:color w:val="auto"/>
          <w:highlight w:val="none"/>
        </w:rPr>
        <w:t>（3）框架协议期间内入围供应商联系测评不合格且拒不整改的。</w:t>
      </w:r>
    </w:p>
    <w:p w14:paraId="03F12298">
      <w:pPr>
        <w:pStyle w:val="37"/>
        <w:widowControl/>
        <w:numPr>
          <w:ilvl w:val="0"/>
          <w:numId w:val="3"/>
        </w:numPr>
        <w:spacing w:beforeAutospacing="0" w:afterAutospacing="0" w:line="400" w:lineRule="exact"/>
        <w:jc w:val="both"/>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协议方的权利和义务; </w:t>
      </w:r>
    </w:p>
    <w:p w14:paraId="4310AED1">
      <w:pPr>
        <w:pStyle w:val="22"/>
        <w:tabs>
          <w:tab w:val="left" w:pos="0"/>
        </w:tabs>
        <w:spacing w:after="0"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服务期间，按照征集文件要求提供服务，并主动接受征集人对服务过程的监督与考核。严格执行收费标准，没有甲方事先同意，乙方不得将甲方资料提供给与履行本合同无关的任何其他人。即使向履行本合同有关的人员提供，也应注意保密并限于履行合同的必需范围内。</w:t>
      </w:r>
    </w:p>
    <w:p w14:paraId="165A5216">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14:paraId="411C72C7">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3.甲方在征集文件规定的时间、条件下支付服务费用，并为乙方的服务提供必要资料及其技术指导。</w:t>
      </w:r>
    </w:p>
    <w:p w14:paraId="56D2AD2F">
      <w:pPr>
        <w:pStyle w:val="37"/>
        <w:widowControl/>
        <w:spacing w:beforeAutospacing="0" w:afterAutospacing="0" w:line="400" w:lineRule="exact"/>
        <w:ind w:firstLine="480"/>
        <w:jc w:val="both"/>
        <w:rPr>
          <w:rFonts w:ascii="仿宋" w:hAnsi="仿宋" w:eastAsia="仿宋" w:cs="仿宋"/>
          <w:color w:val="auto"/>
          <w:highlight w:val="none"/>
        </w:rPr>
      </w:pPr>
      <w:r>
        <w:rPr>
          <w:rFonts w:hint="eastAsia" w:ascii="仿宋" w:hAnsi="仿宋" w:eastAsia="仿宋" w:cs="仿宋"/>
          <w:color w:val="auto"/>
          <w:highlight w:val="none"/>
          <w:shd w:val="clear" w:color="auto" w:fill="FFFFFF"/>
        </w:rPr>
        <w:t>（十三）需要约定的其他事项。 </w:t>
      </w:r>
    </w:p>
    <w:p w14:paraId="71EEB482">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本协议一式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份，甲、乙双方各执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w:t>
      </w:r>
    </w:p>
    <w:p w14:paraId="133F6F5E">
      <w:pPr>
        <w:rPr>
          <w:rFonts w:ascii="仿宋" w:eastAsia="仿宋"/>
          <w:bCs/>
          <w:color w:val="auto"/>
          <w:sz w:val="32"/>
          <w:szCs w:val="32"/>
          <w:highlight w:val="none"/>
        </w:rPr>
      </w:pPr>
      <w:r>
        <w:rPr>
          <w:rFonts w:ascii="仿宋" w:eastAsia="仿宋"/>
          <w:bCs/>
          <w:color w:val="auto"/>
          <w:sz w:val="32"/>
          <w:szCs w:val="32"/>
          <w:highlight w:val="none"/>
        </w:rPr>
        <w:br w:type="page" w:clear="all"/>
      </w:r>
    </w:p>
    <w:p w14:paraId="40427895">
      <w:pPr>
        <w:pStyle w:val="199"/>
        <w:spacing w:before="0" w:after="0" w:line="500" w:lineRule="exact"/>
        <w:ind w:firstLine="0"/>
        <w:jc w:val="both"/>
        <w:outlineLvl w:val="1"/>
        <w:rPr>
          <w:rFonts w:ascii="宋体" w:hAnsi="宋体" w:eastAsia="宋体" w:cs="宋体"/>
          <w:bCs/>
          <w:color w:val="auto"/>
          <w:sz w:val="32"/>
          <w:szCs w:val="32"/>
          <w:highlight w:val="none"/>
        </w:rPr>
      </w:pPr>
      <w:bookmarkStart w:id="132" w:name="_Toc11515"/>
      <w:r>
        <w:rPr>
          <w:rFonts w:hint="eastAsia" w:ascii="宋体" w:hAnsi="宋体" w:eastAsia="宋体" w:cs="宋体"/>
          <w:bCs/>
          <w:color w:val="auto"/>
          <w:sz w:val="32"/>
          <w:szCs w:val="32"/>
          <w:highlight w:val="none"/>
        </w:rPr>
        <w:t>附件</w:t>
      </w:r>
      <w:bookmarkStart w:id="133" w:name="_Toc12908"/>
      <w:bookmarkStart w:id="134" w:name="_Toc1209"/>
      <w:bookmarkStart w:id="135" w:name="_Toc29053"/>
      <w:bookmarkStart w:id="136" w:name="_Toc23215"/>
      <w:r>
        <w:rPr>
          <w:rFonts w:hint="eastAsia" w:ascii="宋体" w:hAnsi="宋体" w:eastAsia="宋体" w:cs="宋体"/>
          <w:bCs/>
          <w:color w:val="auto"/>
          <w:sz w:val="32"/>
          <w:szCs w:val="32"/>
          <w:highlight w:val="none"/>
        </w:rPr>
        <w:t>2  合同范本</w:t>
      </w:r>
      <w:bookmarkEnd w:id="132"/>
      <w:bookmarkEnd w:id="133"/>
      <w:bookmarkEnd w:id="134"/>
      <w:bookmarkEnd w:id="135"/>
      <w:bookmarkEnd w:id="136"/>
    </w:p>
    <w:p w14:paraId="57ED3391">
      <w:pPr>
        <w:widowControl/>
        <w:spacing w:line="500" w:lineRule="exact"/>
        <w:jc w:val="center"/>
        <w:rPr>
          <w:rFonts w:ascii="宋体" w:hAnsi="宋体" w:eastAsia="宋体" w:cs="宋体"/>
          <w:b/>
          <w:bCs/>
          <w:color w:val="auto"/>
          <w:sz w:val="32"/>
          <w:szCs w:val="32"/>
          <w:highlight w:val="none"/>
        </w:rPr>
      </w:pPr>
      <w:bookmarkStart w:id="137" w:name="_Toc32193"/>
      <w:bookmarkStart w:id="138" w:name="_Toc6085"/>
      <w:r>
        <w:rPr>
          <w:rFonts w:hint="eastAsia" w:ascii="宋体" w:hAnsi="宋体" w:eastAsia="宋体" w:cs="宋体"/>
          <w:b/>
          <w:bCs/>
          <w:color w:val="auto"/>
          <w:sz w:val="32"/>
          <w:szCs w:val="32"/>
          <w:highlight w:val="none"/>
        </w:rPr>
        <w:t>如皋市政府采购合同</w:t>
      </w:r>
      <w:bookmarkEnd w:id="137"/>
      <w:bookmarkEnd w:id="138"/>
    </w:p>
    <w:p w14:paraId="030F412B">
      <w:pPr>
        <w:spacing w:line="500" w:lineRule="exact"/>
        <w:ind w:firstLine="6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u w:val="single"/>
          <w:lang w:eastAsia="zh-CN"/>
        </w:rPr>
        <w:t>202</w:t>
      </w:r>
      <w:r>
        <w:rPr>
          <w:rFonts w:hint="eastAsia" w:ascii="仿宋" w:hAnsi="仿宋" w:eastAsia="仿宋" w:cs="仿宋"/>
          <w:color w:val="auto"/>
          <w:sz w:val="32"/>
          <w:szCs w:val="32"/>
          <w:highlight w:val="none"/>
          <w:u w:val="single"/>
          <w:lang w:val="en-US" w:eastAsia="zh-CN"/>
        </w:rPr>
        <w:t>6</w:t>
      </w:r>
      <w:r>
        <w:rPr>
          <w:rFonts w:hint="eastAsia" w:ascii="仿宋" w:hAnsi="仿宋" w:eastAsia="仿宋" w:cs="仿宋"/>
          <w:color w:val="auto"/>
          <w:sz w:val="32"/>
          <w:szCs w:val="32"/>
          <w:highlight w:val="none"/>
          <w:u w:val="single"/>
          <w:lang w:eastAsia="zh-CN"/>
        </w:rPr>
        <w:t>年食品、食用农产品抽检项目</w:t>
      </w:r>
      <w:r>
        <w:rPr>
          <w:rFonts w:hint="eastAsia" w:ascii="仿宋" w:hAnsi="仿宋" w:eastAsia="仿宋" w:cs="仿宋"/>
          <w:color w:val="auto"/>
          <w:sz w:val="32"/>
          <w:szCs w:val="32"/>
          <w:highlight w:val="none"/>
          <w:u w:val="single"/>
        </w:rPr>
        <w:t xml:space="preserve">                                  </w:t>
      </w:r>
    </w:p>
    <w:p w14:paraId="46B8E72E">
      <w:pPr>
        <w:spacing w:line="500" w:lineRule="exact"/>
        <w:ind w:firstLine="640"/>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计划编号：</w:t>
      </w:r>
      <w:r>
        <w:rPr>
          <w:rFonts w:hint="eastAsia" w:ascii="仿宋" w:hAnsi="仿宋" w:eastAsia="仿宋" w:cs="仿宋"/>
          <w:color w:val="auto"/>
          <w:sz w:val="32"/>
          <w:szCs w:val="32"/>
          <w:highlight w:val="none"/>
          <w:u w:val="single"/>
        </w:rPr>
        <w:t xml:space="preserve">                                   </w:t>
      </w:r>
    </w:p>
    <w:p w14:paraId="6851F834">
      <w:pPr>
        <w:spacing w:line="500" w:lineRule="exact"/>
        <w:ind w:firstLine="640"/>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甲方：</w:t>
      </w:r>
      <w:r>
        <w:rPr>
          <w:rFonts w:hint="eastAsia" w:ascii="仿宋" w:hAnsi="仿宋" w:eastAsia="仿宋" w:cs="仿宋"/>
          <w:color w:val="auto"/>
          <w:sz w:val="32"/>
          <w:szCs w:val="32"/>
          <w:highlight w:val="none"/>
          <w:u w:val="single"/>
        </w:rPr>
        <w:t xml:space="preserve"> 如皋市市场监督管理局                                      </w:t>
      </w:r>
    </w:p>
    <w:p w14:paraId="0D661BF5">
      <w:pPr>
        <w:spacing w:line="500" w:lineRule="exact"/>
        <w:ind w:firstLine="6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乙方：</w:t>
      </w:r>
      <w:r>
        <w:rPr>
          <w:rFonts w:hint="eastAsia" w:ascii="仿宋" w:hAnsi="仿宋" w:eastAsia="仿宋" w:cs="仿宋"/>
          <w:color w:val="auto"/>
          <w:sz w:val="32"/>
          <w:szCs w:val="32"/>
          <w:highlight w:val="none"/>
          <w:u w:val="single"/>
        </w:rPr>
        <w:t xml:space="preserve">                                       </w:t>
      </w:r>
    </w:p>
    <w:p w14:paraId="752D3A3F">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 w:hAnsi="仿宋" w:eastAsia="仿宋" w:cs="仿宋"/>
          <w:color w:val="auto"/>
          <w:sz w:val="32"/>
          <w:szCs w:val="32"/>
          <w:highlight w:val="none"/>
        </w:rPr>
      </w:pPr>
    </w:p>
    <w:p w14:paraId="69BEEDE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仿宋" w:hAnsi="仿宋" w:eastAsia="仿宋" w:cs="仿宋"/>
          <w:color w:val="auto"/>
          <w:sz w:val="32"/>
          <w:szCs w:val="32"/>
          <w:highlight w:val="none"/>
        </w:rPr>
      </w:pPr>
      <w:bookmarkStart w:id="139" w:name="_Toc13314"/>
      <w:bookmarkStart w:id="140" w:name="_Toc14299"/>
      <w:r>
        <w:rPr>
          <w:rFonts w:hint="eastAsia" w:ascii="仿宋" w:hAnsi="仿宋" w:eastAsia="仿宋" w:cs="仿宋"/>
          <w:color w:val="auto"/>
          <w:sz w:val="32"/>
          <w:szCs w:val="32"/>
          <w:highlight w:val="none"/>
        </w:rPr>
        <w:t>签订时间：      年    月    日</w:t>
      </w:r>
      <w:bookmarkEnd w:id="139"/>
      <w:bookmarkEnd w:id="140"/>
    </w:p>
    <w:p w14:paraId="1562DF0C">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（甲方）（2026年食品、食用农产品抽检项目）委托（</w:t>
      </w:r>
      <w:r>
        <w:rPr>
          <w:rFonts w:hint="eastAsia" w:ascii="仿宋" w:hAnsi="仿宋" w:eastAsia="仿宋" w:cs="仿宋"/>
          <w:color w:val="auto"/>
          <w:sz w:val="24"/>
          <w:highlight w:val="none"/>
          <w:lang w:val="en-US" w:eastAsia="zh-CN"/>
        </w:rPr>
        <w:t>大洲设计咨询集团有限公司如皋分公司</w:t>
      </w:r>
      <w:r>
        <w:rPr>
          <w:rFonts w:hint="eastAsia" w:ascii="仿宋" w:hAnsi="仿宋" w:eastAsia="仿宋" w:cs="仿宋"/>
          <w:color w:val="auto"/>
          <w:sz w:val="24"/>
          <w:highlight w:val="none"/>
        </w:rPr>
        <w:t>）进行了政府采购。按照评委会评审推荐、甲方确定乙方为成交单位。现甲乙双方协商同意签订本合同。</w:t>
      </w:r>
    </w:p>
    <w:p w14:paraId="6826D701">
      <w:pPr>
        <w:numPr>
          <w:ilvl w:val="0"/>
          <w:numId w:val="4"/>
        </w:numPr>
        <w:tabs>
          <w:tab w:val="left" w:pos="0"/>
          <w:tab w:val="clear" w:pos="720"/>
        </w:tabs>
        <w:spacing w:line="280" w:lineRule="exact"/>
        <w:ind w:left="0"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141" w:name="_Toc7284"/>
      <w:bookmarkStart w:id="142" w:name="_Toc12135"/>
      <w:r>
        <w:rPr>
          <w:rFonts w:hint="eastAsia" w:ascii="仿宋" w:hAnsi="仿宋" w:eastAsia="仿宋" w:cs="仿宋"/>
          <w:b/>
          <w:color w:val="auto"/>
          <w:sz w:val="24"/>
          <w:highlight w:val="none"/>
        </w:rPr>
        <w:t>合同文件</w:t>
      </w:r>
      <w:bookmarkEnd w:id="141"/>
      <w:bookmarkEnd w:id="142"/>
    </w:p>
    <w:p w14:paraId="48FDBFDC">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下列与本次采购活动有关的文件及附件是本合同不可分割的组成部分，与本合同具有同等法律效力，这些文件包括但不限于：</w:t>
      </w:r>
    </w:p>
    <w:p w14:paraId="337E2AB1">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1.（××号）采购文件；</w:t>
      </w:r>
    </w:p>
    <w:p w14:paraId="473E9B4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2.竞争性谈判响应文件；</w:t>
      </w:r>
    </w:p>
    <w:p w14:paraId="2AF39284">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3.乙方在参加采购活动时的书面承诺；</w:t>
      </w:r>
    </w:p>
    <w:p w14:paraId="4B844B70">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4.（××号）成交（成交）通知书；</w:t>
      </w:r>
    </w:p>
    <w:p w14:paraId="25ED4215">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5.合同补充条款或说明；</w:t>
      </w:r>
    </w:p>
    <w:p w14:paraId="6490BEAB">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6.保密协议或条款；</w:t>
      </w:r>
    </w:p>
    <w:p w14:paraId="69A950C5">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7.相关附件、图纸及电子版资料。</w:t>
      </w:r>
    </w:p>
    <w:p w14:paraId="58ADB6B6">
      <w:pPr>
        <w:spacing w:line="280" w:lineRule="exact"/>
        <w:ind w:left="482"/>
        <w:rPr>
          <w:rFonts w:ascii="仿宋" w:hAnsi="仿宋" w:eastAsia="仿宋" w:cs="仿宋"/>
          <w:b/>
          <w:color w:val="auto"/>
          <w:sz w:val="24"/>
          <w:highlight w:val="none"/>
        </w:rPr>
      </w:pPr>
      <w:bookmarkStart w:id="143" w:name="_Toc15408"/>
      <w:bookmarkStart w:id="144" w:name="_Toc76"/>
      <w:r>
        <w:rPr>
          <w:rFonts w:hint="eastAsia" w:ascii="仿宋" w:hAnsi="仿宋" w:eastAsia="仿宋" w:cs="仿宋"/>
          <w:b/>
          <w:color w:val="auto"/>
          <w:sz w:val="24"/>
          <w:highlight w:val="none"/>
        </w:rPr>
        <w:t>第二条  合同内容</w:t>
      </w:r>
      <w:bookmarkEnd w:id="143"/>
      <w:bookmarkEnd w:id="144"/>
    </w:p>
    <w:p w14:paraId="08DDC98C">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服务名称：详见合同附件中《服务一览表》  </w:t>
      </w:r>
    </w:p>
    <w:p w14:paraId="716B276C">
      <w:pPr>
        <w:spacing w:line="280" w:lineRule="exact"/>
        <w:ind w:left="482"/>
        <w:rPr>
          <w:rFonts w:ascii="仿宋" w:hAnsi="仿宋" w:eastAsia="仿宋" w:cs="仿宋"/>
          <w:b/>
          <w:color w:val="auto"/>
          <w:sz w:val="24"/>
          <w:highlight w:val="none"/>
        </w:rPr>
      </w:pPr>
      <w:bookmarkStart w:id="145" w:name="_Toc16208"/>
      <w:bookmarkStart w:id="146" w:name="_Toc19608"/>
      <w:r>
        <w:rPr>
          <w:rFonts w:hint="eastAsia" w:ascii="仿宋" w:hAnsi="仿宋" w:eastAsia="仿宋" w:cs="仿宋"/>
          <w:b/>
          <w:color w:val="auto"/>
          <w:sz w:val="24"/>
          <w:highlight w:val="none"/>
        </w:rPr>
        <w:t>第三条  合同总金额</w:t>
      </w:r>
      <w:bookmarkEnd w:id="145"/>
      <w:bookmarkEnd w:id="146"/>
    </w:p>
    <w:p w14:paraId="6B827E60">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本合同服务总金额：￥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0D9735CA">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446912DD">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分项价款在《服务一览表》中有明确规定。</w:t>
      </w:r>
    </w:p>
    <w:p w14:paraId="1A3AFC03">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本合同总价款包括服务期间必须的日常易耗品、工具、调试费、培训费等相关费用。</w:t>
      </w:r>
    </w:p>
    <w:p w14:paraId="7DCB11B0">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本合同执行期内因工作量变化而引起的服务费用的变动，在双方事先协商一致的前提下签订补充合同，但因此而增加的服务费用不得超过原成交金额的10%。</w:t>
      </w:r>
    </w:p>
    <w:p w14:paraId="79D8C8CC">
      <w:pPr>
        <w:spacing w:line="280" w:lineRule="exact"/>
        <w:ind w:left="482"/>
        <w:rPr>
          <w:rFonts w:ascii="仿宋" w:hAnsi="仿宋" w:eastAsia="仿宋" w:cs="仿宋"/>
          <w:b/>
          <w:color w:val="auto"/>
          <w:sz w:val="24"/>
          <w:highlight w:val="none"/>
        </w:rPr>
      </w:pPr>
      <w:bookmarkStart w:id="147" w:name="_Toc7171"/>
      <w:bookmarkStart w:id="148" w:name="_Toc9292"/>
      <w:r>
        <w:rPr>
          <w:rFonts w:hint="eastAsia" w:ascii="仿宋" w:hAnsi="仿宋" w:eastAsia="仿宋" w:cs="仿宋"/>
          <w:b/>
          <w:color w:val="auto"/>
          <w:sz w:val="24"/>
          <w:highlight w:val="none"/>
        </w:rPr>
        <w:t>第四条  权利义务和质量保证</w:t>
      </w:r>
      <w:bookmarkEnd w:id="147"/>
      <w:bookmarkEnd w:id="148"/>
    </w:p>
    <w:p w14:paraId="5597257E">
      <w:pPr>
        <w:pStyle w:val="22"/>
        <w:tabs>
          <w:tab w:val="left" w:pos="0"/>
        </w:tabs>
        <w:spacing w:after="0" w:line="2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60F88FAC">
      <w:pPr>
        <w:pStyle w:val="22"/>
        <w:spacing w:after="0" w:line="2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14:paraId="7DBC635D">
      <w:pPr>
        <w:spacing w:line="280" w:lineRule="exact"/>
        <w:ind w:left="482"/>
        <w:rPr>
          <w:rFonts w:ascii="仿宋" w:hAnsi="仿宋" w:eastAsia="仿宋" w:cs="仿宋"/>
          <w:b/>
          <w:color w:val="auto"/>
          <w:sz w:val="24"/>
          <w:highlight w:val="none"/>
        </w:rPr>
      </w:pPr>
      <w:bookmarkStart w:id="149" w:name="_Toc32010"/>
      <w:bookmarkStart w:id="150" w:name="_Toc10794"/>
      <w:r>
        <w:rPr>
          <w:rFonts w:hint="eastAsia" w:ascii="仿宋" w:hAnsi="仿宋" w:eastAsia="仿宋" w:cs="仿宋"/>
          <w:b/>
          <w:color w:val="auto"/>
          <w:sz w:val="24"/>
          <w:highlight w:val="none"/>
        </w:rPr>
        <w:t>第五条  付款方式</w:t>
      </w:r>
      <w:bookmarkEnd w:id="149"/>
      <w:bookmarkEnd w:id="150"/>
    </w:p>
    <w:p w14:paraId="0CDA4307">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1.本合同项下所有款项均以人民币支付。</w:t>
      </w:r>
    </w:p>
    <w:p w14:paraId="536C6AB3">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2.乙方向甲方提交下列文件材料，经甲方审核无误后支付采购资金：</w:t>
      </w:r>
    </w:p>
    <w:p w14:paraId="2D87C2F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（1）经甲方确认的发票；</w:t>
      </w:r>
    </w:p>
    <w:p w14:paraId="19B3652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（2）经甲乙双方确认签订的《验收报告》（或按项目进度阶段性《验收报告》）；</w:t>
      </w:r>
    </w:p>
    <w:p w14:paraId="55C207B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（3）其他材料。</w:t>
      </w:r>
    </w:p>
    <w:p w14:paraId="1DF8B20A">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3.款项的支付进度以采购文件的有关规定为准。</w:t>
      </w:r>
    </w:p>
    <w:p w14:paraId="6CE3CB15">
      <w:pPr>
        <w:spacing w:line="280" w:lineRule="exact"/>
        <w:ind w:left="482"/>
        <w:rPr>
          <w:rFonts w:ascii="仿宋" w:hAnsi="仿宋" w:eastAsia="仿宋" w:cs="仿宋"/>
          <w:b/>
          <w:color w:val="auto"/>
          <w:sz w:val="24"/>
          <w:highlight w:val="none"/>
        </w:rPr>
      </w:pPr>
      <w:bookmarkStart w:id="151" w:name="_Toc17650"/>
      <w:bookmarkStart w:id="152" w:name="_Toc11308"/>
      <w:r>
        <w:rPr>
          <w:rFonts w:hint="eastAsia" w:ascii="仿宋" w:hAnsi="仿宋" w:eastAsia="仿宋" w:cs="仿宋"/>
          <w:b/>
          <w:color w:val="auto"/>
          <w:sz w:val="24"/>
          <w:highlight w:val="none"/>
        </w:rPr>
        <w:t>第六条  验收</w:t>
      </w:r>
      <w:bookmarkEnd w:id="151"/>
      <w:bookmarkEnd w:id="152"/>
    </w:p>
    <w:p w14:paraId="04381ED0">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1.服务期限：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18711C33">
      <w:pPr>
        <w:spacing w:line="280" w:lineRule="exact"/>
        <w:ind w:firstLine="720"/>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服务地点：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243975BE">
      <w:pPr>
        <w:spacing w:line="280" w:lineRule="exact"/>
        <w:ind w:firstLine="72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验收时间：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271B0416">
      <w:pPr>
        <w:spacing w:line="280" w:lineRule="exact"/>
        <w:ind w:firstLine="720"/>
        <w:rPr>
          <w:rFonts w:ascii="仿宋" w:hAnsi="仿宋" w:eastAsia="仿宋" w:cs="仿宋"/>
          <w:color w:val="auto"/>
          <w:sz w:val="24"/>
          <w:highlight w:val="none"/>
        </w:rPr>
      </w:pPr>
      <w:r>
        <w:rPr>
          <w:rFonts w:hint="eastAsia" w:ascii="仿宋" w:hAnsi="仿宋" w:eastAsia="仿宋" w:cs="仿宋"/>
          <w:color w:val="auto"/>
          <w:sz w:val="24"/>
          <w:highlight w:val="none"/>
        </w:rPr>
        <w:t xml:space="preserve">验收地点：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1619E408">
      <w:pPr>
        <w:pStyle w:val="22"/>
        <w:tabs>
          <w:tab w:val="left" w:pos="0"/>
        </w:tabs>
        <w:spacing w:after="0" w:line="2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乙方应对提供的服务成果作出全面自查和整理，并列出清单，作为甲方验收和使用的服务条件依据，清单应随提供的服务成果交给甲方。</w:t>
      </w:r>
    </w:p>
    <w:p w14:paraId="775F70A6">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p>
    <w:p w14:paraId="6BFC0DF4">
      <w:pPr>
        <w:spacing w:line="28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4.甲方可以视项目规模或复杂情况聘请专业人员参与验收，大型或复杂项目，以及涉及专业服务内容的应当邀请国家认可的第三方质量检测机构参与验收。</w:t>
      </w:r>
    </w:p>
    <w:p w14:paraId="5A27CE36">
      <w:pPr>
        <w:spacing w:line="28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5.如项目实施情况需要分阶段验收，则根据实际情况分阶段出具《履约验收报告》。</w:t>
      </w:r>
    </w:p>
    <w:p w14:paraId="117078B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6.如果合同双方对《履约验收报告》有分歧，双方须于出现分歧后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天内给对方书面声明，以陈述己方的理由及要求，并附有关证据。分歧应通过协商解决。</w:t>
      </w:r>
    </w:p>
    <w:p w14:paraId="4E7F9813">
      <w:pPr>
        <w:spacing w:line="280" w:lineRule="exact"/>
        <w:ind w:left="482"/>
        <w:rPr>
          <w:rFonts w:ascii="仿宋" w:hAnsi="仿宋" w:eastAsia="仿宋" w:cs="仿宋"/>
          <w:b/>
          <w:color w:val="auto"/>
          <w:sz w:val="24"/>
          <w:highlight w:val="none"/>
        </w:rPr>
      </w:pPr>
      <w:bookmarkStart w:id="153" w:name="_Toc19313"/>
      <w:bookmarkStart w:id="154" w:name="_Toc4847"/>
      <w:r>
        <w:rPr>
          <w:rFonts w:hint="eastAsia" w:ascii="仿宋" w:hAnsi="仿宋" w:eastAsia="仿宋" w:cs="仿宋"/>
          <w:b/>
          <w:color w:val="auto"/>
          <w:sz w:val="24"/>
          <w:highlight w:val="none"/>
        </w:rPr>
        <w:t>第七条  项目管理服务</w:t>
      </w:r>
      <w:bookmarkEnd w:id="153"/>
      <w:bookmarkEnd w:id="154"/>
    </w:p>
    <w:p w14:paraId="26B24D9A">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乙方要指定不少于一人全权全程负责本项目服务的落实，包括服务的咨询、执行和后续工作。</w:t>
      </w:r>
    </w:p>
    <w:p w14:paraId="1BA714C3">
      <w:pPr>
        <w:spacing w:line="280" w:lineRule="exact"/>
        <w:ind w:firstLine="481"/>
        <w:rPr>
          <w:rFonts w:ascii="仿宋" w:hAnsi="仿宋" w:eastAsia="仿宋" w:cs="仿宋"/>
          <w:color w:val="auto"/>
          <w:sz w:val="24"/>
          <w:highlight w:val="none"/>
        </w:rPr>
      </w:pPr>
      <w:r>
        <w:rPr>
          <w:rFonts w:hint="eastAsia" w:ascii="仿宋" w:hAnsi="仿宋" w:eastAsia="仿宋" w:cs="仿宋"/>
          <w:color w:val="auto"/>
          <w:sz w:val="24"/>
          <w:highlight w:val="none"/>
        </w:rPr>
        <w:t>项目负责人姓名：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358AECD2">
      <w:pPr>
        <w:spacing w:line="280" w:lineRule="exact"/>
        <w:ind w:firstLine="472"/>
        <w:rPr>
          <w:rFonts w:ascii="仿宋" w:hAnsi="仿宋" w:eastAsia="仿宋" w:cs="仿宋"/>
          <w:b/>
          <w:color w:val="auto"/>
          <w:sz w:val="24"/>
          <w:highlight w:val="none"/>
        </w:rPr>
      </w:pPr>
      <w:bookmarkStart w:id="155" w:name="_Toc32667"/>
      <w:r>
        <w:rPr>
          <w:rFonts w:hint="eastAsia" w:ascii="仿宋" w:hAnsi="仿宋" w:eastAsia="仿宋" w:cs="仿宋"/>
          <w:b/>
          <w:color w:val="auto"/>
          <w:sz w:val="24"/>
          <w:highlight w:val="none"/>
        </w:rPr>
        <w:t>第八条  售后服务</w:t>
      </w:r>
      <w:bookmarkEnd w:id="155"/>
    </w:p>
    <w:p w14:paraId="7E096DC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1.乙方提供服务的质量保证期为自服务通过最终验收起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个月。若国家有明确规定的质量保证期高于此质量保证期的，执行国家规定。</w:t>
      </w:r>
    </w:p>
    <w:p w14:paraId="4D14973E">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2.服务期内，乙方应提供相关服务支持。对甲方所反映的任何服务问题在</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rPr>
        <w:t>小时之内做出及时响应，在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小时之内赶到现场实地解决问题。若问题在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rPr>
        <w:t>小时后仍无法解决，乙方应在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日内免费提供服务的补偿、替换方案，直至服务恢复正常。</w:t>
      </w:r>
    </w:p>
    <w:p w14:paraId="7363C1B5">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3.乙方必须遵守甲方的有关管理制度、操作规程。对于乙方违规操作造成甲方损失的，由乙方按照本合同第十二条的约定承担赔偿责任。</w:t>
      </w:r>
    </w:p>
    <w:p w14:paraId="674E82D4">
      <w:pPr>
        <w:spacing w:line="280" w:lineRule="exact"/>
        <w:ind w:left="482"/>
        <w:rPr>
          <w:rFonts w:ascii="仿宋" w:hAnsi="仿宋" w:eastAsia="仿宋" w:cs="仿宋"/>
          <w:b/>
          <w:color w:val="auto"/>
          <w:sz w:val="24"/>
          <w:highlight w:val="none"/>
        </w:rPr>
      </w:pPr>
      <w:bookmarkStart w:id="156" w:name="_Toc25881"/>
      <w:bookmarkStart w:id="157" w:name="_Toc11830"/>
      <w:r>
        <w:rPr>
          <w:rFonts w:hint="eastAsia" w:ascii="仿宋" w:hAnsi="仿宋" w:eastAsia="仿宋" w:cs="仿宋"/>
          <w:b/>
          <w:color w:val="auto"/>
          <w:sz w:val="24"/>
          <w:highlight w:val="none"/>
        </w:rPr>
        <w:t>第十条  分包</w:t>
      </w:r>
      <w:bookmarkEnd w:id="156"/>
      <w:bookmarkEnd w:id="157"/>
    </w:p>
    <w:p w14:paraId="19569A35">
      <w:pPr>
        <w:spacing w:line="280" w:lineRule="exact"/>
        <w:ind w:firstLine="480"/>
        <w:rPr>
          <w:rFonts w:ascii="仿宋" w:hAnsi="仿宋" w:eastAsia="仿宋" w:cs="仿宋"/>
          <w:strike/>
          <w:color w:val="auto"/>
          <w:sz w:val="24"/>
          <w:highlight w:val="none"/>
        </w:rPr>
      </w:pPr>
      <w:r>
        <w:rPr>
          <w:rFonts w:hint="eastAsia" w:ascii="仿宋" w:hAnsi="仿宋" w:eastAsia="仿宋" w:cs="仿宋"/>
          <w:color w:val="auto"/>
          <w:sz w:val="24"/>
          <w:highlight w:val="none"/>
        </w:rPr>
        <w:t>除采购文件事先说明、且经甲方事先书面同意外，乙方不得分包、转包其应履行的合同义务。</w:t>
      </w:r>
    </w:p>
    <w:p w14:paraId="16725F5E">
      <w:pPr>
        <w:spacing w:line="280" w:lineRule="exact"/>
        <w:ind w:firstLine="482"/>
        <w:rPr>
          <w:rFonts w:ascii="仿宋" w:hAnsi="仿宋" w:eastAsia="仿宋" w:cs="仿宋"/>
          <w:b/>
          <w:color w:val="auto"/>
          <w:sz w:val="24"/>
          <w:highlight w:val="none"/>
        </w:rPr>
      </w:pPr>
      <w:bookmarkStart w:id="158" w:name="_Toc16859"/>
      <w:bookmarkStart w:id="159" w:name="_Toc25550"/>
      <w:r>
        <w:rPr>
          <w:rFonts w:hint="eastAsia" w:ascii="仿宋" w:hAnsi="仿宋" w:eastAsia="仿宋" w:cs="仿宋"/>
          <w:b/>
          <w:color w:val="auto"/>
          <w:sz w:val="24"/>
          <w:highlight w:val="none"/>
        </w:rPr>
        <w:t>第十一条  合同的生效</w:t>
      </w:r>
      <w:bookmarkEnd w:id="158"/>
      <w:bookmarkEnd w:id="159"/>
    </w:p>
    <w:p w14:paraId="40F91A77">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1.本合同经甲乙双方授权代表签字并加盖公章或合同专用章后生效。</w:t>
      </w:r>
    </w:p>
    <w:p w14:paraId="56895103">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2.生效后，除《政府采购法》第49条、第50条第二款规定的情形外，甲乙双方不得擅自变更、中止或终止合同。</w:t>
      </w:r>
    </w:p>
    <w:p w14:paraId="0CE2373D">
      <w:pPr>
        <w:spacing w:line="280" w:lineRule="exact"/>
        <w:ind w:left="482"/>
        <w:rPr>
          <w:rFonts w:ascii="仿宋" w:hAnsi="仿宋" w:eastAsia="仿宋" w:cs="仿宋"/>
          <w:b/>
          <w:color w:val="auto"/>
          <w:sz w:val="24"/>
          <w:highlight w:val="none"/>
        </w:rPr>
      </w:pPr>
      <w:bookmarkStart w:id="160" w:name="_Toc26191"/>
      <w:bookmarkStart w:id="161" w:name="_Toc1301"/>
      <w:r>
        <w:rPr>
          <w:rFonts w:hint="eastAsia" w:ascii="仿宋" w:hAnsi="仿宋" w:eastAsia="仿宋" w:cs="仿宋"/>
          <w:b/>
          <w:color w:val="auto"/>
          <w:sz w:val="24"/>
          <w:highlight w:val="none"/>
        </w:rPr>
        <w:t>第十二条  违约责任</w:t>
      </w:r>
      <w:bookmarkEnd w:id="160"/>
      <w:bookmarkEnd w:id="161"/>
    </w:p>
    <w:p w14:paraId="63C0827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1.乙方所提供的服务成果不符合本合同规定的，甲方有权拒收，乙方在得到甲方通知之日起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个工作日内采取补救措施，逾期仍未采取有效措施的，甲方有权要求乙方赔偿因此造成的损失或扣留履约保证金；同时乙方应向甲方支付合同总价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％的违约金。</w:t>
      </w:r>
    </w:p>
    <w:p w14:paraId="7CB88484">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2.甲方无正当理由拒绝接收服务，甲方应向乙方偿付拒付服务费用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％的违约金。</w:t>
      </w:r>
    </w:p>
    <w:p w14:paraId="528E85D9">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3.乙方无正当理由逾期提供服务的，每逾期1天，乙方向甲方偿付合同总额的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‰的违约金。如乙方逾期达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天，甲方有权解除合同，甲方解除合同的通知自到达乙方时生效。在此情况下，乙方给甲方造成的实际损失高于违约金的，对高出违约金的部分乙方应予以赔偿。</w:t>
      </w:r>
    </w:p>
    <w:p w14:paraId="5E038C08">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4.甲方未按合同规定的期限向乙方支付合同款的，每逾期1天甲方向乙方偿付欠款总额的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‰违约金，但累计违约金总额不超过欠款总额的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5</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51FA987D">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5.其它未尽事宜，以《合同法》和《政府采购法》等有关法律法规规定为准，无相关规定的，双方协商解决。</w:t>
      </w:r>
    </w:p>
    <w:p w14:paraId="29AE90F6">
      <w:pPr>
        <w:spacing w:line="280" w:lineRule="exact"/>
        <w:ind w:left="482"/>
        <w:rPr>
          <w:rFonts w:ascii="仿宋" w:hAnsi="仿宋" w:eastAsia="仿宋" w:cs="仿宋"/>
          <w:b/>
          <w:color w:val="auto"/>
          <w:sz w:val="24"/>
          <w:highlight w:val="none"/>
        </w:rPr>
      </w:pPr>
      <w:bookmarkStart w:id="162" w:name="_Toc15289"/>
      <w:bookmarkStart w:id="163" w:name="_Toc2111"/>
      <w:r>
        <w:rPr>
          <w:rFonts w:hint="eastAsia" w:ascii="仿宋" w:hAnsi="仿宋" w:eastAsia="仿宋" w:cs="仿宋"/>
          <w:b/>
          <w:color w:val="auto"/>
          <w:sz w:val="24"/>
          <w:highlight w:val="none"/>
        </w:rPr>
        <w:t>第十三条  不可抗力</w:t>
      </w:r>
      <w:bookmarkEnd w:id="162"/>
      <w:bookmarkEnd w:id="163"/>
    </w:p>
    <w:p w14:paraId="5229CE2E">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甲、乙方中任何一方，因不可抗力不能按时或完全履行合同的，应及时通知对方，并在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个工作日内提供相应证明，结算服务费用。未履行的部分是否继续履行、如何履行等问题，可由双方初步协商，并向主管部门和政府采购管理部门报告。确定为不可抗力原因造成的损失，免予承担责任。</w:t>
      </w:r>
    </w:p>
    <w:p w14:paraId="1E5C775A">
      <w:pPr>
        <w:spacing w:line="280" w:lineRule="exact"/>
        <w:ind w:left="482"/>
        <w:rPr>
          <w:rFonts w:ascii="仿宋" w:hAnsi="仿宋" w:eastAsia="仿宋" w:cs="仿宋"/>
          <w:b/>
          <w:color w:val="auto"/>
          <w:sz w:val="24"/>
          <w:highlight w:val="none"/>
        </w:rPr>
      </w:pPr>
      <w:bookmarkStart w:id="164" w:name="_Toc19511"/>
      <w:bookmarkStart w:id="165" w:name="_Toc4187"/>
      <w:r>
        <w:rPr>
          <w:rFonts w:hint="eastAsia" w:ascii="仿宋" w:hAnsi="仿宋" w:eastAsia="仿宋" w:cs="仿宋"/>
          <w:b/>
          <w:color w:val="auto"/>
          <w:sz w:val="24"/>
          <w:highlight w:val="none"/>
        </w:rPr>
        <w:t>第十四条  争议的解决方式</w:t>
      </w:r>
      <w:bookmarkEnd w:id="164"/>
      <w:bookmarkEnd w:id="165"/>
    </w:p>
    <w:p w14:paraId="49F50F00">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1.因服务质量问题发生争议的，应当邀请国家认可的质量检测机构对服务进行鉴定。服务符合标准的，鉴定费由甲方承担；不符合质量标准的，鉴定费由乙方承担。</w:t>
      </w:r>
    </w:p>
    <w:p w14:paraId="4DFD283B">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2.在解释或者执行本合同的过程中发生争议时，双方应通过协商方式解决。</w:t>
      </w:r>
    </w:p>
    <w:p w14:paraId="102A4140">
      <w:pPr>
        <w:spacing w:line="280" w:lineRule="exact"/>
        <w:ind w:firstLine="48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3.经协商不能解决的争议，双方可选择</w:t>
      </w:r>
      <w:r>
        <w:rPr>
          <w:rFonts w:hint="eastAsia" w:ascii="仿宋" w:hAnsi="仿宋" w:eastAsia="仿宋" w:cs="仿宋"/>
          <w:color w:val="auto"/>
          <w:sz w:val="24"/>
          <w:highlight w:val="none"/>
          <w:lang w:val="en-US" w:eastAsia="zh-CN"/>
        </w:rPr>
        <w:t>向如皋市人民法院提起诉讼。</w:t>
      </w:r>
    </w:p>
    <w:p w14:paraId="079081BA">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4.在法院审理和仲裁期间，除有争议部分外，本合同其他部分可以履行的仍应按合同条款继续履行。</w:t>
      </w:r>
    </w:p>
    <w:p w14:paraId="51F8389F">
      <w:pPr>
        <w:spacing w:line="280" w:lineRule="exact"/>
        <w:ind w:left="482"/>
        <w:rPr>
          <w:rFonts w:ascii="仿宋" w:hAnsi="仿宋" w:eastAsia="仿宋" w:cs="仿宋"/>
          <w:b/>
          <w:color w:val="auto"/>
          <w:sz w:val="24"/>
          <w:highlight w:val="none"/>
        </w:rPr>
      </w:pPr>
      <w:bookmarkStart w:id="166" w:name="_Toc31813"/>
      <w:bookmarkStart w:id="167" w:name="_Toc20636"/>
      <w:r>
        <w:rPr>
          <w:rFonts w:hint="eastAsia" w:ascii="仿宋" w:hAnsi="仿宋" w:eastAsia="仿宋" w:cs="仿宋"/>
          <w:b/>
          <w:color w:val="auto"/>
          <w:sz w:val="24"/>
          <w:highlight w:val="none"/>
        </w:rPr>
        <w:t>第十五条  其他</w:t>
      </w:r>
      <w:bookmarkEnd w:id="166"/>
      <w:bookmarkEnd w:id="167"/>
    </w:p>
    <w:p w14:paraId="021A5B8B">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符合《政府采购法》第49条规定的，经双方协商，办理政府采购手续后，可签订补充合同，所签订的补充合同与本合同具有同等法律效力。</w:t>
      </w:r>
    </w:p>
    <w:p w14:paraId="08127866">
      <w:pPr>
        <w:spacing w:line="2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份，甲、乙双方各执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w:t>
      </w:r>
    </w:p>
    <w:p w14:paraId="3F2E6F84">
      <w:pPr>
        <w:spacing w:line="280" w:lineRule="exact"/>
        <w:ind w:firstLine="480"/>
        <w:rPr>
          <w:rFonts w:ascii="仿宋" w:hAnsi="仿宋" w:eastAsia="仿宋" w:cs="仿宋"/>
          <w:color w:val="auto"/>
          <w:sz w:val="24"/>
          <w:highlight w:val="none"/>
        </w:rPr>
      </w:pPr>
    </w:p>
    <w:tbl>
      <w:tblPr>
        <w:tblStyle w:val="41"/>
        <w:tblW w:w="0" w:type="auto"/>
        <w:tblInd w:w="0" w:type="dxa"/>
        <w:tblLayout w:type="fixed"/>
        <w:tblCellMar>
          <w:top w:w="0" w:type="dxa"/>
          <w:left w:w="108" w:type="dxa"/>
          <w:bottom w:w="0" w:type="dxa"/>
          <w:right w:w="108" w:type="dxa"/>
        </w:tblCellMar>
      </w:tblPr>
      <w:tblGrid>
        <w:gridCol w:w="4261"/>
        <w:gridCol w:w="4261"/>
      </w:tblGrid>
      <w:tr w14:paraId="21679F8F">
        <w:tblPrEx>
          <w:tblCellMar>
            <w:top w:w="0" w:type="dxa"/>
            <w:left w:w="108" w:type="dxa"/>
            <w:bottom w:w="0" w:type="dxa"/>
            <w:right w:w="108" w:type="dxa"/>
          </w:tblCellMar>
        </w:tblPrEx>
        <w:tc>
          <w:tcPr>
            <w:tcW w:w="4261" w:type="dxa"/>
            <w:noWrap w:val="0"/>
          </w:tcPr>
          <w:p w14:paraId="33645583">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甲方（公章）：</w:t>
            </w:r>
          </w:p>
          <w:p w14:paraId="34441325">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地址：</w:t>
            </w:r>
          </w:p>
          <w:p w14:paraId="30A2D223">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法定代表人（授权人）：</w:t>
            </w:r>
          </w:p>
          <w:p w14:paraId="025699D3">
            <w:pPr>
              <w:spacing w:line="280" w:lineRule="exact"/>
              <w:rPr>
                <w:rFonts w:ascii="仿宋" w:hAnsi="仿宋" w:eastAsia="仿宋" w:cs="仿宋"/>
                <w:color w:val="auto"/>
                <w:sz w:val="24"/>
                <w:highlight w:val="none"/>
              </w:rPr>
            </w:pPr>
          </w:p>
          <w:p w14:paraId="1426DB2F">
            <w:pPr>
              <w:spacing w:line="280" w:lineRule="exact"/>
              <w:rPr>
                <w:rFonts w:ascii="仿宋" w:hAnsi="仿宋" w:eastAsia="仿宋" w:cs="仿宋"/>
                <w:color w:val="auto"/>
                <w:sz w:val="24"/>
                <w:highlight w:val="none"/>
              </w:rPr>
            </w:pPr>
          </w:p>
          <w:p w14:paraId="6BF7753A">
            <w:pPr>
              <w:spacing w:line="28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年  月  日</w:t>
            </w:r>
          </w:p>
        </w:tc>
        <w:tc>
          <w:tcPr>
            <w:tcW w:w="4261" w:type="dxa"/>
            <w:noWrap w:val="0"/>
          </w:tcPr>
          <w:p w14:paraId="673F1384">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乙方（公章）：</w:t>
            </w:r>
          </w:p>
          <w:p w14:paraId="641C41C7">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地址：</w:t>
            </w:r>
          </w:p>
          <w:p w14:paraId="7141C88A">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法定代表人（授权人）：</w:t>
            </w:r>
          </w:p>
          <w:p w14:paraId="519A55B4">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开户行：</w:t>
            </w:r>
          </w:p>
          <w:p w14:paraId="45C7D2ED">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银行账号：</w:t>
            </w:r>
          </w:p>
          <w:p w14:paraId="50E27761">
            <w:pPr>
              <w:spacing w:line="28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bl>
    <w:p w14:paraId="0553B282">
      <w:pPr>
        <w:spacing w:line="500" w:lineRule="exact"/>
        <w:rPr>
          <w:rFonts w:ascii="仿宋" w:hAnsi="仿宋" w:eastAsia="仿宋" w:cs="仿宋"/>
          <w:color w:val="auto"/>
          <w:sz w:val="28"/>
          <w:szCs w:val="28"/>
          <w:highlight w:val="none"/>
        </w:rPr>
      </w:pPr>
    </w:p>
    <w:p w14:paraId="3A125259">
      <w:pPr>
        <w:outlineLvl w:val="1"/>
        <w:rPr>
          <w:rFonts w:ascii="宋体" w:hAnsi="宋体" w:eastAsia="宋体" w:cs="宋体"/>
          <w:b/>
          <w:bCs/>
          <w:color w:val="auto"/>
          <w:sz w:val="30"/>
          <w:szCs w:val="30"/>
          <w:highlight w:val="none"/>
        </w:rPr>
      </w:pPr>
      <w:bookmarkStart w:id="168" w:name="_Toc17221"/>
      <w:bookmarkStart w:id="169" w:name="_Toc27323"/>
      <w:bookmarkStart w:id="170" w:name="_Toc15978"/>
      <w:bookmarkStart w:id="171" w:name="_Toc8863"/>
      <w:r>
        <w:rPr>
          <w:rFonts w:hint="eastAsia" w:ascii="仿宋" w:hAnsi="仿宋" w:eastAsia="仿宋" w:cs="仿宋"/>
          <w:b/>
          <w:bCs/>
          <w:color w:val="auto"/>
          <w:sz w:val="30"/>
          <w:szCs w:val="30"/>
          <w:highlight w:val="none"/>
        </w:rPr>
        <w:br w:type="page" w:clear="all"/>
      </w:r>
      <w:bookmarkEnd w:id="168"/>
      <w:bookmarkEnd w:id="169"/>
      <w:bookmarkEnd w:id="170"/>
      <w:bookmarkEnd w:id="171"/>
      <w:bookmarkStart w:id="172" w:name="_Toc552"/>
      <w:bookmarkStart w:id="173" w:name="_Toc19159"/>
      <w:r>
        <w:rPr>
          <w:rFonts w:hint="eastAsia" w:ascii="宋体" w:hAnsi="宋体" w:eastAsia="宋体" w:cs="宋体"/>
          <w:b/>
          <w:bCs/>
          <w:color w:val="auto"/>
          <w:sz w:val="30"/>
          <w:szCs w:val="30"/>
          <w:highlight w:val="none"/>
        </w:rPr>
        <w:t>附件3  响应文件格式</w:t>
      </w:r>
      <w:bookmarkEnd w:id="172"/>
      <w:bookmarkEnd w:id="173"/>
    </w:p>
    <w:p w14:paraId="62E8EBA0">
      <w:pPr>
        <w:spacing w:line="500" w:lineRule="exact"/>
        <w:ind w:firstLine="880"/>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框架协议响应文件</w:t>
      </w:r>
    </w:p>
    <w:p w14:paraId="5F489DF1">
      <w:pPr>
        <w:spacing w:line="500" w:lineRule="exact"/>
        <w:ind w:firstLine="1434"/>
        <w:rPr>
          <w:rFonts w:ascii="宋体" w:hAnsi="宋体" w:eastAsia="宋体" w:cs="宋体"/>
          <w:b/>
          <w:color w:val="auto"/>
          <w:sz w:val="24"/>
          <w:highlight w:val="none"/>
        </w:rPr>
      </w:pPr>
    </w:p>
    <w:p w14:paraId="2429A635">
      <w:pPr>
        <w:spacing w:line="500" w:lineRule="exact"/>
        <w:ind w:firstLine="2072"/>
        <w:rPr>
          <w:rFonts w:ascii="宋体" w:hAnsi="宋体" w:eastAsia="宋体" w:cs="宋体"/>
          <w:b/>
          <w:color w:val="auto"/>
          <w:sz w:val="32"/>
          <w:szCs w:val="32"/>
          <w:highlight w:val="none"/>
        </w:rPr>
      </w:pPr>
    </w:p>
    <w:p w14:paraId="11497142">
      <w:pPr>
        <w:spacing w:line="500" w:lineRule="exact"/>
        <w:ind w:firstLine="2072"/>
        <w:rPr>
          <w:rFonts w:ascii="宋体" w:hAnsi="宋体" w:eastAsia="宋体" w:cs="宋体"/>
          <w:b/>
          <w:color w:val="auto"/>
          <w:sz w:val="32"/>
          <w:szCs w:val="32"/>
          <w:highlight w:val="none"/>
        </w:rPr>
      </w:pPr>
    </w:p>
    <w:p w14:paraId="46BB380A">
      <w:pPr>
        <w:spacing w:line="500" w:lineRule="exact"/>
        <w:ind w:firstLine="2072"/>
        <w:rPr>
          <w:rFonts w:ascii="宋体" w:hAnsi="宋体" w:eastAsia="宋体" w:cs="宋体"/>
          <w:b/>
          <w:color w:val="auto"/>
          <w:sz w:val="32"/>
          <w:szCs w:val="32"/>
          <w:highlight w:val="none"/>
        </w:rPr>
      </w:pPr>
    </w:p>
    <w:p w14:paraId="6E19785C">
      <w:pPr>
        <w:spacing w:line="500" w:lineRule="exact"/>
        <w:ind w:firstLine="2072"/>
        <w:rPr>
          <w:rFonts w:ascii="宋体" w:hAnsi="宋体" w:eastAsia="宋体" w:cs="宋体"/>
          <w:b/>
          <w:color w:val="auto"/>
          <w:sz w:val="32"/>
          <w:szCs w:val="32"/>
          <w:highlight w:val="none"/>
        </w:rPr>
      </w:pPr>
    </w:p>
    <w:p w14:paraId="0499D336">
      <w:pPr>
        <w:spacing w:line="500" w:lineRule="exact"/>
        <w:ind w:firstLine="2072"/>
        <w:rPr>
          <w:rFonts w:ascii="宋体" w:hAnsi="宋体" w:eastAsia="宋体" w:cs="宋体"/>
          <w:b/>
          <w:color w:val="auto"/>
          <w:sz w:val="32"/>
          <w:szCs w:val="32"/>
          <w:highlight w:val="none"/>
        </w:rPr>
      </w:pPr>
    </w:p>
    <w:p w14:paraId="3DF0E2EE">
      <w:pPr>
        <w:spacing w:line="500" w:lineRule="exact"/>
        <w:ind w:firstLine="2072"/>
        <w:rPr>
          <w:rFonts w:ascii="宋体" w:hAnsi="宋体" w:eastAsia="宋体" w:cs="宋体"/>
          <w:b/>
          <w:color w:val="auto"/>
          <w:sz w:val="32"/>
          <w:szCs w:val="32"/>
          <w:highlight w:val="none"/>
        </w:rPr>
      </w:pPr>
      <w:bookmarkStart w:id="174" w:name="_Toc591"/>
      <w:bookmarkStart w:id="175" w:name="_Toc23923"/>
      <w:bookmarkStart w:id="176" w:name="_Toc7462"/>
      <w:bookmarkStart w:id="177" w:name="_Toc14414"/>
      <w:bookmarkStart w:id="178" w:name="_Toc2653"/>
      <w:bookmarkStart w:id="179" w:name="_Toc23405"/>
      <w:bookmarkStart w:id="180" w:name="_Toc14897"/>
      <w:bookmarkStart w:id="181" w:name="_Toc6928"/>
      <w:bookmarkStart w:id="182" w:name="_Toc13230"/>
      <w:bookmarkStart w:id="183" w:name="_Toc4725"/>
      <w:bookmarkStart w:id="184" w:name="_Toc10579"/>
      <w:bookmarkStart w:id="185" w:name="_Toc906"/>
      <w:bookmarkStart w:id="186" w:name="_Toc28121"/>
      <w:bookmarkStart w:id="187" w:name="_Toc6206"/>
      <w:bookmarkStart w:id="188" w:name="_Toc28356"/>
      <w:r>
        <w:rPr>
          <w:rFonts w:hint="eastAsia" w:ascii="宋体" w:hAnsi="宋体" w:eastAsia="宋体" w:cs="宋体"/>
          <w:b/>
          <w:color w:val="auto"/>
          <w:sz w:val="32"/>
          <w:szCs w:val="32"/>
          <w:highlight w:val="none"/>
        </w:rPr>
        <w:t>项目名称：</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hint="eastAsia" w:ascii="宋体" w:hAnsi="宋体" w:eastAsia="宋体" w:cs="宋体"/>
          <w:b/>
          <w:color w:val="auto"/>
          <w:sz w:val="32"/>
          <w:szCs w:val="32"/>
          <w:highlight w:val="none"/>
          <w:u w:val="single"/>
        </w:rPr>
        <w:t xml:space="preserve">               </w:t>
      </w:r>
    </w:p>
    <w:p w14:paraId="076649FA">
      <w:pPr>
        <w:spacing w:line="500" w:lineRule="exact"/>
        <w:rPr>
          <w:rFonts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             </w:t>
      </w:r>
      <w:bookmarkStart w:id="189" w:name="_Toc26972"/>
      <w:bookmarkStart w:id="190" w:name="_Toc23529"/>
      <w:bookmarkStart w:id="191" w:name="_Toc13637"/>
      <w:bookmarkStart w:id="192" w:name="_Toc7743"/>
      <w:bookmarkStart w:id="193" w:name="_Toc20912"/>
      <w:bookmarkStart w:id="194" w:name="_Toc25246"/>
      <w:bookmarkStart w:id="195" w:name="_Toc11299"/>
      <w:bookmarkStart w:id="196" w:name="_Toc3687"/>
      <w:bookmarkStart w:id="197" w:name="_Toc14298"/>
      <w:bookmarkStart w:id="198" w:name="_Toc10369"/>
      <w:bookmarkStart w:id="199" w:name="_Toc11762"/>
      <w:bookmarkStart w:id="200" w:name="_Toc30272"/>
      <w:bookmarkStart w:id="201" w:name="_Toc29254"/>
      <w:bookmarkStart w:id="202" w:name="_Toc25489"/>
      <w:bookmarkStart w:id="203" w:name="_Toc9022"/>
      <w:r>
        <w:rPr>
          <w:rFonts w:hint="eastAsia" w:ascii="宋体" w:hAnsi="宋体" w:eastAsia="宋体" w:cs="宋体"/>
          <w:b/>
          <w:color w:val="auto"/>
          <w:sz w:val="32"/>
          <w:szCs w:val="32"/>
          <w:highlight w:val="none"/>
        </w:rPr>
        <w:t>计划编号：</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Fonts w:hint="eastAsia" w:ascii="宋体" w:hAnsi="宋体" w:eastAsia="宋体" w:cs="宋体"/>
          <w:b/>
          <w:color w:val="auto"/>
          <w:sz w:val="32"/>
          <w:szCs w:val="32"/>
          <w:highlight w:val="none"/>
          <w:u w:val="single"/>
        </w:rPr>
        <w:t xml:space="preserve">               </w:t>
      </w:r>
    </w:p>
    <w:p w14:paraId="4A02EE9E">
      <w:pPr>
        <w:spacing w:line="500" w:lineRule="exact"/>
        <w:jc w:val="center"/>
        <w:rPr>
          <w:rFonts w:ascii="宋体" w:hAnsi="宋体" w:eastAsia="宋体" w:cs="宋体"/>
          <w:b/>
          <w:color w:val="auto"/>
          <w:sz w:val="32"/>
          <w:szCs w:val="32"/>
          <w:highlight w:val="none"/>
          <w:u w:val="single"/>
        </w:rPr>
      </w:pPr>
    </w:p>
    <w:p w14:paraId="6F0C87D0">
      <w:pPr>
        <w:spacing w:line="500" w:lineRule="exact"/>
        <w:jc w:val="center"/>
        <w:rPr>
          <w:rFonts w:ascii="宋体" w:hAnsi="宋体" w:eastAsia="宋体" w:cs="宋体"/>
          <w:b/>
          <w:color w:val="auto"/>
          <w:sz w:val="32"/>
          <w:szCs w:val="32"/>
          <w:highlight w:val="none"/>
          <w:u w:val="single"/>
        </w:rPr>
      </w:pPr>
    </w:p>
    <w:p w14:paraId="7904E633">
      <w:pPr>
        <w:pStyle w:val="22"/>
        <w:spacing w:after="0" w:line="500" w:lineRule="exact"/>
        <w:rPr>
          <w:rFonts w:hAnsi="宋体" w:eastAsia="宋体" w:cs="宋体"/>
          <w:b/>
          <w:bCs/>
          <w:color w:val="auto"/>
          <w:sz w:val="32"/>
          <w:szCs w:val="32"/>
          <w:highlight w:val="none"/>
        </w:rPr>
      </w:pPr>
    </w:p>
    <w:p w14:paraId="14884BEF">
      <w:pPr>
        <w:pStyle w:val="22"/>
        <w:spacing w:after="0" w:line="500" w:lineRule="exact"/>
        <w:rPr>
          <w:rFonts w:hAnsi="宋体" w:eastAsia="宋体" w:cs="宋体"/>
          <w:b/>
          <w:bCs/>
          <w:color w:val="auto"/>
          <w:sz w:val="32"/>
          <w:szCs w:val="32"/>
          <w:highlight w:val="none"/>
        </w:rPr>
      </w:pPr>
    </w:p>
    <w:p w14:paraId="0B0FA17F">
      <w:pPr>
        <w:spacing w:line="500" w:lineRule="exact"/>
        <w:rPr>
          <w:rFonts w:ascii="宋体" w:hAnsi="宋体" w:eastAsia="宋体" w:cs="宋体"/>
          <w:b/>
          <w:color w:val="auto"/>
          <w:sz w:val="32"/>
          <w:szCs w:val="32"/>
          <w:highlight w:val="none"/>
        </w:rPr>
      </w:pPr>
      <w:bookmarkStart w:id="204" w:name="_Toc24726"/>
      <w:bookmarkStart w:id="205" w:name="_Toc14172"/>
      <w:bookmarkStart w:id="206" w:name="_Toc2419"/>
      <w:bookmarkStart w:id="207" w:name="_Toc26900"/>
      <w:bookmarkStart w:id="208" w:name="_Toc25279"/>
      <w:bookmarkStart w:id="209" w:name="_Toc9181"/>
      <w:bookmarkStart w:id="210" w:name="_Toc21610"/>
      <w:bookmarkStart w:id="211" w:name="_Toc25619"/>
      <w:bookmarkStart w:id="212" w:name="_Toc3655"/>
      <w:bookmarkStart w:id="213" w:name="_Toc8050"/>
      <w:bookmarkStart w:id="214" w:name="_Toc470"/>
      <w:bookmarkStart w:id="215" w:name="_Toc10136"/>
      <w:bookmarkStart w:id="216" w:name="_Toc7944"/>
      <w:bookmarkStart w:id="217" w:name="_Toc26333"/>
      <w:bookmarkStart w:id="218" w:name="_Toc2002"/>
      <w:r>
        <w:rPr>
          <w:rFonts w:hint="eastAsia" w:ascii="宋体" w:hAnsi="宋体" w:eastAsia="宋体" w:cs="宋体"/>
          <w:b/>
          <w:color w:val="auto"/>
          <w:sz w:val="32"/>
          <w:szCs w:val="32"/>
          <w:highlight w:val="none"/>
        </w:rPr>
        <w:t>供应商名称：</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2077C0CB">
      <w:pPr>
        <w:spacing w:line="500" w:lineRule="exact"/>
        <w:rPr>
          <w:rFonts w:ascii="宋体" w:hAnsi="宋体" w:eastAsia="宋体" w:cs="宋体"/>
          <w:b/>
          <w:color w:val="auto"/>
          <w:sz w:val="32"/>
          <w:szCs w:val="32"/>
          <w:highlight w:val="none"/>
        </w:rPr>
      </w:pPr>
      <w:bookmarkStart w:id="219" w:name="_Toc20255"/>
      <w:bookmarkStart w:id="220" w:name="_Toc27764"/>
      <w:bookmarkStart w:id="221" w:name="_Toc10251"/>
      <w:bookmarkStart w:id="222" w:name="_Toc5390"/>
      <w:bookmarkStart w:id="223" w:name="_Toc18442"/>
      <w:bookmarkStart w:id="224" w:name="_Toc25271"/>
      <w:bookmarkStart w:id="225" w:name="_Toc9463"/>
      <w:bookmarkStart w:id="226" w:name="_Toc27862"/>
      <w:bookmarkStart w:id="227" w:name="_Toc8905"/>
      <w:bookmarkStart w:id="228" w:name="_Toc7613"/>
      <w:bookmarkStart w:id="229" w:name="_Toc15798"/>
      <w:bookmarkStart w:id="230" w:name="_Toc17707"/>
      <w:bookmarkStart w:id="231" w:name="_Toc29270"/>
      <w:bookmarkStart w:id="232" w:name="_Toc20205"/>
      <w:bookmarkStart w:id="233" w:name="_Toc32677"/>
      <w:r>
        <w:rPr>
          <w:rFonts w:hint="eastAsia" w:ascii="宋体" w:hAnsi="宋体" w:eastAsia="宋体" w:cs="宋体"/>
          <w:b/>
          <w:color w:val="auto"/>
          <w:sz w:val="32"/>
          <w:szCs w:val="32"/>
          <w:highlight w:val="none"/>
        </w:rPr>
        <w:t>法定代表人或授权代表签字：</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71858FC2">
      <w:pPr>
        <w:spacing w:line="500" w:lineRule="exact"/>
        <w:rPr>
          <w:rFonts w:ascii="宋体" w:hAnsi="宋体" w:eastAsia="宋体" w:cs="宋体"/>
          <w:b/>
          <w:color w:val="auto"/>
          <w:sz w:val="32"/>
          <w:szCs w:val="32"/>
          <w:highlight w:val="none"/>
        </w:rPr>
      </w:pPr>
      <w:bookmarkStart w:id="234" w:name="_Toc26278"/>
      <w:bookmarkStart w:id="235" w:name="_Toc27104"/>
      <w:bookmarkStart w:id="236" w:name="_Toc5771"/>
      <w:bookmarkStart w:id="237" w:name="_Toc14279"/>
      <w:bookmarkStart w:id="238" w:name="_Toc10613"/>
      <w:bookmarkStart w:id="239" w:name="_Toc19940"/>
      <w:bookmarkStart w:id="240" w:name="_Toc19682"/>
      <w:bookmarkStart w:id="241" w:name="_Toc18264"/>
      <w:bookmarkStart w:id="242" w:name="_Toc28467"/>
      <w:bookmarkStart w:id="243" w:name="_Toc4298"/>
      <w:bookmarkStart w:id="244" w:name="_Toc15187"/>
      <w:bookmarkStart w:id="245" w:name="_Toc1577"/>
      <w:bookmarkStart w:id="246" w:name="_Toc7510"/>
      <w:bookmarkStart w:id="247" w:name="_Toc11519"/>
      <w:bookmarkStart w:id="248" w:name="_Toc3951"/>
      <w:r>
        <w:rPr>
          <w:rFonts w:hint="eastAsia" w:ascii="宋体" w:hAnsi="宋体" w:eastAsia="宋体" w:cs="宋体"/>
          <w:b/>
          <w:color w:val="auto"/>
          <w:sz w:val="32"/>
          <w:szCs w:val="32"/>
          <w:highlight w:val="none"/>
        </w:rPr>
        <w:t>地址：</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hint="eastAsia" w:ascii="宋体" w:hAnsi="宋体" w:eastAsia="宋体" w:cs="宋体"/>
          <w:b/>
          <w:color w:val="auto"/>
          <w:sz w:val="32"/>
          <w:szCs w:val="32"/>
          <w:highlight w:val="none"/>
        </w:rPr>
        <w:t xml:space="preserve"> </w:t>
      </w:r>
    </w:p>
    <w:p w14:paraId="4ED6B749">
      <w:pPr>
        <w:spacing w:line="500" w:lineRule="exact"/>
        <w:rPr>
          <w:rFonts w:ascii="宋体" w:hAnsi="宋体" w:eastAsia="宋体" w:cs="宋体"/>
          <w:b/>
          <w:color w:val="auto"/>
          <w:sz w:val="32"/>
          <w:szCs w:val="32"/>
          <w:highlight w:val="none"/>
        </w:rPr>
      </w:pPr>
      <w:bookmarkStart w:id="249" w:name="_Toc6452"/>
      <w:bookmarkStart w:id="250" w:name="_Toc12454"/>
      <w:bookmarkStart w:id="251" w:name="_Toc16412"/>
      <w:bookmarkStart w:id="252" w:name="_Toc8438"/>
      <w:bookmarkStart w:id="253" w:name="_Toc23373"/>
      <w:bookmarkStart w:id="254" w:name="_Toc1658"/>
      <w:bookmarkStart w:id="255" w:name="_Toc11328"/>
      <w:bookmarkStart w:id="256" w:name="_Toc22736"/>
      <w:bookmarkStart w:id="257" w:name="_Toc15494"/>
      <w:bookmarkStart w:id="258" w:name="_Toc874"/>
      <w:bookmarkStart w:id="259" w:name="_Toc1454"/>
      <w:bookmarkStart w:id="260" w:name="_Toc13972"/>
      <w:bookmarkStart w:id="261" w:name="_Toc16671"/>
      <w:bookmarkStart w:id="262" w:name="_Toc23497"/>
      <w:bookmarkStart w:id="263" w:name="_Toc6357"/>
      <w:r>
        <w:rPr>
          <w:rFonts w:hint="eastAsia" w:ascii="宋体" w:hAnsi="宋体" w:eastAsia="宋体" w:cs="宋体"/>
          <w:b/>
          <w:color w:val="auto"/>
          <w:sz w:val="32"/>
          <w:szCs w:val="32"/>
          <w:highlight w:val="none"/>
        </w:rPr>
        <w:t>联系电话：</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Fonts w:hint="eastAsia" w:ascii="宋体" w:hAnsi="宋体" w:eastAsia="宋体" w:cs="宋体"/>
          <w:b/>
          <w:color w:val="auto"/>
          <w:sz w:val="32"/>
          <w:szCs w:val="32"/>
          <w:highlight w:val="none"/>
        </w:rPr>
        <w:t xml:space="preserve"> </w:t>
      </w:r>
    </w:p>
    <w:p w14:paraId="4F5B40D9">
      <w:pPr>
        <w:spacing w:line="50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u w:val="single"/>
        </w:rPr>
        <w:t xml:space="preserve">      </w:t>
      </w:r>
      <w:bookmarkStart w:id="264" w:name="_Toc32508"/>
      <w:bookmarkStart w:id="265" w:name="_Toc24985"/>
      <w:bookmarkStart w:id="266" w:name="_Toc7089"/>
      <w:bookmarkStart w:id="267" w:name="_Toc11071"/>
      <w:bookmarkStart w:id="268" w:name="_Toc8991"/>
      <w:bookmarkStart w:id="269" w:name="_Toc25721"/>
      <w:bookmarkStart w:id="270" w:name="_Toc26274"/>
      <w:bookmarkStart w:id="271" w:name="_Toc2904"/>
      <w:bookmarkStart w:id="272" w:name="_Toc6893"/>
      <w:bookmarkStart w:id="273" w:name="_Toc14201"/>
      <w:bookmarkStart w:id="274" w:name="_Toc14283"/>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日</w:t>
      </w:r>
      <w:bookmarkEnd w:id="264"/>
      <w:bookmarkEnd w:id="265"/>
      <w:bookmarkEnd w:id="266"/>
      <w:bookmarkEnd w:id="267"/>
      <w:bookmarkEnd w:id="268"/>
      <w:bookmarkEnd w:id="269"/>
      <w:bookmarkEnd w:id="270"/>
      <w:bookmarkEnd w:id="271"/>
      <w:bookmarkEnd w:id="272"/>
      <w:bookmarkEnd w:id="273"/>
      <w:bookmarkEnd w:id="274"/>
    </w:p>
    <w:p w14:paraId="3C762E9D">
      <w:pPr>
        <w:spacing w:line="500" w:lineRule="exact"/>
        <w:ind w:firstLine="954"/>
        <w:rPr>
          <w:rFonts w:ascii="宋体" w:hAnsi="宋体" w:eastAsia="宋体" w:cs="宋体"/>
          <w:b/>
          <w:color w:val="auto"/>
          <w:sz w:val="24"/>
          <w:highlight w:val="none"/>
        </w:rPr>
      </w:pPr>
    </w:p>
    <w:p w14:paraId="6EF718D3">
      <w:pPr>
        <w:spacing w:line="500" w:lineRule="exact"/>
        <w:ind w:firstLine="560"/>
        <w:rPr>
          <w:rFonts w:ascii="宋体" w:hAnsi="宋体" w:eastAsia="宋体" w:cs="宋体"/>
          <w:color w:val="auto"/>
          <w:sz w:val="28"/>
          <w:szCs w:val="28"/>
          <w:highlight w:val="none"/>
        </w:rPr>
      </w:pPr>
      <w:bookmarkStart w:id="275" w:name="_Toc21416"/>
      <w:r>
        <w:rPr>
          <w:rFonts w:hint="eastAsia" w:ascii="宋体" w:hAnsi="宋体" w:eastAsia="宋体" w:cs="宋体"/>
          <w:color w:val="auto"/>
          <w:sz w:val="28"/>
          <w:szCs w:val="28"/>
          <w:highlight w:val="none"/>
        </w:rPr>
        <w:br w:type="page" w:clear="all"/>
      </w:r>
      <w:bookmarkEnd w:id="275"/>
      <w:bookmarkStart w:id="276" w:name="_Toc13372"/>
      <w:bookmarkStart w:id="277" w:name="_Toc2224"/>
      <w:bookmarkStart w:id="278" w:name="_Toc9118"/>
      <w:bookmarkStart w:id="279" w:name="_Toc12434"/>
    </w:p>
    <w:p w14:paraId="60450867">
      <w:pPr>
        <w:spacing w:line="500" w:lineRule="exact"/>
        <w:ind w:firstLine="560"/>
        <w:outlineLvl w:val="1"/>
        <w:rPr>
          <w:rFonts w:ascii="仿宋" w:hAnsi="仿宋" w:eastAsia="仿宋"/>
          <w:color w:val="auto"/>
          <w:sz w:val="28"/>
          <w:szCs w:val="28"/>
          <w:highlight w:val="none"/>
        </w:rPr>
      </w:pPr>
      <w:bookmarkStart w:id="280" w:name="_Toc32145"/>
      <w:bookmarkStart w:id="281" w:name="_Toc2853"/>
      <w:bookmarkStart w:id="282" w:name="_Toc18276"/>
      <w:r>
        <w:rPr>
          <w:rFonts w:hint="eastAsia" w:ascii="仿宋" w:hAnsi="仿宋" w:eastAsia="仿宋"/>
          <w:color w:val="auto"/>
          <w:sz w:val="28"/>
          <w:szCs w:val="28"/>
          <w:highlight w:val="none"/>
        </w:rPr>
        <w:t>一、开标一览表（唱标）</w:t>
      </w:r>
      <w:bookmarkEnd w:id="280"/>
      <w:bookmarkEnd w:id="281"/>
      <w:bookmarkEnd w:id="282"/>
    </w:p>
    <w:p w14:paraId="41CBFFB6">
      <w:pPr>
        <w:jc w:val="center"/>
        <w:rPr>
          <w:rFonts w:ascii="仿宋" w:hAnsi="仿宋" w:eastAsia="仿宋"/>
          <w:color w:val="auto"/>
          <w:sz w:val="36"/>
          <w:szCs w:val="36"/>
          <w:highlight w:val="none"/>
        </w:rPr>
      </w:pPr>
    </w:p>
    <w:p w14:paraId="26B39BA0">
      <w:pPr>
        <w:jc w:val="center"/>
        <w:rPr>
          <w:rFonts w:ascii="仿宋" w:hAnsi="仿宋" w:eastAsia="仿宋"/>
          <w:color w:val="auto"/>
          <w:sz w:val="36"/>
          <w:szCs w:val="36"/>
          <w:highlight w:val="none"/>
        </w:rPr>
      </w:pPr>
      <w:r>
        <w:rPr>
          <w:rFonts w:hint="eastAsia" w:ascii="仿宋" w:hAnsi="仿宋" w:eastAsia="仿宋"/>
          <w:color w:val="auto"/>
          <w:sz w:val="36"/>
          <w:szCs w:val="36"/>
          <w:highlight w:val="none"/>
        </w:rPr>
        <w:t>开标一览表</w:t>
      </w:r>
    </w:p>
    <w:p w14:paraId="3214AB55">
      <w:pPr>
        <w:tabs>
          <w:tab w:val="left" w:pos="1800"/>
          <w:tab w:val="left" w:pos="5580"/>
        </w:tabs>
        <w:spacing w:line="240" w:lineRule="atLeast"/>
        <w:ind w:left="1080" w:right="-867" w:hanging="540"/>
        <w:rPr>
          <w:rFonts w:ascii="仿宋" w:hAnsi="仿宋" w:eastAsia="仿宋"/>
          <w:color w:val="auto"/>
          <w:sz w:val="24"/>
          <w:highlight w:val="none"/>
        </w:rPr>
      </w:pPr>
    </w:p>
    <w:p w14:paraId="35060D94">
      <w:pPr>
        <w:tabs>
          <w:tab w:val="left" w:pos="1800"/>
          <w:tab w:val="left" w:pos="5580"/>
        </w:tabs>
        <w:spacing w:line="500" w:lineRule="exact"/>
        <w:ind w:left="1080" w:right="-867" w:hanging="540"/>
        <w:rPr>
          <w:rFonts w:ascii="仿宋" w:hAnsi="仿宋" w:eastAsia="仿宋"/>
          <w:color w:val="auto"/>
          <w:sz w:val="24"/>
          <w:highlight w:val="none"/>
        </w:rPr>
      </w:pPr>
      <w:r>
        <w:rPr>
          <w:rFonts w:hint="eastAsia" w:ascii="仿宋" w:hAnsi="仿宋" w:eastAsia="仿宋"/>
          <w:color w:val="auto"/>
          <w:sz w:val="24"/>
          <w:highlight w:val="none"/>
        </w:rPr>
        <w:t xml:space="preserve">项目名称：　                  招标编号：                 包号：         </w:t>
      </w:r>
    </w:p>
    <w:p w14:paraId="18073CA2">
      <w:pPr>
        <w:tabs>
          <w:tab w:val="left" w:pos="1800"/>
          <w:tab w:val="left" w:pos="5580"/>
        </w:tabs>
        <w:spacing w:line="500" w:lineRule="exact"/>
        <w:ind w:left="1080" w:right="-867" w:hanging="540"/>
        <w:rPr>
          <w:rFonts w:ascii="仿宋" w:hAnsi="仿宋" w:eastAsia="仿宋"/>
          <w:color w:val="auto"/>
          <w:sz w:val="24"/>
          <w:highlight w:val="none"/>
        </w:rPr>
      </w:pPr>
      <w:r>
        <w:rPr>
          <w:rFonts w:hint="eastAsia" w:ascii="仿宋" w:hAnsi="仿宋" w:eastAsia="仿宋"/>
          <w:color w:val="auto"/>
          <w:sz w:val="24"/>
          <w:highlight w:val="none"/>
        </w:rPr>
        <w:t>报价单位：人民币 （</w:t>
      </w:r>
      <w:r>
        <w:rPr>
          <w:rFonts w:hint="eastAsia" w:ascii="仿宋" w:hAnsi="仿宋" w:eastAsia="仿宋"/>
          <w:color w:val="auto"/>
          <w:sz w:val="24"/>
          <w:highlight w:val="none"/>
          <w:lang w:val="en-US" w:eastAsia="zh-CN"/>
        </w:rPr>
        <w:t>元</w:t>
      </w:r>
      <w:r>
        <w:rPr>
          <w:rFonts w:hint="eastAsia" w:ascii="仿宋" w:hAnsi="仿宋" w:eastAsia="仿宋"/>
          <w:color w:val="auto"/>
          <w:sz w:val="24"/>
          <w:highlight w:val="none"/>
        </w:rPr>
        <w:t>）</w:t>
      </w:r>
    </w:p>
    <w:tbl>
      <w:tblPr>
        <w:tblStyle w:val="41"/>
        <w:tblW w:w="9111"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20"/>
        <w:gridCol w:w="3211"/>
        <w:gridCol w:w="1160"/>
        <w:gridCol w:w="1886"/>
        <w:gridCol w:w="1434"/>
      </w:tblGrid>
      <w:tr w14:paraId="4AEB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5" w:hRule="atLeast"/>
        </w:trPr>
        <w:tc>
          <w:tcPr>
            <w:tcW w:w="1420" w:type="dxa"/>
            <w:noWrap w:val="0"/>
            <w:vAlign w:val="center"/>
          </w:tcPr>
          <w:p w14:paraId="327C4267">
            <w:pPr>
              <w:tabs>
                <w:tab w:val="left" w:pos="5580"/>
              </w:tabs>
              <w:spacing w:line="500" w:lineRule="exact"/>
              <w:ind w:right="-199"/>
              <w:jc w:val="center"/>
              <w:rPr>
                <w:rFonts w:ascii="仿宋" w:hAnsi="仿宋" w:eastAsia="仿宋"/>
                <w:color w:val="auto"/>
                <w:sz w:val="24"/>
                <w:highlight w:val="none"/>
              </w:rPr>
            </w:pPr>
            <w:r>
              <w:rPr>
                <w:rFonts w:hint="eastAsia" w:ascii="仿宋" w:hAnsi="仿宋" w:eastAsia="仿宋"/>
                <w:color w:val="auto"/>
                <w:sz w:val="24"/>
                <w:highlight w:val="none"/>
              </w:rPr>
              <w:t>项目名称</w:t>
            </w:r>
          </w:p>
        </w:tc>
        <w:tc>
          <w:tcPr>
            <w:tcW w:w="3211" w:type="dxa"/>
            <w:noWrap w:val="0"/>
            <w:vAlign w:val="center"/>
          </w:tcPr>
          <w:p w14:paraId="34FC3D5A">
            <w:pPr>
              <w:tabs>
                <w:tab w:val="left" w:pos="5580"/>
              </w:tabs>
              <w:spacing w:line="500" w:lineRule="exact"/>
              <w:jc w:val="center"/>
              <w:rPr>
                <w:rFonts w:ascii="仿宋" w:hAnsi="仿宋" w:eastAsia="仿宋"/>
                <w:color w:val="auto"/>
                <w:sz w:val="24"/>
                <w:highlight w:val="none"/>
              </w:rPr>
            </w:pPr>
            <w:r>
              <w:rPr>
                <w:rFonts w:hint="eastAsia" w:ascii="仿宋" w:hAnsi="仿宋" w:eastAsia="仿宋"/>
                <w:color w:val="auto"/>
                <w:sz w:val="24"/>
                <w:highlight w:val="none"/>
              </w:rPr>
              <w:t>投标报价</w:t>
            </w:r>
          </w:p>
        </w:tc>
        <w:tc>
          <w:tcPr>
            <w:tcW w:w="1160" w:type="dxa"/>
            <w:noWrap w:val="0"/>
            <w:vAlign w:val="center"/>
          </w:tcPr>
          <w:p w14:paraId="0FB08701">
            <w:pPr>
              <w:tabs>
                <w:tab w:val="left" w:pos="5580"/>
              </w:tabs>
              <w:spacing w:line="500" w:lineRule="exact"/>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服务期限</w:t>
            </w:r>
          </w:p>
        </w:tc>
        <w:tc>
          <w:tcPr>
            <w:tcW w:w="1886" w:type="dxa"/>
            <w:noWrap w:val="0"/>
            <w:vAlign w:val="center"/>
          </w:tcPr>
          <w:p w14:paraId="449B6DEF">
            <w:pPr>
              <w:tabs>
                <w:tab w:val="left" w:pos="5580"/>
              </w:tabs>
              <w:spacing w:line="500" w:lineRule="exact"/>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服务</w:t>
            </w:r>
            <w:r>
              <w:rPr>
                <w:rFonts w:hint="eastAsia" w:ascii="仿宋" w:hAnsi="仿宋" w:eastAsia="仿宋"/>
                <w:color w:val="auto"/>
                <w:sz w:val="24"/>
                <w:highlight w:val="none"/>
              </w:rPr>
              <w:t>地点</w:t>
            </w:r>
          </w:p>
        </w:tc>
        <w:tc>
          <w:tcPr>
            <w:tcW w:w="1434" w:type="dxa"/>
            <w:noWrap w:val="0"/>
            <w:vAlign w:val="center"/>
          </w:tcPr>
          <w:p w14:paraId="2B8892E8">
            <w:pPr>
              <w:tabs>
                <w:tab w:val="left" w:pos="5580"/>
              </w:tabs>
              <w:spacing w:line="500" w:lineRule="exact"/>
              <w:jc w:val="center"/>
              <w:rPr>
                <w:rFonts w:ascii="仿宋" w:hAnsi="仿宋" w:eastAsia="仿宋"/>
                <w:color w:val="auto"/>
                <w:sz w:val="24"/>
                <w:highlight w:val="none"/>
              </w:rPr>
            </w:pPr>
            <w:r>
              <w:rPr>
                <w:rFonts w:hint="eastAsia" w:ascii="仿宋" w:hAnsi="仿宋" w:eastAsia="仿宋"/>
                <w:color w:val="auto"/>
                <w:sz w:val="24"/>
                <w:highlight w:val="none"/>
              </w:rPr>
              <w:t>备注</w:t>
            </w:r>
          </w:p>
        </w:tc>
      </w:tr>
      <w:tr w14:paraId="6157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12" w:hRule="atLeast"/>
        </w:trPr>
        <w:tc>
          <w:tcPr>
            <w:tcW w:w="1420" w:type="dxa"/>
            <w:noWrap w:val="0"/>
            <w:vAlign w:val="center"/>
          </w:tcPr>
          <w:p w14:paraId="68424D3D">
            <w:pPr>
              <w:tabs>
                <w:tab w:val="left" w:pos="5580"/>
              </w:tabs>
              <w:spacing w:line="240" w:lineRule="auto"/>
              <w:jc w:val="both"/>
              <w:rPr>
                <w:rFonts w:hint="eastAsia" w:ascii="仿宋" w:hAnsi="仿宋" w:eastAsia="仿宋"/>
                <w:color w:val="auto"/>
                <w:sz w:val="24"/>
                <w:highlight w:val="none"/>
                <w:lang w:eastAsia="zh-CN"/>
              </w:rPr>
            </w:pPr>
            <w:r>
              <w:rPr>
                <w:rFonts w:hint="eastAsia" w:ascii="仿宋" w:hAnsi="仿宋" w:eastAsia="仿宋"/>
                <w:color w:val="auto"/>
                <w:sz w:val="24"/>
                <w:highlight w:val="none"/>
              </w:rPr>
              <w:t>202</w:t>
            </w:r>
            <w:r>
              <w:rPr>
                <w:rFonts w:hint="eastAsia" w:ascii="仿宋" w:hAnsi="仿宋" w:eastAsia="仿宋"/>
                <w:color w:val="auto"/>
                <w:sz w:val="24"/>
                <w:highlight w:val="none"/>
                <w:lang w:val="en-US" w:eastAsia="zh-CN"/>
              </w:rPr>
              <w:t>6</w:t>
            </w:r>
            <w:r>
              <w:rPr>
                <w:rFonts w:hint="eastAsia" w:ascii="仿宋" w:hAnsi="仿宋" w:eastAsia="仿宋"/>
                <w:color w:val="auto"/>
                <w:sz w:val="24"/>
                <w:highlight w:val="none"/>
              </w:rPr>
              <w:t>年食品、食用农产品抽检项目</w:t>
            </w:r>
          </w:p>
        </w:tc>
        <w:tc>
          <w:tcPr>
            <w:tcW w:w="3211" w:type="dxa"/>
            <w:noWrap w:val="0"/>
            <w:vAlign w:val="center"/>
          </w:tcPr>
          <w:p w14:paraId="6EC6D991">
            <w:pPr>
              <w:tabs>
                <w:tab w:val="left" w:pos="5580"/>
              </w:tabs>
              <w:spacing w:line="500" w:lineRule="exact"/>
              <w:jc w:val="left"/>
              <w:rPr>
                <w:rFonts w:ascii="仿宋" w:hAnsi="仿宋" w:eastAsia="仿宋"/>
                <w:color w:val="auto"/>
                <w:sz w:val="24"/>
                <w:highlight w:val="none"/>
              </w:rPr>
            </w:pPr>
            <w:r>
              <w:rPr>
                <w:rFonts w:hint="eastAsia" w:ascii="仿宋" w:hAnsi="仿宋" w:eastAsia="仿宋"/>
                <w:color w:val="auto"/>
                <w:sz w:val="24"/>
                <w:highlight w:val="none"/>
              </w:rPr>
              <w:t>小写：</w:t>
            </w:r>
          </w:p>
          <w:p w14:paraId="670D705B">
            <w:pPr>
              <w:tabs>
                <w:tab w:val="left" w:pos="5580"/>
              </w:tabs>
              <w:spacing w:line="500" w:lineRule="exact"/>
              <w:jc w:val="left"/>
              <w:rPr>
                <w:rFonts w:ascii="仿宋" w:hAnsi="仿宋" w:eastAsia="仿宋"/>
                <w:color w:val="auto"/>
                <w:sz w:val="24"/>
                <w:highlight w:val="none"/>
              </w:rPr>
            </w:pPr>
            <w:r>
              <w:rPr>
                <w:rFonts w:hint="eastAsia" w:ascii="仿宋" w:hAnsi="仿宋" w:eastAsia="仿宋"/>
                <w:color w:val="auto"/>
                <w:sz w:val="24"/>
                <w:highlight w:val="none"/>
              </w:rPr>
              <w:t>大写：</w:t>
            </w:r>
          </w:p>
        </w:tc>
        <w:tc>
          <w:tcPr>
            <w:tcW w:w="1160" w:type="dxa"/>
            <w:noWrap w:val="0"/>
            <w:vAlign w:val="center"/>
          </w:tcPr>
          <w:p w14:paraId="28B301A1">
            <w:pPr>
              <w:tabs>
                <w:tab w:val="left" w:pos="5580"/>
              </w:tabs>
              <w:spacing w:line="500" w:lineRule="exact"/>
              <w:ind w:left="1080" w:hanging="540"/>
              <w:jc w:val="center"/>
              <w:rPr>
                <w:rFonts w:ascii="仿宋" w:hAnsi="仿宋" w:eastAsia="仿宋"/>
                <w:color w:val="auto"/>
                <w:sz w:val="24"/>
                <w:highlight w:val="none"/>
              </w:rPr>
            </w:pPr>
          </w:p>
        </w:tc>
        <w:tc>
          <w:tcPr>
            <w:tcW w:w="1886" w:type="dxa"/>
            <w:noWrap w:val="0"/>
            <w:vAlign w:val="center"/>
          </w:tcPr>
          <w:p w14:paraId="7182A38A">
            <w:pPr>
              <w:tabs>
                <w:tab w:val="left" w:pos="5580"/>
              </w:tabs>
              <w:spacing w:line="500" w:lineRule="exact"/>
              <w:ind w:left="1080" w:hanging="540"/>
              <w:jc w:val="center"/>
              <w:rPr>
                <w:rFonts w:ascii="仿宋" w:hAnsi="仿宋" w:eastAsia="仿宋"/>
                <w:color w:val="auto"/>
                <w:sz w:val="24"/>
                <w:highlight w:val="none"/>
              </w:rPr>
            </w:pPr>
          </w:p>
        </w:tc>
        <w:tc>
          <w:tcPr>
            <w:tcW w:w="1434" w:type="dxa"/>
            <w:noWrap w:val="0"/>
            <w:vAlign w:val="center"/>
          </w:tcPr>
          <w:p w14:paraId="16D1A5B4">
            <w:pPr>
              <w:tabs>
                <w:tab w:val="left" w:pos="5580"/>
              </w:tabs>
              <w:spacing w:line="240" w:lineRule="auto"/>
              <w:jc w:val="both"/>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单价报价，食品抽检最高单价限价为人民币450元/批次。</w:t>
            </w:r>
          </w:p>
        </w:tc>
      </w:tr>
    </w:tbl>
    <w:p w14:paraId="7C09E702">
      <w:pPr>
        <w:spacing w:line="500" w:lineRule="exact"/>
        <w:ind w:firstLine="30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08030352">
      <w:pPr>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法定代表人或授权代表签字：</w:t>
      </w:r>
      <w:r>
        <w:rPr>
          <w:rFonts w:hint="eastAsia" w:ascii="仿宋" w:hAnsi="仿宋" w:eastAsia="仿宋"/>
          <w:color w:val="auto"/>
          <w:sz w:val="28"/>
          <w:szCs w:val="28"/>
          <w:highlight w:val="none"/>
          <w:u w:val="single"/>
        </w:rPr>
        <w:t xml:space="preserve">            </w:t>
      </w:r>
    </w:p>
    <w:p w14:paraId="5871D9CD">
      <w:pPr>
        <w:spacing w:line="500" w:lineRule="exact"/>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7936F482">
      <w:pPr>
        <w:spacing w:line="500" w:lineRule="exact"/>
        <w:ind w:firstLine="560"/>
        <w:rPr>
          <w:rFonts w:ascii="仿宋" w:hAnsi="仿宋" w:eastAsia="仿宋"/>
          <w:color w:val="auto"/>
          <w:sz w:val="28"/>
          <w:szCs w:val="28"/>
          <w:highlight w:val="none"/>
        </w:rPr>
      </w:pPr>
    </w:p>
    <w:p w14:paraId="7FC8D560">
      <w:pPr>
        <w:pStyle w:val="32"/>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注意：</w:t>
      </w:r>
    </w:p>
    <w:p w14:paraId="145CE108">
      <w:pPr>
        <w:pStyle w:val="32"/>
        <w:numPr>
          <w:ilvl w:val="0"/>
          <w:numId w:val="5"/>
        </w:numPr>
        <w:spacing w:line="360" w:lineRule="auto"/>
        <w:ind w:firstLine="723"/>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本表投标人编写一份（不区分正副本）。</w:t>
      </w:r>
    </w:p>
    <w:p w14:paraId="43915FA2">
      <w:pPr>
        <w:pStyle w:val="32"/>
        <w:numPr>
          <w:ilvl w:val="0"/>
          <w:numId w:val="5"/>
        </w:numPr>
        <w:spacing w:line="360" w:lineRule="auto"/>
        <w:ind w:firstLine="720"/>
        <w:rPr>
          <w:rFonts w:ascii="仿宋" w:hAnsi="仿宋" w:eastAsia="仿宋"/>
          <w:color w:val="auto"/>
          <w:sz w:val="24"/>
          <w:szCs w:val="24"/>
          <w:highlight w:val="none"/>
        </w:rPr>
      </w:pPr>
      <w:r>
        <w:rPr>
          <w:rFonts w:hint="eastAsia" w:ascii="仿宋" w:hAnsi="仿宋" w:eastAsia="仿宋"/>
          <w:color w:val="auto"/>
          <w:sz w:val="24"/>
          <w:szCs w:val="24"/>
          <w:highlight w:val="none"/>
        </w:rPr>
        <w:t>投标文件中开标一览表内容与投标文件中相应内容不一致的，以开标一览表为准。</w:t>
      </w:r>
    </w:p>
    <w:p w14:paraId="012DB6BD">
      <w:pPr>
        <w:spacing w:line="500" w:lineRule="exact"/>
        <w:rPr>
          <w:rFonts w:ascii="仿宋" w:hAnsi="仿宋" w:eastAsia="仿宋" w:cs="仿宋"/>
          <w:color w:val="auto"/>
          <w:sz w:val="28"/>
          <w:szCs w:val="28"/>
          <w:highlight w:val="none"/>
        </w:rPr>
      </w:pPr>
      <w:r>
        <w:rPr>
          <w:rFonts w:hint="eastAsia" w:ascii="黑体" w:hAnsi="黑体" w:eastAsia="黑体"/>
          <w:color w:val="auto"/>
          <w:sz w:val="28"/>
          <w:szCs w:val="28"/>
          <w:highlight w:val="none"/>
        </w:rPr>
        <w:br w:type="page" w:clear="all"/>
      </w:r>
    </w:p>
    <w:p w14:paraId="2C452B9B">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、资格证明文件</w:t>
      </w:r>
    </w:p>
    <w:p w14:paraId="2F4ACC82">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（一）法人或者其他组织的营业执照，自然人的身份证明（复印件）。</w:t>
      </w:r>
    </w:p>
    <w:p w14:paraId="1863A1FE">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（二）参加本次采购活动前的会计报表（复印件，成立不满一年不需提供）。</w:t>
      </w:r>
    </w:p>
    <w:p w14:paraId="45215680">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参加本次采购活动前一年内至少一个月缴纳增值税、营业税或者企业所得税的凭据（如属于免税单位的需出具税务部门免税证明材料复印件），以及缴纳社会保险的凭据（专用收据或者社会保险缴纳清单）（复印件）。</w:t>
      </w:r>
    </w:p>
    <w:p w14:paraId="77222C5D">
      <w:pP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p>
    <w:p w14:paraId="4C7210AF">
      <w:pPr>
        <w:spacing w:line="50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）根据项目需求提供履行合同必需的设备和专业技术能力的声明及证明材料（原件）</w:t>
      </w:r>
    </w:p>
    <w:p w14:paraId="1C1A0767">
      <w:pPr>
        <w:spacing w:line="500" w:lineRule="exact"/>
        <w:ind w:firstLine="720"/>
        <w:jc w:val="center"/>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声  明</w:t>
      </w:r>
    </w:p>
    <w:p w14:paraId="1A317B20">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722EA491">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主要设备有：________。</w:t>
      </w:r>
    </w:p>
    <w:p w14:paraId="5BB521C3">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主要专业技术能力有：________。</w:t>
      </w:r>
    </w:p>
    <w:p w14:paraId="23A05FFC">
      <w:pPr>
        <w:spacing w:line="500" w:lineRule="exact"/>
        <w:ind w:firstLine="560"/>
        <w:rPr>
          <w:rFonts w:ascii="仿宋" w:hAnsi="仿宋" w:eastAsia="仿宋" w:cs="仿宋"/>
          <w:color w:val="auto"/>
          <w:sz w:val="28"/>
          <w:szCs w:val="28"/>
          <w:highlight w:val="none"/>
        </w:rPr>
      </w:pPr>
    </w:p>
    <w:p w14:paraId="562C3C85">
      <w:pPr>
        <w:spacing w:line="500" w:lineRule="exact"/>
        <w:ind w:firstLine="25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供应商名称（公章）：</w:t>
      </w:r>
    </w:p>
    <w:p w14:paraId="6A25EACD">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授权代表签字：_________________</w:t>
      </w:r>
    </w:p>
    <w:p w14:paraId="70AE5E82">
      <w:pPr>
        <w:spacing w:line="500" w:lineRule="exact"/>
        <w:ind w:firstLine="560"/>
        <w:jc w:val="lef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                           日期：______年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FE95349">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6609EC23">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）参加政府采购活动前 3 年内在经营活动中没有重大违法记录的书面声明（原件）。</w:t>
      </w:r>
    </w:p>
    <w:p w14:paraId="45F8BE2B">
      <w:pPr>
        <w:spacing w:line="500" w:lineRule="exact"/>
        <w:jc w:val="center"/>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声  明</w:t>
      </w:r>
    </w:p>
    <w:p w14:paraId="5F6F6785">
      <w:pPr>
        <w:spacing w:line="500" w:lineRule="exact"/>
        <w:ind w:firstLine="48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0ED7C565">
      <w:pPr>
        <w:spacing w:line="500" w:lineRule="exact"/>
        <w:ind w:firstLine="48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在投标截止时间节点，没有被“信用中国”、“中国政府采购网”、“信用江苏”网站列入失信被执行人、重大税收违法案件当事人名单、政府采购严重违法失信行为记录名单。</w:t>
      </w:r>
    </w:p>
    <w:p w14:paraId="3FFCF6E2">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供应商名称（公章）：</w:t>
      </w:r>
    </w:p>
    <w:p w14:paraId="4FCF30B8">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授权代表签字：_________________</w:t>
      </w:r>
    </w:p>
    <w:p w14:paraId="503740C9">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日期：______年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237D7BF">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01F3C1DC">
      <w:pPr>
        <w:spacing w:line="500" w:lineRule="exact"/>
        <w:ind w:firstLine="560"/>
        <w:jc w:val="left"/>
        <w:rPr>
          <w:rFonts w:ascii="宋体" w:hAnsi="宋体" w:eastAsia="宋体" w:cs="宋体"/>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）法定代表人授权委托书（原件）</w:t>
      </w:r>
      <w:r>
        <w:rPr>
          <w:rFonts w:hint="eastAsia" w:ascii="宋体" w:hAnsi="宋体" w:eastAsia="宋体" w:cs="宋体"/>
          <w:color w:val="auto"/>
          <w:sz w:val="28"/>
          <w:szCs w:val="28"/>
          <w:highlight w:val="none"/>
        </w:rPr>
        <w:t>。</w:t>
      </w:r>
    </w:p>
    <w:p w14:paraId="1B99D789">
      <w:pPr>
        <w:spacing w:line="500" w:lineRule="exact"/>
        <w:jc w:val="center"/>
        <w:rPr>
          <w:rFonts w:ascii="仿宋" w:hAnsi="仿宋" w:eastAsia="仿宋" w:cs="仿宋"/>
          <w:i/>
          <w:color w:val="auto"/>
          <w:sz w:val="28"/>
          <w:szCs w:val="28"/>
          <w:highlight w:val="none"/>
        </w:rPr>
      </w:pPr>
      <w:r>
        <w:rPr>
          <w:rFonts w:hint="eastAsia" w:ascii="仿宋" w:hAnsi="仿宋" w:eastAsia="仿宋" w:cs="仿宋"/>
          <w:color w:val="auto"/>
          <w:sz w:val="28"/>
          <w:szCs w:val="28"/>
          <w:highlight w:val="none"/>
        </w:rPr>
        <w:t>法定代表人授权委托书</w:t>
      </w:r>
    </w:p>
    <w:p w14:paraId="7F051A93">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本授权书声明：____________（供应商名称）授权________________（被授权人的姓名）为我方就项目名称：____________项目编号:____________采购活动的合法代理人，以本公司名义全权处理一切与该项目采购有关的事务。</w:t>
      </w:r>
    </w:p>
    <w:p w14:paraId="21D3A4C0">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本授权书于______年____月____日起生效，特此声明。</w:t>
      </w:r>
    </w:p>
    <w:p w14:paraId="20563F7F">
      <w:pPr>
        <w:pStyle w:val="197"/>
        <w:spacing w:line="500" w:lineRule="exact"/>
        <w:ind w:firstLine="480"/>
        <w:rPr>
          <w:rFonts w:ascii="仿宋" w:hAnsi="仿宋" w:eastAsia="仿宋" w:cs="仿宋"/>
          <w:color w:val="auto"/>
          <w:sz w:val="28"/>
          <w:szCs w:val="28"/>
          <w:highlight w:val="none"/>
        </w:rPr>
      </w:pPr>
    </w:p>
    <w:p w14:paraId="64741103">
      <w:pPr>
        <w:pStyle w:val="197"/>
        <w:spacing w:line="500" w:lineRule="exact"/>
        <w:ind w:firstLine="48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法定代表人（签字）： </w:t>
      </w:r>
      <w:r>
        <w:rPr>
          <w:rFonts w:hint="eastAsia" w:ascii="仿宋" w:hAnsi="仿宋" w:eastAsia="仿宋" w:cs="仿宋"/>
          <w:color w:val="auto"/>
          <w:sz w:val="28"/>
          <w:szCs w:val="28"/>
          <w:highlight w:val="none"/>
          <w:u w:val="single"/>
        </w:rPr>
        <w:t xml:space="preserve">               </w:t>
      </w:r>
    </w:p>
    <w:p w14:paraId="6ACE8359">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2B0DB3EA">
      <w:pPr>
        <w:pStyle w:val="197"/>
        <w:spacing w:line="500" w:lineRule="exact"/>
        <w:ind w:firstLine="23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联系电话（手机）：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593B74B">
      <w:pPr>
        <w:pStyle w:val="197"/>
        <w:spacing w:line="500" w:lineRule="exact"/>
        <w:ind w:firstLine="480"/>
        <w:rPr>
          <w:rFonts w:ascii="仿宋" w:hAnsi="仿宋" w:eastAsia="仿宋" w:cs="仿宋"/>
          <w:color w:val="auto"/>
          <w:sz w:val="28"/>
          <w:szCs w:val="28"/>
          <w:highlight w:val="none"/>
        </w:rPr>
      </w:pPr>
    </w:p>
    <w:p w14:paraId="41B3F308">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代理人（被授权人）姓名：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747E56D">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6830336">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联系电话（手机）：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49D4DC4">
      <w:pPr>
        <w:pStyle w:val="197"/>
        <w:spacing w:line="500" w:lineRule="exact"/>
        <w:ind w:firstLine="480"/>
        <w:rPr>
          <w:rFonts w:ascii="仿宋" w:hAnsi="仿宋" w:eastAsia="仿宋" w:cs="仿宋"/>
          <w:color w:val="auto"/>
          <w:sz w:val="28"/>
          <w:szCs w:val="28"/>
          <w:highlight w:val="none"/>
        </w:rPr>
      </w:pPr>
    </w:p>
    <w:p w14:paraId="6B5E7A98">
      <w:pPr>
        <w:pStyle w:val="197"/>
        <w:spacing w:line="500" w:lineRule="exact"/>
        <w:ind w:firstLine="12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供应商名称（加盖公章）：</w:t>
      </w:r>
    </w:p>
    <w:p w14:paraId="76A75E46">
      <w:pPr>
        <w:pStyle w:val="197"/>
        <w:spacing w:line="500" w:lineRule="exact"/>
        <w:ind w:firstLine="60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p>
    <w:p w14:paraId="29C771DD">
      <w:pPr>
        <w:pStyle w:val="197"/>
        <w:spacing w:line="50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721FCB0B">
      <w:pPr>
        <w:pStyle w:val="4"/>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法定代表人身份证复印件</w:t>
      </w:r>
    </w:p>
    <w:p w14:paraId="1B166FE4">
      <w:pPr>
        <w:pStyle w:val="4"/>
        <w:spacing w:line="500" w:lineRule="exact"/>
        <w:ind w:firstLine="1400"/>
        <w:rPr>
          <w:rFonts w:ascii="仿宋" w:hAnsi="仿宋" w:eastAsia="仿宋" w:cs="仿宋"/>
          <w:color w:val="auto"/>
          <w:sz w:val="28"/>
          <w:szCs w:val="28"/>
          <w:highlight w:val="none"/>
        </w:rPr>
      </w:pPr>
    </w:p>
    <w:p w14:paraId="3F8DB188">
      <w:pPr>
        <w:pStyle w:val="4"/>
        <w:spacing w:line="500" w:lineRule="exact"/>
        <w:ind w:firstLine="49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代理人（被授权人）身份证复印件</w:t>
      </w:r>
    </w:p>
    <w:p w14:paraId="4613C167">
      <w:pPr>
        <w:pStyle w:val="4"/>
        <w:spacing w:line="500" w:lineRule="exact"/>
        <w:ind w:firstLine="490"/>
        <w:rPr>
          <w:rFonts w:ascii="仿宋" w:hAnsi="仿宋" w:eastAsia="仿宋" w:cs="仿宋"/>
          <w:color w:val="auto"/>
          <w:sz w:val="28"/>
          <w:szCs w:val="28"/>
          <w:highlight w:val="none"/>
        </w:rPr>
      </w:pPr>
    </w:p>
    <w:p w14:paraId="2AD2FDBB">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p>
    <w:p w14:paraId="022CFA5D">
      <w:pPr>
        <w:spacing w:line="50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七</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参与征集确认函（原件）。</w:t>
      </w:r>
    </w:p>
    <w:p w14:paraId="15D2F88E">
      <w:pPr>
        <w:spacing w:line="50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参与征集确认函</w:t>
      </w:r>
    </w:p>
    <w:p w14:paraId="347912D6">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致：如皋市市场监督管理局</w:t>
      </w:r>
    </w:p>
    <w:p w14:paraId="2EC745FD">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根据贵方的</w:t>
      </w:r>
      <w:r>
        <w:rPr>
          <w:rFonts w:hint="eastAsia" w:ascii="仿宋" w:hAnsi="仿宋" w:eastAsia="仿宋" w:cs="仿宋"/>
          <w:color w:val="auto"/>
          <w:sz w:val="28"/>
          <w:szCs w:val="28"/>
          <w:highlight w:val="none"/>
          <w:u w:val="single"/>
        </w:rPr>
        <w:t xml:space="preserve">JSZC-320682-JSDZ-K2026-0019 </w:t>
      </w:r>
      <w:r>
        <w:rPr>
          <w:rFonts w:hint="eastAsia" w:ascii="仿宋" w:hAnsi="仿宋" w:eastAsia="仿宋" w:cs="仿宋"/>
          <w:color w:val="auto"/>
          <w:sz w:val="28"/>
          <w:szCs w:val="28"/>
          <w:highlight w:val="none"/>
        </w:rPr>
        <w:t>号征集文件，正式授权下述签字人_________ (姓名和职务)代表我方______________（供应商的名称），全权处理本次项目招标采购的有关事宜。</w:t>
      </w:r>
    </w:p>
    <w:p w14:paraId="225536A9">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据此函，__________（签字人）兹宣布同意如下：</w:t>
      </w:r>
    </w:p>
    <w:p w14:paraId="37D550FC">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1.按征集文件规定的各项要求，向征集人提供所需货物、服务。</w:t>
      </w:r>
    </w:p>
    <w:p w14:paraId="250E3C38">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2.我们已详细审核全部征集文件及其有效补充文件，我们知道必须放弃提出含糊不清或误解问题的权利。</w:t>
      </w:r>
    </w:p>
    <w:p w14:paraId="56B33220">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3.我们同意从规定的征集文件接收截止时间起遵循本征集文件，并在规定的参与征集有效期期满之前均具有约束力。</w:t>
      </w:r>
    </w:p>
    <w:p w14:paraId="34FD1236">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4.如果在征集文件接收截止时间撤回征集响应文件或成交后拒绝签订合同，我们接受贵方相应处罚。</w:t>
      </w:r>
    </w:p>
    <w:p w14:paraId="0D40270B">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5.同意向征集可能另外要求的与征集采购货物或服务有关的任何证据或资料，并保证我方已提供和将要提供的文件是真实的、准确的。</w:t>
      </w:r>
    </w:p>
    <w:p w14:paraId="4BC51667">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6.一旦我方成交，我方将根据征集文件的规定，严格履行框架协议的责任和义务，并保证在征集文件规定的时间完成项目，交付买方验收、使用。</w:t>
      </w:r>
    </w:p>
    <w:p w14:paraId="12D89766">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7.遵守征集文件中要求的收费项目和标准。</w:t>
      </w:r>
    </w:p>
    <w:p w14:paraId="67788F8C">
      <w:pPr>
        <w:pStyle w:val="197"/>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8.与本征集采购活动有关的正式通讯地址为：</w:t>
      </w:r>
    </w:p>
    <w:p w14:paraId="570CEA81">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 址：                         邮 编：</w:t>
      </w:r>
    </w:p>
    <w:p w14:paraId="1DF4140D">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电 话：                         传 真：</w:t>
      </w:r>
    </w:p>
    <w:p w14:paraId="72D01E26">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                  账 户： </w:t>
      </w:r>
    </w:p>
    <w:p w14:paraId="18A803C3">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p>
    <w:p w14:paraId="601D32BC">
      <w:pPr>
        <w:pStyle w:val="1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日 期：________年____月____日</w:t>
      </w:r>
    </w:p>
    <w:p w14:paraId="1A525F33">
      <w:pPr>
        <w:spacing w:line="500" w:lineRule="exact"/>
        <w:jc w:val="left"/>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八</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其他资格证明材料</w:t>
      </w:r>
    </w:p>
    <w:p w14:paraId="2DF108EC">
      <w:pPr>
        <w:keepNext w:val="0"/>
        <w:keepLines w:val="0"/>
        <w:pageBreakBefore w:val="0"/>
        <w:widowControl/>
        <w:shd w:val="clear" w:color="auto"/>
        <w:spacing w:line="48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rPr>
        <w:t>.响应供应商须提供中小企业声明函，根据《中小企业划型标准规定》（工信部联企业〔2011〕300 号）文件规定，本项目属于</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u w:val="single"/>
          <w:lang w:val="en-US" w:eastAsia="zh-CN"/>
        </w:rPr>
        <w:t>其他未列明行业</w:t>
      </w:r>
      <w:r>
        <w:rPr>
          <w:rFonts w:hint="eastAsia" w:ascii="仿宋" w:hAnsi="仿宋" w:eastAsia="仿宋" w:cs="Times New Roman"/>
          <w:color w:val="auto"/>
          <w:sz w:val="28"/>
          <w:szCs w:val="28"/>
          <w:highlight w:val="none"/>
        </w:rPr>
        <w:t>。</w:t>
      </w:r>
    </w:p>
    <w:p w14:paraId="0C8860ED">
      <w:pPr>
        <w:spacing w:line="50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供应商的法定代表人参加框架协议采购活动的，须在响应文件中提供法定代表人身份证明和身份证复印件；委托代理人参加采购活动的，还须在响应文件中提供法定代表人的授权委托书。代理人须为响应供应商的正式员工并为本项目负责人，并提供响应文件提交截止日前最近1个月响应供应商为其缴纳社保的证明；新成立企业距截止日期不足30日的，可不提供缴纳社保的证明（以新办企业营业执照发放日期为准）。</w:t>
      </w:r>
    </w:p>
    <w:p w14:paraId="0D856FAC">
      <w:pPr>
        <w:pStyle w:val="48"/>
        <w:rPr>
          <w:rFonts w:ascii="仿宋" w:hAnsi="仿宋" w:eastAsia="仿宋" w:cs="仿宋"/>
          <w:b/>
          <w:color w:val="auto"/>
          <w:sz w:val="28"/>
          <w:szCs w:val="28"/>
          <w:highlight w:val="none"/>
        </w:rPr>
      </w:pPr>
    </w:p>
    <w:p w14:paraId="14BF4542">
      <w:pPr>
        <w:pStyle w:val="48"/>
        <w:rPr>
          <w:rFonts w:ascii="仿宋" w:hAnsi="仿宋" w:eastAsia="仿宋" w:cs="仿宋"/>
          <w:b/>
          <w:color w:val="auto"/>
          <w:sz w:val="28"/>
          <w:szCs w:val="28"/>
          <w:highlight w:val="none"/>
        </w:rPr>
      </w:pPr>
    </w:p>
    <w:p w14:paraId="15613D4A">
      <w:pPr>
        <w:pStyle w:val="48"/>
        <w:rPr>
          <w:rFonts w:ascii="仿宋" w:hAnsi="仿宋" w:eastAsia="仿宋" w:cs="仿宋"/>
          <w:b/>
          <w:color w:val="auto"/>
          <w:sz w:val="28"/>
          <w:szCs w:val="28"/>
          <w:highlight w:val="none"/>
        </w:rPr>
      </w:pPr>
    </w:p>
    <w:p w14:paraId="5490C965">
      <w:pPr>
        <w:pStyle w:val="48"/>
        <w:rPr>
          <w:rFonts w:ascii="仿宋" w:hAnsi="仿宋" w:eastAsia="仿宋" w:cs="仿宋"/>
          <w:b/>
          <w:color w:val="auto"/>
          <w:sz w:val="28"/>
          <w:szCs w:val="28"/>
          <w:highlight w:val="none"/>
        </w:rPr>
      </w:pPr>
    </w:p>
    <w:p w14:paraId="78219D88">
      <w:pPr>
        <w:pStyle w:val="48"/>
        <w:rPr>
          <w:rFonts w:ascii="仿宋" w:hAnsi="仿宋" w:eastAsia="仿宋" w:cs="仿宋"/>
          <w:b/>
          <w:color w:val="auto"/>
          <w:sz w:val="28"/>
          <w:szCs w:val="28"/>
          <w:highlight w:val="none"/>
        </w:rPr>
      </w:pPr>
    </w:p>
    <w:p w14:paraId="6A7A133B">
      <w:pPr>
        <w:pStyle w:val="48"/>
        <w:rPr>
          <w:rFonts w:ascii="仿宋" w:hAnsi="仿宋" w:eastAsia="仿宋" w:cs="仿宋"/>
          <w:b/>
          <w:color w:val="auto"/>
          <w:sz w:val="28"/>
          <w:szCs w:val="28"/>
          <w:highlight w:val="none"/>
        </w:rPr>
      </w:pPr>
    </w:p>
    <w:p w14:paraId="057C1C1E">
      <w:pPr>
        <w:pStyle w:val="48"/>
        <w:rPr>
          <w:rFonts w:ascii="仿宋" w:hAnsi="仿宋" w:eastAsia="仿宋" w:cs="仿宋"/>
          <w:b/>
          <w:color w:val="auto"/>
          <w:sz w:val="28"/>
          <w:szCs w:val="28"/>
          <w:highlight w:val="none"/>
        </w:rPr>
      </w:pPr>
    </w:p>
    <w:p w14:paraId="4801D8EB">
      <w:pPr>
        <w:pStyle w:val="48"/>
        <w:rPr>
          <w:rFonts w:ascii="仿宋" w:hAnsi="仿宋" w:eastAsia="仿宋" w:cs="仿宋"/>
          <w:b/>
          <w:color w:val="auto"/>
          <w:sz w:val="28"/>
          <w:szCs w:val="28"/>
          <w:highlight w:val="none"/>
        </w:rPr>
      </w:pPr>
    </w:p>
    <w:p w14:paraId="7B7A1DE2">
      <w:pPr>
        <w:pStyle w:val="48"/>
        <w:rPr>
          <w:rFonts w:ascii="仿宋" w:hAnsi="仿宋" w:eastAsia="仿宋" w:cs="仿宋"/>
          <w:b/>
          <w:color w:val="auto"/>
          <w:sz w:val="28"/>
          <w:szCs w:val="28"/>
          <w:highlight w:val="none"/>
        </w:rPr>
      </w:pPr>
    </w:p>
    <w:p w14:paraId="0B489D61">
      <w:pPr>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br w:type="page" w:clear="all"/>
      </w:r>
    </w:p>
    <w:p w14:paraId="20DEF5B6">
      <w:pPr>
        <w:ind w:firstLine="560"/>
        <w:outlineLvl w:val="2"/>
        <w:rPr>
          <w:rFonts w:ascii="仿宋" w:hAnsi="仿宋" w:eastAsia="仿宋"/>
          <w:b w:val="0"/>
          <w:bCs/>
          <w:color w:val="auto"/>
          <w:sz w:val="28"/>
          <w:szCs w:val="28"/>
          <w:highlight w:val="none"/>
        </w:rPr>
      </w:pPr>
      <w:r>
        <w:rPr>
          <w:rFonts w:hint="eastAsia" w:ascii="仿宋" w:hAnsi="仿宋" w:eastAsia="仿宋" w:cs="仿宋"/>
          <w:b w:val="0"/>
          <w:bCs/>
          <w:color w:val="auto"/>
          <w:sz w:val="28"/>
          <w:szCs w:val="28"/>
          <w:highlight w:val="none"/>
        </w:rPr>
        <w:t>（十）</w:t>
      </w:r>
      <w:r>
        <w:rPr>
          <w:rFonts w:hint="eastAsia" w:ascii="仿宋" w:hAnsi="仿宋" w:eastAsia="仿宋"/>
          <w:b w:val="0"/>
          <w:bCs/>
          <w:color w:val="auto"/>
          <w:sz w:val="28"/>
          <w:szCs w:val="28"/>
          <w:highlight w:val="none"/>
        </w:rPr>
        <w:t>小微企业声明函</w:t>
      </w:r>
    </w:p>
    <w:p w14:paraId="4270C07D">
      <w:pPr>
        <w:jc w:val="center"/>
        <w:rPr>
          <w:rFonts w:ascii="仿宋" w:eastAsia="仿宋"/>
          <w:color w:val="auto"/>
          <w:sz w:val="36"/>
          <w:szCs w:val="36"/>
          <w:highlight w:val="none"/>
        </w:rPr>
      </w:pPr>
      <w:r>
        <w:rPr>
          <w:rFonts w:hint="eastAsia" w:ascii="仿宋" w:eastAsia="仿宋"/>
          <w:color w:val="auto"/>
          <w:sz w:val="36"/>
          <w:szCs w:val="36"/>
          <w:highlight w:val="none"/>
        </w:rPr>
        <w:t>中小企业声明函（工程、服务）</w:t>
      </w:r>
    </w:p>
    <w:p w14:paraId="6E4DC38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本公司（联合体）郑重声明，根据《政府采购促进中小企业发展管理办法》（财库﹝2020﹞46 号）的规定，本公司（联合体）参加</w:t>
      </w:r>
      <w:r>
        <w:rPr>
          <w:rFonts w:hint="eastAsia" w:ascii="仿宋" w:hAnsi="仿宋" w:eastAsia="仿宋"/>
          <w:i/>
          <w:color w:val="auto"/>
          <w:sz w:val="28"/>
          <w:szCs w:val="28"/>
          <w:highlight w:val="none"/>
          <w:u w:val="single"/>
        </w:rPr>
        <w:t xml:space="preserve"> 如皋市市场监督管理局</w:t>
      </w:r>
      <w:r>
        <w:rPr>
          <w:rFonts w:hint="eastAsia" w:ascii="仿宋" w:hAnsi="仿宋" w:eastAsia="仿宋"/>
          <w:color w:val="auto"/>
          <w:sz w:val="28"/>
          <w:szCs w:val="28"/>
          <w:highlight w:val="none"/>
        </w:rPr>
        <w:t xml:space="preserve"> 的</w:t>
      </w: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eastAsia="zh-CN"/>
        </w:rPr>
        <w:t>202</w:t>
      </w:r>
      <w:r>
        <w:rPr>
          <w:rFonts w:hint="eastAsia" w:ascii="仿宋" w:hAnsi="仿宋" w:eastAsia="仿宋"/>
          <w:i/>
          <w:color w:val="auto"/>
          <w:sz w:val="28"/>
          <w:szCs w:val="28"/>
          <w:highlight w:val="none"/>
          <w:u w:val="single"/>
          <w:lang w:val="en-US" w:eastAsia="zh-CN"/>
        </w:rPr>
        <w:t>6</w:t>
      </w:r>
      <w:r>
        <w:rPr>
          <w:rFonts w:hint="eastAsia" w:ascii="仿宋" w:hAnsi="仿宋" w:eastAsia="仿宋"/>
          <w:i/>
          <w:color w:val="auto"/>
          <w:sz w:val="28"/>
          <w:szCs w:val="28"/>
          <w:highlight w:val="none"/>
          <w:u w:val="single"/>
          <w:lang w:eastAsia="zh-CN"/>
        </w:rPr>
        <w:t>年食品、食用农产品抽检项目</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B13E5EF">
      <w:pPr>
        <w:spacing w:line="500" w:lineRule="exact"/>
        <w:ind w:firstLine="560"/>
        <w:rPr>
          <w:rFonts w:ascii="仿宋" w:hAnsi="仿宋" w:eastAsia="仿宋"/>
          <w:color w:val="auto"/>
          <w:sz w:val="28"/>
          <w:szCs w:val="28"/>
          <w:highlight w:val="none"/>
        </w:rPr>
      </w:pP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eastAsia="zh-CN"/>
        </w:rPr>
        <w:t>202</w:t>
      </w:r>
      <w:r>
        <w:rPr>
          <w:rFonts w:hint="eastAsia" w:ascii="仿宋" w:hAnsi="仿宋" w:eastAsia="仿宋"/>
          <w:i/>
          <w:color w:val="auto"/>
          <w:sz w:val="28"/>
          <w:szCs w:val="28"/>
          <w:highlight w:val="none"/>
          <w:u w:val="single"/>
          <w:lang w:val="en-US" w:eastAsia="zh-CN"/>
        </w:rPr>
        <w:t>6</w:t>
      </w:r>
      <w:r>
        <w:rPr>
          <w:rFonts w:hint="eastAsia" w:ascii="仿宋" w:hAnsi="仿宋" w:eastAsia="仿宋"/>
          <w:i/>
          <w:color w:val="auto"/>
          <w:sz w:val="28"/>
          <w:szCs w:val="28"/>
          <w:highlight w:val="none"/>
          <w:u w:val="single"/>
          <w:lang w:eastAsia="zh-CN"/>
        </w:rPr>
        <w:t>年食品、食用农产品抽检项目</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，属于</w:t>
      </w: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val="en-US" w:eastAsia="zh-CN"/>
        </w:rPr>
        <w:t>其他未列明行业</w:t>
      </w:r>
      <w:r>
        <w:rPr>
          <w:rFonts w:hint="eastAsia" w:ascii="仿宋" w:hAnsi="仿宋" w:eastAsia="仿宋"/>
          <w:color w:val="auto"/>
          <w:sz w:val="28"/>
          <w:szCs w:val="28"/>
          <w:highlight w:val="none"/>
        </w:rPr>
        <w:t xml:space="preserve"> ；承建（承接）企业为 </w:t>
      </w:r>
      <w:r>
        <w:rPr>
          <w:rFonts w:hint="eastAsia" w:ascii="仿宋" w:hAnsi="仿宋" w:eastAsia="仿宋"/>
          <w:i/>
          <w:color w:val="auto"/>
          <w:sz w:val="28"/>
          <w:szCs w:val="28"/>
          <w:highlight w:val="none"/>
          <w:u w:val="single"/>
        </w:rPr>
        <w:t>（企业名称）</w:t>
      </w:r>
      <w:r>
        <w:rPr>
          <w:rFonts w:hint="eastAsia" w:ascii="仿宋" w:hAnsi="仿宋" w:eastAsia="仿宋"/>
          <w:color w:val="auto"/>
          <w:sz w:val="28"/>
          <w:szCs w:val="28"/>
          <w:highlight w:val="none"/>
        </w:rPr>
        <w:t xml:space="preserve"> ，从业人员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万元</w:t>
      </w:r>
      <w:r>
        <w:rPr>
          <w:rFonts w:hint="eastAsia" w:ascii="仿宋" w:hAnsi="仿宋" w:eastAsia="仿宋"/>
          <w:color w:val="auto"/>
          <w:sz w:val="28"/>
          <w:szCs w:val="28"/>
          <w:highlight w:val="none"/>
          <w:vertAlign w:val="superscript"/>
        </w:rPr>
        <w:t>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w:t>
      </w:r>
    </w:p>
    <w:p w14:paraId="52E4369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以上企业，不属于大企业的分支机构，不存在控股股东为大企业的情形，也不存在与大企业的负责人为同一人的情形。</w:t>
      </w:r>
    </w:p>
    <w:p w14:paraId="68FA6B9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本企业对上述声明内容的真实性负责。如有虚假，将依法承担相应责任。</w:t>
      </w:r>
    </w:p>
    <w:p w14:paraId="29C27074">
      <w:pPr>
        <w:spacing w:line="500" w:lineRule="exact"/>
        <w:ind w:firstLine="560"/>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p>
    <w:p w14:paraId="5A236808">
      <w:pPr>
        <w:spacing w:line="500" w:lineRule="exact"/>
        <w:ind w:firstLine="560"/>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p>
    <w:p w14:paraId="1ED3F6D1">
      <w:pPr>
        <w:spacing w:line="50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注1. 从业人员、营业收入、资产总额填报上一年度数据，无上一年度数据的新成立企业可不填报。</w:t>
      </w:r>
    </w:p>
    <w:p w14:paraId="6EDA03A2">
      <w:pPr>
        <w:spacing w:line="500" w:lineRule="exact"/>
        <w:rPr>
          <w:rFonts w:ascii="仿宋" w:hAnsi="仿宋" w:eastAsia="仿宋"/>
          <w:color w:val="auto"/>
          <w:sz w:val="28"/>
          <w:szCs w:val="28"/>
          <w:highlight w:val="none"/>
        </w:rPr>
      </w:pPr>
      <w:r>
        <w:rPr>
          <w:rFonts w:hint="eastAsia" w:ascii="仿宋" w:hAnsi="仿宋" w:eastAsia="仿宋" w:cs="仿宋"/>
          <w:color w:val="auto"/>
          <w:sz w:val="24"/>
          <w:szCs w:val="28"/>
          <w:highlight w:val="none"/>
        </w:rPr>
        <w:t>2. 投标人应将此声明函放在报价文件中，如不提供此声明函，价格将不做相应扣除。</w:t>
      </w:r>
    </w:p>
    <w:p w14:paraId="03E8C08B">
      <w:pPr>
        <w:spacing w:line="500" w:lineRule="exact"/>
        <w:rPr>
          <w:rFonts w:ascii="仿宋" w:hAnsi="仿宋" w:eastAsia="仿宋" w:cs="仿宋"/>
          <w:b/>
          <w:color w:val="auto"/>
          <w:sz w:val="28"/>
          <w:szCs w:val="28"/>
          <w:highlight w:val="none"/>
        </w:rPr>
      </w:pPr>
      <w:r>
        <w:rPr>
          <w:rFonts w:hint="eastAsia" w:ascii="仿宋" w:hAnsi="仿宋" w:eastAsia="仿宋"/>
          <w:b/>
          <w:bCs/>
          <w:color w:val="auto"/>
          <w:sz w:val="24"/>
          <w:szCs w:val="28"/>
          <w:highlight w:val="none"/>
        </w:rPr>
        <w:t>3.</w:t>
      </w:r>
      <w:r>
        <w:rPr>
          <w:rFonts w:hint="eastAsia" w:ascii="仿宋" w:hAnsi="仿宋" w:eastAsia="仿宋" w:cs="仿宋"/>
          <w:b/>
          <w:bCs/>
          <w:color w:val="auto"/>
          <w:sz w:val="24"/>
          <w:szCs w:val="28"/>
          <w:highlight w:val="none"/>
        </w:rPr>
        <w:t>根据《中小企业划型标准规定》（工信部联企业〔2011〕300号）文件规定，本项目属于</w:t>
      </w:r>
      <w:r>
        <w:rPr>
          <w:rFonts w:hint="eastAsia" w:ascii="仿宋" w:hAnsi="仿宋" w:eastAsia="仿宋"/>
          <w:b/>
          <w:bCs/>
          <w:color w:val="auto"/>
          <w:sz w:val="24"/>
          <w:szCs w:val="28"/>
          <w:highlight w:val="none"/>
          <w:u w:val="single"/>
          <w:lang w:val="en-US" w:eastAsia="zh-CN"/>
        </w:rPr>
        <w:t>其他未列明</w:t>
      </w:r>
      <w:r>
        <w:rPr>
          <w:rFonts w:hint="eastAsia" w:ascii="仿宋" w:hAnsi="仿宋" w:eastAsia="仿宋" w:cs="仿宋"/>
          <w:b/>
          <w:bCs/>
          <w:color w:val="auto"/>
          <w:sz w:val="24"/>
          <w:szCs w:val="28"/>
          <w:highlight w:val="none"/>
        </w:rPr>
        <w:t>行业。</w:t>
      </w:r>
      <w:r>
        <w:rPr>
          <w:rFonts w:ascii="Calibri" w:hAnsi="Calibri"/>
          <w:color w:val="auto"/>
          <w:szCs w:val="22"/>
          <w:highlight w:val="none"/>
        </w:rPr>
        <w:br w:type="page" w:clear="all"/>
      </w:r>
    </w:p>
    <w:p w14:paraId="75DDA0F1">
      <w:pPr>
        <w:spacing w:line="500" w:lineRule="exact"/>
        <w:ind w:firstLine="562"/>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注意：</w:t>
      </w:r>
      <w:r>
        <w:rPr>
          <w:rFonts w:hint="eastAsia" w:ascii="仿宋" w:hAnsi="仿宋" w:eastAsia="仿宋" w:cs="仿宋"/>
          <w:b/>
          <w:bCs/>
          <w:color w:val="auto"/>
          <w:sz w:val="28"/>
          <w:szCs w:val="28"/>
          <w:highlight w:val="none"/>
        </w:rPr>
        <w:t>以上所有资格证明文件必须加盖公章</w:t>
      </w:r>
      <w:r>
        <w:rPr>
          <w:rFonts w:hint="eastAsia" w:ascii="仿宋" w:hAnsi="仿宋" w:eastAsia="仿宋" w:cs="仿宋"/>
          <w:b/>
          <w:color w:val="auto"/>
          <w:sz w:val="28"/>
          <w:szCs w:val="28"/>
          <w:highlight w:val="none"/>
        </w:rPr>
        <w:t>；如供应商组成联合体参加投标，则联合体各方均须加盖公章，否则视为无效征集文件。</w:t>
      </w:r>
    </w:p>
    <w:p w14:paraId="1D1E6447">
      <w:pPr>
        <w:pStyle w:val="37"/>
        <w:widowControl/>
        <w:spacing w:beforeAutospacing="0" w:afterAutospacing="0" w:line="500" w:lineRule="exact"/>
        <w:ind w:firstLine="560"/>
        <w:jc w:val="both"/>
        <w:rPr>
          <w:rFonts w:ascii="仿宋" w:hAnsi="仿宋" w:eastAsia="仿宋" w:cs="仿宋"/>
          <w:color w:val="auto"/>
          <w:sz w:val="28"/>
          <w:szCs w:val="28"/>
          <w:highlight w:val="none"/>
          <w:shd w:val="clear" w:color="auto" w:fill="FFFFFF"/>
        </w:rPr>
      </w:pPr>
    </w:p>
    <w:p w14:paraId="3CDD957D">
      <w:pPr>
        <w:spacing w:line="500" w:lineRule="exact"/>
        <w:ind w:firstLine="560"/>
        <w:rPr>
          <w:rFonts w:ascii="仿宋" w:hAnsi="仿宋" w:eastAsia="仿宋" w:cs="仿宋"/>
          <w:color w:val="auto"/>
          <w:sz w:val="28"/>
          <w:szCs w:val="28"/>
          <w:highlight w:val="none"/>
        </w:rPr>
      </w:pPr>
    </w:p>
    <w:p w14:paraId="6214C257">
      <w:pPr>
        <w:spacing w:line="500" w:lineRule="exact"/>
        <w:ind w:firstLine="560"/>
        <w:rPr>
          <w:rFonts w:ascii="仿宋" w:hAnsi="仿宋" w:eastAsia="仿宋" w:cs="仿宋"/>
          <w:color w:val="auto"/>
          <w:sz w:val="28"/>
          <w:szCs w:val="28"/>
          <w:highlight w:val="none"/>
        </w:rPr>
      </w:pPr>
    </w:p>
    <w:p w14:paraId="07B866BA">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42B52CA1">
      <w:pPr>
        <w:spacing w:line="50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、商务技术文件</w:t>
      </w:r>
      <w:bookmarkEnd w:id="276"/>
      <w:bookmarkEnd w:id="277"/>
      <w:bookmarkEnd w:id="278"/>
      <w:bookmarkEnd w:id="279"/>
      <w:bookmarkStart w:id="283" w:name="_Toc6475"/>
      <w:bookmarkEnd w:id="283"/>
    </w:p>
    <w:p w14:paraId="0E866742">
      <w:pPr>
        <w:spacing w:line="500" w:lineRule="exact"/>
        <w:ind w:firstLine="560"/>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（一）</w:t>
      </w:r>
      <w:bookmarkStart w:id="284" w:name="_Toc3311"/>
      <w:bookmarkStart w:id="285" w:name="_Toc20585"/>
      <w:bookmarkStart w:id="286" w:name="_Toc11065"/>
      <w:bookmarkStart w:id="287" w:name="_Toc18345"/>
      <w:bookmarkStart w:id="288" w:name="_Toc21728"/>
      <w:bookmarkStart w:id="289" w:name="_Toc891"/>
      <w:bookmarkStart w:id="290" w:name="_Toc5099"/>
      <w:bookmarkStart w:id="291" w:name="_Toc32326"/>
      <w:bookmarkStart w:id="292" w:name="_Toc7110"/>
      <w:bookmarkStart w:id="293" w:name="_Toc20283"/>
      <w:bookmarkStart w:id="294" w:name="_Toc4961"/>
      <w:r>
        <w:rPr>
          <w:rFonts w:hint="eastAsia" w:ascii="仿宋" w:hAnsi="仿宋" w:eastAsia="仿宋" w:cs="仿宋"/>
          <w:bCs/>
          <w:color w:val="auto"/>
          <w:sz w:val="28"/>
          <w:szCs w:val="28"/>
          <w:highlight w:val="none"/>
        </w:rPr>
        <w:t>评分索引表</w:t>
      </w:r>
      <w:bookmarkEnd w:id="284"/>
      <w:bookmarkEnd w:id="285"/>
      <w:bookmarkEnd w:id="286"/>
      <w:bookmarkEnd w:id="287"/>
      <w:bookmarkEnd w:id="288"/>
      <w:bookmarkEnd w:id="289"/>
      <w:bookmarkEnd w:id="290"/>
      <w:bookmarkEnd w:id="291"/>
      <w:bookmarkEnd w:id="292"/>
      <w:bookmarkEnd w:id="293"/>
      <w:bookmarkEnd w:id="294"/>
      <w:r>
        <w:rPr>
          <w:rFonts w:hint="eastAsia" w:ascii="仿宋" w:hAnsi="仿宋" w:eastAsia="仿宋" w:cs="仿宋"/>
          <w:color w:val="auto"/>
          <w:sz w:val="28"/>
          <w:szCs w:val="28"/>
          <w:highlight w:val="none"/>
        </w:rPr>
        <w:t>（用于综合评分）</w:t>
      </w:r>
    </w:p>
    <w:p w14:paraId="6C71BA9C">
      <w:pPr>
        <w:spacing w:line="500" w:lineRule="exact"/>
        <w:ind w:firstLine="641"/>
        <w:jc w:val="center"/>
        <w:rPr>
          <w:rFonts w:ascii="仿宋" w:hAnsi="仿宋" w:eastAsia="仿宋" w:cs="仿宋"/>
          <w:color w:val="auto"/>
          <w:sz w:val="28"/>
          <w:szCs w:val="28"/>
          <w:highlight w:val="none"/>
        </w:rPr>
      </w:pPr>
      <w:r>
        <w:rPr>
          <w:rFonts w:hint="eastAsia" w:ascii="仿宋" w:hAnsi="仿宋" w:eastAsia="仿宋" w:cs="仿宋"/>
          <w:color w:val="auto"/>
          <w:sz w:val="32"/>
          <w:szCs w:val="32"/>
          <w:highlight w:val="none"/>
        </w:rPr>
        <w:t>评分索引表</w:t>
      </w:r>
    </w:p>
    <w:tbl>
      <w:tblPr>
        <w:tblStyle w:val="41"/>
        <w:tblW w:w="5999" w:type="pct"/>
        <w:tblInd w:w="-69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0"/>
        <w:gridCol w:w="1487"/>
        <w:gridCol w:w="788"/>
        <w:gridCol w:w="3798"/>
        <w:gridCol w:w="2564"/>
        <w:gridCol w:w="938"/>
      </w:tblGrid>
      <w:tr w14:paraId="36A61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top w:val="single" w:color="auto" w:sz="12" w:space="0"/>
              <w:left w:val="single" w:color="auto" w:sz="12" w:space="0"/>
              <w:bottom w:val="single" w:color="auto" w:sz="6" w:space="0"/>
              <w:right w:val="single" w:color="auto" w:sz="6" w:space="0"/>
            </w:tcBorders>
            <w:noWrap w:val="0"/>
            <w:vAlign w:val="center"/>
          </w:tcPr>
          <w:p w14:paraId="7AEE5C76">
            <w:pPr>
              <w:jc w:val="center"/>
              <w:rPr>
                <w:rFonts w:ascii="仿宋" w:hAnsi="仿宋" w:eastAsia="仿宋"/>
                <w:sz w:val="24"/>
                <w:highlight w:val="none"/>
              </w:rPr>
            </w:pPr>
            <w:r>
              <w:rPr>
                <w:rFonts w:hint="eastAsia" w:ascii="仿宋" w:hAnsi="仿宋" w:eastAsia="仿宋"/>
                <w:sz w:val="24"/>
                <w:highlight w:val="none"/>
              </w:rPr>
              <w:t>序号</w:t>
            </w:r>
          </w:p>
        </w:tc>
        <w:tc>
          <w:tcPr>
            <w:tcW w:w="1487" w:type="dxa"/>
            <w:tcBorders>
              <w:top w:val="single" w:color="auto" w:sz="12" w:space="0"/>
              <w:left w:val="single" w:color="auto" w:sz="6" w:space="0"/>
              <w:bottom w:val="single" w:color="auto" w:sz="6" w:space="0"/>
              <w:right w:val="single" w:color="auto" w:sz="6" w:space="0"/>
            </w:tcBorders>
            <w:noWrap w:val="0"/>
            <w:vAlign w:val="center"/>
          </w:tcPr>
          <w:p w14:paraId="4233549B">
            <w:pPr>
              <w:jc w:val="center"/>
              <w:rPr>
                <w:rFonts w:ascii="仿宋" w:hAnsi="仿宋" w:eastAsia="仿宋"/>
                <w:sz w:val="24"/>
                <w:highlight w:val="none"/>
              </w:rPr>
            </w:pPr>
            <w:r>
              <w:rPr>
                <w:rFonts w:hint="eastAsia" w:ascii="仿宋" w:hAnsi="仿宋" w:eastAsia="仿宋"/>
                <w:sz w:val="24"/>
                <w:highlight w:val="none"/>
              </w:rPr>
              <w:t>评审因素</w:t>
            </w:r>
          </w:p>
        </w:tc>
        <w:tc>
          <w:tcPr>
            <w:tcW w:w="788" w:type="dxa"/>
            <w:tcBorders>
              <w:top w:val="single" w:color="auto" w:sz="12" w:space="0"/>
              <w:left w:val="single" w:color="auto" w:sz="6" w:space="0"/>
              <w:bottom w:val="single" w:color="auto" w:sz="6" w:space="0"/>
              <w:right w:val="single" w:color="auto" w:sz="6" w:space="0"/>
            </w:tcBorders>
            <w:noWrap w:val="0"/>
            <w:vAlign w:val="center"/>
          </w:tcPr>
          <w:p w14:paraId="49DC0474">
            <w:pPr>
              <w:jc w:val="center"/>
              <w:rPr>
                <w:rFonts w:ascii="仿宋" w:hAnsi="仿宋" w:eastAsia="仿宋"/>
                <w:sz w:val="24"/>
                <w:highlight w:val="none"/>
              </w:rPr>
            </w:pPr>
            <w:r>
              <w:rPr>
                <w:rFonts w:hint="eastAsia" w:ascii="仿宋" w:hAnsi="仿宋" w:eastAsia="仿宋"/>
                <w:sz w:val="24"/>
                <w:highlight w:val="none"/>
              </w:rPr>
              <w:t>分值</w:t>
            </w:r>
          </w:p>
        </w:tc>
        <w:tc>
          <w:tcPr>
            <w:tcW w:w="3798" w:type="dxa"/>
            <w:tcBorders>
              <w:top w:val="single" w:color="auto" w:sz="12" w:space="0"/>
              <w:left w:val="single" w:color="auto" w:sz="6" w:space="0"/>
              <w:bottom w:val="single" w:color="auto" w:sz="6" w:space="0"/>
              <w:right w:val="single" w:color="auto" w:sz="6" w:space="0"/>
            </w:tcBorders>
            <w:noWrap w:val="0"/>
            <w:vAlign w:val="center"/>
          </w:tcPr>
          <w:p w14:paraId="7E331679">
            <w:pPr>
              <w:jc w:val="center"/>
              <w:rPr>
                <w:rFonts w:ascii="仿宋" w:hAnsi="仿宋" w:eastAsia="仿宋"/>
                <w:sz w:val="24"/>
                <w:highlight w:val="none"/>
              </w:rPr>
            </w:pPr>
            <w:r>
              <w:rPr>
                <w:rFonts w:hint="eastAsia" w:ascii="仿宋" w:hAnsi="仿宋" w:eastAsia="仿宋"/>
                <w:sz w:val="24"/>
                <w:highlight w:val="none"/>
              </w:rPr>
              <w:t>评审要求或标准</w:t>
            </w:r>
          </w:p>
        </w:tc>
        <w:tc>
          <w:tcPr>
            <w:tcW w:w="2564" w:type="dxa"/>
            <w:tcBorders>
              <w:top w:val="single" w:color="auto" w:sz="12" w:space="0"/>
              <w:left w:val="single" w:color="auto" w:sz="6" w:space="0"/>
              <w:bottom w:val="single" w:color="auto" w:sz="6" w:space="0"/>
              <w:right w:val="single" w:color="auto" w:sz="6" w:space="0"/>
            </w:tcBorders>
            <w:noWrap w:val="0"/>
            <w:vAlign w:val="center"/>
          </w:tcPr>
          <w:p w14:paraId="702007A1">
            <w:pPr>
              <w:jc w:val="center"/>
              <w:rPr>
                <w:rFonts w:hint="eastAsia" w:ascii="仿宋" w:hAnsi="仿宋" w:eastAsia="仿宋"/>
                <w:sz w:val="24"/>
                <w:highlight w:val="none"/>
              </w:rPr>
            </w:pPr>
            <w:r>
              <w:rPr>
                <w:rFonts w:hint="eastAsia" w:ascii="仿宋" w:hAnsi="仿宋" w:eastAsia="仿宋"/>
                <w:sz w:val="24"/>
                <w:highlight w:val="none"/>
              </w:rPr>
              <w:t>供应商提供的材料名称</w:t>
            </w:r>
          </w:p>
        </w:tc>
        <w:tc>
          <w:tcPr>
            <w:tcW w:w="938" w:type="dxa"/>
            <w:tcBorders>
              <w:top w:val="single" w:color="auto" w:sz="12" w:space="0"/>
              <w:left w:val="single" w:color="auto" w:sz="6" w:space="0"/>
              <w:bottom w:val="single" w:color="auto" w:sz="6" w:space="0"/>
              <w:right w:val="single" w:color="auto" w:sz="12" w:space="0"/>
            </w:tcBorders>
            <w:noWrap w:val="0"/>
            <w:vAlign w:val="center"/>
          </w:tcPr>
          <w:p w14:paraId="63D63C4C">
            <w:pPr>
              <w:jc w:val="center"/>
              <w:rPr>
                <w:rFonts w:ascii="仿宋" w:hAnsi="仿宋" w:eastAsia="仿宋"/>
                <w:sz w:val="24"/>
                <w:highlight w:val="none"/>
              </w:rPr>
            </w:pPr>
            <w:r>
              <w:rPr>
                <w:rFonts w:hint="eastAsia" w:ascii="仿宋" w:hAnsi="仿宋" w:eastAsia="仿宋"/>
                <w:sz w:val="24"/>
                <w:highlight w:val="none"/>
              </w:rPr>
              <w:t>页码</w:t>
            </w:r>
          </w:p>
        </w:tc>
      </w:tr>
      <w:tr w14:paraId="3C366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50" w:type="dxa"/>
            <w:tcBorders>
              <w:top w:val="single" w:color="auto" w:sz="6" w:space="0"/>
              <w:left w:val="single" w:color="auto" w:sz="12" w:space="0"/>
              <w:right w:val="single" w:color="auto" w:sz="6" w:space="0"/>
            </w:tcBorders>
            <w:noWrap w:val="0"/>
            <w:vAlign w:val="center"/>
          </w:tcPr>
          <w:p w14:paraId="67F6C731">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1</w:t>
            </w:r>
          </w:p>
        </w:tc>
        <w:tc>
          <w:tcPr>
            <w:tcW w:w="1487" w:type="dxa"/>
            <w:tcBorders>
              <w:top w:val="single" w:color="auto" w:sz="6" w:space="0"/>
              <w:left w:val="single" w:color="auto" w:sz="6" w:space="0"/>
              <w:right w:val="single" w:color="auto" w:sz="6" w:space="0"/>
            </w:tcBorders>
            <w:noWrap w:val="0"/>
            <w:vAlign w:val="center"/>
          </w:tcPr>
          <w:p w14:paraId="73A02F2C">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人员配备</w:t>
            </w:r>
          </w:p>
        </w:tc>
        <w:tc>
          <w:tcPr>
            <w:tcW w:w="788" w:type="dxa"/>
            <w:tcBorders>
              <w:top w:val="single" w:color="auto" w:sz="6" w:space="0"/>
              <w:left w:val="single" w:color="auto" w:sz="6" w:space="0"/>
              <w:bottom w:val="single" w:color="auto" w:sz="6" w:space="0"/>
              <w:right w:val="single" w:color="auto" w:sz="6" w:space="0"/>
            </w:tcBorders>
            <w:noWrap w:val="0"/>
            <w:vAlign w:val="center"/>
          </w:tcPr>
          <w:p w14:paraId="5CC2E8DD">
            <w:pPr>
              <w:keepNext w:val="0"/>
              <w:keepLines w:val="0"/>
              <w:pageBreakBefore w:val="0"/>
              <w:widowControl w:val="0"/>
              <w:spacing w:line="340" w:lineRule="exact"/>
              <w:jc w:val="center"/>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14分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76867289">
            <w:pPr>
              <w:keepNext w:val="0"/>
              <w:keepLines w:val="0"/>
              <w:pageBreakBefore w:val="0"/>
              <w:widowControl w:val="0"/>
              <w:spacing w:line="340" w:lineRule="exact"/>
              <w:jc w:val="left"/>
              <w:rPr>
                <w:rFonts w:hint="eastAsia" w:ascii="仿宋" w:hAnsi="仿宋" w:eastAsia="仿宋" w:cs="仿宋"/>
                <w:b w:val="0"/>
                <w:bCs/>
                <w:sz w:val="22"/>
                <w:szCs w:val="22"/>
                <w:highlight w:val="none"/>
                <w:lang w:val="en-US" w:eastAsia="zh-CN" w:bidi="ar-SA"/>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53F4BAAC">
            <w:pPr>
              <w:jc w:val="center"/>
              <w:rPr>
                <w:rFonts w:ascii="仿宋" w:hAnsi="仿宋" w:eastAsia="仿宋"/>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35A42D57">
            <w:pPr>
              <w:jc w:val="center"/>
              <w:rPr>
                <w:rFonts w:ascii="仿宋" w:hAnsi="仿宋" w:eastAsia="仿宋"/>
                <w:sz w:val="24"/>
                <w:highlight w:val="none"/>
              </w:rPr>
            </w:pPr>
          </w:p>
        </w:tc>
      </w:tr>
      <w:tr w14:paraId="0D78E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top w:val="single" w:color="auto" w:sz="6" w:space="0"/>
              <w:left w:val="single" w:color="auto" w:sz="12" w:space="0"/>
              <w:right w:val="single" w:color="auto" w:sz="6" w:space="0"/>
            </w:tcBorders>
            <w:noWrap w:val="0"/>
            <w:vAlign w:val="center"/>
          </w:tcPr>
          <w:p w14:paraId="39C5407D">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2</w:t>
            </w:r>
          </w:p>
        </w:tc>
        <w:tc>
          <w:tcPr>
            <w:tcW w:w="1487" w:type="dxa"/>
            <w:tcBorders>
              <w:top w:val="single" w:color="auto" w:sz="6" w:space="0"/>
              <w:left w:val="single" w:color="auto" w:sz="6" w:space="0"/>
              <w:right w:val="single" w:color="auto" w:sz="6" w:space="0"/>
            </w:tcBorders>
            <w:noWrap w:val="0"/>
            <w:vAlign w:val="center"/>
          </w:tcPr>
          <w:p w14:paraId="635B9AAD">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设施投入</w:t>
            </w:r>
          </w:p>
        </w:tc>
        <w:tc>
          <w:tcPr>
            <w:tcW w:w="788" w:type="dxa"/>
            <w:tcBorders>
              <w:top w:val="single" w:color="auto" w:sz="6" w:space="0"/>
              <w:left w:val="single" w:color="auto" w:sz="6" w:space="0"/>
              <w:bottom w:val="single" w:color="auto" w:sz="6" w:space="0"/>
              <w:right w:val="single" w:color="auto" w:sz="6" w:space="0"/>
            </w:tcBorders>
            <w:noWrap w:val="0"/>
            <w:vAlign w:val="center"/>
          </w:tcPr>
          <w:p w14:paraId="557E6E91">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22分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3EB973A9">
            <w:pPr>
              <w:keepNext w:val="0"/>
              <w:keepLines w:val="0"/>
              <w:pageBreakBefore w:val="0"/>
              <w:widowControl w:val="0"/>
              <w:spacing w:line="340" w:lineRule="exact"/>
              <w:jc w:val="left"/>
              <w:rPr>
                <w:rFonts w:hint="eastAsia" w:ascii="仿宋" w:hAnsi="仿宋" w:eastAsia="仿宋" w:cs="仿宋"/>
                <w:b w:val="0"/>
                <w:bCs/>
                <w:sz w:val="22"/>
                <w:szCs w:val="22"/>
                <w:highlight w:val="none"/>
                <w:lang w:val="en-US" w:eastAsia="zh-CN" w:bidi="ar-SA"/>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5E9F8812">
            <w:pPr>
              <w:jc w:val="center"/>
              <w:rPr>
                <w:rFonts w:ascii="仿宋" w:hAnsi="仿宋" w:eastAsia="仿宋"/>
                <w:color w:val="000000"/>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2CC707AE">
            <w:pPr>
              <w:jc w:val="center"/>
              <w:rPr>
                <w:rFonts w:ascii="仿宋" w:hAnsi="仿宋" w:eastAsia="仿宋"/>
                <w:color w:val="000000"/>
                <w:sz w:val="24"/>
                <w:highlight w:val="none"/>
              </w:rPr>
            </w:pPr>
          </w:p>
        </w:tc>
      </w:tr>
      <w:tr w14:paraId="51B56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top w:val="single" w:color="auto" w:sz="6" w:space="0"/>
              <w:left w:val="single" w:color="auto" w:sz="12" w:space="0"/>
              <w:bottom w:val="single" w:color="auto" w:sz="6" w:space="0"/>
              <w:right w:val="single" w:color="auto" w:sz="6" w:space="0"/>
            </w:tcBorders>
            <w:noWrap w:val="0"/>
            <w:vAlign w:val="center"/>
          </w:tcPr>
          <w:p w14:paraId="6B49E600">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3</w:t>
            </w: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11BB1DB">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样品送达时限</w:t>
            </w:r>
          </w:p>
        </w:tc>
        <w:tc>
          <w:tcPr>
            <w:tcW w:w="788" w:type="dxa"/>
            <w:tcBorders>
              <w:top w:val="single" w:color="auto" w:sz="6" w:space="0"/>
              <w:left w:val="single" w:color="auto" w:sz="6" w:space="0"/>
              <w:bottom w:val="single" w:color="auto" w:sz="6" w:space="0"/>
              <w:right w:val="single" w:color="auto" w:sz="6" w:space="0"/>
            </w:tcBorders>
            <w:noWrap w:val="0"/>
            <w:vAlign w:val="center"/>
          </w:tcPr>
          <w:p w14:paraId="554C711E">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5分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53D8BC5D">
            <w:pPr>
              <w:jc w:val="center"/>
              <w:rPr>
                <w:rFonts w:ascii="仿宋" w:hAnsi="仿宋" w:eastAsia="仿宋"/>
                <w:color w:val="000000"/>
                <w:sz w:val="24"/>
                <w:highlight w:val="none"/>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14A9A031">
            <w:pPr>
              <w:jc w:val="center"/>
              <w:rPr>
                <w:rFonts w:ascii="仿宋" w:hAnsi="仿宋" w:eastAsia="仿宋"/>
                <w:color w:val="000000"/>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75CE6CC6">
            <w:pPr>
              <w:jc w:val="center"/>
              <w:rPr>
                <w:rFonts w:ascii="仿宋" w:hAnsi="仿宋" w:eastAsia="仿宋"/>
                <w:color w:val="000000"/>
                <w:sz w:val="24"/>
                <w:highlight w:val="none"/>
              </w:rPr>
            </w:pPr>
          </w:p>
        </w:tc>
      </w:tr>
      <w:tr w14:paraId="18632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top w:val="single" w:color="auto" w:sz="6" w:space="0"/>
              <w:left w:val="single" w:color="auto" w:sz="12" w:space="0"/>
              <w:right w:val="single" w:color="auto" w:sz="6" w:space="0"/>
            </w:tcBorders>
            <w:noWrap w:val="0"/>
            <w:vAlign w:val="center"/>
          </w:tcPr>
          <w:p w14:paraId="4EE9AEBF">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4</w:t>
            </w:r>
          </w:p>
        </w:tc>
        <w:tc>
          <w:tcPr>
            <w:tcW w:w="1487" w:type="dxa"/>
            <w:tcBorders>
              <w:top w:val="single" w:color="auto" w:sz="6" w:space="0"/>
              <w:left w:val="single" w:color="auto" w:sz="6" w:space="0"/>
              <w:right w:val="single" w:color="auto" w:sz="6" w:space="0"/>
            </w:tcBorders>
            <w:noWrap w:val="0"/>
            <w:vAlign w:val="center"/>
          </w:tcPr>
          <w:p w14:paraId="302056AA">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应急响应及保障措施</w:t>
            </w:r>
          </w:p>
          <w:p w14:paraId="7678E6AA">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p>
        </w:tc>
        <w:tc>
          <w:tcPr>
            <w:tcW w:w="788" w:type="dxa"/>
            <w:tcBorders>
              <w:top w:val="single" w:color="auto" w:sz="6" w:space="0"/>
              <w:left w:val="single" w:color="auto" w:sz="6" w:space="0"/>
              <w:bottom w:val="single" w:color="auto" w:sz="6" w:space="0"/>
              <w:right w:val="single" w:color="auto" w:sz="6" w:space="0"/>
            </w:tcBorders>
            <w:noWrap w:val="0"/>
            <w:vAlign w:val="center"/>
          </w:tcPr>
          <w:p w14:paraId="3214ECC4">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12分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3338225E">
            <w:pPr>
              <w:jc w:val="center"/>
              <w:rPr>
                <w:rFonts w:ascii="仿宋" w:hAnsi="仿宋" w:eastAsia="仿宋"/>
                <w:color w:val="000000"/>
                <w:sz w:val="24"/>
                <w:highlight w:val="none"/>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5E1CE00E">
            <w:pPr>
              <w:jc w:val="center"/>
              <w:rPr>
                <w:rFonts w:ascii="仿宋" w:hAnsi="仿宋" w:eastAsia="仿宋"/>
                <w:color w:val="000000"/>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3D76D548">
            <w:pPr>
              <w:jc w:val="center"/>
              <w:rPr>
                <w:rFonts w:ascii="仿宋" w:hAnsi="仿宋" w:eastAsia="仿宋"/>
                <w:color w:val="000000"/>
                <w:sz w:val="24"/>
                <w:highlight w:val="none"/>
              </w:rPr>
            </w:pPr>
          </w:p>
        </w:tc>
      </w:tr>
      <w:tr w14:paraId="4646D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left w:val="single" w:color="auto" w:sz="12" w:space="0"/>
              <w:right w:val="single" w:color="auto" w:sz="6" w:space="0"/>
            </w:tcBorders>
            <w:noWrap w:val="0"/>
            <w:vAlign w:val="center"/>
          </w:tcPr>
          <w:p w14:paraId="5216D5C3">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5</w:t>
            </w:r>
          </w:p>
        </w:tc>
        <w:tc>
          <w:tcPr>
            <w:tcW w:w="1487" w:type="dxa"/>
            <w:tcBorders>
              <w:left w:val="single" w:color="auto" w:sz="6" w:space="0"/>
              <w:right w:val="single" w:color="auto" w:sz="6" w:space="0"/>
            </w:tcBorders>
            <w:noWrap w:val="0"/>
            <w:vAlign w:val="center"/>
          </w:tcPr>
          <w:p w14:paraId="60859605">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企业实力</w:t>
            </w:r>
          </w:p>
        </w:tc>
        <w:tc>
          <w:tcPr>
            <w:tcW w:w="788" w:type="dxa"/>
            <w:tcBorders>
              <w:top w:val="single" w:color="auto" w:sz="6" w:space="0"/>
              <w:left w:val="single" w:color="auto" w:sz="6" w:space="0"/>
              <w:bottom w:val="single" w:color="auto" w:sz="6" w:space="0"/>
              <w:right w:val="single" w:color="auto" w:sz="6" w:space="0"/>
            </w:tcBorders>
            <w:noWrap w:val="0"/>
            <w:vAlign w:val="center"/>
          </w:tcPr>
          <w:p w14:paraId="409A8D53">
            <w:pPr>
              <w:keepNext w:val="0"/>
              <w:keepLines w:val="0"/>
              <w:pageBreakBefore w:val="0"/>
              <w:widowControl w:val="0"/>
              <w:spacing w:line="340" w:lineRule="exact"/>
              <w:jc w:val="center"/>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21分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7CC29C73">
            <w:pPr>
              <w:keepNext w:val="0"/>
              <w:keepLines w:val="0"/>
              <w:pageBreakBefore w:val="0"/>
              <w:widowControl w:val="0"/>
              <w:spacing w:line="340" w:lineRule="exact"/>
              <w:jc w:val="left"/>
              <w:rPr>
                <w:rFonts w:hint="eastAsia" w:ascii="仿宋" w:hAnsi="仿宋" w:eastAsia="仿宋"/>
                <w:color w:val="000000"/>
                <w:sz w:val="24"/>
                <w:highlight w:val="none"/>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35D42141">
            <w:pPr>
              <w:jc w:val="center"/>
              <w:rPr>
                <w:rFonts w:ascii="仿宋" w:hAnsi="仿宋" w:eastAsia="仿宋"/>
                <w:color w:val="000000"/>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47C6B17B">
            <w:pPr>
              <w:jc w:val="center"/>
              <w:rPr>
                <w:rFonts w:ascii="仿宋" w:hAnsi="仿宋" w:eastAsia="仿宋"/>
                <w:color w:val="000000"/>
                <w:sz w:val="24"/>
                <w:highlight w:val="none"/>
              </w:rPr>
            </w:pPr>
          </w:p>
        </w:tc>
      </w:tr>
      <w:tr w14:paraId="0DBF0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50" w:type="dxa"/>
            <w:tcBorders>
              <w:left w:val="single" w:color="auto" w:sz="12" w:space="0"/>
              <w:right w:val="single" w:color="auto" w:sz="6" w:space="0"/>
            </w:tcBorders>
            <w:noWrap w:val="0"/>
            <w:vAlign w:val="center"/>
          </w:tcPr>
          <w:p w14:paraId="78D896EB">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6</w:t>
            </w:r>
          </w:p>
        </w:tc>
        <w:tc>
          <w:tcPr>
            <w:tcW w:w="1487" w:type="dxa"/>
            <w:tcBorders>
              <w:left w:val="single" w:color="auto" w:sz="6" w:space="0"/>
              <w:right w:val="single" w:color="auto" w:sz="6" w:space="0"/>
            </w:tcBorders>
            <w:noWrap w:val="0"/>
            <w:vAlign w:val="center"/>
          </w:tcPr>
          <w:p w14:paraId="596A7806">
            <w:pPr>
              <w:keepNext w:val="0"/>
              <w:keepLines w:val="0"/>
              <w:pageBreakBefore w:val="0"/>
              <w:widowControl w:val="0"/>
              <w:spacing w:line="340" w:lineRule="exact"/>
              <w:jc w:val="center"/>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工作业绩</w:t>
            </w:r>
          </w:p>
        </w:tc>
        <w:tc>
          <w:tcPr>
            <w:tcW w:w="788" w:type="dxa"/>
            <w:tcBorders>
              <w:top w:val="single" w:color="auto" w:sz="6" w:space="0"/>
              <w:left w:val="single" w:color="auto" w:sz="6" w:space="0"/>
              <w:bottom w:val="single" w:color="auto" w:sz="6" w:space="0"/>
              <w:right w:val="single" w:color="auto" w:sz="6" w:space="0"/>
            </w:tcBorders>
            <w:noWrap w:val="0"/>
            <w:vAlign w:val="center"/>
          </w:tcPr>
          <w:p w14:paraId="56B2DA9B">
            <w:pPr>
              <w:keepNext w:val="0"/>
              <w:keepLines w:val="0"/>
              <w:pageBreakBefore w:val="0"/>
              <w:widowControl w:val="0"/>
              <w:spacing w:line="340" w:lineRule="exact"/>
              <w:jc w:val="center"/>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26分</w:t>
            </w:r>
          </w:p>
        </w:tc>
        <w:tc>
          <w:tcPr>
            <w:tcW w:w="3798" w:type="dxa"/>
            <w:tcBorders>
              <w:top w:val="single" w:color="auto" w:sz="6" w:space="0"/>
              <w:left w:val="single" w:color="auto" w:sz="6" w:space="0"/>
              <w:bottom w:val="single" w:color="auto" w:sz="6" w:space="0"/>
              <w:right w:val="single" w:color="auto" w:sz="6" w:space="0"/>
            </w:tcBorders>
            <w:noWrap w:val="0"/>
            <w:vAlign w:val="center"/>
          </w:tcPr>
          <w:p w14:paraId="57DF81BF">
            <w:pPr>
              <w:keepNext w:val="0"/>
              <w:keepLines w:val="0"/>
              <w:pageBreakBefore w:val="0"/>
              <w:widowControl w:val="0"/>
              <w:spacing w:line="340" w:lineRule="exact"/>
              <w:jc w:val="left"/>
              <w:rPr>
                <w:rFonts w:hint="eastAsia" w:ascii="仿宋" w:hAnsi="仿宋" w:eastAsia="仿宋" w:cs="仿宋"/>
                <w:b w:val="0"/>
                <w:bCs/>
                <w:sz w:val="24"/>
                <w:szCs w:val="24"/>
                <w:highlight w:val="none"/>
                <w:lang w:val="en-US" w:eastAsia="zh-CN"/>
              </w:rPr>
            </w:pPr>
          </w:p>
        </w:tc>
        <w:tc>
          <w:tcPr>
            <w:tcW w:w="2564" w:type="dxa"/>
            <w:tcBorders>
              <w:top w:val="single" w:color="auto" w:sz="6" w:space="0"/>
              <w:left w:val="single" w:color="auto" w:sz="6" w:space="0"/>
              <w:bottom w:val="single" w:color="auto" w:sz="6" w:space="0"/>
              <w:right w:val="single" w:color="auto" w:sz="6" w:space="0"/>
            </w:tcBorders>
            <w:noWrap w:val="0"/>
            <w:vAlign w:val="top"/>
          </w:tcPr>
          <w:p w14:paraId="1FB4A962">
            <w:pPr>
              <w:jc w:val="center"/>
              <w:rPr>
                <w:rFonts w:ascii="仿宋" w:hAnsi="仿宋" w:eastAsia="仿宋"/>
                <w:color w:val="000000"/>
                <w:sz w:val="24"/>
                <w:highlight w:val="none"/>
              </w:rPr>
            </w:pPr>
          </w:p>
        </w:tc>
        <w:tc>
          <w:tcPr>
            <w:tcW w:w="938" w:type="dxa"/>
            <w:tcBorders>
              <w:top w:val="single" w:color="auto" w:sz="6" w:space="0"/>
              <w:left w:val="single" w:color="auto" w:sz="6" w:space="0"/>
              <w:bottom w:val="single" w:color="auto" w:sz="6" w:space="0"/>
              <w:right w:val="single" w:color="auto" w:sz="12" w:space="0"/>
            </w:tcBorders>
            <w:noWrap w:val="0"/>
            <w:vAlign w:val="top"/>
          </w:tcPr>
          <w:p w14:paraId="1122AE72">
            <w:pPr>
              <w:jc w:val="center"/>
              <w:rPr>
                <w:rFonts w:ascii="仿宋" w:hAnsi="仿宋" w:eastAsia="仿宋"/>
                <w:color w:val="000000"/>
                <w:sz w:val="24"/>
                <w:highlight w:val="none"/>
              </w:rPr>
            </w:pPr>
          </w:p>
        </w:tc>
      </w:tr>
    </w:tbl>
    <w:p w14:paraId="49F4D467">
      <w:pPr>
        <w:spacing w:line="500" w:lineRule="exact"/>
        <w:rPr>
          <w:rFonts w:ascii="仿宋" w:hAnsi="仿宋" w:eastAsia="仿宋" w:cs="仿宋"/>
          <w:bCs/>
          <w:color w:val="auto"/>
          <w:sz w:val="28"/>
          <w:szCs w:val="28"/>
          <w:highlight w:val="none"/>
        </w:rPr>
      </w:pPr>
      <w:r>
        <w:rPr>
          <w:rFonts w:hint="eastAsia" w:ascii="仿宋" w:hAnsi="仿宋" w:eastAsia="仿宋" w:cs="仿宋"/>
          <w:color w:val="auto"/>
          <w:szCs w:val="21"/>
          <w:highlight w:val="none"/>
        </w:rPr>
        <w:t>注：按照征集文件要求详细填列，可增减行。</w:t>
      </w:r>
    </w:p>
    <w:p w14:paraId="2ABAFB3E">
      <w:pPr>
        <w:spacing w:line="5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eastAsia="zh-CN"/>
        </w:rPr>
        <w:t>二</w:t>
      </w:r>
      <w:r>
        <w:rPr>
          <w:rFonts w:hint="eastAsia" w:ascii="仿宋" w:hAnsi="仿宋" w:eastAsia="仿宋" w:cs="仿宋"/>
          <w:bCs/>
          <w:color w:val="auto"/>
          <w:sz w:val="28"/>
          <w:szCs w:val="28"/>
          <w:highlight w:val="none"/>
        </w:rPr>
        <w:t>）商务部分正负偏离表</w:t>
      </w:r>
    </w:p>
    <w:p w14:paraId="70A49CFC">
      <w:pPr>
        <w:spacing w:line="500" w:lineRule="exact"/>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商务部分正负偏离表</w:t>
      </w:r>
    </w:p>
    <w:p w14:paraId="34EECF87">
      <w:pPr>
        <w:spacing w:line="500" w:lineRule="exact"/>
        <w:rPr>
          <w:rFonts w:ascii="宋体" w:hAnsi="宋体" w:eastAsia="宋体" w:cs="宋体"/>
          <w:color w:val="auto"/>
          <w:sz w:val="24"/>
          <w:highlight w:val="none"/>
        </w:rPr>
      </w:pPr>
      <w:r>
        <w:rPr>
          <w:rFonts w:hint="eastAsia" w:ascii="仿宋" w:hAnsi="仿宋" w:eastAsia="仿宋" w:cs="仿宋"/>
          <w:color w:val="auto"/>
          <w:sz w:val="24"/>
          <w:highlight w:val="none"/>
        </w:rPr>
        <w:t xml:space="preserve">供应商全称（加盖公章）： </w:t>
      </w:r>
      <w:r>
        <w:rPr>
          <w:rFonts w:hint="eastAsia" w:ascii="宋体" w:hAnsi="宋体" w:eastAsia="宋体" w:cs="宋体"/>
          <w:color w:val="auto"/>
          <w:sz w:val="24"/>
          <w:highlight w:val="none"/>
        </w:rPr>
        <w:t xml:space="preserve"> </w:t>
      </w:r>
    </w:p>
    <w:tbl>
      <w:tblPr>
        <w:tblStyle w:val="41"/>
        <w:tblW w:w="5381"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4"/>
        <w:gridCol w:w="1372"/>
        <w:gridCol w:w="3082"/>
        <w:gridCol w:w="1276"/>
        <w:gridCol w:w="1929"/>
        <w:gridCol w:w="899"/>
      </w:tblGrid>
      <w:tr w14:paraId="5BBF7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tcBorders>
              <w:top w:val="single" w:color="auto" w:sz="4" w:space="0"/>
              <w:left w:val="single" w:color="auto" w:sz="4" w:space="0"/>
              <w:bottom w:val="single" w:color="auto" w:sz="4" w:space="0"/>
              <w:right w:val="single" w:color="auto" w:sz="4" w:space="0"/>
            </w:tcBorders>
            <w:noWrap w:val="0"/>
            <w:vAlign w:val="center"/>
          </w:tcPr>
          <w:p w14:paraId="0B096C59">
            <w:pPr>
              <w:spacing w:before="156"/>
              <w:jc w:val="center"/>
              <w:rPr>
                <w:rFonts w:hint="eastAsia" w:ascii="仿宋" w:hAnsi="仿宋" w:eastAsia="仿宋"/>
                <w:sz w:val="24"/>
                <w:highlight w:val="none"/>
              </w:rPr>
            </w:pPr>
            <w:r>
              <w:rPr>
                <w:rFonts w:hint="eastAsia" w:ascii="仿宋" w:hAnsi="仿宋" w:eastAsia="仿宋"/>
                <w:sz w:val="24"/>
                <w:highlight w:val="none"/>
              </w:rPr>
              <w:t>序号</w:t>
            </w:r>
          </w:p>
        </w:tc>
        <w:tc>
          <w:tcPr>
            <w:tcW w:w="1372" w:type="dxa"/>
            <w:tcBorders>
              <w:top w:val="single" w:color="auto" w:sz="4" w:space="0"/>
              <w:left w:val="single" w:color="auto" w:sz="4" w:space="0"/>
              <w:bottom w:val="single" w:color="auto" w:sz="4" w:space="0"/>
              <w:right w:val="single" w:color="auto" w:sz="4" w:space="0"/>
            </w:tcBorders>
            <w:noWrap w:val="0"/>
            <w:vAlign w:val="center"/>
          </w:tcPr>
          <w:p w14:paraId="23B8ECD9">
            <w:pPr>
              <w:spacing w:before="156"/>
              <w:jc w:val="center"/>
              <w:rPr>
                <w:rFonts w:ascii="仿宋" w:hAnsi="仿宋" w:eastAsia="仿宋"/>
                <w:sz w:val="24"/>
                <w:highlight w:val="none"/>
              </w:rPr>
            </w:pPr>
            <w:r>
              <w:rPr>
                <w:rFonts w:hint="eastAsia" w:ascii="仿宋" w:hAnsi="仿宋" w:eastAsia="仿宋"/>
                <w:sz w:val="24"/>
                <w:highlight w:val="none"/>
              </w:rPr>
              <w:t>商务条款</w:t>
            </w:r>
          </w:p>
        </w:tc>
        <w:tc>
          <w:tcPr>
            <w:tcW w:w="3082" w:type="dxa"/>
            <w:tcBorders>
              <w:top w:val="single" w:color="auto" w:sz="4" w:space="0"/>
              <w:left w:val="single" w:color="auto" w:sz="4" w:space="0"/>
              <w:bottom w:val="single" w:color="auto" w:sz="4" w:space="0"/>
              <w:right w:val="single" w:color="auto" w:sz="4" w:space="0"/>
            </w:tcBorders>
            <w:noWrap w:val="0"/>
            <w:vAlign w:val="center"/>
          </w:tcPr>
          <w:p w14:paraId="71567938">
            <w:pPr>
              <w:spacing w:before="156"/>
              <w:jc w:val="center"/>
              <w:rPr>
                <w:rFonts w:ascii="仿宋" w:hAnsi="仿宋" w:eastAsia="仿宋"/>
                <w:sz w:val="24"/>
                <w:highlight w:val="none"/>
              </w:rPr>
            </w:pPr>
            <w:r>
              <w:rPr>
                <w:rFonts w:hint="eastAsia" w:ascii="仿宋" w:hAnsi="仿宋" w:eastAsia="仿宋"/>
                <w:sz w:val="24"/>
                <w:highlight w:val="none"/>
                <w:lang w:val="en-US" w:eastAsia="zh-CN"/>
              </w:rPr>
              <w:t>征集</w:t>
            </w:r>
            <w:r>
              <w:rPr>
                <w:rFonts w:hint="eastAsia" w:ascii="仿宋" w:hAnsi="仿宋" w:eastAsia="仿宋"/>
                <w:sz w:val="24"/>
                <w:highlight w:val="none"/>
              </w:rPr>
              <w:t>文件要求</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6916156">
            <w:pPr>
              <w:spacing w:before="156"/>
              <w:jc w:val="center"/>
              <w:rPr>
                <w:rFonts w:ascii="仿宋" w:hAnsi="仿宋" w:eastAsia="仿宋"/>
                <w:sz w:val="24"/>
                <w:highlight w:val="none"/>
              </w:rPr>
            </w:pPr>
            <w:r>
              <w:rPr>
                <w:rFonts w:hint="eastAsia" w:ascii="仿宋" w:hAnsi="仿宋" w:eastAsia="仿宋"/>
                <w:color w:val="000000"/>
                <w:sz w:val="24"/>
                <w:highlight w:val="none"/>
                <w:lang w:val="en-US" w:eastAsia="zh-CN"/>
              </w:rPr>
              <w:t>投标文件</w:t>
            </w:r>
            <w:r>
              <w:rPr>
                <w:rFonts w:hint="eastAsia" w:ascii="仿宋" w:hAnsi="仿宋" w:eastAsia="仿宋"/>
                <w:color w:val="000000"/>
                <w:sz w:val="24"/>
                <w:highlight w:val="none"/>
              </w:rPr>
              <w:t>具体情况</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D837286">
            <w:pPr>
              <w:jc w:val="center"/>
              <w:rPr>
                <w:rFonts w:ascii="仿宋" w:hAnsi="仿宋" w:eastAsia="仿宋"/>
                <w:color w:val="000000"/>
                <w:sz w:val="24"/>
                <w:highlight w:val="none"/>
              </w:rPr>
            </w:pPr>
            <w:r>
              <w:rPr>
                <w:rFonts w:hint="eastAsia" w:ascii="仿宋" w:hAnsi="仿宋" w:eastAsia="仿宋"/>
                <w:color w:val="000000"/>
                <w:sz w:val="24"/>
                <w:highlight w:val="none"/>
              </w:rPr>
              <w:t>结论（正偏离、符合或负偏离）</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22F70E1">
            <w:pPr>
              <w:jc w:val="center"/>
              <w:rPr>
                <w:rFonts w:ascii="仿宋" w:hAnsi="仿宋" w:eastAsia="仿宋"/>
                <w:color w:val="000000"/>
                <w:sz w:val="24"/>
                <w:highlight w:val="none"/>
              </w:rPr>
            </w:pPr>
            <w:r>
              <w:rPr>
                <w:rFonts w:hint="eastAsia" w:ascii="仿宋" w:hAnsi="仿宋" w:eastAsia="仿宋"/>
                <w:color w:val="000000"/>
                <w:sz w:val="24"/>
                <w:highlight w:val="none"/>
              </w:rPr>
              <w:t>备注</w:t>
            </w:r>
          </w:p>
        </w:tc>
      </w:tr>
      <w:tr w14:paraId="1C95F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tcBorders>
              <w:top w:val="single" w:color="auto" w:sz="4" w:space="0"/>
              <w:left w:val="single" w:color="auto" w:sz="4" w:space="0"/>
              <w:bottom w:val="single" w:color="auto" w:sz="4" w:space="0"/>
              <w:right w:val="single" w:color="auto" w:sz="4" w:space="0"/>
            </w:tcBorders>
            <w:noWrap w:val="0"/>
            <w:vAlign w:val="center"/>
          </w:tcPr>
          <w:p w14:paraId="2EB4534B">
            <w:pPr>
              <w:spacing w:before="156"/>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1</w:t>
            </w:r>
          </w:p>
        </w:tc>
        <w:tc>
          <w:tcPr>
            <w:tcW w:w="1372" w:type="dxa"/>
            <w:tcBorders>
              <w:top w:val="single" w:color="auto" w:sz="4" w:space="0"/>
              <w:left w:val="single" w:color="auto" w:sz="4" w:space="0"/>
              <w:bottom w:val="single" w:color="auto" w:sz="4" w:space="0"/>
              <w:right w:val="single" w:color="auto" w:sz="4" w:space="0"/>
            </w:tcBorders>
            <w:noWrap w:val="0"/>
            <w:vAlign w:val="center"/>
          </w:tcPr>
          <w:p w14:paraId="5719E5A1">
            <w:pPr>
              <w:spacing w:before="156"/>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服务期限</w:t>
            </w:r>
          </w:p>
        </w:tc>
        <w:tc>
          <w:tcPr>
            <w:tcW w:w="3082" w:type="dxa"/>
            <w:tcBorders>
              <w:top w:val="single" w:color="auto" w:sz="4" w:space="0"/>
              <w:left w:val="single" w:color="auto" w:sz="4" w:space="0"/>
              <w:bottom w:val="single" w:color="auto" w:sz="4" w:space="0"/>
              <w:right w:val="single" w:color="auto" w:sz="4" w:space="0"/>
            </w:tcBorders>
            <w:noWrap w:val="0"/>
            <w:vAlign w:val="top"/>
          </w:tcPr>
          <w:p w14:paraId="7E4C9E6F">
            <w:pPr>
              <w:pStyle w:val="37"/>
              <w:widowControl/>
              <w:spacing w:beforeAutospacing="0" w:afterAutospacing="0" w:line="240" w:lineRule="auto"/>
              <w:jc w:val="both"/>
              <w:rPr>
                <w:rFonts w:ascii="仿宋" w:hAnsi="仿宋" w:eastAsia="仿宋"/>
                <w:sz w:val="24"/>
                <w:highlight w:val="none"/>
              </w:rPr>
            </w:pPr>
            <w:r>
              <w:rPr>
                <w:rFonts w:hint="eastAsia" w:ascii="仿宋" w:hAnsi="仿宋" w:eastAsia="仿宋" w:cs="仿宋"/>
                <w:color w:val="auto"/>
                <w:sz w:val="24"/>
                <w:szCs w:val="24"/>
                <w:highlight w:val="none"/>
                <w:lang w:val="en-US" w:eastAsia="zh-CN" w:bidi="ar-SA"/>
              </w:rPr>
              <w:t>自合同签订后至2026年11月30日止，具体时间应结合工作进展，时间以采购人通知为准。</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6AD621A1">
            <w:pPr>
              <w:spacing w:before="156"/>
              <w:rPr>
                <w:rFonts w:ascii="仿宋" w:hAnsi="仿宋" w:eastAsia="仿宋"/>
                <w:sz w:val="24"/>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top"/>
          </w:tcPr>
          <w:p w14:paraId="7783E35E">
            <w:pPr>
              <w:spacing w:before="156"/>
              <w:rPr>
                <w:rFonts w:ascii="仿宋" w:hAnsi="仿宋" w:eastAsia="仿宋"/>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top"/>
          </w:tcPr>
          <w:p w14:paraId="45C4F8E7">
            <w:pPr>
              <w:spacing w:before="156"/>
              <w:rPr>
                <w:rFonts w:ascii="仿宋" w:hAnsi="仿宋" w:eastAsia="仿宋"/>
                <w:sz w:val="24"/>
                <w:highlight w:val="none"/>
              </w:rPr>
            </w:pPr>
          </w:p>
        </w:tc>
      </w:tr>
      <w:tr w14:paraId="28741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tcBorders>
              <w:top w:val="single" w:color="auto" w:sz="4" w:space="0"/>
              <w:left w:val="single" w:color="auto" w:sz="4" w:space="0"/>
              <w:bottom w:val="single" w:color="auto" w:sz="4" w:space="0"/>
              <w:right w:val="single" w:color="auto" w:sz="4" w:space="0"/>
            </w:tcBorders>
            <w:noWrap w:val="0"/>
            <w:vAlign w:val="center"/>
          </w:tcPr>
          <w:p w14:paraId="6C33C7BC">
            <w:pPr>
              <w:spacing w:before="156"/>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2</w:t>
            </w:r>
          </w:p>
        </w:tc>
        <w:tc>
          <w:tcPr>
            <w:tcW w:w="1372" w:type="dxa"/>
            <w:tcBorders>
              <w:top w:val="single" w:color="auto" w:sz="4" w:space="0"/>
              <w:left w:val="single" w:color="auto" w:sz="4" w:space="0"/>
              <w:bottom w:val="single" w:color="auto" w:sz="4" w:space="0"/>
              <w:right w:val="single" w:color="auto" w:sz="4" w:space="0"/>
            </w:tcBorders>
            <w:noWrap w:val="0"/>
            <w:vAlign w:val="center"/>
          </w:tcPr>
          <w:p w14:paraId="3E316A99">
            <w:pPr>
              <w:spacing w:before="156"/>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地点</w:t>
            </w:r>
          </w:p>
        </w:tc>
        <w:tc>
          <w:tcPr>
            <w:tcW w:w="3082" w:type="dxa"/>
            <w:tcBorders>
              <w:top w:val="single" w:color="auto" w:sz="4" w:space="0"/>
              <w:left w:val="single" w:color="auto" w:sz="4" w:space="0"/>
              <w:bottom w:val="single" w:color="auto" w:sz="4" w:space="0"/>
              <w:right w:val="single" w:color="auto" w:sz="4" w:space="0"/>
            </w:tcBorders>
            <w:noWrap w:val="0"/>
            <w:vAlign w:val="top"/>
          </w:tcPr>
          <w:p w14:paraId="5E124C06">
            <w:pP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采购人指定地点</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60141F68">
            <w:pPr>
              <w:spacing w:before="156"/>
              <w:rPr>
                <w:rFonts w:ascii="仿宋" w:hAnsi="仿宋" w:eastAsia="仿宋"/>
                <w:sz w:val="24"/>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top"/>
          </w:tcPr>
          <w:p w14:paraId="754E755B">
            <w:pPr>
              <w:spacing w:before="156"/>
              <w:rPr>
                <w:rFonts w:ascii="仿宋" w:hAnsi="仿宋" w:eastAsia="仿宋"/>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top"/>
          </w:tcPr>
          <w:p w14:paraId="793C93F3">
            <w:pPr>
              <w:spacing w:before="156"/>
              <w:rPr>
                <w:rFonts w:ascii="仿宋" w:hAnsi="仿宋" w:eastAsia="仿宋"/>
                <w:sz w:val="24"/>
                <w:highlight w:val="none"/>
              </w:rPr>
            </w:pPr>
          </w:p>
        </w:tc>
      </w:tr>
      <w:tr w14:paraId="50F07C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tcBorders>
              <w:top w:val="single" w:color="auto" w:sz="4" w:space="0"/>
              <w:left w:val="single" w:color="auto" w:sz="4" w:space="0"/>
              <w:bottom w:val="single" w:color="auto" w:sz="4" w:space="0"/>
              <w:right w:val="single" w:color="auto" w:sz="4" w:space="0"/>
            </w:tcBorders>
            <w:noWrap w:val="0"/>
            <w:vAlign w:val="center"/>
          </w:tcPr>
          <w:p w14:paraId="19306F0F">
            <w:pPr>
              <w:spacing w:before="156"/>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3</w:t>
            </w:r>
          </w:p>
        </w:tc>
        <w:tc>
          <w:tcPr>
            <w:tcW w:w="1372" w:type="dxa"/>
            <w:tcBorders>
              <w:top w:val="single" w:color="auto" w:sz="4" w:space="0"/>
              <w:left w:val="single" w:color="auto" w:sz="4" w:space="0"/>
              <w:bottom w:val="single" w:color="auto" w:sz="4" w:space="0"/>
              <w:right w:val="single" w:color="auto" w:sz="4" w:space="0"/>
            </w:tcBorders>
            <w:noWrap w:val="0"/>
            <w:vAlign w:val="center"/>
          </w:tcPr>
          <w:p w14:paraId="2574FCB3">
            <w:pPr>
              <w:spacing w:before="156" w:line="240" w:lineRule="auto"/>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付款方式</w:t>
            </w:r>
          </w:p>
        </w:tc>
        <w:tc>
          <w:tcPr>
            <w:tcW w:w="3082" w:type="dxa"/>
            <w:tcBorders>
              <w:top w:val="single" w:color="auto" w:sz="4" w:space="0"/>
              <w:left w:val="single" w:color="auto" w:sz="4" w:space="0"/>
              <w:bottom w:val="single" w:color="auto" w:sz="4" w:space="0"/>
              <w:right w:val="single" w:color="auto" w:sz="4" w:space="0"/>
            </w:tcBorders>
            <w:noWrap w:val="0"/>
            <w:vAlign w:val="top"/>
          </w:tcPr>
          <w:p w14:paraId="616A9852">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任务完成结算抽检费用，抽样检测费用为供应商成交单价*实际抽样检测批次数。</w:t>
            </w:r>
          </w:p>
          <w:p w14:paraId="47E8D353">
            <w:pPr>
              <w:spacing w:line="240" w:lineRule="auto"/>
              <w:rPr>
                <w:rFonts w:ascii="仿宋" w:hAnsi="仿宋" w:eastAsia="仿宋"/>
                <w:sz w:val="24"/>
                <w:highlight w:val="none"/>
              </w:rPr>
            </w:pPr>
            <w:r>
              <w:rPr>
                <w:rFonts w:hint="eastAsia" w:ascii="仿宋" w:hAnsi="仿宋" w:eastAsia="仿宋" w:cs="仿宋"/>
                <w:color w:val="auto"/>
                <w:sz w:val="24"/>
                <w:highlight w:val="none"/>
              </w:rPr>
              <w:t>根据现行税法对采购人征收的与本合同有关的一切税费均由采购人承担；根据现行税法对成交人征收的与本合同有关的一切税费均由成交人承担。每次支付前，成交人均应出具正式发票。</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47B511A2">
            <w:pPr>
              <w:spacing w:before="156"/>
              <w:ind w:left="43"/>
              <w:rPr>
                <w:rFonts w:ascii="仿宋" w:hAnsi="仿宋" w:eastAsia="仿宋"/>
                <w:sz w:val="24"/>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top"/>
          </w:tcPr>
          <w:p w14:paraId="1B6BD23B">
            <w:pPr>
              <w:spacing w:before="156"/>
              <w:ind w:left="43"/>
              <w:rPr>
                <w:rFonts w:ascii="仿宋" w:hAnsi="仿宋" w:eastAsia="仿宋"/>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top"/>
          </w:tcPr>
          <w:p w14:paraId="18085922">
            <w:pPr>
              <w:spacing w:before="156"/>
              <w:ind w:left="43"/>
              <w:rPr>
                <w:rFonts w:ascii="仿宋" w:hAnsi="仿宋" w:eastAsia="仿宋"/>
                <w:sz w:val="24"/>
                <w:highlight w:val="none"/>
              </w:rPr>
            </w:pPr>
          </w:p>
        </w:tc>
      </w:tr>
      <w:tr w14:paraId="59A5ED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single" w:color="auto" w:sz="4" w:space="0"/>
              <w:left w:val="single" w:color="auto" w:sz="4" w:space="0"/>
              <w:right w:val="single" w:color="auto" w:sz="4" w:space="0"/>
            </w:tcBorders>
            <w:noWrap w:val="0"/>
            <w:vAlign w:val="center"/>
          </w:tcPr>
          <w:p w14:paraId="53CA933D">
            <w:pPr>
              <w:spacing w:before="156"/>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4</w:t>
            </w:r>
          </w:p>
        </w:tc>
        <w:tc>
          <w:tcPr>
            <w:tcW w:w="1372" w:type="dxa"/>
            <w:vMerge w:val="restart"/>
            <w:tcBorders>
              <w:top w:val="single" w:color="auto" w:sz="4" w:space="0"/>
              <w:left w:val="single" w:color="auto" w:sz="4" w:space="0"/>
              <w:right w:val="single" w:color="auto" w:sz="4" w:space="0"/>
            </w:tcBorders>
            <w:noWrap w:val="0"/>
            <w:vAlign w:val="center"/>
          </w:tcPr>
          <w:p w14:paraId="5668E088">
            <w:pPr>
              <w:spacing w:before="156" w:line="240" w:lineRule="auto"/>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报价要求</w:t>
            </w:r>
          </w:p>
        </w:tc>
        <w:tc>
          <w:tcPr>
            <w:tcW w:w="3082" w:type="dxa"/>
            <w:tcBorders>
              <w:top w:val="single" w:color="auto" w:sz="4" w:space="0"/>
              <w:left w:val="single" w:color="auto" w:sz="4" w:space="0"/>
              <w:bottom w:val="single" w:color="auto" w:sz="4" w:space="0"/>
              <w:right w:val="single" w:color="auto" w:sz="4" w:space="0"/>
            </w:tcBorders>
            <w:noWrap w:val="0"/>
            <w:vAlign w:val="top"/>
          </w:tcPr>
          <w:p w14:paraId="5A2C3566">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报价应包含服务期内</w:t>
            </w:r>
            <w:r>
              <w:rPr>
                <w:rFonts w:hint="eastAsia" w:ascii="仿宋" w:hAnsi="仿宋" w:eastAsia="仿宋" w:cs="仿宋"/>
                <w:color w:val="auto"/>
                <w:sz w:val="24"/>
                <w:highlight w:val="none"/>
                <w:lang w:val="en-US" w:eastAsia="zh-CN"/>
              </w:rPr>
              <w:t>所有</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材料、检测、人工、机械、运输、税费、安全费、</w:t>
            </w:r>
            <w:r>
              <w:rPr>
                <w:rFonts w:hint="eastAsia" w:ascii="仿宋" w:hAnsi="仿宋" w:eastAsia="仿宋" w:cs="仿宋"/>
                <w:color w:val="auto"/>
                <w:sz w:val="24"/>
                <w:highlight w:val="none"/>
              </w:rPr>
              <w:t>采购代理服务等一切与本项目相关的费用。</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54DBBA99">
            <w:pPr>
              <w:spacing w:before="156"/>
              <w:ind w:left="43"/>
              <w:rPr>
                <w:rFonts w:ascii="仿宋" w:hAnsi="仿宋" w:eastAsia="仿宋"/>
                <w:sz w:val="24"/>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top"/>
          </w:tcPr>
          <w:p w14:paraId="20B7A09C">
            <w:pPr>
              <w:spacing w:before="156"/>
              <w:ind w:left="43"/>
              <w:rPr>
                <w:rFonts w:ascii="仿宋" w:hAnsi="仿宋" w:eastAsia="仿宋"/>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top"/>
          </w:tcPr>
          <w:p w14:paraId="0B58B7CC">
            <w:pPr>
              <w:spacing w:before="156"/>
              <w:ind w:left="43"/>
              <w:rPr>
                <w:rFonts w:ascii="仿宋" w:hAnsi="仿宋" w:eastAsia="仿宋"/>
                <w:sz w:val="24"/>
                <w:highlight w:val="none"/>
              </w:rPr>
            </w:pPr>
          </w:p>
        </w:tc>
      </w:tr>
      <w:tr w14:paraId="7336A7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left w:val="single" w:color="auto" w:sz="4" w:space="0"/>
              <w:bottom w:val="single" w:color="auto" w:sz="4" w:space="0"/>
              <w:right w:val="single" w:color="auto" w:sz="4" w:space="0"/>
            </w:tcBorders>
            <w:noWrap w:val="0"/>
            <w:vAlign w:val="center"/>
          </w:tcPr>
          <w:p w14:paraId="13034CD3">
            <w:pPr>
              <w:spacing w:before="156"/>
              <w:jc w:val="center"/>
              <w:rPr>
                <w:rFonts w:hint="eastAsia" w:ascii="仿宋" w:hAnsi="仿宋" w:eastAsia="仿宋"/>
                <w:sz w:val="24"/>
                <w:highlight w:val="none"/>
                <w:lang w:val="en-US" w:eastAsia="zh-CN"/>
              </w:rPr>
            </w:pPr>
          </w:p>
        </w:tc>
        <w:tc>
          <w:tcPr>
            <w:tcW w:w="1372" w:type="dxa"/>
            <w:vMerge w:val="continue"/>
            <w:tcBorders>
              <w:left w:val="single" w:color="auto" w:sz="4" w:space="0"/>
              <w:right w:val="single" w:color="auto" w:sz="4" w:space="0"/>
            </w:tcBorders>
            <w:noWrap w:val="0"/>
            <w:vAlign w:val="center"/>
          </w:tcPr>
          <w:p w14:paraId="183719A3">
            <w:pPr>
              <w:spacing w:before="156" w:line="240" w:lineRule="auto"/>
              <w:jc w:val="center"/>
              <w:rPr>
                <w:rFonts w:hint="eastAsia" w:ascii="仿宋" w:hAnsi="仿宋" w:eastAsia="仿宋"/>
                <w:sz w:val="24"/>
                <w:highlight w:val="none"/>
                <w:lang w:val="en-US" w:eastAsia="zh-CN"/>
              </w:rPr>
            </w:pPr>
          </w:p>
        </w:tc>
        <w:tc>
          <w:tcPr>
            <w:tcW w:w="3082" w:type="dxa"/>
            <w:tcBorders>
              <w:top w:val="single" w:color="auto" w:sz="4" w:space="0"/>
              <w:left w:val="single" w:color="auto" w:sz="4" w:space="0"/>
              <w:bottom w:val="single" w:color="auto" w:sz="4" w:space="0"/>
              <w:right w:val="single" w:color="auto" w:sz="4" w:space="0"/>
            </w:tcBorders>
            <w:noWrap w:val="0"/>
            <w:vAlign w:val="top"/>
          </w:tcPr>
          <w:p w14:paraId="6A618B0F">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供应商应对采购文件内的全部内容进行响应，采购文件未列明，而供应商认为其他必需的费用也需列入单价中。在合同实施时，采购方将不予支付成交人没有填列的项目费用，并认为此项目的费用已包括在报价中。</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728A0515">
            <w:pPr>
              <w:spacing w:before="156"/>
              <w:ind w:left="43"/>
              <w:rPr>
                <w:rFonts w:ascii="仿宋" w:hAnsi="仿宋" w:eastAsia="仿宋"/>
                <w:sz w:val="24"/>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top"/>
          </w:tcPr>
          <w:p w14:paraId="21A46335">
            <w:pPr>
              <w:spacing w:before="156"/>
              <w:ind w:left="43"/>
              <w:rPr>
                <w:rFonts w:ascii="仿宋" w:hAnsi="仿宋" w:eastAsia="仿宋"/>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top"/>
          </w:tcPr>
          <w:p w14:paraId="5D26CB43">
            <w:pPr>
              <w:spacing w:before="156"/>
              <w:ind w:left="43"/>
              <w:rPr>
                <w:rFonts w:ascii="仿宋" w:hAnsi="仿宋" w:eastAsia="仿宋"/>
                <w:sz w:val="24"/>
                <w:highlight w:val="none"/>
              </w:rPr>
            </w:pPr>
          </w:p>
        </w:tc>
      </w:tr>
    </w:tbl>
    <w:p w14:paraId="3FC92B4D">
      <w:pPr>
        <w:spacing w:line="500" w:lineRule="exact"/>
        <w:rPr>
          <w:rFonts w:hint="eastAsia" w:ascii="仿宋" w:hAnsi="仿宋" w:eastAsia="仿宋" w:cs="仿宋"/>
          <w:color w:val="auto"/>
          <w:sz w:val="24"/>
          <w:highlight w:val="none"/>
        </w:rPr>
      </w:pPr>
    </w:p>
    <w:p w14:paraId="2A675EDD">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06297BF8">
      <w:pPr>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注：1、按照征集文件要求详细填列，可增减行。</w:t>
      </w:r>
    </w:p>
    <w:p w14:paraId="540EEADA">
      <w:pPr>
        <w:spacing w:line="500" w:lineRule="exact"/>
        <w:ind w:right="561" w:firstLine="560"/>
        <w:jc w:val="left"/>
        <w:rPr>
          <w:rFonts w:ascii="仿宋" w:hAnsi="仿宋" w:eastAsia="仿宋" w:cs="仿宋"/>
          <w:color w:val="auto"/>
          <w:sz w:val="28"/>
          <w:szCs w:val="28"/>
          <w:highlight w:val="none"/>
        </w:rPr>
      </w:pPr>
      <w:r>
        <w:rPr>
          <w:rFonts w:hint="eastAsia" w:ascii="宋体" w:hAnsi="宋体" w:eastAsia="宋体" w:cs="宋体"/>
          <w:color w:val="auto"/>
          <w:sz w:val="28"/>
          <w:szCs w:val="28"/>
          <w:highlight w:val="none"/>
        </w:rPr>
        <w:br w:type="page" w:clear="all"/>
      </w:r>
    </w:p>
    <w:p w14:paraId="4574DC29">
      <w:pPr>
        <w:spacing w:line="500" w:lineRule="exact"/>
        <w:ind w:right="561"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四</w:t>
      </w:r>
      <w:r>
        <w:rPr>
          <w:rFonts w:hint="eastAsia" w:ascii="仿宋" w:hAnsi="仿宋" w:eastAsia="仿宋" w:cs="仿宋"/>
          <w:color w:val="auto"/>
          <w:sz w:val="28"/>
          <w:szCs w:val="28"/>
          <w:highlight w:val="none"/>
        </w:rPr>
        <w:t>）其它需要提交的商务技术征集文件材料（格式自拟）</w:t>
      </w:r>
    </w:p>
    <w:p w14:paraId="2395848C">
      <w:pPr>
        <w:spacing w:line="500" w:lineRule="exact"/>
        <w:ind w:right="561"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供应商按“评分标准表（如有）”中的所有打分项按顺序逐一响应并提供的证明文件。</w:t>
      </w:r>
    </w:p>
    <w:p w14:paraId="46420E6E">
      <w:pPr>
        <w:keepNext w:val="0"/>
        <w:keepLines w:val="0"/>
        <w:pageBreakBefore w:val="0"/>
        <w:widowControl w:val="0"/>
        <w:spacing w:line="520" w:lineRule="exact"/>
        <w:ind w:firstLine="560"/>
        <w:jc w:val="left"/>
        <w:rPr>
          <w:rFonts w:hint="eastAsia" w:ascii="仿宋" w:hAnsi="仿宋" w:eastAsia="仿宋" w:cs="仿宋"/>
          <w:b/>
          <w:bCs/>
          <w:color w:val="FF0000"/>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eastAsia="zh-CN"/>
        </w:rPr>
        <w:t>供应商必须具备承担项目任务涉及到的所有检验项目的CMA资质（有效期内）</w:t>
      </w:r>
      <w:r>
        <w:rPr>
          <w:rFonts w:hint="eastAsia" w:ascii="仿宋" w:hAnsi="仿宋" w:eastAsia="仿宋" w:cs="仿宋"/>
          <w:color w:val="auto"/>
          <w:sz w:val="28"/>
          <w:szCs w:val="28"/>
          <w:highlight w:val="none"/>
          <w:lang w:eastAsia="zh-CN"/>
        </w:rPr>
        <w:t>，检验项目的检验方法需与食品安全国家标准、食品安全江苏省地方标准或国家市场监督管理总局《</w:t>
      </w:r>
      <w:r>
        <w:rPr>
          <w:rFonts w:hint="eastAsia" w:ascii="仿宋" w:hAnsi="仿宋" w:eastAsia="仿宋" w:cs="仿宋"/>
          <w:color w:val="auto"/>
          <w:sz w:val="28"/>
          <w:szCs w:val="28"/>
          <w:highlight w:val="none"/>
          <w:lang w:val="en-US" w:eastAsia="zh-CN"/>
        </w:rPr>
        <w:t>国家</w:t>
      </w:r>
      <w:r>
        <w:rPr>
          <w:rFonts w:hint="eastAsia" w:ascii="仿宋" w:hAnsi="仿宋" w:eastAsia="仿宋" w:cs="仿宋"/>
          <w:color w:val="auto"/>
          <w:sz w:val="28"/>
          <w:szCs w:val="28"/>
          <w:highlight w:val="none"/>
          <w:lang w:eastAsia="zh-CN"/>
        </w:rPr>
        <w:t>食品安全监督抽检实施细则（</w:t>
      </w:r>
      <w:r>
        <w:rPr>
          <w:rFonts w:hint="eastAsia" w:ascii="仿宋" w:hAnsi="仿宋" w:eastAsia="仿宋" w:cs="仿宋"/>
          <w:color w:val="auto"/>
          <w:sz w:val="28"/>
          <w:szCs w:val="28"/>
          <w:highlight w:val="none"/>
          <w:lang w:val="en-US" w:eastAsia="zh-CN"/>
        </w:rPr>
        <w:t>2025</w:t>
      </w:r>
      <w:r>
        <w:rPr>
          <w:rFonts w:hint="eastAsia" w:ascii="仿宋" w:hAnsi="仿宋" w:eastAsia="仿宋" w:cs="仿宋"/>
          <w:color w:val="auto"/>
          <w:sz w:val="28"/>
          <w:szCs w:val="28"/>
          <w:highlight w:val="none"/>
          <w:lang w:eastAsia="zh-CN"/>
        </w:rPr>
        <w:t>年版）》</w:t>
      </w:r>
      <w:r>
        <w:rPr>
          <w:rFonts w:hint="eastAsia" w:ascii="仿宋" w:hAnsi="仿宋" w:eastAsia="仿宋"/>
          <w:sz w:val="28"/>
          <w:szCs w:val="28"/>
          <w:highlight w:val="none"/>
          <w:lang w:eastAsia="zh-CN"/>
        </w:rPr>
        <w:t>（如有更新，使用最新版本）</w:t>
      </w:r>
      <w:r>
        <w:rPr>
          <w:rFonts w:hint="eastAsia" w:ascii="仿宋" w:hAnsi="仿宋" w:eastAsia="仿宋" w:cs="仿宋"/>
          <w:color w:val="auto"/>
          <w:sz w:val="28"/>
          <w:szCs w:val="28"/>
          <w:highlight w:val="none"/>
          <w:lang w:eastAsia="zh-CN"/>
        </w:rPr>
        <w:t>要求一致，方有资格承担该任务。</w:t>
      </w:r>
      <w:r>
        <w:rPr>
          <w:rFonts w:hint="eastAsia" w:ascii="仿宋" w:hAnsi="仿宋" w:eastAsia="仿宋" w:cs="仿宋"/>
          <w:b/>
          <w:bCs/>
          <w:color w:val="auto"/>
          <w:sz w:val="28"/>
          <w:szCs w:val="28"/>
          <w:highlight w:val="none"/>
          <w:lang w:eastAsia="zh-CN"/>
        </w:rPr>
        <w:t>响应文件中须</w:t>
      </w:r>
      <w:r>
        <w:rPr>
          <w:rFonts w:hint="eastAsia" w:ascii="仿宋" w:hAnsi="仿宋" w:eastAsia="仿宋" w:cs="仿宋"/>
          <w:b/>
          <w:bCs/>
          <w:color w:val="auto"/>
          <w:sz w:val="28"/>
          <w:szCs w:val="28"/>
          <w:highlight w:val="none"/>
          <w:lang w:val="en-US" w:eastAsia="zh-CN"/>
        </w:rPr>
        <w:t>提供资质证书复印件加盖响应供应商公章</w:t>
      </w:r>
      <w:r>
        <w:rPr>
          <w:rFonts w:hint="eastAsia" w:ascii="仿宋" w:hAnsi="仿宋" w:eastAsia="仿宋" w:cs="仿宋"/>
          <w:b/>
          <w:bCs/>
          <w:color w:val="auto"/>
          <w:sz w:val="28"/>
          <w:szCs w:val="28"/>
          <w:highlight w:val="none"/>
          <w:lang w:eastAsia="zh-CN"/>
        </w:rPr>
        <w:t>。</w:t>
      </w:r>
    </w:p>
    <w:p w14:paraId="1B278200">
      <w:pPr>
        <w:keepNext w:val="0"/>
        <w:keepLines w:val="0"/>
        <w:pageBreakBefore w:val="0"/>
        <w:widowControl w:val="0"/>
        <w:spacing w:line="520" w:lineRule="exact"/>
        <w:ind w:firstLine="562"/>
        <w:jc w:val="left"/>
        <w:rPr>
          <w:rFonts w:hint="eastAsia" w:ascii="仿宋" w:hAnsi="仿宋" w:eastAsia="仿宋" w:cs="仿宋"/>
          <w:b/>
          <w:bCs/>
          <w:color w:val="FF0000"/>
          <w:sz w:val="28"/>
          <w:szCs w:val="28"/>
          <w:highlight w:val="none"/>
          <w:lang w:eastAsia="zh-CN"/>
        </w:rPr>
      </w:pPr>
      <w:r>
        <w:rPr>
          <w:rFonts w:hint="eastAsia" w:ascii="仿宋" w:hAnsi="仿宋" w:eastAsia="仿宋" w:cs="仿宋"/>
          <w:b/>
          <w:sz w:val="28"/>
          <w:szCs w:val="28"/>
          <w:highlight w:val="none"/>
          <w:lang w:val="en-US" w:eastAsia="zh-CN"/>
        </w:rPr>
        <w:t>3.</w:t>
      </w:r>
      <w:r>
        <w:rPr>
          <w:rFonts w:hint="eastAsia" w:ascii="仿宋" w:hAnsi="仿宋" w:eastAsia="仿宋" w:cs="仿宋"/>
          <w:b/>
          <w:bCs/>
          <w:sz w:val="28"/>
          <w:szCs w:val="28"/>
          <w:highlight w:val="none"/>
        </w:rPr>
        <w:t>不合格食品发现率应高于上一年度全省平均水平。</w:t>
      </w:r>
      <w:r>
        <w:rPr>
          <w:rFonts w:hint="eastAsia" w:ascii="仿宋" w:hAnsi="仿宋" w:eastAsia="仿宋" w:cs="仿宋"/>
          <w:b/>
          <w:bCs/>
          <w:color w:val="auto"/>
          <w:sz w:val="28"/>
          <w:szCs w:val="28"/>
          <w:highlight w:val="none"/>
          <w:lang w:eastAsia="zh-CN"/>
        </w:rPr>
        <w:t>响应文件须</w:t>
      </w:r>
      <w:r>
        <w:rPr>
          <w:rFonts w:hint="eastAsia" w:ascii="仿宋" w:hAnsi="仿宋" w:eastAsia="仿宋" w:cs="仿宋"/>
          <w:b/>
          <w:bCs/>
          <w:color w:val="auto"/>
          <w:sz w:val="28"/>
          <w:szCs w:val="28"/>
          <w:highlight w:val="none"/>
          <w:lang w:val="en-US" w:eastAsia="zh-CN"/>
        </w:rPr>
        <w:t>提供承诺书加盖响应供应商公章，承诺书格式自拟</w:t>
      </w:r>
      <w:r>
        <w:rPr>
          <w:rFonts w:hint="eastAsia" w:ascii="仿宋" w:hAnsi="仿宋" w:eastAsia="仿宋" w:cs="仿宋"/>
          <w:b/>
          <w:bCs/>
          <w:color w:val="auto"/>
          <w:sz w:val="28"/>
          <w:szCs w:val="28"/>
          <w:highlight w:val="none"/>
          <w:lang w:eastAsia="zh-CN"/>
        </w:rPr>
        <w:t>。</w:t>
      </w:r>
    </w:p>
    <w:p w14:paraId="1AA284F2">
      <w:pPr>
        <w:pStyle w:val="39"/>
        <w:spacing w:line="500" w:lineRule="exact"/>
        <w:ind w:firstLine="480"/>
        <w:rPr>
          <w:rFonts w:ascii="仿宋" w:hAnsi="仿宋" w:eastAsia="仿宋" w:cs="仿宋"/>
          <w:color w:val="auto"/>
          <w:highlight w:val="none"/>
        </w:rPr>
      </w:pPr>
    </w:p>
    <w:p w14:paraId="7E9E065A">
      <w:pPr>
        <w:spacing w:line="500" w:lineRule="exact"/>
        <w:ind w:firstLine="560"/>
        <w:rPr>
          <w:rFonts w:ascii="仿宋" w:hAnsi="仿宋" w:eastAsia="仿宋" w:cs="仿宋"/>
          <w:color w:val="auto"/>
          <w:sz w:val="28"/>
          <w:szCs w:val="28"/>
          <w:highlight w:val="none"/>
        </w:rPr>
      </w:pPr>
    </w:p>
    <w:p w14:paraId="781FCF7C">
      <w:pPr>
        <w:spacing w:line="500" w:lineRule="exact"/>
        <w:ind w:firstLine="560"/>
        <w:rPr>
          <w:rFonts w:ascii="仿宋" w:hAnsi="仿宋" w:eastAsia="仿宋" w:cs="仿宋"/>
          <w:color w:val="auto"/>
          <w:sz w:val="28"/>
          <w:szCs w:val="28"/>
          <w:highlight w:val="none"/>
        </w:rPr>
      </w:pPr>
    </w:p>
    <w:p w14:paraId="47C5E580">
      <w:pPr>
        <w:spacing w:line="500" w:lineRule="exact"/>
        <w:ind w:firstLine="560"/>
        <w:rPr>
          <w:rFonts w:ascii="仿宋" w:hAnsi="仿宋" w:eastAsia="仿宋" w:cs="仿宋"/>
          <w:color w:val="auto"/>
          <w:sz w:val="28"/>
          <w:szCs w:val="28"/>
          <w:highlight w:val="none"/>
        </w:rPr>
      </w:pPr>
    </w:p>
    <w:p w14:paraId="4683A07B">
      <w:pPr>
        <w:pStyle w:val="16"/>
        <w:spacing w:line="42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注意：以上商务及技术文件所有涉及证明文件复印件必须加盖公章；</w:t>
      </w:r>
    </w:p>
    <w:p w14:paraId="6C2B239D">
      <w:pPr>
        <w:spacing w:line="500" w:lineRule="exact"/>
        <w:ind w:firstLine="560"/>
        <w:rPr>
          <w:rFonts w:ascii="仿宋" w:hAnsi="仿宋" w:eastAsia="仿宋" w:cs="仿宋"/>
          <w:color w:val="auto"/>
          <w:sz w:val="28"/>
          <w:szCs w:val="28"/>
          <w:highlight w:val="none"/>
        </w:rPr>
      </w:pPr>
    </w:p>
    <w:p w14:paraId="70AB14B8">
      <w:pPr>
        <w:spacing w:line="500" w:lineRule="exact"/>
        <w:ind w:firstLine="560"/>
        <w:rPr>
          <w:rFonts w:ascii="仿宋" w:hAnsi="仿宋" w:eastAsia="仿宋" w:cs="仿宋"/>
          <w:color w:val="auto"/>
          <w:sz w:val="28"/>
          <w:szCs w:val="28"/>
          <w:highlight w:val="none"/>
        </w:rPr>
      </w:pPr>
    </w:p>
    <w:p w14:paraId="30EE9EEA">
      <w:pPr>
        <w:spacing w:line="500" w:lineRule="exact"/>
        <w:ind w:firstLine="560"/>
        <w:rPr>
          <w:rFonts w:ascii="宋体" w:hAnsi="宋体" w:eastAsia="宋体" w:cs="宋体"/>
          <w:bCs/>
          <w:color w:val="auto"/>
          <w:sz w:val="28"/>
          <w:szCs w:val="28"/>
          <w:highlight w:val="none"/>
        </w:rPr>
      </w:pPr>
      <w:r>
        <w:rPr>
          <w:rFonts w:hint="eastAsia" w:ascii="仿宋" w:hAnsi="仿宋" w:eastAsia="仿宋" w:cs="仿宋"/>
          <w:bCs/>
          <w:color w:val="auto"/>
          <w:sz w:val="28"/>
          <w:szCs w:val="28"/>
          <w:highlight w:val="none"/>
        </w:rPr>
        <w:br w:type="page" w:clear="all"/>
      </w:r>
      <w:bookmarkStart w:id="295" w:name="_Toc24413"/>
      <w:bookmarkStart w:id="296" w:name="_Toc13152"/>
      <w:bookmarkStart w:id="297" w:name="_Toc30229"/>
      <w:bookmarkStart w:id="298" w:name="_Toc25857"/>
      <w:r>
        <w:rPr>
          <w:rFonts w:hint="eastAsia" w:ascii="仿宋" w:hAnsi="仿宋" w:eastAsia="仿宋" w:cs="仿宋"/>
          <w:bCs/>
          <w:color w:val="auto"/>
          <w:sz w:val="28"/>
          <w:szCs w:val="28"/>
          <w:highlight w:val="none"/>
          <w:lang w:val="en-US" w:eastAsia="zh-CN"/>
        </w:rPr>
        <w:t>四</w:t>
      </w:r>
      <w:r>
        <w:rPr>
          <w:rFonts w:hint="eastAsia" w:ascii="仿宋" w:hAnsi="仿宋" w:eastAsia="仿宋" w:cs="仿宋"/>
          <w:color w:val="auto"/>
          <w:sz w:val="28"/>
          <w:szCs w:val="28"/>
          <w:highlight w:val="none"/>
        </w:rPr>
        <w:t>、投标报价文件</w:t>
      </w:r>
      <w:bookmarkEnd w:id="295"/>
      <w:bookmarkEnd w:id="296"/>
      <w:bookmarkEnd w:id="297"/>
      <w:bookmarkEnd w:id="298"/>
    </w:p>
    <w:p w14:paraId="6F8C311B">
      <w:pPr>
        <w:spacing w:line="500" w:lineRule="exact"/>
        <w:ind w:firstLine="560"/>
        <w:rPr>
          <w:rFonts w:ascii="仿宋" w:hAnsi="仿宋" w:eastAsia="仿宋" w:cs="仿宋"/>
          <w:bCs/>
          <w:color w:val="auto"/>
          <w:sz w:val="28"/>
          <w:szCs w:val="28"/>
          <w:highlight w:val="none"/>
        </w:rPr>
      </w:pPr>
      <w:r>
        <w:rPr>
          <w:rFonts w:hint="eastAsia" w:ascii="宋体" w:hAnsi="宋体" w:eastAsia="宋体" w:cs="宋体"/>
          <w:color w:val="auto"/>
          <w:sz w:val="28"/>
          <w:szCs w:val="28"/>
          <w:highlight w:val="none"/>
        </w:rPr>
        <w:t>（</w:t>
      </w:r>
      <w:r>
        <w:rPr>
          <w:rFonts w:hint="eastAsia" w:ascii="仿宋" w:hAnsi="仿宋" w:eastAsia="仿宋" w:cs="仿宋"/>
          <w:color w:val="auto"/>
          <w:sz w:val="28"/>
          <w:szCs w:val="28"/>
          <w:highlight w:val="none"/>
        </w:rPr>
        <w:t>一）</w:t>
      </w:r>
      <w:r>
        <w:rPr>
          <w:rFonts w:hint="eastAsia" w:ascii="仿宋" w:hAnsi="仿宋" w:eastAsia="仿宋" w:cs="仿宋"/>
          <w:bCs/>
          <w:color w:val="auto"/>
          <w:sz w:val="28"/>
          <w:szCs w:val="28"/>
          <w:highlight w:val="none"/>
        </w:rPr>
        <w:t>征集响应报价表</w:t>
      </w:r>
    </w:p>
    <w:p w14:paraId="7D3389FB">
      <w:pPr>
        <w:spacing w:line="500" w:lineRule="exact"/>
        <w:ind w:firstLine="30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征集响应报价表</w:t>
      </w:r>
    </w:p>
    <w:tbl>
      <w:tblPr>
        <w:tblStyle w:val="41"/>
        <w:tblpPr w:leftFromText="180" w:rightFromText="180" w:vertAnchor="text" w:horzAnchor="page" w:tblpX="1692" w:tblpY="555"/>
        <w:tblW w:w="8807" w:type="dxa"/>
        <w:tblInd w:w="0" w:type="dxa"/>
        <w:tblLayout w:type="fixed"/>
        <w:tblCellMar>
          <w:top w:w="0" w:type="dxa"/>
          <w:left w:w="108" w:type="dxa"/>
          <w:bottom w:w="0" w:type="dxa"/>
          <w:right w:w="108" w:type="dxa"/>
        </w:tblCellMar>
      </w:tblPr>
      <w:tblGrid>
        <w:gridCol w:w="4582"/>
        <w:gridCol w:w="1725"/>
        <w:gridCol w:w="2500"/>
      </w:tblGrid>
      <w:tr w14:paraId="45940B2B">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0796B37A">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供应商（全称并加盖公章）：</w:t>
            </w:r>
          </w:p>
        </w:tc>
      </w:tr>
      <w:tr w14:paraId="24F15E55">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52960203">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r>
      <w:tr w14:paraId="169E4664">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4B2C4946">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计划编号：</w:t>
            </w:r>
          </w:p>
        </w:tc>
        <w:tc>
          <w:tcPr>
            <w:tcW w:w="2500" w:type="dxa"/>
            <w:tcBorders>
              <w:top w:val="nil"/>
              <w:left w:val="nil"/>
              <w:bottom w:val="nil"/>
              <w:right w:val="nil"/>
            </w:tcBorders>
            <w:noWrap/>
            <w:vAlign w:val="center"/>
          </w:tcPr>
          <w:p w14:paraId="7A124B44">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分包号：</w:t>
            </w:r>
          </w:p>
        </w:tc>
      </w:tr>
      <w:tr w14:paraId="53C8EE5A">
        <w:tblPrEx>
          <w:tblCellMar>
            <w:top w:w="0" w:type="dxa"/>
            <w:left w:w="108" w:type="dxa"/>
            <w:bottom w:w="0" w:type="dxa"/>
            <w:right w:w="108" w:type="dxa"/>
          </w:tblCellMar>
        </w:tblPrEx>
        <w:trPr>
          <w:trHeight w:val="805" w:hRule="atLeast"/>
        </w:trPr>
        <w:tc>
          <w:tcPr>
            <w:tcW w:w="4582" w:type="dxa"/>
            <w:vMerge w:val="restart"/>
            <w:tcBorders>
              <w:top w:val="single" w:color="auto" w:sz="4" w:space="0"/>
              <w:left w:val="single" w:color="auto" w:sz="4" w:space="0"/>
              <w:bottom w:val="single" w:color="auto" w:sz="4" w:space="0"/>
              <w:right w:val="single" w:color="auto" w:sz="4" w:space="0"/>
            </w:tcBorders>
            <w:noWrap/>
            <w:vAlign w:val="center"/>
          </w:tcPr>
          <w:p w14:paraId="1428CCBD">
            <w:pPr>
              <w:widowControl/>
              <w:spacing w:line="50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元/批次</w:t>
            </w:r>
            <w:r>
              <w:rPr>
                <w:rFonts w:hint="eastAsia" w:ascii="仿宋" w:hAnsi="仿宋" w:eastAsia="仿宋" w:cs="仿宋"/>
                <w:color w:val="auto"/>
                <w:sz w:val="24"/>
                <w:highlight w:val="none"/>
                <w:lang w:eastAsia="zh-CN"/>
              </w:rPr>
              <w:t>）</w:t>
            </w:r>
          </w:p>
        </w:tc>
        <w:tc>
          <w:tcPr>
            <w:tcW w:w="4225" w:type="dxa"/>
            <w:gridSpan w:val="2"/>
            <w:tcBorders>
              <w:top w:val="single" w:color="auto" w:sz="4" w:space="0"/>
              <w:left w:val="nil"/>
              <w:bottom w:val="single" w:color="auto" w:sz="4" w:space="0"/>
              <w:right w:val="single" w:color="auto" w:sz="4" w:space="0"/>
            </w:tcBorders>
            <w:noWrap/>
            <w:vAlign w:val="center"/>
          </w:tcPr>
          <w:p w14:paraId="7F217802">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048A3314">
        <w:tblPrEx>
          <w:tblCellMar>
            <w:top w:w="0" w:type="dxa"/>
            <w:left w:w="108" w:type="dxa"/>
            <w:bottom w:w="0" w:type="dxa"/>
            <w:right w:w="108" w:type="dxa"/>
          </w:tblCellMar>
        </w:tblPrEx>
        <w:trPr>
          <w:trHeight w:val="790" w:hRule="atLeast"/>
        </w:trPr>
        <w:tc>
          <w:tcPr>
            <w:tcW w:w="4582" w:type="dxa"/>
            <w:vMerge w:val="continue"/>
            <w:tcBorders>
              <w:top w:val="single" w:color="auto" w:sz="4" w:space="0"/>
              <w:left w:val="single" w:color="auto" w:sz="4" w:space="0"/>
              <w:bottom w:val="single" w:color="auto" w:sz="4" w:space="0"/>
              <w:right w:val="single" w:color="auto" w:sz="4" w:space="0"/>
            </w:tcBorders>
            <w:noWrap w:val="0"/>
            <w:vAlign w:val="center"/>
          </w:tcPr>
          <w:p w14:paraId="7B4A7D91">
            <w:pPr>
              <w:widowControl/>
              <w:spacing w:line="500" w:lineRule="exact"/>
              <w:jc w:val="left"/>
              <w:rPr>
                <w:rFonts w:ascii="仿宋" w:hAnsi="仿宋" w:eastAsia="仿宋" w:cs="仿宋"/>
                <w:color w:val="auto"/>
                <w:sz w:val="24"/>
                <w:highlight w:val="none"/>
              </w:rPr>
            </w:pPr>
          </w:p>
        </w:tc>
        <w:tc>
          <w:tcPr>
            <w:tcW w:w="4225" w:type="dxa"/>
            <w:gridSpan w:val="2"/>
            <w:tcBorders>
              <w:top w:val="single" w:color="auto" w:sz="4" w:space="0"/>
              <w:left w:val="nil"/>
              <w:bottom w:val="single" w:color="auto" w:sz="4" w:space="0"/>
              <w:right w:val="single" w:color="auto" w:sz="4" w:space="0"/>
            </w:tcBorders>
            <w:noWrap/>
            <w:vAlign w:val="center"/>
          </w:tcPr>
          <w:p w14:paraId="2207EF03">
            <w:pPr>
              <w:widowControl/>
              <w:spacing w:line="50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大写：</w:t>
            </w:r>
          </w:p>
        </w:tc>
      </w:tr>
      <w:tr w14:paraId="1B913F88">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239112A2">
            <w:pPr>
              <w:widowControl/>
              <w:spacing w:line="500" w:lineRule="exact"/>
              <w:ind w:firstLine="420"/>
              <w:jc w:val="left"/>
              <w:rPr>
                <w:rFonts w:ascii="仿宋" w:hAnsi="仿宋" w:eastAsia="仿宋" w:cs="仿宋"/>
                <w:color w:val="auto"/>
                <w:szCs w:val="21"/>
                <w:highlight w:val="none"/>
              </w:rPr>
            </w:pPr>
          </w:p>
        </w:tc>
      </w:tr>
    </w:tbl>
    <w:p w14:paraId="527A0E5D">
      <w:pPr>
        <w:pStyle w:val="48"/>
        <w:spacing w:before="0" w:after="0" w:line="500" w:lineRule="exact"/>
        <w:ind w:firstLine="640"/>
        <w:rPr>
          <w:rFonts w:ascii="仿宋" w:hAnsi="仿宋" w:eastAsia="仿宋" w:cs="仿宋"/>
          <w:color w:val="auto"/>
          <w:sz w:val="32"/>
          <w:szCs w:val="32"/>
          <w:highlight w:val="none"/>
        </w:rPr>
      </w:pPr>
    </w:p>
    <w:p w14:paraId="515B243D">
      <w:pPr>
        <w:spacing w:line="500" w:lineRule="exact"/>
        <w:jc w:val="both"/>
        <w:rPr>
          <w:rFonts w:hint="eastAsia" w:ascii="仿宋" w:hAnsi="仿宋" w:eastAsia="仿宋" w:cs="仿宋"/>
          <w:color w:val="auto"/>
          <w:szCs w:val="21"/>
          <w:highlight w:val="none"/>
        </w:rPr>
      </w:pPr>
      <w:r>
        <w:rPr>
          <w:rFonts w:hint="eastAsia" w:ascii="仿宋" w:hAnsi="仿宋" w:eastAsia="仿宋" w:cs="仿宋"/>
          <w:bCs/>
          <w:color w:val="auto"/>
          <w:sz w:val="28"/>
          <w:szCs w:val="28"/>
          <w:highlight w:val="none"/>
        </w:rPr>
        <w:br w:type="page" w:clear="all"/>
      </w:r>
    </w:p>
    <w:p w14:paraId="19F22B45">
      <w:pPr>
        <w:rPr>
          <w:rFonts w:ascii="仿宋" w:hAnsi="仿宋" w:eastAsia="仿宋"/>
          <w:color w:val="auto"/>
          <w:szCs w:val="21"/>
          <w:highlight w:val="none"/>
        </w:rPr>
      </w:pPr>
    </w:p>
    <w:p w14:paraId="0693A6F9">
      <w:pPr>
        <w:spacing w:line="500" w:lineRule="exact"/>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eastAsia="zh-CN"/>
        </w:rPr>
        <w:t>二</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残疾人福利性单位声明函</w:t>
      </w:r>
    </w:p>
    <w:p w14:paraId="10539366">
      <w:pPr>
        <w:spacing w:line="500" w:lineRule="exact"/>
        <w:jc w:val="center"/>
        <w:rPr>
          <w:rFonts w:ascii="仿宋" w:hAnsi="仿宋" w:eastAsia="仿宋" w:cs="仿宋"/>
          <w:i/>
          <w:color w:val="auto"/>
          <w:sz w:val="36"/>
          <w:szCs w:val="36"/>
          <w:highlight w:val="none"/>
        </w:rPr>
      </w:pPr>
      <w:r>
        <w:rPr>
          <w:rFonts w:hint="eastAsia" w:ascii="仿宋" w:hAnsi="仿宋" w:eastAsia="仿宋" w:cs="仿宋"/>
          <w:color w:val="auto"/>
          <w:sz w:val="36"/>
          <w:szCs w:val="36"/>
          <w:highlight w:val="none"/>
        </w:rPr>
        <w:t>残疾人福利性单位声明函</w:t>
      </w:r>
    </w:p>
    <w:p w14:paraId="333D1A7F">
      <w:pPr>
        <w:spacing w:line="500" w:lineRule="exact"/>
        <w:ind w:firstLine="560"/>
        <w:rPr>
          <w:rFonts w:ascii="仿宋" w:hAnsi="仿宋" w:eastAsia="仿宋" w:cs="仿宋"/>
          <w:color w:val="auto"/>
          <w:sz w:val="28"/>
          <w:szCs w:val="28"/>
          <w:highlight w:val="none"/>
        </w:rPr>
      </w:pPr>
    </w:p>
    <w:p w14:paraId="12736DD9">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单位的项目编号为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17FAB187">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本单位在本次政府采购活动中提供的残疾人福利单位产品报价合计为人民币（大写）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14697F8">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本单位对上述声明的真实性负责。如有虚假，将依法承担相应责任。</w:t>
      </w:r>
    </w:p>
    <w:p w14:paraId="71261BAC">
      <w:pPr>
        <w:spacing w:line="500" w:lineRule="exact"/>
        <w:ind w:firstLine="560"/>
        <w:rPr>
          <w:rFonts w:ascii="仿宋" w:hAnsi="仿宋" w:eastAsia="仿宋" w:cs="仿宋"/>
          <w:color w:val="auto"/>
          <w:sz w:val="28"/>
          <w:szCs w:val="28"/>
          <w:highlight w:val="none"/>
        </w:rPr>
      </w:pPr>
    </w:p>
    <w:p w14:paraId="238EDDF2">
      <w:pPr>
        <w:tabs>
          <w:tab w:val="left" w:pos="4860"/>
        </w:tabs>
        <w:spacing w:line="500" w:lineRule="exact"/>
        <w:ind w:right="1560"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供应商全称（盖章）：</w:t>
      </w:r>
    </w:p>
    <w:p w14:paraId="0C05464C">
      <w:pPr>
        <w:tabs>
          <w:tab w:val="left" w:pos="4860"/>
        </w:tabs>
        <w:spacing w:line="500" w:lineRule="exact"/>
        <w:ind w:right="1560"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32838BF4">
      <w:pPr>
        <w:spacing w:line="500" w:lineRule="exact"/>
        <w:ind w:firstLine="560"/>
        <w:rPr>
          <w:rFonts w:ascii="仿宋" w:hAnsi="仿宋" w:eastAsia="仿宋" w:cs="仿宋"/>
          <w:color w:val="auto"/>
          <w:sz w:val="28"/>
          <w:szCs w:val="28"/>
          <w:highlight w:val="none"/>
        </w:rPr>
      </w:pPr>
    </w:p>
    <w:p w14:paraId="367850A6">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注意：1.供应商如不提供此声明函，价格将不做相应扣除。</w:t>
      </w:r>
    </w:p>
    <w:p w14:paraId="29639E07">
      <w:pPr>
        <w:spacing w:line="500" w:lineRule="exact"/>
        <w:ind w:firstLine="14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2.成交供应商为残疾人福利单位的，此声明函将随成交结果同时公告，接受社会监督。</w:t>
      </w:r>
    </w:p>
    <w:p w14:paraId="16DC75C4">
      <w:pPr>
        <w:rPr>
          <w:rFonts w:ascii="仿宋" w:hAnsi="仿宋" w:eastAsia="仿宋" w:cs="仿宋"/>
          <w:color w:val="auto"/>
          <w:sz w:val="28"/>
          <w:szCs w:val="28"/>
          <w:highlight w:val="none"/>
        </w:rPr>
      </w:pPr>
    </w:p>
    <w:p w14:paraId="3215A990">
      <w:pPr>
        <w:pStyle w:val="16"/>
        <w:rPr>
          <w:rFonts w:ascii="仿宋" w:hAnsi="仿宋" w:eastAsia="仿宋" w:cs="仿宋"/>
          <w:color w:val="auto"/>
          <w:highlight w:val="none"/>
        </w:rPr>
      </w:pPr>
    </w:p>
    <w:sectPr>
      <w:footerReference r:id="rId5"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929DC">
    <w:pPr>
      <w:pStyle w:val="27"/>
      <w:framePr w:wrap="around" w:vAnchor="text" w:hAnchor="margin" w:xAlign="center" w:y="1"/>
      <w:rPr>
        <w:rStyle w:val="45"/>
      </w:rPr>
    </w:pPr>
    <w:r>
      <w:fldChar w:fldCharType="begin"/>
    </w:r>
    <w:r>
      <w:rPr>
        <w:rStyle w:val="45"/>
      </w:rPr>
      <w:instrText xml:space="preserve">PAGE  </w:instrText>
    </w:r>
    <w:r>
      <w:fldChar w:fldCharType="end"/>
    </w:r>
  </w:p>
  <w:p w14:paraId="6085502E">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B3366">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664BD">
                          <w:pPr>
                            <w:pStyle w:val="27"/>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023664BD">
                    <w:pPr>
                      <w:pStyle w:val="27"/>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2CDF9">
    <w:pPr>
      <w:pStyle w:val="2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6C937"/>
    <w:multiLevelType w:val="multilevel"/>
    <w:tmpl w:val="8776C937"/>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767B73F"/>
    <w:multiLevelType w:val="multilevel"/>
    <w:tmpl w:val="0767B73F"/>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02C67D4"/>
    <w:multiLevelType w:val="multilevel"/>
    <w:tmpl w:val="202C67D4"/>
    <w:lvl w:ilvl="0" w:tentative="0">
      <w:start w:val="12"/>
      <w:numFmt w:val="chineseCounting"/>
      <w:suff w:val="nothing"/>
      <w:lvlText w:val="（%1）"/>
      <w:lvlJc w:val="left"/>
      <w:pPr>
        <w:ind w:left="48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99ACFCD"/>
    <w:multiLevelType w:val="multilevel"/>
    <w:tmpl w:val="399ACFCD"/>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EE4E346"/>
    <w:multiLevelType w:val="multilevel"/>
    <w:tmpl w:val="6EE4E346"/>
    <w:lvl w:ilvl="0" w:tentative="0">
      <w:start w:val="5"/>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410B8"/>
    <w:rsid w:val="03463A74"/>
    <w:rsid w:val="03B15391"/>
    <w:rsid w:val="04C349D4"/>
    <w:rsid w:val="0639166E"/>
    <w:rsid w:val="064E6EC7"/>
    <w:rsid w:val="07B12038"/>
    <w:rsid w:val="0A426226"/>
    <w:rsid w:val="0AFE5139"/>
    <w:rsid w:val="0B057D70"/>
    <w:rsid w:val="0C2F0CFA"/>
    <w:rsid w:val="0DCA3598"/>
    <w:rsid w:val="0ECE3078"/>
    <w:rsid w:val="0EDA6538"/>
    <w:rsid w:val="0FCE7443"/>
    <w:rsid w:val="10EE7CDF"/>
    <w:rsid w:val="11347067"/>
    <w:rsid w:val="12107727"/>
    <w:rsid w:val="13794D98"/>
    <w:rsid w:val="151E72AA"/>
    <w:rsid w:val="16DC239F"/>
    <w:rsid w:val="16E96798"/>
    <w:rsid w:val="181179E6"/>
    <w:rsid w:val="18FE477D"/>
    <w:rsid w:val="1A6525DA"/>
    <w:rsid w:val="1ACB4B33"/>
    <w:rsid w:val="1BF41E67"/>
    <w:rsid w:val="1C0876C1"/>
    <w:rsid w:val="1C5E7C2F"/>
    <w:rsid w:val="1D69418F"/>
    <w:rsid w:val="1EA47B74"/>
    <w:rsid w:val="1FD04AE9"/>
    <w:rsid w:val="20607ACB"/>
    <w:rsid w:val="20DF77F2"/>
    <w:rsid w:val="26133868"/>
    <w:rsid w:val="26233A75"/>
    <w:rsid w:val="26323F13"/>
    <w:rsid w:val="27B15F65"/>
    <w:rsid w:val="2AF3120F"/>
    <w:rsid w:val="2B4D16E3"/>
    <w:rsid w:val="2B604E23"/>
    <w:rsid w:val="2D686211"/>
    <w:rsid w:val="2DD811F3"/>
    <w:rsid w:val="2F4A0FAB"/>
    <w:rsid w:val="305F38FB"/>
    <w:rsid w:val="32E11088"/>
    <w:rsid w:val="32EA2067"/>
    <w:rsid w:val="33927DEC"/>
    <w:rsid w:val="3407590D"/>
    <w:rsid w:val="340D18C0"/>
    <w:rsid w:val="34E34F6C"/>
    <w:rsid w:val="352346AF"/>
    <w:rsid w:val="35470E02"/>
    <w:rsid w:val="35847960"/>
    <w:rsid w:val="373043CC"/>
    <w:rsid w:val="37C404E8"/>
    <w:rsid w:val="38575800"/>
    <w:rsid w:val="3C555428"/>
    <w:rsid w:val="3CA56B3A"/>
    <w:rsid w:val="3E522CF1"/>
    <w:rsid w:val="3ED92ACB"/>
    <w:rsid w:val="4294642C"/>
    <w:rsid w:val="457778E6"/>
    <w:rsid w:val="49CB3958"/>
    <w:rsid w:val="4A22199C"/>
    <w:rsid w:val="4BC0497F"/>
    <w:rsid w:val="4C520360"/>
    <w:rsid w:val="4E995F33"/>
    <w:rsid w:val="50AA49C3"/>
    <w:rsid w:val="51FD5D23"/>
    <w:rsid w:val="52DB18A9"/>
    <w:rsid w:val="52E15F9A"/>
    <w:rsid w:val="53CC09F8"/>
    <w:rsid w:val="53EB7352"/>
    <w:rsid w:val="54702F19"/>
    <w:rsid w:val="549D5383"/>
    <w:rsid w:val="54C65448"/>
    <w:rsid w:val="55284354"/>
    <w:rsid w:val="55F3226C"/>
    <w:rsid w:val="567426CC"/>
    <w:rsid w:val="599A3880"/>
    <w:rsid w:val="59D90F43"/>
    <w:rsid w:val="5A9B1124"/>
    <w:rsid w:val="5AC30F57"/>
    <w:rsid w:val="5C207B33"/>
    <w:rsid w:val="5D024E8E"/>
    <w:rsid w:val="5D6D4FFA"/>
    <w:rsid w:val="5D9E6F62"/>
    <w:rsid w:val="5DF4098E"/>
    <w:rsid w:val="5E023994"/>
    <w:rsid w:val="5E6D4B86"/>
    <w:rsid w:val="5ED115B9"/>
    <w:rsid w:val="604F32A9"/>
    <w:rsid w:val="62894684"/>
    <w:rsid w:val="6302358E"/>
    <w:rsid w:val="631A52DC"/>
    <w:rsid w:val="637277CE"/>
    <w:rsid w:val="63C4349A"/>
    <w:rsid w:val="64C46A60"/>
    <w:rsid w:val="67A4786A"/>
    <w:rsid w:val="67C76D4D"/>
    <w:rsid w:val="68A85138"/>
    <w:rsid w:val="69035BB4"/>
    <w:rsid w:val="6A0171F6"/>
    <w:rsid w:val="6A034C5E"/>
    <w:rsid w:val="6B3929BF"/>
    <w:rsid w:val="6B8161EB"/>
    <w:rsid w:val="6C0D1056"/>
    <w:rsid w:val="6C4A06E6"/>
    <w:rsid w:val="6C956751"/>
    <w:rsid w:val="6EDA2F3A"/>
    <w:rsid w:val="6F114C15"/>
    <w:rsid w:val="7060279C"/>
    <w:rsid w:val="7258197D"/>
    <w:rsid w:val="74895730"/>
    <w:rsid w:val="74D76731"/>
    <w:rsid w:val="75210DC6"/>
    <w:rsid w:val="75807930"/>
    <w:rsid w:val="78EF5FF6"/>
    <w:rsid w:val="799048DC"/>
    <w:rsid w:val="7AC51B7A"/>
    <w:rsid w:val="7C2C4F68"/>
    <w:rsid w:val="7D555043"/>
    <w:rsid w:val="7D6643ED"/>
    <w:rsid w:val="7FAC50B6"/>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index 5"/>
    <w:basedOn w:val="1"/>
    <w:next w:val="1"/>
    <w:qFormat/>
    <w:uiPriority w:val="0"/>
    <w:pPr>
      <w:ind w:left="800"/>
    </w:pPr>
  </w:style>
  <w:style w:type="paragraph" w:styleId="15">
    <w:name w:val="annotation text"/>
    <w:basedOn w:val="1"/>
    <w:qFormat/>
    <w:uiPriority w:val="0"/>
    <w:pPr>
      <w:jc w:val="left"/>
    </w:pPr>
  </w:style>
  <w:style w:type="paragraph" w:styleId="16">
    <w:name w:val="Body Text"/>
    <w:basedOn w:val="1"/>
    <w:next w:val="1"/>
    <w:qFormat/>
    <w:uiPriority w:val="0"/>
    <w:rPr>
      <w:rFonts w:ascii="宋体"/>
      <w:sz w:val="28"/>
      <w:szCs w:val="20"/>
    </w:rPr>
  </w:style>
  <w:style w:type="paragraph" w:styleId="17">
    <w:name w:val="Body Text Indent"/>
    <w:basedOn w:val="1"/>
    <w:next w:val="18"/>
    <w:unhideWhenUsed/>
    <w:qFormat/>
    <w:uiPriority w:val="0"/>
    <w:pPr>
      <w:ind w:firstLine="420"/>
    </w:pPr>
    <w:rPr>
      <w:rFonts w:ascii="宋体" w:hAnsi="宋体"/>
    </w:rPr>
  </w:style>
  <w:style w:type="paragraph" w:styleId="18">
    <w:name w:val="envelope return"/>
    <w:basedOn w:val="1"/>
    <w:next w:val="12"/>
    <w:unhideWhenUsed/>
    <w:qFormat/>
    <w:uiPriority w:val="99"/>
    <w:rPr>
      <w:rFonts w:ascii="Arial" w:hAnsi="Arial"/>
    </w:rPr>
  </w:style>
  <w:style w:type="paragraph" w:styleId="19">
    <w:name w:val="Block Text"/>
    <w:basedOn w:val="1"/>
    <w:unhideWhenUsed/>
    <w:qFormat/>
    <w:uiPriority w:val="99"/>
    <w:pPr>
      <w:spacing w:after="120"/>
      <w:ind w:left="1440" w:right="1440"/>
    </w:pPr>
    <w:rPr>
      <w:rFonts w:eastAsia="宋体"/>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99"/>
    <w:pPr>
      <w:widowControl/>
      <w:spacing w:after="200" w:line="252" w:lineRule="auto"/>
      <w:jc w:val="left"/>
    </w:pPr>
    <w:rPr>
      <w:rFonts w:ascii="宋体" w:hAnsi="Courier New"/>
      <w:szCs w:val="20"/>
    </w:r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0"/>
    <w:rPr>
      <w:sz w:val="24"/>
      <w:szCs w:val="20"/>
    </w:rPr>
  </w:style>
  <w:style w:type="paragraph" w:styleId="25">
    <w:name w:val="endnote text"/>
    <w:basedOn w:val="1"/>
    <w:link w:val="195"/>
    <w:semiHidden/>
    <w:unhideWhenUsed/>
    <w:qFormat/>
    <w:uiPriority w:val="99"/>
    <w:pPr>
      <w:spacing w:after="0" w:line="240" w:lineRule="auto"/>
    </w:pPr>
    <w:rPr>
      <w:sz w:val="20"/>
    </w:rPr>
  </w:style>
  <w:style w:type="paragraph" w:styleId="26">
    <w:name w:val="Balloon Text"/>
    <w:basedOn w:val="1"/>
    <w:link w:val="207"/>
    <w:qFormat/>
    <w:uiPriority w:val="0"/>
    <w:rPr>
      <w:sz w:val="18"/>
      <w:szCs w:val="18"/>
    </w:rPr>
  </w:style>
  <w:style w:type="paragraph" w:styleId="27">
    <w:name w:val="footer"/>
    <w:basedOn w:val="1"/>
    <w:qFormat/>
    <w:uiPriority w:val="0"/>
    <w:pPr>
      <w:tabs>
        <w:tab w:val="center" w:pos="4153"/>
        <w:tab w:val="right" w:pos="8306"/>
      </w:tabs>
      <w:jc w:val="left"/>
    </w:pPr>
    <w:rPr>
      <w:sz w:val="18"/>
      <w:szCs w:val="18"/>
    </w:rPr>
  </w:style>
  <w:style w:type="paragraph" w:styleId="28">
    <w:name w:val="header"/>
    <w:basedOn w:val="1"/>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next w:val="14"/>
    <w:qFormat/>
    <w:uiPriority w:val="0"/>
    <w:pPr>
      <w:spacing w:line="312" w:lineRule="atLeast"/>
      <w:jc w:val="left"/>
    </w:pPr>
    <w:rPr>
      <w:sz w:val="18"/>
      <w:szCs w:val="22"/>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qFormat/>
    <w:uiPriority w:val="0"/>
    <w:pPr>
      <w:ind w:left="42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60"/>
    <w:qFormat/>
    <w:uiPriority w:val="10"/>
    <w:pPr>
      <w:spacing w:before="300" w:after="200"/>
      <w:contextualSpacing/>
    </w:pPr>
    <w:rPr>
      <w:sz w:val="48"/>
      <w:szCs w:val="48"/>
    </w:rPr>
  </w:style>
  <w:style w:type="paragraph" w:styleId="39">
    <w:name w:val="Body Text First Indent"/>
    <w:basedOn w:val="16"/>
    <w:qFormat/>
    <w:uiPriority w:val="99"/>
    <w:pPr>
      <w:spacing w:line="275" w:lineRule="atLeast"/>
      <w:ind w:firstLine="420"/>
    </w:pPr>
    <w:rPr>
      <w:rFonts w:eastAsia="楷体_GB2312"/>
      <w:sz w:val="24"/>
    </w:rPr>
  </w:style>
  <w:style w:type="paragraph" w:styleId="40">
    <w:name w:val="Body Text First Indent 2"/>
    <w:basedOn w:val="17"/>
    <w:next w:val="1"/>
    <w:qFormat/>
    <w:uiPriority w:val="0"/>
    <w:pPr>
      <w:spacing w:line="360" w:lineRule="auto"/>
    </w:pPr>
    <w:rPr>
      <w:rFonts w:eastAsia="宋体" w:cs="Times New Roman"/>
      <w:szCs w:val="22"/>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qFormat/>
    <w:uiPriority w:val="99"/>
    <w:rPr>
      <w:vertAlign w:val="superscript"/>
    </w:rPr>
  </w:style>
  <w:style w:type="character" w:styleId="45">
    <w:name w:val="page number"/>
    <w:qFormat/>
    <w:uiPriority w:val="0"/>
  </w:style>
  <w:style w:type="character" w:styleId="46">
    <w:name w:val="Hyperlink"/>
    <w:basedOn w:val="43"/>
    <w:unhideWhenUsed/>
    <w:qFormat/>
    <w:uiPriority w:val="99"/>
    <w:rPr>
      <w:color w:val="0563C1" w:themeColor="hyperlink"/>
      <w:u w:val="single"/>
      <w14:textFill>
        <w14:solidFill>
          <w14:schemeClr w14:val="hlink"/>
        </w14:solidFill>
      </w14:textFill>
    </w:rPr>
  </w:style>
  <w:style w:type="character" w:styleId="47">
    <w:name w:val="footnote reference"/>
    <w:basedOn w:val="43"/>
    <w:unhideWhenUsed/>
    <w:qFormat/>
    <w:uiPriority w:val="99"/>
    <w:rPr>
      <w:vertAlign w:val="superscript"/>
    </w:rPr>
  </w:style>
  <w:style w:type="paragraph" w:customStyle="1" w:styleId="48">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49">
    <w:name w:val="Heading 1 Char"/>
    <w:basedOn w:val="43"/>
    <w:link w:val="2"/>
    <w:qFormat/>
    <w:uiPriority w:val="9"/>
    <w:rPr>
      <w:rFonts w:ascii="Arial" w:hAnsi="Arial" w:eastAsia="Arial" w:cs="Arial"/>
      <w:sz w:val="40"/>
      <w:szCs w:val="40"/>
    </w:rPr>
  </w:style>
  <w:style w:type="character" w:customStyle="1" w:styleId="50">
    <w:name w:val="Heading 2 Char"/>
    <w:basedOn w:val="43"/>
    <w:qFormat/>
    <w:uiPriority w:val="9"/>
    <w:rPr>
      <w:rFonts w:ascii="Arial" w:hAnsi="Arial" w:eastAsia="Arial" w:cs="Arial"/>
      <w:sz w:val="34"/>
    </w:rPr>
  </w:style>
  <w:style w:type="character" w:customStyle="1" w:styleId="51">
    <w:name w:val="Heading 3 Char"/>
    <w:basedOn w:val="43"/>
    <w:link w:val="5"/>
    <w:qFormat/>
    <w:uiPriority w:val="9"/>
    <w:rPr>
      <w:rFonts w:ascii="Arial" w:hAnsi="Arial" w:eastAsia="Arial" w:cs="Arial"/>
      <w:sz w:val="30"/>
      <w:szCs w:val="30"/>
    </w:rPr>
  </w:style>
  <w:style w:type="character" w:customStyle="1" w:styleId="52">
    <w:name w:val="Heading 4 Char"/>
    <w:basedOn w:val="43"/>
    <w:link w:val="6"/>
    <w:qFormat/>
    <w:uiPriority w:val="9"/>
    <w:rPr>
      <w:rFonts w:ascii="Arial" w:hAnsi="Arial" w:eastAsia="Arial" w:cs="Arial"/>
      <w:b/>
      <w:bCs/>
      <w:sz w:val="26"/>
      <w:szCs w:val="26"/>
    </w:rPr>
  </w:style>
  <w:style w:type="character" w:customStyle="1" w:styleId="53">
    <w:name w:val="Heading 5 Char"/>
    <w:basedOn w:val="43"/>
    <w:link w:val="7"/>
    <w:qFormat/>
    <w:uiPriority w:val="9"/>
    <w:rPr>
      <w:rFonts w:ascii="Arial" w:hAnsi="Arial" w:eastAsia="Arial" w:cs="Arial"/>
      <w:b/>
      <w:bCs/>
      <w:sz w:val="24"/>
      <w:szCs w:val="24"/>
    </w:rPr>
  </w:style>
  <w:style w:type="character" w:customStyle="1" w:styleId="54">
    <w:name w:val="Heading 6 Char"/>
    <w:basedOn w:val="43"/>
    <w:link w:val="8"/>
    <w:qFormat/>
    <w:uiPriority w:val="9"/>
    <w:rPr>
      <w:rFonts w:ascii="Arial" w:hAnsi="Arial" w:eastAsia="Arial" w:cs="Arial"/>
      <w:b/>
      <w:bCs/>
      <w:sz w:val="22"/>
      <w:szCs w:val="22"/>
    </w:rPr>
  </w:style>
  <w:style w:type="character" w:customStyle="1" w:styleId="55">
    <w:name w:val="Heading 7 Char"/>
    <w:basedOn w:val="43"/>
    <w:link w:val="9"/>
    <w:qFormat/>
    <w:uiPriority w:val="9"/>
    <w:rPr>
      <w:rFonts w:ascii="Arial" w:hAnsi="Arial" w:eastAsia="Arial" w:cs="Arial"/>
      <w:b/>
      <w:bCs/>
      <w:i/>
      <w:iCs/>
      <w:sz w:val="22"/>
      <w:szCs w:val="22"/>
    </w:rPr>
  </w:style>
  <w:style w:type="character" w:customStyle="1" w:styleId="56">
    <w:name w:val="Heading 8 Char"/>
    <w:basedOn w:val="43"/>
    <w:link w:val="10"/>
    <w:qFormat/>
    <w:uiPriority w:val="9"/>
    <w:rPr>
      <w:rFonts w:ascii="Arial" w:hAnsi="Arial" w:eastAsia="Arial" w:cs="Arial"/>
      <w:i/>
      <w:iCs/>
      <w:sz w:val="22"/>
      <w:szCs w:val="22"/>
    </w:rPr>
  </w:style>
  <w:style w:type="character" w:customStyle="1" w:styleId="57">
    <w:name w:val="Heading 9 Char"/>
    <w:basedOn w:val="43"/>
    <w:link w:val="11"/>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3"/>
    <w:link w:val="38"/>
    <w:qFormat/>
    <w:uiPriority w:val="10"/>
    <w:rPr>
      <w:sz w:val="48"/>
      <w:szCs w:val="48"/>
    </w:rPr>
  </w:style>
  <w:style w:type="character" w:customStyle="1" w:styleId="61">
    <w:name w:val="Subtitle Char"/>
    <w:basedOn w:val="43"/>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3"/>
    <w:qFormat/>
    <w:uiPriority w:val="99"/>
  </w:style>
  <w:style w:type="character" w:customStyle="1" w:styleId="67">
    <w:name w:val="Footer Char"/>
    <w:basedOn w:val="43"/>
    <w:qFormat/>
    <w:uiPriority w:val="99"/>
  </w:style>
  <w:style w:type="character" w:customStyle="1" w:styleId="68">
    <w:name w:val="Caption Char"/>
    <w:qFormat/>
    <w:uiPriority w:val="99"/>
  </w:style>
  <w:style w:type="table" w:customStyle="1" w:styleId="69">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Char"/>
    <w:basedOn w:val="1"/>
    <w:qFormat/>
    <w:uiPriority w:val="0"/>
    <w:pPr>
      <w:tabs>
        <w:tab w:val="left" w:pos="360"/>
      </w:tabs>
    </w:pPr>
    <w:rPr>
      <w:color w:val="000000"/>
      <w:sz w:val="24"/>
    </w:rPr>
  </w:style>
  <w:style w:type="paragraph" w:customStyle="1" w:styleId="198">
    <w:name w:val="样式1"/>
    <w:basedOn w:val="1"/>
    <w:qFormat/>
    <w:uiPriority w:val="0"/>
    <w:rPr>
      <w:rFonts w:ascii="宋体" w:hAnsi="宋体"/>
      <w:szCs w:val="21"/>
    </w:rPr>
  </w:style>
  <w:style w:type="paragraph" w:customStyle="1" w:styleId="199">
    <w:name w:val="普通正文"/>
    <w:basedOn w:val="1"/>
    <w:qFormat/>
    <w:uiPriority w:val="0"/>
    <w:pPr>
      <w:spacing w:before="120" w:after="120" w:line="360" w:lineRule="auto"/>
      <w:ind w:firstLine="480"/>
      <w:jc w:val="left"/>
    </w:pPr>
    <w:rPr>
      <w:rFonts w:ascii="Arial" w:hAnsi="Arial"/>
      <w:sz w:val="24"/>
    </w:rPr>
  </w:style>
  <w:style w:type="paragraph" w:customStyle="1" w:styleId="200">
    <w:name w:val="WPSOffice手动目录 1"/>
    <w:qFormat/>
    <w:uiPriority w:val="0"/>
    <w:rPr>
      <w:rFonts w:hint="default" w:asciiTheme="minorHAnsi" w:hAnsiTheme="minorHAnsi" w:eastAsiaTheme="minorEastAsia" w:cstheme="minorBidi"/>
      <w:lang w:val="en-US" w:eastAsia="zh-CN" w:bidi="ar-SA"/>
    </w:rPr>
  </w:style>
  <w:style w:type="paragraph" w:customStyle="1" w:styleId="201">
    <w:name w:val="WPSOffice手动目录 2"/>
    <w:qFormat/>
    <w:uiPriority w:val="0"/>
    <w:pPr>
      <w:ind w:left="200"/>
    </w:pPr>
    <w:rPr>
      <w:rFonts w:hint="default" w:asciiTheme="minorHAnsi" w:hAnsiTheme="minorHAnsi" w:eastAsiaTheme="minorEastAsia" w:cstheme="minorBidi"/>
      <w:lang w:val="en-US" w:eastAsia="zh-CN" w:bidi="ar-SA"/>
    </w:rPr>
  </w:style>
  <w:style w:type="character" w:customStyle="1" w:styleId="202">
    <w:name w:val="无"/>
    <w:qFormat/>
    <w:uiPriority w:val="0"/>
  </w:style>
  <w:style w:type="character" w:customStyle="1" w:styleId="203">
    <w:name w:val="font31"/>
    <w:basedOn w:val="43"/>
    <w:qFormat/>
    <w:uiPriority w:val="0"/>
    <w:rPr>
      <w:rFonts w:ascii="Calibri" w:hAnsi="Calibri" w:cs="Calibri"/>
      <w:color w:val="000000"/>
      <w:sz w:val="21"/>
      <w:szCs w:val="21"/>
      <w:u w:val="none"/>
    </w:rPr>
  </w:style>
  <w:style w:type="character" w:customStyle="1" w:styleId="204">
    <w:name w:val="font21"/>
    <w:basedOn w:val="43"/>
    <w:qFormat/>
    <w:uiPriority w:val="0"/>
    <w:rPr>
      <w:rFonts w:hint="eastAsia" w:ascii="宋体" w:hAnsi="宋体" w:eastAsia="宋体" w:cs="宋体"/>
      <w:color w:val="000000"/>
      <w:sz w:val="21"/>
      <w:szCs w:val="21"/>
      <w:u w:val="none"/>
    </w:rPr>
  </w:style>
  <w:style w:type="character" w:customStyle="1" w:styleId="205">
    <w:name w:val="font01"/>
    <w:basedOn w:val="43"/>
    <w:qFormat/>
    <w:uiPriority w:val="0"/>
    <w:rPr>
      <w:rFonts w:hint="eastAsia" w:ascii="宋体" w:hAnsi="宋体" w:eastAsia="宋体" w:cs="宋体"/>
      <w:color w:val="000000"/>
      <w:sz w:val="24"/>
      <w:szCs w:val="24"/>
      <w:u w:val="none"/>
    </w:rPr>
  </w:style>
  <w:style w:type="paragraph" w:customStyle="1" w:styleId="206">
    <w:name w:val="Table Paragraph"/>
    <w:basedOn w:val="1"/>
    <w:qFormat/>
    <w:uiPriority w:val="1"/>
    <w:rPr>
      <w:rFonts w:ascii="仿宋" w:hAnsi="仿宋" w:eastAsia="仿宋" w:cs="仿宋"/>
      <w:lang w:val="zh-CN" w:bidi="zh-CN"/>
    </w:rPr>
  </w:style>
  <w:style w:type="character" w:customStyle="1" w:styleId="207">
    <w:name w:val="批注框文本 Char"/>
    <w:basedOn w:val="43"/>
    <w:link w:val="26"/>
    <w:qFormat/>
    <w:uiPriority w:val="0"/>
    <w:rPr>
      <w:rFonts w:asciiTheme="minorHAnsi" w:hAnsiTheme="minorHAnsi" w:eastAsiaTheme="minorEastAsia" w:cstheme="minorBidi"/>
      <w:sz w:val="18"/>
      <w:szCs w:val="18"/>
    </w:rPr>
  </w:style>
  <w:style w:type="paragraph" w:customStyle="1" w:styleId="208">
    <w:name w:val="标准正文"/>
    <w:basedOn w:val="17"/>
    <w:qFormat/>
    <w:uiPriority w:val="0"/>
    <w:pPr>
      <w:spacing w:line="360" w:lineRule="auto"/>
      <w:ind w:firstLine="560"/>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18900</Words>
  <Characters>20237</Characters>
  <TotalTime>79</TotalTime>
  <ScaleCrop>false</ScaleCrop>
  <LinksUpToDate>false</LinksUpToDate>
  <CharactersWithSpaces>20477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2022-06-24T03:07:00Z</dcterms:created>
  <dc:creator>悠然</dc:creator>
  <cp:lastModifiedBy>暮雪</cp:lastModifiedBy>
  <dcterms:modified xsi:type="dcterms:W3CDTF">2026-03-26T03:55:07Z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DFA5969A7FD641E286B4F57160296394</vt:lpwstr>
  </property>
  <property fmtid="{D5CDD505-2E9C-101B-9397-08002B2CF9AE}" pid="4" name="KSOTemplateDocerSaveRecord">
    <vt:lpwstr>eyJoZGlkIjoiNzY5YjliMzE1OTk1ZGNlMGI1MzExZWVmYjc3YzFlOWQiLCJ1c2VySWQiOiI3MDk5NjYxMDgifQ==</vt:lpwstr>
  </property>
</Properties>
</file>