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highlight w:val="none"/>
        </w:rPr>
      </w:r>
      <w:r/>
    </w:p>
    <w:p>
      <w:pPr>
        <w:pStyle w:val="1065"/>
        <w:ind w:firstLine="643"/>
        <w:rPr>
          <w:highlight w:val="none"/>
        </w:rPr>
      </w:pPr>
      <w:r>
        <w:rPr>
          <w:rFonts w:hint="eastAsia"/>
          <w:b/>
          <w:bCs/>
          <w:color w:val="000000"/>
          <w:sz w:val="32"/>
          <w:highlight w:val="none"/>
        </w:rPr>
        <w:t xml:space="preserve">项目名称：_2026-2028年江苏农林职业技术学院茅山校区物业服务_</w:t>
      </w:r>
      <w:r>
        <w:rPr>
          <w:highlight w:val="none"/>
        </w:rPr>
      </w:r>
      <w:r/>
    </w:p>
    <w:p>
      <w:pPr>
        <w:pStyle w:val="1065"/>
        <w:ind w:firstLine="643"/>
        <w:rPr>
          <w:rFonts w:hint="eastAsia"/>
          <w:b/>
          <w:bCs/>
          <w:color w:val="000000"/>
          <w:sz w:val="32"/>
          <w:szCs w:val="32"/>
          <w:highlight w:val="none"/>
        </w:rPr>
      </w:pPr>
      <w:r>
        <w:rPr>
          <w:highlight w:val="none"/>
        </w:rPr>
      </w:r>
      <w:r>
        <w:rPr>
          <w:highlight w:val="none"/>
        </w:rPr>
      </w:r>
      <w:r/>
    </w:p>
    <w:p>
      <w:pPr>
        <w:pStyle w:val="958"/>
        <w:ind w:firstLine="643"/>
        <w:rPr>
          <w:b/>
          <w:color w:val="000000"/>
          <w:sz w:val="30"/>
          <w:szCs w:val="30"/>
          <w:highlight w:val="none"/>
        </w:rPr>
      </w:pPr>
      <w:r>
        <w:rPr>
          <w:rFonts w:hint="eastAsia"/>
          <w:b/>
          <w:bCs/>
          <w:color w:val="000000"/>
          <w:sz w:val="32"/>
          <w:highlight w:val="none"/>
        </w:rPr>
        <w:t xml:space="preserve">项目编号：JSZC-320000-SCZX-G2026-0100</w:t>
      </w:r>
      <w:r>
        <w:rPr>
          <w:rFonts w:hint="eastAsia"/>
          <w:color w:val="000000"/>
          <w:highlight w:val="none"/>
        </w:rPr>
        <w:t xml:space="preserve">         </w:t>
      </w:r>
      <w:r>
        <w:rPr>
          <w:rFonts w:hint="eastAsia"/>
          <w:b/>
          <w:color w:val="000000"/>
          <w:sz w:val="30"/>
          <w:szCs w:val="30"/>
          <w:highlight w:val="none"/>
        </w:rPr>
        <w:t xml:space="preserve">   </w:t>
      </w:r>
      <w:r>
        <w:rPr>
          <w:color w:val="000000"/>
          <w:highlight w:val="none"/>
        </w:rPr>
        <w:t xml:space="preserve">  </w:t>
      </w:r>
      <w:r>
        <w:rPr>
          <w:b/>
          <w:color w:val="000000"/>
          <w:sz w:val="30"/>
          <w:szCs w:val="30"/>
          <w:highlight w:val="none"/>
        </w:rPr>
        <w:t xml:space="preserve"> </w:t>
      </w:r>
      <w:r>
        <w:rPr>
          <w:highlight w:val="none"/>
        </w:rPr>
      </w:r>
      <w:r/>
    </w:p>
    <w:p>
      <w:pPr>
        <w:pStyle w:val="958"/>
        <w:ind w:left="2811" w:hanging="2811"/>
        <w:jc w:val="center"/>
        <w:rPr>
          <w:rFonts w:hint="eastAsia"/>
          <w:b/>
          <w:color w:val="000000"/>
          <w:sz w:val="28"/>
          <w:szCs w:val="28"/>
          <w:highlight w:val="none"/>
        </w:rPr>
      </w:pPr>
      <w:r>
        <w:rPr>
          <w:rFonts w:hint="eastAsia"/>
          <w:b/>
          <w:color w:val="000000"/>
          <w:sz w:val="28"/>
          <w:szCs w:val="28"/>
          <w:highlight w:val="none"/>
        </w:rPr>
      </w:r>
      <w:r>
        <w:rPr>
          <w:highlight w:val="none"/>
        </w:rPr>
      </w:r>
      <w:r/>
    </w:p>
    <w:p>
      <w:pPr>
        <w:pStyle w:val="958"/>
        <w:ind w:left="2811" w:hanging="2811"/>
        <w:jc w:val="center"/>
        <w:rPr>
          <w:rFonts w:hint="eastAsia"/>
          <w:b/>
          <w:color w:val="000000"/>
          <w:sz w:val="28"/>
          <w:szCs w:val="28"/>
          <w:highlight w:val="none"/>
        </w:rPr>
      </w:pPr>
      <w:r>
        <w:rPr>
          <w:rFonts w:hint="eastAsia"/>
          <w:b/>
          <w:color w:val="000000"/>
          <w:sz w:val="28"/>
          <w:szCs w:val="28"/>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65"/>
        <w:ind w:firstLine="0"/>
        <w:jc w:val="center"/>
        <w:rPr>
          <w:rFonts w:hint="eastAsia"/>
          <w:b/>
          <w:bCs/>
          <w:color w:val="000000"/>
          <w:sz w:val="32"/>
          <w:highlight w:val="none"/>
        </w:rPr>
      </w:pPr>
      <w:r>
        <w:rPr>
          <w:rFonts w:hint="eastAsia"/>
          <w:b/>
          <w:bCs/>
          <w:color w:val="000000"/>
          <w:sz w:val="32"/>
          <w:highlight w:val="none"/>
        </w:rPr>
        <w:t xml:space="preserve">江苏省政府采购中心</w:t>
      </w:r>
      <w:r>
        <w:rPr>
          <w:highlight w:val="none"/>
        </w:rPr>
      </w:r>
      <w:r/>
    </w:p>
    <w:p>
      <w:pPr>
        <w:pStyle w:val="1065"/>
        <w:ind w:firstLine="0"/>
        <w:jc w:val="center"/>
        <w:rPr>
          <w:rFonts w:hint="eastAsia"/>
          <w:b/>
          <w:bCs/>
          <w:color w:val="000000"/>
          <w:sz w:val="32"/>
          <w:highlight w:val="none"/>
        </w:rPr>
      </w:pPr>
      <w:r>
        <w:rPr>
          <w:b/>
          <w:bCs/>
          <w:color w:val="000000"/>
          <w:sz w:val="32"/>
          <w:highlight w:val="none"/>
        </w:rPr>
        <w:t xml:space="preserve">_</w:t>
      </w:r>
      <w:r>
        <w:rPr>
          <w:rFonts w:hint="eastAsia"/>
          <w:b/>
          <w:bCs/>
          <w:color w:val="000000"/>
          <w:sz w:val="32"/>
          <w:highlight w:val="none"/>
        </w:rPr>
        <w:t xml:space="preserve">2026</w:t>
      </w:r>
      <w:r>
        <w:rPr>
          <w:b/>
          <w:bCs/>
          <w:color w:val="000000"/>
          <w:sz w:val="32"/>
          <w:highlight w:val="none"/>
        </w:rPr>
        <w:t xml:space="preserve">_</w:t>
      </w:r>
      <w:r>
        <w:rPr>
          <w:rFonts w:hint="eastAsia"/>
          <w:b/>
          <w:bCs/>
          <w:color w:val="000000"/>
          <w:sz w:val="32"/>
          <w:highlight w:val="none"/>
        </w:rPr>
        <w:t xml:space="preserve">年</w:t>
      </w:r>
      <w:r>
        <w:rPr>
          <w:b/>
          <w:bCs/>
          <w:color w:val="000000"/>
          <w:sz w:val="32"/>
          <w:highlight w:val="none"/>
        </w:rPr>
        <w:t xml:space="preserve">_</w:t>
      </w:r>
      <w:r>
        <w:rPr>
          <w:rFonts w:hint="eastAsia"/>
          <w:b/>
          <w:bCs/>
          <w:color w:val="000000"/>
          <w:sz w:val="32"/>
          <w:highlight w:val="none"/>
        </w:rPr>
        <w:t xml:space="preserve">4</w:t>
      </w:r>
      <w:r>
        <w:rPr>
          <w:b/>
          <w:bCs/>
          <w:color w:val="000000"/>
          <w:sz w:val="32"/>
          <w:highlight w:val="none"/>
        </w:rPr>
        <w:t xml:space="preserve">_</w:t>
      </w:r>
      <w:r>
        <w:rPr>
          <w:rFonts w:hint="eastAsia"/>
          <w:b/>
          <w:bCs/>
          <w:color w:val="000000"/>
          <w:sz w:val="32"/>
          <w:highlight w:val="none"/>
        </w:rPr>
        <w:t xml:space="preserve">月</w:t>
      </w:r>
      <w:r>
        <w:rPr>
          <w:highlight w:val="none"/>
        </w:rPr>
      </w:r>
      <w:r/>
    </w:p>
    <w:p>
      <w:pPr>
        <w:pStyle w:val="1065"/>
        <w:ind w:firstLine="0"/>
        <w:rPr>
          <w:rFonts w:hint="eastAsia"/>
          <w:color w:val="000000"/>
          <w:highlight w:val="none"/>
          <w:u w:val="single"/>
        </w:rPr>
      </w:pPr>
      <w:r>
        <w:rPr>
          <w:rFonts w:hint="eastAsia"/>
          <w:color w:val="000000"/>
          <w:highlight w:val="none"/>
        </w:rPr>
        <w:t xml:space="preserve">                        </w:t>
      </w:r>
      <w:r>
        <w:rPr>
          <w:highlight w:val="none"/>
        </w:rPr>
      </w:r>
      <w:r/>
    </w:p>
    <w:p>
      <w:pPr>
        <w:pStyle w:val="1065"/>
        <w:ind w:firstLine="0"/>
        <w:jc w:val="center"/>
        <w:rPr>
          <w:rFonts w:hint="eastAsia"/>
          <w:color w:val="000000"/>
          <w:highlight w:val="none"/>
        </w:rPr>
      </w:pPr>
      <w:r>
        <w:rPr>
          <w:rFonts w:hint="eastAsia"/>
          <w:color w:val="000000"/>
          <w:highlight w:val="none"/>
        </w:rPr>
      </w:r>
      <w:r>
        <w:rPr>
          <w:highlight w:val="none"/>
        </w:rPr>
      </w:r>
      <w:r/>
    </w:p>
    <w:p>
      <w:pPr>
        <w:pStyle w:val="958"/>
        <w:jc w:val="center"/>
        <w:spacing w:line="480" w:lineRule="auto"/>
        <w:rPr>
          <w:rFonts w:hint="eastAsia"/>
          <w:color w:val="000000"/>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rPr>
          <w:highlight w:val="none"/>
        </w:rPr>
      </w:r>
      <w:bookmarkStart w:id="0" w:name="_Toc120614210"/>
      <w:r>
        <w:rPr>
          <w:highlight w:val="none"/>
        </w:rPr>
      </w:r>
      <w:bookmarkStart w:id="1" w:name="_Toc479757206"/>
      <w:r>
        <w:rPr>
          <w:highlight w:val="none"/>
        </w:rPr>
      </w:r>
      <w:bookmarkStart w:id="2" w:name="_Toc16938516"/>
      <w:r>
        <w:rPr>
          <w:highlight w:val="none"/>
        </w:rPr>
      </w:r>
      <w:bookmarkStart w:id="3" w:name="_Toc20823272"/>
      <w:r>
        <w:rPr>
          <w:highlight w:val="none"/>
        </w:rPr>
      </w:r>
      <w:bookmarkStart w:id="4" w:name="_Toc513029200"/>
      <w:r>
        <w:rPr>
          <w:highlight w:val="none"/>
        </w:rPr>
      </w:r>
      <w:bookmarkStart w:id="5" w:name="_Toc523127445"/>
      <w:r>
        <w:rPr>
          <w:highlight w:val="none"/>
        </w:rPr>
      </w:r>
      <w:r/>
    </w:p>
    <w:p>
      <w:pPr>
        <w:pStyle w:val="958"/>
        <w:jc w:val="center"/>
        <w:spacing w:line="480" w:lineRule="auto"/>
        <w:rPr>
          <w:rFonts w:hint="eastAsia" w:ascii="黑体" w:hAnsi="Arial" w:eastAsia="黑体"/>
          <w:b/>
          <w:color w:val="000000"/>
          <w:sz w:val="44"/>
          <w:highlight w:val="none"/>
        </w:rPr>
        <w:outlineLvl w:val="0"/>
      </w:pPr>
      <w:r>
        <w:rPr>
          <w:rFonts w:hint="eastAsia"/>
          <w:color w:val="000000"/>
          <w:highlight w:val="none"/>
        </w:rPr>
        <w:t xml:space="preserve"> </w:t>
      </w:r>
      <w:r>
        <w:rPr>
          <w:rFonts w:hint="eastAsia" w:ascii="黑体" w:hAnsi="Arial" w:eastAsia="黑体"/>
          <w:b/>
          <w:color w:val="000000"/>
          <w:sz w:val="44"/>
          <w:highlight w:val="none"/>
        </w:rPr>
        <w:t xml:space="preserve">总  目  录</w:t>
      </w:r>
      <w:r>
        <w:rPr>
          <w:highlight w:val="none"/>
        </w:rPr>
      </w:r>
      <w:r/>
    </w:p>
    <w:p>
      <w:pPr>
        <w:pStyle w:val="958"/>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……………………………………1 </w:t>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………………………………5  </w:t>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……………………………………15</w:t>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……………………………………18</w:t>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………………………53</w:t>
      </w:r>
      <w:r>
        <w:rPr>
          <w:highlight w:val="none"/>
        </w:rPr>
      </w:r>
      <w:r/>
    </w:p>
    <w:p>
      <w:pPr>
        <w:pStyle w:val="95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………………………………59</w:t>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9"/>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受〔江苏农林职业技术学院〕的委托，江苏省政府采购中心就〔2026-2028年江苏农林职业技术学院茅山校区物业服务〕(〔JSZC-320000-SCZX-G2026-0100〕)项目进行公开招标采购，欢迎符合条件的供应商投标。</w:t>
      </w:r>
      <w:r>
        <w:rPr>
          <w:highlight w:val="none"/>
        </w:rPr>
      </w:r>
      <w:r/>
    </w:p>
    <w:p>
      <w:pPr>
        <w:pStyle w:val="958"/>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highlight w:val="none"/>
        </w:rPr>
      </w:r>
      <w:r/>
    </w:p>
    <w:p>
      <w:pPr>
        <w:pStyle w:val="958"/>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2026-2028年江苏农林职业技术学院茅山校区物业服务</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年5月9日9点30分（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highlight w:val="none"/>
        </w:rPr>
      </w:r>
      <w:r/>
    </w:p>
    <w:p>
      <w:pPr>
        <w:pStyle w:val="961"/>
        <w:ind w:firstLine="498"/>
        <w:spacing w:before="145" w:after="145" w:line="400" w:lineRule="exact"/>
        <w:rPr>
          <w:color w:val="000000"/>
          <w:highlight w:val="none"/>
        </w:rPr>
      </w:pPr>
      <w:r>
        <w:rPr>
          <w:highlight w:val="none"/>
        </w:rPr>
      </w:r>
      <w:bookmarkStart w:id="6" w:name="_Toc35393790"/>
      <w:r>
        <w:rPr>
          <w:highlight w:val="none"/>
        </w:rPr>
      </w:r>
      <w:bookmarkStart w:id="7" w:name="_Toc38985263"/>
      <w:r>
        <w:rPr>
          <w:highlight w:val="none"/>
        </w:rPr>
      </w:r>
      <w:bookmarkStart w:id="8" w:name="_Toc28359079"/>
      <w:r>
        <w:rPr>
          <w:highlight w:val="none"/>
        </w:rPr>
      </w:r>
      <w:bookmarkStart w:id="9" w:name="_Toc28359002"/>
      <w:r>
        <w:rPr>
          <w:highlight w:val="none"/>
        </w:rPr>
      </w:r>
      <w:bookmarkStart w:id="10" w:name="_Toc35393621"/>
      <w:r>
        <w:rPr>
          <w:highlight w:val="none"/>
        </w:rPr>
      </w:r>
      <w:bookmarkStart w:id="11" w:name="_Hlk24379207"/>
      <w:r>
        <w:rPr>
          <w:rFonts w:hint="eastAsia"/>
          <w:color w:val="000000"/>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1.项目编号：JSZC-320000-SCZX-G2026-0100</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rPr>
        <w:t xml:space="preserve">2026-2028年江苏农林职业技术学院茅山校区物业服务</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采购包号</w:t>
            </w:r>
            <w:r>
              <w:rPr>
                <w:highlight w:val="none"/>
              </w:rPr>
            </w:r>
            <w:r/>
          </w:p>
        </w:tc>
        <w:tc>
          <w:tcPr>
            <w:tcW w:w="2800"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预算</w:t>
            </w:r>
            <w:r>
              <w:rPr>
                <w:rFonts w:ascii="宋体" w:hAnsi="宋体"/>
                <w:color w:val="000000"/>
                <w:highlight w:val="none"/>
              </w:rPr>
              <w:t xml:space="preserve">金额</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rPr>
                <w:highlight w:val="none"/>
              </w:rPr>
            </w:r>
            <w:r/>
          </w:p>
        </w:tc>
      </w:tr>
      <w:tr>
        <w:trPr/>
        <w:tc>
          <w:tcPr>
            <w:tcW w:w="1148"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1</w:t>
            </w:r>
            <w:r>
              <w:rPr>
                <w:highlight w:val="none"/>
              </w:rPr>
            </w:r>
            <w:r/>
          </w:p>
        </w:tc>
        <w:tc>
          <w:tcPr>
            <w:tcW w:w="2800"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670.179</w:t>
            </w:r>
            <w:r>
              <w:rPr>
                <w:highlight w:val="none"/>
              </w:rPr>
            </w:r>
            <w:r/>
          </w:p>
        </w:tc>
      </w:tr>
    </w:tbl>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采购包号</w:t>
            </w:r>
            <w:r>
              <w:rPr>
                <w:highlight w:val="none"/>
              </w:rPr>
            </w:r>
            <w:r/>
          </w:p>
        </w:tc>
        <w:tc>
          <w:tcPr>
            <w:tcW w:w="2800"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是否</w:t>
            </w:r>
            <w:r>
              <w:rPr>
                <w:rFonts w:ascii="宋体" w:hAnsi="宋体"/>
                <w:color w:val="000000"/>
                <w:highlight w:val="none"/>
              </w:rPr>
              <w:t xml:space="preserve">设定最高</w:t>
            </w:r>
            <w:r>
              <w:rPr>
                <w:rFonts w:hint="eastAsia" w:ascii="宋体" w:hAnsi="宋体"/>
                <w:color w:val="000000"/>
                <w:highlight w:val="none"/>
              </w:rPr>
              <w:t xml:space="preserve">限价</w:t>
            </w:r>
            <w:r>
              <w:rPr>
                <w:rFonts w:ascii="宋体" w:hAnsi="宋体"/>
                <w:color w:val="000000"/>
                <w:highlight w:val="none"/>
              </w:rPr>
              <w:t xml:space="preserve">（</w:t>
            </w:r>
            <w:r>
              <w:rPr>
                <w:rFonts w:hint="eastAsia" w:ascii="宋体" w:hAnsi="宋体"/>
                <w:color w:val="000000"/>
                <w:highlight w:val="none"/>
              </w:rPr>
              <w:t xml:space="preserve">是/否</w:t>
            </w:r>
            <w:r>
              <w:rPr>
                <w:rFonts w:ascii="宋体" w:hAnsi="宋体"/>
                <w:color w:val="000000"/>
                <w:highlight w:val="none"/>
              </w:rPr>
              <w:t xml:space="preserve">）</w:t>
            </w:r>
            <w:r>
              <w:rPr>
                <w:highlight w:val="none"/>
              </w:rPr>
            </w:r>
            <w:r/>
          </w:p>
        </w:tc>
        <w:tc>
          <w:tcPr>
            <w:tcW w:w="3135"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最高</w:t>
            </w:r>
            <w:r>
              <w:rPr>
                <w:rFonts w:ascii="宋体" w:hAnsi="宋体"/>
                <w:color w:val="000000"/>
                <w:highlight w:val="none"/>
              </w:rPr>
              <w:t xml:space="preserve">限价</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rPr>
                <w:highlight w:val="none"/>
              </w:rPr>
            </w:r>
            <w:r/>
          </w:p>
        </w:tc>
      </w:tr>
      <w:tr>
        <w:trPr/>
        <w:tc>
          <w:tcPr>
            <w:tcW w:w="1148"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1</w:t>
            </w:r>
            <w:r>
              <w:rPr>
                <w:highlight w:val="none"/>
              </w:rPr>
            </w:r>
            <w:r/>
          </w:p>
        </w:tc>
        <w:tc>
          <w:tcPr>
            <w:tcW w:w="2800"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是</w:t>
            </w:r>
            <w:r>
              <w:rPr>
                <w:highlight w:val="none"/>
              </w:rPr>
            </w:r>
            <w:r/>
          </w:p>
        </w:tc>
        <w:tc>
          <w:tcPr>
            <w:tcW w:w="3135"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670.179</w:t>
            </w:r>
            <w:r>
              <w:rPr>
                <w:highlight w:val="none"/>
              </w:rPr>
            </w:r>
            <w:r/>
          </w:p>
        </w:tc>
      </w:tr>
    </w:tbl>
    <w:p>
      <w:pPr>
        <w:pStyle w:val="958"/>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项目是江苏农林职业技术学院茅山校区物业服务，服务内容包括但不限于公共设施管理、小型维修服务、环境卫生管理、学生公寓管理、楼宇管理、用电保障、绿化、教学会议、校园应急保障等。</w:t>
      </w:r>
      <w:r>
        <w:rPr>
          <w:rFonts w:hint="eastAsia" w:ascii="宋体" w:hAnsi="宋体" w:cs="宋体"/>
          <w:color w:val="000000"/>
          <w:sz w:val="24"/>
          <w:szCs w:val="24"/>
          <w:highlight w:val="none"/>
        </w:rPr>
        <w:t xml:space="preserve">（详细内容见本招标文件第四章） </w:t>
      </w:r>
      <w:r>
        <w:rPr>
          <w:highlight w:val="none"/>
        </w:rPr>
      </w:r>
      <w:r/>
    </w:p>
    <w:p>
      <w:pPr>
        <w:pStyle w:val="958"/>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6.合同履行期限：本项目服务期为三年。</w:t>
      </w:r>
      <w:r>
        <w:rPr>
          <w:highlight w:val="none"/>
        </w:rPr>
      </w:r>
      <w:r/>
    </w:p>
    <w:p>
      <w:pPr>
        <w:pStyle w:val="961"/>
        <w:ind w:firstLine="498"/>
        <w:spacing w:before="145" w:after="145" w:line="400" w:lineRule="exact"/>
        <w:rPr>
          <w:color w:val="000000"/>
          <w:highlight w:val="none"/>
        </w:rPr>
      </w:pPr>
      <w:r>
        <w:rPr>
          <w:highlight w:val="none"/>
        </w:rPr>
      </w:r>
      <w:bookmarkStart w:id="12" w:name="_Toc28359080"/>
      <w:r>
        <w:rPr>
          <w:highlight w:val="none"/>
        </w:rPr>
      </w:r>
      <w:bookmarkStart w:id="13" w:name="_Toc38985264"/>
      <w:r>
        <w:rPr>
          <w:highlight w:val="none"/>
        </w:rPr>
      </w:r>
      <w:bookmarkStart w:id="14" w:name="_Toc35393791"/>
      <w:r>
        <w:rPr>
          <w:highlight w:val="none"/>
        </w:rPr>
      </w:r>
      <w:bookmarkStart w:id="15" w:name="_Toc35393622"/>
      <w:r>
        <w:rPr>
          <w:highlight w:val="none"/>
        </w:rPr>
      </w:r>
      <w:bookmarkStart w:id="16" w:name="_Toc28359003"/>
      <w:r>
        <w:rPr>
          <w:rFonts w:hint="eastAsia"/>
          <w:color w:val="000000"/>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958"/>
        <w:ind w:firstLine="480"/>
        <w:spacing w:line="400" w:lineRule="exact"/>
        <w:rPr>
          <w:rFonts w:hint="eastAsia" w:ascii="宋体" w:hAnsi="宋体"/>
          <w:color w:val="000000"/>
          <w:sz w:val="24"/>
          <w:szCs w:val="24"/>
          <w:highlight w:val="none"/>
        </w:rPr>
      </w:pPr>
      <w:r>
        <w:rPr>
          <w:highlight w:val="none"/>
        </w:rPr>
      </w:r>
      <w:bookmarkStart w:id="17" w:name="_Toc38985265"/>
      <w:r>
        <w:rPr>
          <w:highlight w:val="none"/>
        </w:rPr>
      </w:r>
      <w:bookmarkStart w:id="18" w:name="_Toc28359081"/>
      <w:r>
        <w:rPr>
          <w:highlight w:val="none"/>
        </w:rPr>
      </w:r>
      <w:bookmarkStart w:id="19" w:name="_Toc35393623"/>
      <w:r>
        <w:rPr>
          <w:highlight w:val="none"/>
        </w:rPr>
      </w:r>
      <w:bookmarkStart w:id="20" w:name="_Toc28359004"/>
      <w:r>
        <w:rPr>
          <w:highlight w:val="none"/>
        </w:rPr>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 2024或2025年度的财务状况报告（成立不满一年无需提供）；</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highlight w:val="none"/>
        </w:rPr>
      </w:r>
      <w:r/>
    </w:p>
    <w:p>
      <w:pPr>
        <w:pStyle w:val="958"/>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highlight w:val="none"/>
        </w:rPr>
      </w:r>
      <w:r/>
    </w:p>
    <w:p>
      <w:pPr>
        <w:pStyle w:val="958"/>
        <w:ind w:firstLine="480"/>
        <w:spacing w:line="4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rHeight w:val="445"/>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采购包号</w:t>
            </w:r>
            <w:r>
              <w:rPr>
                <w:highlight w:val="none"/>
              </w:rPr>
            </w:r>
            <w:r/>
          </w:p>
        </w:tc>
        <w:tc>
          <w:tcPr>
            <w:tcW w:w="296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是否接受联合体</w:t>
            </w:r>
            <w:r>
              <w:rPr>
                <w:rFonts w:ascii="宋体" w:hAnsi="宋体"/>
                <w:color w:val="000000"/>
                <w:highlight w:val="none"/>
              </w:rPr>
              <w:t xml:space="preserve">投标（</w:t>
            </w:r>
            <w:r>
              <w:rPr>
                <w:rFonts w:hint="eastAsia" w:ascii="宋体" w:hAnsi="宋体"/>
                <w:color w:val="000000"/>
                <w:highlight w:val="none"/>
              </w:rPr>
              <w:t xml:space="preserve">是/否</w:t>
            </w:r>
            <w:r>
              <w:rPr>
                <w:rFonts w:ascii="宋体" w:hAnsi="宋体"/>
                <w:color w:val="000000"/>
                <w:highlight w:val="none"/>
              </w:rPr>
              <w:t xml:space="preserve">）</w:t>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该</w:t>
            </w:r>
            <w:r>
              <w:rPr>
                <w:rFonts w:ascii="宋体" w:hAnsi="宋体"/>
                <w:color w:val="000000"/>
                <w:highlight w:val="none"/>
              </w:rPr>
              <w:t xml:space="preserve">采购包</w:t>
            </w:r>
            <w:r>
              <w:rPr>
                <w:rFonts w:hint="eastAsia" w:ascii="宋体" w:hAnsi="宋体"/>
                <w:color w:val="000000"/>
                <w:highlight w:val="none"/>
              </w:rPr>
              <w:t xml:space="preserve">中</w:t>
            </w:r>
            <w:r>
              <w:rPr>
                <w:rFonts w:ascii="宋体" w:hAnsi="宋体"/>
                <w:color w:val="000000"/>
                <w:highlight w:val="none"/>
              </w:rPr>
              <w:t xml:space="preserve">联合体成员数量</w:t>
            </w:r>
            <w:r>
              <w:rPr>
                <w:rFonts w:hint="eastAsia" w:ascii="宋体" w:hAnsi="宋体"/>
                <w:color w:val="000000"/>
                <w:highlight w:val="none"/>
              </w:rPr>
              <w:t xml:space="preserve">上限</w:t>
            </w:r>
            <w:r>
              <w:rPr>
                <w:highlight w:val="none"/>
              </w:rPr>
            </w:r>
            <w:r/>
          </w:p>
        </w:tc>
      </w:tr>
      <w:tr>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1</w:t>
            </w:r>
            <w:r>
              <w:rPr>
                <w:highlight w:val="none"/>
              </w:rPr>
            </w:r>
            <w:r/>
          </w:p>
        </w:tc>
        <w:tc>
          <w:tcPr>
            <w:tcW w:w="2968" w:type="dxa"/>
            <w:vAlign w:val="top"/>
            <w:textDirection w:val="lrTb"/>
            <w:noWrap w:val="false"/>
          </w:tcPr>
          <w:p>
            <w:pPr>
              <w:pStyle w:val="958"/>
              <w:jc w:val="center"/>
              <w:spacing w:line="400" w:lineRule="exact"/>
              <w:rPr>
                <w:rFonts w:ascii="宋体" w:hAnsi="宋体"/>
                <w:color w:val="000000"/>
                <w:highlight w:val="none"/>
              </w:rPr>
            </w:pPr>
            <w:r>
              <w:rPr>
                <w:rFonts w:hint="eastAsia" w:ascii="宋体" w:hAnsi="宋体"/>
                <w:color w:val="000000"/>
                <w:highlight w:val="none"/>
              </w:rPr>
              <w:t xml:space="preserve">否</w:t>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w:t>
            </w:r>
            <w:r>
              <w:rPr>
                <w:highlight w:val="none"/>
              </w:rPr>
            </w:r>
            <w:r/>
          </w:p>
        </w:tc>
      </w:tr>
    </w:tbl>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采购包号</w:t>
            </w:r>
            <w:r>
              <w:rPr>
                <w:highlight w:val="none"/>
              </w:rPr>
            </w:r>
            <w:r/>
          </w:p>
        </w:tc>
        <w:tc>
          <w:tcPr>
            <w:tcW w:w="6145"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特定</w:t>
            </w:r>
            <w:r>
              <w:rPr>
                <w:rFonts w:ascii="宋体" w:hAnsi="宋体"/>
                <w:color w:val="000000"/>
                <w:highlight w:val="none"/>
              </w:rPr>
              <w:t xml:space="preserve">资格要求</w:t>
            </w:r>
            <w:r>
              <w:rPr>
                <w:highlight w:val="none"/>
              </w:rPr>
            </w:r>
            <w:r/>
          </w:p>
        </w:tc>
      </w:tr>
      <w:tr>
        <w:trPr/>
        <w:tc>
          <w:tcPr>
            <w:tcW w:w="1148"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1</w:t>
            </w:r>
            <w:r>
              <w:rPr>
                <w:highlight w:val="none"/>
              </w:rPr>
            </w:r>
            <w:r/>
          </w:p>
        </w:tc>
        <w:tc>
          <w:tcPr>
            <w:tcW w:w="6145" w:type="dxa"/>
            <w:vAlign w:val="top"/>
            <w:textDirection w:val="lrTb"/>
            <w:noWrap w:val="false"/>
          </w:tcPr>
          <w:p>
            <w:pPr>
              <w:pStyle w:val="958"/>
              <w:jc w:val="center"/>
              <w:spacing w:line="400" w:lineRule="exact"/>
              <w:rPr>
                <w:rFonts w:hint="eastAsia" w:ascii="宋体" w:hAnsi="宋体"/>
                <w:color w:val="000000"/>
                <w:highlight w:val="none"/>
              </w:rPr>
            </w:pPr>
            <w:r>
              <w:rPr>
                <w:rFonts w:hint="eastAsia" w:ascii="宋体" w:hAnsi="宋体"/>
                <w:color w:val="000000"/>
                <w:highlight w:val="none"/>
              </w:rPr>
              <w:t xml:space="preserve">/</w:t>
            </w:r>
            <w:r>
              <w:rPr>
                <w:highlight w:val="none"/>
              </w:rPr>
            </w:r>
            <w:r/>
          </w:p>
        </w:tc>
      </w:tr>
    </w:tbl>
    <w:p>
      <w:pPr>
        <w:pStyle w:val="958"/>
        <w:ind w:firstLine="498"/>
        <w:keepLines/>
        <w:keepNext/>
        <w:spacing w:before="145" w:after="145"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rPr>
          <w:highlight w:val="none"/>
        </w:rPr>
      </w:r>
      <w:r/>
    </w:p>
    <w:p>
      <w:pPr>
        <w:pStyle w:val="958"/>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highlight w:val="none"/>
        </w:rPr>
      </w:r>
      <w:r/>
    </w:p>
    <w:p>
      <w:pPr>
        <w:pStyle w:val="958"/>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ascii="宋体" w:hAnsi="宋体" w:cs="宋体"/>
          <w:color w:val="000000"/>
          <w:sz w:val="24"/>
          <w:szCs w:val="24"/>
          <w:highlight w:val="none"/>
          <w:u w:val="single"/>
        </w:rPr>
      </w:r>
      <w:r/>
    </w:p>
    <w:p>
      <w:pPr>
        <w:pStyle w:val="961"/>
        <w:ind w:firstLine="498"/>
        <w:spacing w:before="145" w:after="145" w:line="400" w:lineRule="exact"/>
        <w:rPr>
          <w:color w:val="000000"/>
          <w:highlight w:val="none"/>
        </w:rPr>
      </w:pPr>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Start w:id="22" w:name="_Toc28359082"/>
      <w:r>
        <w:rPr>
          <w:highlight w:val="none"/>
        </w:rPr>
      </w:r>
      <w:bookmarkStart w:id="23" w:name="_Toc28359005"/>
      <w:r>
        <w:rPr>
          <w:highlight w:val="none"/>
        </w:rPr>
      </w:r>
      <w:bookmarkStart w:id="24" w:name="_Toc35393793"/>
      <w:r>
        <w:rPr>
          <w:highlight w:val="none"/>
        </w:rPr>
      </w:r>
      <w:bookmarkStart w:id="25" w:name="_Toc35393624"/>
      <w:r>
        <w:rPr>
          <w:highlight w:val="none"/>
        </w:rPr>
      </w:r>
      <w:bookmarkStart w:id="26" w:name="_Toc38985266"/>
      <w:r>
        <w:rPr>
          <w:rFonts w:hint="eastAsia"/>
          <w:color w:val="000000"/>
          <w:highlight w:val="none"/>
        </w:rPr>
        <w:t xml:space="preserve">四、提交投标文件</w:t>
      </w:r>
      <w:bookmarkEnd w:id="22"/>
      <w:r>
        <w:rPr>
          <w:highlight w:val="none"/>
        </w:rPr>
      </w:r>
      <w:bookmarkEnd w:id="23"/>
      <w:r>
        <w:rPr>
          <w:rFonts w:hint="eastAsia"/>
          <w:color w:val="000000"/>
          <w:highlight w:val="none"/>
        </w:rPr>
        <w:t xml:space="preserve">截止时间、开标时间和地点</w:t>
      </w:r>
      <w:bookmarkEnd w:id="24"/>
      <w:r>
        <w:rPr>
          <w:highlight w:val="none"/>
        </w:rPr>
      </w:r>
      <w:bookmarkEnd w:id="25"/>
      <w:r>
        <w:rPr>
          <w:highlight w:val="none"/>
        </w:rPr>
      </w:r>
      <w:bookmarkEnd w:id="26"/>
      <w:r>
        <w:rPr>
          <w:highlight w:val="none"/>
        </w:rPr>
      </w:r>
      <w:r/>
    </w:p>
    <w:p>
      <w:pPr>
        <w:pStyle w:val="958"/>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u w:val="single"/>
        </w:rPr>
        <w:t xml:space="preserve">1.2026年5月19日9点30分</w:t>
      </w:r>
      <w:r>
        <w:rPr>
          <w:rFonts w:hint="eastAsia" w:ascii="宋体" w:hAnsi="宋体"/>
          <w:bCs/>
          <w:color w:val="000000"/>
          <w:sz w:val="24"/>
          <w:szCs w:val="24"/>
          <w:highlight w:val="none"/>
        </w:rPr>
        <w:t xml:space="preserve">（北京时间）</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rPr>
          <w:highlight w:val="none"/>
        </w:rPr>
      </w:r>
      <w:r/>
    </w:p>
    <w:p>
      <w:pPr>
        <w:pStyle w:val="958"/>
        <w:ind w:firstLine="498"/>
        <w:keepLines/>
        <w:keepNext/>
        <w:spacing w:before="145" w:after="145" w:line="360" w:lineRule="auto"/>
        <w:rPr>
          <w:b/>
          <w:bCs/>
          <w:color w:val="000000"/>
          <w:sz w:val="32"/>
          <w:szCs w:val="32"/>
          <w:highlight w:val="none"/>
        </w:rPr>
        <w:outlineLvl w:val="2"/>
      </w:pPr>
      <w:r>
        <w:rPr>
          <w:highlight w:val="none"/>
        </w:rPr>
      </w:r>
      <w:bookmarkStart w:id="27" w:name="_Toc35393794"/>
      <w:r>
        <w:rPr>
          <w:highlight w:val="none"/>
        </w:rPr>
      </w:r>
      <w:bookmarkStart w:id="28" w:name="_Toc35393625"/>
      <w:r>
        <w:rPr>
          <w:highlight w:val="none"/>
        </w:rPr>
      </w:r>
      <w:bookmarkStart w:id="29" w:name="_Toc38985267"/>
      <w:r>
        <w:rPr>
          <w:highlight w:val="none"/>
        </w:rPr>
      </w:r>
      <w:bookmarkStart w:id="30" w:name="_Toc28359084"/>
      <w:r>
        <w:rPr>
          <w:highlight w:val="none"/>
        </w:rPr>
      </w:r>
      <w:bookmarkStart w:id="31" w:name="_Toc28359007"/>
      <w:r>
        <w:rPr>
          <w:rFonts w:hint="eastAsia"/>
          <w:b/>
          <w:bCs/>
          <w:color w:val="000000"/>
          <w:sz w:val="32"/>
          <w:szCs w:val="32"/>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p>
    <w:p>
      <w:pPr>
        <w:pStyle w:val="95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highlight w:val="none"/>
        </w:rPr>
      </w:r>
      <w:r/>
    </w:p>
    <w:p>
      <w:pPr>
        <w:pStyle w:val="961"/>
        <w:ind w:firstLine="498"/>
        <w:spacing w:before="145" w:after="145" w:line="400" w:lineRule="exact"/>
        <w:rPr>
          <w:color w:val="000000"/>
          <w:highlight w:val="none"/>
        </w:rPr>
      </w:pPr>
      <w:r>
        <w:rPr>
          <w:highlight w:val="none"/>
        </w:rPr>
      </w:r>
      <w:bookmarkStart w:id="32" w:name="_Toc35393795"/>
      <w:r>
        <w:rPr>
          <w:highlight w:val="none"/>
        </w:rPr>
      </w:r>
      <w:bookmarkStart w:id="33" w:name="_Toc35393626"/>
      <w:r>
        <w:rPr>
          <w:highlight w:val="none"/>
        </w:rPr>
      </w:r>
      <w:bookmarkStart w:id="34" w:name="_Toc38985268"/>
      <w:r>
        <w:rPr>
          <w:rFonts w:hint="eastAsia"/>
          <w:color w:val="000000"/>
          <w:highlight w:val="none"/>
        </w:rPr>
        <w:t xml:space="preserve">六、其他补充事宜</w:t>
      </w:r>
      <w:bookmarkEnd w:id="32"/>
      <w:r>
        <w:rPr>
          <w:highlight w:val="none"/>
        </w:rPr>
      </w:r>
      <w:bookmarkEnd w:id="33"/>
      <w:r>
        <w:rPr>
          <w:highlight w:val="none"/>
        </w:rPr>
      </w:r>
      <w:bookmarkEnd w:id="34"/>
      <w:r>
        <w:rPr>
          <w:highlight w:val="none"/>
        </w:rPr>
      </w:r>
      <w:r/>
    </w:p>
    <w:p>
      <w:pPr>
        <w:pStyle w:val="958"/>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w:t>
      </w:r>
      <w:r>
        <w:rPr>
          <w:highlight w:val="none"/>
        </w:rPr>
      </w:r>
      <w:r/>
    </w:p>
    <w:p>
      <w:pPr>
        <w:pStyle w:val="961"/>
        <w:ind w:firstLine="498"/>
        <w:spacing w:before="145" w:after="145" w:line="400" w:lineRule="exact"/>
        <w:rPr>
          <w:color w:val="000000"/>
          <w:highlight w:val="none"/>
        </w:rPr>
      </w:pPr>
      <w:r>
        <w:rPr>
          <w:highlight w:val="none"/>
        </w:rPr>
      </w:r>
      <w:bookmarkStart w:id="35" w:name="_Toc35393796"/>
      <w:r>
        <w:rPr>
          <w:highlight w:val="none"/>
        </w:rPr>
      </w:r>
      <w:bookmarkStart w:id="36" w:name="_Toc28359008"/>
      <w:r>
        <w:rPr>
          <w:highlight w:val="none"/>
        </w:rPr>
      </w:r>
      <w:bookmarkStart w:id="37" w:name="_Toc35393627"/>
      <w:r>
        <w:rPr>
          <w:highlight w:val="none"/>
        </w:rPr>
      </w:r>
      <w:bookmarkStart w:id="38" w:name="_Toc28359085"/>
      <w:r>
        <w:rPr>
          <w:highlight w:val="none"/>
        </w:rPr>
      </w:r>
      <w:bookmarkStart w:id="39" w:name="_Toc38985269"/>
      <w:r>
        <w:rPr>
          <w:rFonts w:hint="eastAsia"/>
          <w:color w:val="000000"/>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pStyle w:val="958"/>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highlight w:val="none"/>
        </w:rPr>
      </w:r>
      <w:r/>
    </w:p>
    <w:p>
      <w:pPr>
        <w:pStyle w:val="958"/>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江苏农林职业技术学院       </w:t>
      </w:r>
      <w:r>
        <w:rPr>
          <w:highlight w:val="none"/>
        </w:rPr>
      </w:r>
      <w:r/>
    </w:p>
    <w:p>
      <w:pPr>
        <w:pStyle w:val="958"/>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  江苏省句容市文昌东路19号  </w:t>
      </w:r>
      <w:r>
        <w:rPr>
          <w:highlight w:val="none"/>
        </w:rPr>
      </w:r>
      <w:r/>
    </w:p>
    <w:p>
      <w:pPr>
        <w:pStyle w:val="958"/>
        <w:ind w:left="1079" w:hanging="30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徐超       </w:t>
      </w:r>
      <w:r>
        <w:rPr>
          <w:highlight w:val="none"/>
        </w:rPr>
      </w:r>
      <w:r/>
    </w:p>
    <w:p>
      <w:pPr>
        <w:pStyle w:val="958"/>
        <w:ind w:left="1079" w:hanging="30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15152927083  </w:t>
      </w:r>
      <w:bookmarkStart w:id="40" w:name="_Toc28359086"/>
      <w:r>
        <w:rPr>
          <w:highlight w:val="none"/>
        </w:rPr>
      </w:r>
      <w:bookmarkStart w:id="41" w:name="_Toc28359009"/>
      <w:r>
        <w:rPr>
          <w:highlight w:val="none"/>
        </w:rPr>
      </w:r>
      <w:r/>
    </w:p>
    <w:p>
      <w:pPr>
        <w:pStyle w:val="958"/>
        <w:ind w:left="1079" w:hanging="300"/>
        <w:jc w:val="left"/>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2.江苏省政府采购中心信息</w:t>
      </w:r>
      <w:bookmarkEnd w:id="40"/>
      <w:r>
        <w:rPr>
          <w:highlight w:val="none"/>
        </w:rPr>
      </w:r>
      <w:bookmarkEnd w:id="41"/>
      <w:r>
        <w:rPr>
          <w:highlight w:val="none"/>
        </w:rPr>
      </w:r>
      <w:r/>
    </w:p>
    <w:p>
      <w:pPr>
        <w:pStyle w:val="958"/>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南京市汉中门大街145号省政务中心二期3楼南区　</w:t>
      </w:r>
      <w:r>
        <w:rPr>
          <w:highlight w:val="none"/>
        </w:rPr>
      </w:r>
      <w:r/>
    </w:p>
    <w:p>
      <w:pPr>
        <w:pStyle w:val="958"/>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厉彬彬、唐文                    </w:t>
      </w:r>
      <w:r>
        <w:rPr>
          <w:highlight w:val="none"/>
        </w:rPr>
      </w:r>
      <w:r/>
    </w:p>
    <w:p>
      <w:pPr>
        <w:pStyle w:val="961"/>
        <w:ind w:firstLine="372"/>
        <w:spacing w:before="145" w:after="145" w:line="400" w:lineRule="exact"/>
        <w:rPr>
          <w:rFonts w:hint="eastAsia" w:ascii="宋体" w:hAnsi="宋体"/>
          <w:b w:val="0"/>
          <w:bCs w:val="0"/>
          <w:color w:val="000000"/>
          <w:sz w:val="24"/>
          <w:szCs w:val="24"/>
          <w:highlight w:val="none"/>
          <w:u w:val="single"/>
        </w:rPr>
      </w:pPr>
      <w:r>
        <w:rPr>
          <w:rFonts w:hint="eastAsia" w:ascii="宋体" w:hAnsi="宋体"/>
          <w:b w:val="0"/>
          <w:bCs w:val="0"/>
          <w:color w:val="000000"/>
          <w:sz w:val="24"/>
          <w:szCs w:val="24"/>
          <w:highlight w:val="none"/>
        </w:rPr>
        <w:t xml:space="preserve">联系方式：</w:t>
      </w:r>
      <w:r>
        <w:rPr>
          <w:rFonts w:hint="eastAsia" w:ascii="宋体" w:hAnsi="宋体"/>
          <w:b w:val="0"/>
          <w:bCs w:val="0"/>
          <w:color w:val="000000"/>
          <w:sz w:val="24"/>
          <w:szCs w:val="24"/>
          <w:highlight w:val="none"/>
          <w:u w:val="single"/>
        </w:rPr>
        <w:t xml:space="preserve">　025-83668517/83668519　</w:t>
      </w:r>
      <w:r>
        <w:rPr>
          <w:highlight w:val="none"/>
        </w:rPr>
      </w:r>
      <w:r/>
    </w:p>
    <w:p>
      <w:pPr>
        <w:pStyle w:val="961"/>
        <w:ind w:firstLine="498"/>
        <w:spacing w:before="145" w:after="145" w:line="400" w:lineRule="exact"/>
        <w:rPr>
          <w:color w:val="000000"/>
          <w:highlight w:val="none"/>
        </w:rPr>
      </w:pPr>
      <w:r>
        <w:rPr>
          <w:rFonts w:hint="eastAsia"/>
          <w:color w:val="000000"/>
          <w:highlight w:val="none"/>
        </w:rPr>
        <w:t xml:space="preserve">八、其他</w:t>
      </w:r>
      <w:r>
        <w:rPr>
          <w:highlight w:val="none"/>
        </w:rPr>
      </w:r>
      <w:r/>
    </w:p>
    <w:p>
      <w:pPr>
        <w:pStyle w:val="958"/>
        <w:ind w:firstLine="480"/>
        <w:spacing w:line="400" w:lineRule="exact"/>
        <w:tabs>
          <w:tab w:val="left" w:pos="900" w:leader="none"/>
        </w:tabs>
        <w:rPr>
          <w:rFonts w:ascii="宋体" w:hAnsi="宋体"/>
          <w:bCs/>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bCs/>
          <w:color w:val="000000"/>
          <w:sz w:val="24"/>
          <w:szCs w:val="24"/>
          <w:highlight w:val="none"/>
        </w:rPr>
        <w:t xml:space="preserve"> 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highlight w:val="none"/>
        </w:rPr>
        <w:t xml:space="preserve">http://www.ccgp-jiangsu.gov.cn/jiangsu/zlxz/ee/ee3a4bc5a3454aa2b0d9312230633ce9.html。</w:t>
      </w:r>
      <w:r>
        <w:rPr>
          <w:highlight w:val="none"/>
        </w:rPr>
      </w:r>
      <w:r/>
    </w:p>
    <w:p>
      <w:pPr>
        <w:pStyle w:val="958"/>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rPr>
          <w:highlight w:val="none"/>
        </w:rPr>
      </w:r>
      <w:r/>
    </w:p>
    <w:p>
      <w:pPr>
        <w:pStyle w:val="95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rPr>
          <w:highlight w:val="none"/>
        </w:rPr>
      </w:r>
      <w:r/>
    </w:p>
    <w:p>
      <w:pPr>
        <w:pStyle w:val="95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有关本次招标的事项若存在变动或修改，敬请及时关注江苏省政府采购中心在“江苏政府采购网”发布的更正公告。</w:t>
      </w:r>
      <w:r>
        <w:rPr>
          <w:highlight w:val="none"/>
        </w:rPr>
      </w:r>
      <w:r/>
    </w:p>
    <w:p>
      <w:pPr>
        <w:pStyle w:val="95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 本次招标不收取投标保证金。</w:t>
      </w:r>
      <w:r>
        <w:rPr>
          <w:highlight w:val="none"/>
        </w:rPr>
      </w:r>
      <w:r/>
    </w:p>
    <w:p>
      <w:pPr>
        <w:pStyle w:val="960"/>
        <w:ind w:firstLine="2429"/>
        <w:jc w:val="both"/>
        <w:spacing w:line="400" w:lineRule="exact"/>
        <w:rPr>
          <w:rFonts w:hint="eastAsia" w:ascii="黑体" w:eastAsia="黑体"/>
          <w:b w:val="0"/>
          <w:bCs w:val="0"/>
          <w:color w:val="000000"/>
          <w:highlight w:val="none"/>
        </w:rPr>
      </w:pPr>
      <w:r>
        <w:rPr>
          <w:rFonts w:ascii="宋体" w:hAnsi="宋体"/>
          <w:color w:val="000000"/>
          <w:szCs w:val="24"/>
          <w:highlight w:val="none"/>
        </w:rPr>
        <w:br w:type="page" w:clear="all"/>
      </w:r>
      <w:bookmarkStart w:id="42" w:name="_Toc120614211"/>
      <w:r>
        <w:rPr>
          <w:rFonts w:hint="eastAsia" w:ascii="黑体" w:eastAsia="黑体"/>
          <w:color w:val="000000"/>
          <w:highlight w:val="none"/>
        </w:rPr>
        <w:t xml:space="preserve">第二章  </w:t>
      </w:r>
      <w:bookmarkStart w:id="43" w:name="_Toc513029202"/>
      <w:r>
        <w:rPr>
          <w:highlight w:val="none"/>
        </w:rPr>
      </w:r>
      <w:bookmarkStart w:id="44" w:name="_Toc20823274"/>
      <w:r>
        <w:rPr>
          <w:highlight w:val="none"/>
        </w:rPr>
      </w:r>
      <w:bookmarkStart w:id="45" w:name="_Toc16938518"/>
      <w:r>
        <w:rPr>
          <w:highlight w:val="none"/>
        </w:rPr>
      </w:r>
      <w:bookmarkStart w:id="46" w:name="_Toc120614213"/>
      <w:r>
        <w:rPr>
          <w:rFonts w:hint="eastAsia" w:ascii="黑体" w:eastAsia="黑体"/>
          <w:color w:val="000000"/>
          <w:highlight w:val="none"/>
        </w:rPr>
        <w:t xml:space="preserve">投标人须知</w:t>
      </w:r>
      <w:bookmarkEnd w:id="43"/>
      <w:r>
        <w:rPr>
          <w:highlight w:val="none"/>
        </w:rPr>
      </w:r>
      <w:bookmarkEnd w:id="44"/>
      <w:r>
        <w:rPr>
          <w:highlight w:val="none"/>
        </w:rPr>
      </w:r>
      <w:bookmarkEnd w:id="45"/>
      <w:r>
        <w:rPr>
          <w:highlight w:val="none"/>
        </w:rPr>
      </w:r>
      <w:bookmarkEnd w:id="46"/>
      <w:r>
        <w:rPr>
          <w:highlight w:val="none"/>
        </w:rPr>
      </w:r>
      <w:r/>
    </w:p>
    <w:p>
      <w:pPr>
        <w:pStyle w:val="961"/>
        <w:ind w:firstLine="498"/>
        <w:spacing w:before="145" w:after="145" w:line="400" w:lineRule="exact"/>
        <w:rPr>
          <w:rFonts w:hint="eastAsia"/>
          <w:color w:val="000000"/>
          <w:highlight w:val="none"/>
        </w:rPr>
      </w:pPr>
      <w:r>
        <w:rPr>
          <w:highlight w:val="none"/>
        </w:rPr>
      </w:r>
      <w:bookmarkStart w:id="47" w:name="_Toc513029203"/>
      <w:r>
        <w:rPr>
          <w:highlight w:val="none"/>
        </w:rPr>
      </w:r>
      <w:bookmarkStart w:id="48" w:name="_Toc20823275"/>
      <w:r>
        <w:rPr>
          <w:highlight w:val="none"/>
        </w:rPr>
      </w:r>
      <w:bookmarkStart w:id="49" w:name="_Toc120614214"/>
      <w:r>
        <w:rPr>
          <w:highlight w:val="none"/>
        </w:rPr>
      </w:r>
      <w:bookmarkStart w:id="50" w:name="_Toc16938519"/>
      <w:r>
        <w:rPr>
          <w:rFonts w:hint="eastAsia"/>
          <w:color w:val="000000"/>
          <w:highlight w:val="none"/>
        </w:rPr>
        <w:t xml:space="preserve">一、总则</w:t>
      </w:r>
      <w:bookmarkEnd w:id="47"/>
      <w:r>
        <w:rPr>
          <w:highlight w:val="none"/>
        </w:rPr>
      </w:r>
      <w:bookmarkEnd w:id="48"/>
      <w:r>
        <w:rPr>
          <w:highlight w:val="none"/>
        </w:rPr>
      </w:r>
      <w:bookmarkEnd w:id="49"/>
      <w:r>
        <w:rPr>
          <w:highlight w:val="none"/>
        </w:rPr>
      </w:r>
      <w:bookmarkEnd w:id="50"/>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51" w:name="_Hlt16619475"/>
      <w:r>
        <w:rPr>
          <w:highlight w:val="none"/>
        </w:rPr>
      </w:r>
      <w:bookmarkEnd w:id="51"/>
      <w:r>
        <w:rPr>
          <w:highlight w:val="none"/>
        </w:rPr>
      </w:r>
      <w:bookmarkStart w:id="52" w:name="_Toc458694821"/>
      <w:r>
        <w:rPr>
          <w:highlight w:val="none"/>
        </w:rPr>
      </w:r>
      <w:bookmarkStart w:id="53" w:name="_Toc513029204"/>
      <w:r>
        <w:rPr>
          <w:highlight w:val="none"/>
        </w:rPr>
      </w:r>
      <w:bookmarkStart w:id="54" w:name="_Toc20823276"/>
      <w:r>
        <w:rPr>
          <w:highlight w:val="none"/>
        </w:rPr>
      </w:r>
      <w:bookmarkStart w:id="55" w:name="_Toc16938520"/>
      <w:r>
        <w:rPr>
          <w:rFonts w:hint="eastAsia"/>
          <w:b w:val="0"/>
          <w:bCs w:val="0"/>
          <w:color w:val="000000"/>
          <w:highlight w:val="none"/>
        </w:rPr>
        <w:t xml:space="preserve">1</w:t>
      </w:r>
      <w:bookmarkEnd w:id="52"/>
      <w:r>
        <w:rPr>
          <w:rFonts w:hint="eastAsia"/>
          <w:b w:val="0"/>
          <w:bCs w:val="0"/>
          <w:color w:val="000000"/>
          <w:highlight w:val="none"/>
        </w:rPr>
        <w:t xml:space="preserve">、招标方式</w:t>
      </w:r>
      <w:bookmarkEnd w:id="53"/>
      <w:r>
        <w:rPr>
          <w:highlight w:val="none"/>
        </w:rPr>
      </w:r>
      <w:bookmarkEnd w:id="54"/>
      <w:r>
        <w:rPr>
          <w:highlight w:val="none"/>
        </w:rPr>
      </w:r>
      <w:bookmarkEnd w:id="55"/>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56" w:name="_Toc513029205"/>
      <w:r>
        <w:rPr>
          <w:highlight w:val="none"/>
        </w:rPr>
      </w:r>
      <w:bookmarkStart w:id="57" w:name="_Toc20823277"/>
      <w:r>
        <w:rPr>
          <w:highlight w:val="none"/>
        </w:rPr>
      </w:r>
      <w:bookmarkStart w:id="58" w:name="_Toc16938521"/>
      <w:r>
        <w:rPr>
          <w:rFonts w:hint="eastAsia"/>
          <w:b w:val="0"/>
          <w:bCs w:val="0"/>
          <w:color w:val="000000"/>
          <w:highlight w:val="none"/>
        </w:rPr>
        <w:t xml:space="preserve">2、合格的投标人</w:t>
      </w:r>
      <w:bookmarkEnd w:id="56"/>
      <w:r>
        <w:rPr>
          <w:highlight w:val="none"/>
        </w:rPr>
      </w:r>
      <w:bookmarkEnd w:id="57"/>
      <w:r>
        <w:rPr>
          <w:highlight w:val="none"/>
        </w:rPr>
      </w:r>
      <w:bookmarkEnd w:id="58"/>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highlight w:val="none"/>
        </w:rPr>
      </w:r>
      <w:r/>
    </w:p>
    <w:p>
      <w:pPr>
        <w:pStyle w:val="962"/>
        <w:ind w:firstLine="422"/>
        <w:spacing w:before="0" w:after="0" w:line="400" w:lineRule="exact"/>
        <w:rPr>
          <w:rFonts w:hint="eastAsia" w:ascii="Arial" w:hAnsi="Arial" w:cs="Arial"/>
          <w:b/>
          <w:bCs/>
          <w:color w:val="000000"/>
          <w:highlight w:val="none"/>
        </w:rPr>
      </w:pPr>
      <w:r>
        <w:rPr>
          <w:highlight w:val="none"/>
        </w:rPr>
      </w:r>
      <w:bookmarkStart w:id="59" w:name="_Toc20823278"/>
      <w:r>
        <w:rPr>
          <w:highlight w:val="none"/>
        </w:rPr>
      </w:r>
      <w:bookmarkStart w:id="60" w:name="_Toc16938522"/>
      <w:r>
        <w:rPr>
          <w:highlight w:val="none"/>
        </w:rPr>
      </w:r>
      <w:bookmarkStart w:id="61" w:name="_Toc513029206"/>
      <w:r>
        <w:rPr>
          <w:rFonts w:hint="eastAsia" w:ascii="Arial" w:hAnsi="Arial" w:cs="Arial"/>
          <w:b/>
          <w:bCs/>
          <w:color w:val="000000"/>
          <w:highlight w:val="none"/>
        </w:rPr>
        <w:t xml:space="preserve">3、适用法律</w:t>
      </w:r>
      <w:bookmarkEnd w:id="59"/>
      <w:r>
        <w:rPr>
          <w:highlight w:val="none"/>
        </w:rPr>
      </w:r>
      <w:bookmarkEnd w:id="60"/>
      <w:r>
        <w:rPr>
          <w:highlight w:val="none"/>
        </w:rPr>
      </w:r>
      <w:bookmarkEnd w:id="61"/>
      <w:r>
        <w:rPr>
          <w:rFonts w:hint="eastAsia" w:ascii="Arial" w:hAnsi="Arial" w:cs="Arial"/>
          <w:b/>
          <w:bCs/>
          <w:color w:val="000000"/>
          <w:highlight w:val="none"/>
          <w:lang w:eastAsia="zh-CN"/>
        </w:rPr>
        <w:t xml:space="preserve">和标准</w:t>
      </w:r>
      <w:r>
        <w:rPr>
          <w:highlight w:val="none"/>
        </w:rPr>
      </w:r>
      <w:r/>
    </w:p>
    <w:p>
      <w:pPr>
        <w:pStyle w:val="958"/>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highlight w:val="none"/>
        </w:rPr>
      </w:r>
      <w:r/>
    </w:p>
    <w:p>
      <w:pPr>
        <w:pStyle w:val="958"/>
        <w:ind w:firstLine="420"/>
        <w:spacing w:line="400" w:lineRule="exact"/>
        <w:rPr>
          <w:rFonts w:hint="eastAsia" w:ascii="宋体" w:hAnsi="宋体" w:eastAsia="宋体" w:cs="Times New Roman"/>
          <w:color w:val="000000"/>
          <w:sz w:val="24"/>
          <w:highlight w:val="none"/>
        </w:rPr>
      </w:pPr>
      <w:r>
        <w:rPr>
          <w:highlight w:val="none"/>
        </w:rPr>
      </w:r>
      <w:bookmarkStart w:id="62" w:name="_Toc513029207"/>
      <w:r>
        <w:rPr>
          <w:highlight w:val="none"/>
        </w:rPr>
      </w:r>
      <w:bookmarkStart w:id="63" w:name="_Toc20823279"/>
      <w:r>
        <w:rPr>
          <w:highlight w:val="none"/>
        </w:rPr>
      </w:r>
      <w:bookmarkStart w:id="64" w:name="_Toc462564067"/>
      <w:r>
        <w:rPr>
          <w:highlight w:val="none"/>
        </w:rPr>
      </w:r>
      <w:bookmarkStart w:id="65" w:name="_Toc16938523"/>
      <w:r>
        <w:rPr>
          <w:rFonts w:hint="eastAsia" w:ascii="宋体" w:hAnsi="宋体" w:eastAsia="宋体" w:cs="Times New Roman"/>
          <w:color w:val="000000"/>
          <w:sz w:val="24"/>
          <w:highlight w:val="none"/>
          <w:lang w:val="en-US" w:eastAsia="zh-CN"/>
        </w:rPr>
        <w:t xml:space="preserve">3.2 在本项目政府采购活动过程中，如果所执行的标准有更新的，按照最新标准执行。</w:t>
      </w:r>
      <w:r>
        <w:rPr>
          <w:highlight w:val="none"/>
        </w:rPr>
      </w:r>
      <w:r/>
    </w:p>
    <w:p>
      <w:pPr>
        <w:pStyle w:val="962"/>
        <w:ind w:firstLine="420"/>
        <w:spacing w:before="0" w:after="0" w:line="400" w:lineRule="exact"/>
        <w:rPr>
          <w:rFonts w:hint="eastAsia"/>
          <w:b w:val="0"/>
          <w:bCs w:val="0"/>
          <w:color w:val="000000"/>
          <w:highlight w:val="none"/>
        </w:rPr>
      </w:pPr>
      <w:r>
        <w:rPr>
          <w:rFonts w:hint="eastAsia"/>
          <w:b w:val="0"/>
          <w:bCs w:val="0"/>
          <w:color w:val="000000"/>
          <w:highlight w:val="none"/>
        </w:rPr>
        <w:t xml:space="preserve">4、投标费用</w:t>
      </w:r>
      <w:bookmarkEnd w:id="62"/>
      <w:r>
        <w:rPr>
          <w:highlight w:val="none"/>
        </w:rPr>
      </w:r>
      <w:bookmarkEnd w:id="63"/>
      <w:r>
        <w:rPr>
          <w:highlight w:val="none"/>
        </w:rPr>
      </w:r>
      <w:bookmarkEnd w:id="64"/>
      <w:r>
        <w:rPr>
          <w:highlight w:val="none"/>
        </w:rPr>
      </w:r>
      <w:bookmarkEnd w:id="65"/>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4.2本次招标采购中心和采购人不收取标书工本费与中标服务费。</w:t>
      </w:r>
      <w:r>
        <w:rPr>
          <w:highlight w:val="none"/>
        </w:rPr>
      </w:r>
      <w:r/>
    </w:p>
    <w:p>
      <w:pPr>
        <w:pStyle w:val="962"/>
        <w:ind w:firstLine="602"/>
        <w:spacing w:before="0" w:after="0" w:line="40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highlight w:val="none"/>
        </w:rPr>
      </w:r>
      <w:r/>
    </w:p>
    <w:p>
      <w:pPr>
        <w:pStyle w:val="961"/>
        <w:ind w:firstLine="321"/>
        <w:spacing w:before="145" w:after="145" w:line="400" w:lineRule="exact"/>
        <w:rPr>
          <w:rFonts w:hint="eastAsia"/>
          <w:color w:val="000000"/>
          <w:highlight w:val="none"/>
        </w:rPr>
      </w:pPr>
      <w:r>
        <w:rPr>
          <w:highlight w:val="none"/>
        </w:rPr>
      </w:r>
      <w:bookmarkStart w:id="66" w:name="_Toc120614215"/>
      <w:r>
        <w:rPr>
          <w:highlight w:val="none"/>
        </w:rPr>
      </w:r>
      <w:bookmarkStart w:id="67" w:name="_Toc16938525"/>
      <w:r>
        <w:rPr>
          <w:highlight w:val="none"/>
        </w:rPr>
      </w:r>
      <w:bookmarkStart w:id="68" w:name="_Toc20823281"/>
      <w:r>
        <w:rPr>
          <w:highlight w:val="none"/>
        </w:rPr>
      </w:r>
      <w:bookmarkStart w:id="69" w:name="_Toc513029209"/>
      <w:r>
        <w:rPr>
          <w:rFonts w:hint="eastAsia"/>
          <w:color w:val="000000"/>
          <w:highlight w:val="none"/>
        </w:rPr>
        <w:t xml:space="preserve">二、招标文件</w:t>
      </w:r>
      <w:bookmarkEnd w:id="66"/>
      <w:r>
        <w:rPr>
          <w:highlight w:val="none"/>
        </w:rPr>
      </w:r>
      <w:bookmarkEnd w:id="67"/>
      <w:r>
        <w:rPr>
          <w:highlight w:val="none"/>
        </w:rPr>
      </w:r>
      <w:bookmarkEnd w:id="68"/>
      <w:r>
        <w:rPr>
          <w:highlight w:val="none"/>
        </w:rPr>
      </w:r>
      <w:bookmarkEnd w:id="69"/>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70" w:name="_Toc16938526"/>
      <w:r>
        <w:rPr>
          <w:highlight w:val="none"/>
        </w:rPr>
      </w:r>
      <w:bookmarkStart w:id="71" w:name="_Toc513029210"/>
      <w:r>
        <w:rPr>
          <w:highlight w:val="none"/>
        </w:rPr>
      </w:r>
      <w:bookmarkStart w:id="72" w:name="_Toc20823282"/>
      <w:r>
        <w:rPr>
          <w:rFonts w:hint="eastAsia"/>
          <w:b w:val="0"/>
          <w:bCs w:val="0"/>
          <w:color w:val="000000"/>
          <w:highlight w:val="none"/>
        </w:rPr>
        <w:t xml:space="preserve">6、招标文件构成</w:t>
      </w:r>
      <w:bookmarkEnd w:id="70"/>
      <w:r>
        <w:rPr>
          <w:highlight w:val="none"/>
        </w:rPr>
      </w:r>
      <w:bookmarkEnd w:id="71"/>
      <w:r>
        <w:rPr>
          <w:highlight w:val="none"/>
        </w:rPr>
      </w:r>
      <w:bookmarkEnd w:id="72"/>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（5）评标方法与评标标准</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请仔细检查招标文件是否齐全，如有缺漏请立即与采购中心联系解决。</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962"/>
        <w:ind w:firstLine="560"/>
        <w:spacing w:before="0" w:after="0" w:line="400" w:lineRule="exact"/>
        <w:rPr>
          <w:rFonts w:hint="eastAsia"/>
          <w:b w:val="0"/>
          <w:bCs w:val="0"/>
          <w:color w:val="000000"/>
          <w:highlight w:val="none"/>
        </w:rPr>
      </w:pPr>
      <w:r>
        <w:rPr>
          <w:highlight w:val="none"/>
        </w:rPr>
      </w:r>
      <w:bookmarkStart w:id="73" w:name="_Toc16938528"/>
      <w:r>
        <w:rPr>
          <w:highlight w:val="none"/>
        </w:rPr>
      </w:r>
      <w:bookmarkStart w:id="74" w:name="_Toc513029212"/>
      <w:r>
        <w:rPr>
          <w:highlight w:val="none"/>
        </w:rPr>
      </w:r>
      <w:bookmarkStart w:id="75" w:name="_Toc20823284"/>
      <w:r>
        <w:rPr>
          <w:highlight w:val="none"/>
        </w:rPr>
      </w:r>
      <w:bookmarkStart w:id="76" w:name="_Toc462564071"/>
      <w:r>
        <w:rPr>
          <w:b w:val="0"/>
          <w:bCs w:val="0"/>
          <w:color w:val="000000"/>
          <w:highlight w:val="none"/>
        </w:rPr>
        <w:t xml:space="preserve">7</w:t>
      </w:r>
      <w:r>
        <w:rPr>
          <w:rFonts w:hint="eastAsia"/>
          <w:b w:val="0"/>
          <w:bCs w:val="0"/>
          <w:color w:val="000000"/>
          <w:highlight w:val="none"/>
        </w:rPr>
        <w:t xml:space="preserve">、招标文件的修改</w:t>
      </w:r>
      <w:bookmarkEnd w:id="73"/>
      <w:r>
        <w:rPr>
          <w:highlight w:val="none"/>
        </w:rPr>
      </w:r>
      <w:bookmarkEnd w:id="74"/>
      <w:r>
        <w:rPr>
          <w:highlight w:val="none"/>
        </w:rPr>
      </w:r>
      <w:bookmarkEnd w:id="75"/>
      <w:r>
        <w:rPr>
          <w:highlight w:val="none"/>
        </w:rPr>
      </w:r>
      <w:bookmarkEnd w:id="76"/>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，采购中心可以对招标文件进行修改。</w:t>
      </w:r>
      <w:r>
        <w:rPr>
          <w:highlight w:val="none"/>
        </w:rPr>
      </w:r>
      <w:r/>
    </w:p>
    <w:p>
      <w:pPr>
        <w:pStyle w:val="958"/>
        <w:ind w:firstLine="480"/>
        <w:spacing w:line="400" w:lineRule="exact"/>
        <w:rPr>
          <w:rFonts w:hint="eastAsia" w:ascii="宋体" w:hAnsi="Arial"/>
          <w:color w:val="000000"/>
          <w:sz w:val="28"/>
          <w:highlight w:val="none"/>
        </w:rPr>
      </w:pPr>
      <w:r>
        <w:rPr>
          <w:rFonts w:hint="eastAsia" w:ascii="宋体" w:hAnsi="宋体"/>
          <w:bCs/>
          <w:color w:val="000000"/>
          <w:sz w:val="24"/>
          <w:highlight w:val="none"/>
        </w:rPr>
        <w:t xml:space="preserve">7.2 </w:t>
      </w:r>
      <w:r>
        <w:rPr>
          <w:rFonts w:hint="eastAsia" w:ascii="宋体" w:hAnsi="宋体"/>
          <w:color w:val="000000"/>
          <w:sz w:val="24"/>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highlight w:val="none"/>
        </w:rPr>
        <w:t xml:space="preserve">推迟投标截止日期和开标日期。</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7.3 </w:t>
      </w:r>
      <w:r>
        <w:rPr>
          <w:rFonts w:hint="eastAsia" w:ascii="宋体" w:hAnsi="宋体"/>
          <w:color w:val="000000"/>
          <w:sz w:val="24"/>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highlight w:val="none"/>
        </w:rPr>
        <w:t xml:space="preserve">并对投标人具有约束力。</w:t>
      </w:r>
      <w:r>
        <w:rPr>
          <w:highlight w:val="none"/>
        </w:rPr>
      </w:r>
      <w:r/>
    </w:p>
    <w:p>
      <w:pPr>
        <w:pStyle w:val="961"/>
        <w:ind w:firstLine="482"/>
        <w:spacing w:before="145" w:after="145" w:line="400" w:lineRule="exact"/>
        <w:rPr>
          <w:rFonts w:hint="eastAsia"/>
          <w:color w:val="000000"/>
          <w:highlight w:val="none"/>
        </w:rPr>
      </w:pPr>
      <w:r>
        <w:rPr>
          <w:highlight w:val="none"/>
        </w:rPr>
      </w:r>
      <w:bookmarkStart w:id="77" w:name="_Toc120614216"/>
      <w:r>
        <w:rPr>
          <w:highlight w:val="none"/>
        </w:rPr>
      </w:r>
      <w:bookmarkStart w:id="78" w:name="_Toc513029213"/>
      <w:r>
        <w:rPr>
          <w:highlight w:val="none"/>
        </w:rPr>
      </w:r>
      <w:bookmarkStart w:id="79" w:name="_Toc462564072"/>
      <w:r>
        <w:rPr>
          <w:highlight w:val="none"/>
        </w:rPr>
      </w:r>
      <w:bookmarkStart w:id="80" w:name="_Toc20823285"/>
      <w:r>
        <w:rPr>
          <w:highlight w:val="none"/>
        </w:rPr>
      </w:r>
      <w:bookmarkStart w:id="81" w:name="_Toc16938529"/>
      <w:r>
        <w:rPr>
          <w:rFonts w:hint="eastAsia"/>
          <w:color w:val="000000"/>
          <w:highlight w:val="none"/>
        </w:rPr>
        <w:t xml:space="preserve">三、投标文件的编制</w:t>
      </w:r>
      <w:bookmarkEnd w:id="77"/>
      <w:r>
        <w:rPr>
          <w:highlight w:val="none"/>
        </w:rPr>
      </w:r>
      <w:bookmarkEnd w:id="78"/>
      <w:r>
        <w:rPr>
          <w:highlight w:val="none"/>
        </w:rPr>
      </w:r>
      <w:bookmarkEnd w:id="79"/>
      <w:r>
        <w:rPr>
          <w:highlight w:val="none"/>
        </w:rPr>
      </w:r>
      <w:bookmarkEnd w:id="80"/>
      <w:r>
        <w:rPr>
          <w:highlight w:val="none"/>
        </w:rPr>
      </w:r>
      <w:bookmarkEnd w:id="81"/>
      <w:r>
        <w:rPr>
          <w:highlight w:val="none"/>
        </w:rPr>
      </w:r>
      <w:r/>
    </w:p>
    <w:p>
      <w:pPr>
        <w:pStyle w:val="962"/>
        <w:ind w:firstLine="560"/>
        <w:spacing w:before="0" w:after="0" w:line="400" w:lineRule="exact"/>
        <w:rPr>
          <w:rFonts w:hint="eastAsia"/>
          <w:bCs w:val="0"/>
          <w:color w:val="000000"/>
          <w:highlight w:val="none"/>
        </w:rPr>
      </w:pPr>
      <w:r>
        <w:rPr>
          <w:highlight w:val="none"/>
        </w:rPr>
      </w:r>
      <w:bookmarkStart w:id="82" w:name="_Toc16938530"/>
      <w:r>
        <w:rPr>
          <w:highlight w:val="none"/>
        </w:rPr>
      </w:r>
      <w:bookmarkStart w:id="83" w:name="_Toc513029214"/>
      <w:r>
        <w:rPr>
          <w:highlight w:val="none"/>
        </w:rPr>
      </w:r>
      <w:bookmarkStart w:id="84" w:name="_Toc20823286"/>
      <w:r>
        <w:rPr>
          <w:highlight w:val="none"/>
        </w:rPr>
      </w:r>
      <w:bookmarkStart w:id="85" w:name="_Toc462564073"/>
      <w:r>
        <w:rPr>
          <w:b w:val="0"/>
          <w:bCs w:val="0"/>
          <w:color w:val="000000"/>
          <w:highlight w:val="none"/>
        </w:rPr>
        <w:t xml:space="preserve">8</w:t>
      </w:r>
      <w:r>
        <w:rPr>
          <w:rFonts w:hint="eastAsia"/>
          <w:b w:val="0"/>
          <w:bCs w:val="0"/>
          <w:color w:val="000000"/>
          <w:highlight w:val="none"/>
        </w:rPr>
        <w:t xml:space="preserve">、投标文件的语言及度量衡单位</w:t>
      </w:r>
      <w:bookmarkEnd w:id="82"/>
      <w:r>
        <w:rPr>
          <w:highlight w:val="none"/>
        </w:rPr>
      </w:r>
      <w:bookmarkEnd w:id="83"/>
      <w:r>
        <w:rPr>
          <w:highlight w:val="none"/>
        </w:rPr>
      </w:r>
      <w:bookmarkEnd w:id="84"/>
      <w:r>
        <w:rPr>
          <w:highlight w:val="none"/>
        </w:rPr>
      </w:r>
      <w:bookmarkEnd w:id="85"/>
      <w:r>
        <w:rPr>
          <w:highlight w:val="none"/>
        </w:rPr>
      </w:r>
      <w:r/>
    </w:p>
    <w:p>
      <w:pPr>
        <w:pStyle w:val="958"/>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8</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投标人提交的投标文件以及投标人与采购中心就有关投标的所有来往通知、函件和文件均应使用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highlight w:val="none"/>
        </w:rPr>
      </w:r>
      <w:r/>
    </w:p>
    <w:p>
      <w:pPr>
        <w:pStyle w:val="958"/>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8</w:t>
      </w:r>
      <w:r>
        <w:rPr>
          <w:rFonts w:hint="eastAsia" w:ascii="宋体" w:hAnsi="宋体"/>
          <w:bCs/>
          <w:color w:val="000000"/>
          <w:sz w:val="24"/>
          <w:highlight w:val="none"/>
        </w:rPr>
        <w:t xml:space="preserve">.2</w:t>
      </w:r>
      <w:r>
        <w:rPr>
          <w:rFonts w:hint="eastAsia" w:ascii="宋体" w:hAnsi="宋体"/>
          <w:color w:val="000000"/>
          <w:sz w:val="24"/>
          <w:highlight w:val="none"/>
        </w:rPr>
        <w:t xml:space="preserve"> 除技术性能另有规定外，投标文件所使用的度量衡单位，均须采用国家法定计量单位。</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86" w:name="_Toc20823287"/>
      <w:r>
        <w:rPr>
          <w:highlight w:val="none"/>
        </w:rPr>
      </w:r>
      <w:bookmarkStart w:id="87" w:name="_Toc16938531"/>
      <w:r>
        <w:rPr>
          <w:highlight w:val="none"/>
        </w:rPr>
      </w:r>
      <w:bookmarkStart w:id="88" w:name="_Toc513029215"/>
      <w:r>
        <w:rPr>
          <w:highlight w:val="none"/>
        </w:rPr>
      </w:r>
      <w:bookmarkStart w:id="89" w:name="_Toc462564074"/>
      <w:r>
        <w:rPr>
          <w:b w:val="0"/>
          <w:bCs w:val="0"/>
          <w:color w:val="000000"/>
          <w:highlight w:val="none"/>
        </w:rPr>
        <w:t xml:space="preserve">9</w:t>
      </w:r>
      <w:r>
        <w:rPr>
          <w:rFonts w:hint="eastAsia"/>
          <w:b w:val="0"/>
          <w:bCs w:val="0"/>
          <w:color w:val="000000"/>
          <w:highlight w:val="none"/>
        </w:rPr>
        <w:t xml:space="preserve">、投标文件构成</w:t>
      </w:r>
      <w:bookmarkEnd w:id="86"/>
      <w:r>
        <w:rPr>
          <w:highlight w:val="none"/>
        </w:rPr>
      </w:r>
      <w:bookmarkEnd w:id="87"/>
      <w:r>
        <w:rPr>
          <w:highlight w:val="none"/>
        </w:rPr>
      </w:r>
      <w:bookmarkEnd w:id="88"/>
      <w:r>
        <w:rPr>
          <w:highlight w:val="none"/>
        </w:rPr>
      </w:r>
      <w:bookmarkEnd w:id="89"/>
      <w:r>
        <w:rPr>
          <w:highlight w:val="none"/>
        </w:rPr>
      </w:r>
      <w:r/>
    </w:p>
    <w:p>
      <w:pPr>
        <w:pStyle w:val="958"/>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9</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highlight w:val="none"/>
        </w:rPr>
        <w:t xml:space="preserve">、投标分项报价表、技术要求响应及偏离表、商务要求响应及偏离表、其他证明文件、投标函、开标一览表等部分。</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.2 如标书制作工具中格式和内容与“江苏政府采购网”发布的招标文件不一致，请以“江苏政府采购网”发布的招标文件为准。</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90" w:name="_Hlt26670360"/>
      <w:r>
        <w:rPr>
          <w:highlight w:val="none"/>
        </w:rPr>
      </w:r>
      <w:bookmarkEnd w:id="90"/>
      <w:r>
        <w:rPr>
          <w:highlight w:val="none"/>
        </w:rPr>
      </w:r>
      <w:bookmarkStart w:id="91" w:name="_Toc14577354"/>
      <w:r>
        <w:rPr>
          <w:highlight w:val="none"/>
        </w:rPr>
      </w:r>
      <w:bookmarkStart w:id="92" w:name="_Toc49090507"/>
      <w:r>
        <w:rPr>
          <w:highlight w:val="none"/>
        </w:rPr>
      </w:r>
      <w:bookmarkStart w:id="93" w:name="_Hlt26668975"/>
      <w:r>
        <w:rPr>
          <w:highlight w:val="none"/>
        </w:rPr>
      </w:r>
      <w:bookmarkEnd w:id="93"/>
      <w:r>
        <w:rPr>
          <w:highlight w:val="none"/>
        </w:rPr>
      </w:r>
      <w:bookmarkStart w:id="94" w:name="_Toc513029216"/>
      <w:r>
        <w:rPr>
          <w:highlight w:val="none"/>
        </w:rPr>
      </w:r>
      <w:bookmarkStart w:id="95" w:name="_Hlt26954838"/>
      <w:r>
        <w:rPr>
          <w:highlight w:val="none"/>
        </w:rPr>
      </w:r>
      <w:bookmarkEnd w:id="95"/>
      <w:r>
        <w:rPr>
          <w:highlight w:val="none"/>
        </w:rPr>
      </w:r>
      <w:bookmarkStart w:id="96" w:name="_Toc14577357"/>
      <w:r>
        <w:rPr>
          <w:highlight w:val="none"/>
        </w:rPr>
      </w:r>
      <w:bookmarkStart w:id="97" w:name="_Toc49090509"/>
      <w:r>
        <w:rPr>
          <w:highlight w:val="none"/>
        </w:rPr>
      </w:r>
      <w:bookmarkStart w:id="98" w:name="_Toc513029219"/>
      <w:r>
        <w:rPr>
          <w:rFonts w:hint="eastAsia"/>
          <w:b w:val="0"/>
          <w:bCs w:val="0"/>
          <w:color w:val="000000"/>
          <w:highlight w:val="none"/>
        </w:rPr>
        <w:t xml:space="preserve">1</w:t>
      </w:r>
      <w:r>
        <w:rPr>
          <w:b w:val="0"/>
          <w:bCs w:val="0"/>
          <w:color w:val="000000"/>
          <w:highlight w:val="none"/>
        </w:rPr>
        <w:t xml:space="preserve">0</w:t>
      </w:r>
      <w:r>
        <w:rPr>
          <w:rFonts w:hint="eastAsia"/>
          <w:b w:val="0"/>
          <w:bCs w:val="0"/>
          <w:color w:val="000000"/>
          <w:highlight w:val="none"/>
        </w:rPr>
        <w:t xml:space="preserve">、证明投标人及投标标的符合招标文件规定的文件</w:t>
      </w:r>
      <w:bookmarkEnd w:id="96"/>
      <w:r>
        <w:rPr>
          <w:highlight w:val="none"/>
        </w:rPr>
      </w:r>
      <w:bookmarkEnd w:id="97"/>
      <w:r>
        <w:rPr>
          <w:highlight w:val="none"/>
        </w:rPr>
      </w:r>
      <w:bookmarkEnd w:id="98"/>
      <w:r>
        <w:rPr>
          <w:highlight w:val="none"/>
        </w:rPr>
      </w:r>
      <w:r/>
    </w:p>
    <w:p>
      <w:pPr>
        <w:pStyle w:val="958"/>
        <w:spacing w:line="400" w:lineRule="exact"/>
        <w:rPr>
          <w:rFonts w:hint="eastAsia" w:ascii="宋体" w:hAnsi="宋体"/>
          <w:color w:val="000000"/>
          <w:sz w:val="24"/>
          <w:szCs w:val="24"/>
          <w:highlight w:val="none"/>
        </w:rPr>
      </w:pPr>
      <w:r>
        <w:rPr>
          <w:highlight w:val="none"/>
        </w:rPr>
      </w:r>
      <w:bookmarkEnd w:id="91"/>
      <w:r>
        <w:rPr>
          <w:highlight w:val="none"/>
        </w:rPr>
      </w:r>
      <w:bookmarkEnd w:id="92"/>
      <w:r>
        <w:rPr>
          <w:highlight w:val="none"/>
        </w:rPr>
      </w:r>
      <w:bookmarkEnd w:id="94"/>
      <w:r>
        <w:rPr>
          <w:highlight w:val="none"/>
        </w:rPr>
      </w:r>
      <w:bookmarkStart w:id="99" w:name="_Toc14577355"/>
      <w:r>
        <w:rPr>
          <w:highlight w:val="none"/>
        </w:rPr>
      </w:r>
      <w:bookmarkStart w:id="100" w:name="_Toc49090508"/>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投标人应按照法律、法规、规章和规范性文件以及招标文件要求提交证明文件，证明其及投标标的符合招标文件规定。</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rPr>
          <w:highlight w:val="none"/>
        </w:rPr>
      </w:r>
      <w:r/>
    </w:p>
    <w:p>
      <w:pPr>
        <w:pStyle w:val="962"/>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1</w:t>
      </w:r>
      <w:r>
        <w:rPr>
          <w:rFonts w:hint="eastAsia"/>
          <w:b w:val="0"/>
          <w:bCs w:val="0"/>
          <w:color w:val="000000"/>
          <w:highlight w:val="none"/>
        </w:rPr>
        <w:t xml:space="preserve">、投标分项报价</w:t>
      </w:r>
      <w:bookmarkEnd w:id="99"/>
      <w:r>
        <w:rPr>
          <w:highlight w:val="none"/>
        </w:rPr>
      </w:r>
      <w:bookmarkStart w:id="101" w:name="_Hlt26670373"/>
      <w:r>
        <w:rPr>
          <w:highlight w:val="none"/>
        </w:rPr>
      </w:r>
      <w:bookmarkEnd w:id="101"/>
      <w:r>
        <w:rPr>
          <w:rFonts w:hint="eastAsia"/>
          <w:b w:val="0"/>
          <w:bCs w:val="0"/>
          <w:color w:val="000000"/>
          <w:highlight w:val="none"/>
        </w:rPr>
        <w:t xml:space="preserve">表</w:t>
      </w:r>
      <w:bookmarkEnd w:id="100"/>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1</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w:t>
      </w:r>
      <w:bookmarkStart w:id="102" w:name="_Hlt26954840"/>
      <w:r>
        <w:rPr>
          <w:highlight w:val="none"/>
        </w:rPr>
      </w:r>
      <w:bookmarkEnd w:id="102"/>
      <w:r>
        <w:rPr>
          <w:rFonts w:hint="eastAsia" w:ascii="宋体" w:hAnsi="宋体"/>
          <w:color w:val="000000"/>
          <w:sz w:val="24"/>
          <w:highlight w:val="none"/>
        </w:rPr>
        <w:t xml:space="preserve">标人按照招标文件规定格式填报投标分项报价表</w:t>
      </w:r>
      <w:bookmarkStart w:id="103" w:name="_Hlt26670399"/>
      <w:r>
        <w:rPr>
          <w:highlight w:val="none"/>
        </w:rPr>
      </w:r>
      <w:bookmarkEnd w:id="103"/>
      <w:r>
        <w:rPr>
          <w:rFonts w:hint="eastAsia" w:ascii="宋体" w:hAnsi="宋体"/>
          <w:color w:val="000000"/>
          <w:sz w:val="24"/>
          <w:highlight w:val="none"/>
        </w:rPr>
        <w:t xml:space="preserve">。</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04" w:name="_Hlt26670482"/>
      <w:r>
        <w:rPr>
          <w:highlight w:val="none"/>
        </w:rPr>
      </w:r>
      <w:bookmarkEnd w:id="104"/>
      <w:r>
        <w:rPr>
          <w:highlight w:val="none"/>
        </w:rPr>
      </w:r>
      <w:bookmarkStart w:id="105" w:name="_Hlt26954844"/>
      <w:r>
        <w:rPr>
          <w:highlight w:val="none"/>
        </w:rPr>
      </w:r>
      <w:bookmarkEnd w:id="105"/>
      <w:r>
        <w:rPr>
          <w:highlight w:val="none"/>
        </w:rPr>
      </w:r>
      <w:bookmarkStart w:id="106" w:name="_Hlt26668983"/>
      <w:r>
        <w:rPr>
          <w:highlight w:val="none"/>
        </w:rPr>
      </w:r>
      <w:bookmarkEnd w:id="106"/>
      <w:r>
        <w:rPr>
          <w:highlight w:val="none"/>
        </w:rPr>
      </w:r>
      <w:bookmarkStart w:id="107" w:name="_Hlt26954842"/>
      <w:r>
        <w:rPr>
          <w:highlight w:val="none"/>
        </w:rPr>
      </w:r>
      <w:bookmarkEnd w:id="107"/>
      <w:r>
        <w:rPr>
          <w:highlight w:val="none"/>
        </w:rPr>
      </w:r>
      <w:bookmarkStart w:id="108" w:name="_Hlt26954731"/>
      <w:r>
        <w:rPr>
          <w:highlight w:val="none"/>
        </w:rPr>
      </w:r>
      <w:bookmarkEnd w:id="108"/>
      <w:r>
        <w:rPr>
          <w:highlight w:val="none"/>
        </w:rPr>
      </w:r>
      <w:bookmarkStart w:id="109" w:name="_Hlt26670486"/>
      <w:r>
        <w:rPr>
          <w:highlight w:val="none"/>
        </w:rPr>
      </w:r>
      <w:bookmarkEnd w:id="109"/>
      <w:r>
        <w:rPr>
          <w:highlight w:val="none"/>
        </w:rPr>
      </w:r>
      <w:bookmarkStart w:id="110" w:name="_Hlt26954848"/>
      <w:r>
        <w:rPr>
          <w:highlight w:val="none"/>
        </w:rPr>
      </w:r>
      <w:bookmarkEnd w:id="110"/>
      <w:r>
        <w:rPr>
          <w:highlight w:val="none"/>
        </w:rPr>
      </w:r>
      <w:bookmarkStart w:id="111" w:name="_Hlt26954846"/>
      <w:r>
        <w:rPr>
          <w:highlight w:val="none"/>
        </w:rPr>
      </w:r>
      <w:bookmarkEnd w:id="111"/>
      <w:r>
        <w:rPr>
          <w:highlight w:val="none"/>
        </w:rPr>
      </w:r>
      <w:bookmarkStart w:id="112" w:name="_Hlt26670425"/>
      <w:r>
        <w:rPr>
          <w:highlight w:val="none"/>
        </w:rPr>
      </w:r>
      <w:bookmarkEnd w:id="112"/>
      <w:r>
        <w:rPr>
          <w:highlight w:val="none"/>
        </w:rPr>
      </w:r>
      <w:bookmarkStart w:id="113" w:name="_Hlt26670403"/>
      <w:r>
        <w:rPr>
          <w:highlight w:val="none"/>
        </w:rPr>
      </w:r>
      <w:bookmarkEnd w:id="113"/>
      <w:r>
        <w:rPr>
          <w:rFonts w:hint="eastAsia"/>
          <w:b w:val="0"/>
          <w:bCs w:val="0"/>
          <w:color w:val="000000"/>
          <w:highlight w:val="none"/>
        </w:rPr>
        <w:t xml:space="preserve">1</w:t>
      </w:r>
      <w:r>
        <w:rPr>
          <w:b w:val="0"/>
          <w:bCs w:val="0"/>
          <w:color w:val="000000"/>
          <w:highlight w:val="none"/>
        </w:rPr>
        <w:t xml:space="preserve">2</w:t>
      </w:r>
      <w:r>
        <w:rPr>
          <w:rFonts w:hint="eastAsia"/>
          <w:b w:val="0"/>
          <w:bCs w:val="0"/>
          <w:color w:val="000000"/>
          <w:highlight w:val="none"/>
        </w:rPr>
        <w:t xml:space="preserve">、技术要求响应及偏离表、商务要求响应及偏离表</w:t>
      </w:r>
      <w:r>
        <w:rPr>
          <w:highlight w:val="none"/>
        </w:rPr>
      </w:r>
      <w:r/>
    </w:p>
    <w:p>
      <w:pPr>
        <w:pStyle w:val="958"/>
        <w:ind w:firstLine="480"/>
        <w:spacing w:line="400" w:lineRule="exact"/>
        <w:rPr>
          <w:rFonts w:hint="eastAsia" w:ascii="宋体" w:hAnsi="Arial" w:cs="宋体"/>
          <w:color w:val="000000"/>
          <w:sz w:val="24"/>
          <w:highlight w:val="none"/>
        </w:rPr>
      </w:pPr>
      <w:r>
        <w:rPr>
          <w:rFonts w:ascii="宋体" w:hAnsi="Arial" w:cs="宋体"/>
          <w:bCs/>
          <w:color w:val="000000"/>
          <w:sz w:val="24"/>
          <w:highlight w:val="none"/>
          <w:lang w:val="zh-CN"/>
        </w:rPr>
        <w:t xml:space="preserve">12.1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highlight w:val="none"/>
        </w:rPr>
      </w:r>
      <w:r/>
    </w:p>
    <w:p>
      <w:pPr>
        <w:pStyle w:val="958"/>
        <w:ind w:firstLine="480"/>
        <w:spacing w:line="400" w:lineRule="exact"/>
        <w:rPr>
          <w:rFonts w:hint="eastAsia" w:ascii="宋体" w:hAnsi="Arial" w:cs="宋体"/>
          <w:color w:val="000000"/>
          <w:sz w:val="24"/>
          <w:highlight w:val="none"/>
        </w:rPr>
      </w:pPr>
      <w:r>
        <w:rPr>
          <w:highlight w:val="none"/>
        </w:rPr>
      </w:r>
      <w:bookmarkStart w:id="114" w:name="_Toc14577359"/>
      <w:r>
        <w:rPr>
          <w:highlight w:val="none"/>
        </w:rPr>
      </w:r>
      <w:bookmarkStart w:id="115" w:name="_Toc49090510"/>
      <w:r>
        <w:rPr>
          <w:rFonts w:hint="eastAsia" w:ascii="宋体" w:hAnsi="Arial" w:cs="宋体"/>
          <w:color w:val="000000"/>
          <w:sz w:val="24"/>
          <w:highlight w:val="none"/>
          <w:lang w:val="zh-CN"/>
        </w:rPr>
        <w:t xml:space="preserve">1</w:t>
      </w:r>
      <w:r>
        <w:rPr>
          <w:rFonts w:ascii="宋体" w:hAnsi="Arial" w:cs="宋体"/>
          <w:color w:val="000000"/>
          <w:sz w:val="24"/>
          <w:highlight w:val="none"/>
          <w:lang w:val="zh-CN"/>
        </w:rPr>
        <w:t xml:space="preserve">2</w:t>
      </w:r>
      <w:r>
        <w:rPr>
          <w:rFonts w:hint="eastAsia" w:ascii="宋体" w:hAnsi="Arial" w:cs="宋体"/>
          <w:color w:val="000000"/>
          <w:sz w:val="24"/>
          <w:highlight w:val="none"/>
          <w:lang w:val="zh-CN"/>
        </w:rPr>
        <w:t xml:space="preserve">.2 投标人需按照招标文件要求，在投标文件中提供与技术要求和商务要求相关的证明材料。</w:t>
      </w:r>
      <w:r>
        <w:rPr>
          <w:highlight w:val="none"/>
        </w:rPr>
      </w:r>
      <w:r/>
    </w:p>
    <w:p>
      <w:pPr>
        <w:pStyle w:val="962"/>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3</w:t>
      </w:r>
      <w:r>
        <w:rPr>
          <w:rFonts w:hint="eastAsia"/>
          <w:b w:val="0"/>
          <w:bCs w:val="0"/>
          <w:color w:val="000000"/>
          <w:highlight w:val="none"/>
        </w:rPr>
        <w:t xml:space="preserve">、投标函和开标一览表</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3</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投标人应按照招标文件中提供的格式完整、正确填写投标函、开标一览表。</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3</w:t>
      </w:r>
      <w:r>
        <w:rPr>
          <w:rFonts w:hint="eastAsia" w:ascii="宋体" w:hAnsi="宋体"/>
          <w:bCs/>
          <w:color w:val="000000"/>
          <w:sz w:val="24"/>
          <w:highlight w:val="none"/>
        </w:rPr>
        <w:t xml:space="preserve">.2</w:t>
      </w:r>
      <w:r>
        <w:rPr>
          <w:rFonts w:hint="eastAsia" w:ascii="宋体" w:hAnsi="宋体"/>
          <w:color w:val="000000"/>
          <w:sz w:val="24"/>
          <w:highlight w:val="none"/>
        </w:rPr>
        <w:t xml:space="preserve"> 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End w:id="114"/>
      <w:r>
        <w:rPr>
          <w:highlight w:val="none"/>
        </w:rPr>
      </w:r>
      <w:bookmarkEnd w:id="115"/>
      <w:r>
        <w:rPr>
          <w:highlight w:val="none"/>
        </w:rPr>
      </w:r>
      <w:bookmarkStart w:id="116" w:name="_Toc49090511"/>
      <w:r>
        <w:rPr>
          <w:highlight w:val="none"/>
        </w:rPr>
      </w:r>
      <w:bookmarkStart w:id="117" w:name="_Toc14577360"/>
      <w:r>
        <w:rPr>
          <w:highlight w:val="none"/>
        </w:rPr>
      </w:r>
      <w:bookmarkStart w:id="118" w:name="_Hlt26954850"/>
      <w:r>
        <w:rPr>
          <w:highlight w:val="none"/>
        </w:rPr>
      </w:r>
      <w:bookmarkEnd w:id="118"/>
      <w:r>
        <w:rPr>
          <w:highlight w:val="none"/>
        </w:rPr>
      </w:r>
      <w:bookmarkStart w:id="119" w:name="_Hlt26954734"/>
      <w:r>
        <w:rPr>
          <w:highlight w:val="none"/>
        </w:rPr>
      </w:r>
      <w:bookmarkEnd w:id="119"/>
      <w:r>
        <w:rPr>
          <w:highlight w:val="none"/>
        </w:rPr>
      </w:r>
      <w:bookmarkStart w:id="120" w:name="_Hlt26670489"/>
      <w:r>
        <w:rPr>
          <w:highlight w:val="none"/>
        </w:rPr>
      </w:r>
      <w:bookmarkEnd w:id="120"/>
      <w:r>
        <w:rPr>
          <w:rFonts w:hint="eastAsia"/>
          <w:b w:val="0"/>
          <w:bCs w:val="0"/>
          <w:color w:val="000000"/>
          <w:highlight w:val="none"/>
        </w:rPr>
        <w:t xml:space="preserve">1</w:t>
      </w:r>
      <w:r>
        <w:rPr>
          <w:b w:val="0"/>
          <w:bCs w:val="0"/>
          <w:color w:val="000000"/>
          <w:highlight w:val="none"/>
        </w:rPr>
        <w:t xml:space="preserve">4</w:t>
      </w:r>
      <w:r>
        <w:rPr>
          <w:rFonts w:hint="eastAsia"/>
          <w:b w:val="0"/>
          <w:bCs w:val="0"/>
          <w:color w:val="000000"/>
          <w:highlight w:val="none"/>
        </w:rPr>
        <w:t xml:space="preserve">、投标有效期</w:t>
      </w:r>
      <w:bookmarkEnd w:id="116"/>
      <w:r>
        <w:rPr>
          <w:highlight w:val="none"/>
        </w:rPr>
      </w:r>
      <w:bookmarkEnd w:id="117"/>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.1</w:t>
      </w:r>
      <w:r>
        <w:rPr>
          <w:rFonts w:hint="eastAsia" w:ascii="宋体" w:hAnsi="宋体"/>
          <w:bCs/>
          <w:color w:val="000000"/>
          <w:sz w:val="24"/>
          <w:highlight w:val="none"/>
        </w:rPr>
        <w:t xml:space="preserve"> 投标有效期为采购中心规定的开标之日后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highlight w:val="none"/>
        </w:rPr>
      </w:r>
      <w:r/>
    </w:p>
    <w:p>
      <w:pPr>
        <w:pStyle w:val="962"/>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5</w:t>
      </w:r>
      <w:r>
        <w:rPr>
          <w:rFonts w:hint="eastAsia"/>
          <w:b w:val="0"/>
          <w:bCs w:val="0"/>
          <w:color w:val="000000"/>
          <w:highlight w:val="none"/>
        </w:rPr>
        <w:t xml:space="preserve">、投标有效期的延长</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5</w:t>
      </w:r>
      <w:r>
        <w:rPr>
          <w:rFonts w:hint="eastAsia" w:ascii="宋体" w:hAnsi="宋体"/>
          <w:color w:val="000000"/>
          <w:sz w:val="24"/>
          <w:highlight w:val="none"/>
        </w:rPr>
        <w:t xml:space="preserve">.1</w:t>
      </w:r>
      <w:r>
        <w:rPr>
          <w:rFonts w:hint="eastAsia" w:ascii="宋体" w:hAnsi="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highlight w:val="none"/>
        </w:rPr>
      </w:r>
      <w:r/>
    </w:p>
    <w:p>
      <w:pPr>
        <w:pStyle w:val="961"/>
        <w:ind w:firstLine="482"/>
        <w:spacing w:before="145" w:after="145" w:line="400" w:lineRule="exact"/>
        <w:rPr>
          <w:rFonts w:hint="eastAsia"/>
          <w:color w:val="000000"/>
          <w:highlight w:val="none"/>
        </w:rPr>
      </w:pPr>
      <w:r>
        <w:rPr>
          <w:highlight w:val="none"/>
        </w:rPr>
      </w:r>
      <w:bookmarkStart w:id="121" w:name="_Hlt26954739"/>
      <w:r>
        <w:rPr>
          <w:highlight w:val="none"/>
        </w:rPr>
      </w:r>
      <w:bookmarkEnd w:id="121"/>
      <w:r>
        <w:rPr>
          <w:highlight w:val="none"/>
        </w:rPr>
      </w:r>
      <w:bookmarkStart w:id="122" w:name="_Hlt26954852"/>
      <w:r>
        <w:rPr>
          <w:highlight w:val="none"/>
        </w:rPr>
      </w:r>
      <w:bookmarkEnd w:id="122"/>
      <w:r>
        <w:rPr>
          <w:highlight w:val="none"/>
        </w:rPr>
      </w:r>
      <w:bookmarkStart w:id="123" w:name="_Toc16938540"/>
      <w:r>
        <w:rPr>
          <w:highlight w:val="none"/>
        </w:rPr>
      </w:r>
      <w:bookmarkStart w:id="124" w:name="_Toc20823296"/>
      <w:r>
        <w:rPr>
          <w:highlight w:val="none"/>
        </w:rPr>
      </w:r>
      <w:bookmarkStart w:id="125" w:name="_Toc513029224"/>
      <w:r>
        <w:rPr>
          <w:highlight w:val="none"/>
        </w:rPr>
      </w:r>
      <w:bookmarkStart w:id="126" w:name="_Toc120614217"/>
      <w:r>
        <w:rPr>
          <w:rFonts w:hint="eastAsia"/>
          <w:color w:val="000000"/>
          <w:highlight w:val="none"/>
        </w:rPr>
        <w:t xml:space="preserve">四、投标文件的递交</w:t>
      </w:r>
      <w:bookmarkEnd w:id="123"/>
      <w:r>
        <w:rPr>
          <w:highlight w:val="none"/>
        </w:rPr>
      </w:r>
      <w:bookmarkEnd w:id="124"/>
      <w:r>
        <w:rPr>
          <w:highlight w:val="none"/>
        </w:rPr>
      </w:r>
      <w:bookmarkEnd w:id="125"/>
      <w:r>
        <w:rPr>
          <w:highlight w:val="none"/>
        </w:rPr>
      </w:r>
      <w:bookmarkEnd w:id="126"/>
      <w:r>
        <w:rPr>
          <w:highlight w:val="none"/>
        </w:rPr>
      </w:r>
      <w:r/>
    </w:p>
    <w:p>
      <w:pPr>
        <w:pStyle w:val="962"/>
        <w:ind w:firstLine="560"/>
        <w:spacing w:before="0" w:after="0" w:line="400" w:lineRule="exact"/>
        <w:rPr>
          <w:rFonts w:hint="eastAsia" w:ascii="黑体"/>
          <w:b w:val="0"/>
          <w:bCs w:val="0"/>
          <w:color w:val="000000"/>
          <w:highlight w:val="none"/>
        </w:rPr>
      </w:pPr>
      <w:r>
        <w:rPr>
          <w:highlight w:val="none"/>
        </w:rPr>
      </w:r>
      <w:bookmarkStart w:id="127" w:name="_Toc462564084"/>
      <w:r>
        <w:rPr>
          <w:highlight w:val="none"/>
        </w:rPr>
      </w:r>
      <w:bookmarkStart w:id="128" w:name="_Toc20823297"/>
      <w:r>
        <w:rPr>
          <w:highlight w:val="none"/>
        </w:rPr>
      </w:r>
      <w:bookmarkStart w:id="129" w:name="_Toc16938541"/>
      <w:r>
        <w:rPr>
          <w:highlight w:val="none"/>
        </w:rPr>
      </w:r>
      <w:bookmarkStart w:id="130" w:name="_Toc513029225"/>
      <w:r>
        <w:rPr>
          <w:rFonts w:hint="eastAsia"/>
          <w:b w:val="0"/>
          <w:bCs w:val="0"/>
          <w:color w:val="000000"/>
          <w:highlight w:val="none"/>
        </w:rPr>
        <w:t xml:space="preserve">1</w:t>
      </w:r>
      <w:r>
        <w:rPr>
          <w:b w:val="0"/>
          <w:bCs w:val="0"/>
          <w:color w:val="000000"/>
          <w:highlight w:val="none"/>
        </w:rPr>
        <w:t xml:space="preserve">6</w:t>
      </w:r>
      <w:r>
        <w:rPr>
          <w:rFonts w:hint="eastAsia"/>
          <w:b w:val="0"/>
          <w:bCs w:val="0"/>
          <w:color w:val="000000"/>
          <w:highlight w:val="none"/>
        </w:rPr>
        <w:t xml:space="preserve">、</w:t>
      </w:r>
      <w:r>
        <w:rPr>
          <w:rFonts w:hint="eastAsia" w:ascii="黑体"/>
          <w:b w:val="0"/>
          <w:bCs w:val="0"/>
          <w:color w:val="000000"/>
          <w:highlight w:val="none"/>
        </w:rPr>
        <w:t xml:space="preserve">投标文件</w:t>
      </w:r>
      <w:bookmarkEnd w:id="127"/>
      <w:r>
        <w:rPr>
          <w:highlight w:val="none"/>
        </w:rPr>
      </w:r>
      <w:bookmarkEnd w:id="128"/>
      <w:r>
        <w:rPr>
          <w:highlight w:val="none"/>
        </w:rPr>
      </w:r>
      <w:bookmarkEnd w:id="129"/>
      <w:r>
        <w:rPr>
          <w:highlight w:val="none"/>
        </w:rPr>
      </w:r>
      <w:bookmarkEnd w:id="130"/>
      <w:r>
        <w:rPr>
          <w:rFonts w:hint="eastAsia" w:ascii="黑体"/>
          <w:b w:val="0"/>
          <w:bCs w:val="0"/>
          <w:color w:val="000000"/>
          <w:highlight w:val="none"/>
        </w:rPr>
        <w:t xml:space="preserve">的递交</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6</w:t>
      </w:r>
      <w:r>
        <w:rPr>
          <w:rFonts w:hint="eastAsia" w:ascii="宋体" w:hAnsi="宋体"/>
          <w:color w:val="000000"/>
          <w:sz w:val="24"/>
          <w:highlight w:val="none"/>
        </w:rPr>
        <w:t xml:space="preserve">.1</w:t>
      </w:r>
      <w:r>
        <w:rPr>
          <w:rFonts w:hint="eastAsia" w:ascii="宋体" w:hAnsi="宋体"/>
          <w:bCs/>
          <w:color w:val="000000"/>
          <w:sz w:val="24"/>
          <w:highlight w:val="none"/>
        </w:rPr>
        <w:t xml:space="preserve"> 电子投标文件的递交</w:t>
      </w:r>
      <w:r>
        <w:rPr>
          <w:highlight w:val="none"/>
        </w:rPr>
      </w:r>
      <w:r/>
    </w:p>
    <w:p>
      <w:pPr>
        <w:pStyle w:val="1046"/>
        <w:ind w:left="525"/>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16938542"/>
      <w:r>
        <w:rPr>
          <w:highlight w:val="none"/>
        </w:rPr>
      </w:r>
      <w:bookmarkStart w:id="132" w:name="_Toc513029226"/>
      <w:r>
        <w:rPr>
          <w:highlight w:val="none"/>
        </w:rPr>
      </w:r>
      <w:bookmarkStart w:id="133" w:name="_Toc20823298"/>
      <w:r>
        <w:rPr>
          <w:highlight w:val="none"/>
        </w:rPr>
      </w:r>
      <w:r/>
    </w:p>
    <w:p>
      <w:pPr>
        <w:pStyle w:val="962"/>
        <w:ind w:firstLine="420"/>
        <w:spacing w:line="400" w:lineRule="exact"/>
        <w:rPr>
          <w:rFonts w:hint="eastAsia"/>
          <w:b w:val="0"/>
          <w:color w:val="000000"/>
          <w:highlight w:val="none"/>
        </w:rPr>
      </w:pPr>
      <w:r>
        <w:rPr>
          <w:rFonts w:hint="eastAsia"/>
          <w:b w:val="0"/>
          <w:color w:val="000000"/>
          <w:highlight w:val="none"/>
        </w:rPr>
        <w:t xml:space="preserve">1</w:t>
      </w:r>
      <w:r>
        <w:rPr>
          <w:b w:val="0"/>
          <w:color w:val="000000"/>
          <w:highlight w:val="none"/>
        </w:rPr>
        <w:t xml:space="preserve">7</w:t>
      </w:r>
      <w:r>
        <w:rPr>
          <w:rFonts w:hint="eastAsia"/>
          <w:b w:val="0"/>
          <w:color w:val="000000"/>
          <w:highlight w:val="none"/>
        </w:rPr>
        <w:t xml:space="preserve">、投标截止</w:t>
      </w:r>
      <w:bookmarkEnd w:id="131"/>
      <w:r>
        <w:rPr>
          <w:highlight w:val="none"/>
        </w:rPr>
      </w:r>
      <w:bookmarkEnd w:id="132"/>
      <w:r>
        <w:rPr>
          <w:highlight w:val="none"/>
        </w:rPr>
      </w:r>
      <w:bookmarkEnd w:id="133"/>
      <w:r>
        <w:rPr>
          <w:rFonts w:hint="eastAsia"/>
          <w:b w:val="0"/>
          <w:color w:val="000000"/>
          <w:highlight w:val="none"/>
        </w:rPr>
        <w:t xml:space="preserve">时间</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 投标人上传电子投标文件的时间不得迟于招标公告中规定的投标截止时间。</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投标人应充分考虑到网络环境、网络带宽等风险因素，如因投标人自身原因造成的电子投标文件上传不成功的按照本招标文件第二章第25.1.2条规定做无效投标处理。</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17.2</w:t>
      </w:r>
      <w:r>
        <w:rPr>
          <w:rFonts w:hint="eastAsia" w:ascii="宋体" w:hAnsi="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34" w:name="_Toc513029227"/>
      <w:r>
        <w:rPr>
          <w:highlight w:val="none"/>
        </w:rPr>
      </w:r>
      <w:bookmarkStart w:id="135" w:name="_Toc20823299"/>
      <w:r>
        <w:rPr>
          <w:highlight w:val="none"/>
        </w:rPr>
      </w:r>
      <w:bookmarkStart w:id="136" w:name="_Toc16938543"/>
      <w:r>
        <w:rPr>
          <w:rFonts w:hint="eastAsia"/>
          <w:b w:val="0"/>
          <w:bCs w:val="0"/>
          <w:color w:val="000000"/>
          <w:highlight w:val="none"/>
        </w:rPr>
        <w:t xml:space="preserve">1</w:t>
      </w:r>
      <w:r>
        <w:rPr>
          <w:b w:val="0"/>
          <w:bCs w:val="0"/>
          <w:color w:val="000000"/>
          <w:highlight w:val="none"/>
        </w:rPr>
        <w:t xml:space="preserve">8</w:t>
      </w:r>
      <w:r>
        <w:rPr>
          <w:rFonts w:hint="eastAsia"/>
          <w:b w:val="0"/>
          <w:bCs w:val="0"/>
          <w:color w:val="000000"/>
          <w:highlight w:val="none"/>
        </w:rPr>
        <w:t xml:space="preserve">、投标文件</w:t>
      </w:r>
      <w:bookmarkEnd w:id="134"/>
      <w:r>
        <w:rPr>
          <w:highlight w:val="none"/>
        </w:rPr>
      </w:r>
      <w:bookmarkEnd w:id="135"/>
      <w:r>
        <w:rPr>
          <w:highlight w:val="none"/>
        </w:rPr>
      </w:r>
      <w:bookmarkEnd w:id="136"/>
      <w:r>
        <w:rPr>
          <w:rFonts w:hint="eastAsia"/>
          <w:b w:val="0"/>
          <w:bCs w:val="0"/>
          <w:color w:val="000000"/>
          <w:highlight w:val="none"/>
        </w:rPr>
        <w:t xml:space="preserve">的拒收</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hint="eastAsia" w:ascii="宋体" w:hAnsi="宋体"/>
          <w:color w:val="000000"/>
          <w:sz w:val="24"/>
          <w:highlight w:val="none"/>
        </w:rPr>
        <w:t xml:space="preserve">.1</w:t>
      </w:r>
      <w:r>
        <w:rPr>
          <w:rFonts w:hint="eastAsia" w:ascii="宋体" w:hAnsi="宋体"/>
          <w:bCs/>
          <w:color w:val="000000"/>
          <w:sz w:val="24"/>
          <w:highlight w:val="none"/>
        </w:rPr>
        <w:t xml:space="preserve">采购中心拒绝接收在其规定的投标截止时间后上传的任何投标文件。</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37" w:name="_Toc513029228"/>
      <w:r>
        <w:rPr>
          <w:highlight w:val="none"/>
        </w:rPr>
      </w:r>
      <w:bookmarkStart w:id="138" w:name="_Toc16938544"/>
      <w:r>
        <w:rPr>
          <w:highlight w:val="none"/>
        </w:rPr>
      </w:r>
      <w:bookmarkStart w:id="139" w:name="_Toc20823300"/>
      <w:r>
        <w:rPr>
          <w:b w:val="0"/>
          <w:bCs w:val="0"/>
          <w:color w:val="000000"/>
          <w:highlight w:val="none"/>
        </w:rPr>
        <w:t xml:space="preserve">19</w:t>
      </w:r>
      <w:r>
        <w:rPr>
          <w:rFonts w:hint="eastAsia"/>
          <w:b w:val="0"/>
          <w:bCs w:val="0"/>
          <w:color w:val="000000"/>
          <w:highlight w:val="none"/>
        </w:rPr>
        <w:t xml:space="preserve">、投标文件的撤回和修改</w:t>
      </w:r>
      <w:bookmarkEnd w:id="137"/>
      <w:r>
        <w:rPr>
          <w:highlight w:val="none"/>
        </w:rPr>
      </w:r>
      <w:bookmarkEnd w:id="138"/>
      <w:r>
        <w:rPr>
          <w:highlight w:val="none"/>
        </w:rPr>
      </w:r>
      <w:bookmarkEnd w:id="139"/>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19.1 投标文件的撤回</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.1.1 电子投标文件的撤回</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highlight w:val="none"/>
        </w:rPr>
      </w:r>
      <w:r/>
    </w:p>
    <w:p>
      <w:pPr>
        <w:pStyle w:val="95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19.2 投标文件的修改</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19.2.1投标人可在投标截止时间前，对其电子投标文件进行修改，具体操作方法见《操作手册》。</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19.2.2</w:t>
      </w:r>
      <w:r>
        <w:rPr>
          <w:rFonts w:hint="eastAsia" w:ascii="宋体" w:hAnsi="宋体"/>
          <w:bCs/>
          <w:color w:val="000000"/>
          <w:sz w:val="24"/>
          <w:highlight w:val="none"/>
        </w:rPr>
        <w:t xml:space="preserve"> 在投标截止时间之后，投标人不得对其电子投标文件作任何修改。</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19.3</w:t>
      </w:r>
      <w:r>
        <w:rPr>
          <w:rFonts w:hint="eastAsia" w:ascii="宋体" w:hAnsi="宋体"/>
          <w:bCs/>
          <w:color w:val="000000"/>
          <w:sz w:val="24"/>
          <w:highlight w:val="none"/>
        </w:rPr>
        <w:t xml:space="preserve"> 在投标截止时间至招标文件中规定的投标有效期满之间的这段时间内，投标人不得撤回其投标。</w:t>
      </w:r>
      <w:r>
        <w:rPr>
          <w:highlight w:val="none"/>
        </w:rPr>
      </w:r>
      <w:r/>
    </w:p>
    <w:p>
      <w:pPr>
        <w:pStyle w:val="961"/>
        <w:ind w:firstLine="482"/>
        <w:spacing w:before="145" w:after="145" w:line="400" w:lineRule="exact"/>
        <w:rPr>
          <w:rFonts w:hint="eastAsia"/>
          <w:color w:val="000000"/>
          <w:highlight w:val="none"/>
        </w:rPr>
      </w:pPr>
      <w:r>
        <w:rPr>
          <w:highlight w:val="none"/>
        </w:rPr>
      </w:r>
      <w:bookmarkStart w:id="140" w:name="_Toc513029229"/>
      <w:r>
        <w:rPr>
          <w:highlight w:val="none"/>
        </w:rPr>
      </w:r>
      <w:bookmarkStart w:id="141" w:name="_Toc120614218"/>
      <w:r>
        <w:rPr>
          <w:highlight w:val="none"/>
        </w:rPr>
      </w:r>
      <w:bookmarkStart w:id="142" w:name="_Toc16938545"/>
      <w:r>
        <w:rPr>
          <w:highlight w:val="none"/>
        </w:rPr>
      </w:r>
      <w:bookmarkStart w:id="143" w:name="_Toc20823301"/>
      <w:r>
        <w:rPr>
          <w:rFonts w:hint="eastAsia"/>
          <w:color w:val="000000"/>
          <w:highlight w:val="none"/>
        </w:rPr>
        <w:t xml:space="preserve">五、开标与评标</w:t>
      </w:r>
      <w:bookmarkEnd w:id="140"/>
      <w:r>
        <w:rPr>
          <w:highlight w:val="none"/>
        </w:rPr>
      </w:r>
      <w:bookmarkEnd w:id="141"/>
      <w:r>
        <w:rPr>
          <w:highlight w:val="none"/>
        </w:rPr>
      </w:r>
      <w:bookmarkEnd w:id="142"/>
      <w:r>
        <w:rPr>
          <w:highlight w:val="none"/>
        </w:rPr>
      </w:r>
      <w:bookmarkEnd w:id="143"/>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44" w:name="_Toc513029230"/>
      <w:r>
        <w:rPr>
          <w:highlight w:val="none"/>
        </w:rPr>
      </w:r>
      <w:bookmarkStart w:id="145" w:name="_Toc20823302"/>
      <w:r>
        <w:rPr>
          <w:highlight w:val="none"/>
        </w:rPr>
      </w:r>
      <w:bookmarkStart w:id="146" w:name="_Toc16938546"/>
      <w:r>
        <w:rPr>
          <w:rFonts w:hint="eastAsia"/>
          <w:b w:val="0"/>
          <w:bCs w:val="0"/>
          <w:color w:val="000000"/>
          <w:highlight w:val="none"/>
        </w:rPr>
        <w:t xml:space="preserve">2</w:t>
      </w:r>
      <w:r>
        <w:rPr>
          <w:b w:val="0"/>
          <w:bCs w:val="0"/>
          <w:color w:val="000000"/>
          <w:highlight w:val="none"/>
        </w:rPr>
        <w:t xml:space="preserve">0</w:t>
      </w:r>
      <w:r>
        <w:rPr>
          <w:rFonts w:hint="eastAsia"/>
          <w:b w:val="0"/>
          <w:bCs w:val="0"/>
          <w:color w:val="000000"/>
          <w:highlight w:val="none"/>
        </w:rPr>
        <w:t xml:space="preserve">、开标</w:t>
      </w:r>
      <w:bookmarkEnd w:id="144"/>
      <w:r>
        <w:rPr>
          <w:highlight w:val="none"/>
        </w:rPr>
      </w:r>
      <w:bookmarkEnd w:id="145"/>
      <w:r>
        <w:rPr>
          <w:highlight w:val="none"/>
        </w:rPr>
      </w:r>
      <w:bookmarkEnd w:id="146"/>
      <w:r>
        <w:rPr>
          <w:highlight w:val="none"/>
        </w:rPr>
      </w:r>
      <w:r/>
    </w:p>
    <w:p>
      <w:pPr>
        <w:pStyle w:val="958"/>
        <w:ind w:firstLine="480"/>
        <w:spacing w:line="400" w:lineRule="exact"/>
        <w:rPr>
          <w:rFonts w:hint="eastAsia"/>
          <w:color w:val="000000"/>
          <w:highlight w:val="none"/>
        </w:rPr>
      </w:pPr>
      <w:r>
        <w:rPr>
          <w:rFonts w:hint="eastAsia" w:ascii="宋体" w:hAnsi="宋体"/>
          <w:color w:val="000000"/>
          <w:sz w:val="24"/>
          <w:highlight w:val="none"/>
        </w:rPr>
        <w:t xml:space="preserve">20.1</w:t>
      </w:r>
      <w:r>
        <w:rPr>
          <w:rFonts w:hint="eastAsia" w:ascii="宋体" w:hAnsi="宋体"/>
          <w:bCs/>
          <w:color w:val="000000"/>
          <w:sz w:val="24"/>
          <w:highlight w:val="none"/>
        </w:rPr>
        <w:t xml:space="preserve"> 采购中心将在招标公告中规定的时间和地点组织公开开标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20.2</w:t>
      </w:r>
      <w:r>
        <w:rPr>
          <w:rFonts w:hint="eastAsia" w:ascii="宋体" w:hAnsi="宋体"/>
          <w:color w:val="000000"/>
          <w:sz w:val="24"/>
          <w:szCs w:val="24"/>
          <w:highlight w:val="none"/>
        </w:rPr>
        <w:t xml:space="preserve">开标仪式由采购中心组织。苏采云系统将自动对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bCs/>
          <w:color w:val="000000"/>
          <w:sz w:val="24"/>
          <w:highlight w:val="none"/>
        </w:rPr>
        <w:t xml:space="preserve">20.3投标人在开标过程中涉及到的投标文件解密、开标结果确认等工作，应按照《操作手册》规定执行。</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20.4投标人如果对开标过程和开标记录有疑义，应当根据《操作手册》规定提出，如苏采云系统中《开标记录表》宣布后5分钟内未提出的，视同认可开标结果。</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47" w:name="_Toc513029231"/>
      <w:r>
        <w:rPr>
          <w:highlight w:val="none"/>
        </w:rPr>
      </w:r>
      <w:bookmarkStart w:id="148" w:name="_Toc16938547"/>
      <w:r>
        <w:rPr>
          <w:highlight w:val="none"/>
        </w:rPr>
      </w:r>
      <w:bookmarkStart w:id="149" w:name="_Toc20823303"/>
      <w:r>
        <w:rPr>
          <w:rFonts w:hint="eastAsia"/>
          <w:b w:val="0"/>
          <w:bCs w:val="0"/>
          <w:color w:val="000000"/>
          <w:highlight w:val="none"/>
        </w:rPr>
        <w:t xml:space="preserve">2</w:t>
      </w:r>
      <w:r>
        <w:rPr>
          <w:b w:val="0"/>
          <w:bCs w:val="0"/>
          <w:color w:val="000000"/>
          <w:highlight w:val="none"/>
        </w:rPr>
        <w:t xml:space="preserve">1</w:t>
      </w:r>
      <w:r>
        <w:rPr>
          <w:rFonts w:hint="eastAsia"/>
          <w:b w:val="0"/>
          <w:bCs w:val="0"/>
          <w:color w:val="000000"/>
          <w:highlight w:val="none"/>
        </w:rPr>
        <w:t xml:space="preserve">、评标委员会</w:t>
      </w:r>
      <w:r>
        <w:rPr>
          <w:highlight w:val="none"/>
        </w:rPr>
      </w:r>
      <w:r/>
    </w:p>
    <w:p>
      <w:pPr>
        <w:pStyle w:val="958"/>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开标后，采购中心将立即组织评标委员会进行评标。</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 </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由采购人代表和有关技术、经济等方面的专家组成，且人员构成符合政府采购有关规定。</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独立工作，负责评审所有投标文件并确定中标侯选人。</w:t>
      </w:r>
      <w:r>
        <w:rPr>
          <w:highlight w:val="none"/>
        </w:rPr>
      </w:r>
      <w:r/>
    </w:p>
    <w:p>
      <w:pPr>
        <w:pStyle w:val="962"/>
        <w:ind w:firstLine="420"/>
        <w:spacing w:before="0" w:after="0" w:line="400" w:lineRule="exact"/>
        <w:rPr>
          <w:rFonts w:hint="eastAsia" w:ascii="黑体"/>
          <w:b w:val="0"/>
          <w:bCs w:val="0"/>
          <w:color w:val="000000"/>
          <w:highlight w:val="none"/>
        </w:rPr>
      </w:pPr>
      <w:r>
        <w:rPr>
          <w:rFonts w:hint="eastAsia" w:ascii="黑体"/>
          <w:b w:val="0"/>
          <w:bCs w:val="0"/>
          <w:color w:val="000000"/>
          <w:highlight w:val="none"/>
        </w:rPr>
        <w:t xml:space="preserve">2</w:t>
      </w:r>
      <w:r>
        <w:rPr>
          <w:rFonts w:ascii="黑体"/>
          <w:b w:val="0"/>
          <w:bCs w:val="0"/>
          <w:color w:val="000000"/>
          <w:highlight w:val="none"/>
        </w:rPr>
        <w:t xml:space="preserve">2</w:t>
      </w:r>
      <w:r>
        <w:rPr>
          <w:rFonts w:hint="eastAsia" w:ascii="黑体"/>
          <w:b w:val="0"/>
          <w:bCs w:val="0"/>
          <w:color w:val="000000"/>
          <w:highlight w:val="none"/>
        </w:rPr>
        <w:t xml:space="preserve">、评标过程的保密与公正</w:t>
      </w:r>
      <w:r>
        <w:rPr>
          <w:highlight w:val="none"/>
        </w:rPr>
      </w:r>
      <w:r/>
    </w:p>
    <w:p>
      <w:pPr>
        <w:pStyle w:val="958"/>
        <w:ind w:firstLine="480"/>
        <w:spacing w:line="400" w:lineRule="exact"/>
        <w:rPr>
          <w:rFonts w:hint="eastAsia" w:ascii="宋体" w:hAnsi="宋体"/>
          <w:bCs/>
          <w:color w:val="000000"/>
          <w:sz w:val="24"/>
          <w:highlight w:val="none"/>
        </w:rPr>
      </w:pPr>
      <w:r>
        <w:rPr>
          <w:highlight w:val="none"/>
        </w:rPr>
      </w:r>
      <w:bookmarkEnd w:id="147"/>
      <w:r>
        <w:rPr>
          <w:highlight w:val="none"/>
        </w:rPr>
      </w:r>
      <w:bookmarkEnd w:id="148"/>
      <w:r>
        <w:rPr>
          <w:highlight w:val="none"/>
        </w:rPr>
      </w:r>
      <w:bookmarkEnd w:id="149"/>
      <w:r>
        <w:rPr>
          <w:rFonts w:hint="eastAsia" w:ascii="宋体" w:hAnsi="宋体"/>
          <w:color w:val="000000"/>
          <w:sz w:val="24"/>
          <w:highlight w:val="none"/>
        </w:rPr>
        <w:t xml:space="preserve">22.1</w:t>
      </w:r>
      <w:r>
        <w:rPr>
          <w:rFonts w:hint="eastAsia" w:ascii="宋体" w:hAnsi="宋体"/>
          <w:bCs/>
          <w:color w:val="000000"/>
          <w:sz w:val="24"/>
          <w:highlight w:val="none"/>
        </w:rPr>
        <w:t xml:space="preserve">凡是与审查、澄清、评价和比较投标的有关资料以及授标建议等，采购人、评委、采购中心均不得向投标人或与评标无关的其他人员透露。</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highlight w:val="none"/>
        </w:rPr>
        <w:t xml:space="preserve">22.2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22.4 采用综合评分法的项目，未中标的投标人可于中标结果公告期限届满之日起通过苏采云系统查看自己的评审得分及排序情况。</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50" w:name="_Toc16938548"/>
      <w:r>
        <w:rPr>
          <w:highlight w:val="none"/>
        </w:rPr>
      </w:r>
      <w:bookmarkStart w:id="151" w:name="_Toc513029232"/>
      <w:r>
        <w:rPr>
          <w:highlight w:val="none"/>
        </w:rPr>
      </w:r>
      <w:bookmarkStart w:id="152" w:name="_Toc20823304"/>
      <w:r>
        <w:rPr>
          <w:rFonts w:hint="eastAsia"/>
          <w:b w:val="0"/>
          <w:bCs w:val="0"/>
          <w:color w:val="000000"/>
          <w:highlight w:val="none"/>
        </w:rPr>
        <w:t xml:space="preserve">2</w:t>
      </w:r>
      <w:r>
        <w:rPr>
          <w:b w:val="0"/>
          <w:bCs w:val="0"/>
          <w:color w:val="000000"/>
          <w:highlight w:val="none"/>
        </w:rPr>
        <w:t xml:space="preserve">3</w:t>
      </w:r>
      <w:r>
        <w:rPr>
          <w:rFonts w:hint="eastAsia"/>
          <w:b w:val="0"/>
          <w:bCs w:val="0"/>
          <w:color w:val="000000"/>
          <w:highlight w:val="none"/>
        </w:rPr>
        <w:t xml:space="preserve">、投标文件的澄清</w:t>
      </w:r>
      <w:bookmarkEnd w:id="150"/>
      <w:r>
        <w:rPr>
          <w:highlight w:val="none"/>
        </w:rPr>
      </w:r>
      <w:bookmarkEnd w:id="151"/>
      <w:r>
        <w:rPr>
          <w:highlight w:val="none"/>
        </w:rPr>
      </w:r>
      <w:bookmarkEnd w:id="152"/>
      <w:r>
        <w:rPr>
          <w:highlight w:val="none"/>
        </w:rPr>
      </w:r>
      <w:r/>
    </w:p>
    <w:p>
      <w:pPr>
        <w:pStyle w:val="958"/>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23.1</w:t>
      </w:r>
      <w:r>
        <w:rPr>
          <w:rFonts w:hint="eastAsia" w:ascii="宋体" w:hAnsi="宋体"/>
          <w:color w:val="000000"/>
          <w:sz w:val="24"/>
          <w:szCs w:val="24"/>
          <w:highlight w:val="none"/>
        </w:rPr>
        <w:t xml:space="preserve">评标期间，</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23.2需要供应商进行澄清、说明和补正的，</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23.3 接到</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澄清、说明和补正要求的投标人如未按规定做出澄清、说明和补正，其风险由投标人自行承担。</w:t>
      </w:r>
      <w:r>
        <w:rPr>
          <w:highlight w:val="none"/>
        </w:rPr>
      </w:r>
      <w:r/>
    </w:p>
    <w:p>
      <w:pPr>
        <w:pStyle w:val="962"/>
        <w:ind w:firstLine="420"/>
        <w:spacing w:before="0" w:after="0" w:line="400" w:lineRule="exact"/>
        <w:rPr>
          <w:rFonts w:hint="eastAsia"/>
          <w:b w:val="0"/>
          <w:bCs w:val="0"/>
          <w:color w:val="000000"/>
          <w:highlight w:val="none"/>
        </w:rPr>
      </w:pPr>
      <w:r>
        <w:rPr>
          <w:highlight w:val="none"/>
        </w:rPr>
      </w:r>
      <w:bookmarkStart w:id="153" w:name="_Toc513029233"/>
      <w:r>
        <w:rPr>
          <w:highlight w:val="none"/>
        </w:rPr>
      </w:r>
      <w:bookmarkStart w:id="154" w:name="_Toc16938549"/>
      <w:r>
        <w:rPr>
          <w:highlight w:val="none"/>
        </w:rPr>
      </w:r>
      <w:bookmarkStart w:id="155" w:name="_Toc20823305"/>
      <w:r>
        <w:rPr>
          <w:rFonts w:hint="eastAsia"/>
          <w:b w:val="0"/>
          <w:bCs w:val="0"/>
          <w:color w:val="000000"/>
          <w:highlight w:val="none"/>
        </w:rPr>
        <w:t xml:space="preserve">2</w:t>
      </w:r>
      <w:r>
        <w:rPr>
          <w:b w:val="0"/>
          <w:bCs w:val="0"/>
          <w:color w:val="000000"/>
          <w:highlight w:val="none"/>
        </w:rPr>
        <w:t xml:space="preserve">4</w:t>
      </w:r>
      <w:r>
        <w:rPr>
          <w:rFonts w:hint="eastAsia"/>
          <w:b w:val="0"/>
          <w:bCs w:val="0"/>
          <w:color w:val="000000"/>
          <w:highlight w:val="none"/>
        </w:rPr>
        <w:t xml:space="preserve">、对投标文件的初审</w:t>
      </w:r>
      <w:bookmarkEnd w:id="153"/>
      <w:r>
        <w:rPr>
          <w:highlight w:val="none"/>
        </w:rPr>
      </w:r>
      <w:bookmarkEnd w:id="154"/>
      <w:r>
        <w:rPr>
          <w:highlight w:val="none"/>
        </w:rPr>
      </w:r>
      <w:bookmarkEnd w:id="155"/>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24.1</w:t>
      </w:r>
      <w:r>
        <w:rPr>
          <w:rFonts w:hint="eastAsia" w:ascii="宋体" w:hAnsi="宋体"/>
          <w:bCs/>
          <w:color w:val="000000"/>
          <w:sz w:val="24"/>
          <w:highlight w:val="none"/>
        </w:rPr>
        <w:t xml:space="preserve">投标文件初审分为资格审查和符合性审查。</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24.1.1 资格审查：依据法律法规和招标文件的规定，由采购人对投标文件中的资格证明文件进行审查。资格审查的结论，采购人以书面形式向</w:t>
      </w:r>
      <w:r>
        <w:rPr>
          <w:rFonts w:hint="eastAsia" w:ascii="宋体" w:hAnsi="宋体"/>
          <w:bCs/>
          <w:color w:val="000000"/>
          <w:sz w:val="24"/>
          <w:highlight w:val="none"/>
          <w:lang w:eastAsia="zh-CN"/>
        </w:rPr>
        <w:t xml:space="preserve">评标委员会</w:t>
      </w:r>
      <w:r>
        <w:rPr>
          <w:rFonts w:hint="eastAsia" w:ascii="宋体" w:hAnsi="宋体"/>
          <w:bCs/>
          <w:color w:val="000000"/>
          <w:sz w:val="24"/>
          <w:highlight w:val="none"/>
        </w:rPr>
        <w:t xml:space="preserve">进行反馈。</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24.1.2 符合性审查：依据招标文件的规定，由</w:t>
      </w:r>
      <w:r>
        <w:rPr>
          <w:rFonts w:hint="eastAsia" w:ascii="宋体" w:hAnsi="宋体"/>
          <w:bCs/>
          <w:color w:val="000000"/>
          <w:sz w:val="24"/>
          <w:highlight w:val="none"/>
          <w:lang w:eastAsia="zh-CN"/>
        </w:rPr>
        <w:t xml:space="preserve">评标委员会</w:t>
      </w:r>
      <w:r>
        <w:rPr>
          <w:rFonts w:hint="eastAsia" w:ascii="宋体" w:hAnsi="宋体"/>
          <w:bCs/>
          <w:color w:val="000000"/>
          <w:sz w:val="24"/>
          <w:highlight w:val="none"/>
        </w:rPr>
        <w:t xml:space="preserve">从投标文件的有效性、完整性和对招标文件的响应程度进行审查，以确定是否对招标文件的实质性要求作出响应。</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w:t>
      </w:r>
      <w:r>
        <w:rPr>
          <w:rFonts w:hint="eastAsia" w:ascii="宋体" w:hAnsi="宋体"/>
          <w:bCs/>
          <w:color w:val="000000"/>
          <w:sz w:val="24"/>
          <w:highlight w:val="none"/>
        </w:rPr>
        <w:t xml:space="preserve">采购</w:t>
      </w:r>
      <w:r>
        <w:rPr>
          <w:rFonts w:ascii="宋体" w:hAnsi="宋体"/>
          <w:bCs/>
          <w:color w:val="000000"/>
          <w:sz w:val="24"/>
          <w:highlight w:val="none"/>
        </w:rPr>
        <w:t xml:space="preserve">中心将不再告知未通过资格审查和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24.2在详细评标之前，</w:t>
      </w:r>
      <w:r>
        <w:rPr>
          <w:rFonts w:hint="eastAsia" w:ascii="宋体" w:hAnsi="宋体"/>
          <w:color w:val="000000"/>
          <w:sz w:val="24"/>
          <w:highlight w:val="none"/>
          <w:lang w:eastAsia="zh-CN"/>
        </w:rPr>
        <w:t xml:space="preserve">评标委员会</w:t>
      </w:r>
      <w:r>
        <w:rPr>
          <w:rFonts w:hint="eastAsia" w:ascii="宋体" w:hAnsi="宋体"/>
          <w:color w:val="000000"/>
          <w:sz w:val="24"/>
          <w:highlight w:val="none"/>
        </w:rPr>
        <w:t xml:space="preserve">将首先审查每份投标文件是否实质性响应了招标文件的要求。实质性响应的投标应该是与招标文件要求的全部条款、条件和规格相符，没有重大偏离或保留的投标。</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highlight w:val="none"/>
          <w:lang w:eastAsia="zh-CN"/>
        </w:rPr>
        <w:t xml:space="preserve">评标委员会</w:t>
      </w:r>
      <w:r>
        <w:rPr>
          <w:rFonts w:hint="eastAsia" w:ascii="宋体" w:hAnsi="宋体"/>
          <w:color w:val="000000"/>
          <w:sz w:val="24"/>
          <w:highlight w:val="none"/>
        </w:rPr>
        <w:t xml:space="preserve">以少数服从多数的原则作出结论。评委决定投标文件的响应性只根据投标文件本身的内容，而不寻求外部的证据。</w:t>
      </w:r>
      <w:r>
        <w:rPr>
          <w:highlight w:val="none"/>
        </w:rPr>
      </w:r>
      <w:r/>
    </w:p>
    <w:p>
      <w:pPr>
        <w:pStyle w:val="95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24.3如果投标文件实质上没有响应招标文件的要求，</w:t>
      </w:r>
      <w:r>
        <w:rPr>
          <w:rFonts w:hint="eastAsia" w:ascii="宋体" w:hAnsi="宋体"/>
          <w:color w:val="000000"/>
          <w:sz w:val="24"/>
          <w:highlight w:val="none"/>
          <w:lang w:eastAsia="zh-CN"/>
        </w:rPr>
        <w:t xml:space="preserve">评标委员会</w:t>
      </w:r>
      <w:r>
        <w:rPr>
          <w:rFonts w:hint="eastAsia" w:ascii="宋体" w:hAnsi="宋体"/>
          <w:color w:val="000000"/>
          <w:sz w:val="24"/>
          <w:highlight w:val="none"/>
        </w:rPr>
        <w:t xml:space="preserve">将予以拒绝，投标人不得通过修改或撤销不合要求的偏离或保留而使其投标成为实质性响应的投标。</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t xml:space="preserve">4</w:t>
      </w:r>
      <w:r>
        <w:rPr>
          <w:rFonts w:hint="eastAsia" w:ascii="宋体" w:hAnsi="宋体"/>
          <w:bCs/>
          <w:color w:val="000000"/>
          <w:sz w:val="24"/>
          <w:highlight w:val="none"/>
          <w:lang w:eastAsia="zh-CN"/>
        </w:rPr>
        <w:t xml:space="preserve">评标委员会</w:t>
      </w:r>
      <w:r>
        <w:rPr>
          <w:rFonts w:hint="eastAsia" w:ascii="宋体" w:hAnsi="宋体"/>
          <w:bCs/>
          <w:color w:val="000000"/>
          <w:sz w:val="24"/>
          <w:highlight w:val="none"/>
        </w:rPr>
        <w:t xml:space="preserve">将对确定为实质性响应的投标进行进一步审核，确定其是否有计算上或累加上的算术错误，修正错误的原则如下：</w:t>
      </w:r>
      <w:r>
        <w:rPr>
          <w:highlight w:val="none"/>
        </w:rPr>
      </w:r>
      <w:r/>
    </w:p>
    <w:p>
      <w:pPr>
        <w:pStyle w:val="95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highlight w:val="none"/>
        </w:rPr>
      </w:r>
      <w:r/>
    </w:p>
    <w:p>
      <w:pPr>
        <w:pStyle w:val="95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highlight w:val="none"/>
        </w:rPr>
      </w:r>
      <w:r/>
    </w:p>
    <w:p>
      <w:pPr>
        <w:pStyle w:val="95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highlight w:val="none"/>
        </w:rPr>
      </w:r>
      <w:r/>
    </w:p>
    <w:p>
      <w:pPr>
        <w:pStyle w:val="958"/>
        <w:ind w:firstLine="480"/>
        <w:spacing w:line="400" w:lineRule="exact"/>
        <w:rPr>
          <w:rFonts w:ascii="宋体" w:hAnsi="宋体"/>
          <w:bCs/>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t xml:space="preserve">5</w:t>
      </w:r>
      <w:r>
        <w:rPr>
          <w:rFonts w:hint="eastAsia" w:ascii="宋体" w:hAnsi="宋体"/>
          <w:color w:val="000000"/>
          <w:sz w:val="24"/>
          <w:highlight w:val="none"/>
        </w:rPr>
        <w:t xml:space="preserve"> </w:t>
      </w:r>
      <w:r>
        <w:rPr>
          <w:rFonts w:hint="eastAsia" w:ascii="宋体" w:hAnsi="宋体"/>
          <w:bCs/>
          <w:color w:val="000000"/>
          <w:sz w:val="24"/>
          <w:highlight w:val="none"/>
          <w:lang w:eastAsia="zh-CN"/>
        </w:rPr>
        <w:t xml:space="preserve">评标委员会</w:t>
      </w:r>
      <w:r>
        <w:rPr>
          <w:rFonts w:hint="eastAsia" w:ascii="宋体" w:hAnsi="宋体"/>
          <w:bCs/>
          <w:color w:val="000000"/>
          <w:sz w:val="24"/>
          <w:highlight w:val="none"/>
        </w:rPr>
        <w:t xml:space="preserve">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rPr>
          <w:highlight w:val="none"/>
        </w:rPr>
      </w:r>
      <w:r/>
    </w:p>
    <w:p>
      <w:pPr>
        <w:pStyle w:val="958"/>
        <w:ind w:firstLine="420"/>
        <w:spacing w:line="400" w:lineRule="exact"/>
        <w:rPr>
          <w:rFonts w:ascii="宋体" w:hAnsi="宋体"/>
          <w:color w:val="000000"/>
          <w:sz w:val="24"/>
          <w:highlight w:val="none"/>
        </w:rPr>
      </w:pPr>
      <w:r>
        <w:rPr>
          <w:highlight w:val="none"/>
        </w:rPr>
      </w:r>
      <w:bookmarkStart w:id="156" w:name="_Toc16938550"/>
      <w:r>
        <w:rPr>
          <w:highlight w:val="none"/>
        </w:rPr>
      </w:r>
      <w:bookmarkStart w:id="157" w:name="_Toc513029234"/>
      <w:r>
        <w:rPr>
          <w:highlight w:val="none"/>
        </w:rPr>
      </w:r>
      <w:bookmarkStart w:id="158" w:name="_Toc20823306"/>
      <w:r>
        <w:rPr>
          <w:rFonts w:hint="eastAsia" w:ascii="宋体" w:hAnsi="宋体"/>
          <w:color w:val="000000"/>
          <w:sz w:val="24"/>
          <w:highlight w:val="none"/>
        </w:rPr>
        <w:t xml:space="preserve">24.6投标人在开、评标全过程中应保持通讯畅通，及时登录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并安排专人与采购中心及评标委员会联系。</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 异常低价投标审查</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评标过程中出现下列情形之一的，评标委员会应当启动异常低价投标审查程序：</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（1）投标报价低于全部通过符合性审查供应商投标报价平均值50%的，即投标报价&lt;全部通过符合性审查供应商投标报价平均值×50%；</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（2）投标报价低于通过符合性审查的次低报价供应商投标报价50%的，即投标报价&lt;通过符合性审查的次低报价供应商投标报价×50%；</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eastAsia="zh-CN"/>
        </w:rPr>
        <w:t xml:space="preserve">）投标报价低于采购项目最高限价45%的，即投标报价&lt;采购项目最高限价×45%；</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评标</w:t>
      </w:r>
      <w:r>
        <w:rPr>
          <w:rFonts w:hint="eastAsia" w:ascii="宋体" w:hAnsi="宋体" w:eastAsia="宋体" w:cs="Times New Roman"/>
          <w:color w:val="000000"/>
          <w:sz w:val="24"/>
          <w:highlight w:val="none"/>
        </w:rPr>
        <w:t xml:space="preserve">委员会基于专业判断，认为供应商报价过低，有可能影响产品质量或者不能诚信履约的其他情形。</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 </w:t>
      </w:r>
      <w:r>
        <w:rPr>
          <w:rFonts w:hint="eastAsia" w:ascii="宋体" w:hAnsi="宋体" w:eastAsia="宋体" w:cs="Times New Roman"/>
          <w:color w:val="000000"/>
          <w:sz w:val="24"/>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highlight w:val="none"/>
        </w:rPr>
      </w:r>
      <w:r/>
    </w:p>
    <w:p>
      <w:pPr>
        <w:pStyle w:val="958"/>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highlight w:val="none"/>
        </w:rPr>
      </w:r>
      <w:r/>
    </w:p>
    <w:p>
      <w:pPr>
        <w:pStyle w:val="962"/>
        <w:ind w:firstLine="420"/>
        <w:spacing w:before="0" w:after="0" w:line="400" w:lineRule="exact"/>
        <w:rPr>
          <w:rFonts w:hint="eastAsia"/>
          <w:b w:val="0"/>
          <w:bCs w:val="0"/>
          <w:color w:val="000000"/>
          <w:highlight w:val="none"/>
        </w:rPr>
      </w:pPr>
      <w:r>
        <w:rPr>
          <w:rFonts w:hint="eastAsia"/>
          <w:b w:val="0"/>
          <w:bCs w:val="0"/>
          <w:color w:val="000000"/>
          <w:highlight w:val="none"/>
        </w:rPr>
        <w:t xml:space="preserve">2</w:t>
      </w:r>
      <w:r>
        <w:rPr>
          <w:b w:val="0"/>
          <w:bCs w:val="0"/>
          <w:color w:val="000000"/>
          <w:highlight w:val="none"/>
        </w:rPr>
        <w:t xml:space="preserve">5</w:t>
      </w:r>
      <w:r>
        <w:rPr>
          <w:rFonts w:hint="eastAsia"/>
          <w:b w:val="0"/>
          <w:bCs w:val="0"/>
          <w:color w:val="000000"/>
          <w:highlight w:val="none"/>
        </w:rPr>
        <w:t xml:space="preserve">、</w:t>
      </w:r>
      <w:bookmarkEnd w:id="156"/>
      <w:r>
        <w:rPr>
          <w:highlight w:val="none"/>
        </w:rPr>
      </w:r>
      <w:bookmarkEnd w:id="157"/>
      <w:r>
        <w:rPr>
          <w:highlight w:val="none"/>
        </w:rPr>
      </w:r>
      <w:bookmarkEnd w:id="158"/>
      <w:r>
        <w:rPr>
          <w:rFonts w:hint="eastAsia"/>
          <w:b w:val="0"/>
          <w:bCs w:val="0"/>
          <w:color w:val="000000"/>
          <w:highlight w:val="none"/>
        </w:rPr>
        <w:t xml:space="preserve">无效投标条款和废标条款</w:t>
      </w:r>
      <w:r>
        <w:rPr>
          <w:highlight w:val="none"/>
        </w:rPr>
      </w:r>
      <w:r/>
    </w:p>
    <w:p>
      <w:pPr>
        <w:pStyle w:val="958"/>
        <w:ind w:left="479"/>
        <w:spacing w:line="400" w:lineRule="exact"/>
        <w:rPr>
          <w:rFonts w:hint="eastAsia" w:ascii="宋体" w:hAnsi="宋体"/>
          <w:bCs/>
          <w:color w:val="000000"/>
          <w:sz w:val="24"/>
          <w:highlight w:val="none"/>
        </w:rPr>
      </w:pPr>
      <w:r>
        <w:rPr>
          <w:highlight w:val="none"/>
        </w:rPr>
      </w:r>
      <w:bookmarkStart w:id="159" w:name="_Toc16938551"/>
      <w:r>
        <w:rPr>
          <w:highlight w:val="none"/>
        </w:rPr>
      </w:r>
      <w:bookmarkStart w:id="160" w:name="_Toc513029235"/>
      <w:r>
        <w:rPr>
          <w:highlight w:val="none"/>
        </w:rPr>
      </w:r>
      <w:bookmarkStart w:id="161" w:name="_Toc20823307"/>
      <w:r>
        <w:rPr>
          <w:rFonts w:hint="eastAsia" w:ascii="宋体" w:hAnsi="宋体"/>
          <w:bCs/>
          <w:color w:val="000000"/>
          <w:sz w:val="24"/>
          <w:highlight w:val="none"/>
        </w:rPr>
        <w:t xml:space="preserve">25.1无效投标条款</w:t>
      </w:r>
      <w:r>
        <w:rPr>
          <w:highlight w:val="none"/>
        </w:rPr>
      </w:r>
      <w:r/>
    </w:p>
    <w:p>
      <w:pPr>
        <w:pStyle w:val="958"/>
        <w:ind w:firstLine="480"/>
        <w:spacing w:line="4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25.</w:t>
      </w:r>
      <w:r>
        <w:rPr>
          <w:rFonts w:hint="eastAsia" w:ascii="宋体" w:hAnsi="宋体"/>
          <w:bCs/>
          <w:color w:val="000000"/>
          <w:sz w:val="24"/>
          <w:szCs w:val="24"/>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25.1.2 投标人未按照招标文件要求上传电子投标文件的。</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25.1.3 投标人同一</w:t>
      </w:r>
      <w:r>
        <w:rPr>
          <w:rFonts w:ascii="宋体" w:hAnsi="宋体"/>
          <w:bCs/>
          <w:color w:val="000000"/>
          <w:sz w:val="24"/>
          <w:highlight w:val="none"/>
        </w:rPr>
        <w:t xml:space="preserve">采购包</w:t>
      </w:r>
      <w:r>
        <w:rPr>
          <w:rFonts w:hint="eastAsia" w:ascii="宋体" w:hAnsi="宋体"/>
          <w:bCs/>
          <w:color w:val="000000"/>
          <w:sz w:val="24"/>
          <w:highlight w:val="none"/>
        </w:rPr>
        <w:t xml:space="preserve">提交两个（含两个）以上不同的投标报价的。</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25.1.4投标人不具备招标文件中规定资格要求的。</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25.1.5投标人的报价超过了采购预算或最高限价的。</w:t>
      </w:r>
      <w:r>
        <w:rPr>
          <w:highlight w:val="none"/>
        </w:rPr>
      </w:r>
      <w:r/>
    </w:p>
    <w:p>
      <w:pPr>
        <w:pStyle w:val="958"/>
        <w:ind w:firstLine="48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25.1.6未通过符合性审查的。</w:t>
      </w:r>
      <w:r>
        <w:rPr>
          <w:highlight w:val="none"/>
        </w:rPr>
      </w:r>
      <w:r/>
    </w:p>
    <w:p>
      <w:pPr>
        <w:pStyle w:val="958"/>
        <w:ind w:firstLine="36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25.1.7不符合招标文件中规定的实质性要求的</w:t>
      </w:r>
      <w:r>
        <w:rPr>
          <w:rFonts w:hint="eastAsia" w:ascii="宋体" w:hAnsi="宋体"/>
          <w:b/>
          <w:bCs/>
          <w:color w:val="000000"/>
          <w:sz w:val="24"/>
          <w:highlight w:val="none"/>
        </w:rPr>
        <w:t xml:space="preserve">（本招标文件中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25.1.9 投标文件含有采购人不能接受的附加条件的。</w:t>
      </w:r>
      <w:r>
        <w:rPr>
          <w:highlight w:val="none"/>
        </w:rPr>
      </w:r>
      <w:r/>
    </w:p>
    <w:p>
      <w:pPr>
        <w:pStyle w:val="95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25.1.10评标委员会按照本招标文件规定对投标人进行异常低价投标审查后，认为投标人不能证明其报价合理性的。</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25.1.11 投标文件未按照招标文件要求加盖CA</w:t>
      </w:r>
      <w:r>
        <w:rPr>
          <w:rFonts w:ascii="宋体" w:hAnsi="宋体"/>
          <w:bCs/>
          <w:color w:val="000000"/>
          <w:sz w:val="24"/>
          <w:highlight w:val="none"/>
        </w:rPr>
        <w:t xml:space="preserve">电子公章的</w:t>
      </w:r>
      <w:r>
        <w:rPr>
          <w:rFonts w:hint="eastAsia" w:ascii="宋体" w:hAnsi="宋体"/>
          <w:bCs/>
          <w:color w:val="000000"/>
          <w:sz w:val="24"/>
          <w:highlight w:val="none"/>
        </w:rPr>
        <w:t xml:space="preserve">。</w:t>
      </w:r>
      <w:r>
        <w:rPr>
          <w:highlight w:val="none"/>
        </w:rPr>
      </w:r>
      <w:r/>
    </w:p>
    <w:p>
      <w:pPr>
        <w:pStyle w:val="958"/>
        <w:ind w:firstLine="480"/>
        <w:spacing w:line="4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25.1.12 投标人所提供的服务不符合招标文件中所列国家强制性标准的。</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其他法律、法规及本招标文件规定的属无效投标的情形。</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25.2废标条款</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25.2.1符合专业条件的供应商或者对招标文件作实质响应的供应商不足三家的。25.2.2出现影响采购公正的违法、违规行为的。</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25.2.3因重大变故，采购任务取消的。</w:t>
      </w:r>
      <w:r>
        <w:rPr>
          <w:highlight w:val="none"/>
        </w:rPr>
      </w:r>
      <w:r/>
    </w:p>
    <w:p>
      <w:pPr>
        <w:pStyle w:val="958"/>
        <w:ind w:left="479"/>
        <w:spacing w:line="400" w:lineRule="exact"/>
        <w:rPr>
          <w:rFonts w:ascii="宋体" w:hAnsi="宋体"/>
          <w:bCs/>
          <w:color w:val="000000"/>
          <w:sz w:val="24"/>
          <w:highlight w:val="none"/>
        </w:rPr>
      </w:pPr>
      <w:r>
        <w:rPr>
          <w:rFonts w:hint="eastAsia" w:ascii="宋体" w:hAnsi="宋体"/>
          <w:bCs/>
          <w:color w:val="000000"/>
          <w:sz w:val="24"/>
          <w:highlight w:val="none"/>
        </w:rPr>
        <w:t xml:space="preserve">25.2.4评标委员会认定招标文件存在歧义、重大缺陷导致评审工作无法进行。</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25.2.5 因</w:t>
      </w:r>
      <w:r>
        <w:rPr>
          <w:rFonts w:hint="eastAsia" w:ascii="宋体" w:hAnsi="宋体"/>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rPr>
          <w:highlight w:val="none"/>
        </w:rPr>
      </w:r>
      <w:r/>
    </w:p>
    <w:p>
      <w:pPr>
        <w:pStyle w:val="95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25.3 投标截止时间结束后参加投标的供应商不足三家的处理：</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25.3.1如出现投标截止时间结束后参加投标的供应商或者在评标期间对招标文件做出实质响应的供应商不足三家情况，按政府采购相关规定执行。</w:t>
      </w:r>
      <w:r>
        <w:rPr>
          <w:highlight w:val="none"/>
        </w:rPr>
      </w:r>
      <w:r/>
    </w:p>
    <w:p>
      <w:pPr>
        <w:pStyle w:val="961"/>
        <w:ind w:firstLine="482"/>
        <w:spacing w:before="145" w:after="145" w:line="400" w:lineRule="exact"/>
        <w:rPr>
          <w:rFonts w:hint="eastAsia"/>
          <w:color w:val="000000"/>
          <w:highlight w:val="none"/>
        </w:rPr>
      </w:pPr>
      <w:r>
        <w:rPr>
          <w:highlight w:val="none"/>
        </w:rPr>
      </w:r>
      <w:bookmarkStart w:id="162" w:name="_Toc120614219"/>
      <w:r>
        <w:rPr>
          <w:rFonts w:hint="eastAsia"/>
          <w:color w:val="000000"/>
          <w:highlight w:val="none"/>
        </w:rPr>
        <w:t xml:space="preserve">六、</w:t>
      </w:r>
      <w:bookmarkEnd w:id="159"/>
      <w:r>
        <w:rPr>
          <w:highlight w:val="none"/>
        </w:rPr>
      </w:r>
      <w:bookmarkEnd w:id="160"/>
      <w:r>
        <w:rPr>
          <w:highlight w:val="none"/>
        </w:rPr>
      </w:r>
      <w:bookmarkEnd w:id="161"/>
      <w:r>
        <w:rPr>
          <w:rFonts w:hint="eastAsia"/>
          <w:color w:val="000000"/>
          <w:highlight w:val="none"/>
        </w:rPr>
        <w:t xml:space="preserve">定标</w:t>
      </w:r>
      <w:bookmarkEnd w:id="162"/>
      <w:r>
        <w:rPr>
          <w:highlight w:val="none"/>
        </w:rPr>
      </w:r>
      <w:r/>
    </w:p>
    <w:p>
      <w:pPr>
        <w:pStyle w:val="962"/>
        <w:ind w:firstLine="600"/>
        <w:spacing w:before="0" w:after="0" w:line="400" w:lineRule="exact"/>
        <w:rPr>
          <w:rFonts w:hint="eastAsia" w:ascii="黑体" w:hAnsi="宋体" w:cs="Times New Roman"/>
          <w:b w:val="0"/>
          <w:color w:val="000000"/>
          <w:sz w:val="30"/>
          <w:szCs w:val="30"/>
          <w:highlight w:val="none"/>
        </w:rPr>
      </w:pPr>
      <w:r>
        <w:rPr>
          <w:highlight w:val="none"/>
        </w:rPr>
      </w:r>
      <w:bookmarkStart w:id="163" w:name="_Toc513029238"/>
      <w:r>
        <w:rPr>
          <w:highlight w:val="none"/>
        </w:rPr>
      </w:r>
      <w:bookmarkStart w:id="164" w:name="_Toc16938554"/>
      <w:r>
        <w:rPr>
          <w:highlight w:val="none"/>
        </w:rPr>
      </w:r>
      <w:bookmarkStart w:id="165" w:name="_Toc20823310"/>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6</w:t>
      </w:r>
      <w:r>
        <w:rPr>
          <w:rFonts w:hint="eastAsia" w:ascii="黑体" w:hAnsi="宋体" w:cs="Times New Roman"/>
          <w:b w:val="0"/>
          <w:color w:val="000000"/>
          <w:sz w:val="30"/>
          <w:szCs w:val="30"/>
          <w:highlight w:val="none"/>
        </w:rPr>
        <w:t xml:space="preserve">、</w:t>
      </w:r>
      <w:bookmarkEnd w:id="163"/>
      <w:r>
        <w:rPr>
          <w:rFonts w:hint="eastAsia" w:ascii="黑体" w:hAnsi="宋体" w:cs="Times New Roman"/>
          <w:b w:val="0"/>
          <w:color w:val="000000"/>
          <w:sz w:val="30"/>
          <w:szCs w:val="30"/>
          <w:highlight w:val="none"/>
        </w:rPr>
        <w:t xml:space="preserve">确定</w:t>
      </w:r>
      <w:bookmarkEnd w:id="164"/>
      <w:r>
        <w:rPr>
          <w:highlight w:val="none"/>
        </w:rPr>
      </w:r>
      <w:bookmarkEnd w:id="165"/>
      <w:r>
        <w:rPr>
          <w:rFonts w:hint="eastAsia" w:ascii="黑体" w:hAnsi="宋体" w:cs="Times New Roman"/>
          <w:b w:val="0"/>
          <w:color w:val="000000"/>
          <w:sz w:val="30"/>
          <w:szCs w:val="30"/>
          <w:highlight w:val="none"/>
        </w:rPr>
        <w:t xml:space="preserve">中标单位</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26.1中标候选人的选取原则和数量见招标文件第五章规定。 </w:t>
      </w:r>
      <w:r>
        <w:rPr>
          <w:highlight w:val="none"/>
        </w:rPr>
      </w:r>
      <w:r/>
    </w:p>
    <w:p>
      <w:pPr>
        <w:pStyle w:val="95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26.2 采购人应根据</w:t>
      </w:r>
      <w:r>
        <w:rPr>
          <w:rFonts w:hint="eastAsia" w:ascii="宋体" w:hAnsi="宋体"/>
          <w:bCs/>
          <w:color w:val="000000"/>
          <w:sz w:val="24"/>
          <w:highlight w:val="none"/>
          <w:lang w:eastAsia="zh-CN"/>
        </w:rPr>
        <w:t xml:space="preserve">评标委员会</w:t>
      </w:r>
      <w:r>
        <w:rPr>
          <w:rFonts w:hint="eastAsia" w:ascii="宋体" w:hAnsi="宋体"/>
          <w:bCs/>
          <w:color w:val="000000"/>
          <w:sz w:val="24"/>
          <w:highlight w:val="none"/>
        </w:rPr>
        <w:t xml:space="preserve">推荐的中标候选人确定中标供应商。</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26.3 </w:t>
      </w:r>
      <w:r>
        <w:rPr>
          <w:rFonts w:hint="eastAsia" w:ascii="宋体" w:hAnsi="宋体"/>
          <w:color w:val="000000"/>
          <w:sz w:val="24"/>
          <w:szCs w:val="24"/>
          <w:highlight w:val="none"/>
        </w:rPr>
        <w:t xml:space="preserve">采购中心将在“江苏政府采购网”发布中标公告，公告期限为1个工作日。</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  若有充分证据证明，中标供应商出现下列情况之一的，一经查实，将被取消中标资格：</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26.4.1提供虚假材料谋取中标的。</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26.4.2向采购人、采购中心行贿或者提供其他不正当利益的。</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26.4.3属于本文件规定的无效条件，但在评标过程中又未被</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发现的。</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26.4.4与采购人或者其他供应商恶意串通的。</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26.4.5采取不正当手段诋毁、排挤其他供应商的。</w:t>
      </w:r>
      <w:r>
        <w:rPr>
          <w:highlight w:val="none"/>
        </w:rPr>
      </w:r>
      <w:r/>
    </w:p>
    <w:p>
      <w:pPr>
        <w:pStyle w:val="958"/>
        <w:ind w:firstLine="480"/>
        <w:spacing w:line="400" w:lineRule="exact"/>
        <w:rPr>
          <w:rFonts w:ascii="宋体" w:hAnsi="宋体"/>
          <w:color w:val="000000"/>
          <w:sz w:val="24"/>
          <w:szCs w:val="24"/>
          <w:highlight w:val="none"/>
        </w:rPr>
      </w:pPr>
      <w:r>
        <w:rPr>
          <w:highlight w:val="none"/>
        </w:rPr>
      </w:r>
      <w:bookmarkStart w:id="166"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.5.1不同投标人的投标文件由同一单位或者个人编制。</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.5.2不同投标人委托同一单位或者个人办理投标事宜。</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.5.3 不同投标人的投标文件载明的项目管理成员或者联系人员为同一人。</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.5.4不同投标人的投标文件异常一致或者投标报价呈规律性差异。</w:t>
      </w:r>
      <w:r>
        <w:rPr>
          <w:highlight w:val="none"/>
        </w:rPr>
      </w:r>
      <w:r/>
    </w:p>
    <w:p>
      <w:pPr>
        <w:pStyle w:val="962"/>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7</w:t>
      </w:r>
      <w:r>
        <w:rPr>
          <w:rFonts w:hint="eastAsia" w:ascii="黑体" w:hAnsi="宋体" w:cs="Times New Roman"/>
          <w:b w:val="0"/>
          <w:color w:val="000000"/>
          <w:sz w:val="30"/>
          <w:szCs w:val="30"/>
          <w:highlight w:val="none"/>
        </w:rPr>
        <w:t xml:space="preserve">、质疑处理</w:t>
      </w:r>
      <w:bookmarkEnd w:id="166"/>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.4条款的规定向采购中心或采购人提出质疑。上述应知其权益受到损害之日，是指：</w:t>
      </w:r>
      <w:r>
        <w:rPr>
          <w:highlight w:val="none"/>
        </w:rPr>
      </w:r>
      <w:r/>
    </w:p>
    <w:p>
      <w:pPr>
        <w:pStyle w:val="958"/>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highlight w:val="none"/>
        </w:rPr>
      </w:r>
      <w:r/>
    </w:p>
    <w:p>
      <w:pPr>
        <w:pStyle w:val="958"/>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highlight w:val="none"/>
        </w:rPr>
      </w:r>
      <w:r/>
    </w:p>
    <w:p>
      <w:pPr>
        <w:pStyle w:val="958"/>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rPr>
          <w:highlight w:val="none"/>
        </w:rPr>
      </w:r>
      <w:r/>
    </w:p>
    <w:p>
      <w:pPr>
        <w:pStyle w:val="958"/>
        <w:ind w:firstLine="48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pStyle w:val="958"/>
        <w:ind w:firstLine="480"/>
        <w:spacing w:line="4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审查结果、</w:t>
      </w:r>
      <w:r>
        <w:rPr>
          <w:rFonts w:hint="eastAsia" w:ascii="宋体" w:hAnsi="宋体"/>
          <w:color w:val="000000"/>
          <w:sz w:val="24"/>
          <w:szCs w:val="24"/>
          <w:highlight w:val="none"/>
        </w:rPr>
        <w:t xml:space="preserve">评标方法与</w:t>
      </w:r>
      <w:r>
        <w:rPr>
          <w:rFonts w:ascii="宋体" w:hAnsi="宋体"/>
          <w:color w:val="000000"/>
          <w:sz w:val="24"/>
          <w:szCs w:val="24"/>
          <w:highlight w:val="none"/>
        </w:rPr>
        <w:t xml:space="preserve">评标标准、合同文本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供应商对除</w:t>
      </w:r>
      <w:r>
        <w:rPr>
          <w:rFonts w:ascii="宋体" w:hAnsi="宋体"/>
          <w:color w:val="000000"/>
          <w:sz w:val="24"/>
          <w:szCs w:val="24"/>
          <w:highlight w:val="none"/>
        </w:rPr>
        <w:t xml:space="preserve">上述事项以外其他事项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、质疑请向采购中心提出，由采购中心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采购中心及采购人只接收以纸质原件形式送达的质疑,建议供应商尽量通过邮寄方式提交质疑（采购人和采购中心不接受无快递运单号的快递）。</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highlight w:val="none"/>
        </w:rPr>
        <w:t xml:space="preserve">3029</w:t>
      </w:r>
      <w:r>
        <w:rPr>
          <w:rFonts w:hint="eastAsia" w:ascii="宋体" w:hAnsi="宋体"/>
          <w:color w:val="000000"/>
          <w:sz w:val="24"/>
          <w:szCs w:val="24"/>
          <w:highlight w:val="none"/>
        </w:rPr>
        <w:t xml:space="preserve">室，联系电话：025-83668531。</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.5 以下情形的质疑不予受理</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27.5.1 内容不符合《政府采购质疑和投诉办法》第十二条规定的质疑。</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27.5.2 超出政府采购法定期限的质疑。</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27.5.3 以传真、电子邮件等方式递交的非原件形式的质疑。</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27.5.4 未参加投标活动的供应商或在投标活动中自身权益未受到损害的供应商所提出的质疑。</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27.5.5供应商组成联合体参加投标，联合体中任何一方或多方未按要求签字、盖章、加盖公章的质疑。</w:t>
      </w:r>
      <w:r>
        <w:rPr>
          <w:highlight w:val="none"/>
        </w:rPr>
      </w:r>
      <w:r/>
    </w:p>
    <w:p>
      <w:pPr>
        <w:pStyle w:val="958"/>
        <w:ind w:firstLine="46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pStyle w:val="962"/>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8</w:t>
      </w:r>
      <w:r>
        <w:rPr>
          <w:rFonts w:hint="eastAsia" w:ascii="黑体" w:hAnsi="宋体" w:cs="Times New Roman"/>
          <w:b w:val="0"/>
          <w:color w:val="000000"/>
          <w:sz w:val="30"/>
          <w:szCs w:val="30"/>
          <w:highlight w:val="none"/>
        </w:rPr>
        <w:t xml:space="preserve">、中标通知书</w:t>
      </w:r>
      <w:r>
        <w:rPr>
          <w:highlight w:val="none"/>
        </w:rPr>
      </w:r>
      <w:r/>
    </w:p>
    <w:p>
      <w:pPr>
        <w:pStyle w:val="95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none"/>
        </w:rPr>
      </w:r>
      <w:r/>
    </w:p>
    <w:p>
      <w:pPr>
        <w:pStyle w:val="95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pStyle w:val="961"/>
        <w:spacing w:before="145" w:after="145" w:line="400" w:lineRule="exact"/>
        <w:rPr>
          <w:rFonts w:hint="eastAsia"/>
          <w:color w:val="000000"/>
          <w:highlight w:val="none"/>
        </w:rPr>
      </w:pPr>
      <w:r>
        <w:rPr>
          <w:highlight w:val="none"/>
        </w:rPr>
      </w:r>
      <w:bookmarkStart w:id="167" w:name="_Toc20823308"/>
      <w:r>
        <w:rPr>
          <w:highlight w:val="none"/>
        </w:rPr>
      </w:r>
      <w:bookmarkStart w:id="168" w:name="_Toc513029236"/>
      <w:r>
        <w:rPr>
          <w:highlight w:val="none"/>
        </w:rPr>
      </w:r>
      <w:bookmarkStart w:id="169" w:name="_Toc120614220"/>
      <w:r>
        <w:rPr>
          <w:highlight w:val="none"/>
        </w:rPr>
      </w:r>
      <w:bookmarkStart w:id="170" w:name="_Toc16938552"/>
      <w:r>
        <w:rPr>
          <w:rFonts w:hint="eastAsia"/>
          <w:color w:val="000000"/>
          <w:highlight w:val="none"/>
        </w:rPr>
        <w:t xml:space="preserve">七、授予合同</w:t>
      </w:r>
      <w:bookmarkEnd w:id="169"/>
      <w:r>
        <w:rPr>
          <w:highlight w:val="none"/>
        </w:rPr>
      </w:r>
      <w:r/>
    </w:p>
    <w:p>
      <w:pPr>
        <w:pStyle w:val="962"/>
        <w:ind w:firstLine="600"/>
        <w:spacing w:before="0" w:after="0" w:line="400" w:lineRule="exact"/>
        <w:rPr>
          <w:rFonts w:hint="eastAsia" w:ascii="黑体" w:hAnsi="宋体" w:cs="Times New Roman"/>
          <w:b w:val="0"/>
          <w:color w:val="000000"/>
          <w:sz w:val="30"/>
          <w:szCs w:val="30"/>
          <w:highlight w:val="none"/>
        </w:rPr>
      </w:pPr>
      <w:r>
        <w:rPr>
          <w:highlight w:val="none"/>
        </w:rPr>
      </w:r>
      <w:bookmarkEnd w:id="167"/>
      <w:r>
        <w:rPr>
          <w:highlight w:val="none"/>
        </w:rPr>
      </w:r>
      <w:bookmarkEnd w:id="168"/>
      <w:r>
        <w:rPr>
          <w:highlight w:val="none"/>
        </w:rPr>
      </w:r>
      <w:bookmarkEnd w:id="170"/>
      <w:r>
        <w:rPr>
          <w:highlight w:val="none"/>
        </w:rPr>
      </w:r>
      <w:bookmarkStart w:id="171" w:name="_Toc20823309"/>
      <w:r>
        <w:rPr>
          <w:highlight w:val="none"/>
        </w:rPr>
      </w:r>
      <w:bookmarkStart w:id="172" w:name="_Toc16938553"/>
      <w:r>
        <w:rPr>
          <w:highlight w:val="none"/>
        </w:rPr>
      </w:r>
      <w:bookmarkStart w:id="173" w:name="_Toc513029237"/>
      <w:r>
        <w:rPr>
          <w:rFonts w:ascii="黑体" w:hAnsi="宋体" w:cs="Times New Roman"/>
          <w:b w:val="0"/>
          <w:color w:val="000000"/>
          <w:sz w:val="30"/>
          <w:szCs w:val="30"/>
          <w:highlight w:val="none"/>
        </w:rPr>
        <w:t xml:space="preserve">29</w:t>
      </w:r>
      <w:r>
        <w:rPr>
          <w:rFonts w:hint="eastAsia" w:ascii="黑体" w:hAnsi="宋体" w:cs="Times New Roman"/>
          <w:b w:val="0"/>
          <w:color w:val="000000"/>
          <w:sz w:val="30"/>
          <w:szCs w:val="30"/>
          <w:highlight w:val="none"/>
        </w:rPr>
        <w:t xml:space="preserve">、签订合同</w:t>
      </w:r>
      <w:r>
        <w:rPr>
          <w:highlight w:val="none"/>
        </w:rPr>
      </w:r>
      <w:r/>
    </w:p>
    <w:p>
      <w:pPr>
        <w:pStyle w:val="958"/>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29.</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highlight w:val="none"/>
        </w:rPr>
      </w:r>
      <w:r/>
    </w:p>
    <w:p>
      <w:pPr>
        <w:pStyle w:val="95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highlight w:val="none"/>
        </w:rPr>
      </w:r>
      <w:r/>
    </w:p>
    <w:p>
      <w:pPr>
        <w:pStyle w:val="95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none"/>
        </w:rPr>
      </w:r>
      <w:r/>
    </w:p>
    <w:p>
      <w:pPr>
        <w:pStyle w:val="962"/>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3</w:t>
      </w:r>
      <w:r>
        <w:rPr>
          <w:rFonts w:ascii="黑体" w:hAnsi="宋体" w:cs="Times New Roman"/>
          <w:b w:val="0"/>
          <w:color w:val="000000"/>
          <w:sz w:val="30"/>
          <w:szCs w:val="30"/>
          <w:highlight w:val="none"/>
        </w:rPr>
        <w:t xml:space="preserve">0</w:t>
      </w:r>
      <w:r>
        <w:rPr>
          <w:rFonts w:hint="eastAsia" w:ascii="黑体" w:hAnsi="宋体" w:cs="Times New Roman"/>
          <w:b w:val="0"/>
          <w:color w:val="000000"/>
          <w:sz w:val="30"/>
          <w:szCs w:val="30"/>
          <w:highlight w:val="none"/>
        </w:rPr>
        <w:t xml:space="preserve">、服务（包含与服务相关的货物）的追加</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highlight w:val="none"/>
        </w:rPr>
      </w:r>
      <w:r/>
    </w:p>
    <w:p>
      <w:pPr>
        <w:pStyle w:val="962"/>
        <w:ind w:firstLine="600"/>
        <w:spacing w:before="0" w:after="0" w:line="400" w:lineRule="exact"/>
        <w:rPr>
          <w:rFonts w:ascii="黑体" w:hAnsi="宋体" w:cs="Times New Roman"/>
          <w:b w:val="0"/>
          <w:color w:val="000000"/>
          <w:sz w:val="30"/>
          <w:szCs w:val="30"/>
          <w:highlight w:val="none"/>
        </w:rPr>
      </w:pPr>
      <w:r>
        <w:rPr>
          <w:highlight w:val="none"/>
        </w:rPr>
      </w:r>
      <w:bookmarkEnd w:id="171"/>
      <w:r>
        <w:rPr>
          <w:highlight w:val="none"/>
        </w:rPr>
      </w:r>
      <w:bookmarkEnd w:id="172"/>
      <w:r>
        <w:rPr>
          <w:highlight w:val="none"/>
        </w:rPr>
      </w:r>
      <w:bookmarkEnd w:id="173"/>
      <w:r>
        <w:rPr>
          <w:rFonts w:hint="eastAsia" w:ascii="黑体" w:hAnsi="宋体" w:cs="Times New Roman"/>
          <w:b w:val="0"/>
          <w:color w:val="000000"/>
          <w:sz w:val="30"/>
          <w:szCs w:val="30"/>
          <w:highlight w:val="none"/>
        </w:rPr>
        <w:t xml:space="preserve">3</w:t>
      </w:r>
      <w:r>
        <w:rPr>
          <w:rFonts w:ascii="黑体" w:hAnsi="宋体" w:cs="Times New Roman"/>
          <w:b w:val="0"/>
          <w:color w:val="000000"/>
          <w:sz w:val="30"/>
          <w:szCs w:val="30"/>
          <w:highlight w:val="none"/>
        </w:rPr>
        <w:t xml:space="preserve">1</w:t>
      </w:r>
      <w:r>
        <w:rPr>
          <w:rFonts w:hint="eastAsia" w:ascii="黑体" w:hAnsi="宋体" w:cs="Times New Roman"/>
          <w:b w:val="0"/>
          <w:color w:val="000000"/>
          <w:sz w:val="30"/>
          <w:szCs w:val="30"/>
          <w:highlight w:val="none"/>
        </w:rPr>
        <w:t xml:space="preserve">、政府采购履约资金扶持政策</w:t>
      </w:r>
      <w:r>
        <w:rPr>
          <w:highlight w:val="none"/>
        </w:rPr>
      </w:r>
      <w:r/>
    </w:p>
    <w:p>
      <w:pPr>
        <w:pStyle w:val="972"/>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中标供应商可凭政府采购合同办理融资贷款，详情请见江苏政府采购网“政采贷”专栏。</w:t>
      </w:r>
      <w:r>
        <w:rPr>
          <w:highlight w:val="none"/>
        </w:rPr>
      </w:r>
      <w:r/>
    </w:p>
    <w:p>
      <w:pPr>
        <w:pStyle w:val="972"/>
        <w:spacing w:line="40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72"/>
        <w:spacing w:line="400" w:lineRule="exact"/>
        <w:rPr>
          <w:rFonts w:hint="eastAsia" w:ascii="宋体" w:hAnsi="宋体"/>
          <w:bCs/>
          <w:color w:val="000000"/>
          <w:sz w:val="24"/>
          <w:highlight w:val="none"/>
        </w:rPr>
      </w:pPr>
      <w:r>
        <w:rPr>
          <w:rFonts w:hint="eastAsia" w:ascii="宋体" w:hAnsi="宋体"/>
          <w:bCs/>
          <w:color w:val="000000"/>
          <w:sz w:val="24"/>
          <w:highlight w:val="none"/>
        </w:rPr>
        <w:br w:type="page" w:clear="all"/>
      </w:r>
      <w:r>
        <w:rPr>
          <w:highlight w:val="none"/>
        </w:rPr>
      </w:r>
      <w:r/>
    </w:p>
    <w:p>
      <w:pPr>
        <w:pStyle w:val="959"/>
        <w:rPr>
          <w:rFonts w:hint="eastAsia" w:ascii="黑体" w:eastAsia="黑体"/>
          <w:bCs/>
          <w:color w:val="000000"/>
          <w:sz w:val="44"/>
          <w:highlight w:val="none"/>
        </w:rPr>
      </w:pPr>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2"/>
      <w:r>
        <w:rPr>
          <w:highlight w:val="none"/>
        </w:rPr>
      </w:r>
      <w:bookmarkStart w:id="174" w:name="_Toc16938558"/>
      <w:r>
        <w:rPr>
          <w:highlight w:val="none"/>
        </w:rPr>
      </w:r>
      <w:bookmarkStart w:id="175" w:name="_Toc20823314"/>
      <w:r>
        <w:rPr>
          <w:highlight w:val="none"/>
        </w:rPr>
      </w:r>
      <w:bookmarkStart w:id="176" w:name="_Toc120614221"/>
      <w:r>
        <w:rPr>
          <w:highlight w:val="none"/>
        </w:rPr>
      </w:r>
      <w:bookmarkStart w:id="177" w:name="_Toc479757207"/>
      <w:r>
        <w:rPr>
          <w:highlight w:val="none"/>
        </w:rPr>
      </w:r>
      <w:bookmarkStart w:id="178" w:name="_Toc513029242"/>
      <w:r>
        <w:rPr>
          <w:rFonts w:hint="eastAsia" w:ascii="黑体" w:eastAsia="黑体"/>
          <w:bCs/>
          <w:color w:val="000000"/>
          <w:sz w:val="44"/>
          <w:highlight w:val="none"/>
        </w:rPr>
        <w:t xml:space="preserve">第三章  合同</w:t>
      </w:r>
      <w:bookmarkEnd w:id="174"/>
      <w:r>
        <w:rPr>
          <w:highlight w:val="none"/>
        </w:rPr>
      </w:r>
      <w:bookmarkEnd w:id="175"/>
      <w:r>
        <w:rPr>
          <w:highlight w:val="none"/>
        </w:rPr>
      </w:r>
      <w:bookmarkEnd w:id="176"/>
      <w:r>
        <w:rPr>
          <w:highlight w:val="none"/>
        </w:rPr>
      </w:r>
      <w:bookmarkEnd w:id="177"/>
      <w:r>
        <w:rPr>
          <w:highlight w:val="none"/>
        </w:rPr>
      </w:r>
      <w:bookmarkEnd w:id="178"/>
      <w:r>
        <w:rPr>
          <w:rFonts w:hint="eastAsia" w:ascii="黑体" w:eastAsia="黑体"/>
          <w:bCs/>
          <w:color w:val="000000"/>
          <w:sz w:val="44"/>
          <w:highlight w:val="none"/>
        </w:rPr>
        <w:t xml:space="preserve">文本</w:t>
      </w:r>
      <w:r>
        <w:rPr>
          <w:highlight w:val="none"/>
        </w:rPr>
      </w:r>
      <w:r/>
    </w:p>
    <w:p>
      <w:pPr>
        <w:pStyle w:val="958"/>
        <w:jc w:val="center"/>
        <w:spacing w:before="145" w:after="145"/>
        <w:rPr>
          <w:rFonts w:hint="eastAsia" w:ascii="宋体" w:hAnsi="宋体"/>
          <w:b/>
          <w:color w:val="000000"/>
          <w:sz w:val="30"/>
          <w:highlight w:val="none"/>
        </w:rPr>
        <w:outlineLvl w:val="0"/>
      </w:pPr>
      <w:r>
        <w:rPr>
          <w:highlight w:val="none"/>
        </w:rPr>
      </w:r>
      <w:bookmarkStart w:id="179" w:name="_Toc16938559"/>
      <w:r>
        <w:rPr>
          <w:highlight w:val="none"/>
        </w:rPr>
      </w:r>
      <w:bookmarkStart w:id="180" w:name="_Toc513029243"/>
      <w:r>
        <w:rPr>
          <w:highlight w:val="none"/>
        </w:rPr>
      </w:r>
      <w:bookmarkStart w:id="181" w:name="_Toc20823315"/>
      <w:r>
        <w:rPr>
          <w:highlight w:val="none"/>
        </w:rPr>
      </w:r>
      <w:r/>
    </w:p>
    <w:p>
      <w:pPr>
        <w:pStyle w:val="958"/>
        <w:jc w:val="center"/>
        <w:spacing w:before="145" w:after="145"/>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highlight w:val="none"/>
        </w:rPr>
      </w:r>
      <w:r/>
    </w:p>
    <w:p>
      <w:pPr>
        <w:pStyle w:val="958"/>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2026-2028年江苏农林职业技术学院茅山校区物业服务</w:t>
      </w:r>
      <w:r>
        <w:rPr>
          <w:rFonts w:ascii="宋体" w:hAnsi="宋体" w:cs="Courier New"/>
          <w:color w:val="000000"/>
          <w:sz w:val="24"/>
          <w:szCs w:val="24"/>
          <w:highlight w:val="none"/>
        </w:rPr>
        <w:t xml:space="preserve">                   </w:t>
      </w:r>
      <w:r>
        <w:rPr>
          <w:highlight w:val="none"/>
        </w:rPr>
      </w:r>
      <w:r/>
    </w:p>
    <w:p>
      <w:pPr>
        <w:pStyle w:val="958"/>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JSZC-320000-SCZX-G2026-0100</w:t>
      </w:r>
      <w:r>
        <w:rPr>
          <w:rFonts w:ascii="宋体" w:hAnsi="宋体" w:cs="Courier New"/>
          <w:color w:val="000000"/>
          <w:sz w:val="24"/>
          <w:szCs w:val="24"/>
          <w:highlight w:val="none"/>
        </w:rPr>
        <w:t xml:space="preserve">             </w:t>
      </w:r>
      <w:r>
        <w:rPr>
          <w:highlight w:val="none"/>
        </w:rPr>
      </w:r>
      <w:r/>
    </w:p>
    <w:p>
      <w:pPr>
        <w:pStyle w:val="95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采购包号：*</w:t>
      </w:r>
      <w:r>
        <w:rPr>
          <w:rFonts w:ascii="宋体" w:hAnsi="宋体" w:cs="Courier New"/>
          <w:color w:val="000000"/>
          <w:sz w:val="24"/>
          <w:szCs w:val="24"/>
          <w:highlight w:val="none"/>
        </w:rPr>
        <w:t xml:space="preserve">****</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甲方：（买方</w:t>
      </w:r>
      <w:r>
        <w:rPr>
          <w:rFonts w:hint="eastAsia" w:hAnsi="宋体"/>
          <w:color w:val="000000"/>
          <w:sz w:val="24"/>
          <w:szCs w:val="24"/>
          <w:highlight w:val="none"/>
        </w:rPr>
        <w:t xml:space="preserve">/采购人</w:t>
      </w:r>
      <w:r>
        <w:rPr>
          <w:rFonts w:hAnsi="宋体"/>
          <w:color w:val="000000"/>
          <w:sz w:val="24"/>
          <w:szCs w:val="24"/>
          <w:highlight w:val="none"/>
        </w:rPr>
        <w:t xml:space="preserve">）_________</w:t>
      </w:r>
      <w:r>
        <w:rPr>
          <w:highlight w:val="none"/>
        </w:rPr>
      </w:r>
      <w:r/>
    </w:p>
    <w:p>
      <w:pPr>
        <w:pStyle w:val="997"/>
        <w:spacing w:before="120" w:after="120"/>
        <w:rPr>
          <w:rFonts w:hint="eastAsia" w:hAnsi="宋体"/>
          <w:color w:val="000000"/>
          <w:sz w:val="24"/>
          <w:szCs w:val="24"/>
          <w:highlight w:val="none"/>
        </w:rPr>
      </w:pPr>
      <w:r>
        <w:rPr>
          <w:rFonts w:hAnsi="宋体"/>
          <w:color w:val="000000"/>
          <w:sz w:val="24"/>
          <w:szCs w:val="24"/>
          <w:highlight w:val="none"/>
        </w:rPr>
        <w:t xml:space="preserve">乙方：（卖方</w:t>
      </w:r>
      <w:r>
        <w:rPr>
          <w:rFonts w:hint="eastAsia" w:hAnsi="宋体"/>
          <w:color w:val="000000"/>
          <w:sz w:val="24"/>
          <w:szCs w:val="24"/>
          <w:highlight w:val="none"/>
        </w:rPr>
        <w:t xml:space="preserve">/中标</w:t>
      </w:r>
      <w:r>
        <w:rPr>
          <w:rFonts w:hAnsi="宋体"/>
          <w:color w:val="000000"/>
          <w:sz w:val="24"/>
          <w:szCs w:val="24"/>
          <w:highlight w:val="none"/>
        </w:rPr>
        <w:t xml:space="preserve">供应商）_________</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rPr>
        <w:t xml:space="preserve">江苏省政府采购中心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highlight w:val="none"/>
        </w:rPr>
      </w:r>
      <w:r/>
    </w:p>
    <w:p>
      <w:pPr>
        <w:pStyle w:val="997"/>
        <w:spacing w:before="120" w:after="120"/>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highlight w:val="none"/>
        </w:rPr>
      </w:r>
      <w:r/>
    </w:p>
    <w:p>
      <w:pPr>
        <w:pStyle w:val="997"/>
        <w:spacing w:before="120" w:after="120"/>
        <w:rPr>
          <w:rFonts w:hint="eastAsia" w:hAnsi="宋体"/>
          <w:color w:val="000000"/>
          <w:sz w:val="24"/>
          <w:szCs w:val="24"/>
          <w:highlight w:val="none"/>
        </w:rPr>
      </w:pPr>
      <w:r>
        <w:rPr>
          <w:rFonts w:hint="eastAsia" w:hAnsi="宋体"/>
          <w:color w:val="000000"/>
          <w:sz w:val="24"/>
          <w:szCs w:val="24"/>
          <w:highlight w:val="none"/>
        </w:rPr>
        <w:t xml:space="preserve">1.3 标的数量（规模）：</w:t>
      </w:r>
      <w:r>
        <w:rPr>
          <w:highlight w:val="none"/>
        </w:rPr>
      </w:r>
      <w:r/>
    </w:p>
    <w:p>
      <w:pPr>
        <w:pStyle w:val="997"/>
        <w:spacing w:before="120" w:after="120"/>
        <w:rPr>
          <w:rFonts w:hint="eastAsia" w:hAnsi="宋体"/>
          <w:color w:val="000000"/>
          <w:sz w:val="24"/>
          <w:szCs w:val="24"/>
          <w:highlight w:val="none"/>
        </w:rPr>
      </w:pPr>
      <w:r>
        <w:rPr>
          <w:rFonts w:hint="eastAsia" w:hAnsi="宋体"/>
          <w:color w:val="000000"/>
          <w:sz w:val="24"/>
          <w:szCs w:val="24"/>
          <w:highlight w:val="none"/>
        </w:rPr>
        <w:t xml:space="preserve">1.4 履行时间（期限）：</w:t>
      </w:r>
      <w:r>
        <w:rPr>
          <w:highlight w:val="none"/>
        </w:rPr>
      </w:r>
      <w:r/>
    </w:p>
    <w:p>
      <w:pPr>
        <w:pStyle w:val="997"/>
        <w:spacing w:before="120" w:after="120"/>
        <w:rPr>
          <w:rFonts w:hAnsi="宋体"/>
          <w:color w:val="000000"/>
          <w:sz w:val="24"/>
          <w:szCs w:val="24"/>
          <w:highlight w:val="none"/>
        </w:rPr>
      </w:pPr>
      <w:r>
        <w:rPr>
          <w:rFonts w:hint="eastAsia" w:hAnsi="宋体"/>
          <w:color w:val="000000"/>
          <w:sz w:val="24"/>
          <w:szCs w:val="24"/>
          <w:highlight w:val="none"/>
        </w:rPr>
        <w:t xml:space="preserve">1.5 履行地点：</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 </w:t>
      </w:r>
      <w:r>
        <w:rPr>
          <w:rFonts w:hint="eastAsia" w:hAnsi="宋体"/>
          <w:color w:val="000000"/>
          <w:sz w:val="24"/>
          <w:szCs w:val="24"/>
          <w:highlight w:val="none"/>
        </w:rPr>
        <w:t xml:space="preserve">履行方式：</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二、合同金额</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三、技术资料</w:t>
      </w:r>
      <w:r>
        <w:rPr>
          <w:highlight w:val="none"/>
        </w:rPr>
      </w:r>
      <w:r/>
    </w:p>
    <w:p>
      <w:pPr>
        <w:pStyle w:val="997"/>
        <w:ind w:left="410" w:hanging="410"/>
        <w:spacing w:before="120" w:after="120"/>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997"/>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rPr>
          <w:highlight w:val="none"/>
        </w:rPr>
      </w:r>
      <w:r/>
    </w:p>
    <w:p>
      <w:pPr>
        <w:pStyle w:val="997"/>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r/>
    </w:p>
    <w:p>
      <w:pPr>
        <w:pStyle w:val="997"/>
        <w:spacing w:before="120" w:after="120"/>
        <w:rPr>
          <w:rFonts w:hAnsi="宋体"/>
          <w:color w:val="000000"/>
          <w:sz w:val="24"/>
          <w:szCs w:val="24"/>
          <w:highlight w:val="none"/>
          <w:u w:val="single"/>
        </w:rPr>
      </w:pPr>
      <w:r>
        <w:rPr>
          <w:rFonts w:hAnsi="宋体"/>
          <w:b/>
          <w:color w:val="000000"/>
          <w:sz w:val="24"/>
          <w:szCs w:val="24"/>
          <w:highlight w:val="none"/>
        </w:rPr>
        <w:t xml:space="preserve">五、产权担保</w:t>
      </w:r>
      <w:r>
        <w:rPr>
          <w:highlight w:val="none"/>
        </w:rPr>
      </w:r>
      <w:r/>
    </w:p>
    <w:p>
      <w:pPr>
        <w:pStyle w:val="997"/>
        <w:ind w:left="408" w:hanging="408"/>
        <w:spacing w:before="120" w:after="120"/>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highlight w:val="none"/>
        </w:rPr>
      </w:r>
      <w:r/>
    </w:p>
    <w:p>
      <w:pPr>
        <w:pStyle w:val="997"/>
        <w:ind w:left="410" w:hanging="410"/>
        <w:spacing w:before="120" w:after="120"/>
        <w:rPr>
          <w:rFonts w:hAnsi="宋体"/>
          <w:b/>
          <w:color w:val="000000"/>
          <w:sz w:val="24"/>
          <w:szCs w:val="24"/>
          <w:highlight w:val="none"/>
        </w:rPr>
      </w:pPr>
      <w:r>
        <w:rPr>
          <w:rFonts w:hAnsi="宋体"/>
          <w:b/>
          <w:color w:val="000000"/>
          <w:sz w:val="24"/>
          <w:szCs w:val="24"/>
          <w:highlight w:val="none"/>
        </w:rPr>
        <w:t xml:space="preserve">六、履约保证金</w:t>
      </w:r>
      <w:r>
        <w:rPr>
          <w:highlight w:val="none"/>
        </w:rPr>
      </w:r>
      <w:r/>
    </w:p>
    <w:p>
      <w:pPr>
        <w:pStyle w:val="958"/>
        <w:ind w:firstLine="480"/>
        <w:jc w:val="left"/>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6.1 中标人须在签订物业服务合同后5个工作日内，向采购人指定账户缴纳履约保证金人民币壹拾伍万元整（¥150000.00）。受托管理期满且中标人无任何违约情形的，采购人在期满后无息退还该保证金；若合同在期满前非因中标人违约原因而终止的，中标人有权要求采购人在合同终止手续办理完成后15个工作日内无息退还该保证金；若因中标人违约导致合同终止的，该保证金将根据合同约定不予退还，或用于抵扣相应违约金。</w:t>
      </w:r>
      <w:r>
        <w:rPr>
          <w:highlight w:val="none"/>
        </w:rPr>
      </w:r>
      <w:r/>
    </w:p>
    <w:p>
      <w:pPr>
        <w:pStyle w:val="958"/>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highlight w:val="none"/>
        </w:rPr>
      </w:r>
      <w:r/>
    </w:p>
    <w:p>
      <w:pPr>
        <w:pStyle w:val="958"/>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highlight w:val="none"/>
        </w:rPr>
      </w:r>
      <w:r/>
    </w:p>
    <w:p>
      <w:pPr>
        <w:pStyle w:val="958"/>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highlight w:val="none"/>
        </w:rPr>
      </w:r>
      <w:r/>
    </w:p>
    <w:p>
      <w:pPr>
        <w:pStyle w:val="958"/>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highlight w:val="none"/>
        </w:rPr>
      </w:r>
      <w:r/>
    </w:p>
    <w:p>
      <w:pPr>
        <w:pStyle w:val="997"/>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highlight w:val="none"/>
        </w:rPr>
      </w:r>
      <w:r/>
    </w:p>
    <w:p>
      <w:pPr>
        <w:pStyle w:val="958"/>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支付方式及安排：物业服务考核每3个月开展一次，考核得分在85分及以上的，采购人按合同约定足额支付当期合同款；考核得分在85分以下的，每低1分扣除当期合同款的1％。全年共计支付四次。考核得分低于75分（不含75分）的，采购人责令中标人限期整改；中标人连续2次或累计3次考核得分低于75分（不含75分）的，采购人有权单方终止合同。</w:t>
      </w:r>
      <w:r>
        <w:rPr>
          <w:highlight w:val="none"/>
        </w:rPr>
      </w:r>
      <w:r/>
    </w:p>
    <w:p>
      <w:pPr>
        <w:pStyle w:val="958"/>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highlight w:val="none"/>
        </w:rPr>
      </w:r>
      <w:r/>
    </w:p>
    <w:p>
      <w:pPr>
        <w:pStyle w:val="958"/>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997"/>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highlight w:val="none"/>
        </w:rPr>
      </w:r>
      <w:r/>
    </w:p>
    <w:p>
      <w:pPr>
        <w:pStyle w:val="997"/>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highlight w:val="none"/>
        </w:rPr>
      </w:r>
      <w:r/>
    </w:p>
    <w:p>
      <w:pPr>
        <w:pStyle w:val="997"/>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highlight w:val="none"/>
        </w:rPr>
      </w:r>
      <w:r/>
    </w:p>
    <w:p>
      <w:pPr>
        <w:pStyle w:val="997"/>
        <w:spacing w:before="120" w:after="120"/>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highlight w:val="none"/>
        </w:rPr>
      </w:r>
      <w:r/>
    </w:p>
    <w:p>
      <w:pPr>
        <w:pStyle w:val="997"/>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highlight w:val="none"/>
        </w:rPr>
      </w:r>
      <w:r/>
    </w:p>
    <w:p>
      <w:pPr>
        <w:pStyle w:val="997"/>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rPr>
          <w:highlight w:val="none"/>
        </w:rPr>
      </w:r>
      <w:r/>
    </w:p>
    <w:p>
      <w:pPr>
        <w:pStyle w:val="997"/>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highlight w:val="none"/>
        </w:rPr>
      </w:r>
      <w:r/>
    </w:p>
    <w:p>
      <w:pPr>
        <w:pStyle w:val="997"/>
        <w:ind w:left="480" w:hanging="480"/>
        <w:spacing w:before="120" w:after="120" w:line="0" w:lineRule="atLeast"/>
        <w:rPr>
          <w:rFonts w:hAnsi="宋体"/>
          <w:color w:val="000000"/>
          <w:sz w:val="24"/>
          <w:szCs w:val="24"/>
          <w:highlight w:val="none"/>
        </w:rPr>
      </w:pPr>
      <w:r>
        <w:rPr>
          <w:rFonts w:hAnsi="宋体"/>
          <w:color w:val="000000"/>
          <w:sz w:val="24"/>
          <w:szCs w:val="24"/>
          <w:highlight w:val="none"/>
        </w:rPr>
        <w:t xml:space="preserve">  甲方：                        乙方： </w:t>
      </w:r>
      <w:r>
        <w:rPr>
          <w:highlight w:val="none"/>
        </w:rPr>
      </w:r>
      <w:r/>
    </w:p>
    <w:p>
      <w:pPr>
        <w:pStyle w:val="997"/>
        <w:spacing w:before="120" w:after="120" w:line="0" w:lineRule="atLeas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highlight w:val="none"/>
        </w:rPr>
      </w:r>
      <w:r/>
    </w:p>
    <w:p>
      <w:pPr>
        <w:pStyle w:val="997"/>
        <w:spacing w:before="120" w:after="120" w:line="0" w:lineRule="atLeas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highlight w:val="none"/>
        </w:rPr>
      </w:r>
      <w:r/>
    </w:p>
    <w:p>
      <w:pPr>
        <w:pStyle w:val="997"/>
        <w:ind w:firstLine="240"/>
        <w:spacing w:before="120" w:after="120" w:line="0" w:lineRule="atLeast"/>
        <w:rPr>
          <w:rFonts w:hint="eastAsia"/>
          <w:color w:val="000000"/>
          <w:highlight w:val="none"/>
        </w:rPr>
      </w:pPr>
      <w:r>
        <w:rPr>
          <w:rFonts w:hint="eastAsia" w:hAnsi="宋体"/>
          <w:color w:val="000000"/>
          <w:sz w:val="24"/>
          <w:szCs w:val="24"/>
          <w:highlight w:val="none"/>
        </w:rPr>
        <w:t xml:space="preserve">联系电话：                    联系电话：          </w:t>
      </w:r>
      <w:r>
        <w:rPr>
          <w:highlight w:val="none"/>
        </w:rPr>
      </w:r>
      <w:r/>
    </w:p>
    <w:p>
      <w:pPr>
        <w:pStyle w:val="997"/>
        <w:jc w:val="center"/>
        <w:spacing w:before="120" w:after="120" w:line="0" w:lineRule="atLeast"/>
        <w:rPr>
          <w:color w:val="000000"/>
          <w:highlight w:val="none"/>
        </w:rPr>
      </w:pPr>
      <w:r>
        <w:rPr>
          <w:rFonts w:hint="eastAsia"/>
          <w:color w:val="000000"/>
          <w:highlight w:val="none"/>
        </w:rPr>
        <w:t xml:space="preserve">                                         </w:t>
      </w:r>
      <w:r>
        <w:rPr>
          <w:highlight w:val="none"/>
        </w:rPr>
      </w:r>
      <w:r/>
    </w:p>
    <w:p>
      <w:pPr>
        <w:pStyle w:val="997"/>
        <w:jc w:val="right"/>
        <w:spacing w:before="120" w:after="120" w:line="0" w:lineRule="atLeast"/>
        <w:rPr>
          <w:color w:val="000000"/>
          <w:sz w:val="24"/>
          <w:szCs w:val="24"/>
          <w:highlight w:val="none"/>
        </w:rPr>
      </w:pPr>
      <w:r>
        <w:rPr>
          <w:rFonts w:hint="eastAsia"/>
          <w:color w:val="000000"/>
          <w:sz w:val="24"/>
          <w:szCs w:val="24"/>
          <w:highlight w:val="none"/>
        </w:rPr>
        <w:t xml:space="preserve"> </w:t>
      </w:r>
      <w:r>
        <w:rPr>
          <w:highlight w:val="none"/>
        </w:rPr>
      </w:r>
      <w:r/>
    </w:p>
    <w:p>
      <w:pPr>
        <w:pStyle w:val="997"/>
        <w:jc w:val="center"/>
        <w:spacing w:before="120" w:after="120" w:line="0" w:lineRule="atLeast"/>
        <w:rPr>
          <w:rFonts w:hint="eastAsia" w:hAnsi="宋体"/>
          <w:color w:val="000000"/>
          <w:sz w:val="24"/>
          <w:szCs w:val="24"/>
          <w:highlight w:val="none"/>
        </w:rPr>
      </w:pP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bookmarkEnd w:id="179"/>
      <w:r>
        <w:rPr>
          <w:highlight w:val="none"/>
        </w:rPr>
      </w:r>
      <w:bookmarkEnd w:id="180"/>
      <w:r>
        <w:rPr>
          <w:highlight w:val="none"/>
        </w:rPr>
      </w:r>
      <w:bookmarkEnd w:id="181"/>
      <w:r>
        <w:rPr>
          <w:highlight w:val="none"/>
        </w:rPr>
      </w:r>
      <w:bookmarkStart w:id="182" w:name="_Hlt16619369"/>
      <w:r>
        <w:rPr>
          <w:highlight w:val="none"/>
        </w:rPr>
      </w:r>
      <w:bookmarkEnd w:id="182"/>
      <w:r>
        <w:rPr>
          <w:highlight w:val="none"/>
        </w:rPr>
      </w:r>
      <w:bookmarkStart w:id="183" w:name="_Hlt16619350"/>
      <w:r>
        <w:rPr>
          <w:highlight w:val="none"/>
        </w:rPr>
      </w:r>
      <w:bookmarkStart w:id="184" w:name="_Toc120614244"/>
      <w:r>
        <w:rPr>
          <w:highlight w:val="none"/>
        </w:rPr>
      </w:r>
      <w:bookmarkStart w:id="185" w:name="_Toc20823346"/>
      <w:r>
        <w:rPr>
          <w:highlight w:val="none"/>
        </w:rPr>
      </w:r>
      <w:bookmarkStart w:id="186" w:name="_Toc16938590"/>
      <w:r>
        <w:rPr>
          <w:highlight w:val="none"/>
        </w:rPr>
      </w:r>
      <w:bookmarkStart w:id="187" w:name="_Toc479757211"/>
      <w:r>
        <w:rPr>
          <w:highlight w:val="none"/>
        </w:rPr>
      </w:r>
      <w:bookmarkStart w:id="188" w:name="_Toc462564139"/>
      <w:r>
        <w:rPr>
          <w:rFonts w:ascii="黑体" w:eastAsia="黑体"/>
          <w:bCs/>
          <w:color w:val="000000"/>
          <w:sz w:val="44"/>
          <w:highlight w:val="none"/>
        </w:rPr>
        <w:br w:type="page" w:clear="all"/>
      </w:r>
      <w:r>
        <w:rPr>
          <w:rFonts w:hint="eastAsia" w:ascii="黑体" w:eastAsia="黑体"/>
          <w:bCs/>
          <w:color w:val="000000"/>
          <w:sz w:val="44"/>
          <w:highlight w:val="none"/>
        </w:rPr>
        <w:t xml:space="preserve">第</w:t>
      </w:r>
      <w:bookmarkEnd w:id="183"/>
      <w:r>
        <w:rPr>
          <w:rFonts w:hint="eastAsia" w:ascii="黑体" w:eastAsia="黑体"/>
          <w:bCs/>
          <w:color w:val="000000"/>
          <w:sz w:val="44"/>
          <w:highlight w:val="none"/>
        </w:rPr>
        <w:t xml:space="preserve">四章 采购需求</w:t>
      </w:r>
      <w:bookmarkEnd w:id="184"/>
      <w:r>
        <w:rPr>
          <w:highlight w:val="none"/>
        </w:rPr>
      </w:r>
      <w:bookmarkEnd w:id="185"/>
      <w:r>
        <w:rPr>
          <w:highlight w:val="none"/>
        </w:rPr>
      </w:r>
      <w:bookmarkEnd w:id="186"/>
      <w:r>
        <w:rPr>
          <w:highlight w:val="none"/>
        </w:rPr>
      </w:r>
      <w:r/>
    </w:p>
    <w:p>
      <w:pPr>
        <w:pStyle w:val="958"/>
        <w:spacing w:line="0" w:lineRule="atLeast"/>
        <w:rPr>
          <w:rFonts w:ascii="宋体" w:hAnsi="宋体"/>
          <w:b/>
          <w:color w:val="000000"/>
          <w:sz w:val="24"/>
          <w:szCs w:val="24"/>
          <w:highlight w:val="none"/>
        </w:rPr>
      </w:pPr>
      <w:r>
        <w:rPr>
          <w:highlight w:val="none"/>
        </w:rPr>
      </w:r>
      <w:bookmarkStart w:id="189" w:name="_Toc49090575"/>
      <w:r>
        <w:rPr>
          <w:highlight w:val="none"/>
        </w:rPr>
      </w:r>
      <w:bookmarkStart w:id="190" w:name="_Toc26554093"/>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采购包</w:t>
            </w:r>
            <w:r>
              <w:rPr>
                <w:highlight w:val="none"/>
              </w:rPr>
            </w:r>
            <w:r/>
          </w:p>
        </w:tc>
        <w:tc>
          <w:tcPr>
            <w:tcW w:w="545" w:type="dxa"/>
            <w:vAlign w:val="center"/>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291" w:type="dxa"/>
            <w:vAlign w:val="center"/>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highlight w:val="none"/>
              </w:rPr>
            </w:r>
            <w:r/>
          </w:p>
        </w:tc>
        <w:tc>
          <w:tcPr>
            <w:tcW w:w="2852" w:type="dxa"/>
            <w:vAlign w:val="center"/>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highlight w:val="none"/>
              </w:rPr>
            </w:r>
            <w:r/>
          </w:p>
        </w:tc>
      </w:tr>
      <w:tr>
        <w:trPr>
          <w:cantSplit/>
          <w:trHeight w:val="291"/>
        </w:trPr>
        <w:tc>
          <w:tcPr>
            <w:tcW w:w="545" w:type="dxa"/>
            <w:vAlign w:val="top"/>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w:t>
            </w:r>
            <w:r>
              <w:rPr>
                <w:highlight w:val="none"/>
              </w:rPr>
            </w:r>
            <w:r/>
          </w:p>
        </w:tc>
        <w:tc>
          <w:tcPr>
            <w:tcW w:w="545" w:type="dxa"/>
            <w:vAlign w:val="top"/>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291" w:type="dxa"/>
            <w:vAlign w:val="top"/>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2026-2028年江苏农林职业技术学院茅山校区物业服务</w:t>
            </w:r>
            <w:r>
              <w:rPr>
                <w:highlight w:val="none"/>
              </w:rPr>
            </w:r>
            <w:r/>
          </w:p>
        </w:tc>
        <w:tc>
          <w:tcPr>
            <w:tcW w:w="2852" w:type="dxa"/>
            <w:vAlign w:val="top"/>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物业管理服务</w:t>
            </w:r>
            <w:r>
              <w:rPr>
                <w:highlight w:val="none"/>
              </w:rPr>
            </w:r>
            <w:r/>
          </w:p>
        </w:tc>
      </w:tr>
    </w:tbl>
    <w:p>
      <w:pPr>
        <w:pStyle w:val="958"/>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r>
      <w:r>
        <w:rPr>
          <w:highlight w:val="none"/>
        </w:rPr>
      </w:r>
      <w:r/>
    </w:p>
    <w:p>
      <w:pPr>
        <w:pStyle w:val="958"/>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项目属性:服务类项目。</w:t>
      </w:r>
      <w:r>
        <w:rPr>
          <w:highlight w:val="none"/>
        </w:rPr>
      </w:r>
      <w:r/>
    </w:p>
    <w:p>
      <w:pPr>
        <w:pStyle w:val="961"/>
        <w:ind w:firstLine="422"/>
        <w:spacing w:before="0" w:after="0" w:line="440" w:lineRule="exact"/>
        <w:rPr>
          <w:rFonts w:hint="eastAsia"/>
          <w:color w:val="000000"/>
          <w:sz w:val="24"/>
          <w:szCs w:val="24"/>
          <w:highlight w:val="none"/>
        </w:rPr>
      </w:pPr>
      <w:r>
        <w:rPr>
          <w:rFonts w:hint="eastAsia"/>
          <w:color w:val="000000"/>
          <w:sz w:val="24"/>
          <w:szCs w:val="24"/>
          <w:highlight w:val="none"/>
        </w:rPr>
        <w:t xml:space="preserve">一、项目概况</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江苏农林职业技术学院茅山校区落于句容市茅山镇，占地面积约200亩，建筑面积约5万㎡。物业服务覆盖校区内行政办公楼1栋、教学楼2栋、学生公寓6栋、图书信息中心1栋、报告厅1栋、艺体中心1栋，以及文创园、实境课堂、心理咨询中心、快递中心等区域；同时包含校园主干道与支路、水域、2块运动场（含看台）、停车场、广场、1个垃圾中转场及其他公共区域。目前校区内学生床位数约2500个，教职工及社会性人员约100人。</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（一）物业服务内容</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本项目物业管理服务内容主要包含以下</w:t>
      </w:r>
      <w:r>
        <w:rPr>
          <w:rFonts w:hint="eastAsia"/>
          <w:bCs/>
          <w:color w:val="000000"/>
          <w:sz w:val="24"/>
          <w:szCs w:val="24"/>
          <w:highlight w:val="none"/>
          <w:lang w:val="en-US" w:eastAsia="zh-CN"/>
        </w:rPr>
        <w:t xml:space="preserve">十</w:t>
      </w:r>
      <w:r>
        <w:rPr>
          <w:rFonts w:hint="eastAsia"/>
          <w:bCs/>
          <w:color w:val="000000"/>
          <w:sz w:val="24"/>
          <w:szCs w:val="24"/>
          <w:highlight w:val="none"/>
        </w:rPr>
        <w:t xml:space="preserve">大类别：</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1.公共设施管理：包括但不限于各类设施设备的使用与管理、日常维护保养、维修、巡查与值守以及固定资产的盘点统计与管理等；</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2.小型维修服务：包括但不限于开展水电、消防设施、教室及实训场地公共区域、学生宿舍等公共设施的管理维护与维修，负责校园弱电设备系统、配电房、开闭所、污水设备的运行管理，协助完成大型维修与改造项目等；</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3.环境卫生管理：包括但不限于对校园公共区域、教学实训区域、办公区域、学生宿舍、食堂周边等进行保洁作业，开展生活生产垃圾清运、化粪池清理、垃圾处理与消杀防疫、水面及池塘清理等工作；</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4.学生公寓管理服务：包括但不限于实施</w:t>
      </w:r>
      <w:bookmarkStart w:id="191" w:name="OLE_LINK4"/>
      <w:r>
        <w:rPr>
          <w:rFonts w:hint="eastAsia"/>
          <w:bCs/>
          <w:color w:val="000000"/>
          <w:sz w:val="24"/>
          <w:szCs w:val="24"/>
          <w:highlight w:val="none"/>
        </w:rPr>
        <w:t xml:space="preserve">住宿秩序管理、安全管控、卫生管理、设施设备管理、人员管理、应急管理，提供基础住宿、后勤保障、育人辅助、便民贴心等相关服务</w:t>
      </w:r>
      <w:bookmarkEnd w:id="191"/>
      <w:r>
        <w:rPr>
          <w:rFonts w:hint="eastAsia"/>
          <w:bCs/>
          <w:color w:val="000000"/>
          <w:sz w:val="24"/>
          <w:szCs w:val="24"/>
          <w:highlight w:val="none"/>
        </w:rPr>
        <w:t xml:space="preserve">；</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5.楼宇管理服务：包括但不限落实楼宇门禁与人员管控、楼宇结构与公共部位管护、楼宇设施运维管理、楼宇消防安防管理，以及台账与巡检管理等工作；</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6.用电保障服务：包括但不限于提供用电保障基础服务、重点区域专项用电保障，实施用电安全全流程管控、停电管理与应急处置，规范日常用电管理工作；</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7.绿化服务：包括但不限于开展绿植浇水、施肥、修剪整形、病虫害防治、除杂草松土、补植等作业，做好绿化垃圾清理、防风防汛、绿植保护等工作；</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8.教学会议保障服务：包括但不限于为校区教学活动、各类会议提供全程保障服务；</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9. 生活生产垃圾清运服务：包括但不限于按要求分类收集垃圾、按时清运，做好收集点保洁与台账登记，每日巡查各垃圾点位，排查堆积、渗漏、异味等问题，及时整改并上报；对接校方后勤及合规清运单位，做好垃圾合规交接与安全隐患处置工作。</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lang w:val="en-US" w:eastAsia="zh-CN"/>
        </w:rPr>
        <w:t xml:space="preserve">1</w:t>
      </w:r>
      <w:r>
        <w:rPr>
          <w:rFonts w:hint="eastAsia"/>
          <w:bCs/>
          <w:color w:val="000000"/>
          <w:sz w:val="24"/>
          <w:szCs w:val="24"/>
          <w:highlight w:val="none"/>
          <w:lang w:val="en-US" w:eastAsia="zh-CN"/>
        </w:rPr>
        <w:t xml:space="preserve">0.</w:t>
      </w:r>
      <w:r>
        <w:rPr>
          <w:rFonts w:hint="eastAsia"/>
          <w:bCs/>
          <w:color w:val="000000"/>
          <w:sz w:val="24"/>
          <w:szCs w:val="24"/>
          <w:highlight w:val="none"/>
        </w:rPr>
        <w:t xml:space="preserve">校园应急保障服务：包括但不限于针对重点应急场景、水电设施突发状况、恶劣天气、治安与突发事件、公共卫生事件等开展应急处置，落实日常应急保障基础工作。</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（二）服务区域范围</w:t>
      </w:r>
      <w:r>
        <w:rPr>
          <w:highlight w:val="none"/>
        </w:rPr>
      </w:r>
      <w:r/>
    </w:p>
    <w:p>
      <w:pPr>
        <w:pStyle w:val="958"/>
        <w:ind w:firstLine="480"/>
        <w:jc w:val="left"/>
        <w:spacing w:line="440" w:lineRule="exact"/>
        <w:widowControl/>
        <w:rPr>
          <w:rFonts w:hint="eastAsia"/>
          <w:bCs/>
          <w:color w:val="000000"/>
          <w:sz w:val="24"/>
          <w:szCs w:val="24"/>
          <w:highlight w:val="none"/>
        </w:rPr>
      </w:pPr>
      <w:r>
        <w:rPr>
          <w:rFonts w:hint="eastAsia"/>
          <w:bCs/>
          <w:color w:val="000000"/>
          <w:sz w:val="24"/>
          <w:szCs w:val="24"/>
          <w:highlight w:val="none"/>
        </w:rPr>
        <w:t xml:space="preserve">本项目物业服务区域为江苏农林职业技术学院茅山校区全域。</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（三）服务方案</w:t>
      </w:r>
      <w:r>
        <w:rPr>
          <w:highlight w:val="none"/>
        </w:rPr>
      </w:r>
      <w:r/>
    </w:p>
    <w:p>
      <w:pPr>
        <w:pStyle w:val="958"/>
        <w:ind w:firstLine="480"/>
        <w:jc w:val="left"/>
        <w:spacing w:line="440" w:lineRule="exact"/>
        <w:widowControl/>
        <w:rPr>
          <w:rFonts w:hint="eastAsia"/>
          <w:bCs/>
          <w:color w:val="000000"/>
          <w:sz w:val="24"/>
          <w:szCs w:val="24"/>
          <w:highlight w:val="none"/>
        </w:rPr>
      </w:pPr>
      <w:r>
        <w:rPr>
          <w:highlight w:val="none"/>
        </w:rPr>
      </w:r>
      <w:bookmarkStart w:id="192" w:name="OLE_LINK1"/>
      <w:r>
        <w:rPr>
          <w:rFonts w:hint="eastAsia"/>
          <w:bCs/>
          <w:color w:val="000000"/>
          <w:sz w:val="24"/>
          <w:szCs w:val="24"/>
          <w:highlight w:val="none"/>
        </w:rPr>
        <w:t xml:space="preserve">投标人提交的物业服务方案，须对本项目进行全面系统的总体分析，提出总体物业管理服务模式及服务理念，明确对本项目的整体服务设想、拟采用的管理服务模式等核心内容，紧扣采购人实际物业服务需求，兼具前瞻性、科学性和可操作性。做到管理服务定位准确、思路清晰、目标合理，应对措施具有较强的针对性；须结合项目现场实际情况，精准识别项目特点、服务难点和关键管控点，对潜在服务需求做出合理预判；管理架构设置须科学合理、运行高效，能为物业服务质量提供有力保障；人员培训安排须贴合项目实际，具有针对性，能满足项目现场日常管理需求。</w:t>
      </w:r>
      <w:bookmarkEnd w:id="192"/>
      <w:r>
        <w:rPr>
          <w:highlight w:val="none"/>
        </w:rPr>
      </w:r>
      <w:r/>
    </w:p>
    <w:p>
      <w:pPr>
        <w:pStyle w:val="958"/>
        <w:ind w:firstLine="480"/>
        <w:jc w:val="left"/>
        <w:spacing w:line="440" w:lineRule="exact"/>
        <w:widowControl/>
        <w:rPr>
          <w:bCs/>
          <w:color w:val="000000"/>
          <w:sz w:val="24"/>
          <w:szCs w:val="24"/>
          <w:highlight w:val="none"/>
        </w:rPr>
      </w:pPr>
      <w:r>
        <w:rPr>
          <w:rFonts w:hint="eastAsia"/>
          <w:bCs/>
          <w:color w:val="000000"/>
          <w:sz w:val="24"/>
          <w:szCs w:val="24"/>
          <w:highlight w:val="none"/>
        </w:rPr>
        <w:t xml:space="preserve">物业服务方案至少包含以下内容：</w:t>
      </w:r>
      <w:r>
        <w:rPr>
          <w:highlight w:val="none"/>
        </w:rPr>
      </w:r>
      <w:r/>
    </w:p>
    <w:p>
      <w:pPr>
        <w:pStyle w:val="958"/>
        <w:numPr>
          <w:ilvl w:val="0"/>
          <w:numId w:val="0"/>
        </w:numPr>
        <w:ind w:left="842" w:hanging="360"/>
        <w:jc w:val="left"/>
        <w:spacing w:line="440" w:lineRule="exact"/>
        <w:widowControl/>
        <w:rPr>
          <w:rFonts w:ascii="宋体" w:hAnsi="宋体" w:cs="宋体"/>
          <w:b/>
          <w:bCs/>
          <w:color w:val="000000"/>
          <w:sz w:val="24"/>
          <w:szCs w:val="24"/>
          <w:highlight w:val="none"/>
        </w:rPr>
      </w:pPr>
      <w:r>
        <w:rPr>
          <w:rFonts w:ascii="Times New Roman" w:hAnsi="Times New Roman" w:cs="Times New Roman"/>
          <w:b/>
          <w:bCs/>
          <w:color w:val="000000"/>
          <w:sz w:val="24"/>
          <w:szCs w:val="24"/>
          <w:highlight w:val="none"/>
          <w:lang w:val="en-US" w:eastAsia="zh-CN" w:bidi="ar-SA"/>
        </w:rPr>
        <w:t xml:space="preserve">1.</w:t>
      </w:r>
      <w:r>
        <w:rPr>
          <w:rFonts w:ascii="宋体" w:hAnsi="宋体" w:cs="宋体"/>
          <w:b/>
          <w:bCs/>
          <w:color w:val="000000"/>
          <w:sz w:val="24"/>
          <w:szCs w:val="24"/>
          <w:highlight w:val="none"/>
        </w:rPr>
        <w:t xml:space="preserve">项目认知及重难点分析</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基于对茅山校区的地理位置、办学特点及物业委托服务范围的深入调研，从项目背景、服务需求、工作范围三个维度进行全面系统的认知分析。本项目地处茅山校区，集教学实训、学生住宿、行政办公、文体活动等多功能于一体，服务范围覆盖公共设施管理、小型维修、环境卫生、绿化养护、楼宇管理、用电保障、公寓24小时值守、教学会议保障、垃圾清运及应急保障等板块，具有服务对象多元化、设施设备繁杂、保障时效要求高、安全责任重大的显著特点。供应商须明确“安全有序、环境优美、响应迅</w:t>
      </w:r>
      <w:r>
        <w:rPr>
          <w:bCs/>
          <w:color w:val="000000"/>
          <w:sz w:val="24"/>
          <w:szCs w:val="24"/>
          <w:highlight w:val="none"/>
        </w:rPr>
        <w:t xml:space="preserve">速、师生满意”的整体服务目标，并针对以下重难点提出针对性应对方案：一是学生公寓24小时安全管理与育人服务的深度融合，需建立专业化宿管队伍，完善晚归登记、违禁品排查及突发事件处置机制，同时配合校方开展宿舍文明建设；二是教学实训区域设施高频率使用与保障压力，须落实课前巡检、课中值守、课后快修的全流程保障体系，确保教学秩序零干扰；三是核心供电设施全年无故障运行的技术挑战，需配置持证高压电工24小时值班，严格执行预防性试验与隐患排查；四是多业态交织下的环境卫生与垃圾分类管控难度，应分区细化保洁标准，建立生活生产垃圾</w:t>
      </w:r>
      <w:r>
        <w:rPr>
          <w:rFonts w:hint="eastAsia"/>
          <w:bCs/>
          <w:color w:val="000000"/>
          <w:sz w:val="24"/>
          <w:szCs w:val="24"/>
          <w:highlight w:val="none"/>
        </w:rPr>
        <w:t xml:space="preserve">及</w:t>
      </w:r>
      <w:r>
        <w:rPr>
          <w:bCs/>
          <w:color w:val="000000"/>
          <w:sz w:val="24"/>
          <w:szCs w:val="24"/>
          <w:highlight w:val="none"/>
        </w:rPr>
        <w:t xml:space="preserve">危险废料的合规处置流程；五是校园应急保障的复杂性与时效性要求，须构建覆盖消防、水电、恶劣天气、治安事件的全方位应急预案，落实3-5分钟到场处置机制。针对上述重难点，供应商须提出切实可行的应对策略与保障措施，体现对项目复杂性的深刻把握和专业化解决问题的能力。</w:t>
      </w:r>
      <w:r>
        <w:rPr>
          <w:highlight w:val="none"/>
        </w:rPr>
      </w:r>
      <w:r/>
    </w:p>
    <w:p>
      <w:pPr>
        <w:pStyle w:val="958"/>
        <w:numPr>
          <w:ilvl w:val="0"/>
          <w:numId w:val="0"/>
        </w:numPr>
        <w:ind w:left="842" w:hanging="360"/>
        <w:jc w:val="left"/>
        <w:spacing w:line="440" w:lineRule="exact"/>
        <w:widowControl/>
        <w:rPr>
          <w:b/>
          <w:color w:val="000000"/>
          <w:sz w:val="24"/>
          <w:szCs w:val="24"/>
          <w:highlight w:val="none"/>
        </w:rPr>
      </w:pPr>
      <w:r>
        <w:rPr>
          <w:rFonts w:ascii="Times New Roman" w:hAnsi="Times New Roman" w:cs="Times New Roman"/>
          <w:b/>
          <w:color w:val="000000"/>
          <w:sz w:val="24"/>
          <w:szCs w:val="24"/>
          <w:highlight w:val="none"/>
          <w:lang w:val="en-US" w:eastAsia="zh-CN" w:bidi="ar-SA"/>
        </w:rPr>
        <w:t xml:space="preserve">2.</w:t>
      </w:r>
      <w:r>
        <w:rPr>
          <w:rFonts w:ascii="宋体" w:hAnsi="宋体" w:cs="宋体"/>
          <w:b/>
          <w:bCs/>
          <w:color w:val="000000"/>
          <w:sz w:val="24"/>
          <w:szCs w:val="24"/>
          <w:highlight w:val="none"/>
        </w:rPr>
        <w:t xml:space="preserve">安全文明管理制度</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严格遵守国家安全法规及校方管理规定，制定覆盖消防安全、用电安全、作业安全、治安防范、行为规范等方面的安全文明管理制度体系。制度应明确各岗位安全责任清单，细化带电涉水作业、高空作业等特种作业的安全防护标准与操作流程，落实配电房、消防通道、危废暂存点等重点部位的日常巡查与隐患整改闭环机制。同时，对从业人员统一着装、文明用语、挂牌上岗、工位禁烟等行为规范作出明确规定，确保物业服务过程安全有序、文明规范，杜绝安全责任事故。</w:t>
      </w:r>
      <w:r>
        <w:rPr>
          <w:highlight w:val="none"/>
        </w:rPr>
      </w:r>
      <w:r/>
    </w:p>
    <w:p>
      <w:pPr>
        <w:pStyle w:val="958"/>
        <w:numPr>
          <w:ilvl w:val="0"/>
          <w:numId w:val="0"/>
        </w:numPr>
        <w:ind w:left="842" w:hanging="360"/>
        <w:jc w:val="left"/>
        <w:spacing w:line="440" w:lineRule="exact"/>
        <w:widowControl/>
        <w:rPr>
          <w:b/>
          <w:color w:val="000000"/>
          <w:sz w:val="24"/>
          <w:szCs w:val="24"/>
          <w:highlight w:val="none"/>
        </w:rPr>
      </w:pPr>
      <w:r>
        <w:rPr>
          <w:rFonts w:ascii="Times New Roman" w:hAnsi="Times New Roman" w:cs="Times New Roman"/>
          <w:b/>
          <w:color w:val="000000"/>
          <w:sz w:val="24"/>
          <w:szCs w:val="24"/>
          <w:highlight w:val="none"/>
          <w:lang w:val="en-US" w:eastAsia="zh-CN" w:bidi="ar-SA"/>
        </w:rPr>
        <w:t xml:space="preserve">3.</w:t>
      </w:r>
      <w:r>
        <w:rPr>
          <w:rFonts w:ascii="宋体" w:hAnsi="宋体" w:cs="宋体"/>
          <w:b/>
          <w:bCs/>
          <w:color w:val="000000"/>
          <w:sz w:val="24"/>
          <w:szCs w:val="24"/>
          <w:highlight w:val="none"/>
        </w:rPr>
        <w:t xml:space="preserve">人员考核管理制度</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结合校区物业服务岗位多样化的特点，制定覆盖项目经理到一线保洁、维修、宿管、绿化等所有岗位的人员考核管理制度。制度应建立量化考核指标体系，将工作纪律、服务态度、任务完成质量、师生满意度、应急处置表现等内容纳入考核范畴，实行日常抽查、月度考评与季度综合评定相结合的方式。考核结果应直接与员工薪酬待遇、评优晋升挂钩，建立奖惩分明的激励约束机制，激发员工工作积极性与主动性，保障整体服务品质持续优化。</w:t>
      </w:r>
      <w:r>
        <w:rPr>
          <w:highlight w:val="none"/>
        </w:rPr>
      </w:r>
      <w:r/>
    </w:p>
    <w:p>
      <w:pPr>
        <w:pStyle w:val="958"/>
        <w:numPr>
          <w:ilvl w:val="0"/>
          <w:numId w:val="0"/>
        </w:numPr>
        <w:ind w:left="842" w:hanging="360"/>
        <w:jc w:val="left"/>
        <w:spacing w:line="440" w:lineRule="exact"/>
        <w:widowControl/>
        <w:rPr>
          <w:b/>
          <w:color w:val="000000"/>
          <w:sz w:val="24"/>
          <w:szCs w:val="24"/>
          <w:highlight w:val="none"/>
        </w:rPr>
      </w:pPr>
      <w:r>
        <w:rPr>
          <w:rFonts w:ascii="Times New Roman" w:hAnsi="Times New Roman" w:cs="Times New Roman"/>
          <w:b/>
          <w:color w:val="000000"/>
          <w:sz w:val="24"/>
          <w:szCs w:val="24"/>
          <w:highlight w:val="none"/>
          <w:lang w:val="en-US" w:eastAsia="zh-CN" w:bidi="ar-SA"/>
        </w:rPr>
        <w:t xml:space="preserve">4.</w:t>
      </w:r>
      <w:r>
        <w:rPr>
          <w:rFonts w:hint="eastAsia" w:ascii="宋体" w:hAnsi="宋体" w:cs="宋体"/>
          <w:b/>
          <w:bCs/>
          <w:color w:val="000000"/>
          <w:sz w:val="24"/>
          <w:szCs w:val="24"/>
          <w:highlight w:val="none"/>
        </w:rPr>
        <w:t xml:space="preserve">物业档案及台账管理制度</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建立标准化、数字化、可追溯的物业档案及台账管理制度。制度应明确各类档案资料的收集范围（包括但不限于设施设备台账、巡检维修记录、保洁消杀记录、值班值守日志、师生投诉处理记录、应急预案演练记录等）、归档标准、保管期限及查阅权限。台账记录须真实、准确、完整，确保纸质台账与信息化管理系统数据同步。通过完善的档案管理，为日常服务监督、问题复盘溯源、服务质量评估提供坚实的数据支撑。</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5</w:t>
      </w:r>
      <w:r>
        <w:rPr>
          <w:rFonts w:hint="eastAsia"/>
          <w:b/>
          <w:color w:val="000000"/>
          <w:sz w:val="24"/>
          <w:szCs w:val="24"/>
          <w:highlight w:val="none"/>
        </w:rPr>
        <w:t xml:space="preserve">.公共设施管理服务方案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根据校区公共设施分布广、类型多的特点，制定覆盖设施台账建立、日常巡检维护、故障分级响应、重大事项报告等全流程的公共设施管理服务方案。方案应明确各类设施的巡查频次、保养标准及完好率目标，严格执行5分钟响应、2小时修复的报修时效要求，同时建立设施运行档案与维修记录，确保设施管理精细化、常态化、可追溯。</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6</w:t>
      </w:r>
      <w:r>
        <w:rPr>
          <w:rFonts w:hint="eastAsia"/>
          <w:b/>
          <w:color w:val="000000"/>
          <w:sz w:val="24"/>
          <w:szCs w:val="24"/>
          <w:highlight w:val="none"/>
        </w:rPr>
        <w:t xml:space="preserve">.学生公寓服务方案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根据本项目要求，并结合学生公寓特点和学生需求，立足教育、管理、服务“三位一体”，制定学生公寓服务方案，包括住宿秩序管理、安全管控、卫生管理、设施设备管理、人员管理、应急管理，提供基础住宿、后勤保障、育人辅助、便民贴心等相关服务等方面。方案应完整全面、科学合理、切实可行，既要体现公寓物业服务的共性，也要体现高校学生公寓作为育人重要阵地的价值。</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7</w:t>
      </w:r>
      <w:r>
        <w:rPr>
          <w:rFonts w:hint="eastAsia"/>
          <w:b/>
          <w:color w:val="000000"/>
          <w:sz w:val="24"/>
          <w:szCs w:val="24"/>
          <w:highlight w:val="none"/>
        </w:rPr>
        <w:t xml:space="preserve">.环境卫生服务方案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根据校区室内外各类区域的保洁需求，制定分级分类的环境卫生服务方案，涵盖公共区域、教学实训区、宿舍区、食堂周边、绿化区域及卫生间的日常保洁、循环保洁和周期性深度清洁。方案须明确各区域的清洁频次、作业流程、质量标准及消杀防疫要求，落实垃圾分类收集与日产日清，并针对大型活动、恶劣天气等特殊情形制定专项保洁保障措施。</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8</w:t>
      </w:r>
      <w:r>
        <w:rPr>
          <w:rFonts w:hint="eastAsia"/>
          <w:b/>
          <w:color w:val="000000"/>
          <w:sz w:val="24"/>
          <w:szCs w:val="24"/>
          <w:highlight w:val="none"/>
        </w:rPr>
        <w:t xml:space="preserve">.楼宇综合管理服务方案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根据教学楼、行政楼、实训楼、艺体中心等不同楼宇的功能特点，制定差异化的楼宇综合管理服务方案，包括门禁管控、秩序维护、结构巡查、设施巡检、消防安全检查等内容。方案应明确各楼宇的开放关闭管理、外来人员登记、课后清场巡查等具体要求，建立日常巡检台账与问题整改闭环机制，确保楼宇使用安全、秩序规范、环境整洁。</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9</w:t>
      </w:r>
      <w:r>
        <w:rPr>
          <w:rFonts w:hint="eastAsia"/>
          <w:b/>
          <w:color w:val="000000"/>
          <w:sz w:val="24"/>
          <w:szCs w:val="24"/>
          <w:highlight w:val="none"/>
        </w:rPr>
        <w:t xml:space="preserve">.绿化养护服务方案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依据江苏省城市园林绿化一级养护标准，结合茅山校区气候与植物生长特性，制定涵盖乔灌花草、草坪地被、水体及古树名木的全年绿化养护服务方案。方案须细化浇水、施肥、修剪、病虫害防治、除草松土、补植及绿化垃圾清运等各项作业的频次与时点，明确四季养护重点及杨柳絮防治、树木防寒等专项措施，保障校园绿化景观优美、生态良好。</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10</w:t>
      </w:r>
      <w:r>
        <w:rPr>
          <w:rFonts w:hint="eastAsia"/>
          <w:b/>
          <w:color w:val="000000"/>
          <w:sz w:val="24"/>
          <w:szCs w:val="24"/>
          <w:highlight w:val="none"/>
        </w:rPr>
        <w:t xml:space="preserve">.小型维修服务方案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根据校区日常维修需求，制定响应迅速、流程规范的小型维修服务方案，明确报修受理、派工维修、现场验收、回访评价的闭环管理流程。方案须落实5分钟到场、2小时修复的时效承诺，明确维修人员持证上岗与安全作业要求，建立常用耗材常备库存与领用登记制度，并对300元以内耗材的自行采购标准及300元以上耗材的上报配合流程作出具体规定。</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11</w:t>
      </w:r>
      <w:r>
        <w:rPr>
          <w:rFonts w:hint="eastAsia"/>
          <w:b/>
          <w:color w:val="000000"/>
          <w:sz w:val="24"/>
          <w:szCs w:val="24"/>
          <w:highlight w:val="none"/>
        </w:rPr>
        <w:t xml:space="preserve">.水电系统维护方案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围绕校区全域供电供水保障，制定涵盖日常巡检、设施维保、抄表管理、节能指导、隐患排查等内容的水电系统维护方案。方案须明确高低压配电线路、供水管网、水泵房等重点设施的巡检频次与维护标准，建立设施运行台账与能耗统计档案，落实24小时应急值守机制，保障教学、生活水电供应安全稳定。</w:t>
      </w:r>
      <w:r>
        <w:rPr>
          <w:highlight w:val="none"/>
        </w:rPr>
      </w:r>
      <w:r/>
    </w:p>
    <w:p>
      <w:pPr>
        <w:pStyle w:val="958"/>
        <w:ind w:firstLine="482"/>
        <w:jc w:val="left"/>
        <w:spacing w:line="440" w:lineRule="exact"/>
        <w:widowControl/>
        <w:rPr>
          <w:rFonts w:hint="eastAsia"/>
          <w:b/>
          <w:color w:val="000000"/>
          <w:sz w:val="24"/>
          <w:szCs w:val="24"/>
          <w:highlight w:val="none"/>
        </w:rPr>
      </w:pPr>
      <w:r>
        <w:rPr>
          <w:b/>
          <w:color w:val="000000"/>
          <w:sz w:val="24"/>
          <w:szCs w:val="24"/>
          <w:highlight w:val="none"/>
        </w:rPr>
        <w:t xml:space="preserve">12</w:t>
      </w:r>
      <w:r>
        <w:rPr>
          <w:rFonts w:hint="eastAsia"/>
          <w:b/>
          <w:color w:val="000000"/>
          <w:sz w:val="24"/>
          <w:szCs w:val="24"/>
          <w:highlight w:val="none"/>
        </w:rPr>
        <w:t xml:space="preserve">.配电房/开闭所专项运行维护服务方案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针对核心供电设施，制定专项运行维护服务方案，明确配电房及开闭所24小时专人值班、设备巡视、运行记录、安全操作等具体要求。方案须包含高低压柜、变压器、继电保护等设备的定期检查与预防性试验计划，落实绝缘工具检测、防鼠防潮措施及安全警示标识设置，建立故障抢修与突发停电应急预案，确保核心供电系统安全可靠运行。</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1</w:t>
      </w:r>
      <w:r>
        <w:rPr>
          <w:b/>
          <w:color w:val="000000"/>
          <w:sz w:val="24"/>
          <w:szCs w:val="24"/>
          <w:highlight w:val="none"/>
        </w:rPr>
        <w:t xml:space="preserve">3</w:t>
      </w:r>
      <w:r>
        <w:rPr>
          <w:rFonts w:hint="eastAsia"/>
          <w:b/>
          <w:color w:val="000000"/>
          <w:sz w:val="24"/>
          <w:szCs w:val="24"/>
          <w:highlight w:val="none"/>
        </w:rPr>
        <w:t xml:space="preserve">.应急处理预案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坚持“预防为主、生命至上”原则，制定覆盖消防、水电故障、恶劣天气、治安事件、公共卫生等各类突发情况的应急处理预案。预案须明确应急组织架构、响应流程、处置措施、物资储备及外部联动机制，落实3-5分钟到场处置的时效要求，建立常态化隐患排查与应急演练机制，确保突发事件响应迅速、处置得当、保障有力。</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1</w:t>
      </w:r>
      <w:r>
        <w:rPr>
          <w:b/>
          <w:color w:val="000000"/>
          <w:sz w:val="24"/>
          <w:szCs w:val="24"/>
          <w:highlight w:val="none"/>
        </w:rPr>
        <w:t xml:space="preserve">4</w:t>
      </w:r>
      <w:r>
        <w:rPr>
          <w:rFonts w:hint="eastAsia"/>
          <w:b/>
          <w:color w:val="000000"/>
          <w:sz w:val="24"/>
          <w:szCs w:val="24"/>
          <w:highlight w:val="none"/>
        </w:rPr>
        <w:t xml:space="preserve">.进退场交接方案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制定规范严谨的进退场交接方案，明确交接程序、内容标准、时间节点及责任主体。进场交接须包括设施设备清点、钥匙资料移交、运行状态确认、遗留问题记录等环节；退场交接须确保各项资料完整归档、设施设备完好移交、未完成事项清晰说明。方案应保障交接工作平稳有序、无缝衔接，不影响校区正常物业服务秩序。</w:t>
      </w:r>
      <w:r>
        <w:rPr>
          <w:highlight w:val="none"/>
        </w:rPr>
      </w:r>
      <w:r/>
    </w:p>
    <w:p>
      <w:pPr>
        <w:pStyle w:val="958"/>
        <w:ind w:firstLine="482"/>
        <w:jc w:val="left"/>
        <w:spacing w:line="440" w:lineRule="exact"/>
        <w:widowControl/>
        <w:rPr>
          <w:rFonts w:hint="eastAsia"/>
          <w:b/>
          <w:color w:val="000000"/>
          <w:sz w:val="24"/>
          <w:szCs w:val="24"/>
          <w:highlight w:val="none"/>
        </w:rPr>
      </w:pPr>
      <w:r>
        <w:rPr>
          <w:rFonts w:hint="eastAsia"/>
          <w:b/>
          <w:color w:val="000000"/>
          <w:sz w:val="24"/>
          <w:szCs w:val="24"/>
          <w:highlight w:val="none"/>
        </w:rPr>
        <w:t xml:space="preserve">1</w:t>
      </w:r>
      <w:r>
        <w:rPr>
          <w:b/>
          <w:color w:val="000000"/>
          <w:sz w:val="24"/>
          <w:szCs w:val="24"/>
          <w:highlight w:val="none"/>
        </w:rPr>
        <w:t xml:space="preserve">5</w:t>
      </w:r>
      <w:r>
        <w:rPr>
          <w:rFonts w:hint="eastAsia"/>
          <w:b/>
          <w:color w:val="000000"/>
          <w:sz w:val="24"/>
          <w:szCs w:val="24"/>
          <w:highlight w:val="none"/>
        </w:rPr>
        <w:t xml:space="preserve">.接收人员安置及人员稳定性方案</w:t>
      </w:r>
      <w:r>
        <w:rPr>
          <w:highlight w:val="none"/>
        </w:rPr>
      </w:r>
      <w:r/>
    </w:p>
    <w:p>
      <w:pPr>
        <w:pStyle w:val="958"/>
        <w:ind w:firstLine="480"/>
        <w:jc w:val="left"/>
        <w:spacing w:line="440" w:lineRule="exact"/>
        <w:widowControl/>
        <w:rPr>
          <w:bCs/>
          <w:color w:val="000000"/>
          <w:sz w:val="24"/>
          <w:szCs w:val="24"/>
          <w:highlight w:val="none"/>
        </w:rPr>
      </w:pPr>
      <w:r>
        <w:rPr>
          <w:bCs/>
          <w:color w:val="000000"/>
          <w:sz w:val="24"/>
          <w:szCs w:val="24"/>
          <w:highlight w:val="none"/>
        </w:rPr>
        <w:t xml:space="preserve">供应商应针对接收江苏茗苑农业科技有限公司现聘用在茅山校区的15名工作人员作出专项安排，制定包含岗位匹配、待遇保障、合同签订、思想引导、技能衔接等内容的人员接收与稳定性方案。方案须体现人文关怀与平稳过渡原则，明确新老员工融合管理措施、职业培训计划及薪酬激励办法，确保人员队伍稳定、工作顺利交接、服务质量持续提升。</w:t>
      </w:r>
      <w:r>
        <w:rPr>
          <w:highlight w:val="none"/>
        </w:rPr>
      </w:r>
      <w:r/>
    </w:p>
    <w:p>
      <w:pPr>
        <w:pStyle w:val="958"/>
        <w:ind w:firstLine="482"/>
        <w:jc w:val="left"/>
        <w:spacing w:line="44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16.特色服务方案</w:t>
      </w:r>
      <w:r>
        <w:rPr>
          <w:highlight w:val="none"/>
        </w:rPr>
      </w:r>
      <w:r/>
    </w:p>
    <w:p>
      <w:pPr>
        <w:pStyle w:val="958"/>
        <w:ind w:firstLine="480"/>
        <w:jc w:val="left"/>
        <w:spacing w:line="440" w:lineRule="exact"/>
        <w:widowControl/>
        <w:rPr>
          <w:rFonts w:hint="eastAsia"/>
          <w:bCs/>
          <w:color w:val="000000"/>
          <w:sz w:val="24"/>
          <w:szCs w:val="24"/>
          <w:highlight w:val="none"/>
        </w:rPr>
      </w:pPr>
      <w:r>
        <w:rPr>
          <w:bCs/>
          <w:color w:val="000000"/>
          <w:sz w:val="24"/>
          <w:szCs w:val="24"/>
          <w:highlight w:val="none"/>
        </w:rPr>
        <w:t xml:space="preserve">供应商应在全面响应基础物业服务要求的前提下，立足茅山校区育人环境建设与师生多元化需求，主动提供校园后勤服务设施设备优化、校园增亮改造、校园美化提升、学生就业岗位</w:t>
      </w:r>
      <w:r>
        <w:rPr>
          <w:bCs/>
          <w:color w:val="000000"/>
          <w:sz w:val="24"/>
          <w:szCs w:val="24"/>
          <w:highlight w:val="none"/>
        </w:rPr>
        <w:t xml:space="preserve">推荐、校园文化建设支持等特色服务。具体内容包括：结合设施设备运行情况提出节能改造与设施优化建议，提升后勤保障效能；对校园照明薄弱区域进行增亮改造，保障夜间出行安全；利用绿化养护专业优势协助开展景观节点打造、花卉造型布置等环境美化提升工作；依托企业资源为校区学生提供实习岗位或就业信息推荐，助力学生成长发展；积极配合校区开展文化墙布置、主题活动氛围营造等文化建设支持工作。供应商须针对上述服务内容提供书面承诺书，明确服务承诺事项与落实机制，以实际举措彰显物业服务的附加值与社会责任感，提升师生获得感与校园品质形象。</w:t>
      </w:r>
      <w:r>
        <w:rPr>
          <w:highlight w:val="none"/>
        </w:rPr>
      </w:r>
      <w:r/>
    </w:p>
    <w:p>
      <w:pPr>
        <w:pStyle w:val="961"/>
        <w:ind w:firstLine="422"/>
        <w:spacing w:before="0" w:after="0" w:line="440" w:lineRule="exact"/>
        <w:rPr>
          <w:rFonts w:hint="eastAsia"/>
          <w:color w:val="000000"/>
          <w:sz w:val="24"/>
          <w:szCs w:val="24"/>
          <w:highlight w:val="none"/>
        </w:rPr>
      </w:pPr>
      <w:r>
        <w:rPr>
          <w:rFonts w:hint="eastAsia"/>
          <w:color w:val="000000"/>
          <w:sz w:val="24"/>
          <w:szCs w:val="24"/>
          <w:highlight w:val="none"/>
        </w:rPr>
        <w:t xml:space="preserve">二、物业委托服务范围及要求</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（一）公共设施管理服务</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1.服务范围</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涵盖校区各类公共设施设备，包括但不限于：</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校区公共基础设施：交通与场地</w:t>
      </w:r>
      <w:r>
        <w:rPr>
          <w:rFonts w:hint="eastAsia" w:ascii="宋体" w:hAnsi="宋体" w:cs="宋体"/>
          <w:b/>
          <w:color w:val="000000"/>
          <w:sz w:val="24"/>
          <w:szCs w:val="24"/>
          <w:highlight w:val="none"/>
        </w:rPr>
        <w:t xml:space="preserve">：</w:t>
      </w:r>
      <w:r>
        <w:rPr>
          <w:rFonts w:ascii="宋体" w:hAnsi="宋体" w:cs="宋体"/>
          <w:color w:val="000000"/>
          <w:sz w:val="24"/>
          <w:szCs w:val="24"/>
          <w:highlight w:val="none"/>
        </w:rPr>
        <w:t xml:space="preserve">校区主干道、支路、停车场、篮球场、田径场、广场及配套看台、无障碍通道等；</w:t>
      </w:r>
      <w:r>
        <w:rPr>
          <w:rFonts w:ascii="宋体" w:hAnsi="宋体" w:cs="宋体"/>
          <w:b/>
          <w:color w:val="000000"/>
          <w:sz w:val="24"/>
          <w:szCs w:val="24"/>
          <w:highlight w:val="none"/>
        </w:rPr>
        <w:t xml:space="preserve">管网系统：</w:t>
      </w:r>
      <w:r>
        <w:rPr>
          <w:rFonts w:ascii="宋体" w:hAnsi="宋体" w:cs="宋体"/>
          <w:color w:val="000000"/>
          <w:sz w:val="24"/>
          <w:szCs w:val="24"/>
          <w:highlight w:val="none"/>
        </w:rPr>
        <w:t xml:space="preserve">供水、污水、雨水管网、化粪池、排水明沟暗沟等；</w:t>
      </w:r>
      <w:r>
        <w:rPr>
          <w:rFonts w:ascii="宋体" w:hAnsi="宋体" w:cs="宋体"/>
          <w:b/>
          <w:color w:val="000000"/>
          <w:sz w:val="24"/>
          <w:szCs w:val="24"/>
          <w:highlight w:val="none"/>
        </w:rPr>
        <w:t xml:space="preserve">照明设施：</w:t>
      </w:r>
      <w:r>
        <w:rPr>
          <w:rFonts w:ascii="宋体" w:hAnsi="宋体" w:cs="宋体"/>
          <w:color w:val="000000"/>
          <w:sz w:val="24"/>
          <w:szCs w:val="24"/>
          <w:highlight w:val="none"/>
        </w:rPr>
        <w:t xml:space="preserve">路灯、楼道灯、应急照明、操场照明等；</w:t>
      </w:r>
      <w:r>
        <w:rPr>
          <w:rFonts w:ascii="宋体" w:hAnsi="宋体" w:cs="宋体"/>
          <w:b/>
          <w:color w:val="000000"/>
          <w:sz w:val="24"/>
          <w:szCs w:val="24"/>
          <w:highlight w:val="none"/>
        </w:rPr>
        <w:t xml:space="preserve">基础配套：</w:t>
      </w:r>
      <w:r>
        <w:rPr>
          <w:rFonts w:ascii="宋体" w:hAnsi="宋体" w:cs="宋体"/>
          <w:color w:val="000000"/>
          <w:sz w:val="24"/>
          <w:szCs w:val="24"/>
          <w:highlight w:val="none"/>
        </w:rPr>
        <w:t xml:space="preserve">校区大门、道闸、岗亭、公告栏、公共座椅、垃圾桶、垃圾站、开水炉等；</w:t>
      </w:r>
      <w:r>
        <w:rPr>
          <w:rFonts w:ascii="宋体" w:hAnsi="宋体" w:cs="宋体"/>
          <w:b/>
          <w:color w:val="000000"/>
          <w:sz w:val="24"/>
          <w:szCs w:val="24"/>
          <w:highlight w:val="none"/>
        </w:rPr>
        <w:t xml:space="preserve">教学楼、报告厅、行政楼、图书信息中心、文创园、实境课堂、心理咨询中心、艺体中心等核心设施及配套：</w:t>
      </w:r>
      <w:r>
        <w:rPr>
          <w:rFonts w:ascii="宋体" w:hAnsi="宋体" w:cs="宋体"/>
          <w:color w:val="000000"/>
          <w:sz w:val="24"/>
          <w:szCs w:val="24"/>
          <w:highlight w:val="none"/>
        </w:rPr>
        <w:t xml:space="preserve">课桌椅、黑板、白板、多媒体设备、讲台、空调、风扇、照明开关插座等；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宿舍设施及配套：个人配套：</w:t>
      </w:r>
      <w:r>
        <w:rPr>
          <w:rFonts w:ascii="宋体" w:hAnsi="宋体" w:cs="宋体"/>
          <w:color w:val="000000"/>
          <w:sz w:val="24"/>
          <w:szCs w:val="24"/>
          <w:highlight w:val="none"/>
        </w:rPr>
        <w:t xml:space="preserve">床铺、衣柜、书桌、椅子等；</w:t>
      </w:r>
      <w:r>
        <w:rPr>
          <w:rFonts w:ascii="宋体" w:hAnsi="宋体" w:cs="宋体"/>
          <w:b/>
          <w:color w:val="000000"/>
          <w:sz w:val="24"/>
          <w:szCs w:val="24"/>
          <w:highlight w:val="none"/>
        </w:rPr>
        <w:t xml:space="preserve">生活设施：</w:t>
      </w:r>
      <w:r>
        <w:rPr>
          <w:rFonts w:ascii="宋体" w:hAnsi="宋体" w:cs="宋体"/>
          <w:color w:val="000000"/>
          <w:sz w:val="24"/>
          <w:szCs w:val="24"/>
          <w:highlight w:val="none"/>
        </w:rPr>
        <w:t xml:space="preserve">门/锁、窗户/纱窗、卫浴洁具、地漏等；</w:t>
      </w:r>
      <w:r>
        <w:rPr>
          <w:rFonts w:ascii="宋体" w:hAnsi="宋体" w:cs="宋体"/>
          <w:b/>
          <w:color w:val="000000"/>
          <w:sz w:val="24"/>
          <w:szCs w:val="24"/>
          <w:highlight w:val="none"/>
        </w:rPr>
        <w:t xml:space="preserve">公用配套：</w:t>
      </w:r>
      <w:r>
        <w:rPr>
          <w:rFonts w:ascii="宋体" w:hAnsi="宋体" w:cs="宋体"/>
          <w:color w:val="000000"/>
          <w:sz w:val="24"/>
          <w:szCs w:val="24"/>
          <w:highlight w:val="none"/>
        </w:rPr>
        <w:t xml:space="preserve">空调、楼道扶手、晾衣架等；</w:t>
      </w:r>
      <w:r>
        <w:rPr>
          <w:rFonts w:ascii="宋体" w:hAnsi="宋体" w:cs="宋体"/>
          <w:b/>
          <w:color w:val="000000"/>
          <w:sz w:val="24"/>
          <w:szCs w:val="24"/>
          <w:highlight w:val="none"/>
        </w:rPr>
        <w:t xml:space="preserve">水电设施：</w:t>
      </w:r>
      <w:r>
        <w:rPr>
          <w:rFonts w:ascii="宋体" w:hAnsi="宋体" w:cs="宋体"/>
          <w:color w:val="000000"/>
          <w:sz w:val="24"/>
          <w:szCs w:val="24"/>
          <w:highlight w:val="none"/>
        </w:rPr>
        <w:t xml:space="preserve">配电箱、室内开关插座、阳台水龙头等；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安防消防设施</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安防系统：</w:t>
      </w:r>
      <w:r>
        <w:rPr>
          <w:rFonts w:ascii="宋体" w:hAnsi="宋体" w:cs="宋体"/>
          <w:color w:val="000000"/>
          <w:sz w:val="24"/>
          <w:szCs w:val="24"/>
          <w:highlight w:val="none"/>
        </w:rPr>
        <w:t xml:space="preserve">监控摄像头、安防报警装置等；</w:t>
      </w:r>
      <w:r>
        <w:rPr>
          <w:rFonts w:ascii="宋体" w:hAnsi="宋体" w:cs="宋体"/>
          <w:b/>
          <w:color w:val="000000"/>
          <w:sz w:val="24"/>
          <w:szCs w:val="24"/>
          <w:highlight w:val="none"/>
        </w:rPr>
        <w:t xml:space="preserve">消防设施：</w:t>
      </w:r>
      <w:r>
        <w:rPr>
          <w:rFonts w:ascii="宋体" w:hAnsi="宋体" w:cs="宋体"/>
          <w:color w:val="000000"/>
          <w:sz w:val="24"/>
          <w:szCs w:val="24"/>
          <w:highlight w:val="none"/>
        </w:rPr>
        <w:t xml:space="preserve">灭火器、消防栓、防火门、消防通道、疏散指示牌、消防应急广播等；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后勤保障配套设施：</w:t>
      </w:r>
      <w:r>
        <w:rPr>
          <w:rFonts w:ascii="宋体" w:hAnsi="宋体" w:cs="宋体"/>
          <w:color w:val="000000"/>
          <w:sz w:val="24"/>
          <w:szCs w:val="24"/>
          <w:highlight w:val="none"/>
        </w:rPr>
        <w:t xml:space="preserve">维修工具间、临时物资存放间、耗材储物间等；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绿化和环卫设施：绿化配套：</w:t>
      </w:r>
      <w:r>
        <w:rPr>
          <w:rFonts w:ascii="宋体" w:hAnsi="宋体" w:cs="宋体"/>
          <w:color w:val="000000"/>
          <w:sz w:val="24"/>
          <w:szCs w:val="24"/>
          <w:highlight w:val="none"/>
        </w:rPr>
        <w:t xml:space="preserve">绿化灌溉系统、绿植防护栏等；</w:t>
      </w:r>
      <w:r>
        <w:rPr>
          <w:rFonts w:ascii="宋体" w:hAnsi="宋体" w:cs="宋体"/>
          <w:b/>
          <w:color w:val="000000"/>
          <w:sz w:val="24"/>
          <w:szCs w:val="24"/>
          <w:highlight w:val="none"/>
        </w:rPr>
        <w:t xml:space="preserve">环卫配套：</w:t>
      </w:r>
      <w:r>
        <w:rPr>
          <w:rFonts w:ascii="宋体" w:hAnsi="宋体" w:cs="宋体"/>
          <w:color w:val="000000"/>
          <w:sz w:val="24"/>
          <w:szCs w:val="24"/>
          <w:highlight w:val="none"/>
        </w:rPr>
        <w:t xml:space="preserve">垃圾房及垃圾桶、保洁工具存放处、消杀设备等；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核心供电设施：</w:t>
      </w:r>
      <w:r>
        <w:rPr>
          <w:rFonts w:ascii="宋体" w:hAnsi="宋体" w:cs="宋体"/>
          <w:color w:val="000000"/>
          <w:sz w:val="24"/>
          <w:szCs w:val="24"/>
          <w:highlight w:val="none"/>
        </w:rPr>
        <w:t xml:space="preserve">开闭所、强弱电间等。</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2.服务要求</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1）制定完善的设施设备管理制度及重大故障应急处置预案，定期组织业务培训与实操演练；重大节假日及恶劣天气前后，开展设施设备系统巡检；设施设备出现一般故障即时处理，重大故障立即处置并同步向学校提交书面报告，做好维修全过程监管。</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（2）严格执行学校报修流程，建立规范的报修制度与报修档案，报修响应时间不超过5分钟，故障需在2小时内解决，保障师生正常的学习与生活秩序。</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（3）负责各类设施设备的日常使用、管理、巡查与值守工作，确保设备机房门窗、锁具完好有效；按照设备技术规范开展巡视检查，并做好详细记录。</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（4）完成固定资产的盘点统计与管理工作，落实设施设备日常维护保养措施，确保各类设施设备完好、整洁、无污损。</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（5）定期对水电设施等公用设施进行检查并留存记录，协助学校开展节电节水工作。</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（6）保障公共财物齐全、无损坏，对公共部位的照明和应急灯具实施每日巡查，确保其完好无损、正常使用。</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（7）对维修人员的维修质量、服务态度进行检查、监督与考核，对维修材料的品牌、数量进行严格检查确认。</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（8）完成规定范围内的其他公共设施管理相关工作。</w:t>
      </w:r>
      <w:r>
        <w:rPr>
          <w:highlight w:val="none"/>
        </w:rPr>
      </w:r>
      <w:r/>
    </w:p>
    <w:p>
      <w:pPr>
        <w:pStyle w:val="958"/>
        <w:jc w:val="left"/>
        <w:spacing w:line="435" w:lineRule="exact"/>
        <w:rPr>
          <w:b/>
          <w:bCs/>
          <w:color w:val="000000"/>
          <w:sz w:val="24"/>
          <w:szCs w:val="24"/>
          <w:highlight w:val="none"/>
        </w:rPr>
      </w:pPr>
      <w:r>
        <w:rPr>
          <w:rFonts w:ascii="宋体" w:hAnsi="宋体" w:cs="宋体"/>
          <w:b/>
          <w:bCs/>
          <w:color w:val="000000"/>
          <w:sz w:val="24"/>
          <w:szCs w:val="24"/>
          <w:highlight w:val="none"/>
        </w:rPr>
        <w:t xml:space="preserve">（二）小型维修服务</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1.服务范围</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维修服务范围包括但不限于：</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公共区域小型维修：照明类：</w:t>
      </w:r>
      <w:r>
        <w:rPr>
          <w:rFonts w:ascii="宋体" w:hAnsi="宋体" w:cs="宋体"/>
          <w:color w:val="000000"/>
          <w:sz w:val="24"/>
          <w:szCs w:val="24"/>
          <w:highlight w:val="none"/>
        </w:rPr>
        <w:t xml:space="preserve">灯类更换，小范围线路接触不良修复、应急指示灯/疏散标识更换等；</w:t>
      </w:r>
      <w:r>
        <w:rPr>
          <w:rFonts w:ascii="宋体" w:hAnsi="宋体" w:cs="宋体"/>
          <w:b/>
          <w:color w:val="000000"/>
          <w:sz w:val="24"/>
          <w:szCs w:val="24"/>
          <w:highlight w:val="none"/>
        </w:rPr>
        <w:t xml:space="preserve">门窗五金：</w:t>
      </w:r>
      <w:r>
        <w:rPr>
          <w:rFonts w:ascii="宋体" w:hAnsi="宋体" w:cs="宋体"/>
          <w:color w:val="000000"/>
          <w:sz w:val="24"/>
          <w:szCs w:val="24"/>
          <w:highlight w:val="none"/>
        </w:rPr>
        <w:t xml:space="preserve">门窗合页、把手、门锁、限位器更换，纱窗破损修复，门窗闭合不严问题调整等；</w:t>
      </w:r>
      <w:r>
        <w:rPr>
          <w:rFonts w:ascii="宋体" w:hAnsi="宋体" w:cs="宋体"/>
          <w:b/>
          <w:color w:val="000000"/>
          <w:sz w:val="24"/>
          <w:szCs w:val="24"/>
          <w:highlight w:val="none"/>
        </w:rPr>
        <w:t xml:space="preserve">土建小修：</w:t>
      </w:r>
      <w:r>
        <w:rPr>
          <w:rFonts w:ascii="宋体" w:hAnsi="宋体" w:cs="宋体"/>
          <w:color w:val="000000"/>
          <w:sz w:val="24"/>
          <w:szCs w:val="24"/>
          <w:highlight w:val="none"/>
        </w:rPr>
        <w:t xml:space="preserve">小面积墙面污损粉刷，地砖、踢脚线、道板砖、台阶、井盖维修或更换等；</w:t>
      </w:r>
      <w:r>
        <w:rPr>
          <w:rFonts w:ascii="宋体" w:hAnsi="宋体" w:cs="宋体"/>
          <w:b/>
          <w:color w:val="000000"/>
          <w:sz w:val="24"/>
          <w:szCs w:val="24"/>
          <w:highlight w:val="none"/>
        </w:rPr>
        <w:t xml:space="preserve">设备房：</w:t>
      </w:r>
      <w:r>
        <w:rPr>
          <w:rFonts w:ascii="宋体" w:hAnsi="宋体" w:cs="宋体"/>
          <w:color w:val="000000"/>
          <w:sz w:val="24"/>
          <w:szCs w:val="24"/>
          <w:highlight w:val="none"/>
        </w:rPr>
        <w:t xml:space="preserve">强/弱电间、开闭所等各类元器件维修等；</w:t>
      </w:r>
      <w:r>
        <w:rPr>
          <w:rFonts w:ascii="宋体" w:hAnsi="宋体" w:cs="宋体"/>
          <w:b/>
          <w:color w:val="000000"/>
          <w:sz w:val="24"/>
          <w:szCs w:val="24"/>
          <w:highlight w:val="none"/>
        </w:rPr>
        <w:t xml:space="preserve">其他类：</w:t>
      </w:r>
      <w:r>
        <w:rPr>
          <w:rFonts w:ascii="宋体" w:hAnsi="宋体" w:cs="宋体"/>
          <w:color w:val="000000"/>
          <w:sz w:val="24"/>
          <w:szCs w:val="24"/>
          <w:highlight w:val="none"/>
        </w:rPr>
        <w:t xml:space="preserve">小范围排水/地漏疏通、公共座椅/公告栏松动修复、垃圾桶配件更换、卫生间隔断、体育设施等；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教学和实训区域小型维修：</w:t>
      </w:r>
      <w:r>
        <w:rPr>
          <w:rFonts w:ascii="宋体" w:hAnsi="宋体" w:cs="宋体"/>
          <w:color w:val="000000"/>
          <w:sz w:val="24"/>
          <w:szCs w:val="24"/>
          <w:highlight w:val="none"/>
        </w:rPr>
        <w:t xml:space="preserve">紧固松动课桌椅/讲台/实训台、更换黑板擦/白板笔槽、配合做好多媒体设备基础故障修复、更换教室插座、调试空调、滤网清洁、风扇维修更换及清洗等；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学生宿舍小型维修：生活设施：</w:t>
      </w:r>
      <w:r>
        <w:rPr>
          <w:rFonts w:ascii="宋体" w:hAnsi="宋体" w:cs="宋体"/>
          <w:color w:val="000000"/>
          <w:sz w:val="24"/>
          <w:szCs w:val="24"/>
          <w:highlight w:val="none"/>
        </w:rPr>
        <w:t xml:space="preserve">紧固更换床铺螺丝，修复衣柜拉手、抽屉滑轨，更换宿舍门锁、门吸，调整门窗缝隙等；</w:t>
      </w:r>
      <w:r>
        <w:rPr>
          <w:rFonts w:ascii="宋体" w:hAnsi="宋体" w:cs="宋体"/>
          <w:b/>
          <w:color w:val="000000"/>
          <w:sz w:val="24"/>
          <w:szCs w:val="24"/>
          <w:highlight w:val="none"/>
        </w:rPr>
        <w:t xml:space="preserve">水电卫浴：</w:t>
      </w:r>
      <w:r>
        <w:rPr>
          <w:rFonts w:ascii="宋体" w:hAnsi="宋体" w:cs="宋体"/>
          <w:color w:val="000000"/>
          <w:sz w:val="24"/>
          <w:szCs w:val="24"/>
          <w:highlight w:val="none"/>
        </w:rPr>
        <w:t xml:space="preserve">更换水龙头、角阀，疏通宿舍地漏、洗手池、马桶，更换卫浴软管，修复宿舍插座、开关，更换灯泡、灯管，调试空调，滤网清洁，风扇维修更换及清洗等；</w:t>
      </w:r>
      <w:r>
        <w:rPr>
          <w:rFonts w:ascii="宋体" w:hAnsi="宋体" w:cs="宋体"/>
          <w:b/>
          <w:color w:val="000000"/>
          <w:sz w:val="24"/>
          <w:szCs w:val="24"/>
          <w:highlight w:val="none"/>
        </w:rPr>
        <w:t xml:space="preserve">公用配套：</w:t>
      </w:r>
      <w:r>
        <w:rPr>
          <w:rFonts w:ascii="宋体" w:hAnsi="宋体" w:cs="宋体"/>
          <w:color w:val="000000"/>
          <w:sz w:val="24"/>
          <w:szCs w:val="24"/>
          <w:highlight w:val="none"/>
        </w:rPr>
        <w:t xml:space="preserve">修复公共晾衣架松动等；</w:t>
      </w:r>
      <w:r>
        <w:rPr>
          <w:highlight w:val="none"/>
        </w:rPr>
      </w:r>
      <w:r/>
    </w:p>
    <w:p>
      <w:pPr>
        <w:pStyle w:val="958"/>
        <w:ind w:firstLine="482"/>
        <w:jc w:val="left"/>
        <w:spacing w:line="435" w:lineRule="exact"/>
        <w:rPr>
          <w:color w:val="000000"/>
          <w:sz w:val="24"/>
          <w:szCs w:val="24"/>
          <w:highlight w:val="none"/>
        </w:rPr>
      </w:pPr>
      <w:r>
        <w:rPr>
          <w:rFonts w:ascii="宋体" w:hAnsi="宋体" w:cs="宋体"/>
          <w:b/>
          <w:color w:val="000000"/>
          <w:sz w:val="24"/>
          <w:szCs w:val="24"/>
          <w:highlight w:val="none"/>
        </w:rPr>
        <w:t xml:space="preserve">后勤及配套区域小型维修：家具：</w:t>
      </w:r>
      <w:r>
        <w:rPr>
          <w:rFonts w:ascii="宋体" w:hAnsi="宋体" w:cs="宋体"/>
          <w:color w:val="000000"/>
          <w:sz w:val="24"/>
          <w:szCs w:val="24"/>
          <w:highlight w:val="none"/>
        </w:rPr>
        <w:t xml:space="preserve">办公室、教工宿舍、会议室等场所的办公桌、床铺、衣柜、餐桌、座椅等维修等；</w:t>
      </w:r>
      <w:r>
        <w:rPr>
          <w:rFonts w:ascii="宋体" w:hAnsi="宋体" w:cs="宋体"/>
          <w:b/>
          <w:color w:val="000000"/>
          <w:sz w:val="24"/>
          <w:szCs w:val="24"/>
          <w:highlight w:val="none"/>
        </w:rPr>
        <w:t xml:space="preserve">便民设施：</w:t>
      </w:r>
      <w:r>
        <w:rPr>
          <w:rFonts w:ascii="宋体" w:hAnsi="宋体" w:cs="宋体"/>
          <w:color w:val="000000"/>
          <w:sz w:val="24"/>
          <w:szCs w:val="24"/>
          <w:highlight w:val="none"/>
        </w:rPr>
        <w:t xml:space="preserve">电瓶车及汽车充电桩维修等。</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2.服务要求：</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（1）对采购人委托管理场所的室内、室外区域开展小型维修作业，做好维修记录，确保各类设施设备正常使用。</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（2）接到报修电话后，紧急小型维修需5分钟内到场，2小时内完成维修作业。</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（3）维修人员必须持证上岗，带电、涉水作业时严格做好安全防护措施，所有维修服务不得影响正常的教学实训活动。</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（4）对螺丝、灯泡、水龙头等常用耗材建立常备库存，保障快速取用，并做好耗材领用登记工作。</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（5）遇非规定维修范围内的故障等特殊情况，及时与校方对接，做好解释说明，并协助校方开展相关维修工作。</w:t>
      </w:r>
      <w:r>
        <w:rPr>
          <w:highlight w:val="none"/>
        </w:rPr>
      </w:r>
      <w:r/>
    </w:p>
    <w:p>
      <w:pPr>
        <w:pStyle w:val="958"/>
        <w:ind w:firstLine="480"/>
        <w:jc w:val="left"/>
        <w:spacing w:line="435" w:lineRule="exact"/>
        <w:rPr>
          <w:bCs/>
          <w:iCs/>
          <w:color w:val="000000"/>
          <w:sz w:val="24"/>
          <w:szCs w:val="24"/>
          <w:highlight w:val="none"/>
        </w:rPr>
      </w:pPr>
      <w:r>
        <w:rPr>
          <w:rFonts w:ascii="宋体" w:hAnsi="宋体" w:cs="宋体"/>
          <w:bCs/>
          <w:iCs/>
          <w:color w:val="000000"/>
          <w:sz w:val="24"/>
          <w:szCs w:val="24"/>
          <w:highlight w:val="none"/>
        </w:rPr>
        <w:t xml:space="preserve">（6）单项、单次维修耗材及零配件费用在300元以内（含300元）的，由中标人自行采购符合国家标准的耗材并完成维修。单项、单次维修耗材及零配件费用在300元以上的，中标人需及时上报采购人，由采购人统一采购耗材，中标人负责维修作业；维修与报修工作均需建立台账，实现项目全流程跟进。</w:t>
      </w:r>
      <w:r>
        <w:rPr>
          <w:rFonts w:hint="eastAsia" w:ascii="宋体" w:hAnsi="宋体" w:cs="宋体"/>
          <w:bCs/>
          <w:iCs/>
          <w:color w:val="000000"/>
          <w:sz w:val="24"/>
          <w:szCs w:val="24"/>
          <w:highlight w:val="none"/>
        </w:rPr>
        <w:t xml:space="preserve">2023年至2025年该项年均产生费用约10万元。</w:t>
      </w:r>
      <w:r>
        <w:rPr>
          <w:highlight w:val="none"/>
        </w:rPr>
      </w:r>
      <w:r/>
    </w:p>
    <w:p>
      <w:pPr>
        <w:pStyle w:val="958"/>
        <w:ind w:firstLine="360"/>
        <w:jc w:val="left"/>
        <w:spacing w:line="435" w:lineRule="exact"/>
        <w:rPr>
          <w:color w:val="000000"/>
          <w:sz w:val="24"/>
          <w:szCs w:val="24"/>
          <w:highlight w:val="none"/>
        </w:rPr>
      </w:pPr>
      <w:r>
        <w:rPr>
          <w:rFonts w:ascii="宋体" w:hAnsi="宋体" w:cs="宋体"/>
          <w:color w:val="000000"/>
          <w:sz w:val="24"/>
          <w:szCs w:val="24"/>
          <w:highlight w:val="none"/>
        </w:rPr>
        <w:t xml:space="preserve">（7）对委托管理区域的设施设备开展日常巡视、检查并做好记录，定期向采购人上报设施设备运行情况及优化建议。</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（三）环境卫生管理服务</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1.服务范围：</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覆盖校区全域环境卫生保洁，包括但不限于：</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校区公共区域：通行区域：校区主干道、支路、广场、停车场、篮球场、田径场、看台、无障碍通道及周边路面等；楼宇及公共空间：各楼栋楼道、走廊、楼梯、窗台、墙面、地面、公共门窗、楼道扶手等；公共配套区域：校区大门、岗亭、值班室、公告栏、公共座椅、垃圾房/垃圾桶/垃圾集中点、排水沟、雨水井、化粪池及周边、池塘等；公共卫生间：非公寓、非教学区域的独立公共卫生间，含洗手池、便池、地面、墙面、通风设施等；</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教学与实训区域：地面、墙面、课桌椅、黑板/白板、门窗、玻璃、角落卫生及课后垃圾清理，教学楼卫生间、茶水间、楼梯间及周边公共空间；</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学生宿舍区域：宿舍公共区域、宿舍外围区域、宿舍内务协同管控；</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食堂周边区域：食堂外围区域、协同管控区域；</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绿化区域：校区绿植覆盖区、绿化配套区域。</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2.服务要求</w:t>
      </w:r>
      <w:r>
        <w:rPr>
          <w:highlight w:val="none"/>
        </w:rPr>
      </w:r>
      <w:r/>
    </w:p>
    <w:p>
      <w:pPr>
        <w:pStyle w:val="958"/>
        <w:jc w:val="left"/>
        <w:spacing w:line="315" w:lineRule="exact"/>
        <w:rPr>
          <w:rFonts w:ascii="宋体" w:hAnsi="宋体" w:cs="宋体"/>
          <w:color w:val="000000"/>
          <w:sz w:val="24"/>
          <w:szCs w:val="24"/>
          <w:highlight w:val="none"/>
        </w:rPr>
      </w:pPr>
      <w:r>
        <w:rPr>
          <w:rFonts w:ascii="宋体" w:hAnsi="宋体" w:cs="宋体"/>
          <w:color w:val="000000"/>
          <w:sz w:val="24"/>
          <w:szCs w:val="24"/>
          <w:highlight w:val="none"/>
        </w:rPr>
        <w:t xml:space="preserve">（1）清洁工作总体标准</w:t>
      </w:r>
      <w:r>
        <w:rPr>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8637"/>
      </w:tblGrid>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highlight w:val="none"/>
              </w:rPr>
            </w:r>
            <w:r/>
          </w:p>
        </w:tc>
        <w:tc>
          <w:tcPr>
            <w:tcW w:w="8637"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清洁工作</w:t>
            </w:r>
            <w:r>
              <w:rPr>
                <w:rFonts w:hint="eastAsia" w:ascii="宋体" w:hAnsi="宋体" w:cs="宋体"/>
                <w:color w:val="000000"/>
                <w:sz w:val="24"/>
                <w:szCs w:val="24"/>
                <w:highlight w:val="none"/>
              </w:rPr>
              <w:t xml:space="preserve">总体</w:t>
            </w:r>
            <w:r>
              <w:rPr>
                <w:rFonts w:ascii="宋体" w:hAnsi="宋体" w:cs="宋体"/>
                <w:color w:val="000000"/>
                <w:sz w:val="24"/>
                <w:szCs w:val="24"/>
                <w:highlight w:val="none"/>
              </w:rPr>
              <w:t xml:space="preserve">标准</w:t>
            </w:r>
            <w:r>
              <w:rPr>
                <w:highlight w:val="none"/>
              </w:rPr>
            </w:r>
            <w:r/>
          </w:p>
        </w:tc>
      </w:tr>
      <w:tr>
        <w:trPr>
          <w:trHeight w:val="6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1</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每日对区域内垃圾进行清扫，对地面进行拖拭，每日清洁不少于2次；日常发现污渍、痰渍、垃圾即时处理。</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2</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垃圾篓内垃圾存放量不得超过2/3，保持垃圾篓无虫、无异味；每日更换垃圾袋不少于2次，垃圾运送至指定地点堆放，每周对垃圾篓进行1次彻底清洗，确保无异味、无满溢。</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3</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用鸡毛扫清除墙面灰尘，对室内墙壁边、墙角、天花、风口的蜘蛛网进行彻底清理，每周清洁不少于1次，日常随见随清，局部灰尘、污渍即时处理。</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4</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对排气扇、通风百叶窗、照明设备等进行擦抹除尘，每月清洁不少于2次；日常发现日光灯不亮或损坏即时更换修理，及时清除拆装过程中留下的手印和污迹。</w:t>
            </w:r>
            <w:r>
              <w:rPr>
                <w:highlight w:val="none"/>
              </w:rPr>
            </w:r>
            <w:r/>
          </w:p>
        </w:tc>
      </w:tr>
      <w:tr>
        <w:trPr>
          <w:trHeight w:val="453"/>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5</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每周对电源开关、插座进行清理，擦抹表面污渍和灰尘。</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6</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对教室课桌椅、讲台等教具设施、会议室桌椅每日清洁不少于2次，每周彻底清洁1次，保持座椅无灰尘、无污渍。</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7</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每周对窗户玻璃进行1次彻底清洁，日常发现手印、污渍即时擦净，保持玻璃无手印、无污迹、无灰尘。</w:t>
            </w:r>
            <w:r>
              <w:rPr>
                <w:highlight w:val="none"/>
              </w:rPr>
            </w:r>
            <w:r/>
          </w:p>
        </w:tc>
      </w:tr>
      <w:tr>
        <w:trPr>
          <w:trHeight w:val="433"/>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8</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对木门、不锈钢门、防火门、玻璃门等每周擦抹不少于2次，保持无手印、无污迹。</w:t>
            </w:r>
            <w:r>
              <w:rPr>
                <w:highlight w:val="none"/>
              </w:rPr>
            </w:r>
            <w:r/>
          </w:p>
        </w:tc>
      </w:tr>
      <w:tr>
        <w:trPr>
          <w:trHeight w:val="31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9</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墙面不得随意张贴物品，装饰画每日进行擦拭，保持清洁。</w:t>
            </w:r>
            <w:r>
              <w:rPr>
                <w:highlight w:val="none"/>
              </w:rPr>
            </w:r>
            <w:r/>
          </w:p>
        </w:tc>
      </w:tr>
      <w:tr>
        <w:trPr>
          <w:trHeight w:val="286"/>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10</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运动场馆每日至少打扫1次，使用前及使用后各清扫1次，定期做好通风工作。</w:t>
            </w:r>
            <w:r>
              <w:rPr>
                <w:highlight w:val="none"/>
              </w:rPr>
            </w:r>
            <w:r/>
          </w:p>
        </w:tc>
      </w:tr>
      <w:tr>
        <w:trPr>
          <w:trHeight w:val="567"/>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11</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每周对地脚线、卫生死角至少清理1次。</w:t>
            </w:r>
            <w:r>
              <w:rPr>
                <w:highlight w:val="none"/>
              </w:rPr>
            </w:r>
            <w:r/>
          </w:p>
        </w:tc>
      </w:tr>
      <w:tr>
        <w:trPr>
          <w:trHeight w:val="4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12</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室内外设施设备保持无尘、无杂物、无污渍，摆放整齐；及时关闭室内、外不必要的照明灯，做好节能工作。</w:t>
            </w:r>
            <w:r>
              <w:rPr>
                <w:highlight w:val="none"/>
              </w:rPr>
            </w:r>
            <w:r/>
          </w:p>
        </w:tc>
      </w:tr>
      <w:tr>
        <w:trPr>
          <w:trHeight w:val="4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3</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做好鼠、蝇、蚊、虫、蚁、蜈蚣、蟑螂等病媒生物的预防及消杀工作；按当地爱国卫生运动委员会要求，每季度至少开展1次鼠、蚁专项消杀，日常做好蝇、蚊、虫、蜈蚣、蟑螂等灭杀工作；特殊情况按学校和当地政府有关部门要求即时开展消杀；每周对公共卫生间、公寓、食堂周边、垃圾站等重点区域消杀1次，每月开展1次灭鼠、灭蟑专项行动，卫生间、饮水区等重点区域每日至少消杀1次；传染病高发期、节假日前后加密消杀频次（每3天1次），突发卫生事件即时启动专项消杀；建立完善的消杀台账，明确消杀时间、区域、药剂、执行人，确保可追溯核查。</w:t>
            </w:r>
            <w:r>
              <w:rPr>
                <w:highlight w:val="none"/>
              </w:rPr>
            </w:r>
            <w:r/>
          </w:p>
        </w:tc>
      </w:tr>
      <w:tr>
        <w:trPr>
          <w:trHeight w:val="4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4</w:t>
            </w:r>
            <w:r>
              <w:rPr>
                <w:highlight w:val="none"/>
              </w:rPr>
            </w:r>
            <w:r/>
          </w:p>
        </w:tc>
        <w:tc>
          <w:tcPr>
            <w:tcW w:w="8637" w:type="dxa"/>
            <w:vAlign w:val="center"/>
            <w:textDirection w:val="lrTb"/>
            <w:noWrap w:val="false"/>
          </w:tcPr>
          <w:p>
            <w:pPr>
              <w:pStyle w:val="972"/>
              <w:ind w:firstLine="0"/>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校区、楼栋、实训区、公寓按标准设置可回收、厨余、其他、有害分类垃圾桶，标识清晰；生活垃圾实现日产日清，厨余垃圾单独清运，有害垃圾（电池、废弃试剂）定点存放，每月对接合规机构进行清运；配合校方开展垃圾分类宣传，督促师生规范投放垃圾。</w:t>
            </w:r>
            <w:r>
              <w:rPr>
                <w:highlight w:val="none"/>
              </w:rPr>
            </w:r>
            <w:r/>
          </w:p>
        </w:tc>
      </w:tr>
      <w:tr>
        <w:trPr>
          <w:trHeight w:val="4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5</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垃圾袋、杀虫剂、消毒液、清洁剂、拖把、扫把等保洁用品用具由中标人自行采购配置。</w:t>
            </w:r>
            <w:r>
              <w:rPr>
                <w:highlight w:val="none"/>
              </w:rPr>
            </w:r>
            <w:r/>
          </w:p>
        </w:tc>
      </w:tr>
      <w:tr>
        <w:trPr>
          <w:trHeight w:val="421"/>
        </w:trPr>
        <w:tc>
          <w:tcPr>
            <w:tcW w:w="831"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6</w:t>
            </w:r>
            <w:r>
              <w:rPr>
                <w:highlight w:val="none"/>
              </w:rPr>
            </w:r>
            <w:r/>
          </w:p>
        </w:tc>
        <w:tc>
          <w:tcPr>
            <w:tcW w:w="8637"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完成学校安排的临时性保洁工作；根据采购人临时需求，做好大型会议、赛事、重要接待、施工、洪涝等临时或突发事项的事前、事后保洁工作。</w:t>
            </w:r>
            <w:r>
              <w:rPr>
                <w:highlight w:val="none"/>
              </w:rPr>
            </w:r>
            <w:r/>
          </w:p>
        </w:tc>
      </w:tr>
    </w:tbl>
    <w:p>
      <w:pPr>
        <w:pStyle w:val="963"/>
        <w:rPr>
          <w:b/>
          <w:bCs/>
          <w:color w:val="000000"/>
          <w:highlight w:val="none"/>
        </w:rPr>
      </w:pPr>
      <w:r>
        <w:rPr>
          <w:b/>
          <w:bCs/>
          <w:color w:val="000000"/>
          <w:highlight w:val="none"/>
        </w:rPr>
        <w:t xml:space="preserve">（2）室内清洁工作标准</w:t>
      </w:r>
      <w:r>
        <w:rPr>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8640"/>
      </w:tblGrid>
      <w:tr>
        <w:trPr>
          <w:trHeight w:val="438"/>
        </w:trPr>
        <w:tc>
          <w:tcPr>
            <w:tcW w:w="828"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highlight w:val="none"/>
              </w:rPr>
            </w:r>
            <w:r/>
          </w:p>
        </w:tc>
        <w:tc>
          <w:tcPr>
            <w:tcW w:w="8640"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室内</w:t>
            </w:r>
            <w:r>
              <w:rPr>
                <w:rFonts w:ascii="宋体" w:hAnsi="宋体" w:cs="宋体"/>
                <w:color w:val="000000"/>
                <w:sz w:val="24"/>
                <w:szCs w:val="24"/>
                <w:highlight w:val="none"/>
              </w:rPr>
              <w:t xml:space="preserve">清洁工作标准</w:t>
            </w:r>
            <w:r>
              <w:rPr>
                <w:highlight w:val="none"/>
              </w:rPr>
            </w:r>
            <w:r/>
          </w:p>
        </w:tc>
      </w:tr>
      <w:tr>
        <w:trPr>
          <w:trHeight w:val="438"/>
        </w:trPr>
        <w:tc>
          <w:tcPr>
            <w:tcW w:w="828"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W w:w="8640"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对心理咨询中心、艺体中心、会议室、报告厅、自习室、图书信息中心、实境课堂等室内区域，每日清洁地面、座椅、门窗，擦拭扶手、标志牌；活动结束后及时清理垃圾，恢复场地整洁。</w:t>
            </w:r>
            <w:r>
              <w:rPr>
                <w:highlight w:val="none"/>
              </w:rPr>
            </w:r>
            <w:r/>
          </w:p>
        </w:tc>
      </w:tr>
      <w:tr>
        <w:trPr>
          <w:trHeight w:val="438"/>
        </w:trPr>
        <w:tc>
          <w:tcPr>
            <w:tcW w:w="828"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2</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教室管理：课后即时清理垃圾，每日拖拭地面、讲台、踏板、桌椅、黑板，每周清洁门窗玻璃；配合校方督促学生保持座位周边整洁，禁止遗留杂物。</w:t>
            </w:r>
            <w:r>
              <w:rPr>
                <w:highlight w:val="none"/>
              </w:rPr>
            </w:r>
            <w:r/>
          </w:p>
        </w:tc>
      </w:tr>
      <w:tr>
        <w:trPr>
          <w:trHeight w:val="438"/>
        </w:trPr>
        <w:tc>
          <w:tcPr>
            <w:tcW w:w="828"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3</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实训场地管理：重点管控废料与油污，每日清理实训碎屑、耗材废料，分类存放可回收/有害废料；地面油污即时冲洗，实训设备表面每日擦拭除尘；清洁作业避开实训时段，不得影响教学进度，严禁随意丢弃实训危险废料。</w:t>
            </w:r>
            <w:r>
              <w:rPr>
                <w:highlight w:val="none"/>
              </w:rPr>
            </w:r>
            <w:r/>
          </w:p>
        </w:tc>
      </w:tr>
      <w:tr>
        <w:trPr>
          <w:trHeight w:val="438"/>
        </w:trPr>
        <w:tc>
          <w:tcPr>
            <w:tcW w:w="828"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4</w:t>
            </w:r>
            <w:r>
              <w:rPr>
                <w:highlight w:val="none"/>
              </w:rPr>
            </w:r>
            <w:r/>
          </w:p>
        </w:tc>
        <w:tc>
          <w:tcPr>
            <w:tcW w:w="8640" w:type="dxa"/>
            <w:vAlign w:val="center"/>
            <w:textDirection w:val="lrTb"/>
            <w:noWrap w:val="false"/>
          </w:tcPr>
          <w:p>
            <w:pPr>
              <w:pStyle w:val="958"/>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功能室管理：琴房、画室等专用场地按专属标准开展清洁作业，避免颜料、杂物造成场地污染。</w:t>
            </w:r>
            <w:r>
              <w:rPr>
                <w:highlight w:val="none"/>
              </w:rPr>
            </w:r>
            <w:r/>
          </w:p>
        </w:tc>
      </w:tr>
    </w:tbl>
    <w:p>
      <w:pPr>
        <w:pStyle w:val="963"/>
        <w:rPr>
          <w:b/>
          <w:bCs/>
          <w:color w:val="000000"/>
          <w:highlight w:val="none"/>
        </w:rPr>
      </w:pPr>
      <w:r>
        <w:rPr>
          <w:b/>
          <w:bCs/>
          <w:color w:val="000000"/>
          <w:highlight w:val="none"/>
        </w:rPr>
        <w:t xml:space="preserve">（3）走廊、通道清洁工作标准</w:t>
      </w:r>
      <w:r>
        <w:rPr>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8640"/>
      </w:tblGrid>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序号</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走廊、通道</w:t>
            </w:r>
            <w:r>
              <w:rPr>
                <w:rFonts w:ascii="宋体" w:hAnsi="宋体" w:cs="宋体"/>
                <w:color w:val="000000"/>
                <w:sz w:val="24"/>
                <w:szCs w:val="28"/>
                <w:highlight w:val="none"/>
              </w:rPr>
              <w:t xml:space="preserve">清洁工作标准</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所有过道地面每日拖净至少2次，实施循环清扫，保持地面无垃圾、纸屑、烟头、无水渍，日常发现污渍、垃圾即时处理，保持光洁明亮。</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擦净所有玻璃门、窗，发现手印、污渍即时清理干净。</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3</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擦净所有垃圾筒，及时清理垃圾，保持垃圾存放量不超过筒身2/3。</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4</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每日清扫消防通道，擦抹扶手栏杆、地脚线表面灰尘，地面梯阶每日清扫1次，发现痰渍等污物即时清除，每周清洗1次。</w:t>
            </w:r>
            <w:r>
              <w:rPr>
                <w:highlight w:val="none"/>
              </w:rPr>
            </w:r>
            <w:r/>
          </w:p>
        </w:tc>
      </w:tr>
      <w:tr>
        <w:trPr>
          <w:trHeight w:val="46"/>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5</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对所有3米以下大理石、木板、玻璃墙面每周清洁1次。</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6</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所有瓷砖地面每日拖洗至少2次，每周用清洁剂彻底清洗至少1次，保持地面光洁明亮。</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7</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所有通道出口指示灯牌、应急灯每周清洁1次，保持无灰尘、无蛛网，明亮透洁。</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8</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过道天花、墙角、墙面每周清扫1次，日常发现蛛网即时处理。</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9</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所有通道门窗每周擦抹灰尘至少1次。</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10</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及时开关照明灯具，做好节约能耗工作。</w:t>
            </w:r>
            <w:r>
              <w:rPr>
                <w:highlight w:val="none"/>
              </w:rPr>
            </w:r>
            <w:r/>
          </w:p>
        </w:tc>
      </w:tr>
      <w:tr>
        <w:trPr>
          <w:trHeight w:val="438"/>
        </w:trPr>
        <w:tc>
          <w:tcPr>
            <w:tcW w:w="82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ascii="宋体" w:hAnsi="宋体" w:cs="宋体"/>
                <w:color w:val="000000"/>
                <w:sz w:val="24"/>
                <w:szCs w:val="28"/>
                <w:highlight w:val="none"/>
              </w:rPr>
              <w:t xml:space="preserve">1</w:t>
            </w:r>
            <w:r>
              <w:rPr>
                <w:highlight w:val="none"/>
              </w:rPr>
            </w:r>
            <w:r/>
          </w:p>
        </w:tc>
        <w:tc>
          <w:tcPr>
            <w:tcW w:w="86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楼道内禁止堆放杂物，公共卫生间定时补充用水及保洁耗材，排水沟每周清理，防止堵塞。</w:t>
            </w:r>
            <w:r>
              <w:rPr>
                <w:highlight w:val="none"/>
              </w:rPr>
            </w:r>
            <w:r/>
          </w:p>
        </w:tc>
      </w:tr>
    </w:tbl>
    <w:p>
      <w:pPr>
        <w:pStyle w:val="963"/>
        <w:rPr>
          <w:b/>
          <w:bCs/>
          <w:color w:val="000000"/>
          <w:highlight w:val="none"/>
        </w:rPr>
      </w:pPr>
      <w:r>
        <w:rPr>
          <w:b/>
          <w:bCs/>
          <w:color w:val="000000"/>
          <w:highlight w:val="none"/>
        </w:rPr>
        <w:t xml:space="preserve">（4）洗手间、盥洗间清洁工作标准</w:t>
      </w:r>
      <w:r>
        <w:rPr>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8639"/>
      </w:tblGrid>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序号</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洗手间、盥洗间</w:t>
            </w:r>
            <w:r>
              <w:rPr>
                <w:rFonts w:ascii="宋体" w:hAnsi="宋体" w:cs="宋体"/>
                <w:color w:val="000000"/>
                <w:sz w:val="24"/>
                <w:szCs w:val="28"/>
                <w:highlight w:val="none"/>
              </w:rPr>
              <w:t xml:space="preserve">清洁工作标准</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拖洗所有洗手间地面，擦净洁具、门框、墙身，实施每日循环多次清洁，保持无灰尘、无水渍、无垃圾、无异味。</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镜面、台面、洗手盆每日清洁4次，隔板、纸盒每日擦抹1次，小便池、厕位、水池经常清洁且每日清洗至少1次；每小时巡视1次，保持区域内无污渍、水渍、积水、头发、手印、便迹、异味等。</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3</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每周对墙面瓷砖进行1次全面大清洗，地面用清洁剂刷洗，天花擦净，灯具、风口抹尘，保持干净无污渍；洗手间地面保持无水渍、无积垢；洁具每周用消毒药剂消毒1次，整体卫生间每周全面消毒1次。</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4</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及时清倒垃圾桶垃圾、更换垃圾袋，并运送至指定地点堆放，每日操作多次；地面实施日常循环拖扫，保持干燥、洁净。</w:t>
            </w:r>
            <w:r>
              <w:rPr>
                <w:highlight w:val="none"/>
              </w:rPr>
            </w:r>
            <w:r/>
          </w:p>
        </w:tc>
      </w:tr>
      <w:tr>
        <w:trPr>
          <w:trHeight w:val="46"/>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5</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保持所有下水道畅通，发现堵塞即时处理。</w:t>
            </w:r>
            <w:r>
              <w:rPr>
                <w:highlight w:val="none"/>
              </w:rPr>
            </w:r>
            <w:r/>
          </w:p>
        </w:tc>
      </w:tr>
    </w:tbl>
    <w:p>
      <w:pPr>
        <w:pStyle w:val="963"/>
        <w:rPr>
          <w:b/>
          <w:bCs/>
          <w:color w:val="000000"/>
          <w:highlight w:val="none"/>
        </w:rPr>
      </w:pPr>
      <w:r>
        <w:rPr>
          <w:b/>
          <w:bCs/>
          <w:color w:val="000000"/>
          <w:highlight w:val="none"/>
        </w:rPr>
        <w:t xml:space="preserve">（5）室外环境清洁工作标准</w:t>
      </w:r>
      <w:r>
        <w:rPr>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8639"/>
      </w:tblGrid>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序号</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室外环境</w:t>
            </w:r>
            <w:r>
              <w:rPr>
                <w:rFonts w:ascii="宋体" w:hAnsi="宋体" w:cs="宋体"/>
                <w:color w:val="000000"/>
                <w:sz w:val="24"/>
                <w:szCs w:val="28"/>
                <w:highlight w:val="none"/>
              </w:rPr>
              <w:t xml:space="preserve">清洁工作标准</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楼宇、场地周边辅道、停车场每日彻底清洁不少于2次，及时维护；保持地面无杂物、无垃圾堆积、无积水、无积沙、无明显污染。</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垃圾清运每日不少于3次，及时维护；做到无垃圾堆积、无卫生死角；垃圾袋封装后运送至指定地点，运输途中无洒漏。</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3</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明沟每日彻底清洁1次，暗沟每月清洁不少于1次，及时维护；保持水沟内无纸屑、杂物、无积沙、无明显污染，无杂草、树枝，流水通畅，无淤泥堵塞。</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4</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水面每日清洁不少于2次，及时维护；保持水面无白色垃圾、无枯枝等漂浮物。</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5</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露天固定座椅（含标识等）每日维护不少于1次，每周彻底清洁1次；保持表面无杂物、无污渍、无蛛网、无积灰、无破损。</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6</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雨雪天气及时清理各道路积雪、积水，台阶处无积雪，并设置防滑措施。</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7</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室外垃圾桶内垃圾不得超过2/3，产生异味的立即封口并即时处理，杜绝桶内垃圾满溢；做到垃圾日产日清，及时清运；垃圾桶附近地面无散落垃圾，表面无污迹、无垃圾贴附物。</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8</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每日清扫绿植区域落叶、白色垃圾，做到不堆积。</w:t>
            </w:r>
            <w:r>
              <w:rPr>
                <w:highlight w:val="none"/>
              </w:rPr>
            </w:r>
            <w:r/>
          </w:p>
        </w:tc>
      </w:tr>
      <w:tr>
        <w:trPr>
          <w:trHeight w:val="501"/>
        </w:trPr>
        <w:tc>
          <w:tcPr>
            <w:tcW w:w="82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9</w:t>
            </w:r>
            <w:r>
              <w:rPr>
                <w:highlight w:val="none"/>
              </w:rPr>
            </w:r>
            <w:r/>
          </w:p>
        </w:tc>
        <w:tc>
          <w:tcPr>
            <w:tcW w:w="8639"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负责范围内的化粪池清掏、荷塘清理等工作，每年不少于2次。</w:t>
            </w:r>
            <w:r>
              <w:rPr>
                <w:highlight w:val="none"/>
              </w:rPr>
            </w:r>
            <w:r/>
          </w:p>
        </w:tc>
      </w:tr>
    </w:tbl>
    <w:p>
      <w:pPr>
        <w:pStyle w:val="972"/>
        <w:ind w:firstLine="0"/>
        <w:spacing w:line="360" w:lineRule="exact"/>
        <w:rPr>
          <w:rFonts w:ascii="宋体" w:hAnsi="宋体" w:cs="宋体"/>
          <w:b/>
          <w:bCs/>
          <w:color w:val="000000"/>
          <w:sz w:val="24"/>
          <w:szCs w:val="28"/>
          <w:highlight w:val="none"/>
        </w:rPr>
      </w:pPr>
      <w:r>
        <w:rPr>
          <w:rFonts w:ascii="宋体" w:hAnsi="宋体" w:cs="宋体"/>
          <w:b/>
          <w:bCs/>
          <w:color w:val="000000"/>
          <w:sz w:val="24"/>
          <w:szCs w:val="28"/>
          <w:highlight w:val="none"/>
        </w:rPr>
        <w:t xml:space="preserve">（四）绿化养护服务</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1.服务范围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茅山校区内所有乔木、灌木、花卉、草坪、地被、行道树、古树名木、绿篱及水体等。</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2.服务内容</w:t>
      </w: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2"/>
        <w:gridCol w:w="7577"/>
      </w:tblGrid>
      <w:tr>
        <w:trPr>
          <w:trHeight w:val="451"/>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服务内容</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基本要求</w:t>
            </w:r>
            <w:r>
              <w:rPr>
                <w:highlight w:val="none"/>
              </w:rPr>
            </w:r>
            <w:r/>
          </w:p>
        </w:tc>
      </w:tr>
      <w:tr>
        <w:trPr>
          <w:trHeight w:val="401"/>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浇水</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根据天气实际情况灵活开展，确保绿植水分需求。</w:t>
            </w:r>
            <w:r>
              <w:rPr>
                <w:highlight w:val="none"/>
              </w:rPr>
            </w:r>
            <w:r/>
          </w:p>
        </w:tc>
      </w:tr>
      <w:tr>
        <w:trPr>
          <w:trHeight w:val="336"/>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施肥</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每年平均开展2-3次，根据绿植生长特性科学配比肥料。</w:t>
            </w:r>
            <w:r>
              <w:rPr>
                <w:highlight w:val="none"/>
              </w:rPr>
            </w:r>
            <w:r/>
          </w:p>
        </w:tc>
      </w:tr>
      <w:tr>
        <w:trPr>
          <w:trHeight w:val="759"/>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修剪整形</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草地：每年6-8次；灌木：每年4-6次（根据长势动态调整）；乔木：每年冬季完成1次修剪。|</w:t>
            </w:r>
            <w:r>
              <w:rPr>
                <w:highlight w:val="none"/>
              </w:rPr>
            </w:r>
            <w:r/>
          </w:p>
        </w:tc>
      </w:tr>
      <w:tr>
        <w:trPr>
          <w:trHeight w:val="385"/>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病虫害防治</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覆盖草地、灌木、乔木等所有绿植，坚持预防为主、综合防治。</w:t>
            </w:r>
            <w:r>
              <w:rPr>
                <w:highlight w:val="none"/>
              </w:rPr>
            </w:r>
            <w:r/>
          </w:p>
        </w:tc>
      </w:tr>
      <w:tr>
        <w:trPr>
          <w:trHeight w:val="759"/>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除杂草松土</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草坪除草每月1次，雨后杂草严重时每周1次；草坪内禁止出现开花杂草，花木丛中禁止出现高于花木的杂草。|</w:t>
            </w:r>
            <w:r>
              <w:rPr>
                <w:highlight w:val="none"/>
              </w:rPr>
            </w:r>
            <w:r/>
          </w:p>
        </w:tc>
      </w:tr>
      <w:tr>
        <w:trPr>
          <w:trHeight w:val="504"/>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补植</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对因生长不良造成残缺的花草、树木及时补植，恢复绿化景观。</w:t>
            </w:r>
            <w:r>
              <w:rPr>
                <w:highlight w:val="none"/>
              </w:rPr>
            </w:r>
            <w:r/>
          </w:p>
        </w:tc>
      </w:tr>
      <w:tr>
        <w:trPr>
          <w:trHeight w:val="710"/>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清理</w:t>
            </w:r>
            <w:r>
              <w:rPr>
                <w:highlight w:val="none"/>
              </w:rPr>
            </w:r>
            <w:r/>
          </w:p>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绿化垃圾</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修剪产生的树枝、杂草等绿化垃圾当日清运完毕，严禁就地焚烧。</w:t>
            </w:r>
            <w:r>
              <w:rPr>
                <w:highlight w:val="none"/>
              </w:rPr>
            </w:r>
            <w:r/>
          </w:p>
        </w:tc>
      </w:tr>
      <w:tr>
        <w:trPr>
          <w:trHeight w:val="752"/>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防风防汛</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灾前做好绿植加固等预防措施，灾后及时清除倒树断枝、疏通道路，对受损绿植进行清理扶植。</w:t>
            </w:r>
            <w:r>
              <w:rPr>
                <w:highlight w:val="none"/>
              </w:rPr>
            </w:r>
            <w:r/>
          </w:p>
        </w:tc>
      </w:tr>
      <w:tr>
        <w:trPr>
          <w:trHeight w:val="510"/>
        </w:trPr>
        <w:tc>
          <w:tcPr>
            <w:tcW w:w="868"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保护措施</w:t>
            </w:r>
            <w:r>
              <w:rPr>
                <w:highlight w:val="none"/>
              </w:rPr>
            </w:r>
            <w:r/>
          </w:p>
        </w:tc>
        <w:tc>
          <w:tcPr>
            <w:tcW w:w="413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保护现有绿化植被完整，及时制止并处理人为损坏绿植的行为。</w:t>
            </w:r>
            <w:r>
              <w:rPr>
                <w:highlight w:val="none"/>
              </w:rPr>
            </w:r>
            <w:r/>
          </w:p>
        </w:tc>
      </w:tr>
    </w:tbl>
    <w:p>
      <w:pPr>
        <w:pStyle w:val="958"/>
        <w:jc w:val="left"/>
        <w:spacing w:line="315" w:lineRule="exact"/>
        <w:rPr>
          <w:rFonts w:ascii="宋体" w:hAnsi="宋体" w:cs="宋体"/>
          <w:b/>
          <w:bCs/>
          <w:color w:val="000000"/>
          <w:sz w:val="24"/>
          <w:szCs w:val="24"/>
          <w:highlight w:val="none"/>
        </w:rPr>
      </w:pPr>
      <w:r>
        <w:rPr>
          <w:rFonts w:ascii="宋体" w:hAnsi="宋体" w:cs="宋体"/>
          <w:b/>
          <w:bCs/>
          <w:color w:val="000000"/>
          <w:sz w:val="24"/>
          <w:szCs w:val="24"/>
          <w:highlight w:val="none"/>
        </w:rPr>
        <w:t xml:space="preserve">3.服务标准</w:t>
      </w:r>
      <w:r>
        <w:rPr>
          <w:highlight w:val="none"/>
        </w:rPr>
      </w:r>
      <w:r/>
    </w:p>
    <w:tbl>
      <w:tblPr>
        <w:tblW w:w="89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4"/>
        <w:gridCol w:w="6795"/>
      </w:tblGrid>
      <w:tr>
        <w:trPr>
          <w:trHeight w:val="676"/>
          <w:tblHeader/>
        </w:trPr>
        <w:tc>
          <w:tcPr>
            <w:tcW w:w="73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序号</w:t>
            </w:r>
            <w:r>
              <w:rPr>
                <w:highlight w:val="none"/>
              </w:rPr>
            </w:r>
            <w:r/>
          </w:p>
        </w:tc>
        <w:tc>
          <w:tcPr>
            <w:tcW w:w="14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项目名称</w:t>
            </w:r>
            <w:r>
              <w:rPr>
                <w:highlight w:val="none"/>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服务标准</w:t>
            </w:r>
            <w:r>
              <w:rPr>
                <w:highlight w:val="none"/>
              </w:rPr>
            </w:r>
            <w:r/>
          </w:p>
        </w:tc>
      </w:tr>
      <w:tr>
        <w:trPr>
          <w:trHeight w:val="258"/>
        </w:trPr>
        <w:tc>
          <w:tcPr>
            <w:tcW w:w="737"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highlight w:val="none"/>
              </w:rPr>
            </w:r>
            <w:r/>
          </w:p>
        </w:tc>
        <w:tc>
          <w:tcPr>
            <w:tcW w:w="1404"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基本要求</w:t>
            </w:r>
            <w:r>
              <w:rPr>
                <w:highlight w:val="none"/>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ascii="宋体" w:hAnsi="宋体" w:cs="宋体"/>
                <w:color w:val="000000"/>
                <w:sz w:val="24"/>
                <w:szCs w:val="28"/>
                <w:highlight w:val="none"/>
              </w:rPr>
              <w:t xml:space="preserve">制定完善的绿化服务工作制度及工作计划，并严格执行</w:t>
            </w:r>
            <w:r>
              <w:rPr>
                <w:highlight w:val="none"/>
              </w:rPr>
            </w:r>
            <w:r/>
          </w:p>
        </w:tc>
      </w:tr>
      <w:tr>
        <w:trPr>
          <w:trHeight w:val="263"/>
        </w:trPr>
        <w:tc>
          <w:tcPr>
            <w:tcW w:w="737"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rFonts w:ascii="宋体" w:hAnsi="宋体" w:cs="宋体"/>
                <w:color w:val="000000"/>
                <w:sz w:val="24"/>
                <w:szCs w:val="28"/>
                <w:highlight w:val="none"/>
              </w:rPr>
              <w:t xml:space="preserve">做好绿化服务工作记录，填写规范、完整；</w:t>
            </w:r>
            <w:r>
              <w:rPr>
                <w:highlight w:val="none"/>
              </w:rPr>
            </w:r>
            <w:r/>
          </w:p>
        </w:tc>
      </w:tr>
      <w:tr>
        <w:trPr>
          <w:trHeight w:val="46"/>
        </w:trPr>
        <w:tc>
          <w:tcPr>
            <w:tcW w:w="737"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（3）</w:t>
            </w:r>
            <w:r>
              <w:rPr>
                <w:rFonts w:ascii="宋体" w:hAnsi="宋体" w:cs="宋体"/>
                <w:color w:val="000000"/>
                <w:sz w:val="24"/>
                <w:szCs w:val="28"/>
                <w:highlight w:val="none"/>
              </w:rPr>
              <w:t xml:space="preserve">作业时采取必要的安全防护措施，防止对作业人员或他人造成人身伤害；</w:t>
            </w:r>
            <w:r>
              <w:rPr>
                <w:highlight w:val="none"/>
              </w:rPr>
            </w:r>
            <w:r/>
          </w:p>
        </w:tc>
      </w:tr>
      <w:tr>
        <w:trPr>
          <w:trHeight w:val="46"/>
        </w:trPr>
        <w:tc>
          <w:tcPr>
            <w:tcW w:w="737"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（4）</w:t>
            </w:r>
            <w:r>
              <w:rPr>
                <w:rFonts w:ascii="宋体" w:hAnsi="宋体" w:cs="宋体"/>
                <w:color w:val="000000"/>
                <w:sz w:val="24"/>
                <w:szCs w:val="28"/>
                <w:highlight w:val="none"/>
              </w:rPr>
              <w:t xml:space="preserve">使用的相关耗材需符合环保、安全相关规定要求。</w:t>
            </w:r>
            <w:r>
              <w:rPr>
                <w:highlight w:val="none"/>
              </w:rPr>
            </w:r>
            <w:r/>
          </w:p>
        </w:tc>
      </w:tr>
      <w:tr>
        <w:trPr>
          <w:trHeight w:val="706"/>
        </w:trPr>
        <w:tc>
          <w:tcPr>
            <w:tcW w:w="73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highlight w:val="none"/>
              </w:rPr>
            </w:r>
            <w:r/>
          </w:p>
        </w:tc>
        <w:tc>
          <w:tcPr>
            <w:tcW w:w="14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养护方法</w:t>
            </w:r>
            <w:r>
              <w:rPr>
                <w:highlight w:val="none"/>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（1）管理程序：包含淋水、开窝培土、修剪、施肥、除草、修剪抹芽、病虫害防治、扶正、补苗（苗木费另计）等全流程作业；</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（2）管理工具：配备花剪、长剪、高空剪、铲草机、剪草机；喷雾器、桶、斗车、竹箕；铲、锄、锯子、电锯、梯子等各类专业工具。</w:t>
            </w:r>
            <w:r>
              <w:rPr>
                <w:highlight w:val="none"/>
              </w:rPr>
            </w:r>
            <w:r/>
          </w:p>
        </w:tc>
      </w:tr>
      <w:tr>
        <w:trPr>
          <w:trHeight w:val="676"/>
        </w:trPr>
        <w:tc>
          <w:tcPr>
            <w:tcW w:w="73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3</w:t>
            </w:r>
            <w:r>
              <w:rPr>
                <w:highlight w:val="none"/>
              </w:rPr>
            </w:r>
            <w:r/>
          </w:p>
        </w:tc>
        <w:tc>
          <w:tcPr>
            <w:tcW w:w="14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养护标准</w:t>
            </w:r>
            <w:r>
              <w:rPr>
                <w:highlight w:val="none"/>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本区域绿化养护执行江苏省城市园林绿化一级养护标准，覆盖所有乔木、灌木、花卉、草坪、地被、古树名木等；本方案养护标准表述不明确或存在冲突的，以《江苏省城市园林绿化养护管理规范及分级标准》（苏建园〔2015〕383号）为准，未涵盖的内容参照《园林绿化养护标准》（CJJ/T287-2018）执行。</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2.区域内草坪植物配置合理，乔、灌、花、草品类齐全，基本无裸露土地。</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3.乔木生长健壮，树冠完整，树形优美；分枝点设置合理，无枯枝死杈；主侧枝分布匀称、数量适宜；修剪及时、规范，内膛通风透光；树木无歪斜（造型树木除外），叶片大小、颜色正常，无黄叶、焦叶、卷叶；无缺株、死株，可视病虫危害被害株率≤2%，地下害虫≤2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4.行道树树形完整、树冠舒展，分枝点偏差在±10cm内；保留3级及以上分枝，长势良好，无徒长枝、病虫枝、交叉枝、重叠枝、下垂枝、扭伤枝、萌蘖枝、枯枝及烂头等；树穴设置平整盖板或种植地被植物、覆盖树皮碎屑，杜绝黄土裸露，树穴设施完好；补植的行道树品种与原品种一致，规格适宜（落叶树种胸径≤15cm，常绿树种胸径≤12cm）；可视病虫危害被害株率≤2%，地下害虫≤2头/㎡。</w:t>
            </w:r>
            <w:r>
              <w:rPr>
                <w:rFonts w:hint="eastAsia" w:ascii="宋体" w:hAnsi="宋体" w:cs="宋体"/>
                <w:color w:val="000000"/>
                <w:sz w:val="24"/>
                <w:szCs w:val="28"/>
                <w:highlight w:val="none"/>
              </w:rPr>
              <w:t xml:space="preserve">被害株率≤2%，地下害虫≤2头/㎡。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5.花灌木株形丰满，枝叶茂密，开花适时，花后修剪及时、合理；可视病虫危害被害株率≤2%，地下害虫≤2头/㎡。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6.古树名木按照国家、省相关规定开展养护，各项养护管理措施落实到位，确保植株生长正常、状态良好。</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7.草坪外观整齐，边缘线清晰，生长旺盛，草根不裸露；无可视斑秃，生长季节不枯黄，修剪及时；绿地内杂草率≤2%，可视病虫危害被害株率≤2%，地下害虫≤2头/㎡。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8.绿篱、模纹和色块等修剪及时；绿篱线条清晰，同类观赏面规则、整齐一致；模纹和色块线条流畅、主要观赏面圆润饱满，符合设计要求；枝叶茂密，造型优美；造型树木根据生长特性及时摘心、攀扎；可视病虫危害被害株率≤2%，地下害虫≤2头/㎡。</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9.花境花卉生长健壮，株行距适宜，色彩鲜艳，花期整齐，图案清晰；无缺株、倒伏，残花量≤10％；可视病虫危害被害株率≤2%，地下害虫≤2头/㎡；花坛表面整洁、无破损。</w:t>
            </w:r>
            <w:r>
              <w:rPr>
                <w:highlight w:val="none"/>
              </w:rPr>
            </w:r>
            <w:r/>
          </w:p>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ascii="宋体" w:hAnsi="宋体" w:cs="宋体"/>
                <w:color w:val="000000"/>
                <w:sz w:val="24"/>
                <w:szCs w:val="28"/>
                <w:highlight w:val="none"/>
              </w:rPr>
              <w:t xml:space="preserve">0.水体水质符合地表水环境质量标准相应要求，水面清洁、无漂浮物；安全警示标志设置规范、齐全；池底、池岸安全稳固，各类面层无缺损。</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11.按季节每周对花卉开展1-2次养护，保持叶面干净整洁；养护的花卉生长健壮、状态良好，出现枯死、丧失观赏价值的，及时更换且规格与原花卉一致。</w:t>
            </w:r>
            <w:r>
              <w:rPr>
                <w:highlight w:val="none"/>
              </w:rPr>
            </w:r>
            <w:r/>
          </w:p>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ascii="宋体" w:hAnsi="宋体" w:cs="宋体"/>
                <w:color w:val="000000"/>
                <w:sz w:val="24"/>
                <w:szCs w:val="28"/>
                <w:highlight w:val="none"/>
              </w:rPr>
              <w:t xml:space="preserve">2.保障学院绿地灌溉喷淋设施完好无损，定期巡视维护，及时报修故障，确保设施正常使用。</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13.绿化带、草坪及水体卫生保洁：每日上、下午各开展1次巡视清洁，保持绿地整洁，无杂树、无杂草、无堆物堆料、无白色垃圾、无树挂，严禁搭棚、侵占绿地；设施基本完好，无明显人为损坏，及时发现并处理破坏绿地、乱倒垃圾等违规行为；做好水面日常清理、清淤工作，保证水面清洁、无漂浮物；负责绿化生产垃圾的清运。</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14.对校内乔木杨柳絮、梧桐树飘絮开展定期防治，采用地面水车高压水炮等方式喷淋降尘、增加空气湿度、压制飞絮，减少飞絮飘落。</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15.树木冬季做好防寒养护，包括树干涂白、灭虫，按天气情况浇透防冻水；对黄杨景观、雪松等绿植采取冬季保温防护措施。</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16.节能节水：树立节约用水意识，爱护用水设施设备，及时保养维护绿化供水设施，发现跑冒滴漏现象即时上报；严禁违规使用消防用水进行灌溉，特殊情况确需使用自来水灌溉的，须经校方相关管理部门书面同意。</w:t>
            </w:r>
            <w:r>
              <w:rPr>
                <w:highlight w:val="none"/>
              </w:rPr>
            </w:r>
            <w:r/>
          </w:p>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17.绿化养护工具、员工工作服、保洁用品、保洁用具、防滑垫、湖水危险提示牌、工作梯、清扫三轮车等各类物品，由养护企业自行负责采购配置。</w:t>
            </w:r>
            <w:r>
              <w:rPr>
                <w:highlight w:val="none"/>
              </w:rPr>
            </w:r>
            <w:r/>
          </w:p>
        </w:tc>
      </w:tr>
      <w:tr>
        <w:trPr>
          <w:trHeight w:val="676"/>
        </w:trPr>
        <w:tc>
          <w:tcPr>
            <w:tcW w:w="73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4</w:t>
            </w:r>
            <w:r>
              <w:rPr>
                <w:highlight w:val="none"/>
              </w:rPr>
            </w:r>
            <w:r/>
          </w:p>
        </w:tc>
        <w:tc>
          <w:tcPr>
            <w:tcW w:w="14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花卉栽植要求及规格</w:t>
            </w:r>
            <w:r>
              <w:rPr>
                <w:highlight w:val="none"/>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花境栽植方案交校方审核后再栽植养护；栽植花株底座采用大杯，杯口直径90MM，每平方栽植或摆放不低于65株，须含养护；花境栽植时间于4月、9月迎新开学、11月栽植养护，另外有重要领导来访突击栽植摆放花草不低于3次，合计全年不低于6次。</w:t>
            </w:r>
            <w:r>
              <w:rPr>
                <w:highlight w:val="none"/>
              </w:rPr>
            </w:r>
            <w:r/>
          </w:p>
          <w:tbl>
            <w:tblPr>
              <w:tblW w:w="5104"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1833"/>
              <w:gridCol w:w="1064"/>
              <w:gridCol w:w="1489"/>
              <w:gridCol w:w="637"/>
              <w:gridCol w:w="1049"/>
            </w:tblGrid>
            <w:tr>
              <w:trPr>
                <w:trHeight w:val="638"/>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序号</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栽植地点</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栽植面积</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内容效果</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种类</w:t>
                  </w:r>
                  <w:r>
                    <w:rPr>
                      <w:highlight w:val="none"/>
                    </w:rPr>
                  </w:r>
                  <w:r/>
                </w:p>
              </w:tc>
              <w:tc>
                <w:tcPr>
                  <w:tcW w:w="78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备注</w:t>
                  </w:r>
                  <w:r>
                    <w:rPr>
                      <w:highlight w:val="none"/>
                    </w:rPr>
                  </w:r>
                  <w:r/>
                </w:p>
              </w:tc>
            </w:tr>
            <w:tr>
              <w:trPr>
                <w:trHeight w:val="473"/>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校区门口花坛</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highlight w:val="none"/>
                    </w:rPr>
                  </w:r>
                  <w:bookmarkStart w:id="193" w:name="OLE_LINK5"/>
                  <w:r>
                    <w:rPr>
                      <w:rFonts w:hint="eastAsia" w:ascii="宋体" w:hAnsi="宋体" w:cs="宋体"/>
                      <w:color w:val="000000"/>
                      <w:sz w:val="24"/>
                      <w:szCs w:val="28"/>
                      <w:highlight w:val="none"/>
                    </w:rPr>
                    <w:t xml:space="preserve">≥</w:t>
                  </w:r>
                  <w:bookmarkEnd w:id="193"/>
                  <w:r>
                    <w:rPr>
                      <w:rFonts w:ascii="宋体" w:hAnsi="宋体" w:cs="宋体"/>
                      <w:color w:val="000000"/>
                      <w:sz w:val="24"/>
                      <w:szCs w:val="28"/>
                      <w:highlight w:val="none"/>
                    </w:rPr>
                    <w:t xml:space="preserve">10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草花栽植</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3</w:t>
                  </w:r>
                  <w:r>
                    <w:rPr>
                      <w:highlight w:val="none"/>
                    </w:rPr>
                  </w:r>
                  <w:r/>
                </w:p>
              </w:tc>
              <w:tc>
                <w:tcPr>
                  <w:tcW w:w="782"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须确保花整齐、均匀，花坛（台）及时换花，整体观赏效果好</w:t>
                  </w:r>
                  <w:r>
                    <w:rPr>
                      <w:highlight w:val="none"/>
                    </w:rPr>
                  </w:r>
                  <w:r/>
                </w:p>
              </w:tc>
            </w:tr>
            <w:tr>
              <w:trPr>
                <w:trHeight w:val="403"/>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篮球场西侧花坛</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40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花卉栽植</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highlight w:val="none"/>
                    </w:rPr>
                  </w:r>
                  <w:r/>
                </w:p>
              </w:tc>
              <w:tc>
                <w:tcPr>
                  <w:tcW w:w="782"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403"/>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3</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行政楼西侧</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400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两侧绿化带沿路栽植</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highlight w:val="none"/>
                    </w:rPr>
                  </w:r>
                  <w:r/>
                </w:p>
              </w:tc>
              <w:tc>
                <w:tcPr>
                  <w:tcW w:w="782"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403"/>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4</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M</w:t>
                  </w:r>
                  <w:r>
                    <w:rPr>
                      <w:rFonts w:ascii="宋体" w:hAnsi="宋体" w:cs="宋体"/>
                      <w:color w:val="000000"/>
                      <w:sz w:val="24"/>
                      <w:szCs w:val="28"/>
                      <w:highlight w:val="none"/>
                    </w:rPr>
                    <w:t xml:space="preserve">2</w:t>
                  </w:r>
                  <w:r>
                    <w:rPr>
                      <w:rFonts w:hint="eastAsia" w:ascii="宋体" w:hAnsi="宋体" w:cs="宋体"/>
                      <w:color w:val="000000"/>
                      <w:sz w:val="24"/>
                      <w:szCs w:val="28"/>
                      <w:highlight w:val="none"/>
                    </w:rPr>
                    <w:t xml:space="preserve">教学楼东侧花坛</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10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花卉栽植</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2</w:t>
                  </w:r>
                  <w:r>
                    <w:rPr>
                      <w:highlight w:val="none"/>
                    </w:rPr>
                  </w:r>
                  <w:r/>
                </w:p>
              </w:tc>
              <w:tc>
                <w:tcPr>
                  <w:tcW w:w="782"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403"/>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5</w:t>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田径场二号门两侧</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200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花卉栽植点缀</w:t>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highlight w:val="none"/>
                    </w:rPr>
                  </w:r>
                  <w:r/>
                </w:p>
              </w:tc>
              <w:tc>
                <w:tcPr>
                  <w:tcW w:w="782"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766"/>
              </w:trPr>
              <w:tc>
                <w:tcPr>
                  <w:tcW w:w="47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c>
              <w:tc>
                <w:tcPr>
                  <w:tcW w:w="1367"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合计</w:t>
                  </w:r>
                  <w:r>
                    <w:rPr>
                      <w:highlight w:val="none"/>
                    </w:rPr>
                  </w:r>
                  <w:r/>
                </w:p>
              </w:tc>
              <w:tc>
                <w:tcPr>
                  <w:tcW w:w="793"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660</w:t>
                  </w:r>
                  <w:r>
                    <w:rPr>
                      <w:rFonts w:hint="eastAsia" w:ascii="宋体" w:hAnsi="宋体" w:cs="宋体"/>
                      <w:color w:val="000000"/>
                      <w:sz w:val="24"/>
                      <w:szCs w:val="28"/>
                      <w:highlight w:val="none"/>
                    </w:rPr>
                    <w:t xml:space="preserve">㎡</w:t>
                  </w:r>
                  <w:r>
                    <w:rPr>
                      <w:highlight w:val="none"/>
                    </w:rPr>
                  </w:r>
                  <w:r/>
                </w:p>
              </w:tc>
              <w:tc>
                <w:tcPr>
                  <w:tcW w:w="111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c>
              <w:tc>
                <w:tcPr>
                  <w:tcW w:w="47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c>
              <w:tc>
                <w:tcPr>
                  <w:tcW w:w="782"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c>
            </w:tr>
          </w:tbl>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bl>
            <w:tblPr>
              <w:tblW w:w="7486" w:type="dxa"/>
              <w:jc w:val="center"/>
              <w:tblInd w:w="5" w:type="dxa"/>
              <w:tblLayout w:type="fixed"/>
              <w:tblCellMar>
                <w:left w:w="15" w:type="dxa"/>
                <w:top w:w="15" w:type="dxa"/>
                <w:right w:w="15" w:type="dxa"/>
                <w:bottom w:w="15" w:type="dxa"/>
              </w:tblCellMar>
              <w:tblLook w:val="04A0" w:firstRow="1" w:lastRow="0" w:firstColumn="1" w:lastColumn="0" w:noHBand="0" w:noVBand="1"/>
            </w:tblPr>
            <w:tblGrid>
              <w:gridCol w:w="2155"/>
              <w:gridCol w:w="2402"/>
              <w:gridCol w:w="2929"/>
            </w:tblGrid>
            <w:tr>
              <w:trPr>
                <w:trHeight w:val="198"/>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更换花种</w:t>
                  </w:r>
                  <w:r>
                    <w:rPr>
                      <w:rFonts w:ascii="宋体" w:hAnsi="宋体" w:cs="宋体"/>
                      <w:color w:val="000000"/>
                      <w:sz w:val="24"/>
                      <w:szCs w:val="28"/>
                      <w:highlight w:val="none"/>
                    </w:rPr>
                    <w:t xml:space="preserve">日期</w:t>
                  </w:r>
                  <w:r>
                    <w:rPr>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品种</w:t>
                  </w:r>
                  <w:r>
                    <w:rPr>
                      <w:rFonts w:hint="eastAsia" w:ascii="宋体" w:hAnsi="宋体" w:cs="宋体"/>
                      <w:color w:val="000000"/>
                      <w:sz w:val="24"/>
                      <w:szCs w:val="28"/>
                      <w:highlight w:val="none"/>
                    </w:rPr>
                    <w:t xml:space="preserve">（用花品质不得低于下列常用品种）</w:t>
                  </w:r>
                  <w:r>
                    <w:rPr>
                      <w:highlight w:val="none"/>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备注</w:t>
                  </w:r>
                  <w:r>
                    <w:rPr>
                      <w:highlight w:val="none"/>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本年</w:t>
                  </w:r>
                  <w:r>
                    <w:rPr>
                      <w:rFonts w:ascii="宋体" w:hAnsi="宋体" w:cs="宋体"/>
                      <w:color w:val="000000"/>
                      <w:sz w:val="24"/>
                      <w:szCs w:val="28"/>
                      <w:highlight w:val="none"/>
                    </w:rPr>
                    <w:t xml:space="preserve">2</w:t>
                  </w:r>
                  <w:r>
                    <w:rPr>
                      <w:rFonts w:hint="eastAsia" w:ascii="宋体" w:hAnsi="宋体" w:cs="宋体"/>
                      <w:color w:val="000000"/>
                      <w:sz w:val="24"/>
                      <w:szCs w:val="28"/>
                      <w:highlight w:val="none"/>
                    </w:rPr>
                    <w:t xml:space="preserve">月</w:t>
                  </w:r>
                  <w:r>
                    <w:rPr>
                      <w:rFonts w:ascii="宋体" w:hAnsi="宋体" w:cs="宋体"/>
                      <w:color w:val="000000"/>
                      <w:sz w:val="24"/>
                      <w:szCs w:val="28"/>
                      <w:highlight w:val="none"/>
                    </w:rPr>
                    <w:t xml:space="preserve">-4</w:t>
                  </w:r>
                  <w:r>
                    <w:rPr>
                      <w:rFonts w:hint="eastAsia" w:ascii="宋体" w:hAnsi="宋体" w:cs="宋体"/>
                      <w:color w:val="000000"/>
                      <w:sz w:val="24"/>
                      <w:szCs w:val="28"/>
                      <w:highlight w:val="none"/>
                    </w:rPr>
                    <w:t xml:space="preserve">月</w:t>
                  </w:r>
                  <w:r>
                    <w:rPr>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孔雀草</w:t>
                  </w:r>
                  <w:r>
                    <w:rPr>
                      <w:highlight w:val="none"/>
                    </w:rPr>
                  </w:r>
                  <w:r/>
                </w:p>
              </w:tc>
              <w:tc>
                <w:tcPr>
                  <w:tcBorders>
                    <w:top w:val="single" w:color="000000" w:sz="4" w:space="0"/>
                    <w:left w:val="single" w:color="000000" w:sz="4" w:space="0"/>
                    <w:bottom w:val="none" w:color="000000" w:sz="0" w:space="0"/>
                    <w:right w:val="single" w:color="000000" w:sz="4" w:space="0"/>
                  </w:tcBorders>
                  <w:tcW w:w="1956"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耐高温</w:t>
                  </w:r>
                  <w:r>
                    <w:rPr>
                      <w:rFonts w:hint="eastAsia" w:ascii="宋体" w:hAnsi="宋体" w:cs="宋体"/>
                      <w:color w:val="000000"/>
                      <w:sz w:val="24"/>
                      <w:szCs w:val="28"/>
                      <w:highlight w:val="none"/>
                    </w:rPr>
                    <w:t xml:space="preserve">、杯口直径90MM</w:t>
                  </w:r>
                  <w:r>
                    <w:rPr>
                      <w:highlight w:val="none"/>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矮牵牛</w:t>
                  </w:r>
                  <w:r>
                    <w:rPr>
                      <w:highlight w:val="none"/>
                    </w:rPr>
                  </w:r>
                  <w:r/>
                </w:p>
              </w:tc>
              <w:tc>
                <w:tcPr>
                  <w:tcBorders>
                    <w:top w:val="none" w:color="000000" w:sz="0" w:space="0"/>
                    <w:left w:val="single" w:color="000000" w:sz="4" w:space="0"/>
                    <w:bottom w:val="none" w:color="000000" w:sz="0"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一串红</w:t>
                  </w:r>
                  <w:r>
                    <w:rPr>
                      <w:highlight w:val="none"/>
                    </w:rPr>
                  </w:r>
                  <w:r/>
                </w:p>
              </w:tc>
              <w:tc>
                <w:tcPr>
                  <w:tcBorders>
                    <w:top w:val="none" w:color="000000" w:sz="0" w:space="0"/>
                    <w:left w:val="single" w:color="000000" w:sz="4" w:space="0"/>
                    <w:bottom w:val="single" w:color="000000" w:sz="4"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本年</w:t>
                  </w:r>
                  <w:r>
                    <w:rPr>
                      <w:rFonts w:ascii="宋体" w:hAnsi="宋体" w:cs="宋体"/>
                      <w:color w:val="000000"/>
                      <w:sz w:val="24"/>
                      <w:szCs w:val="28"/>
                      <w:highlight w:val="none"/>
                    </w:rPr>
                    <w:t xml:space="preserve">5</w:t>
                  </w:r>
                  <w:r>
                    <w:rPr>
                      <w:rFonts w:hint="eastAsia" w:ascii="宋体" w:hAnsi="宋体" w:cs="宋体"/>
                      <w:color w:val="000000"/>
                      <w:sz w:val="24"/>
                      <w:szCs w:val="28"/>
                      <w:highlight w:val="none"/>
                    </w:rPr>
                    <w:t xml:space="preserve">月</w:t>
                  </w:r>
                  <w:r>
                    <w:rPr>
                      <w:rFonts w:ascii="宋体" w:hAnsi="宋体" w:cs="宋体"/>
                      <w:color w:val="000000"/>
                      <w:sz w:val="24"/>
                      <w:szCs w:val="28"/>
                      <w:highlight w:val="none"/>
                    </w:rPr>
                    <w:t xml:space="preserve">-10</w:t>
                  </w:r>
                  <w:r>
                    <w:rPr>
                      <w:rFonts w:hint="eastAsia" w:ascii="宋体" w:hAnsi="宋体" w:cs="宋体"/>
                      <w:color w:val="000000"/>
                      <w:sz w:val="24"/>
                      <w:szCs w:val="28"/>
                      <w:highlight w:val="none"/>
                    </w:rPr>
                    <w:t xml:space="preserve">月</w:t>
                  </w:r>
                  <w:r>
                    <w:rPr>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五星花</w:t>
                  </w:r>
                  <w:r>
                    <w:rPr>
                      <w:highlight w:val="none"/>
                    </w:rPr>
                  </w:r>
                  <w:r/>
                </w:p>
              </w:tc>
              <w:tc>
                <w:tcPr>
                  <w:tcBorders>
                    <w:top w:val="single" w:color="000000" w:sz="4" w:space="0"/>
                    <w:left w:val="single" w:color="000000" w:sz="4" w:space="0"/>
                    <w:bottom w:val="none" w:color="000000" w:sz="0" w:space="0"/>
                    <w:right w:val="single" w:color="000000" w:sz="4" w:space="0"/>
                  </w:tcBorders>
                  <w:tcW w:w="1956"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耐高温</w:t>
                  </w:r>
                  <w:r>
                    <w:rPr>
                      <w:rFonts w:hint="eastAsia" w:ascii="宋体" w:hAnsi="宋体" w:cs="宋体"/>
                      <w:color w:val="000000"/>
                      <w:sz w:val="24"/>
                      <w:szCs w:val="28"/>
                      <w:highlight w:val="none"/>
                    </w:rPr>
                    <w:t xml:space="preserve">、杯口直径90MM</w:t>
                  </w:r>
                  <w:r>
                    <w:rPr>
                      <w:highlight w:val="none"/>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太阳花（红）</w:t>
                  </w:r>
                  <w:r>
                    <w:rPr>
                      <w:highlight w:val="none"/>
                    </w:rPr>
                  </w:r>
                  <w:r/>
                </w:p>
              </w:tc>
              <w:tc>
                <w:tcPr>
                  <w:tcBorders>
                    <w:top w:val="none" w:color="000000" w:sz="0" w:space="0"/>
                    <w:left w:val="single" w:color="000000" w:sz="4" w:space="0"/>
                    <w:bottom w:val="none" w:color="000000" w:sz="0"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彩叶草</w:t>
                  </w:r>
                  <w:r>
                    <w:rPr>
                      <w:highlight w:val="none"/>
                    </w:rPr>
                  </w:r>
                  <w:r/>
                </w:p>
              </w:tc>
              <w:tc>
                <w:tcPr>
                  <w:tcBorders>
                    <w:top w:val="none" w:color="000000" w:sz="0" w:space="0"/>
                    <w:left w:val="single" w:color="000000" w:sz="4" w:space="0"/>
                    <w:bottom w:val="none" w:color="000000" w:sz="0"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矮牵牛</w:t>
                  </w:r>
                  <w:r>
                    <w:rPr>
                      <w:highlight w:val="none"/>
                    </w:rPr>
                  </w:r>
                  <w:r/>
                </w:p>
              </w:tc>
              <w:tc>
                <w:tcPr>
                  <w:tcBorders>
                    <w:top w:val="none" w:color="000000" w:sz="0" w:space="0"/>
                    <w:left w:val="single" w:color="000000" w:sz="4" w:space="0"/>
                    <w:bottom w:val="none" w:color="000000" w:sz="0"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太阳花（黄）</w:t>
                  </w:r>
                  <w:r>
                    <w:rPr>
                      <w:highlight w:val="none"/>
                    </w:rPr>
                  </w:r>
                  <w:r/>
                </w:p>
              </w:tc>
              <w:tc>
                <w:tcPr>
                  <w:tcBorders>
                    <w:top w:val="none" w:color="000000" w:sz="0" w:space="0"/>
                    <w:left w:val="single" w:color="000000" w:sz="4" w:space="0"/>
                    <w:bottom w:val="single" w:color="000000" w:sz="4"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r>
              <w:trPr>
                <w:trHeight w:val="198"/>
              </w:trPr>
              <w:tc>
                <w:tcPr>
                  <w:tcBorders>
                    <w:top w:val="none" w:color="000000" w:sz="0" w:space="0"/>
                    <w:left w:val="single" w:color="000000" w:sz="4" w:space="0"/>
                    <w:bottom w:val="single" w:color="000000" w:sz="4" w:space="0"/>
                    <w:right w:val="single" w:color="000000" w:sz="4" w:space="0"/>
                  </w:tcBorders>
                  <w:tcW w:w="1440"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本年</w:t>
                  </w:r>
                  <w:r>
                    <w:rPr>
                      <w:rFonts w:ascii="宋体" w:hAnsi="宋体" w:cs="宋体"/>
                      <w:color w:val="000000"/>
                      <w:sz w:val="24"/>
                      <w:szCs w:val="28"/>
                      <w:highlight w:val="none"/>
                    </w:rPr>
                    <w:t xml:space="preserve">11</w:t>
                  </w:r>
                  <w:r>
                    <w:rPr>
                      <w:rFonts w:hint="eastAsia" w:ascii="宋体" w:hAnsi="宋体" w:cs="宋体"/>
                      <w:color w:val="000000"/>
                      <w:sz w:val="24"/>
                      <w:szCs w:val="28"/>
                      <w:highlight w:val="none"/>
                    </w:rPr>
                    <w:t xml:space="preserve">月</w:t>
                  </w:r>
                  <w:r>
                    <w:rPr>
                      <w:rFonts w:ascii="宋体" w:hAnsi="宋体" w:cs="宋体"/>
                      <w:color w:val="000000"/>
                      <w:sz w:val="24"/>
                      <w:szCs w:val="28"/>
                      <w:highlight w:val="none"/>
                    </w:rPr>
                    <w:t xml:space="preserve">-</w:t>
                  </w:r>
                  <w:r>
                    <w:rPr>
                      <w:rFonts w:hint="eastAsia" w:ascii="宋体" w:hAnsi="宋体" w:cs="宋体"/>
                      <w:color w:val="000000"/>
                      <w:sz w:val="24"/>
                      <w:szCs w:val="28"/>
                      <w:highlight w:val="none"/>
                    </w:rPr>
                    <w:t xml:space="preserve">来年</w:t>
                  </w:r>
                  <w:r>
                    <w:rPr>
                      <w:rFonts w:ascii="宋体" w:hAnsi="宋体" w:cs="宋体"/>
                      <w:color w:val="000000"/>
                      <w:sz w:val="24"/>
                      <w:szCs w:val="28"/>
                      <w:highlight w:val="none"/>
                    </w:rPr>
                    <w:t xml:space="preserve">2</w:t>
                  </w:r>
                  <w:r>
                    <w:rPr>
                      <w:rFonts w:hint="eastAsia" w:ascii="宋体" w:hAnsi="宋体" w:cs="宋体"/>
                      <w:color w:val="000000"/>
                      <w:sz w:val="24"/>
                      <w:szCs w:val="28"/>
                      <w:highlight w:val="none"/>
                    </w:rPr>
                    <w:t xml:space="preserve">月</w:t>
                  </w:r>
                  <w:r>
                    <w:rPr>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三色堇</w:t>
                  </w:r>
                  <w:r>
                    <w:rPr>
                      <w:highlight w:val="none"/>
                    </w:rPr>
                  </w:r>
                  <w:r/>
                </w:p>
              </w:tc>
              <w:tc>
                <w:tcPr>
                  <w:tcBorders>
                    <w:top w:val="single" w:color="000000" w:sz="4" w:space="0"/>
                    <w:left w:val="single" w:color="000000" w:sz="4" w:space="0"/>
                    <w:bottom w:val="none" w:color="000000" w:sz="0" w:space="0"/>
                    <w:right w:val="single" w:color="000000" w:sz="4" w:space="0"/>
                  </w:tcBorders>
                  <w:tcW w:w="1956"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耐寒</w:t>
                  </w:r>
                  <w:r>
                    <w:rPr>
                      <w:highlight w:val="none"/>
                    </w:rPr>
                  </w:r>
                  <w:r/>
                </w:p>
              </w:tc>
            </w:tr>
            <w:tr>
              <w:trPr>
                <w:trHeight w:val="216"/>
              </w:trPr>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羽衣甘蓝</w:t>
                  </w:r>
                  <w:r>
                    <w:rPr>
                      <w:highlight w:val="none"/>
                    </w:rPr>
                  </w:r>
                  <w:r/>
                </w:p>
              </w:tc>
              <w:tc>
                <w:tcPr>
                  <w:tcBorders>
                    <w:top w:val="none" w:color="000000" w:sz="0" w:space="0"/>
                    <w:left w:val="single" w:color="000000" w:sz="4" w:space="0"/>
                    <w:bottom w:val="single" w:color="000000" w:sz="4" w:space="0"/>
                    <w:right w:val="single" w:color="000000" w:sz="4" w:space="0"/>
                  </w:tcBorders>
                  <w:tcW w:w="1956"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r>
          </w:tbl>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r>
            <w:r>
              <w:rPr>
                <w:highlight w:val="none"/>
              </w:rPr>
            </w:r>
            <w:r/>
          </w:p>
        </w:tc>
      </w:tr>
      <w:tr>
        <w:trPr>
          <w:trHeight w:val="676"/>
        </w:trPr>
        <w:tc>
          <w:tcPr>
            <w:tcW w:w="737" w:type="dxa"/>
            <w:vAlign w:val="center"/>
            <w:vMerge w:val="restart"/>
            <w:textDirection w:val="lrTb"/>
            <w:noWrap w:val="false"/>
          </w:tcPr>
          <w:p>
            <w:pPr>
              <w:pStyle w:val="958"/>
              <w:jc w:val="center"/>
              <w:spacing w:line="360" w:lineRule="auto"/>
              <w:widowControl/>
              <w:rPr>
                <w:rFonts w:ascii="宋体" w:hAnsi="宋体" w:cs="宋体"/>
                <w:color w:val="000000"/>
                <w:highlight w:val="none"/>
              </w:rPr>
            </w:pPr>
            <w:r>
              <w:rPr>
                <w:rFonts w:ascii="宋体" w:hAnsi="宋体" w:cs="宋体"/>
                <w:color w:val="000000"/>
                <w:highlight w:val="none"/>
              </w:rPr>
              <w:t xml:space="preserve">5</w:t>
            </w:r>
            <w:r>
              <w:rPr>
                <w:highlight w:val="none"/>
              </w:rPr>
            </w:r>
            <w:r/>
          </w:p>
        </w:tc>
        <w:tc>
          <w:tcPr>
            <w:tcW w:w="1404" w:type="dxa"/>
            <w:vAlign w:val="center"/>
            <w:vMerge w:val="restart"/>
            <w:textDirection w:val="lrTb"/>
            <w:noWrap w:val="false"/>
          </w:tcPr>
          <w:p>
            <w:pPr>
              <w:pStyle w:val="972"/>
              <w:ind w:firstLine="0"/>
              <w:spacing w:line="36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养护方案</w:t>
            </w:r>
            <w:r>
              <w:rPr>
                <w:highlight w:val="none"/>
              </w:rPr>
            </w:r>
            <w:r/>
          </w:p>
        </w:tc>
        <w:tc>
          <w:tcPr>
            <w:tcW w:w="6795" w:type="dxa"/>
            <w:vAlign w:val="center"/>
            <w:textDirection w:val="lrTb"/>
            <w:noWrap w:val="false"/>
          </w:tcPr>
          <w:p>
            <w:pPr>
              <w:pStyle w:val="972"/>
              <w:ind w:firstLine="0"/>
              <w:spacing w:line="340" w:lineRule="exact"/>
              <w:rPr>
                <w:rFonts w:ascii="宋体" w:hAnsi="宋体" w:cs="宋体"/>
                <w:color w:val="000000"/>
                <w:sz w:val="24"/>
                <w:szCs w:val="28"/>
                <w:highlight w:val="none"/>
              </w:rPr>
            </w:pPr>
            <w:r>
              <w:rPr>
                <w:rFonts w:ascii="宋体" w:hAnsi="宋体" w:cs="宋体"/>
                <w:color w:val="000000"/>
                <w:sz w:val="24"/>
                <w:szCs w:val="28"/>
                <w:highlight w:val="none"/>
              </w:rPr>
              <w:t xml:space="preserve">一、二月份：做好冬季修剪、行道树检查、害虫防治工作；绿地、花坛挑除大型野草，草坪及时挑草、切边，绿地做好防冻浇水。</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40" w:lineRule="exact"/>
              <w:rPr>
                <w:rFonts w:ascii="宋体" w:hAnsi="宋体" w:cs="宋体"/>
                <w:color w:val="000000"/>
                <w:sz w:val="24"/>
                <w:szCs w:val="28"/>
                <w:highlight w:val="none"/>
              </w:rPr>
            </w:pPr>
            <w:r>
              <w:rPr>
                <w:rFonts w:ascii="宋体" w:hAnsi="宋体" w:cs="宋体"/>
                <w:color w:val="000000"/>
                <w:sz w:val="24"/>
                <w:szCs w:val="28"/>
                <w:highlight w:val="none"/>
              </w:rPr>
              <w:t xml:space="preserve">三、四月份：抢抓春季植树时机，土壤解冻后随挖、随运、随种、随浇水；开展春灌、施肥工作，剪除冬、春季干枯枝条，修剪常绿绿篱；做好病虫害防治，重点开展白蚁防治。</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40" w:lineRule="exact"/>
              <w:rPr>
                <w:rFonts w:ascii="宋体" w:hAnsi="宋体" w:cs="宋体"/>
                <w:color w:val="000000"/>
                <w:sz w:val="24"/>
                <w:szCs w:val="28"/>
                <w:highlight w:val="none"/>
              </w:rPr>
            </w:pPr>
            <w:r>
              <w:rPr>
                <w:rFonts w:ascii="宋体" w:hAnsi="宋体" w:cs="宋体"/>
                <w:color w:val="000000"/>
                <w:sz w:val="24"/>
                <w:szCs w:val="28"/>
                <w:highlight w:val="none"/>
              </w:rPr>
              <w:t xml:space="preserve">五、六月份：及时浇水保障植物水分需求，结合松土除草开展施肥、浇水；继续对行道树剥芽除蘖，对绿篱、球类及部分花灌木修剪；做好低洼处排水工作；及时防治病虫害，重点开展白蚁防治；做好树木防汛防台前期检查，对松动、倾斜树木扶正、加固及重新绑扎。</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七、八月份：大雨过后及时对低洼积水处排涝；继续做好行道树防台工作；对一般树木夏修，对绿篱进行造型修剪；及时中耕除草，结合除草开展施肥；以捕捉天牛为主开展病虫害防治，重点关注根部天牛，及时防治蚜虫、香樟樟巢螟，做好潮湿天气白粉病、腐烂病防治，重点开展白蚁防治。</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九、十月份：对行道树三级分以下剥芽，对绿篱造型修剪；绿地内除草、草坪切边，及时清理死树；对生长较弱、枝条不充实的树木追施磷、钾肥；做好秋季植树准备，下旬耐寒树木落叶后开始栽植；及时去除死树、做好浇水，绿地、草坪做好挑草切边，对生长不良的草花施肥；继续捕捉根部天牛，做好香樟樟巢螟防治。</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十一月份：继续栽植耐寒植物，在土壤冻结前完成；对绿地土壤翻土，暴露越冬害虫；对干、板结土壤浇水，在封冻前完成；做好各类病虫害防治工作。</w:t>
            </w:r>
            <w:r>
              <w:rPr>
                <w:highlight w:val="none"/>
              </w:rPr>
            </w:r>
            <w:r/>
          </w:p>
        </w:tc>
      </w:tr>
      <w:tr>
        <w:trPr>
          <w:trHeight w:val="676"/>
        </w:trPr>
        <w:tc>
          <w:tcPr>
            <w:tcW w:w="737" w:type="dxa"/>
            <w:vAlign w:val="center"/>
            <w:vMerge w:val="continue"/>
            <w:textDirection w:val="lrTb"/>
            <w:noWrap w:val="false"/>
          </w:tcPr>
          <w:p>
            <w:pPr>
              <w:pStyle w:val="958"/>
              <w:jc w:val="center"/>
              <w:spacing w:line="360" w:lineRule="auto"/>
              <w:widowControl/>
              <w:rPr>
                <w:rFonts w:ascii="宋体" w:hAnsi="宋体" w:cs="宋体"/>
                <w:color w:val="000000"/>
              </w:rPr>
            </w:pPr>
            <w:r>
              <w:rPr>
                <w:rFonts w:ascii="宋体" w:hAnsi="宋体" w:cs="宋体"/>
                <w:color w:val="000000"/>
              </w:rPr>
            </w:r>
            <w:r/>
          </w:p>
        </w:tc>
        <w:tc>
          <w:tcPr>
            <w:tcW w:w="1404" w:type="dxa"/>
            <w:vAlign w:val="center"/>
            <w:vMerge w:val="continue"/>
            <w:textDirection w:val="lrTb"/>
            <w:noWrap w:val="false"/>
          </w:tcPr>
          <w:p>
            <w:pPr>
              <w:pStyle w:val="972"/>
              <w:ind w:firstLine="0"/>
              <w:spacing w:line="360" w:lineRule="exact"/>
              <w:rPr>
                <w:rFonts w:ascii="宋体" w:hAnsi="宋体" w:cs="宋体"/>
                <w:color w:val="000000"/>
                <w:sz w:val="24"/>
                <w:szCs w:val="28"/>
              </w:rPr>
            </w:pPr>
            <w:r>
              <w:rPr>
                <w:rFonts w:ascii="宋体" w:hAnsi="宋体" w:cs="宋体"/>
                <w:color w:val="000000"/>
                <w:sz w:val="24"/>
                <w:szCs w:val="28"/>
              </w:rPr>
            </w:r>
            <w:r/>
          </w:p>
        </w:tc>
        <w:tc>
          <w:tcPr>
            <w:tcW w:w="6795" w:type="dxa"/>
            <w:vAlign w:val="center"/>
            <w:textDirection w:val="lrTb"/>
            <w:noWrap w:val="false"/>
          </w:tcPr>
          <w:p>
            <w:pPr>
              <w:pStyle w:val="972"/>
              <w:ind w:firstLine="0"/>
              <w:spacing w:line="360" w:lineRule="exact"/>
              <w:rPr>
                <w:rFonts w:ascii="宋体" w:hAnsi="宋体" w:cs="宋体"/>
                <w:color w:val="000000"/>
                <w:sz w:val="24"/>
                <w:szCs w:val="28"/>
                <w:highlight w:val="none"/>
              </w:rPr>
            </w:pPr>
            <w:r>
              <w:rPr>
                <w:rFonts w:ascii="宋体" w:hAnsi="宋体" w:cs="宋体"/>
                <w:color w:val="000000"/>
                <w:sz w:val="24"/>
                <w:szCs w:val="28"/>
                <w:highlight w:val="none"/>
              </w:rPr>
              <w:t xml:space="preserve">十二月份：对常绿乔木、灌木开展冬季修剪；消灭越冬病虫害；待落叶植物落叶后，对养护区勘察，绘制绿化调整方位图，做好下一年绿化调整准备。</w:t>
            </w:r>
            <w:r>
              <w:rPr>
                <w:highlight w:val="none"/>
              </w:rPr>
            </w:r>
            <w:r/>
          </w:p>
        </w:tc>
      </w:tr>
    </w:tbl>
    <w:p>
      <w:pPr>
        <w:pStyle w:val="972"/>
        <w:ind w:firstLine="0"/>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（五）楼宇管理服务</w:t>
      </w:r>
      <w:r>
        <w:rPr>
          <w:highlight w:val="none"/>
        </w:rPr>
      </w:r>
      <w:r/>
    </w:p>
    <w:p>
      <w:pPr>
        <w:pStyle w:val="972"/>
        <w:ind w:firstLine="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1.服务范围</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校区内所有建筑物，包括教学楼、报告厅、行政楼、图书信息中心、文创园、实境课堂、心理咨询中心、艺体中心、学生公寓、保安值班室、开闭所（配电房）、水泵房等。</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2.总体服务要求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确保各类楼宇结构安全、设施完好、秩序规范、环境整洁，贴合教学、住宿核心需求；联动校方维护楼宇正常使用秩序，全面排查并杜绝安全隐患；作业、巡检等工作避开教学、实训、学生午休及办公高峰时段，不影响校园正常秩序；定期与校方对接楼宇使用需求，配合开展安全检查、秩序整治等工作，及时反馈问题并协同整改；楼宇管理人员持证上岗，熟知管理标准，文明服务并快速响应师生诉求。具体要求如下：</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楼宇门禁与人员管控：严格落实楼宇门禁制度，外来人员实行登记准入；按规定开放、关闭场馆；学生公寓实施晚归报备、校外留宿联动审批制度；教学/实训楼非教学时段实行封闭管理，严禁无关人员进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（2）楼宇结构与公共部位管护：定期巡检楼宇主体结构（墙面、地面、屋顶、楼梯），排查裂缝、渗漏等问题；维护楼道、走廊等公共区域清洁通畅，严禁私堆杂物、占用消防通道。</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（3）楼宇设施运维管理：每日巡检楼宇内照明、开关、插座、给排水等设施，发现故障及时联动维修部门处置；定期检查楼宇通风、排污系统，保障正常运行。</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（4）楼宇消防安防管理：每日巡查楼宇消防设施（灭火器、消防栓、应急灯等），确保完好可用；检查监控、门禁等安防设备，故障即时报修；严禁楼宇内违规动火作业、私拉乱接电线。</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（5）台账与巡检管理：建立楼宇巡检台账，每日记录设施状态、安全情况；留存维修、整改记录，做到全程可追溯；定期汇总楼宇使用问题，同步校方优化。</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3.重点楼宇专项管理服务要求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教学楼管理：上课时段维护楼道安静，禁止喧哗、追逐，课后疏导人流避免拥堵，非教学时段管控人员进出；重点巡检空调、照明、讲台等配套设施，课前排查故障，定期检修饮水设施、公共卫生间洁具；配合校方检查教室卫生，督促师生规范使用公共设施，及时清理墙面、桌椅张贴物，杜绝乱涂乱画。</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训室管理：严格落实实训室安全制度，实训期间管控人员进出，严禁无关人员进入；每日排查供电线路、防护设施、通风系统，严查违规用电、存放危险品行为；定期巡检实训操作台、专用供电接口等，保障实训设备正常运行，课后协助清理实训废料。</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学生公寓楼：办理学生入住/退宿、床位调整手续，建立住宿人员信息台账；落实晚归登记、违禁品排查（大功率电器、烟酒等），每日巡查宿舍安全与秩序；重点维护公寓内水电、卫浴、空调等生活设施，快速响应维修诉求，保障公共区域照明、楼道扶手正常使用；调解室友间轻微矛盾，配合宿管做好住宿纪律管理；突发停水停电、学生突发不适等情况即时响应，并联动校方处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（4）行政及后勤配套楼宇：保障办公环境安静，定期巡检办公室水电、空调等设施，及时处置故障；做好物资库房等楼宇设施巡检，管控库房物资存放秩序，排查消防安全隐患，保障后勤保障工作有序开展。</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（5）艺体中心：课余开放时段做好人员登记，引导文明使用场馆，杜绝危险动作，定期清洁场地地面、保持通风干爽；承接校内文体活动时，配合校方规划活动区域，活动后及时清理场地、将器材归位。</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（6）报告厅：配合校方进行场地布置与人员登记，做好会务/活动保障，活动后及时清理场地、关闭场内设施。</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（7）实境课堂：配合校方进行场地布置与人员登记，活动后及时清理场地、关闭场内设施。</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4.楼宇应急处置服务要求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（1）突发故障处置：楼宇内突发停水停电、设施损坏等情况，维修人员5分钟内到场响应，快速排查处置并同步告知校方。</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（2）安全应急处置：发现火灾隐患、楼宇渗漏、人员受伤等紧急情况，立即启动应急预案，先行采取处置措施并上报校方及相关部门。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（3）极端天气应对：暴雨、暴雪等天气来临前，提前检查楼宇门窗、屋顶防水、排水系统；灾后即时清理楼宇积水、断枝，全面排查设施受损情况。</w:t>
      </w:r>
      <w:r>
        <w:rPr>
          <w:highlight w:val="none"/>
        </w:rPr>
      </w:r>
      <w:r/>
    </w:p>
    <w:p>
      <w:pPr>
        <w:pStyle w:val="958"/>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（六）用电保障服务</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1.用电保障基础服务要求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（1）全域供电保障：保障校园教学楼、艺体中心、公寓、图书信息中心、公共区域等全区域用电稳定，实时监测电网负荷，规避过载跳闸、防范漏电，保障教学、考试、生活正常开展。</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电设施管护：定期巡检高低压配电室、开闭所、配电箱、电缆线路、开关插座、电表等设施，做好清洁、紧固、调试工作；建立设施台账，跟踪老化设施更换进度，及时排除各类安全隐患，确保设备正常运行，杜绝安全责任事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（3）抄表与能耗管理：按时抄录公共区域及公寓（定额外）电表数据，确保数据精准；协助校方做好电费核算、公示工作，统计各区域能耗数据，提出节能优化建议。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（4）用电咨询与指导：为师生解答用电疑问，常态化开展用电安全宣讲，重点针对实训操作、宿舍用电规范开展专项指导，提升师生安全用电意识。</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检测与保养：对校区电力设备开展定期检测、维修保养；每年至少对配电房内电气设备开展1次预防性实验，对安全工具开展1次定期检测，并出具行业认可的实验报告；每月至少开展1次变压器检查、开关站及高压柜电气设备检查、低压配电柜电气设备检查，及时清除屏内充电机及设备上的灰尘、蓄电池槽表面污垢、连接件上的氧化物，对充电机、输出回路进行绝缘测试及各类特性测试，开展蓄电池恢复性充放电作业。</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2.重点区域专项用电保障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教学实训区域：保障教室多媒体、照明、空调等设备用电稳定，课前排查线路及插座故障，杜绝教学中途断电，定期检测教室线路绝缘性、防范漏电；重点维护实训场地专用供电线路/配电箱，适配大功率用电需求，实训前核验负荷、接地是否达标，实训后切断非必要设备电源、排查线路发热及松动隐患；实验室、机房做好稳压、接地保护，避免精密设备受损。</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学生公寓区域：保障宿舍照明、插座、空调、热水器等用电稳定，快速维修故障插座、开关，杜绝接触不良问题，保障公寓公用洗衣间、开水炉用电正常；严查大功率违禁电器（电炉、电暖器等），杜绝私拉乱接、插座串联行为，定期巡检楼层配电箱，防范线路过载引发安全事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场馆公共区域：承接赛事、集会等活动前，核算总用电负荷，必要时实施临时增容，活动全程安排人员值守，即时处置断电、设备故障；保障校区路灯、监控、门禁、消防应急系统24小时不间断供电，重点做好公共卫生间、饮水点防水防漏电工作，杜绝安全隐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（4）行政后勤区域：保障行政办公区域、物资库房等后勤区域用电稳定，适配厨房设备、冷藏设备等大功率用电需求，定期巡检线路，防止油污腐蚀线路。</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3.用电安全全流程管控</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（1）隐患排查整改：每日巡查公共供电设施，每周专项排查实训室、公寓等高风险区域，每月对配电室全面检修；发现线路老化、破损、过载等隐患立即闭环整改，并留存整改记录。</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（2）违禁用电管控：建立宿舍、实训室违禁用电排查机制，发现违规行为立即制止并上报校方，从源头规避用电事故。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（3）接地防雷保障：定期检测供电系统接地装置、防雷设施有效性，雨季前开展专项检修，避免雷击损坏设备、引发触电事故。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（4）规范操作管理：维修人员持电工证上岗，带电作业、高空作业需双人在场并做好防护措施；配电室设专人值守，张贴明显警示标识，非授权人员禁止入内。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（5）设施防护：对配电箱、线路做好防水、防腐蚀、防鼠咬保护，实训室、食堂等特殊区域线路采取穿管防护措施，杜绝线路裸露。</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4.停电管理与应急处置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（1）计划停电：提前对接供电部门获取停电通知，第一时间同步校方并协助发布停电公告，协助调整教学、实训安排；提前启动备用电源，保障监控、应急照明、播音电台、实训关键设备等核心负荷供电。</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（2）突发停电：立即启动应急预案，首先排查校内线路/设备故障，非校内问题即时对接供电部门；优先恢复教学、实训、公寓生活及安防消防用电，最大限度减少停电影响。</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（3）故障抢修：供电故障发生后，维修人员5分钟内到场，简单故障0.5小时内修复，复杂故障持续抢修并实时向校方同步进展。</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（4）应急保障：配电室配备备用电源及应急物资，定期调试确保可用；建立完善的应急供电预案，有效应对极端天气、电网故障等突发情况。</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5.日常管理规范</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（1）台账管理：建立完善的供电设施台账、日常巡检记录、故障维修记录、停电处置记录、隐患整改台账，做到全程可追溯。</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（2）人员管理：电工必须持证上岗，定期参加技能培训；明确各岗位人员职责，落实24小时应急值守机制。</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（3）联动协作：定期与校方、供电部门对接，协同开展用电安全检查；及时反馈用电隐患，配合校方处置违规用电问题。</w:t>
      </w:r>
      <w:r>
        <w:rPr>
          <w:highlight w:val="none"/>
        </w:rPr>
      </w:r>
      <w:r/>
    </w:p>
    <w:p>
      <w:pPr>
        <w:pStyle w:val="958"/>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（七）学生公寓管理服务（24小时值班值守）</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（1）安全首位：严守宿舍安全底线，杜绝火灾、触电、外来人员闯入等安全风险。</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（2）值守无断档：实行24小时在岗值守制度，做好无缝交接班，全程快速响应学生需求。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（3）服务育人：兼顾管理规范性与学生群体特点，耐心沟通引导，助力校园育人管理工作。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（4）快速响应：突发情况5分钟内到场处置，重大事件立即上报校方相关部门。</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2.岗位设置与值守安排</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（1）设置宿舍值班长1名，统筹24小时值守工作，每日对值守情况进行抽查。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（2）预留1-2名备勤人员，突发缺岗时备勤人员需10分钟内到岗补位，确保值守无空岗。</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（3）值守点固定设置在宿舍一楼值班室，值守人员严禁脱岗、擅离值守区域。</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3.日常值守工作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（1）人员进出管理：严格核实学生身份，做好晚归、外出学生信息登记；禁止校外无关人员进入，严禁违禁品（烟酒、管制刀具、大功率电器）进入宿舍。</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（2）门禁管理：按规定时间开关宿舍大门，夜间（22:00-次日6:00）关闭主门禁，仅保留应急通道。</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（3）巡查巡检：每日对宿舍区域水电安全、门窗关闭情况、异常声响等开展巡查，及时上报问题并做好台账记录。</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（4）诉求响应：及时处理学生报修（水电、门锁等）、咨询事宜，简单问题当场解决，复杂问题登记后转维修部门并跟踪处理进度。</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（5）台账记录：规范填写《24小时值守台账》《巡查记录》《报修记录》《人员进出登记册》等台账，做到有据可查。</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4.夜间值守工作（22:00-次日6:00）</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（1）增加夜间巡查频次，重点排查夜间安全隐患、学生违规熬夜、喧闹等情况。</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（2）应急通道实行专人管控，非紧急情况严禁开启，确需开启的需做好登记备案。</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（3）接到学生夜间求助（突发不适、物品遗失等），立即到场处置，必要时联系校医或班主任。</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（4）做好夜间静音管控，及时劝阻学生喧哗、外放声音等影响他人休息的行为。</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5.应急处置职责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（1）突发疾病：立即陪同学生就医，同步联系班主任并上报学校相关部门。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（2）火情/水电故障：第一时间启动应急流程，组织人员疏散、切断电源水源，上报学校及消防/维修部门并配合处置。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（3）学生矛盾纠纷：当场劝阻制止，避免冲突升级，上报班主任及校区安保室并协助调查。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（4）失窃/安全事件：做好现场保护，登记相关情况，立即上报校区安保室并配合调查取证。</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6.协同配合职责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（1）每日交接班时，逐项交接值守情况、未办结事项、隐患问题，签字确认后完成交接。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（2）配合学校开展宿舍安全检查、纪律整顿等工作，严格落实校方管理要求。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（3）发现学生违规行为，先行劝阻教育，对屡教不改的及时上报班主任及学校相关部门。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（4）联动校方制定宿舍内务标准，定期协助开展检查（每日抽查、每周普查），督促学生整理床铺、分类投放垃圾，杜绝私堆杂物。</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7.服务规范要求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（1）着装规范：统一穿着物业值守制服，佩戴工牌，保持仪容整洁。</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（2）言行规范：对学生态度耐心友善，使用文明用语，不与学生发生争执，杜绝粗暴管理。</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（3）保密规范：对学生个人信息、宿舍内情况严格保密，不随意泄露。</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（4）时效规范：学生诉求响应时间不超过5分钟，应急处置到场时间不超过3分钟，重大问题上报信息时间不超过10分钟。</w:t>
      </w:r>
      <w:r>
        <w:rPr>
          <w:highlight w:val="none"/>
        </w:rPr>
      </w:r>
      <w:r/>
    </w:p>
    <w:p>
      <w:pPr>
        <w:pStyle w:val="958"/>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（八）教学、会议保障服务</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（1）教学优先：保障教学活动零干扰、零延误，精准适配各类教学需求。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（2）会议适配：根据会议规模、类型提供精准化服务，兼顾流程顺畅与细节完善。</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（3）高效响应：教学故障5分钟内到场处置，会议保障全程无缝衔接。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（4）安全合规：严守教学/会议场地安全管理规定，规范操作各类设备、管控人员动线。</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2.教学保障服务</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（1）课前保障（每日课前30分钟完成）</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环境清洁：按标准清洁教室地面、讲台、桌椅、门窗，清理垃圾，确保无杂物、无异味；实训教室重点清理操作台、设备表面油污/碎屑。</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设备检查：逐一核查空调、照明、插座等设施，确保正常运行；实训教室额外检查实训设备通电情况、安全防护装置、应急器材完好性。</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物资补给：补充粉笔、板擦、白板笔、垃圾桶袋等教学物资，实训教室按需补充耗材（如工具、防护用品），确保教学物资充足。</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安全排查：检查教室消防设施、疏散通道，实训教室重点排查电路、设备安全隐患，杜绝安全风险。</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（2）课中保障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专人值守：教学楼设置1名保障员现场值守，全程响应教学突发需求。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故障处置：接到设备故障报修后，5分钟内到场排查，简单问题当场解决，复杂问题登记后联动维修组，并同步告知任课教师及教务办，最大限度减少教学影响。</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秩序维护：劝阻无关人员进入教学区域，制止走廊喧哗、打闹行为，保障课堂教学秩序。</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应急支援：配合处理课中学生突发状况（如身体不适），协助联系校医、班主任；实训课若发生设备故障/轻微安全事件，立即协助任课教师处置并做好现场保护。</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动态补给：课间快速补充教学物资，清理少量垃圾，维持教室整洁。</w:t>
      </w:r>
      <w:r>
        <w:rPr>
          <w:highlight w:val="none"/>
        </w:rPr>
      </w:r>
      <w:r/>
    </w:p>
    <w:p>
      <w:pPr>
        <w:pStyle w:val="958"/>
        <w:ind w:firstLine="60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（3）课后保障（课后15分钟内完成）</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环境清理：全面清扫教室，分类清理垃圾，擦拭讲台、桌椅，恢复教室整洁状态。</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设备归位：关闭多媒体、照明、空调、实训设备电源，拔掉无关插头，锁闭门窗并做好登记。</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问题复盘：记录当日教学保障中发现的问题（如设备老化、物资短缺），次日做好交接并跟进整改。</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（4）专项保障要求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临时调课/加课：接到通知后30分钟内完成教室清洁，满足临时教学需求。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考试保障：提前1天完成考场布置（桌椅摆放）、设备检查，考试期间全程静音值守，杜绝外界干扰，配合监考老师处置突发情况。</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3.会议保障服务（覆盖校内各类会议：教研会/家长会/校企对接会/表彰会等）</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（1）会前筹备（按会议时间提前完成，大型会议提前1-2小时）</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需求对接：提前与校方对接会议时间、规模、流程，明确场地布置、设备、物资等具体需求。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场地布置：按照会议需求摆放会议桌椅，布置主席台、指引标识。</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物资准备：按需求准备饮用水、客耗品、应急药品（创可贴、藿香正气水）等，做到摆放整齐。</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环境保障：清洁会场地面、座椅、主席台，做好通风换气、室温调节，确保无异味、无杂物；清理会场外通道，保障通行顺畅。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安全检查：核查会场消防设施、应急通道，大型会议配合安保室做好人员限流、动线管控。</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（2）会中保障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服务支撑：引导参会人员就座，协助做好签到、资料分发工作；定时补充饮用水，维持会场整洁。</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秩序维护：劝阻喧哗、随意走动行为，管控无关人员进入会场；大型会议协助引导人员离场，避免拥挤。</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应急处置：突发设备故障立即启用备用设备；遇人员身体不适，协助联系校医；发生突发状况（如停电），配合校方安抚人员并启动应急设备。</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（3）会后收尾（会议结束后30分钟内完成）</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物资清理：回收姓名牌、纸笔、资料、剩余物资，分类整理，可复用物资妥善保管。</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环境清洁：全面清扫会场，清理垃圾、擦拭桌椅、台面，恢复场地原貌。</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设备归位：关闭所有设备电源，收回麦克风、连接线等，锁闭门窗并做好登记。</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反馈复盘：向校方反馈会议保障情况，记录问题并及时整改，形成完善的保障台账。</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4.服务规范要求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（1）着装规范：统一穿着物业工作制服，佩戴工牌，保持仪容整洁、举止得体。</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（2）言行规范：使用文明用语，态度谦和，主动提供服务；不随意插话，不泄露会议/教学涉密信息。</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（3）时效规范：教学保障响应时间不超过5分钟，会议保障问题处置时间不超过5分钟，重大问题立即上报。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（4）协同规范：与校方综合办公室等部门密切对接，严格落实各项工作要求；交接班时逐项交接未办结事项，签字确认后完成交接。</w:t>
      </w:r>
      <w:r>
        <w:rPr>
          <w:highlight w:val="none"/>
        </w:rPr>
      </w:r>
      <w:r/>
    </w:p>
    <w:p>
      <w:pPr>
        <w:pStyle w:val="958"/>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（九）生活生产垃圾清运服务</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（1）合规管控：严格落实生活、生产垃圾分类管理要求，杜绝混装混运；清运单位需具备相应资质，危险废料处置必须对接有资质机构，并留存资质文件及处置凭证。</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（2）及时无滞留：生活垃圾实现日产日清，生产垃圾定时清运，做到无堆积、无异味、无渗漏；遇暴雨、节假日等特殊情况，提前增加清运频次，垃圾堆积突发问题30分钟内响应处置。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（3）安全有序：校园内清运作业避开师生通行高峰，规范操作防止垃圾洒漏；严禁在校园内随意倾倒、焚烧垃圾；危险生产废料严格按规定处置，杜绝安全隐患；转运车辆在校园内限速行驶（≤15km/h）。</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（4）校园适配：贴合公寓、教学楼、食堂等多区域清运需求，不干扰正常教学与生活秩序，配合做好重大活动、重要事件期间的垃圾清理清运工作。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（5）卫生管控：所有垃圾收集点每日消杀1次（夏季每日2次），垃圾桶每周清洗消毒1次，杜绝蚊虫滋生、异味扩散。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（6）协同管控：定期对接校区综合办公室，根据教学、实训及维修改造工作安排调整生产垃圾清运计划；接受师生监督，公示清运标准及投诉渠道。</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2.岗位设置与职责</w:t>
      </w:r>
      <w:r>
        <w:rPr>
          <w:highlight w:val="none"/>
        </w:rPr>
      </w:r>
      <w:r/>
    </w:p>
    <w:p>
      <w:pPr>
        <w:pStyle w:val="958"/>
        <w:ind w:firstLine="60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（1）设置垃圾清运主管1名：统筹全校区垃圾清运工作，对接校方后勤及合规清运单位，监督清运质量、确保台账闭环管理。</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（2）配置清运作业员至少1名：负责日常垃圾收集、转运、收集点保洁，按规范开展垃圾分类处置工作。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（3）核心职责：按要求分类收集垃圾、按时清运，做好收集点保洁与台账登记；每日巡查各垃圾点位，排查堆积、渗漏、异味等问题，及时整改并上报；做好垃圾合规交接与安全隐患处置工作。</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3.分类清运细则（分生活垃圾+生产垃圾）</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（1）生活垃圾清运（覆盖宿舍、教学楼、办公楼、食堂）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收集点位：按校区布局在固定垃圾点位开展收集工作。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收集频次：宿舍区每日至少2次，节假日不减频次，杜绝垃圾堆积；教学楼/办公楼每日至少1次，课间安排专人巡查清理满桶垃圾桶；食堂餐后即时清理厨余垃圾，每日不少于3次，避免腐烂产生异味。</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清运时间：避开师生上下学、就餐高峰时段。</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处置要求：可回收垃圾单独分拣暂存，定期对接回收单位处置；厨余垃圾实行密闭转运，防止渗漏；其他垃圾日产日清，对接市政合规清运渠道处置。</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（2）生产垃圾清运</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类处置：一般生产废料（实训耗材边角料、无危害包装等）分类收集，每日清运并对接合规单位处置；可回收生产废料（金属、塑料、废旧工具等）定点密闭存放，每周集中清运并建立回收台账；危险生产废料（废油漆、废试剂、废电池、破损玻璃耗材等）单独设置专用密闭容器，专人看管，严禁混装，按规定定期对接有资质单位处置，全程留痕备案。</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收集要求：设置生产垃圾专属收集点，张贴清晰分类标识，及时清运、杜绝滞留。</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清运频次：一般生产废料每日1次，可回收废料每周1次，危险废料按需清运（满桶即清，最长不超过7天）。</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安全规范：清运作业时佩戴防护用品，轻拿轻放防止磕碰、泄漏；实训危险废料转运全程安排专人护送，规划固定路线并避开教学区。</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4.标准作业流程</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（1）日常收集：作业员按频次巡查各点位，清空垃圾桶并将垃圾分类装入转运车，擦拭干净桶身后归位。</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（2）校内转运：规划固定转运路线（避开师生上下学、就餐高峰），转运车实行密闭加盖，防止垃圾洒漏、异味扩散，车身每日做好清洁。</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（3）交接清运：与外部清运单位现场核对垃圾种类、数量，签字确认并完成交接台账。</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（4）点位保洁：清运作业完成后，即时清理收集点地面、墙面污渍，开展消杀除臭工作，将垃圾桶摆放整齐，保持垃圾房干净、无残留垃圾、无积水异味。</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（5）台账登记：每日规范填写《垃圾清运台账》，注明点位、种类、数量、清运单位、交接人，做到全程可追溯。</w:t>
      </w:r>
      <w:r>
        <w:rPr>
          <w:highlight w:val="none"/>
        </w:rPr>
      </w:r>
      <w:r/>
    </w:p>
    <w:p>
      <w:pPr>
        <w:pStyle w:val="958"/>
        <w:jc w:val="left"/>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（十）校园应急保障服务</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（1）生命至上：优先保障师生人身安全，所有应急处置工作均以人员避险为首要目标。</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（2）快速响应：实行24小时应急待命制度，接报后3分钟内到场处置，简单事件即时处理，重大事件同步上报，无拖延、无漏报。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工协同：物业团队联动校方（综合办公室、安保室、学工办、教务办）及外部机构（消防、急救、公安），精准传递信息，不推诿、不脱节，无缝衔接开展处置工作；严格按预案及安全规程操作，杜绝违规操作引发二次风险。</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（4）校情适配：重点覆盖公寓安全、教学保障类应急场景，有效应对突发事件、自然灾害等不可抗力因素导致的意外事件。</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（5）预防为先：常态化开展隐患排查与应急演练，降低应急事件发生率，提升团队应急处置效率。</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2.应急组织架构与职责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（1）应急组织架构</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应急领导小组：由物业项目负责人担任组长，统筹应急指挥调度、应急资源调配及对外沟通对接工作。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现场处置组：由维修、值守人员组成，负责现场救援、隐患控制、人员疏散转移等实操工作。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后勤保障组：负责应急物资补给、事故现场清理、善后工作支撑等保障事宜。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协同联络组：安排专人专职对接校方、消防、急救、公安等相关单位，做好信息同步、支援协调工作。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（2）工作职责</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24小时应急值守：值班室设置应急专用联络线路，确保应急信息传递畅通，实现无断档响应。</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隐患前置排查：每日对校园关键点位开展安全巡查，及时发现并消除安全隐患，从源头防范风险。</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现场快速处置：严格按照应急预案开展人员疏散、现场救援、风险管控等操作，规范处置流程。</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多方协同联动：精准对接校方及外部应急力量，高效推进应急处置各项工作，形成联动合力。</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善后复盘整改：应急事件处置完毕后，及时清理现场、完善应急处置台账，复盘处置过程并优化应急预案。</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3.消防安全应急处置流程</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（1）适用场景：实训室易燃耗材、宿舍、食堂、教学楼、强弱电间、开闭所等区域的消防安全应急。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（2）接报响应：接到火情报告（烟感报警、师生上报）后，3分钟内到场核实情况，立即启动消防安全应急预案。</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（3）初期处置：小火情使用就近灭火器/消防栓扑灭；火势失控时，立即切断区域电源，开启应急广播。</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（4）人员疏散：引导师生沿疏散通道有序撤离，优先疏散人员密集场所师生，做好人数清点，避免拥挤踩踏事故。</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（5）联动上报：同步拨打119报警，对接校方综合办公室、安保室，封锁火情区域并做好现场保护。</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（6）善后处置：火灾扑灭后，配合消防部门排查事故原因，清理事故场地，检修消防设施，开展复盘整改工作。</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4.水电设施突发应急</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大面积停水/停电：立即组织人员排查故障点位，简单故障30分钟内完成修复；若为复杂故障（主线路故障、水泵故障等），第一时间同步上报校方，发布停水/停电通知告知师生，及时启用备用电源/临时供水点，保障教学、学生宿舍基本用水用电需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（2）水管爆裂/漏水：快速关闭故障区域供水阀门，及时清理积水，防止积水渗漏至实训设备、教室等区域，维修班组加急开展故障抢修，避免影响正常教学实训秩序。</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（3）电路短路/漏电：立即切断故障区域电源，设置安全警戒区域并严禁人员靠近，由专业维修人员排查故障并完成修复，杜绝触电安全风险。</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5.恶劣天气应急（暴雨、暴雪、台风等）</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（1）事前预防：收到气象部门恶劣天气预警后，及时加固校园门窗、广告牌等设施，清理排水口保障排水通畅，转移实训易损设备，储备沙袋、铁锹等应急物资。</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（2）事中处置：持续巡查校园积水、树木倒伏、屋顶渗漏等情况，对危险路段采取封闭措施，协助校方调整教学安排；暴雪天气及时组织清扫校园主干道、楼宇出入口积雪，保障师生通行安全。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（3）事后善后：及时清理校园内倒伏树木、积水，全面检修受损设施设备，排查各类安全隐患，快速恢复校园正常教学、生活秩序。</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6.治安/突发事件应急（外来人员闯入、学生冲突、失窃）</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（1）外来人员闯入/滋扰：协助校方安保人员现场劝阻管控，控制无关人员行动范围，立即联系校方安保室；若情节严重，第一时间拨打110报警，杜绝无关人员进入教学、学生公寓核心区域。</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（2）学生冲突：当场制止冲突行为，疏散围观人员，避免矛盾升级，立即上报班主任及校方相关部门，协助开展调查调解工作。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（3）失窃事件：做好失窃现场保护工作，详细登记失物及事件相关信息，立即上报校方安保室，配合调阅监控、公安部门开展调查取证工作。</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7.公共卫生应急（传染病苗头、食品不适）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（1）接报响应：发现多名师生出现身体不适或传染病疑似症状时，立即对相关人员采取临时隔离措施，联系校医开展初步诊疗，第一时间上报校方。</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（2）环境消杀：对涉事区域（教室、食堂、宿舍等）开展全面彻底的消杀作业，保持区域通风换气，切断病菌传播途径。</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（3）协同管控：主动对接校方及疾控部门，严格按照要求落实各项管控措施，暂停涉事区域各类聚集性活动。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（4）物资保障：及时补充口罩、消毒液等防疫物资，配合校方做好师生健康监测工作，做好防疫保障。</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8.日常应急保障基础工作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（1）应急物资储备：按照标准配备沙袋、绝缘工具、消防器材、防疫物资等应急保障物资，实行每月盘点制度，及时补充短缺物资，确保应急物资完好可用。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（2）隐患日常排查：每日对校园水电线路、疏散通道开展巡查，协助校方巡查消防设施、实训设备；每周开展一次安全专项检查，建立隐患排查整改台账，实现隐患闭环管理。</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（3）应急演练：配合校方定期开展应急演练（重点围绕消防、急救、防恐防爆等场景），提升物业团队及师生的应急处置与自救互救能力。</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（4）24小时值守联动：值班室留存校方、消防、急救、公安等相关单位应急联络电话，确保一键快速对接，实现应急信息同步无延迟。</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（5）台账规范记录：所有应急事件均规范填写《应急处置台账》，明确记录事件发生时间、地点、处置过程、处置结果等信息，确保全程可追溯核查。</w:t>
      </w:r>
      <w:r>
        <w:rPr>
          <w:highlight w:val="none"/>
        </w:rPr>
      </w:r>
      <w:r/>
    </w:p>
    <w:p>
      <w:pPr>
        <w:pStyle w:val="958"/>
        <w:jc w:val="left"/>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（十一）委托物业服务从业人员要求</w:t>
      </w:r>
      <w:r>
        <w:rPr>
          <w:highlight w:val="none"/>
        </w:rPr>
      </w:r>
      <w:r/>
    </w:p>
    <w:p>
      <w:pPr>
        <w:pStyle w:val="958"/>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本项目物业服务团队岗位设置、最低人员要求及任职基本要求如下表所示：</w:t>
      </w:r>
      <w:r>
        <w:rPr>
          <w:highlight w:val="none"/>
        </w:rPr>
      </w:r>
      <w:r/>
    </w:p>
    <w:tbl>
      <w:tblPr>
        <w:tblW w:w="892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13"/>
        <w:gridCol w:w="709"/>
        <w:gridCol w:w="2976"/>
        <w:gridCol w:w="3823"/>
      </w:tblGrid>
      <w:tr>
        <w:trPr>
          <w:trHeight w:val="88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岗位名称</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人数</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主要职责</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人员基础要求</w:t>
            </w:r>
            <w:r>
              <w:rPr>
                <w:highlight w:val="none"/>
              </w:rPr>
            </w:r>
            <w:r/>
          </w:p>
        </w:tc>
      </w:tr>
      <w:tr>
        <w:trPr>
          <w:trHeight w:val="1266"/>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项目经理</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全面统筹负责校区综合物业服务各项工作，包括团队管理、服务质量管控、校方对接协调等。</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大专及以上学历，5年以上物业管理行业从业经历；熟练掌握办公软件操作，持有物业管理师等相关职业证书；责任心强，具备优秀的沟通协调、统筹管理能力。</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经理助理</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协助项目经理做好相关管理工作，协助项目经理开展日常管理工作，负责各类台账整理、工作指令传达、各岗位工作协调等。</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大专及以上学历；熟练掌握办公软件操作，持有物业管理相关职业证书；3年及以上物业管理行业从业经历。</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学生宿舍值班员</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承担学生宿舍24小时值班值守工作，开展宿舍区域安全巡视、人员进出管理、区域秩序维护，协助完成宿舍安全、卫生检查等工作。</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掌握基础安防知识，具备一定学生宿舍管理工作经验。</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学生宿舍保洁员</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承担学生宿舍公共区域卫生保洁、垃圾清运等工作。</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能吃苦耐劳，具备良好的体力劳动能力。</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楼宇保洁员</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承担校区各楼宇公共区域卫生保洁、日常清洁维护等工作。</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能吃苦耐劳，具备良好的体力劳动能力。</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外环境保洁员</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承担校园室外公共区域卫生保洁、环境维护等工作。</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能吃苦耐劳，具备良好的体力劳动能力。</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绿化工</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承担校园内绿化植被养护、病虫害防治、绿化垃圾清理等工作，含河道、荷塘周边绿化养护。</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能吃苦耐劳，具备良好的体力劳动能力。</w:t>
            </w:r>
            <w:r>
              <w:rPr>
                <w:highlight w:val="none"/>
              </w:rPr>
            </w:r>
            <w:r/>
          </w:p>
        </w:tc>
      </w:tr>
      <w:tr>
        <w:trPr>
          <w:trHeight w:val="132"/>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垃圾清运工</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每日收集校园内生活、生产垃圾并转运至校内指定集中点；完成垃圾房日常卫生打扫、消杀工作，确保垃圾房规范运营、无爆仓情况。</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男性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能吃苦耐劳，具备良好的体力劳动能力。</w:t>
            </w:r>
            <w:r>
              <w:rPr>
                <w:highlight w:val="none"/>
              </w:rPr>
            </w:r>
            <w:r/>
          </w:p>
        </w:tc>
      </w:tr>
      <w:tr>
        <w:trPr>
          <w:trHeight w:val="1994"/>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综合维修工</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承担高压配电房、开闭所24小时值班值守工作；巡查校区供水、供电及污水处理设施，保障设施正常运转；开展校园水电、木作、瓦工等领域的综合维修工作。</w:t>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男性；至少1人持有特种作业操作证（高压电工）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低压电工证，</w:t>
            </w:r>
            <w:r>
              <w:rPr>
                <w:rFonts w:hint="eastAsia" w:ascii="宋体" w:hAnsi="宋体" w:cs="宋体"/>
                <w:color w:val="000000"/>
                <w:sz w:val="24"/>
                <w:szCs w:val="24"/>
                <w:highlight w:val="none"/>
              </w:rPr>
              <w:t xml:space="preserve">至少1人具备水电、木作及瓦工领域综合维修技能，且具有相关工作经验。</w:t>
            </w:r>
            <w:r>
              <w:rPr>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8"/>
              <w:jc w:val="center"/>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w:t>
            </w:r>
            <w:r>
              <w:rPr>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958"/>
              <w:spacing w:line="3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r>
    </w:tbl>
    <w:p>
      <w:pPr>
        <w:pStyle w:val="958"/>
        <w:jc w:val="left"/>
        <w:spacing w:line="315" w:lineRule="exact"/>
        <w:rPr>
          <w:color w:val="000000"/>
          <w:highlight w:val="none"/>
        </w:rPr>
      </w:pPr>
      <w:r>
        <w:rPr>
          <w:color w:val="000000"/>
          <w:highlight w:val="none"/>
        </w:rPr>
      </w:r>
      <w:r>
        <w:rPr>
          <w:highlight w:val="none"/>
        </w:rPr>
      </w:r>
      <w:r/>
    </w:p>
    <w:p>
      <w:pPr>
        <w:pStyle w:val="958"/>
        <w:jc w:val="left"/>
        <w:spacing w:line="440" w:lineRule="exact"/>
        <w:rPr>
          <w:b/>
          <w:color w:val="000000"/>
          <w:sz w:val="24"/>
          <w:szCs w:val="24"/>
          <w:highlight w:val="none"/>
        </w:rPr>
      </w:pPr>
      <w:r>
        <w:rPr>
          <w:rFonts w:ascii="宋体" w:hAnsi="宋体" w:cs="宋体"/>
          <w:b/>
          <w:color w:val="000000"/>
          <w:sz w:val="24"/>
          <w:szCs w:val="24"/>
          <w:highlight w:val="none"/>
        </w:rPr>
        <w:t xml:space="preserve">说明：</w:t>
      </w:r>
      <w:r>
        <w:rPr>
          <w:highlight w:val="none"/>
        </w:rPr>
      </w:r>
      <w:r/>
    </w:p>
    <w:p>
      <w:pPr>
        <w:pStyle w:val="958"/>
        <w:ind w:firstLine="482"/>
        <w:jc w:val="left"/>
        <w:spacing w:line="440" w:lineRule="exact"/>
        <w:rPr>
          <w:b/>
          <w:i w:val="0"/>
          <w:iCs/>
          <w:color w:val="000000"/>
          <w:sz w:val="24"/>
          <w:szCs w:val="24"/>
          <w:highlight w:val="none"/>
          <w:u w:val="none"/>
        </w:rPr>
      </w:pPr>
      <w:r>
        <w:rPr>
          <w:rFonts w:ascii="宋体" w:hAnsi="宋体" w:cs="宋体"/>
          <w:b/>
          <w:i/>
          <w:color w:val="000000"/>
          <w:sz w:val="24"/>
          <w:szCs w:val="24"/>
          <w:highlight w:val="none"/>
          <w:u w:val="single"/>
        </w:rPr>
        <w:t xml:space="preserve">1.本项目物业服务团队进校服务总人数不得少于28人。</w:t>
      </w:r>
      <w:r>
        <w:rPr>
          <w:rFonts w:ascii="宋体" w:hAnsi="宋体" w:cs="宋体"/>
          <w:b/>
          <w:i w:val="0"/>
          <w:iCs/>
          <w:color w:val="000000"/>
          <w:sz w:val="24"/>
          <w:szCs w:val="24"/>
          <w:highlight w:val="none"/>
          <w:u w:val="none"/>
        </w:rPr>
        <w:t xml:space="preserve">所有人员必须缴纳法定五险一金（养老保险、医疗保险、工伤保险、生育保险、失业保险、住房公积金），五险一金缴纳基数符合镇江市人社部门最新规定；所有人员工资不得低于镇江市现行最低工资标准计算。员工全年节假日加班工资及高温津贴发放标准严格符合国家最新规定。未响应以上条款的，视为未实质性响应招标文件。</w:t>
      </w:r>
      <w:r>
        <w:rPr>
          <w:highlight w:val="none"/>
        </w:rPr>
      </w:r>
      <w:r/>
    </w:p>
    <w:p>
      <w:pPr>
        <w:pStyle w:val="958"/>
        <w:ind w:firstLine="482"/>
        <w:jc w:val="left"/>
        <w:spacing w:line="440" w:lineRule="exact"/>
        <w:rPr>
          <w:b/>
          <w:i/>
          <w:color w:val="000000"/>
          <w:sz w:val="24"/>
          <w:szCs w:val="24"/>
          <w:highlight w:val="none"/>
          <w:u w:val="single"/>
        </w:rPr>
      </w:pPr>
      <w:r>
        <w:rPr>
          <w:rFonts w:hint="eastAsia" w:ascii="宋体" w:hAnsi="宋体" w:cs="宋体"/>
          <w:b/>
          <w:i/>
          <w:color w:val="000000"/>
          <w:sz w:val="24"/>
          <w:szCs w:val="24"/>
          <w:highlight w:val="none"/>
          <w:u w:val="single"/>
          <w:lang w:val="en-US" w:eastAsia="zh-CN"/>
        </w:rPr>
        <w:t xml:space="preserve">2</w:t>
      </w:r>
      <w:r>
        <w:rPr>
          <w:rFonts w:ascii="宋体" w:hAnsi="宋体" w:cs="宋体"/>
          <w:b/>
          <w:i/>
          <w:color w:val="000000"/>
          <w:sz w:val="24"/>
          <w:szCs w:val="24"/>
          <w:highlight w:val="none"/>
          <w:u w:val="single"/>
        </w:rPr>
        <w:t xml:space="preserve">.中标人须严格遵守并执行《中华人民共和国劳动法》等相关法律法规，合同履行期间发生的劳动用工纠纷等各类矛盾，均由中标人独立承担责任，采购人不承担任何连带责任。</w:t>
      </w:r>
      <w:r>
        <w:rPr>
          <w:highlight w:val="none"/>
        </w:rPr>
      </w:r>
      <w:r/>
    </w:p>
    <w:p>
      <w:pPr>
        <w:pStyle w:val="958"/>
        <w:ind w:firstLine="482"/>
        <w:jc w:val="left"/>
        <w:spacing w:line="440" w:lineRule="exact"/>
        <w:rPr>
          <w:rFonts w:ascii="宋体" w:hAnsi="宋体" w:cs="宋体"/>
          <w:b/>
          <w:i/>
          <w:color w:val="000000"/>
          <w:sz w:val="24"/>
          <w:szCs w:val="24"/>
          <w:highlight w:val="none"/>
          <w:u w:val="single"/>
        </w:rPr>
      </w:pPr>
      <w:r>
        <w:rPr>
          <w:rFonts w:hint="eastAsia" w:ascii="宋体" w:hAnsi="宋体" w:cs="宋体"/>
          <w:b/>
          <w:i/>
          <w:color w:val="000000"/>
          <w:sz w:val="24"/>
          <w:szCs w:val="24"/>
          <w:highlight w:val="none"/>
          <w:u w:val="single"/>
          <w:lang w:val="en-US" w:eastAsia="zh-CN"/>
        </w:rPr>
        <w:t xml:space="preserve">3</w:t>
      </w:r>
      <w:r>
        <w:rPr>
          <w:rFonts w:ascii="宋体" w:hAnsi="宋体" w:cs="宋体"/>
          <w:b/>
          <w:i/>
          <w:color w:val="000000"/>
          <w:sz w:val="24"/>
          <w:szCs w:val="24"/>
          <w:highlight w:val="none"/>
          <w:u w:val="single"/>
        </w:rPr>
        <w:t xml:space="preserve">.中标人须书面承诺：愿意接收江苏茗苑农业科技有限公司现聘用在茅山校区的15名工作人员，为相关人员妥善安排工作岗位</w:t>
      </w:r>
      <w:r>
        <w:rPr>
          <w:rFonts w:hint="eastAsia" w:ascii="宋体" w:hAnsi="宋体" w:cs="宋体"/>
          <w:b/>
          <w:i/>
          <w:color w:val="000000"/>
          <w:sz w:val="24"/>
          <w:szCs w:val="24"/>
          <w:highlight w:val="none"/>
          <w:u w:val="single"/>
        </w:rPr>
        <w:t xml:space="preserve">。</w:t>
      </w:r>
      <w:r>
        <w:rPr>
          <w:highlight w:val="none"/>
        </w:rPr>
      </w:r>
      <w:r/>
    </w:p>
    <w:p>
      <w:pPr>
        <w:pStyle w:val="958"/>
        <w:ind w:firstLine="482"/>
        <w:jc w:val="left"/>
        <w:spacing w:line="440" w:lineRule="exact"/>
        <w:rPr>
          <w:rFonts w:ascii="宋体" w:hAnsi="宋体" w:cs="宋体"/>
          <w:b/>
          <w:i/>
          <w:color w:val="000000"/>
          <w:sz w:val="24"/>
          <w:szCs w:val="24"/>
          <w:highlight w:val="none"/>
          <w:u w:val="single"/>
        </w:rPr>
      </w:pPr>
      <w:r>
        <w:rPr>
          <w:rFonts w:hint="eastAsia" w:ascii="宋体" w:hAnsi="宋体" w:cs="宋体"/>
          <w:b/>
          <w:i/>
          <w:color w:val="000000"/>
          <w:sz w:val="24"/>
          <w:szCs w:val="24"/>
          <w:highlight w:val="none"/>
          <w:u w:val="single"/>
          <w:lang w:val="en-US" w:eastAsia="zh-CN"/>
        </w:rPr>
        <w:t xml:space="preserve">4</w:t>
      </w:r>
      <w:r>
        <w:rPr>
          <w:rFonts w:ascii="宋体" w:hAnsi="宋体" w:cs="宋体"/>
          <w:b/>
          <w:i/>
          <w:color w:val="000000"/>
          <w:sz w:val="24"/>
          <w:szCs w:val="24"/>
          <w:highlight w:val="none"/>
          <w:u w:val="single"/>
        </w:rPr>
        <w:t xml:space="preserve">.所有物业服务从业人员均要求身体健康、责任心强，无犯罪记录、无不良嗜好；具备良好的职业修养，爱岗敬业、工作勤勉、礼貌待人，中标人可根据项目实际工作需求对人员进行合理调配使用。</w:t>
      </w:r>
      <w:r>
        <w:rPr>
          <w:highlight w:val="none"/>
        </w:rPr>
      </w:r>
      <w:r/>
    </w:p>
    <w:p>
      <w:pPr>
        <w:pStyle w:val="958"/>
        <w:ind w:firstLine="482"/>
        <w:jc w:val="left"/>
        <w:spacing w:line="440" w:lineRule="exact"/>
        <w:rPr>
          <w:rFonts w:ascii="宋体" w:hAnsi="宋体" w:cs="宋体"/>
          <w:b/>
          <w:i/>
          <w:color w:val="000000"/>
          <w:sz w:val="24"/>
          <w:szCs w:val="24"/>
          <w:highlight w:val="none"/>
          <w:u w:val="single"/>
        </w:rPr>
      </w:pPr>
      <w:r>
        <w:rPr>
          <w:rFonts w:hint="eastAsia" w:ascii="宋体" w:hAnsi="宋体" w:cs="宋体"/>
          <w:b/>
          <w:i/>
          <w:color w:val="000000"/>
          <w:sz w:val="24"/>
          <w:szCs w:val="24"/>
          <w:highlight w:val="none"/>
          <w:u w:val="single"/>
          <w:lang w:val="en-US" w:eastAsia="zh-CN"/>
        </w:rPr>
        <w:t xml:space="preserve">5</w:t>
      </w:r>
      <w:r>
        <w:rPr>
          <w:rFonts w:ascii="宋体" w:hAnsi="宋体" w:cs="宋体"/>
          <w:b/>
          <w:i/>
          <w:color w:val="000000"/>
          <w:sz w:val="24"/>
          <w:szCs w:val="24"/>
          <w:highlight w:val="none"/>
          <w:u w:val="single"/>
        </w:rPr>
        <w:t xml:space="preserve">.投标人须在投标文件中明确列明拟派项目经理信息；中标后，实际驻场项目经理须与投标文件中提供的人员信息保持一致，合同期内不得随意更换。确需更换的，中标人须至少提前一个月以书面形式通知采购人并经采购人书面同意，方可更换符合同等或更高要求的人员，且人员更换不得影响校区物业服务正常开展。</w:t>
      </w:r>
      <w:r>
        <w:rPr>
          <w:highlight w:val="none"/>
        </w:rPr>
      </w:r>
      <w:r/>
    </w:p>
    <w:p>
      <w:pPr>
        <w:pStyle w:val="958"/>
        <w:ind w:firstLine="480"/>
        <w:jc w:val="left"/>
        <w:spacing w:line="440" w:lineRule="exact"/>
        <w:rPr>
          <w:rFonts w:ascii="宋体" w:hAnsi="宋体" w:cs="宋体"/>
          <w:b/>
          <w:i/>
          <w:color w:val="000000"/>
          <w:sz w:val="24"/>
          <w:szCs w:val="24"/>
          <w:highlight w:val="none"/>
          <w:u w:val="single"/>
        </w:rPr>
      </w:pPr>
      <w:r>
        <w:rPr>
          <w:rFonts w:hint="eastAsia" w:ascii="宋体" w:hAnsi="宋体" w:cs="宋体"/>
          <w:b w:val="0"/>
          <w:bCs/>
          <w:i w:val="0"/>
          <w:iCs/>
          <w:color w:val="000000"/>
          <w:sz w:val="24"/>
          <w:szCs w:val="24"/>
          <w:highlight w:val="none"/>
          <w:u w:val="none"/>
          <w:lang w:val="en-US" w:eastAsia="zh-CN"/>
        </w:rPr>
        <w:t xml:space="preserve">6</w:t>
      </w:r>
      <w:r>
        <w:rPr>
          <w:rFonts w:ascii="宋体" w:hAnsi="宋体" w:cs="宋体"/>
          <w:b w:val="0"/>
          <w:bCs/>
          <w:i w:val="0"/>
          <w:iCs/>
          <w:color w:val="000000"/>
          <w:sz w:val="24"/>
          <w:szCs w:val="24"/>
          <w:highlight w:val="none"/>
          <w:u w:val="none"/>
        </w:rPr>
        <w:t xml:space="preserve">.</w:t>
      </w:r>
      <w:r>
        <w:rPr>
          <w:rFonts w:hint="eastAsia" w:ascii="宋体" w:hAnsi="宋体" w:cs="宋体"/>
          <w:b w:val="0"/>
          <w:bCs/>
          <w:i w:val="0"/>
          <w:iCs/>
          <w:color w:val="000000"/>
          <w:sz w:val="24"/>
          <w:szCs w:val="24"/>
          <w:highlight w:val="none"/>
          <w:u w:val="none"/>
        </w:rPr>
        <w:t xml:space="preserve">现场勘查：</w:t>
      </w:r>
      <w:r>
        <w:rPr>
          <w:rFonts w:ascii="宋体" w:hAnsi="宋体" w:cs="宋体"/>
          <w:b w:val="0"/>
          <w:bCs/>
          <w:i w:val="0"/>
          <w:iCs/>
          <w:color w:val="000000"/>
          <w:sz w:val="24"/>
          <w:szCs w:val="24"/>
          <w:highlight w:val="none"/>
          <w:u w:val="none"/>
        </w:rPr>
        <w:t xml:space="preserve">所有投标人必须按要求赴项目现场进行踏勘，</w:t>
      </w:r>
      <w:r>
        <w:rPr>
          <w:rFonts w:hint="eastAsia" w:ascii="宋体" w:hAnsi="宋体" w:cs="宋体"/>
          <w:b w:val="0"/>
          <w:bCs/>
          <w:i w:val="0"/>
          <w:iCs/>
          <w:color w:val="000000"/>
          <w:sz w:val="24"/>
          <w:szCs w:val="24"/>
          <w:highlight w:val="none"/>
          <w:u w:val="none"/>
        </w:rPr>
        <w:t xml:space="preserve">(文件</w:t>
      </w:r>
      <w:r>
        <w:rPr>
          <w:rFonts w:ascii="宋体" w:hAnsi="宋体" w:cs="宋体"/>
          <w:b w:val="0"/>
          <w:bCs/>
          <w:i w:val="0"/>
          <w:iCs/>
          <w:color w:val="000000"/>
          <w:sz w:val="24"/>
          <w:szCs w:val="24"/>
          <w:highlight w:val="none"/>
          <w:u w:val="none"/>
        </w:rPr>
        <w:t xml:space="preserve">公示前明确现场</w:t>
      </w:r>
      <w:r>
        <w:rPr>
          <w:rFonts w:hint="eastAsia" w:ascii="宋体" w:hAnsi="宋体" w:cs="宋体"/>
          <w:b w:val="0"/>
          <w:bCs/>
          <w:i w:val="0"/>
          <w:iCs/>
          <w:color w:val="000000"/>
          <w:sz w:val="24"/>
          <w:szCs w:val="24"/>
          <w:highlight w:val="none"/>
          <w:u w:val="none"/>
        </w:rPr>
        <w:t xml:space="preserve">集中</w:t>
      </w:r>
      <w:r>
        <w:rPr>
          <w:rFonts w:ascii="宋体" w:hAnsi="宋体" w:cs="宋体"/>
          <w:b w:val="0"/>
          <w:bCs/>
          <w:i w:val="0"/>
          <w:iCs/>
          <w:color w:val="000000"/>
          <w:sz w:val="24"/>
          <w:szCs w:val="24"/>
          <w:highlight w:val="none"/>
          <w:u w:val="none"/>
        </w:rPr>
        <w:t xml:space="preserve">踏勘时间</w:t>
      </w:r>
      <w:r>
        <w:rPr>
          <w:rFonts w:hint="eastAsia" w:ascii="宋体" w:hAnsi="宋体" w:cs="宋体"/>
          <w:b w:val="0"/>
          <w:bCs/>
          <w:i w:val="0"/>
          <w:iCs/>
          <w:color w:val="000000"/>
          <w:sz w:val="24"/>
          <w:szCs w:val="24"/>
          <w:highlight w:val="none"/>
          <w:u w:val="none"/>
        </w:rPr>
        <w:t xml:space="preserve">)</w:t>
      </w:r>
      <w:r>
        <w:rPr>
          <w:rFonts w:ascii="宋体" w:hAnsi="宋体" w:cs="宋体"/>
          <w:b w:val="0"/>
          <w:bCs/>
          <w:i w:val="0"/>
          <w:iCs/>
          <w:color w:val="000000"/>
          <w:sz w:val="24"/>
          <w:szCs w:val="24"/>
          <w:highlight w:val="none"/>
          <w:u w:val="none"/>
        </w:rPr>
        <w:t xml:space="preserve">充分了解项目实际情况</w:t>
      </w:r>
      <w:r>
        <w:rPr>
          <w:rFonts w:hint="eastAsia" w:ascii="宋体" w:hAnsi="宋体" w:cs="宋体"/>
          <w:b w:val="0"/>
          <w:bCs/>
          <w:i w:val="0"/>
          <w:iCs/>
          <w:color w:val="000000"/>
          <w:sz w:val="24"/>
          <w:szCs w:val="24"/>
          <w:highlight w:val="none"/>
          <w:u w:val="none"/>
        </w:rPr>
        <w:t xml:space="preserve">，</w:t>
      </w:r>
      <w:r>
        <w:rPr>
          <w:rFonts w:ascii="宋体" w:hAnsi="宋体" w:cs="宋体"/>
          <w:b w:val="0"/>
          <w:bCs/>
          <w:i w:val="0"/>
          <w:iCs/>
          <w:color w:val="000000"/>
          <w:sz w:val="24"/>
          <w:szCs w:val="24"/>
          <w:highlight w:val="none"/>
          <w:u w:val="none"/>
        </w:rPr>
        <w:t xml:space="preserve">并现场答疑。</w:t>
      </w:r>
      <w:r>
        <w:rPr>
          <w:highlight w:val="none"/>
        </w:rPr>
      </w:r>
      <w:r/>
    </w:p>
    <w:p>
      <w:pPr>
        <w:pStyle w:val="95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（1）现场勘察时间：2026年4月2日，下午</w:t>
      </w:r>
      <w:r>
        <w:rPr>
          <w:rFonts w:hint="eastAsia" w:ascii="宋体" w:hAnsi="宋体" w:cs="宋体"/>
          <w:color w:val="000000"/>
          <w:sz w:val="24"/>
          <w:szCs w:val="24"/>
          <w:highlight w:val="none"/>
          <w:u w:val="single"/>
        </w:rPr>
        <w:t xml:space="preserve">14</w:t>
      </w:r>
      <w:r>
        <w:rPr>
          <w:rFonts w:hint="eastAsia" w:ascii="宋体" w:hAnsi="宋体" w:cs="宋体"/>
          <w:color w:val="000000"/>
          <w:sz w:val="24"/>
          <w:szCs w:val="24"/>
          <w:highlight w:val="none"/>
          <w:u w:val="single"/>
        </w:rPr>
        <w:t xml:space="preserve">:30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17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00</w:t>
      </w:r>
      <w:r>
        <w:rPr>
          <w:rFonts w:hint="eastAsia" w:ascii="宋体" w:hAnsi="宋体" w:cs="宋体"/>
          <w:color w:val="000000"/>
          <w:sz w:val="24"/>
          <w:szCs w:val="24"/>
          <w:highlight w:val="none"/>
        </w:rPr>
        <w:t xml:space="preserve">。</w:t>
      </w:r>
      <w:r>
        <w:rPr>
          <w:highlight w:val="none"/>
        </w:rPr>
      </w:r>
      <w:r/>
    </w:p>
    <w:p>
      <w:pPr>
        <w:pStyle w:val="958"/>
        <w:ind w:firstLine="480"/>
        <w:spacing w:line="440" w:lineRule="exact"/>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勘察地址：</w:t>
      </w:r>
      <w:r>
        <w:rPr>
          <w:rFonts w:hint="eastAsia" w:ascii="宋体" w:hAnsi="宋体" w:cs="宋体"/>
          <w:color w:val="000000"/>
          <w:sz w:val="24"/>
          <w:szCs w:val="24"/>
          <w:highlight w:val="none"/>
          <w:u w:val="single"/>
        </w:rPr>
        <w:t xml:space="preserve"> 江苏</w:t>
      </w:r>
      <w:r>
        <w:rPr>
          <w:rFonts w:ascii="宋体" w:hAnsi="宋体" w:cs="宋体"/>
          <w:color w:val="000000"/>
          <w:sz w:val="24"/>
          <w:szCs w:val="24"/>
          <w:highlight w:val="none"/>
          <w:u w:val="single"/>
        </w:rPr>
        <w:t xml:space="preserve">省句容市茅山镇茅山校区</w:t>
      </w:r>
      <w:r>
        <w:rPr>
          <w:rFonts w:hint="eastAsia" w:ascii="宋体" w:hAnsi="宋体" w:cs="宋体"/>
          <w:color w:val="000000"/>
          <w:sz w:val="24"/>
          <w:szCs w:val="24"/>
          <w:highlight w:val="none"/>
          <w:u w:val="single"/>
        </w:rPr>
        <w:t xml:space="preserve">             </w:t>
      </w:r>
      <w:r>
        <w:rPr>
          <w:highlight w:val="none"/>
        </w:rPr>
      </w:r>
      <w:r/>
    </w:p>
    <w:p>
      <w:pPr>
        <w:pStyle w:val="95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联系人（联系电话）：</w:t>
      </w:r>
      <w:r>
        <w:rPr>
          <w:rFonts w:hint="eastAsia" w:ascii="宋体" w:hAnsi="宋体" w:cs="宋体"/>
          <w:color w:val="000000"/>
          <w:sz w:val="24"/>
          <w:szCs w:val="24"/>
          <w:highlight w:val="none"/>
          <w:u w:val="single"/>
        </w:rPr>
        <w:t xml:space="preserve"> 徐超</w:t>
      </w:r>
      <w:r>
        <w:rPr>
          <w:rFonts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15152927083</w:t>
      </w:r>
      <w:r>
        <w:rPr>
          <w:rFonts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highlight w:val="none"/>
        </w:rPr>
      </w:r>
      <w:r/>
    </w:p>
    <w:p>
      <w:pPr>
        <w:pStyle w:val="95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（2）其他</w:t>
      </w:r>
      <w:r>
        <w:rPr>
          <w:highlight w:val="none"/>
        </w:rPr>
      </w:r>
      <w:r/>
    </w:p>
    <w:p>
      <w:pPr>
        <w:pStyle w:val="958"/>
        <w:ind w:firstLine="480"/>
        <w:spacing w:line="440" w:lineRule="exact"/>
        <w:rPr>
          <w:rFonts w:hint="eastAsia" w:ascii="宋体" w:hAnsi="宋体" w:cs="宋体"/>
          <w:color w:val="000000"/>
          <w:sz w:val="24"/>
          <w:szCs w:val="24"/>
          <w:highlight w:val="none"/>
        </w:rPr>
      </w:pPr>
      <w:r>
        <w:rPr>
          <w:highlight w:val="none"/>
        </w:rPr>
      </w:r>
      <w:bookmarkStart w:id="194" w:name="OLE_LINK12"/>
      <w:r>
        <w:rPr>
          <w:highlight w:val="none"/>
        </w:rPr>
      </w:r>
      <w:bookmarkStart w:id="195" w:name="OLE_LINK11"/>
      <w:r>
        <w:rPr>
          <w:rFonts w:ascii="宋体" w:hAnsi="宋体" w:cs="宋体"/>
          <w:color w:val="000000"/>
          <w:sz w:val="24"/>
          <w:szCs w:val="24"/>
          <w:highlight w:val="none"/>
        </w:rPr>
        <w:t xml:space="preserve">①</w:t>
      </w:r>
      <w:r>
        <w:rPr>
          <w:rFonts w:hint="eastAsia" w:ascii="宋体" w:hAnsi="宋体" w:cs="宋体"/>
          <w:color w:val="000000"/>
          <w:sz w:val="24"/>
          <w:szCs w:val="24"/>
          <w:highlight w:val="none"/>
        </w:rPr>
        <w:t xml:space="preserve">请投标人授权代表持身份证原件、企业法人营业执照复印件加盖公章、法人授权委托书，在规定的时间前往勘察并现场签到。</w:t>
      </w:r>
      <w:r>
        <w:rPr>
          <w:highlight w:val="none"/>
        </w:rPr>
      </w:r>
      <w:r/>
    </w:p>
    <w:p>
      <w:pPr>
        <w:pStyle w:val="958"/>
        <w:ind w:firstLine="480"/>
        <w:spacing w:line="440" w:lineRule="exact"/>
        <w:rPr>
          <w:rFonts w:hint="eastAsia" w:ascii="宋体" w:hAnsi="宋体" w:cs="宋体"/>
          <w:color w:val="000000"/>
          <w:sz w:val="24"/>
          <w:szCs w:val="24"/>
          <w:highlight w:val="none"/>
        </w:rPr>
      </w:pPr>
      <w:r>
        <w:rPr>
          <w:highlight w:val="none"/>
        </w:rPr>
      </w:r>
      <w:bookmarkEnd w:id="194"/>
      <w:r>
        <w:rPr>
          <w:highlight w:val="none"/>
        </w:rPr>
      </w:r>
      <w:bookmarkEnd w:id="195"/>
      <w:r>
        <w:rPr>
          <w:rFonts w:ascii="宋体" w:hAnsi="宋体" w:cs="宋体"/>
          <w:color w:val="000000"/>
          <w:sz w:val="24"/>
          <w:szCs w:val="24"/>
          <w:highlight w:val="none"/>
        </w:rPr>
        <w:t xml:space="preserve">②</w:t>
      </w:r>
      <w:r>
        <w:rPr>
          <w:rFonts w:hint="eastAsia" w:ascii="宋体" w:hAnsi="宋体" w:cs="宋体"/>
          <w:color w:val="000000"/>
          <w:sz w:val="24"/>
          <w:szCs w:val="24"/>
          <w:highlight w:val="none"/>
        </w:rPr>
        <w:t xml:space="preserve">投标人请务必对项目现场和周围环境进行仔细认真地查勘，在随后的投标中，对现场资料和数据所作出的推论、解释和结论及由此造成的后果由投标人负责。</w:t>
      </w:r>
      <w:r>
        <w:rPr>
          <w:highlight w:val="none"/>
        </w:rPr>
      </w:r>
      <w:r/>
    </w:p>
    <w:p>
      <w:pPr>
        <w:pStyle w:val="958"/>
        <w:ind w:firstLine="480"/>
        <w:spacing w:line="44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③</w:t>
      </w:r>
      <w:r>
        <w:rPr>
          <w:rFonts w:hint="eastAsia" w:ascii="宋体" w:hAnsi="宋体" w:cs="宋体"/>
          <w:color w:val="000000"/>
          <w:sz w:val="24"/>
          <w:szCs w:val="24"/>
          <w:highlight w:val="none"/>
        </w:rPr>
        <w:t xml:space="preserve">未勘察现场或勘察工作不详细的投标人成交后，不得以不完全了解现场情况为理由而向采购人提出任何索赔或其他要求，对此采购人不承担任何责任并将不作任何答复。</w:t>
      </w:r>
      <w:r>
        <w:rPr>
          <w:highlight w:val="none"/>
        </w:rPr>
      </w:r>
      <w:r/>
    </w:p>
    <w:p>
      <w:pPr>
        <w:pStyle w:val="958"/>
        <w:ind w:firstLine="482"/>
        <w:jc w:val="left"/>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（十二）其他要求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1.中标人须严格遵守国家相关法令、法规及采购人的各项规章制度、考核管理办法</w:t>
      </w:r>
      <w:r>
        <w:rPr>
          <w:rFonts w:hint="eastAsia" w:ascii="宋体" w:hAnsi="宋体" w:cs="宋体"/>
          <w:b/>
          <w:bCs/>
          <w:color w:val="000000"/>
          <w:sz w:val="24"/>
          <w:szCs w:val="24"/>
          <w:highlight w:val="none"/>
        </w:rPr>
        <w:t xml:space="preserve">（具体内容见附件）</w:t>
      </w:r>
      <w:r>
        <w:rPr>
          <w:rFonts w:hint="eastAsia" w:ascii="宋体" w:hAnsi="宋体" w:cs="宋体"/>
          <w:color w:val="000000"/>
          <w:sz w:val="24"/>
          <w:szCs w:val="24"/>
          <w:highlight w:val="none"/>
        </w:rPr>
        <w:t xml:space="preserve">，自觉接受采购人的工作检查与服务考核；结合项目实际制定并落实各项物业服务管理制度，坚持全心全意为师生服务的宗旨。</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人须在中标后一个月内，将所有实际进校工作人员的详细名单（包含姓名、身份证号码、联系方式、工种、学历、相关职业证书等信息）及个人简历提交采购人审核备案；对于不符合招标文件要求的人员，采购人有权要求中标人及时更换。</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经理为校区物业服务项目第一责任人，全面负责项目的工作协调与调度，严格落实采购人安排的各项工作任务；负责对各服务岗位工作开展情况进行考核与监督，及时与校区相关部门做好沟通对接；项目经理不得在其他单位兼任任何职务。</w:t>
      </w:r>
      <w:r>
        <w:rPr>
          <w:highlight w:val="none"/>
        </w:rPr>
      </w:r>
      <w:r/>
    </w:p>
    <w:p>
      <w:pPr>
        <w:pStyle w:val="958"/>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4.中标人须结合项目特点制定并提交以下专项方案：</w:t>
      </w:r>
      <w:r>
        <w:rPr>
          <w:rFonts w:ascii="宋体" w:hAnsi="宋体" w:cs="宋体"/>
          <w:color w:val="000000"/>
          <w:sz w:val="24"/>
          <w:szCs w:val="24"/>
          <w:highlight w:val="none"/>
        </w:rPr>
        <w:t xml:space="preserve">项目认知及重难点分析</w:t>
      </w:r>
      <w:r>
        <w:rPr>
          <w:rFonts w:hint="eastAsia" w:ascii="宋体" w:hAnsi="宋体" w:cs="宋体"/>
          <w:color w:val="000000"/>
          <w:sz w:val="24"/>
          <w:szCs w:val="24"/>
          <w:highlight w:val="none"/>
        </w:rPr>
        <w:t xml:space="preserve">、</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安全文明管理制度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人员考核管理制度</w:t>
      </w:r>
      <w:r>
        <w:rPr>
          <w:rFonts w:hint="eastAsia" w:ascii="宋体" w:hAnsi="宋体" w:cs="宋体"/>
          <w:color w:val="000000"/>
          <w:sz w:val="24"/>
          <w:szCs w:val="24"/>
          <w:highlight w:val="none"/>
        </w:rPr>
        <w:t xml:space="preserve">、物业档案及台账管理制度、公共设施管理服务方案、学生公寓服务方案、环境卫生服务方案、楼宇综合管理服务方案、绿化养护服务方案、小型维修服务方案、水电系统维护方案、配电房/开闭所专项运行维护服务方案、应急处理预案、进退场交接方案、接收人员安置及人员稳定性方案、特色服务方案。</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5.中标人须对物业服务从业人员实施严格管理，所有人员统一着装、佩戴工作标识，做到挂牌上岗、行为规范、服务热情；要求工作人员文明作业、使用文明用语，工作期间保持现场安静，工作场所内严禁吸烟。</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6.项目经理须每日对所负责管理范围的各项物业服务工作开展全面巡查，对发现的问题及时组织整改；定期对所辖工作人员开展业务技能及服务礼仪培训教育，持续提升物业服务质量。</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7.中标人须树立成本节约意识，降低各类资源消耗，做好校园节电、节水工作，严格落实垃圾分类相关要求。</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8.中标人须做好与政府相关职能部门的沟通对接工作，持续改进物业服务工作，规范项目运营管理机制，为师生提供安全、整洁、便捷、高效、舒心的物业服务。</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9.中标人须制定完善的日常物业服务实施方案，对于校园重大活动须单独制定专项服务计划书；严格落实并完成学校交办的其他物业管理服务相关事项。</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10.中标人须真实、准确、及时填写各类工作检查、值班值守等记录，做好物业管理档案资料及各类工作台账的建立、整理与保管工作，确保档案台账完整、可追溯。</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11.因中标人管理失误造成校园设施设备损坏的，可维修的由中标人承担全部维修费用，无法维修的由中标人按照资产原值照价赔偿。</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12.中标人须负责对校园现有后勤信息化软件进行日常管理维护，同时配备与本项目物业服务需求相匹配的信息化管理软件，软件功能须至少包含</w:t>
      </w:r>
      <w:r>
        <w:rPr>
          <w:rFonts w:hint="eastAsia" w:ascii="宋体" w:hAnsi="宋体" w:cs="宋体"/>
          <w:color w:val="000000"/>
          <w:sz w:val="24"/>
          <w:szCs w:val="24"/>
          <w:highlight w:val="none"/>
        </w:rPr>
        <w:t xml:space="preserve">维修保修管理、学生公寓管理、高校场馆管理</w:t>
      </w:r>
      <w:r>
        <w:rPr>
          <w:rFonts w:hint="eastAsia" w:ascii="宋体" w:hAnsi="宋体" w:cs="宋体"/>
          <w:color w:val="000000"/>
          <w:sz w:val="24"/>
          <w:szCs w:val="24"/>
          <w:highlight w:val="none"/>
        </w:rPr>
        <w:t xml:space="preserve">等核心功能。</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中标人须建立完善的保密管理制度，制度内容至少包含：①明确重点要害岗位的保密职责；②制定涉密工作岗位的具体保密要求。中标人须根据采购人要求与涉密工作岗位的服务人员签订保密协议，且保密协议须向采购人报备。</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中标人须做好校园重大活动后勤保障工作，具体要求：①制定标准化保障流程：全面详细了解活动任务要求，配合采购人制定重大活动后勤保障工作流程，并根据工作安排制定详细的后勤保障实施计划；②规范实施保障：按照保障计划在活动关键区域和重点部位进行人员、物资部署，确保活动顺利开展；对活动区域开展全面安全检查，及时发现并排除安全隐患；以礼貌、专业的服务态度对待活动来宾，展现校园良好形象；③做好收尾工作：活动结束后对现场进行全面检查，及时完成场地清理、物资归位等工作。</w:t>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15.中标人须按照采购人要求，做好校内大型活动、临时活动、办公室调整等工作所需的桌椅、帐篷、音响设备等物品的搬运、场所布置/装饰及其他相关辅助工作。</w:t>
      </w:r>
      <w:r>
        <w:rPr>
          <w:highlight w:val="none"/>
        </w:rPr>
      </w:r>
      <w:r/>
    </w:p>
    <w:p>
      <w:pPr>
        <w:pStyle w:val="958"/>
        <w:ind w:firstLine="562"/>
        <w:jc w:val="left"/>
        <w:spacing w:line="315" w:lineRule="exact"/>
        <w:rPr>
          <w:rFonts w:ascii="宋体" w:hAnsi="宋体" w:cs="宋体"/>
          <w:b/>
          <w:color w:val="000000"/>
          <w:sz w:val="28"/>
          <w:highlight w:val="none"/>
        </w:rPr>
      </w:pPr>
      <w:r>
        <w:rPr>
          <w:rFonts w:hint="eastAsia" w:ascii="宋体" w:hAnsi="宋体" w:cs="宋体"/>
          <w:b/>
          <w:color w:val="000000"/>
          <w:sz w:val="28"/>
          <w:highlight w:val="none"/>
        </w:rPr>
        <w:t xml:space="preserve">三、付款方式</w:t>
      </w:r>
      <w:r>
        <w:rPr>
          <w:highlight w:val="none"/>
        </w:rPr>
      </w:r>
      <w:r/>
    </w:p>
    <w:p>
      <w:pPr>
        <w:pStyle w:val="958"/>
        <w:ind w:firstLine="480"/>
        <w:jc w:val="left"/>
        <w:spacing w:line="440" w:lineRule="exact"/>
        <w:rPr>
          <w:bCs/>
          <w:color w:val="000000"/>
          <w:sz w:val="24"/>
          <w:szCs w:val="24"/>
          <w:highlight w:val="none"/>
        </w:rPr>
      </w:pPr>
      <w:r>
        <w:rPr>
          <w:rFonts w:ascii="宋体" w:hAnsi="宋体" w:cs="宋体"/>
          <w:bCs/>
          <w:color w:val="000000"/>
          <w:sz w:val="24"/>
          <w:szCs w:val="24"/>
          <w:highlight w:val="none"/>
        </w:rPr>
        <w:t xml:space="preserve">委托物业服务费用的支付</w:t>
      </w:r>
      <w:r>
        <w:rPr>
          <w:highlight w:val="none"/>
        </w:rPr>
      </w:r>
      <w:r/>
    </w:p>
    <w:p>
      <w:pPr>
        <w:pStyle w:val="958"/>
        <w:ind w:firstLine="480"/>
        <w:jc w:val="left"/>
        <w:spacing w:line="440" w:lineRule="exact"/>
        <w:rPr>
          <w:bCs/>
          <w:i/>
          <w:color w:val="000000"/>
          <w:sz w:val="24"/>
          <w:szCs w:val="24"/>
          <w:highlight w:val="none"/>
          <w:u w:val="single"/>
        </w:rPr>
      </w:pPr>
      <w:r>
        <w:rPr>
          <w:rFonts w:ascii="宋体" w:hAnsi="宋体" w:cs="宋体"/>
          <w:bCs/>
          <w:i/>
          <w:color w:val="000000"/>
          <w:sz w:val="24"/>
          <w:szCs w:val="24"/>
          <w:highlight w:val="none"/>
          <w:u w:val="single"/>
        </w:rPr>
        <w:t xml:space="preserve">1.中标价款为包干总价，包含但不限于人员费用（工资、福利待遇、业务培训费、员工服装费、社会保险费、加班费等）、服务所用设备工具购置费用、服务所用材料消耗费用、管理费用、利润、税金等项目运营所需的全部费用。采购人在中标价款之外，不再向中标人支付任何其他费用。</w:t>
      </w:r>
      <w:r>
        <w:rPr>
          <w:highlight w:val="none"/>
        </w:rPr>
      </w:r>
      <w:r/>
    </w:p>
    <w:p>
      <w:pPr>
        <w:pStyle w:val="958"/>
        <w:ind w:firstLine="480"/>
        <w:jc w:val="left"/>
        <w:spacing w:line="440" w:lineRule="exact"/>
        <w:rPr>
          <w:rFonts w:ascii="宋体" w:hAnsi="宋体" w:cs="宋体"/>
          <w:bCs/>
          <w:i/>
          <w:color w:val="000000"/>
          <w:sz w:val="24"/>
          <w:szCs w:val="24"/>
          <w:highlight w:val="none"/>
          <w:u w:val="single"/>
        </w:rPr>
      </w:pPr>
      <w:r>
        <w:rPr>
          <w:highlight w:val="none"/>
        </w:rPr>
      </w:r>
      <w:bookmarkStart w:id="196" w:name="OLE_LINK2"/>
      <w:r>
        <w:rPr>
          <w:highlight w:val="none"/>
        </w:rPr>
      </w:r>
      <w:bookmarkStart w:id="197" w:name="OLE_LINK3"/>
      <w:r>
        <w:rPr>
          <w:rFonts w:ascii="宋体" w:hAnsi="宋体" w:cs="宋体"/>
          <w:bCs/>
          <w:i/>
          <w:color w:val="000000"/>
          <w:sz w:val="24"/>
          <w:szCs w:val="24"/>
          <w:highlight w:val="none"/>
          <w:u w:val="single"/>
        </w:rPr>
        <w:t xml:space="preserve">2.投标人在投标报价时，须充分考虑所有可能影响报价的价格因素；投标成交后，项目总价（含小型维修耗材预算金额）实行包定，超出部分由中标人承担，三年服务期内不予调整。即便遇国家出台政策提高最低工资标准和最低社会保险缴纳基数，物业服务费仍不予调整。</w:t>
      </w:r>
      <w:bookmarkEnd w:id="196"/>
      <w:r>
        <w:rPr>
          <w:highlight w:val="none"/>
        </w:rPr>
      </w:r>
      <w:bookmarkEnd w:id="197"/>
      <w:r>
        <w:rPr>
          <w:highlight w:val="none"/>
        </w:rPr>
      </w:r>
      <w:r/>
    </w:p>
    <w:p>
      <w:pPr>
        <w:pStyle w:val="958"/>
        <w:ind w:firstLine="480"/>
        <w:jc w:val="left"/>
        <w:spacing w:line="440" w:lineRule="exact"/>
        <w:rPr>
          <w:rFonts w:ascii="宋体" w:hAnsi="宋体" w:cs="宋体"/>
          <w:bCs/>
          <w:color w:val="000000"/>
          <w:sz w:val="24"/>
          <w:szCs w:val="24"/>
          <w:highlight w:val="none"/>
        </w:rPr>
      </w:pPr>
      <w:r>
        <w:rPr>
          <w:rFonts w:ascii="宋体" w:hAnsi="宋体" w:cs="宋体"/>
          <w:bCs/>
          <w:color w:val="000000"/>
          <w:sz w:val="24"/>
          <w:szCs w:val="24"/>
          <w:highlight w:val="none"/>
        </w:rPr>
        <w:t xml:space="preserve">3.价款支付方式：采购人根据物业服务季度考核结果分期支付委托物业服务费用，每3个月支付一次；中标人须按采购人要求开具合法有效的物业服务增值税发票，具体结算时间由双方在合同中另行约定。</w:t>
      </w:r>
      <w:r>
        <w:rPr>
          <w:highlight w:val="none"/>
        </w:rPr>
      </w:r>
      <w:r/>
    </w:p>
    <w:p>
      <w:pPr>
        <w:pStyle w:val="958"/>
        <w:ind w:firstLine="480"/>
        <w:jc w:val="left"/>
        <w:spacing w:line="440" w:lineRule="exact"/>
        <w:rPr>
          <w:bCs/>
          <w:color w:val="000000"/>
          <w:sz w:val="24"/>
          <w:szCs w:val="24"/>
          <w:highlight w:val="none"/>
        </w:rPr>
      </w:pPr>
      <w:r>
        <w:rPr>
          <w:rFonts w:ascii="宋体" w:hAnsi="宋体" w:cs="宋体"/>
          <w:bCs/>
          <w:color w:val="000000"/>
          <w:sz w:val="24"/>
          <w:szCs w:val="24"/>
          <w:highlight w:val="none"/>
        </w:rPr>
        <w:t xml:space="preserve">4.合同履行情况考核及支付标准：物业服务考核每3个月开展一次，考核得分在85分及以上的，采购人按合同约定足额支付当期合同款；考核得分在85分以下的，每低1分扣除当期合同款的1％。全年共计支付四次。考核得分低于75分（不含75分）的，采购人责令中标人限期整改；中标人连续2次或累计3次考核得分低于75分（不含75分）的，采购人有权单方终止合同。</w:t>
      </w:r>
      <w:r>
        <w:rPr>
          <w:highlight w:val="none"/>
        </w:rPr>
      </w:r>
      <w:r/>
    </w:p>
    <w:p>
      <w:pPr>
        <w:pStyle w:val="958"/>
        <w:ind w:firstLine="480"/>
        <w:jc w:val="left"/>
        <w:spacing w:line="440" w:lineRule="exact"/>
        <w:rPr>
          <w:bCs/>
          <w:color w:val="000000"/>
          <w:sz w:val="24"/>
          <w:szCs w:val="24"/>
          <w:highlight w:val="none"/>
        </w:rPr>
      </w:pPr>
      <w:r>
        <w:rPr>
          <w:rFonts w:ascii="宋体" w:hAnsi="宋体" w:cs="宋体"/>
          <w:bCs/>
          <w:color w:val="000000"/>
          <w:sz w:val="24"/>
          <w:szCs w:val="24"/>
          <w:highlight w:val="none"/>
        </w:rPr>
        <w:t xml:space="preserve">5.中标人须在签订物业服务合同后5个工作日内，向采购人指定账户缴纳履约保证金人民币壹拾伍万元整（¥150000.00）。受托管理期满且中标人无任何违约情形的，采购人在期满后无息退还该保证金；若合同在期满前非因中标人违约原因而终止的，中标人有权要求采购人在合同终止手续办理完成后15个工作日内无息退还该保证金；若因中标人违约导致合同终止的，该保证金将根据合同约定不予退还，或用于抵扣相应违约金。</w:t>
      </w:r>
      <w:r>
        <w:rPr>
          <w:highlight w:val="none"/>
        </w:rPr>
      </w:r>
      <w:r/>
    </w:p>
    <w:p>
      <w:pPr>
        <w:pStyle w:val="958"/>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95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spacing w:line="120" w:lineRule="exact"/>
        <w:rPr>
          <w:color w:val="000000"/>
          <w:highlight w:val="none"/>
        </w:rPr>
      </w:pPr>
      <w:r>
        <w:rPr>
          <w:color w:val="000000"/>
          <w:highlight w:val="none"/>
        </w:rPr>
      </w:r>
      <w:r>
        <w:rPr>
          <w:highlight w:val="none"/>
        </w:rPr>
      </w:r>
      <w:r/>
    </w:p>
    <w:p>
      <w:pPr>
        <w:pStyle w:val="958"/>
        <w:jc w:val="left"/>
        <w:spacing w:line="315" w:lineRule="exact"/>
        <w:rPr>
          <w:rFonts w:hint="eastAsia" w:ascii="黑体" w:hAnsi="黑体" w:eastAsia="黑体" w:cs="黑体"/>
          <w:color w:val="000000"/>
          <w:sz w:val="28"/>
          <w:szCs w:val="28"/>
          <w:highlight w:val="none"/>
        </w:rPr>
      </w:pPr>
      <w:r>
        <w:rPr>
          <w:rFonts w:hint="eastAsia" w:ascii="宋体" w:hAnsi="宋体" w:cs="宋体"/>
          <w:color w:val="000000"/>
          <w:highlight w:val="none"/>
        </w:rPr>
        <w:br w:type="page" w:clear="all"/>
      </w:r>
      <w:r>
        <w:rPr>
          <w:rFonts w:hint="eastAsia" w:ascii="黑体" w:hAnsi="黑体" w:eastAsia="黑体" w:cs="黑体"/>
          <w:color w:val="000000"/>
          <w:sz w:val="28"/>
          <w:szCs w:val="28"/>
          <w:highlight w:val="none"/>
        </w:rPr>
        <w:t xml:space="preserve">附件：</w:t>
      </w:r>
      <w:r>
        <w:rPr>
          <w:highlight w:val="none"/>
        </w:rPr>
      </w:r>
      <w:r/>
    </w:p>
    <w:p>
      <w:pPr>
        <w:pStyle w:val="958"/>
        <w:jc w:val="center"/>
        <w:spacing w:line="435" w:lineRule="exact"/>
        <w:rPr>
          <w:b/>
          <w:bCs/>
          <w:color w:val="000000"/>
          <w:sz w:val="24"/>
          <w:szCs w:val="24"/>
          <w:highlight w:val="none"/>
        </w:rPr>
      </w:pPr>
      <w:r>
        <w:rPr>
          <w:rFonts w:ascii="宋体" w:hAnsi="宋体" w:cs="宋体"/>
          <w:b/>
          <w:bCs/>
          <w:color w:val="000000"/>
          <w:sz w:val="24"/>
          <w:szCs w:val="24"/>
          <w:highlight w:val="none"/>
        </w:rPr>
        <w:t xml:space="preserve">江苏农林职业技术学院茅山校区物业服务委托管理考核办法</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一、目的和适用范围</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（一）目的</w:t>
      </w:r>
      <w:r>
        <w:rPr>
          <w:highlight w:val="none"/>
        </w:rPr>
      </w:r>
      <w:r/>
    </w:p>
    <w:p>
      <w:pPr>
        <w:pStyle w:val="958"/>
        <w:ind w:firstLine="600"/>
        <w:jc w:val="left"/>
        <w:spacing w:line="435" w:lineRule="exact"/>
        <w:rPr>
          <w:color w:val="000000"/>
          <w:sz w:val="24"/>
          <w:szCs w:val="24"/>
          <w:highlight w:val="none"/>
        </w:rPr>
      </w:pPr>
      <w:r>
        <w:rPr>
          <w:rFonts w:ascii="宋体" w:hAnsi="宋体" w:cs="宋体"/>
          <w:color w:val="000000"/>
          <w:sz w:val="24"/>
          <w:szCs w:val="24"/>
          <w:highlight w:val="none"/>
        </w:rPr>
        <w:t xml:space="preserve">通过对受托物业公司的物业服务工作开展常态化检查、规范化考核，对合同履行过程实施有效管控，明确合同双方的服务要求与责任义务，维护学校和广大师生的合法权益。</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（二）范围</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本办法适用于江苏农林职业技术学院茅山校区对受托开展物业管理服务的物业公司的各项工作检查与服务考核。</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二、考核方与被考核方</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（一）考核方</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江苏农林职业技术学院茅山校区</w:t>
      </w:r>
      <w:r>
        <w:rPr>
          <w:highlight w:val="none"/>
        </w:rPr>
      </w:r>
      <w:r/>
    </w:p>
    <w:p>
      <w:pPr>
        <w:pStyle w:val="958"/>
        <w:jc w:val="left"/>
        <w:spacing w:line="435" w:lineRule="exact"/>
        <w:rPr>
          <w:color w:val="000000"/>
          <w:sz w:val="24"/>
          <w:szCs w:val="24"/>
          <w:highlight w:val="none"/>
        </w:rPr>
      </w:pPr>
      <w:r>
        <w:rPr>
          <w:rFonts w:ascii="宋体" w:hAnsi="宋体" w:cs="宋体"/>
          <w:color w:val="000000"/>
          <w:sz w:val="24"/>
          <w:szCs w:val="24"/>
          <w:highlight w:val="none"/>
        </w:rPr>
        <w:t xml:space="preserve">（二）被考核方</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承接江苏农林职业技术学院茅山校区物业管理服务项目的中标物业公司</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三、工作程序</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1.江苏农林职业技术学院茅山校区安排专人对受托物业公司所属管理范围的日常物业服务工作完成情况开展常态化检查，做好检查记录。</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2.每个付款周期前，考核方组织相关部门对物业公司当期的物业管理服务工作开展综合考评，形成考核意见。</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四、考核方式</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由江苏农林职业技术学院茅山校区牵头组织，联合校区学工、教务、安保等相关部门，每3个月开展一次物业服务综合考核，考核采取现场检查、台账核查、师生满意度调查等相结合的方式进行。</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五、考核结果运用</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物业服务考核得分在85分及以上的，采购人按物业服务合同约定足额支付当期合同款；考核得分在85分以下的，每低1分扣除当期合同款的1％。考核得分低于75分（不含75分）的，采购人责令中标人限期整改；中标人连续2次或累计3次考核得分低于75分（不含75分）的，采购人有权单方终止物业服务合同。</w:t>
      </w:r>
      <w:r>
        <w:rPr>
          <w:highlight w:val="none"/>
        </w:rPr>
      </w:r>
      <w:r/>
    </w:p>
    <w:p>
      <w:pPr>
        <w:pStyle w:val="958"/>
        <w:jc w:val="left"/>
        <w:spacing w:line="435" w:lineRule="exact"/>
        <w:rPr>
          <w:b/>
          <w:color w:val="000000"/>
          <w:sz w:val="24"/>
          <w:szCs w:val="24"/>
          <w:highlight w:val="none"/>
        </w:rPr>
      </w:pPr>
      <w:r>
        <w:rPr>
          <w:rFonts w:ascii="宋体" w:hAnsi="宋体" w:cs="宋体"/>
          <w:b/>
          <w:color w:val="000000"/>
          <w:sz w:val="24"/>
          <w:szCs w:val="24"/>
          <w:highlight w:val="none"/>
        </w:rPr>
        <w:t xml:space="preserve">江苏农林职业技术学院茅山校区物业管理量化考核表</w:t>
      </w:r>
      <w:r>
        <w:rPr>
          <w:highlight w:val="none"/>
        </w:rPr>
      </w:r>
      <w:r/>
    </w:p>
    <w:p>
      <w:pPr>
        <w:pStyle w:val="958"/>
        <w:ind w:firstLine="480"/>
        <w:jc w:val="left"/>
        <w:spacing w:line="435" w:lineRule="exact"/>
        <w:rPr>
          <w:color w:val="000000"/>
          <w:sz w:val="24"/>
          <w:szCs w:val="24"/>
          <w:highlight w:val="none"/>
        </w:rPr>
      </w:pPr>
      <w:r>
        <w:rPr>
          <w:rFonts w:ascii="宋体" w:hAnsi="宋体" w:cs="宋体"/>
          <w:color w:val="000000"/>
          <w:sz w:val="24"/>
          <w:szCs w:val="24"/>
          <w:highlight w:val="none"/>
        </w:rPr>
        <w:t xml:space="preserve">为推进物业服务委托管理工作的规范化与制度化，加强对物业公司的监督，增加工作的透明度，特制定本考核实施细则。若发现本考核实施细则中未涉及到的违规行为，根据合同及其附件参照细则中相关条款处理，因中标单位违规所引发的其它问题由学校另行处理，责任重大的将依法处理。</w:t>
      </w:r>
      <w:r>
        <w:rPr>
          <w:highlight w:val="none"/>
        </w:rPr>
      </w:r>
      <w:r/>
    </w:p>
    <w:p>
      <w:pPr>
        <w:pStyle w:val="958"/>
        <w:jc w:val="center"/>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江苏农林职业技术学院茅山校区物业管理量化考核表（总分100分）</w:t>
      </w:r>
      <w:r>
        <w:rPr>
          <w:highlight w:val="none"/>
        </w:rPr>
      </w:r>
      <w:r/>
    </w:p>
    <w:tbl>
      <w:tblPr>
        <w:tblW w:w="8284"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4508"/>
        <w:gridCol w:w="2897"/>
      </w:tblGrid>
      <w:tr>
        <w:trPr/>
        <w:tc>
          <w:tcPr>
            <w:tcW w:w="879" w:type="dxa"/>
            <w:vAlign w:val="center"/>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w:t>
            </w:r>
            <w:r>
              <w:rPr>
                <w:highlight w:val="none"/>
              </w:rPr>
            </w:r>
            <w:r/>
          </w:p>
        </w:tc>
        <w:tc>
          <w:tcPr>
            <w:tcW w:w="4508" w:type="dxa"/>
            <w:vAlign w:val="center"/>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评分要点</w:t>
            </w:r>
            <w:r>
              <w:rPr>
                <w:highlight w:val="none"/>
              </w:rPr>
            </w:r>
            <w:r/>
          </w:p>
        </w:tc>
        <w:tc>
          <w:tcPr>
            <w:tcW w:w="2897" w:type="dxa"/>
            <w:vAlign w:val="center"/>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扣分规则</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人员管理</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按照招标文件要求配备物业服务工作人员，人员资质、数量符合约定。</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人员配备不符合要求，一人次扣2分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物业服务人员服务热情周到，文明用语，不得与师生发生任何形式的冲突。</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发生与师生冲突事件，一次扣2分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物业服务人员统一着工作服、佩戴工号牌上岗，仪容仪表整洁、形象得体。</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未着工作服、未带工号牌、奇装异服，有一例扣1分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物业服务人员遵纪守法，恪守职业道德，不发生任何违法乱纪现象。</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发生违法乱纪行为，有一例扣2分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学生公寓管理</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严格执行学校学生宿舍管理相关规定，实行24小时门卫值班制度；积极协助校区相关部门开展公寓区学生教育管理工作。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未按要求开展相关工作，一次扣2分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及时、规范办理学生住宿、调宿、退宿手续，确保学生住宿档案完整、信息准确无误。</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未按要求办理相关手续，一次扣1分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严格管控学生公寓人员进出，严禁闲杂人员进入，公寓区内无兜售物品、商业宣传等现象。</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存在闲杂人员进入、兜售物品等情况，一次扣2分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楼宇管理</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按照学校规定时间开关楼宇门窗，做好教室开放使用管理工作，保障教学活动正常开展。</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未按规定执行开关门制度，一次扣1分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定期对楼宇设施开展检查与维修，及时处置设施故障，保证教学、生活等秩序正常运转。</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因设施故障处理不及时影响正常教学秩序，一次扣2分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楼宇公共区域整洁、无异味、无杂物，门窗、墙面、玻璃等部位整洁、无积灰、无蜘蛛网。</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发现1个不合格项扣1分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环境卫生</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清洁抹布、扫把、拖把等保洁工具定点规范存放，摆放整齐。</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未按规定存放保洁工具，一次扣1分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会议室、楼道、走廊、卫生间、楼宇周边等卫生包干区整洁、无异味、无杂物，水面无白色垃圾，门窗、墙面、玻璃等整洁、无积灰、无蜘蛛网。</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每日及时清理垃圾箱垃圾，做好垃圾箱日常保洁、垃圾外运工作，做到日产日清。</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按照校方要求做好大型活动临时性保洁工作，保障活动现场环境整洁。</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及时清理未经学校同意的乱张贴广告、商业宣传单等，保持校园环境整洁。</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发现乱张贴未及时清理，一次扣1分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绿化服务</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校园绿化植物养护到位，无大面积枯萎、黄叶、缺株、缺水等养护不当现象。</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校园绿化植物修剪整形规范、除草及时，绿植无疯长现象，绿化景观效果良好。</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绿化植物病虫害防治及时、措施有效，无病虫害成灾情况；绿化作业时做好安全防护措施。</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发现1个不合格项扣2分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规范填写绿化服务工作记录，记录内容完整、填写规范。</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维护与维修</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每日对校园设施开展巡查，发现问题及时维修，保持水电24小时正常供应；建立严格的维修管理制度，配备专业维修人员并持证上岗。</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维修服务及时到位，小修当日完成，大修二日内完成；影响正常教学的报修必须立即赶到现场进行抢修。</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未按时完成维修，一次扣1分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对教室、宿舍、会议室等重点区域设施重点维护，保障楼内教学、科研工作正常运行；遇大型活动、考试等，提前做好设施维修检查，确保水电到位、设备设施完好。</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因设施维护不到位影响使用，一次扣2分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对楼内设备、设施定期开展维护、保养，更换维修材料确保质量合格、型号统一，并建立完善的维修档案。</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做好管理区域内学校固定资产的管理、维护工作，保障各项资产完好、安全和正常运转，不得私自动用学校任何物品。</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会议及活动保障</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会议及活动场地公共设施、电器设备、灯光系统等设施完好，运行正常。</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因设施问题影响使用，一次扣2分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按要求提供会务茶水服务，及时完成会场中间保洁、会议中途桌椅的调整等工作。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会务服务人员服务态度良好、服务工作规范。</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服务态度差或服务不规范，一次扣1分</w:t>
            </w:r>
            <w:r>
              <w:rPr>
                <w:highlight w:val="none"/>
              </w:rPr>
            </w:r>
            <w:r/>
          </w:p>
        </w:tc>
      </w:tr>
      <w:tr>
        <w:trPr/>
        <w:tc>
          <w:tcPr>
            <w:tcW w:w="879" w:type="dxa"/>
            <w:vAlign w:val="center"/>
            <w:vMerge w:val="restart"/>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安全管理</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按照规定及时开、关闭照明灯，杜绝常流水现象，做好校园节水节电工作。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每周至少开展1次安全检查并做好完整的安全检查记录；负责水电及公用设备的日常巡查，发现安全隐患及时上报并处置。</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严格按照规定负责楼宇大门的开启和关闭，做好学生公寓物品及外来人员进出管理等安全工作。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未按规定执行，一次扣1分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严禁校园内私拉乱接电线，禁止电瓶车进楼停放或充电，卫生间、通道口等区域禁止堆放闲杂物品；根据各类突发事件做好应急管理工作。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未按规定执行，一次扣2分</w:t>
            </w:r>
            <w:r>
              <w:rPr>
                <w:highlight w:val="none"/>
              </w:rPr>
            </w:r>
            <w:r/>
          </w:p>
        </w:tc>
      </w:tr>
      <w:tr>
        <w:trPr/>
        <w:tc>
          <w:tcPr>
            <w:tcW w:w="879" w:type="dxa"/>
            <w:vAlign w:val="center"/>
            <w:vMerge w:val="continue"/>
            <w:textDirection w:val="lrTb"/>
            <w:noWrap w:val="false"/>
          </w:tcPr>
          <w:p>
            <w:pPr>
              <w:pStyle w:val="958"/>
              <w:jc w:val="center"/>
              <w:spacing w:line="36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保障校园排水管道、化粪池、检查井等通畅、无污物、无溢漏，地下室无积水。</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未按规定执行，一次扣2分</w:t>
            </w:r>
            <w:r>
              <w:rPr>
                <w:highlight w:val="none"/>
              </w:rPr>
            </w:r>
            <w:r/>
          </w:p>
        </w:tc>
      </w:tr>
      <w:tr>
        <w:trPr/>
        <w:tc>
          <w:tcPr>
            <w:tcW w:w="879" w:type="dxa"/>
            <w:vAlign w:val="center"/>
            <w:textDirection w:val="lrTb"/>
            <w:noWrap w:val="false"/>
          </w:tcPr>
          <w:p>
            <w:pPr>
              <w:pStyle w:val="958"/>
              <w:jc w:val="center"/>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其他</w:t>
            </w:r>
            <w:r>
              <w:rPr>
                <w:highlight w:val="none"/>
              </w:rPr>
            </w:r>
            <w:r/>
          </w:p>
        </w:tc>
        <w:tc>
          <w:tcPr>
            <w:tcW w:w="4508"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按照招标文件及物业服务合同约定的其他要求开展工作。</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未按规定执行，视严重情况酌情扣分</w:t>
            </w:r>
            <w:r>
              <w:rPr>
                <w:highlight w:val="none"/>
              </w:rPr>
            </w:r>
            <w:r/>
          </w:p>
        </w:tc>
      </w:tr>
      <w:tr>
        <w:trPr/>
        <w:tc>
          <w:tcPr>
            <w:tcW w:w="879" w:type="dxa"/>
            <w:vAlign w:val="center"/>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c>
          <w:tcPr>
            <w:tcW w:w="4508" w:type="dxa"/>
            <w:vAlign w:val="center"/>
            <w:textDirection w:val="lrTb"/>
            <w:noWrap w:val="false"/>
          </w:tcPr>
          <w:p>
            <w:pPr>
              <w:pStyle w:val="958"/>
              <w:ind w:firstLine="140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highlight w:val="none"/>
              </w:rPr>
            </w:r>
            <w:r/>
          </w:p>
        </w:tc>
        <w:tc>
          <w:tcPr>
            <w:tcW w:w="2897" w:type="dxa"/>
            <w:vAlign w:val="center"/>
            <w:textDirection w:val="lrTb"/>
            <w:noWrap w:val="false"/>
          </w:tcPr>
          <w:p>
            <w:pPr>
              <w:pStyle w:val="958"/>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100</w:t>
            </w:r>
            <w:r>
              <w:rPr>
                <w:highlight w:val="none"/>
              </w:rPr>
            </w:r>
            <w:r/>
          </w:p>
        </w:tc>
      </w:tr>
    </w:tbl>
    <w:p>
      <w:pPr>
        <w:pStyle w:val="958"/>
        <w:jc w:val="center"/>
        <w:spacing w:line="315" w:lineRule="exact"/>
        <w:rPr>
          <w:b/>
          <w:color w:val="000000"/>
          <w:highlight w:val="none"/>
        </w:rPr>
      </w:pPr>
      <w:r>
        <w:rPr>
          <w:b/>
          <w:color w:val="000000"/>
          <w:highlight w:val="none"/>
        </w:rPr>
      </w:r>
      <w:r>
        <w:rPr>
          <w:highlight w:val="none"/>
        </w:rPr>
      </w:r>
      <w:r/>
    </w:p>
    <w:p>
      <w:pPr>
        <w:pStyle w:val="958"/>
        <w:spacing w:line="120" w:lineRule="exact"/>
        <w:rPr>
          <w:color w:val="000000"/>
          <w:highlight w:val="none"/>
        </w:rPr>
      </w:pPr>
      <w:r>
        <w:rPr>
          <w:color w:val="000000"/>
          <w:highlight w:val="none"/>
        </w:rPr>
      </w:r>
      <w:r>
        <w:rPr>
          <w:highlight w:val="none"/>
        </w:rPr>
      </w:r>
      <w:r/>
    </w:p>
    <w:p>
      <w:pPr>
        <w:pStyle w:val="958"/>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58"/>
        <w:ind w:firstLine="602"/>
        <w:rPr>
          <w:rFonts w:hint="eastAsia"/>
          <w:b/>
          <w:i/>
          <w:color w:val="000000"/>
          <w:sz w:val="30"/>
          <w:szCs w:val="32"/>
          <w:highlight w:val="none"/>
          <w:u w:val="single"/>
        </w:rPr>
      </w:pPr>
      <w:r>
        <w:rPr>
          <w:rFonts w:hint="eastAsia"/>
          <w:b/>
          <w:i/>
          <w:color w:val="000000"/>
          <w:sz w:val="30"/>
          <w:szCs w:val="32"/>
          <w:highlight w:val="none"/>
          <w:u w:val="single"/>
        </w:rPr>
      </w:r>
      <w:r>
        <w:rPr>
          <w:highlight w:val="none"/>
        </w:rPr>
      </w:r>
      <w:r/>
    </w:p>
    <w:p>
      <w:pPr>
        <w:pStyle w:val="958"/>
        <w:rPr>
          <w:rFonts w:hint="eastAsia" w:ascii="宋体" w:hAnsi="宋体"/>
          <w:b/>
          <w:color w:val="000000"/>
          <w:sz w:val="28"/>
          <w:szCs w:val="28"/>
          <w:highlight w:val="none"/>
        </w:rPr>
      </w:pPr>
      <w:r>
        <w:rPr>
          <w:rFonts w:hint="eastAsia" w:ascii="宋体" w:hAnsi="宋体"/>
          <w:b/>
          <w:color w:val="000000"/>
          <w:sz w:val="28"/>
          <w:szCs w:val="28"/>
          <w:highlight w:val="none"/>
        </w:rPr>
      </w:r>
      <w:r>
        <w:rPr>
          <w:highlight w:val="none"/>
        </w:rPr>
      </w:r>
      <w:r/>
    </w:p>
    <w:p>
      <w:pPr>
        <w:pStyle w:val="958"/>
        <w:tabs>
          <w:tab w:val="left" w:pos="6200" w:leader="none"/>
        </w:tabs>
        <w:rPr>
          <w:rFonts w:ascii="Arial" w:hAnsi="Arial" w:cs="Arial"/>
          <w:b/>
          <w:color w:val="000000"/>
          <w:sz w:val="32"/>
          <w:highlight w:val="none"/>
        </w:rPr>
      </w:pPr>
      <w:r>
        <w:rPr>
          <w:rFonts w:ascii="Arial" w:hAnsi="Arial" w:cs="Arial"/>
          <w:b/>
          <w:color w:val="000000"/>
          <w:sz w:val="32"/>
          <w:highlight w:val="none"/>
        </w:rPr>
      </w:r>
      <w:r>
        <w:rPr>
          <w:highlight w:val="none"/>
        </w:rPr>
      </w:r>
      <w:r/>
    </w:p>
    <w:p>
      <w:pPr>
        <w:pStyle w:val="958"/>
        <w:rPr>
          <w:rFonts w:hint="eastAsia" w:ascii="黑体" w:eastAsia="黑体"/>
          <w:bCs/>
          <w:color w:val="000000"/>
          <w:sz w:val="44"/>
          <w:highlight w:val="none"/>
        </w:rPr>
      </w:pPr>
      <w:r>
        <w:rPr>
          <w:highlight w:val="none"/>
        </w:rPr>
      </w:r>
      <w:bookmarkStart w:id="198" w:name="_Toc120614281"/>
      <w:r>
        <w:rPr>
          <w:highlight w:val="none"/>
        </w:rPr>
      </w:r>
      <w:r/>
    </w:p>
    <w:p>
      <w:pPr>
        <w:pStyle w:val="958"/>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58"/>
        <w:rPr>
          <w:color w:val="000000"/>
          <w:highlight w:val="none"/>
        </w:rPr>
      </w:pPr>
      <w:r>
        <w:rPr>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9"/>
        <w:rPr>
          <w:rFonts w:hint="eastAsia" w:ascii="黑体" w:eastAsia="黑体"/>
          <w:bCs/>
          <w:color w:val="000000"/>
          <w:sz w:val="44"/>
          <w:highlight w:val="none"/>
        </w:rPr>
      </w:pPr>
      <w:r>
        <w:rPr>
          <w:rFonts w:hint="eastAsia" w:ascii="黑体" w:eastAsia="黑体"/>
          <w:bCs/>
          <w:color w:val="000000"/>
          <w:sz w:val="44"/>
          <w:highlight w:val="none"/>
        </w:rPr>
        <w:br w:type="page" w:clear="all"/>
      </w:r>
      <w:r>
        <w:rPr>
          <w:rFonts w:hint="eastAsia" w:ascii="黑体" w:eastAsia="黑体"/>
          <w:bCs/>
          <w:color w:val="000000"/>
          <w:sz w:val="44"/>
          <w:highlight w:val="none"/>
        </w:rPr>
        <w:t xml:space="preserve">第五章  </w:t>
      </w:r>
      <w:r>
        <w:rPr>
          <w:rFonts w:hint="eastAsia" w:ascii="黑体" w:eastAsia="黑体"/>
          <w:b/>
          <w:bCs/>
          <w:color w:val="000000"/>
          <w:sz w:val="44"/>
          <w:highlight w:val="none"/>
        </w:rPr>
        <w:t xml:space="preserve">评标方法与评标标准</w:t>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1065"/>
        <w:ind w:firstLine="439"/>
        <w:rPr>
          <w:rFonts w:cs="Arial"/>
          <w:color w:val="000000"/>
          <w:highlight w:val="none"/>
        </w:rPr>
      </w:pPr>
      <w:r>
        <w:rPr>
          <w:rFonts w:cs="Arial"/>
          <w:color w:val="000000"/>
          <w:highlight w:val="none"/>
        </w:rPr>
        <w:t xml:space="preserve">采用综合评分法的，评标结果按评审后得分由高到低顺序排列。得分相同的，按投标报价由低到高顺序排列。得分且投标报价相同的并列。</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58"/>
              <w:jc w:val="center"/>
              <w:rPr>
                <w:rFonts w:hint="eastAsia" w:ascii="宋体" w:hAnsi="宋体"/>
                <w:color w:val="000000"/>
                <w:highlight w:val="none"/>
              </w:rPr>
            </w:pPr>
            <w:r>
              <w:rPr>
                <w:rFonts w:hint="eastAsia" w:ascii="宋体" w:hAnsi="宋体"/>
                <w:color w:val="000000"/>
                <w:highlight w:val="none"/>
              </w:rPr>
              <w:t xml:space="preserve">采购包号</w:t>
            </w:r>
            <w:r>
              <w:rPr>
                <w:highlight w:val="none"/>
              </w:rPr>
            </w:r>
            <w:r/>
          </w:p>
        </w:tc>
        <w:tc>
          <w:tcPr>
            <w:tcW w:w="1610" w:type="dxa"/>
            <w:vAlign w:val="top"/>
            <w:textDirection w:val="lrTb"/>
            <w:noWrap w:val="false"/>
          </w:tcPr>
          <w:p>
            <w:pPr>
              <w:pStyle w:val="958"/>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中标候选人数量</w:t>
            </w:r>
            <w:r>
              <w:rPr>
                <w:highlight w:val="none"/>
              </w:rPr>
            </w:r>
            <w:r/>
          </w:p>
        </w:tc>
        <w:tc>
          <w:tcPr>
            <w:tcW w:w="4325" w:type="dxa"/>
            <w:vAlign w:val="top"/>
            <w:textDirection w:val="lrTb"/>
            <w:noWrap w:val="false"/>
          </w:tcPr>
          <w:p>
            <w:pPr>
              <w:pStyle w:val="958"/>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中标候选人的原则</w:t>
            </w:r>
            <w:r>
              <w:rPr>
                <w:highlight w:val="none"/>
              </w:rPr>
            </w:r>
            <w:r/>
          </w:p>
        </w:tc>
      </w:tr>
      <w:tr>
        <w:trPr/>
        <w:tc>
          <w:tcPr>
            <w:tcW w:w="1148" w:type="dxa"/>
            <w:vAlign w:val="top"/>
            <w:textDirection w:val="lrTb"/>
            <w:noWrap w:val="false"/>
          </w:tcPr>
          <w:p>
            <w:pPr>
              <w:pStyle w:val="958"/>
              <w:jc w:val="center"/>
              <w:rPr>
                <w:rFonts w:ascii="宋体" w:hAnsi="宋体"/>
                <w:color w:val="000000"/>
                <w:highlight w:val="none"/>
              </w:rPr>
            </w:pPr>
            <w:r>
              <w:rPr>
                <w:rFonts w:hint="eastAsia" w:ascii="宋体" w:hAnsi="宋体"/>
                <w:color w:val="000000"/>
                <w:highlight w:val="none"/>
              </w:rPr>
              <w:t xml:space="preserve">1</w:t>
            </w:r>
            <w:r>
              <w:rPr>
                <w:highlight w:val="none"/>
              </w:rPr>
            </w:r>
            <w:r/>
          </w:p>
        </w:tc>
        <w:tc>
          <w:tcPr>
            <w:tcW w:w="1610" w:type="dxa"/>
            <w:vAlign w:val="top"/>
            <w:textDirection w:val="lrTb"/>
            <w:noWrap w:val="false"/>
          </w:tcPr>
          <w:p>
            <w:pPr>
              <w:pStyle w:val="958"/>
              <w:jc w:val="center"/>
              <w:rPr>
                <w:rFonts w:ascii="宋体" w:hAnsi="宋体"/>
                <w:color w:val="000000"/>
                <w:highlight w:val="none"/>
              </w:rPr>
            </w:pPr>
            <w:r>
              <w:rPr>
                <w:rFonts w:hint="eastAsia" w:ascii="宋体" w:hAnsi="宋体"/>
                <w:color w:val="000000"/>
                <w:highlight w:val="none"/>
              </w:rPr>
              <w:t xml:space="preserve">1</w:t>
            </w:r>
            <w:r>
              <w:rPr>
                <w:highlight w:val="none"/>
              </w:rPr>
            </w:r>
            <w:r/>
          </w:p>
        </w:tc>
        <w:tc>
          <w:tcPr>
            <w:tcW w:w="4325" w:type="dxa"/>
            <w:vAlign w:val="top"/>
            <w:textDirection w:val="lrTb"/>
            <w:noWrap w:val="false"/>
          </w:tcPr>
          <w:p>
            <w:pPr>
              <w:pStyle w:val="958"/>
              <w:jc w:val="left"/>
              <w:rPr>
                <w:rFonts w:hint="eastAsia" w:ascii="宋体" w:hAnsi="宋体"/>
                <w:color w:val="000000"/>
                <w:highlight w:val="none"/>
              </w:rPr>
            </w:pPr>
            <w:r>
              <w:rPr>
                <w:rFonts w:hint="eastAsia" w:ascii="宋体" w:hAnsi="宋体"/>
                <w:color w:val="000000"/>
                <w:highlight w:val="none"/>
              </w:rPr>
              <w:t xml:space="preserve">满足招标文件全部实质性要求，且按照评审因素的量化指标评审得分最高的投标人为中标候选人。</w:t>
            </w:r>
            <w:r>
              <w:rPr>
                <w:highlight w:val="none"/>
              </w:rPr>
            </w:r>
            <w:r/>
          </w:p>
        </w:tc>
      </w:tr>
    </w:tbl>
    <w:p>
      <w:pPr>
        <w:pStyle w:val="1065"/>
        <w:ind w:firstLine="441"/>
        <w:spacing w:line="0" w:lineRule="atLeast"/>
        <w:rPr>
          <w:rFonts w:hint="eastAsia" w:ascii="宋体" w:hAnsi="宋体"/>
          <w:b/>
          <w:color w:val="000000"/>
          <w:highlight w:val="none"/>
        </w:rPr>
      </w:pPr>
      <w:r>
        <w:rPr>
          <w:rFonts w:hint="eastAsia" w:ascii="宋体" w:hAnsi="宋体"/>
          <w:b/>
          <w:color w:val="000000"/>
          <w:highlight w:val="none"/>
        </w:rPr>
        <w:t xml:space="preserve">政府采购政策功能落实</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1、小微型企业价格扣除</w:t>
      </w:r>
      <w:r>
        <w:rPr>
          <w:highlight w:val="none"/>
        </w:rPr>
      </w:r>
      <w:r/>
    </w:p>
    <w:p>
      <w:pPr>
        <w:pStyle w:val="1065"/>
        <w:ind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（1）本项目对小型和微型企业提供的服务给予</w:t>
      </w:r>
      <w:r>
        <w:rPr>
          <w:rFonts w:hint="eastAsia" w:ascii="宋体" w:hAnsi="宋体"/>
          <w:color w:val="000000"/>
          <w:highlight w:val="none"/>
          <w:u w:val="single"/>
        </w:rPr>
        <w:t xml:space="preserve">10%</w:t>
      </w:r>
      <w:r>
        <w:rPr>
          <w:rFonts w:hint="eastAsia" w:ascii="宋体" w:hAnsi="宋体"/>
          <w:color w:val="000000"/>
          <w:highlight w:val="none"/>
        </w:rPr>
        <w:t xml:space="preserve">的扣除价格，用扣除后的价格参与评审。</w:t>
      </w:r>
      <w:r>
        <w:rPr>
          <w:highlight w:val="none"/>
        </w:rPr>
      </w:r>
      <w:r/>
    </w:p>
    <w:p>
      <w:pPr>
        <w:pStyle w:val="1065"/>
        <w:ind w:firstLine="360"/>
        <w:spacing w:line="0" w:lineRule="atLeast"/>
        <w:rPr>
          <w:rFonts w:hint="eastAsia" w:ascii="宋体" w:hAnsi="宋体"/>
          <w:color w:val="000000"/>
          <w:highlight w:val="none"/>
        </w:rPr>
      </w:pPr>
      <w:r>
        <w:rPr>
          <w:rFonts w:hint="eastAsia" w:ascii="宋体" w:hAnsi="宋体"/>
          <w:color w:val="000000"/>
          <w:highlight w:val="none"/>
        </w:rPr>
        <w:t xml:space="preserve">（2）供应商需按照采购文件的要求提供相应的《中小微企业声明函》。</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2、残疾人福利单位价格扣除</w:t>
      </w:r>
      <w:r>
        <w:rPr>
          <w:highlight w:val="none"/>
        </w:rPr>
      </w:r>
      <w:r/>
    </w:p>
    <w:p>
      <w:pPr>
        <w:pStyle w:val="1065"/>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（1）本项目对残疾人福利性单位视同小型、微型企业，给予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highlight w:val="none"/>
        </w:rPr>
      </w:r>
      <w:r/>
    </w:p>
    <w:p>
      <w:pPr>
        <w:pStyle w:val="1065"/>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（2）残疾人福利单位需按照采购文件的要求提供《残疾人福利性单位声明函》。</w:t>
      </w:r>
      <w:r>
        <w:rPr>
          <w:highlight w:val="none"/>
        </w:rPr>
      </w:r>
      <w:r/>
    </w:p>
    <w:p>
      <w:pPr>
        <w:pStyle w:val="1065"/>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（3）残疾人福利单位标准请参照《关于促进残疾人就业政府采购政策的通知》（财库〔2017〕141号）。</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3、监狱和戒毒企业价格扣除</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（1）本项目对监狱和戒毒企业（简称监狱企业）视同小型、微型企业，给予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highlight w:val="none"/>
        </w:rPr>
        <w:t xml:space="preserve">供应商如不提供上述证明文件，价格将不做相应扣除</w:t>
      </w:r>
      <w:r>
        <w:rPr>
          <w:rFonts w:hint="eastAsia" w:ascii="宋体" w:hAnsi="宋体"/>
          <w:color w:val="000000"/>
          <w:highlight w:val="none"/>
        </w:rPr>
        <w:t xml:space="preserve">。</w:t>
      </w:r>
      <w:r>
        <w:rPr>
          <w:highlight w:val="none"/>
        </w:rPr>
      </w:r>
      <w:r/>
    </w:p>
    <w:p>
      <w:pPr>
        <w:pStyle w:val="1065"/>
        <w:spacing w:line="0" w:lineRule="atLeast"/>
        <w:rPr>
          <w:rFonts w:hint="eastAsia" w:ascii="宋体" w:hAnsi="宋体"/>
          <w:color w:val="000000"/>
          <w:highlight w:val="none"/>
        </w:rPr>
      </w:pPr>
      <w:r>
        <w:rPr>
          <w:rFonts w:hint="eastAsia" w:ascii="宋体" w:hAnsi="宋体"/>
          <w:color w:val="000000"/>
          <w:highlight w:val="none"/>
        </w:rPr>
        <w:t xml:space="preserve">（3）监狱企业标准请参照《关于政府采购支持监狱企业发展有关问题的通知》（</w:t>
      </w:r>
      <w:r>
        <w:rPr>
          <w:rFonts w:ascii="宋体" w:hAnsi="宋体"/>
          <w:color w:val="000000"/>
          <w:highlight w:val="none"/>
        </w:rPr>
        <w:t xml:space="preserve">财库〔2014〕68号</w:t>
      </w:r>
      <w:r>
        <w:rPr>
          <w:rFonts w:hint="eastAsia" w:ascii="宋体" w:hAnsi="宋体"/>
          <w:color w:val="000000"/>
          <w:highlight w:val="none"/>
        </w:rPr>
        <w:t xml:space="preserve">）。</w:t>
      </w:r>
      <w:r>
        <w:rPr>
          <w:highlight w:val="none"/>
        </w:rPr>
      </w:r>
      <w:r/>
    </w:p>
    <w:p>
      <w:pPr>
        <w:pStyle w:val="1065"/>
        <w:spacing w:line="400" w:lineRule="exact"/>
        <w:rPr>
          <w:rFonts w:hint="eastAsia" w:ascii="宋体" w:hAnsi="宋体"/>
          <w:color w:val="000000"/>
          <w:highlight w:val="none"/>
        </w:rPr>
      </w:pPr>
      <w:r>
        <w:rPr>
          <w:rFonts w:hint="eastAsia" w:ascii="宋体" w:hAnsi="宋体"/>
          <w:color w:val="000000"/>
          <w:highlight w:val="none"/>
        </w:rPr>
        <w:t xml:space="preserve">4、残疾人福利单位、监狱企业属于小型、微型企业的，不重复享受政策。</w:t>
      </w:r>
      <w:r>
        <w:rPr>
          <w:highlight w:val="none"/>
        </w:rPr>
      </w:r>
      <w:r/>
    </w:p>
    <w:p>
      <w:pPr>
        <w:pStyle w:val="1065"/>
        <w:spacing w:line="400" w:lineRule="exact"/>
        <w:rPr>
          <w:rFonts w:hint="eastAsia" w:ascii="宋体" w:hAnsi="宋体"/>
          <w:color w:val="000000"/>
          <w:highlight w:val="none"/>
        </w:rPr>
      </w:pPr>
      <w:r>
        <w:rPr>
          <w:rFonts w:hint="eastAsia" w:ascii="宋体" w:hAnsi="宋体"/>
          <w:color w:val="000000"/>
          <w:highlight w:val="none"/>
        </w:rPr>
        <w:t xml:space="preserve">5、如果本项目同意联合体投标或同意</w:t>
      </w:r>
      <w:r>
        <w:rPr>
          <w:rFonts w:hint="eastAsia" w:ascii="宋体" w:hAnsi="宋体"/>
          <w:color w:val="000000"/>
          <w:highlight w:val="none"/>
        </w:rPr>
        <w:t xml:space="preserve">分包</w:t>
      </w:r>
      <w:r>
        <w:rPr>
          <w:rFonts w:hint="eastAsia" w:ascii="宋体" w:hAnsi="宋体"/>
          <w:color w:val="000000"/>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highlight w:val="none"/>
        </w:rPr>
        <w:t xml:space="preserve">分包</w:t>
      </w:r>
      <w:r>
        <w:rPr>
          <w:rFonts w:hint="eastAsia" w:ascii="宋体" w:hAnsi="宋体"/>
          <w:color w:val="000000"/>
          <w:highlight w:val="none"/>
        </w:rPr>
        <w:t xml:space="preserve">意向协议中约定小微型企业（残疾人福利单位、监狱企业）的合同份额占到合同总金额30%以上的，给予联合体或者大中型企业</w:t>
      </w:r>
      <w:r>
        <w:rPr>
          <w:rFonts w:ascii="宋体" w:hAnsi="宋体"/>
          <w:color w:val="000000"/>
          <w:highlight w:val="none"/>
          <w:u w:val="single"/>
        </w:rPr>
        <w:t xml:space="preserve">4</w:t>
      </w:r>
      <w:r>
        <w:rPr>
          <w:rFonts w:hint="eastAsia" w:ascii="宋体" w:hAnsi="宋体"/>
          <w:color w:val="000000"/>
          <w:highlight w:val="none"/>
          <w:u w:val="single"/>
        </w:rPr>
        <w:t xml:space="preserve">%</w:t>
      </w:r>
      <w:r>
        <w:rPr>
          <w:rFonts w:hint="eastAsia" w:ascii="宋体" w:hAnsi="宋体"/>
          <w:color w:val="000000"/>
          <w:highlight w:val="none"/>
        </w:rPr>
        <w:t xml:space="preserve">的价格扣除，用扣除后的价格参与评审。</w:t>
      </w:r>
      <w:r>
        <w:rPr>
          <w:highlight w:val="none"/>
        </w:rPr>
      </w:r>
      <w:r/>
    </w:p>
    <w:p>
      <w:pPr>
        <w:pStyle w:val="1065"/>
        <w:spacing w:line="400" w:lineRule="exact"/>
        <w:rPr>
          <w:rFonts w:hint="eastAsia" w:ascii="宋体" w:hAnsi="宋体"/>
          <w:color w:val="000000"/>
          <w:highlight w:val="none"/>
        </w:rPr>
      </w:pPr>
      <w:r>
        <w:rPr>
          <w:rFonts w:hint="eastAsia" w:ascii="宋体" w:hAnsi="宋体"/>
          <w:color w:val="000000"/>
          <w:highlight w:val="none"/>
        </w:rPr>
        <w:t xml:space="preserve">6、联合体各方均为小型、微型企业（残疾人福利单位、监狱企业）的，联合体享受</w:t>
      </w:r>
      <w:r>
        <w:rPr>
          <w:rFonts w:hint="eastAsia" w:ascii="宋体" w:hAnsi="宋体"/>
          <w:color w:val="000000"/>
          <w:highlight w:val="none"/>
          <w:u w:val="single"/>
        </w:rPr>
        <w:t xml:space="preserve">10%</w:t>
      </w:r>
      <w:r>
        <w:rPr>
          <w:rFonts w:hint="eastAsia" w:ascii="宋体" w:hAnsi="宋体"/>
          <w:color w:val="000000"/>
          <w:highlight w:val="none"/>
        </w:rPr>
        <w:t xml:space="preserve">价格扣除，用扣除后的价格参与评审。</w:t>
      </w:r>
      <w:r>
        <w:rPr>
          <w:highlight w:val="none"/>
        </w:rPr>
      </w:r>
      <w:r/>
    </w:p>
    <w:p>
      <w:pPr>
        <w:pStyle w:val="1065"/>
        <w:ind w:firstLine="482"/>
        <w:spacing w:line="400" w:lineRule="exact"/>
        <w:rPr>
          <w:rFonts w:ascii="宋体" w:hAnsi="宋体"/>
          <w:b/>
          <w:bCs/>
          <w:color w:val="000000"/>
          <w:highlight w:val="none"/>
        </w:rPr>
      </w:pPr>
      <w:r>
        <w:rPr>
          <w:rFonts w:hint="eastAsia" w:ascii="宋体" w:hAnsi="宋体"/>
          <w:b/>
          <w:bCs/>
          <w:color w:val="000000"/>
          <w:highlight w:val="none"/>
        </w:rPr>
        <w:t xml:space="preserve">评分办法和评分标准</w:t>
      </w:r>
      <w:r>
        <w:rPr>
          <w:highlight w:val="none"/>
        </w:rPr>
      </w:r>
      <w:r/>
    </w:p>
    <w:tbl>
      <w:tblPr>
        <w:tblW w:w="8992"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642"/>
        <w:gridCol w:w="1117"/>
        <w:gridCol w:w="642"/>
        <w:gridCol w:w="6591"/>
      </w:tblGrid>
      <w:tr>
        <w:trPr>
          <w:trHeight w:val="60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textDirection w:val="lrTb"/>
            <w:noWrap w:val="false"/>
          </w:tcPr>
          <w:p>
            <w:pPr>
              <w:pStyle w:val="958"/>
              <w:jc w:val="center"/>
              <w:spacing w:line="360" w:lineRule="exact"/>
              <w:rPr>
                <w:color w:val="000000"/>
                <w:sz w:val="24"/>
                <w:szCs w:val="24"/>
                <w:highlight w:val="none"/>
              </w:rPr>
            </w:pPr>
            <w:r>
              <w:rPr>
                <w:rFonts w:ascii="宋体" w:hAnsi="宋体" w:cs="宋体"/>
                <w:b/>
                <w:color w:val="000000"/>
                <w:sz w:val="24"/>
                <w:szCs w:val="24"/>
                <w:highlight w:val="none"/>
              </w:rPr>
              <w:t xml:space="preserve">评分因素</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color w:val="000000"/>
                <w:sz w:val="24"/>
                <w:szCs w:val="24"/>
                <w:highlight w:val="none"/>
              </w:rPr>
            </w:pPr>
            <w:r>
              <w:rPr>
                <w:rFonts w:ascii="宋体" w:hAnsi="宋体" w:cs="宋体"/>
                <w:b/>
                <w:color w:val="000000"/>
                <w:sz w:val="24"/>
                <w:szCs w:val="24"/>
                <w:highlight w:val="none"/>
              </w:rPr>
              <w:t xml:space="preserve">分值</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center"/>
            <w:textDirection w:val="lrTb"/>
            <w:noWrap w:val="false"/>
          </w:tcPr>
          <w:p>
            <w:pPr>
              <w:pStyle w:val="958"/>
              <w:jc w:val="center"/>
              <w:spacing w:line="360" w:lineRule="exact"/>
              <w:rPr>
                <w:color w:val="000000"/>
                <w:sz w:val="24"/>
                <w:szCs w:val="24"/>
                <w:highlight w:val="none"/>
              </w:rPr>
            </w:pPr>
            <w:r>
              <w:rPr>
                <w:rFonts w:ascii="宋体" w:hAnsi="宋体" w:cs="宋体"/>
                <w:b/>
                <w:color w:val="000000"/>
                <w:sz w:val="24"/>
                <w:szCs w:val="24"/>
                <w:highlight w:val="none"/>
              </w:rPr>
              <w:t xml:space="preserve">评分标准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投标报价</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24</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ind w:firstLine="480"/>
              <w:jc w:val="left"/>
              <w:spacing w:line="360" w:lineRule="exact"/>
              <w:rPr>
                <w:color w:val="000000"/>
                <w:sz w:val="24"/>
                <w:szCs w:val="24"/>
                <w:highlight w:val="none"/>
              </w:rPr>
            </w:pPr>
            <w:r>
              <w:rPr>
                <w:rFonts w:hint="eastAsia" w:ascii="宋体" w:hAnsi="宋体" w:cs="宋体"/>
                <w:color w:val="000000"/>
                <w:sz w:val="24"/>
                <w:szCs w:val="24"/>
                <w:highlight w:val="none"/>
              </w:rPr>
              <w:t xml:space="preserve">价格分采用低价优先法计算，即满足招标文件要求且最后报价最低的投标报价为评标基准价，其价格分为满分24分，其它投标人的价格分统一按照下列公式计算：投标报价得分=（评标基准价/投标报价）×24分。分值保留小数点后2位。</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restart"/>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restart"/>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服务方案</w:t>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restart"/>
            <w:textDirection w:val="lrTb"/>
            <w:noWrap w:val="false"/>
          </w:tcPr>
          <w:p>
            <w:pPr>
              <w:pStyle w:val="958"/>
              <w:jc w:val="center"/>
              <w:spacing w:line="360" w:lineRule="exact"/>
              <w:rPr>
                <w:rFonts w:eastAsia="宋体"/>
                <w:color w:val="000000"/>
                <w:sz w:val="24"/>
                <w:szCs w:val="24"/>
                <w:highlight w:val="none"/>
              </w:rPr>
            </w:pPr>
            <w:r>
              <w:rPr>
                <w:rFonts w:hint="eastAsia" w:ascii="宋体" w:hAnsi="宋体" w:cs="宋体"/>
                <w:color w:val="000000"/>
                <w:sz w:val="24"/>
                <w:szCs w:val="24"/>
                <w:highlight w:val="none"/>
                <w:lang w:val="en-US" w:eastAsia="zh-CN"/>
              </w:rPr>
              <w:t xml:space="preserve">50</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highlight w:val="none"/>
              </w:rPr>
            </w:r>
            <w:bookmarkStart w:id="199" w:name="OLE_LINK6"/>
            <w:r>
              <w:rPr>
                <w:rFonts w:hint="eastAsia" w:ascii="宋体" w:hAnsi="宋体" w:cs="宋体"/>
                <w:b/>
                <w:bCs/>
                <w:color w:val="000000"/>
                <w:sz w:val="24"/>
                <w:szCs w:val="24"/>
                <w:highlight w:val="none"/>
              </w:rPr>
              <w:t xml:space="preserve">2.1</w:t>
            </w:r>
            <w:r>
              <w:rPr>
                <w:rFonts w:ascii="宋体" w:hAnsi="宋体" w:cs="宋体"/>
                <w:b/>
                <w:bCs/>
                <w:color w:val="000000"/>
                <w:sz w:val="24"/>
                <w:szCs w:val="24"/>
                <w:highlight w:val="none"/>
              </w:rPr>
              <w:t xml:space="preserve">项目认知及重难点分析</w:t>
            </w:r>
            <w:r>
              <w:rPr>
                <w:rFonts w:hint="eastAsia" w:ascii="宋体" w:hAnsi="宋体" w:cs="宋体"/>
                <w:b/>
                <w:bCs/>
                <w:color w:val="000000"/>
                <w:sz w:val="24"/>
                <w:szCs w:val="24"/>
                <w:highlight w:val="none"/>
              </w:rPr>
              <w:t xml:space="preserve">（3分）。</w:t>
            </w:r>
            <w:bookmarkStart w:id="200" w:name="OLE_LINK10"/>
            <w:r>
              <w:rPr>
                <w:highlight w:val="none"/>
              </w:rPr>
            </w:r>
            <w:bookmarkStart w:id="201" w:name="OLE_LINK9"/>
            <w:r>
              <w:rPr>
                <w:rFonts w:ascii="宋体" w:hAnsi="宋体" w:cs="宋体"/>
                <w:color w:val="000000"/>
                <w:sz w:val="24"/>
                <w:szCs w:val="24"/>
                <w:highlight w:val="none"/>
              </w:rPr>
              <w:t xml:space="preserve">投标人对本项目的项目背景、服务需求、工作范围进行全面认知分析，明确服务目标，并提供详细的项目服务重难点分析和针对性应对方案。</w:t>
            </w:r>
            <w:bookmarkEnd w:id="200"/>
            <w:r>
              <w:rPr>
                <w:highlight w:val="none"/>
              </w:rPr>
            </w:r>
            <w:bookmarkEnd w:id="201"/>
            <w:r>
              <w:rPr>
                <w:rFonts w:ascii="宋体" w:hAnsi="宋体" w:cs="宋体"/>
                <w:color w:val="000000"/>
                <w:sz w:val="24"/>
                <w:szCs w:val="24"/>
                <w:highlight w:val="none"/>
              </w:rPr>
              <w:t xml:space="preserve">上述内容须逐条叙述，方案要求全面合理、可行性强、操作性强、贴合项目实际。评委根据方案质量客观评定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得0分，未提供者不得分。</w:t>
            </w:r>
            <w:bookmarkEnd w:id="199"/>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rFonts w:hint="eastAsia" w:ascii="宋体" w:hAnsi="宋体" w:cs="宋体"/>
                <w:b/>
                <w:bCs/>
                <w:color w:val="000000"/>
                <w:sz w:val="24"/>
                <w:szCs w:val="24"/>
                <w:highlight w:val="none"/>
              </w:rPr>
              <w:t xml:space="preserve">2.2</w:t>
            </w:r>
            <w:r>
              <w:rPr>
                <w:rFonts w:ascii="宋体" w:hAnsi="宋体" w:cs="宋体"/>
                <w:b/>
                <w:bCs/>
                <w:color w:val="000000"/>
                <w:sz w:val="24"/>
                <w:szCs w:val="24"/>
                <w:highlight w:val="none"/>
              </w:rPr>
              <w:t xml:space="preserve">安全文明管理制度</w:t>
            </w:r>
            <w:r>
              <w:rPr>
                <w:rFonts w:hint="eastAsia" w:ascii="宋体" w:hAnsi="宋体" w:cs="宋体"/>
                <w:b/>
                <w:bCs/>
                <w:color w:val="000000"/>
                <w:sz w:val="24"/>
                <w:szCs w:val="24"/>
                <w:highlight w:val="none"/>
              </w:rPr>
              <w:t xml:space="preserve">（2分）。</w:t>
            </w:r>
            <w:r>
              <w:rPr>
                <w:rFonts w:ascii="宋体" w:hAnsi="宋体" w:cs="宋体"/>
                <w:color w:val="000000"/>
                <w:sz w:val="24"/>
                <w:szCs w:val="24"/>
                <w:highlight w:val="none"/>
              </w:rPr>
              <w:t xml:space="preserve">投标人根据本项目特点，制定安全文明管理制度。制度要求全面合理、可行性强、操作性强、贴合项目实际。评委根据制度质量客观评定</w:t>
            </w:r>
            <w:r>
              <w:rPr>
                <w:rFonts w:hint="eastAsia" w:ascii="宋体" w:hAnsi="宋体" w:cs="宋体"/>
                <w:color w:val="000000"/>
                <w:sz w:val="24"/>
                <w:szCs w:val="24"/>
                <w:highlight w:val="none"/>
              </w:rPr>
              <w:t xml:space="preserve">优于招标</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t xml:space="preserve">得2分，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2.3</w:t>
            </w:r>
            <w:r>
              <w:rPr>
                <w:rFonts w:ascii="宋体" w:hAnsi="宋体" w:cs="宋体"/>
                <w:b/>
                <w:bCs/>
                <w:color w:val="000000"/>
                <w:sz w:val="24"/>
                <w:szCs w:val="24"/>
                <w:highlight w:val="none"/>
              </w:rPr>
              <w:t xml:space="preserve">人员考核管理制度（</w:t>
            </w:r>
            <w:r>
              <w:rPr>
                <w:rFonts w:hint="eastAsia" w:ascii="宋体" w:hAnsi="宋体" w:cs="宋体"/>
                <w:b/>
                <w:bCs/>
                <w:color w:val="000000"/>
                <w:sz w:val="24"/>
                <w:szCs w:val="24"/>
                <w:highlight w:val="none"/>
                <w:lang w:val="en-US" w:eastAsia="zh-CN"/>
              </w:rPr>
              <w:t xml:space="preserve">3</w:t>
            </w:r>
            <w:r>
              <w:rPr>
                <w:rFonts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t xml:space="preserve">。</w:t>
            </w:r>
            <w:r>
              <w:rPr>
                <w:rFonts w:ascii="宋体" w:hAnsi="宋体" w:cs="宋体"/>
                <w:color w:val="000000"/>
                <w:sz w:val="24"/>
                <w:szCs w:val="24"/>
                <w:highlight w:val="none"/>
              </w:rPr>
              <w:t xml:space="preserve">投标人根据本项目特点，制定人员考核管理制度制度要求全面合理、可行性强、操作性强、贴合项目实际。评委根据制度质量客观评定</w:t>
            </w:r>
            <w:r>
              <w:rPr>
                <w:rFonts w:hint="eastAsia" w:ascii="宋体" w:hAnsi="宋体" w:cs="宋体"/>
                <w:color w:val="000000"/>
                <w:sz w:val="24"/>
                <w:szCs w:val="24"/>
                <w:highlight w:val="none"/>
              </w:rPr>
              <w:t xml:space="preserve">优于招标</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2.4物业档案及台账管理制度（</w:t>
            </w:r>
            <w:r>
              <w:rPr>
                <w:rFonts w:ascii="宋体" w:hAnsi="宋体" w:cs="宋体"/>
                <w:b/>
                <w:bCs/>
                <w:color w:val="000000"/>
                <w:sz w:val="24"/>
                <w:szCs w:val="24"/>
                <w:highlight w:val="none"/>
              </w:rPr>
              <w:t xml:space="preserve">2</w:t>
            </w:r>
            <w:r>
              <w:rPr>
                <w:rFonts w:hint="eastAsia" w:ascii="宋体" w:hAnsi="宋体" w:cs="宋体"/>
                <w:b/>
                <w:bCs/>
                <w:color w:val="000000"/>
                <w:sz w:val="24"/>
                <w:szCs w:val="24"/>
                <w:highlight w:val="none"/>
              </w:rPr>
              <w:t xml:space="preserve">分）。</w:t>
            </w:r>
            <w:r>
              <w:rPr>
                <w:rFonts w:ascii="宋体" w:hAnsi="宋体" w:cs="宋体"/>
                <w:color w:val="000000"/>
                <w:sz w:val="24"/>
                <w:szCs w:val="24"/>
                <w:highlight w:val="none"/>
              </w:rPr>
              <w:t xml:space="preserve">投标人根据本项目特点，制定物业档案及台账管理制度</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制度要求全面合理、可行性强、操作性强、贴合项目实际。评委根据制度质量客观评定</w:t>
            </w:r>
            <w:r>
              <w:rPr>
                <w:rFonts w:hint="eastAsia" w:ascii="宋体" w:hAnsi="宋体" w:cs="宋体"/>
                <w:color w:val="000000"/>
                <w:sz w:val="24"/>
                <w:szCs w:val="24"/>
                <w:highlight w:val="none"/>
              </w:rPr>
              <w:t xml:space="preserve">优于招标</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t xml:space="preserve">得2分，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2.5公共设施管理服务方案（</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分）。</w:t>
            </w:r>
            <w:r>
              <w:rPr>
                <w:rFonts w:ascii="宋体" w:hAnsi="宋体" w:cs="宋体"/>
                <w:color w:val="000000"/>
                <w:sz w:val="24"/>
                <w:szCs w:val="24"/>
                <w:highlight w:val="none"/>
              </w:rPr>
              <w:t xml:space="preserve">投标人根据本项目特点，制定</w:t>
            </w:r>
            <w:r>
              <w:rPr>
                <w:bCs/>
                <w:color w:val="000000"/>
                <w:sz w:val="24"/>
                <w:szCs w:val="24"/>
                <w:highlight w:val="none"/>
              </w:rPr>
              <w:t xml:space="preserve">公共设施管理服务</w:t>
            </w:r>
            <w:r>
              <w:rPr>
                <w:rFonts w:hint="eastAsia"/>
                <w:bCs/>
                <w:color w:val="000000"/>
                <w:sz w:val="24"/>
                <w:szCs w:val="24"/>
                <w:highlight w:val="none"/>
              </w:rPr>
              <w:t xml:space="preserve">方案</w:t>
            </w:r>
            <w:r>
              <w:rPr>
                <w:rFonts w:hint="eastAsia"/>
                <w:bCs/>
                <w:color w:val="000000"/>
                <w:sz w:val="24"/>
                <w:szCs w:val="24"/>
                <w:highlight w:val="none"/>
                <w:lang w:eastAsia="zh-CN"/>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392"/>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2.6学生公寓管理服务方案（3分）。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投标人根据本项目特点，制定学生公寓管理服务方案</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2.7环境卫生管理服务方案（3分）</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投标人根据本项目特点，制定环境卫生管理服务方案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2.8楼宇管理服务方案（3分）。</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投标人根据本项目特点，制定楼宇管理服务方案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2.9绿化养护服务方案（3分）。</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投标人根据本项目特点，制定绿化养护服务方案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2.10小型维修服务方案（3分）。</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投标人根据本项目特点，制定小型维修服务方案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1184"/>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2.11水电系统维护方案（3分）。</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投标人根据本项目特点，制定水电系统维护方案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1184"/>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w:t>
            </w:r>
            <w:r>
              <w:rPr>
                <w:rFonts w:ascii="宋体" w:hAnsi="宋体" w:cs="宋体"/>
                <w:b/>
                <w:bCs/>
                <w:color w:val="000000"/>
                <w:sz w:val="24"/>
                <w:szCs w:val="24"/>
                <w:highlight w:val="none"/>
              </w:rPr>
              <w:t xml:space="preserve">12</w:t>
            </w:r>
            <w:r>
              <w:rPr>
                <w:rFonts w:hint="eastAsia" w:ascii="宋体" w:hAnsi="宋体" w:cs="宋体"/>
                <w:b/>
                <w:bCs/>
                <w:color w:val="000000"/>
                <w:sz w:val="24"/>
                <w:szCs w:val="24"/>
                <w:highlight w:val="none"/>
              </w:rPr>
              <w:t xml:space="preserve">配电房/开闭所专项运行维护方案（3分）</w:t>
            </w:r>
            <w:r>
              <w:rPr>
                <w:highlight w:val="none"/>
              </w:rPr>
            </w:r>
            <w:r/>
          </w:p>
          <w:p>
            <w:pPr>
              <w:pStyle w:val="958"/>
              <w:jc w:val="left"/>
              <w:spacing w:line="3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投标人根据本项目特点，制定</w:t>
            </w:r>
            <w:r>
              <w:rPr>
                <w:rFonts w:hint="eastAsia" w:ascii="宋体" w:hAnsi="宋体" w:cs="宋体"/>
                <w:color w:val="000000"/>
                <w:sz w:val="24"/>
                <w:szCs w:val="24"/>
                <w:highlight w:val="none"/>
              </w:rPr>
              <w:t xml:space="preserve">配电房/开闭所专项运行维护方案。</w:t>
            </w:r>
            <w:r>
              <w:rPr>
                <w:rFonts w:ascii="宋体" w:hAnsi="宋体" w:cs="宋体"/>
                <w:color w:val="000000"/>
                <w:sz w:val="24"/>
                <w:szCs w:val="24"/>
                <w:highlight w:val="none"/>
              </w:rPr>
              <w:t xml:space="preserve">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w:t>
            </w:r>
            <w:r>
              <w:rPr>
                <w:rFonts w:ascii="宋体" w:hAnsi="宋体" w:cs="宋体"/>
                <w:b/>
                <w:bCs/>
                <w:color w:val="000000"/>
                <w:sz w:val="24"/>
                <w:szCs w:val="24"/>
                <w:highlight w:val="none"/>
              </w:rPr>
              <w:t xml:space="preserve">3</w:t>
            </w:r>
            <w:r>
              <w:rPr>
                <w:rFonts w:hint="eastAsia" w:ascii="宋体" w:hAnsi="宋体" w:cs="宋体"/>
                <w:b/>
                <w:bCs/>
                <w:color w:val="000000"/>
                <w:sz w:val="24"/>
                <w:szCs w:val="24"/>
                <w:highlight w:val="none"/>
              </w:rPr>
              <w:t xml:space="preserve">应急处理预案（3分）。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投标人根据本项目特点，制定应急处理预案。上述</w:t>
            </w:r>
            <w:r>
              <w:rPr>
                <w:rFonts w:hint="eastAsia" w:ascii="宋体" w:hAnsi="宋体" w:cs="宋体"/>
                <w:color w:val="000000"/>
                <w:sz w:val="24"/>
                <w:szCs w:val="24"/>
                <w:highlight w:val="none"/>
              </w:rPr>
              <w:t xml:space="preserve">预案</w:t>
            </w:r>
            <w:r>
              <w:rPr>
                <w:rFonts w:ascii="宋体" w:hAnsi="宋体" w:cs="宋体"/>
                <w:color w:val="000000"/>
                <w:sz w:val="24"/>
                <w:szCs w:val="24"/>
                <w:highlight w:val="none"/>
              </w:rPr>
              <w:t xml:space="preserve">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378"/>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rFonts w:hint="eastAsia" w:ascii="宋体" w:hAnsi="宋体" w:cs="宋体"/>
                <w:b/>
                <w:bCs/>
                <w:color w:val="000000"/>
                <w:sz w:val="24"/>
                <w:szCs w:val="24"/>
                <w:highlight w:val="none"/>
              </w:rPr>
              <w:t xml:space="preserve">2.1</w:t>
            </w:r>
            <w:r>
              <w:rPr>
                <w:rFonts w:ascii="宋体" w:hAnsi="宋体" w:cs="宋体"/>
                <w:b/>
                <w:bCs/>
                <w:color w:val="000000"/>
                <w:sz w:val="24"/>
                <w:szCs w:val="24"/>
                <w:highlight w:val="none"/>
              </w:rPr>
              <w:t xml:space="preserve">4</w:t>
            </w:r>
            <w:r>
              <w:rPr>
                <w:rFonts w:hint="eastAsia" w:ascii="宋体" w:hAnsi="宋体" w:cs="宋体"/>
                <w:b/>
                <w:bCs/>
                <w:color w:val="000000"/>
                <w:sz w:val="24"/>
                <w:szCs w:val="24"/>
                <w:highlight w:val="none"/>
              </w:rPr>
              <w:t xml:space="preserve">进退场交接方案（3分）。</w:t>
            </w:r>
            <w:r>
              <w:rPr>
                <w:rFonts w:ascii="宋体" w:hAnsi="宋体" w:cs="宋体"/>
                <w:color w:val="000000"/>
                <w:sz w:val="24"/>
                <w:szCs w:val="24"/>
                <w:highlight w:val="none"/>
              </w:rPr>
              <w:t xml:space="preserve">投标人根据本项目特点，制定进退场交接方案。上述方案要求内容全面合理、可行性强、操作性强、贴合项目实际。评委根据方案质量客观评定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得3分，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不符合招标文件要求</w:t>
            </w:r>
            <w:r>
              <w:rPr>
                <w:rFonts w:ascii="宋体" w:hAnsi="宋体" w:cs="宋体"/>
                <w:color w:val="000000"/>
                <w:sz w:val="24"/>
                <w:szCs w:val="24"/>
                <w:highlight w:val="none"/>
              </w:rPr>
              <w:t xml:space="preserve">或未提供者不得分。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rFonts w:hint="eastAsia" w:ascii="宋体" w:hAnsi="宋体" w:cs="宋体"/>
                <w:b/>
                <w:bCs/>
                <w:color w:val="000000"/>
                <w:sz w:val="24"/>
                <w:szCs w:val="24"/>
                <w:highlight w:val="none"/>
              </w:rPr>
              <w:t xml:space="preserve">2.1</w:t>
            </w:r>
            <w:r>
              <w:rPr>
                <w:rFonts w:ascii="宋体" w:hAnsi="宋体" w:cs="宋体"/>
                <w:b/>
                <w:bCs/>
                <w:color w:val="000000"/>
                <w:sz w:val="24"/>
                <w:szCs w:val="24"/>
                <w:highlight w:val="none"/>
              </w:rPr>
              <w:t xml:space="preserve">5</w:t>
            </w:r>
            <w:r>
              <w:rPr>
                <w:rFonts w:hint="eastAsia" w:ascii="宋体" w:hAnsi="宋体" w:cs="宋体"/>
                <w:b/>
                <w:bCs/>
                <w:color w:val="000000"/>
                <w:sz w:val="24"/>
                <w:szCs w:val="24"/>
                <w:highlight w:val="none"/>
              </w:rPr>
              <w:t xml:space="preserve">接收人员安置及人员稳定性方案（5分）。</w:t>
            </w:r>
            <w:r>
              <w:rPr>
                <w:rFonts w:ascii="宋体" w:hAnsi="宋体" w:cs="宋体"/>
                <w:color w:val="000000"/>
                <w:sz w:val="24"/>
                <w:szCs w:val="24"/>
                <w:highlight w:val="none"/>
              </w:rPr>
              <w:t xml:space="preserve">投标人根据本项目要求和特点，制定完善的接收人员安置及人员稳定性方案。</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方案须逐条叙述，要求内容全面合理、可行性强、操作性强、贴合项目实际。评委根据方案质量客观评定</w:t>
            </w:r>
            <w:r>
              <w:rPr>
                <w:rFonts w:hint="eastAsia" w:ascii="宋体" w:hAnsi="宋体" w:cs="宋体"/>
                <w:color w:val="000000"/>
                <w:sz w:val="24"/>
                <w:szCs w:val="24"/>
                <w:highlight w:val="none"/>
              </w:rPr>
              <w:t xml:space="preserve">优于招标文件要求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符合招标文件要求</w:t>
            </w:r>
            <w:r>
              <w:rPr>
                <w:rFonts w:ascii="宋体" w:hAnsi="宋体" w:cs="宋体"/>
                <w:color w:val="000000"/>
                <w:sz w:val="24"/>
                <w:szCs w:val="24"/>
                <w:highlight w:val="none"/>
              </w:rPr>
              <w:t xml:space="preserve">得</w:t>
            </w: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分，未提供或不</w:t>
            </w:r>
            <w:r>
              <w:rPr>
                <w:rFonts w:hint="eastAsia" w:ascii="宋体" w:hAnsi="宋体" w:cs="宋体"/>
                <w:color w:val="000000"/>
                <w:sz w:val="24"/>
                <w:szCs w:val="24"/>
                <w:highlight w:val="none"/>
              </w:rPr>
              <w:t xml:space="preserve">符合招标文件</w:t>
            </w:r>
            <w:r>
              <w:rPr>
                <w:rFonts w:ascii="宋体" w:hAnsi="宋体" w:cs="宋体"/>
                <w:color w:val="000000"/>
                <w:sz w:val="24"/>
                <w:szCs w:val="24"/>
                <w:highlight w:val="none"/>
              </w:rPr>
              <w:t xml:space="preserve">要求的，本项不得分。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rFonts w:hint="eastAsia" w:ascii="宋体" w:hAnsi="宋体" w:cs="宋体"/>
                <w:b/>
                <w:bCs/>
                <w:color w:val="000000"/>
                <w:sz w:val="24"/>
                <w:szCs w:val="24"/>
                <w:highlight w:val="none"/>
              </w:rPr>
              <w:t xml:space="preserve">2.1</w:t>
            </w:r>
            <w:r>
              <w:rPr>
                <w:rFonts w:ascii="宋体" w:hAnsi="宋体" w:cs="宋体"/>
                <w:b/>
                <w:bCs/>
                <w:color w:val="000000"/>
                <w:sz w:val="24"/>
                <w:szCs w:val="24"/>
                <w:highlight w:val="none"/>
              </w:rPr>
              <w:t xml:space="preserve">6</w:t>
            </w:r>
            <w:r>
              <w:rPr>
                <w:rFonts w:hint="eastAsia" w:ascii="宋体" w:hAnsi="宋体" w:cs="宋体"/>
                <w:b/>
                <w:bCs/>
                <w:color w:val="000000"/>
                <w:sz w:val="24"/>
                <w:szCs w:val="24"/>
                <w:highlight w:val="none"/>
              </w:rPr>
              <w:t xml:space="preserve">特色服务方案（5分）。</w:t>
            </w:r>
            <w:bookmarkStart w:id="202" w:name="OLE_LINK7"/>
            <w:r>
              <w:rPr>
                <w:highlight w:val="none"/>
              </w:rPr>
            </w:r>
            <w:bookmarkStart w:id="203" w:name="OLE_LINK8"/>
            <w:r>
              <w:rPr>
                <w:rFonts w:ascii="宋体" w:hAnsi="宋体" w:cs="宋体"/>
                <w:color w:val="000000"/>
                <w:sz w:val="24"/>
                <w:szCs w:val="24"/>
                <w:highlight w:val="none"/>
              </w:rPr>
              <w:t xml:space="preserve">投标人根据</w:t>
            </w:r>
            <w:r>
              <w:rPr>
                <w:rFonts w:hint="eastAsia" w:ascii="宋体" w:hAnsi="宋体" w:cs="宋体"/>
                <w:color w:val="000000"/>
                <w:sz w:val="24"/>
                <w:szCs w:val="24"/>
                <w:highlight w:val="none"/>
                <w:lang w:val="en-US" w:eastAsia="zh-CN"/>
              </w:rPr>
              <w:t xml:space="preserve">采购需求的要求和</w:t>
            </w:r>
            <w:r>
              <w:rPr>
                <w:rFonts w:ascii="宋体" w:hAnsi="宋体" w:cs="宋体"/>
                <w:color w:val="000000"/>
                <w:sz w:val="24"/>
                <w:szCs w:val="24"/>
                <w:highlight w:val="none"/>
              </w:rPr>
              <w:t xml:space="preserve">本项目特点，为采购人提供特色物业服务</w:t>
            </w:r>
            <w:r>
              <w:rPr>
                <w:rFonts w:hint="eastAsia" w:ascii="宋体" w:hAnsi="宋体" w:cs="宋体"/>
                <w:color w:val="000000"/>
                <w:sz w:val="24"/>
                <w:szCs w:val="24"/>
                <w:highlight w:val="none"/>
                <w:lang w:val="en-US" w:eastAsia="zh-CN"/>
              </w:rPr>
              <w:t xml:space="preserve">方案</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如提供校园后勤服务设施设备、校园增亮改造、校园美化提升、学生就业岗位推荐、校园文化建设支持等。</w:t>
            </w:r>
            <w:bookmarkEnd w:id="202"/>
            <w:r>
              <w:rPr>
                <w:highlight w:val="none"/>
              </w:rPr>
            </w:r>
            <w:bookmarkEnd w:id="203"/>
            <w:r>
              <w:rPr>
                <w:rFonts w:hint="eastAsia" w:ascii="宋体" w:hAnsi="宋体" w:cs="宋体"/>
                <w:color w:val="000000"/>
                <w:sz w:val="24"/>
                <w:szCs w:val="24"/>
                <w:highlight w:val="none"/>
              </w:rPr>
              <w:t xml:space="preserve">优于招标文件要求得5分，符合招标文件要求得3分，未提供或不符合招标文件要求的，本项不得分。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restart"/>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restart"/>
            <w:textDirection w:val="lrTb"/>
            <w:noWrap w:val="false"/>
          </w:tcPr>
          <w:p>
            <w:pPr>
              <w:pStyle w:val="958"/>
              <w:spacing w:line="360" w:lineRule="exact"/>
              <w:rPr>
                <w:color w:val="000000"/>
                <w:sz w:val="24"/>
                <w:szCs w:val="24"/>
                <w:highlight w:val="none"/>
              </w:rPr>
            </w:pPr>
            <w:r>
              <w:rPr>
                <w:rFonts w:hint="eastAsia" w:ascii="宋体" w:hAnsi="宋体" w:cs="宋体"/>
                <w:color w:val="000000"/>
                <w:sz w:val="24"/>
                <w:szCs w:val="24"/>
                <w:highlight w:val="none"/>
              </w:rPr>
              <w:t xml:space="preserve">项目实施团队</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restart"/>
            <w:textDirection w:val="lrTb"/>
            <w:noWrap w:val="false"/>
          </w:tcPr>
          <w:p>
            <w:pPr>
              <w:pStyle w:val="958"/>
              <w:jc w:val="center"/>
              <w:spacing w:line="360" w:lineRule="exact"/>
              <w:rPr>
                <w:rFonts w:eastAsia="宋体"/>
                <w:color w:val="000000"/>
                <w:sz w:val="24"/>
                <w:szCs w:val="24"/>
                <w:highlight w:val="none"/>
              </w:rPr>
            </w:pPr>
            <w:r>
              <w:rPr>
                <w:rFonts w:hint="eastAsia" w:ascii="宋体" w:hAnsi="宋体" w:cs="宋体"/>
                <w:color w:val="000000"/>
                <w:sz w:val="24"/>
                <w:szCs w:val="24"/>
                <w:highlight w:val="none"/>
                <w:lang w:val="en-US" w:eastAsia="zh-CN"/>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3.1项目经理（4分）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投标人拟投入本项目的项目经理具备以下条件的</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1.本科及以上学历</w:t>
            </w:r>
            <w:r>
              <w:rPr>
                <w:rFonts w:hint="eastAsia" w:ascii="宋体" w:hAnsi="宋体" w:cs="宋体"/>
                <w:color w:val="000000"/>
                <w:sz w:val="24"/>
                <w:szCs w:val="24"/>
                <w:highlight w:val="none"/>
              </w:rPr>
              <w:t xml:space="preserve">的，得1分，未提供或未按要求提供的不得分</w:t>
            </w:r>
            <w:r>
              <w:rPr>
                <w:rFonts w:ascii="宋体" w:hAnsi="宋体" w:cs="宋体"/>
                <w:color w:val="000000"/>
                <w:sz w:val="24"/>
                <w:szCs w:val="24"/>
                <w:highlight w:val="none"/>
              </w:rPr>
              <w:t xml:space="preserve">；</w:t>
            </w:r>
            <w:r>
              <w:rPr>
                <w:highlight w:val="none"/>
              </w:rPr>
            </w:r>
            <w:r/>
          </w:p>
          <w:p>
            <w:pPr>
              <w:pStyle w:val="958"/>
              <w:jc w:val="left"/>
              <w:spacing w:line="360" w:lineRule="exact"/>
              <w:rPr>
                <w:color w:val="000000"/>
                <w:highlight w:val="none"/>
              </w:rPr>
            </w:pPr>
            <w:r>
              <w:rPr>
                <w:color w:val="000000"/>
                <w:highlight w:val="none"/>
              </w:rPr>
              <w:t xml:space="preserve">2.</w:t>
            </w:r>
            <w:r>
              <w:rPr>
                <w:rFonts w:hint="eastAsia" w:ascii="宋体" w:hAnsi="宋体" w:cs="宋体"/>
                <w:color w:val="000000"/>
                <w:sz w:val="24"/>
                <w:highlight w:val="none"/>
              </w:rPr>
              <w:t xml:space="preserve">具有</w:t>
            </w:r>
            <w:r>
              <w:rPr>
                <w:rFonts w:hint="eastAsia" w:ascii="宋体" w:hAnsi="宋体" w:cs="宋体"/>
                <w:color w:val="000000"/>
                <w:sz w:val="24"/>
                <w:szCs w:val="24"/>
                <w:highlight w:val="none"/>
              </w:rPr>
              <w:t xml:space="preserve">高级专业</w:t>
            </w:r>
            <w:r>
              <w:rPr>
                <w:rFonts w:ascii="宋体" w:hAnsi="宋体" w:cs="宋体"/>
                <w:color w:val="000000"/>
                <w:sz w:val="24"/>
                <w:szCs w:val="24"/>
                <w:highlight w:val="none"/>
              </w:rPr>
              <w:t xml:space="preserve">技术职称证书</w:t>
            </w:r>
            <w:r>
              <w:rPr>
                <w:rFonts w:hint="eastAsia" w:ascii="宋体" w:hAnsi="宋体" w:cs="宋体"/>
                <w:color w:val="000000"/>
                <w:sz w:val="24"/>
                <w:szCs w:val="24"/>
                <w:highlight w:val="none"/>
              </w:rPr>
              <w:t xml:space="preserve">的（工程</w:t>
            </w:r>
            <w:r>
              <w:rPr>
                <w:rFonts w:ascii="宋体" w:hAnsi="宋体" w:cs="宋体"/>
                <w:color w:val="000000"/>
                <w:sz w:val="24"/>
                <w:szCs w:val="24"/>
                <w:highlight w:val="none"/>
              </w:rPr>
              <w:t xml:space="preserve">系列</w:t>
            </w:r>
            <w:r>
              <w:rPr>
                <w:rFonts w:hint="eastAsia" w:ascii="宋体" w:hAnsi="宋体" w:cs="宋体"/>
                <w:color w:val="000000"/>
                <w:sz w:val="24"/>
                <w:szCs w:val="24"/>
                <w:highlight w:val="none"/>
              </w:rPr>
              <w:t xml:space="preserve">），得2分，未提供或未按要求提供的不得分</w:t>
            </w:r>
            <w:r>
              <w:rPr>
                <w:rFonts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3.具备</w:t>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年及以上</w:t>
            </w:r>
            <w:r>
              <w:rPr>
                <w:rFonts w:hint="eastAsia" w:ascii="宋体" w:hAnsi="宋体" w:cs="宋体"/>
                <w:color w:val="000000"/>
                <w:sz w:val="24"/>
                <w:szCs w:val="24"/>
                <w:highlight w:val="none"/>
              </w:rPr>
              <w:t xml:space="preserve">与本项目</w:t>
            </w:r>
            <w:r>
              <w:rPr>
                <w:rFonts w:ascii="宋体" w:hAnsi="宋体" w:cs="宋体"/>
                <w:color w:val="000000"/>
                <w:sz w:val="24"/>
                <w:szCs w:val="24"/>
                <w:highlight w:val="none"/>
              </w:rPr>
              <w:t xml:space="preserve">类似</w:t>
            </w:r>
            <w:r>
              <w:rPr>
                <w:rFonts w:hint="eastAsia" w:ascii="宋体" w:hAnsi="宋体" w:cs="宋体"/>
                <w:color w:val="000000"/>
                <w:sz w:val="24"/>
                <w:szCs w:val="24"/>
                <w:highlight w:val="none"/>
              </w:rPr>
              <w:t xml:space="preserve">的</w:t>
            </w:r>
            <w:r>
              <w:rPr>
                <w:rFonts w:ascii="宋体" w:hAnsi="宋体" w:cs="宋体"/>
                <w:color w:val="000000"/>
                <w:sz w:val="24"/>
                <w:szCs w:val="24"/>
                <w:highlight w:val="none"/>
              </w:rPr>
              <w:t xml:space="preserve">物业项目经理管理经验</w:t>
            </w:r>
            <w:r>
              <w:rPr>
                <w:rFonts w:hint="eastAsia" w:ascii="宋体" w:hAnsi="宋体" w:cs="宋体"/>
                <w:color w:val="000000"/>
                <w:sz w:val="24"/>
                <w:szCs w:val="24"/>
                <w:highlight w:val="none"/>
              </w:rPr>
              <w:t xml:space="preserve">的，得1分，未提供或未按要求提供的不得分；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注：项目经理若为投标人员工，需提供该人员</w:t>
            </w:r>
            <w:r>
              <w:rPr>
                <w:rFonts w:hint="eastAsia" w:ascii="宋体" w:hAnsi="宋体" w:cs="宋体"/>
                <w:color w:val="000000"/>
                <w:sz w:val="24"/>
                <w:szCs w:val="24"/>
                <w:highlight w:val="none"/>
                <w:lang w:val="en-US" w:eastAsia="zh-CN"/>
              </w:rPr>
              <w:t xml:space="preserve">近</w:t>
            </w:r>
            <w:r>
              <w:rPr>
                <w:rFonts w:ascii="宋体" w:hAnsi="宋体" w:cs="宋体"/>
                <w:color w:val="000000"/>
                <w:sz w:val="24"/>
                <w:szCs w:val="24"/>
                <w:highlight w:val="none"/>
              </w:rPr>
              <w:t xml:space="preserve">3个月</w:t>
            </w:r>
            <w:r>
              <w:rPr>
                <w:rFonts w:hint="eastAsia" w:ascii="宋体" w:hAnsi="宋体" w:cs="宋体"/>
                <w:color w:val="000000"/>
                <w:sz w:val="24"/>
                <w:szCs w:val="24"/>
                <w:highlight w:val="none"/>
                <w:lang w:val="en-US" w:eastAsia="zh-CN"/>
              </w:rPr>
              <w:t xml:space="preserve">内任意一个月</w:t>
            </w:r>
            <w:r>
              <w:rPr>
                <w:rFonts w:ascii="宋体" w:hAnsi="宋体" w:cs="宋体"/>
                <w:color w:val="000000"/>
                <w:sz w:val="24"/>
                <w:szCs w:val="24"/>
                <w:highlight w:val="none"/>
              </w:rPr>
              <w:t xml:space="preserve">的社保证明（不含投标当月）及相应证书扫描</w:t>
            </w:r>
            <w:r>
              <w:rPr>
                <w:rFonts w:hint="eastAsia" w:ascii="宋体" w:hAnsi="宋体" w:cs="宋体"/>
                <w:color w:val="000000"/>
                <w:sz w:val="24"/>
                <w:szCs w:val="24"/>
                <w:highlight w:val="none"/>
                <w:lang w:val="en-US" w:eastAsia="zh-CN"/>
              </w:rPr>
              <w:t xml:space="preserve">件</w:t>
            </w:r>
            <w:r>
              <w:rPr>
                <w:rFonts w:ascii="宋体" w:hAnsi="宋体" w:cs="宋体"/>
                <w:color w:val="000000"/>
                <w:sz w:val="24"/>
                <w:szCs w:val="24"/>
                <w:highlight w:val="none"/>
              </w:rPr>
              <w:t xml:space="preserve">；未按要求提供证明材料的，对应条件不得分。提供被服务单位管理部门盖章的担任项目经理的工作证明。</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3.2经理助理（3分）</w:t>
            </w:r>
            <w:r>
              <w:rPr>
                <w:highlight w:val="none"/>
              </w:rPr>
            </w:r>
            <w:r/>
          </w:p>
          <w:p>
            <w:pPr>
              <w:pStyle w:val="958"/>
              <w:jc w:val="left"/>
              <w:spacing w:line="3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投标人拟投入本项目的经理助理具备以下条件</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1.具有大专及以上学历；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2.具有</w:t>
            </w:r>
            <w:r>
              <w:rPr>
                <w:rFonts w:hint="eastAsia" w:ascii="宋体" w:hAnsi="宋体" w:cs="宋体"/>
                <w:color w:val="000000"/>
                <w:sz w:val="24"/>
                <w:szCs w:val="24"/>
                <w:highlight w:val="none"/>
              </w:rPr>
              <w:t xml:space="preserve">中级及以上国家职业技能等级证书（限消防、水电、楼宇管理类）</w:t>
            </w:r>
            <w:r>
              <w:rPr>
                <w:rFonts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3.具备3年以上</w:t>
            </w:r>
            <w:r>
              <w:rPr>
                <w:rFonts w:hint="eastAsia" w:ascii="宋体" w:hAnsi="宋体" w:cs="宋体"/>
                <w:color w:val="000000"/>
                <w:sz w:val="24"/>
                <w:szCs w:val="24"/>
                <w:highlight w:val="none"/>
              </w:rPr>
              <w:t xml:space="preserve">与本项目类似的（服务内容包括</w:t>
            </w:r>
            <w:r>
              <w:rPr>
                <w:rFonts w:ascii="宋体" w:hAnsi="宋体" w:cs="宋体"/>
                <w:color w:val="000000"/>
                <w:sz w:val="24"/>
                <w:szCs w:val="24"/>
                <w:highlight w:val="none"/>
              </w:rPr>
              <w:t xml:space="preserve">人事文员、行政内勤</w:t>
            </w:r>
            <w:r>
              <w:rPr>
                <w:rFonts w:hint="eastAsia" w:ascii="宋体" w:hAnsi="宋体" w:cs="宋体"/>
                <w:color w:val="000000"/>
                <w:sz w:val="24"/>
                <w:szCs w:val="24"/>
                <w:highlight w:val="none"/>
                <w:lang w:val="en-US" w:eastAsia="zh-CN"/>
              </w:rPr>
              <w:t xml:space="preserve">等</w:t>
            </w:r>
            <w:r>
              <w:rPr>
                <w:rFonts w:hint="eastAsia" w:ascii="宋体" w:hAnsi="宋体" w:cs="宋体"/>
                <w:color w:val="000000"/>
                <w:sz w:val="24"/>
                <w:szCs w:val="24"/>
                <w:highlight w:val="none"/>
              </w:rPr>
              <w:t xml:space="preserve">）物业</w:t>
            </w:r>
            <w:r>
              <w:rPr>
                <w:rFonts w:ascii="宋体" w:hAnsi="宋体" w:cs="宋体"/>
                <w:color w:val="000000"/>
                <w:sz w:val="24"/>
                <w:szCs w:val="24"/>
                <w:highlight w:val="none"/>
              </w:rPr>
              <w:t xml:space="preserve">相关工作经验。</w:t>
            </w:r>
            <w:r>
              <w:rPr>
                <w:highlight w:val="none"/>
              </w:rPr>
            </w:r>
            <w:r/>
          </w:p>
          <w:p>
            <w:pPr>
              <w:pStyle w:val="958"/>
              <w:jc w:val="left"/>
              <w:spacing w:line="360" w:lineRule="exact"/>
              <w:rPr>
                <w:color w:val="000000"/>
                <w:sz w:val="24"/>
                <w:szCs w:val="24"/>
                <w:highlight w:val="none"/>
              </w:rPr>
            </w:pPr>
            <w:r>
              <w:rPr>
                <w:rFonts w:hint="eastAsia" w:ascii="宋体" w:hAnsi="宋体" w:cs="宋体"/>
                <w:color w:val="000000"/>
                <w:sz w:val="24"/>
                <w:szCs w:val="24"/>
                <w:highlight w:val="none"/>
              </w:rPr>
              <w:t xml:space="preserve">上述条件</w:t>
            </w:r>
            <w:r>
              <w:rPr>
                <w:rFonts w:ascii="宋体" w:hAnsi="宋体" w:cs="宋体"/>
                <w:color w:val="000000"/>
                <w:sz w:val="24"/>
                <w:szCs w:val="24"/>
                <w:highlight w:val="none"/>
              </w:rPr>
              <w:t xml:space="preserve">每满足一项得1分，最高得3分</w:t>
            </w:r>
            <w:r>
              <w:rPr>
                <w:rFonts w:hint="eastAsia" w:ascii="宋体" w:hAnsi="宋体" w:cs="宋体"/>
                <w:color w:val="000000"/>
                <w:sz w:val="24"/>
                <w:szCs w:val="24"/>
                <w:highlight w:val="none"/>
              </w:rPr>
              <w:t xml:space="preserve">，未提供或未按要求提供的不得分。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注：</w:t>
            </w: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以上人员若为投标人员工，需提供该人员</w:t>
            </w:r>
            <w:r>
              <w:rPr>
                <w:rFonts w:hint="eastAsia" w:ascii="宋体" w:hAnsi="宋体" w:cs="宋体"/>
                <w:color w:val="000000"/>
                <w:sz w:val="24"/>
                <w:szCs w:val="24"/>
                <w:highlight w:val="none"/>
                <w:lang w:val="en-US" w:eastAsia="zh-CN"/>
              </w:rPr>
              <w:t xml:space="preserve">近</w:t>
            </w:r>
            <w:r>
              <w:rPr>
                <w:rFonts w:ascii="宋体" w:hAnsi="宋体" w:cs="宋体"/>
                <w:color w:val="000000"/>
                <w:sz w:val="24"/>
                <w:szCs w:val="24"/>
                <w:highlight w:val="none"/>
              </w:rPr>
              <w:t xml:space="preserve">3个月</w:t>
            </w:r>
            <w:r>
              <w:rPr>
                <w:rFonts w:hint="eastAsia" w:ascii="宋体" w:hAnsi="宋体" w:cs="宋体"/>
                <w:color w:val="000000"/>
                <w:sz w:val="24"/>
                <w:szCs w:val="24"/>
                <w:highlight w:val="none"/>
                <w:lang w:val="en-US" w:eastAsia="zh-CN"/>
              </w:rPr>
              <w:t xml:space="preserve">内任意一个月</w:t>
            </w:r>
            <w:r>
              <w:rPr>
                <w:rFonts w:ascii="宋体" w:hAnsi="宋体" w:cs="宋体"/>
                <w:color w:val="000000"/>
                <w:sz w:val="24"/>
                <w:szCs w:val="24"/>
                <w:highlight w:val="none"/>
              </w:rPr>
              <w:t xml:space="preserve">的社保证明（不含投标当月）及相应有效证书扫描件；未按要求提供证明材料的，对应条件不得分。</w:t>
            </w:r>
            <w:r>
              <w:rPr>
                <w:rFonts w:hint="eastAsia" w:ascii="宋体" w:hAnsi="宋体" w:cs="宋体"/>
                <w:color w:val="000000"/>
                <w:sz w:val="24"/>
                <w:szCs w:val="24"/>
                <w:highlight w:val="none"/>
              </w:rPr>
              <w:t xml:space="preserve">2、工作经验需由被服务单位部门盖章。</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3.3综合维修工（3分）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投标人拟投入本项目的综合维修工具备以下条件的</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具有</w:t>
            </w:r>
            <w:r>
              <w:rPr>
                <w:rFonts w:ascii="宋体" w:hAnsi="宋体" w:cs="宋体"/>
                <w:color w:val="000000"/>
                <w:sz w:val="24"/>
                <w:szCs w:val="24"/>
                <w:highlight w:val="none"/>
              </w:rPr>
              <w:t xml:space="preserve">高压电工证；</w:t>
            </w:r>
            <w:r>
              <w:rPr>
                <w:highlight w:val="none"/>
              </w:rPr>
            </w:r>
            <w:r/>
          </w:p>
          <w:p>
            <w:pPr>
              <w:pStyle w:val="958"/>
              <w:jc w:val="left"/>
              <w:spacing w:line="360" w:lineRule="exact"/>
              <w:rPr>
                <w:color w:val="000000"/>
                <w:sz w:val="24"/>
                <w:szCs w:val="24"/>
                <w:highlight w:val="none"/>
              </w:rPr>
            </w:pPr>
            <w:r>
              <w:rPr>
                <w:color w:val="000000"/>
                <w:sz w:val="24"/>
                <w:szCs w:val="24"/>
                <w:highlight w:val="none"/>
              </w:rPr>
              <w:t xml:space="preserve">2.</w:t>
            </w:r>
            <w:r>
              <w:rPr>
                <w:rFonts w:hint="eastAsia" w:ascii="宋体" w:hAnsi="宋体" w:cs="宋体"/>
                <w:color w:val="000000"/>
                <w:sz w:val="24"/>
                <w:szCs w:val="24"/>
                <w:highlight w:val="none"/>
              </w:rPr>
              <w:t xml:space="preserve">具有</w:t>
            </w:r>
            <w:r>
              <w:rPr>
                <w:rFonts w:ascii="宋体" w:hAnsi="宋体" w:cs="宋体"/>
                <w:color w:val="000000"/>
                <w:sz w:val="24"/>
                <w:szCs w:val="24"/>
                <w:highlight w:val="none"/>
              </w:rPr>
              <w:t xml:space="preserve">低压电工证</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olor w:val="000000"/>
                <w:sz w:val="24"/>
                <w:highlight w:val="none"/>
                <w:shd w:val="clear" w:color="auto" w:fill="ffffff"/>
              </w:rPr>
              <w:t xml:space="preserve">具有类似的综合维修服务经历且履职评价为优秀的(需附原服务单位</w:t>
            </w:r>
            <w:r>
              <w:rPr>
                <w:rFonts w:hint="eastAsia" w:ascii="宋体" w:hAnsi="宋体"/>
                <w:color w:val="000000"/>
                <w:sz w:val="24"/>
                <w:highlight w:val="none"/>
              </w:rPr>
              <w:t xml:space="preserve">盖</w:t>
            </w:r>
            <w:r>
              <w:rPr>
                <w:rFonts w:hint="eastAsia" w:ascii="宋体" w:hAnsi="宋体"/>
                <w:color w:val="000000"/>
                <w:sz w:val="24"/>
                <w:highlight w:val="none"/>
                <w:shd w:val="clear" w:color="auto" w:fill="ffffff"/>
              </w:rPr>
              <w:t xml:space="preserve">章证明)</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hint="eastAsia" w:ascii="宋体" w:hAnsi="宋体" w:cs="宋体"/>
                <w:color w:val="000000"/>
                <w:sz w:val="24"/>
                <w:szCs w:val="24"/>
                <w:highlight w:val="none"/>
              </w:rPr>
              <w:t xml:space="preserve">上述条件</w:t>
            </w:r>
            <w:r>
              <w:rPr>
                <w:rFonts w:ascii="宋体" w:hAnsi="宋体" w:cs="宋体"/>
                <w:color w:val="000000"/>
                <w:sz w:val="24"/>
                <w:szCs w:val="24"/>
                <w:highlight w:val="none"/>
              </w:rPr>
              <w:t xml:space="preserve">每满足一项得1分，最高得3分</w:t>
            </w:r>
            <w:r>
              <w:rPr>
                <w:rFonts w:hint="eastAsia" w:ascii="宋体" w:hAnsi="宋体" w:cs="宋体"/>
                <w:color w:val="000000"/>
                <w:sz w:val="24"/>
                <w:szCs w:val="24"/>
                <w:highlight w:val="none"/>
              </w:rPr>
              <w:t xml:space="preserve">，未提供或未按要求提供的不得分</w:t>
            </w:r>
            <w:r>
              <w:rPr>
                <w:rFonts w:ascii="宋体" w:hAnsi="宋体" w:cs="宋体"/>
                <w:color w:val="000000"/>
                <w:sz w:val="24"/>
                <w:szCs w:val="24"/>
                <w:highlight w:val="none"/>
              </w:rPr>
              <w:t xml:space="preserve">。</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注：以上人员若为投标人员工，需提供该人员</w:t>
            </w:r>
            <w:r>
              <w:rPr>
                <w:rFonts w:hint="eastAsia" w:ascii="宋体" w:hAnsi="宋体" w:cs="宋体"/>
                <w:color w:val="000000"/>
                <w:sz w:val="24"/>
                <w:szCs w:val="24"/>
                <w:highlight w:val="none"/>
                <w:lang w:val="en-US" w:eastAsia="zh-CN"/>
              </w:rPr>
              <w:t xml:space="preserve">近</w:t>
            </w:r>
            <w:r>
              <w:rPr>
                <w:rFonts w:ascii="宋体" w:hAnsi="宋体" w:cs="宋体"/>
                <w:color w:val="000000"/>
                <w:sz w:val="24"/>
                <w:szCs w:val="24"/>
                <w:highlight w:val="none"/>
              </w:rPr>
              <w:t xml:space="preserve">3个月</w:t>
            </w:r>
            <w:r>
              <w:rPr>
                <w:rFonts w:hint="eastAsia" w:ascii="宋体" w:hAnsi="宋体" w:cs="宋体"/>
                <w:color w:val="000000"/>
                <w:sz w:val="24"/>
                <w:szCs w:val="24"/>
                <w:highlight w:val="none"/>
                <w:lang w:val="en-US" w:eastAsia="zh-CN"/>
              </w:rPr>
              <w:t xml:space="preserve">内任意一个月的</w:t>
            </w:r>
            <w:r>
              <w:rPr>
                <w:rFonts w:ascii="宋体" w:hAnsi="宋体" w:cs="宋体"/>
                <w:color w:val="000000"/>
                <w:sz w:val="24"/>
                <w:szCs w:val="24"/>
                <w:highlight w:val="none"/>
              </w:rPr>
              <w:t xml:space="preserve">的社保证明(不含投标当月)及相应有效证书扫描件；未按要求提供证明材料的，对应内容不得分。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物业管理服务信息化评价</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rFonts w:hint="eastAsia"/>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4.1</w:t>
            </w:r>
            <w:r>
              <w:rPr>
                <w:rFonts w:hint="eastAsia" w:ascii="宋体" w:hAnsi="宋体" w:cs="宋体"/>
                <w:color w:val="000000"/>
                <w:sz w:val="24"/>
                <w:szCs w:val="24"/>
                <w:highlight w:val="none"/>
              </w:rPr>
              <w:t xml:space="preserve">投标人具有物业智能化管理平台或手机APP或微信小程序，具有类似维修保修管理、学生公寓管理、高校场馆管理</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核心功能，每具备1个功能得1分，本项最多得3分，未提供或未按要求提供的不得分。</w:t>
            </w:r>
            <w:r>
              <w:rPr>
                <w:highlight w:val="none"/>
              </w:rPr>
            </w:r>
            <w:r/>
          </w:p>
          <w:p>
            <w:pPr>
              <w:pStyle w:val="958"/>
              <w:jc w:val="left"/>
              <w:spacing w:line="3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注：</w:t>
            </w:r>
            <w:r>
              <w:rPr>
                <w:rFonts w:hint="eastAsia" w:ascii="宋体" w:hAnsi="宋体" w:cs="宋体"/>
                <w:color w:val="000000"/>
                <w:sz w:val="24"/>
                <w:szCs w:val="24"/>
                <w:highlight w:val="none"/>
              </w:rPr>
              <w:t xml:space="preserve">投标人自主研发的提供软件著作权证书，非自主研发的提供购买发票或购买合同或者第三方使用授权证明，并提供对应的软件著作权证书。</w:t>
            </w:r>
            <w:r>
              <w:rPr>
                <w:highlight w:val="none"/>
              </w:rPr>
            </w:r>
            <w:r/>
          </w:p>
          <w:p>
            <w:pPr>
              <w:pStyle w:val="958"/>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如投标文件中提供的著作权名称表述与招标文件描述的关键字样不一致，而该投标文件中能证明投标人拥有的著作权具有相同或相似功能和效果的，视同符合要求。</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体系认证</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color w:val="000000"/>
                <w:sz w:val="24"/>
                <w:szCs w:val="24"/>
                <w:highlight w:val="none"/>
              </w:rPr>
            </w:pPr>
            <w:r>
              <w:rPr>
                <w:rFonts w:hint="eastAsia" w:ascii="宋体" w:hAnsi="宋体" w:cs="宋体"/>
                <w:b/>
                <w:bCs/>
                <w:color w:val="000000"/>
                <w:sz w:val="24"/>
                <w:szCs w:val="24"/>
                <w:highlight w:val="none"/>
              </w:rPr>
              <w:t xml:space="preserve">5.1</w:t>
            </w:r>
            <w:r>
              <w:rPr>
                <w:rFonts w:ascii="宋体" w:hAnsi="宋体" w:cs="宋体"/>
                <w:color w:val="000000"/>
                <w:sz w:val="24"/>
                <w:szCs w:val="24"/>
                <w:highlight w:val="none"/>
              </w:rPr>
              <w:t xml:space="preserve">投标人具备以下有效体系认证证书的：</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1.ISO9001质量管理体系认证证书；</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2.ISO14001环境管理体系认证证书；</w:t>
            </w:r>
            <w:r>
              <w:rPr>
                <w:highlight w:val="none"/>
              </w:rPr>
            </w:r>
            <w:r/>
          </w:p>
          <w:p>
            <w:pPr>
              <w:pStyle w:val="958"/>
              <w:jc w:val="left"/>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3.ISO45001职业健康安全管理体系认证证书。</w:t>
            </w:r>
            <w:r>
              <w:rPr>
                <w:highlight w:val="none"/>
              </w:rPr>
            </w:r>
            <w:r/>
          </w:p>
          <w:p>
            <w:pPr>
              <w:pStyle w:val="958"/>
              <w:jc w:val="left"/>
              <w:spacing w:line="360" w:lineRule="exact"/>
              <w:rPr>
                <w:color w:val="000000"/>
                <w:sz w:val="24"/>
                <w:szCs w:val="24"/>
                <w:highlight w:val="none"/>
              </w:rPr>
            </w:pPr>
            <w:r>
              <w:rPr>
                <w:rFonts w:hint="eastAsia" w:ascii="宋体" w:hAnsi="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证书</w:t>
            </w:r>
            <w:r>
              <w:rPr>
                <w:rFonts w:ascii="宋体" w:hAnsi="宋体" w:cs="宋体"/>
                <w:color w:val="000000"/>
                <w:sz w:val="24"/>
                <w:szCs w:val="24"/>
                <w:highlight w:val="none"/>
              </w:rPr>
              <w:t xml:space="preserve">每</w:t>
            </w:r>
            <w:r>
              <w:rPr>
                <w:rFonts w:hint="eastAsia" w:ascii="宋体" w:hAnsi="宋体" w:cs="宋体"/>
                <w:color w:val="000000"/>
                <w:sz w:val="24"/>
                <w:szCs w:val="24"/>
                <w:highlight w:val="none"/>
                <w:lang w:val="en-US" w:eastAsia="zh-CN"/>
              </w:rPr>
              <w:t xml:space="preserve">提供</w:t>
            </w:r>
            <w:r>
              <w:rPr>
                <w:rFonts w:ascii="宋体" w:hAnsi="宋体" w:cs="宋体"/>
                <w:color w:val="000000"/>
                <w:sz w:val="24"/>
                <w:szCs w:val="24"/>
                <w:highlight w:val="none"/>
              </w:rPr>
              <w:t xml:space="preserve">一项得1分，最高得</w:t>
            </w: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，未提供或未按要求提供的不得分。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注：投标文件内须提供有效证书扫描件</w:t>
            </w:r>
            <w:r>
              <w:rPr>
                <w:rFonts w:hint="eastAsia" w:ascii="宋体" w:hAnsi="宋体" w:cs="宋体"/>
                <w:color w:val="000000"/>
                <w:sz w:val="24"/>
                <w:szCs w:val="24"/>
                <w:highlight w:val="none"/>
                <w:lang w:val="en-US" w:eastAsia="zh-CN"/>
              </w:rPr>
              <w:t xml:space="preserve">或复印件</w:t>
            </w:r>
            <w:r>
              <w:rPr>
                <w:rFonts w:ascii="宋体" w:hAnsi="宋体" w:cs="宋体"/>
                <w:color w:val="000000"/>
                <w:sz w:val="24"/>
                <w:szCs w:val="24"/>
                <w:highlight w:val="none"/>
              </w:rPr>
              <w:t xml:space="preserve">并加盖投标人公章；未按要求提供的，对应证书不得分。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restart"/>
            <w:textDirection w:val="lrTb"/>
            <w:noWrap w:val="false"/>
          </w:tcPr>
          <w:p>
            <w:pPr>
              <w:pStyle w:val="958"/>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restart"/>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t xml:space="preserve">业绩</w:t>
            </w:r>
            <w:r>
              <w:rPr>
                <w:rFonts w:hint="eastAsia" w:ascii="宋体" w:hAnsi="宋体" w:cs="宋体"/>
                <w:color w:val="000000"/>
                <w:sz w:val="24"/>
                <w:szCs w:val="24"/>
                <w:highlight w:val="none"/>
              </w:rPr>
              <w:t xml:space="preserve">和评价</w:t>
            </w:r>
            <w:r>
              <w:rPr>
                <w:highlight w:val="none"/>
              </w:rPr>
            </w:r>
            <w:r/>
          </w:p>
          <w:p>
            <w:pPr>
              <w:pStyle w:val="958"/>
              <w:jc w:val="center"/>
              <w:spacing w:line="360" w:lineRule="exact"/>
              <w:rPr>
                <w:color w:val="000000"/>
                <w:sz w:val="24"/>
                <w:szCs w:val="24"/>
                <w:highlight w:val="none"/>
              </w:rPr>
            </w:pPr>
            <w:r>
              <w:rPr>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6.1</w:t>
            </w:r>
            <w:r>
              <w:rPr>
                <w:rFonts w:ascii="宋体" w:hAnsi="宋体" w:cs="宋体"/>
                <w:color w:val="000000"/>
                <w:sz w:val="24"/>
                <w:szCs w:val="24"/>
                <w:highlight w:val="none"/>
              </w:rPr>
              <w:t xml:space="preserve">投标人提供2023年1月1日以来（以合同签订时间为准）承担过</w:t>
            </w:r>
            <w:r>
              <w:rPr>
                <w:rFonts w:hint="eastAsia" w:ascii="宋体" w:hAnsi="宋体" w:cs="宋体"/>
                <w:color w:val="000000"/>
                <w:sz w:val="24"/>
                <w:szCs w:val="24"/>
                <w:highlight w:val="none"/>
              </w:rPr>
              <w:t xml:space="preserve">与本项目</w:t>
            </w:r>
            <w:r>
              <w:rPr>
                <w:rFonts w:ascii="宋体" w:hAnsi="宋体" w:cs="宋体"/>
                <w:color w:val="000000"/>
                <w:sz w:val="24"/>
                <w:szCs w:val="24"/>
                <w:highlight w:val="none"/>
              </w:rPr>
              <w:t xml:space="preserve">类似</w:t>
            </w:r>
            <w:r>
              <w:rPr>
                <w:rFonts w:hint="eastAsia" w:ascii="宋体" w:hAnsi="宋体" w:cs="宋体"/>
                <w:color w:val="000000"/>
                <w:sz w:val="24"/>
                <w:szCs w:val="24"/>
                <w:highlight w:val="none"/>
              </w:rPr>
              <w:t xml:space="preserve">的</w:t>
            </w:r>
            <w:r>
              <w:rPr>
                <w:rFonts w:ascii="宋体" w:hAnsi="宋体" w:cs="宋体"/>
                <w:color w:val="000000"/>
                <w:sz w:val="24"/>
                <w:szCs w:val="24"/>
                <w:highlight w:val="none"/>
              </w:rPr>
              <w:t xml:space="preserve">物业管理服务成功案例，</w:t>
            </w:r>
            <w:r>
              <w:rPr>
                <w:rFonts w:hint="eastAsia" w:ascii="宋体" w:hAnsi="宋体" w:cs="宋体"/>
                <w:color w:val="000000"/>
                <w:sz w:val="24"/>
                <w:szCs w:val="24"/>
                <w:highlight w:val="none"/>
              </w:rPr>
              <w:t xml:space="preserve">案例内容须</w:t>
            </w:r>
            <w:r>
              <w:rPr>
                <w:rFonts w:ascii="宋体" w:hAnsi="宋体" w:cs="宋体"/>
                <w:color w:val="000000"/>
                <w:sz w:val="24"/>
                <w:szCs w:val="24"/>
                <w:highlight w:val="none"/>
              </w:rPr>
              <w:t xml:space="preserve">包含宿舍（公寓）管理、楼宇管理、绿化、保洁、水电维修</w:t>
            </w:r>
            <w:r>
              <w:rPr>
                <w:rFonts w:hint="eastAsia" w:ascii="宋体" w:hAnsi="宋体" w:cs="宋体"/>
                <w:color w:val="000000"/>
                <w:sz w:val="24"/>
                <w:szCs w:val="24"/>
                <w:highlight w:val="none"/>
              </w:rPr>
              <w:t xml:space="preserve">。</w:t>
            </w:r>
            <w:r>
              <w:rPr>
                <w:highlight w:val="none"/>
              </w:rPr>
            </w:r>
            <w:r/>
          </w:p>
          <w:p>
            <w:pPr>
              <w:pStyle w:val="958"/>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（1）每提供一个包含</w:t>
            </w:r>
            <w:r>
              <w:rPr>
                <w:rFonts w:ascii="宋体" w:hAnsi="宋体" w:cs="宋体"/>
                <w:color w:val="000000"/>
                <w:sz w:val="24"/>
                <w:szCs w:val="24"/>
                <w:highlight w:val="none"/>
              </w:rPr>
              <w:t xml:space="preserve">上述</w:t>
            </w: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t xml:space="preserve">项</w:t>
            </w:r>
            <w:r>
              <w:rPr>
                <w:rFonts w:hint="eastAsia" w:ascii="宋体" w:hAnsi="宋体" w:cs="宋体"/>
                <w:color w:val="000000"/>
                <w:sz w:val="24"/>
                <w:szCs w:val="24"/>
                <w:highlight w:val="none"/>
              </w:rPr>
              <w:t xml:space="preserve">服务内容的案例，</w:t>
            </w:r>
            <w:r>
              <w:rPr>
                <w:rFonts w:ascii="宋体" w:hAnsi="宋体" w:cs="宋体"/>
                <w:color w:val="000000"/>
                <w:sz w:val="24"/>
                <w:szCs w:val="24"/>
                <w:highlight w:val="none"/>
              </w:rPr>
              <w:t xml:space="preserve">得1分，最高得4分</w:t>
            </w:r>
            <w:r>
              <w:rPr>
                <w:rFonts w:hint="eastAsia" w:ascii="宋体" w:hAnsi="宋体" w:cs="宋体"/>
                <w:color w:val="000000"/>
                <w:sz w:val="24"/>
                <w:szCs w:val="24"/>
                <w:highlight w:val="none"/>
              </w:rPr>
              <w:t xml:space="preserve">，未提供或未按要求提供的不得分。</w:t>
            </w:r>
            <w:r>
              <w:rPr>
                <w:highlight w:val="none"/>
              </w:rPr>
            </w:r>
            <w:r/>
          </w:p>
          <w:p>
            <w:pPr>
              <w:pStyle w:val="958"/>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（2）每提供1个包含上述</w:t>
            </w:r>
            <w:r>
              <w:rPr>
                <w:rFonts w:ascii="宋体" w:hAnsi="宋体" w:cs="宋体"/>
                <w:color w:val="000000"/>
                <w:sz w:val="24"/>
                <w:szCs w:val="24"/>
                <w:highlight w:val="none"/>
              </w:rPr>
              <w:t xml:space="preserve">4项及以上服务内容的</w:t>
            </w:r>
            <w:r>
              <w:rPr>
                <w:rFonts w:hint="eastAsia" w:ascii="宋体" w:hAnsi="宋体" w:cs="宋体"/>
                <w:color w:val="000000"/>
                <w:sz w:val="24"/>
                <w:szCs w:val="24"/>
                <w:highlight w:val="none"/>
              </w:rPr>
              <w:t xml:space="preserve">案例</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得2分，最高得4分，未提供或未按要求提供的不得分。</w:t>
            </w:r>
            <w:r>
              <w:rPr>
                <w:highlight w:val="none"/>
              </w:rPr>
            </w:r>
            <w:r/>
          </w:p>
          <w:p>
            <w:pPr>
              <w:pStyle w:val="958"/>
              <w:jc w:val="left"/>
              <w:spacing w:line="360" w:lineRule="exact"/>
              <w:rPr>
                <w:color w:val="000000"/>
                <w:sz w:val="24"/>
                <w:szCs w:val="24"/>
                <w:highlight w:val="none"/>
              </w:rPr>
            </w:pPr>
            <w:r>
              <w:rPr>
                <w:rFonts w:ascii="宋体" w:hAnsi="宋体" w:cs="宋体"/>
                <w:color w:val="000000"/>
                <w:sz w:val="24"/>
                <w:szCs w:val="24"/>
                <w:highlight w:val="none"/>
              </w:rPr>
              <w:t xml:space="preserve">注：投标人须为每个案例提供中标（成交）通知书复印件、合同复印件及合同期内任意一期的银行流水进账单，三者缺一不可；若合同中未体现上述4项服务内容，需补充提供甲方或其职能部门盖章的证明材料复印件。所有复印件均须装订至投标文件中，未按要求提供的，对应案例不得分；同一甲方的业绩不重复计分。</w:t>
            </w:r>
            <w:r>
              <w:rPr>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vMerge w:val="continue"/>
            <w:textDirection w:val="lrTb"/>
            <w:noWrap w:val="false"/>
          </w:tcPr>
          <w:p>
            <w:pPr>
              <w:pStyle w:val="958"/>
              <w:jc w:val="center"/>
              <w:spacing w:line="36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117" w:type="dxa"/>
            <w:vAlign w:val="center"/>
            <w:vMerge w:val="continue"/>
            <w:textDirection w:val="lrTb"/>
            <w:noWrap w:val="false"/>
          </w:tcPr>
          <w:p>
            <w:pPr>
              <w:pStyle w:val="958"/>
              <w:jc w:val="center"/>
              <w:spacing w:line="360" w:lineRule="exact"/>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42" w:type="dxa"/>
            <w:vAlign w:val="center"/>
            <w:textDirection w:val="lrTb"/>
            <w:noWrap w:val="false"/>
          </w:tcPr>
          <w:p>
            <w:pPr>
              <w:pStyle w:val="958"/>
              <w:jc w:val="center"/>
              <w:spacing w:line="360" w:lineRule="exact"/>
              <w:rPr>
                <w:color w:val="000000"/>
                <w:sz w:val="24"/>
                <w:szCs w:val="24"/>
                <w:highlight w:val="none"/>
              </w:rPr>
            </w:pPr>
            <w:r>
              <w:rPr>
                <w:rFonts w:ascii="宋体" w:hAnsi="宋体" w:cs="宋体"/>
                <w:color w:val="000000"/>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591" w:type="dxa"/>
            <w:vAlign w:val="top"/>
            <w:textDirection w:val="lrTb"/>
            <w:noWrap w:val="false"/>
          </w:tcPr>
          <w:p>
            <w:pPr>
              <w:pStyle w:val="958"/>
              <w:jc w:val="left"/>
              <w:spacing w:line="3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6.2</w:t>
            </w:r>
            <w:r>
              <w:rPr>
                <w:rFonts w:hint="eastAsia" w:ascii="宋体" w:hAnsi="宋体" w:cs="宋体"/>
                <w:color w:val="000000"/>
                <w:sz w:val="24"/>
                <w:szCs w:val="24"/>
                <w:highlight w:val="none"/>
              </w:rPr>
              <w:t xml:space="preserve">满足</w:t>
            </w:r>
            <w:r>
              <w:rPr>
                <w:rFonts w:hint="eastAsia" w:ascii="宋体" w:hAnsi="宋体" w:cs="宋体"/>
                <w:color w:val="000000"/>
                <w:sz w:val="24"/>
                <w:szCs w:val="24"/>
                <w:highlight w:val="none"/>
                <w:lang w:val="en-US" w:eastAsia="zh-CN"/>
              </w:rPr>
              <w:t xml:space="preserve">6.1</w:t>
            </w:r>
            <w:r>
              <w:rPr>
                <w:rFonts w:hint="eastAsia" w:ascii="宋体" w:hAnsi="宋体" w:cs="宋体"/>
                <w:color w:val="000000"/>
                <w:sz w:val="24"/>
                <w:szCs w:val="24"/>
                <w:highlight w:val="none"/>
              </w:rPr>
              <w:t xml:space="preserve">要求的案例业绩中，业主单位评价为优秀或满意的，每有一个得</w:t>
            </w:r>
            <w:r>
              <w:rPr>
                <w:rFonts w:ascii="宋体" w:hAnsi="宋体" w:cs="宋体"/>
                <w:color w:val="000000"/>
                <w:sz w:val="24"/>
                <w:szCs w:val="24"/>
                <w:highlight w:val="none"/>
              </w:rPr>
              <w:t xml:space="preserve">0.5</w:t>
            </w:r>
            <w:r>
              <w:rPr>
                <w:rFonts w:hint="eastAsia" w:ascii="宋体" w:hAnsi="宋体" w:cs="宋体"/>
                <w:color w:val="000000"/>
                <w:sz w:val="24"/>
                <w:szCs w:val="24"/>
                <w:highlight w:val="none"/>
              </w:rPr>
              <w:t xml:space="preserve">分，最高得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分，未提供或未按要求提供的不得分。</w:t>
            </w:r>
            <w:r>
              <w:rPr>
                <w:highlight w:val="none"/>
              </w:rPr>
            </w:r>
            <w:r/>
          </w:p>
          <w:p>
            <w:pPr>
              <w:pStyle w:val="958"/>
              <w:jc w:val="left"/>
              <w:spacing w:line="360" w:lineRule="exact"/>
              <w:rPr>
                <w:color w:val="000000"/>
                <w:sz w:val="24"/>
                <w:szCs w:val="24"/>
                <w:highlight w:val="none"/>
              </w:rPr>
            </w:pPr>
            <w:r>
              <w:rPr>
                <w:rFonts w:hint="eastAsia" w:ascii="宋体" w:hAnsi="宋体" w:cs="宋体"/>
                <w:color w:val="000000"/>
                <w:sz w:val="24"/>
                <w:szCs w:val="24"/>
                <w:highlight w:val="none"/>
                <w:lang w:val="en-US" w:eastAsia="zh-CN"/>
              </w:rPr>
              <w:t xml:space="preserve">注：</w:t>
            </w:r>
            <w:r>
              <w:rPr>
                <w:rFonts w:hint="eastAsia" w:ascii="宋体" w:hAnsi="宋体" w:cs="宋体"/>
                <w:color w:val="000000"/>
                <w:sz w:val="24"/>
                <w:szCs w:val="24"/>
                <w:highlight w:val="none"/>
              </w:rPr>
              <w:t xml:space="preserve">提供业主</w:t>
            </w:r>
            <w:r>
              <w:rPr>
                <w:rFonts w:ascii="宋体" w:hAnsi="宋体" w:cs="宋体"/>
                <w:color w:val="000000"/>
                <w:sz w:val="24"/>
                <w:szCs w:val="24"/>
                <w:highlight w:val="none"/>
              </w:rPr>
              <w:t xml:space="preserve">单位盖章的物业服务优秀或满意评价</w:t>
            </w:r>
            <w:r>
              <w:rPr>
                <w:rFonts w:hint="eastAsia" w:ascii="宋体" w:hAnsi="宋体" w:cs="宋体"/>
                <w:color w:val="000000"/>
                <w:sz w:val="24"/>
                <w:szCs w:val="24"/>
                <w:highlight w:val="none"/>
              </w:rPr>
              <w:t xml:space="preserve">的</w:t>
            </w:r>
            <w:r>
              <w:rPr>
                <w:rFonts w:ascii="宋体" w:hAnsi="宋体" w:cs="宋体"/>
                <w:color w:val="000000"/>
                <w:sz w:val="24"/>
                <w:szCs w:val="24"/>
                <w:highlight w:val="none"/>
              </w:rPr>
              <w:t xml:space="preserve">证明材料</w:t>
            </w:r>
            <w:r>
              <w:rPr>
                <w:rFonts w:hint="eastAsia" w:ascii="宋体" w:hAnsi="宋体" w:cs="宋体"/>
                <w:color w:val="000000"/>
                <w:sz w:val="24"/>
                <w:szCs w:val="24"/>
                <w:highlight w:val="none"/>
              </w:rPr>
              <w:t xml:space="preserve">，同一服务单位的业绩不重复计分。</w:t>
            </w:r>
            <w:r>
              <w:rPr>
                <w:highlight w:val="none"/>
              </w:rPr>
            </w:r>
            <w:r/>
          </w:p>
        </w:tc>
      </w:tr>
    </w:tbl>
    <w:p>
      <w:pPr>
        <w:pStyle w:val="958"/>
        <w:rPr>
          <w:rFonts w:hint="eastAsia"/>
          <w:color w:val="000000"/>
          <w:highlight w:val="none"/>
        </w:rPr>
      </w:pPr>
      <w:r>
        <w:rPr>
          <w:rFonts w:hint="eastAsia"/>
          <w:color w:val="000000"/>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9"/>
        <w:rPr>
          <w:rFonts w:hint="eastAsia" w:ascii="黑体" w:eastAsia="黑体"/>
          <w:bCs/>
          <w:color w:val="000000"/>
          <w:sz w:val="44"/>
          <w:highlight w:val="none"/>
        </w:rPr>
      </w:pPr>
      <w:r>
        <w:rPr>
          <w:rFonts w:hint="eastAsia" w:ascii="黑体" w:eastAsia="黑体"/>
          <w:bCs/>
          <w:color w:val="000000"/>
          <w:sz w:val="44"/>
          <w:highlight w:val="none"/>
        </w:rPr>
        <w:br w:type="page" w:clear="all"/>
      </w:r>
      <w:r>
        <w:rPr>
          <w:highlight w:val="none"/>
        </w:rPr>
      </w:r>
      <w:r/>
    </w:p>
    <w:p>
      <w:pPr>
        <w:pStyle w:val="959"/>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59"/>
        <w:rPr>
          <w:rFonts w:hint="eastAsia" w:ascii="黑体" w:eastAsia="黑体"/>
          <w:bCs/>
          <w:color w:val="000000"/>
          <w:sz w:val="44"/>
          <w:highlight w:val="none"/>
        </w:rPr>
      </w:pPr>
      <w:r>
        <w:rPr>
          <w:rFonts w:hint="eastAsia" w:ascii="黑体" w:eastAsia="黑体"/>
          <w:bCs/>
          <w:color w:val="000000"/>
          <w:sz w:val="44"/>
          <w:highlight w:val="none"/>
        </w:rPr>
        <w:t xml:space="preserve">第六章  投标</w:t>
      </w:r>
      <w:bookmarkEnd w:id="189"/>
      <w:r>
        <w:rPr>
          <w:highlight w:val="none"/>
        </w:rPr>
      </w:r>
      <w:bookmarkEnd w:id="190"/>
      <w:r>
        <w:rPr>
          <w:highlight w:val="none"/>
        </w:rPr>
      </w:r>
      <w:bookmarkEnd w:id="198"/>
      <w:r>
        <w:rPr>
          <w:rFonts w:hint="eastAsia" w:ascii="黑体" w:eastAsia="黑体"/>
          <w:bCs/>
          <w:color w:val="000000"/>
          <w:sz w:val="44"/>
          <w:highlight w:val="none"/>
        </w:rPr>
        <w:t xml:space="preserve">文件格式 </w:t>
      </w:r>
      <w:r>
        <w:rPr>
          <w:highlight w:val="none"/>
        </w:rPr>
      </w:r>
      <w:r/>
    </w:p>
    <w:p>
      <w:pPr>
        <w:pStyle w:val="958"/>
        <w:jc w:val="center"/>
        <w:rPr>
          <w:rFonts w:hint="eastAsia" w:ascii="宋体" w:hAnsi="宋体"/>
          <w:b/>
          <w:color w:val="000000"/>
          <w:sz w:val="72"/>
          <w:highlight w:val="none"/>
        </w:rPr>
      </w:pPr>
      <w:r>
        <w:rPr>
          <w:highlight w:val="none"/>
        </w:rPr>
      </w:r>
      <w:bookmarkStart w:id="204" w:name="_Hlt26671244"/>
      <w:r>
        <w:rPr>
          <w:highlight w:val="none"/>
        </w:rPr>
      </w:r>
      <w:bookmarkEnd w:id="204"/>
      <w:r>
        <w:rPr>
          <w:highlight w:val="none"/>
        </w:rPr>
      </w:r>
      <w:bookmarkStart w:id="205" w:name="_Hlt26955039"/>
      <w:r>
        <w:rPr>
          <w:highlight w:val="none"/>
        </w:rPr>
      </w:r>
      <w:bookmarkEnd w:id="205"/>
      <w:r>
        <w:rPr>
          <w:highlight w:val="none"/>
        </w:rPr>
      </w:r>
      <w:bookmarkStart w:id="206" w:name="_Toc26554094"/>
      <w:r>
        <w:rPr>
          <w:highlight w:val="none"/>
        </w:rPr>
      </w:r>
      <w:bookmarkStart w:id="207" w:name="_Toc49090576"/>
      <w:r>
        <w:rPr>
          <w:highlight w:val="none"/>
        </w:rPr>
      </w:r>
      <w:bookmarkStart w:id="208" w:name="_Toc120614282"/>
      <w:r>
        <w:rPr>
          <w:highlight w:val="none"/>
        </w:rPr>
      </w:r>
      <w:r/>
    </w:p>
    <w:p>
      <w:pPr>
        <w:pStyle w:val="958"/>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highlight w:val="none"/>
        </w:rPr>
      </w:r>
      <w:r/>
    </w:p>
    <w:p>
      <w:pPr>
        <w:pStyle w:val="958"/>
        <w:jc w:val="center"/>
        <w:rPr>
          <w:rFonts w:hint="eastAsia" w:ascii="宋体" w:hAnsi="宋体"/>
          <w:b/>
          <w:color w:val="000000"/>
          <w:sz w:val="72"/>
          <w:highlight w:val="none"/>
        </w:rPr>
      </w:pPr>
      <w:r>
        <w:rPr>
          <w:rFonts w:hint="eastAsia" w:ascii="宋体" w:hAnsi="宋体"/>
          <w:b/>
          <w:color w:val="000000"/>
          <w:sz w:val="72"/>
          <w:highlight w:val="none"/>
        </w:rPr>
      </w:r>
      <w:r>
        <w:rPr>
          <w:highlight w:val="none"/>
        </w:rPr>
      </w:r>
      <w:r/>
    </w:p>
    <w:p>
      <w:pPr>
        <w:pStyle w:val="958"/>
        <w:jc w:val="center"/>
        <w:rPr>
          <w:rFonts w:hint="eastAsia" w:ascii="宋体" w:hAnsi="宋体"/>
          <w:b/>
          <w:color w:val="000000"/>
          <w:sz w:val="72"/>
          <w:highlight w:val="none"/>
        </w:rPr>
      </w:pPr>
      <w:r>
        <w:rPr>
          <w:rFonts w:hint="eastAsia" w:ascii="宋体" w:hAnsi="宋体"/>
          <w:b/>
          <w:color w:val="000000"/>
          <w:sz w:val="72"/>
          <w:highlight w:val="none"/>
        </w:rPr>
      </w:r>
      <w:r>
        <w:rPr>
          <w:highlight w:val="none"/>
        </w:rPr>
      </w:r>
      <w:r/>
    </w:p>
    <w:p>
      <w:pPr>
        <w:pStyle w:val="958"/>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58"/>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58"/>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58"/>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highlight w:val="none"/>
        </w:rPr>
      </w:r>
      <w:r/>
    </w:p>
    <w:p>
      <w:pPr>
        <w:pStyle w:val="958"/>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highlight w:val="none"/>
        </w:rPr>
      </w:r>
      <w:r/>
    </w:p>
    <w:p>
      <w:pPr>
        <w:pStyle w:val="958"/>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rPr>
          <w:highlight w:val="none"/>
        </w:rPr>
      </w:r>
      <w:r/>
    </w:p>
    <w:p>
      <w:pPr>
        <w:pStyle w:val="958"/>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highlight w:val="none"/>
        </w:rPr>
      </w:r>
      <w:r/>
    </w:p>
    <w:p>
      <w:pPr>
        <w:pStyle w:val="95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58"/>
        <w:spacing w:line="440" w:lineRule="exact"/>
        <w:rPr>
          <w:rFonts w:ascii="宋体" w:hAnsi="宋体"/>
          <w:color w:val="000000"/>
          <w:highlight w:val="none"/>
        </w:rPr>
      </w:pPr>
      <w:r>
        <w:rPr>
          <w:rFonts w:ascii="宋体" w:hAnsi="宋体"/>
          <w:color w:val="000000"/>
          <w:highlight w:val="none"/>
        </w:rPr>
      </w:r>
      <w:r>
        <w:rPr>
          <w:highlight w:val="none"/>
        </w:rPr>
      </w:r>
      <w:r/>
    </w:p>
    <w:p>
      <w:pPr>
        <w:pStyle w:val="958"/>
        <w:ind w:firstLine="1084"/>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highlight w:val="none"/>
        </w:rPr>
      </w:r>
      <w:r/>
    </w:p>
    <w:p>
      <w:pPr>
        <w:pStyle w:val="95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58"/>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一、基本目录</w:t>
      </w:r>
      <w:r>
        <w:rPr>
          <w:highlight w:val="none"/>
        </w:rPr>
      </w:r>
      <w:r/>
    </w:p>
    <w:p>
      <w:pPr>
        <w:pStyle w:val="958"/>
        <w:ind w:left="480"/>
        <w:spacing w:line="400" w:lineRule="exact"/>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开标一览表（格式见附件</w:t>
      </w:r>
      <w:r>
        <w:rPr>
          <w:rFonts w:ascii="宋体" w:hAnsi="宋体"/>
          <w:color w:val="000000"/>
          <w:sz w:val="24"/>
          <w:highlight w:val="none"/>
        </w:rPr>
        <w:t xml:space="preserve">1</w:t>
      </w:r>
      <w:r>
        <w:rPr>
          <w:rFonts w:hint="eastAsia" w:ascii="宋体" w:hAnsi="宋体"/>
          <w:color w:val="000000"/>
          <w:sz w:val="24"/>
          <w:highlight w:val="none"/>
        </w:rPr>
        <w:t xml:space="preserve">）</w:t>
      </w:r>
      <w:r>
        <w:rPr>
          <w:highlight w:val="none"/>
        </w:rPr>
      </w:r>
      <w:r/>
    </w:p>
    <w:p>
      <w:pPr>
        <w:pStyle w:val="958"/>
        <w:ind w:left="480"/>
        <w:spacing w:line="40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投标分项报价表（格式见</w:t>
      </w:r>
      <w:r>
        <w:rPr>
          <w:rFonts w:ascii="宋体" w:hAnsi="宋体"/>
          <w:color w:val="000000"/>
          <w:sz w:val="24"/>
          <w:highlight w:val="none"/>
        </w:rPr>
        <w:t xml:space="preserve">附件2</w:t>
      </w:r>
      <w:r>
        <w:rPr>
          <w:rFonts w:hint="eastAsia" w:ascii="宋体" w:hAnsi="宋体"/>
          <w:color w:val="000000"/>
          <w:sz w:val="24"/>
          <w:highlight w:val="none"/>
        </w:rPr>
        <w:t xml:space="preserve">）</w:t>
      </w:r>
      <w:r>
        <w:rPr>
          <w:highlight w:val="none"/>
        </w:rPr>
      </w:r>
      <w:r/>
    </w:p>
    <w:p>
      <w:pPr>
        <w:pStyle w:val="958"/>
        <w:ind w:left="480"/>
        <w:spacing w:line="400" w:lineRule="exac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技术要求响应及偏离表（格式见</w:t>
      </w:r>
      <w:r>
        <w:rPr>
          <w:rFonts w:ascii="宋体" w:hAnsi="宋体"/>
          <w:color w:val="000000"/>
          <w:sz w:val="24"/>
          <w:highlight w:val="none"/>
        </w:rPr>
        <w:t xml:space="preserve">附件3</w:t>
      </w:r>
      <w:r>
        <w:rPr>
          <w:rFonts w:hint="eastAsia" w:ascii="宋体" w:hAnsi="宋体"/>
          <w:color w:val="000000"/>
          <w:sz w:val="24"/>
          <w:highlight w:val="none"/>
        </w:rPr>
        <w:t xml:space="preserve">）</w:t>
      </w:r>
      <w:r>
        <w:rPr>
          <w:highlight w:val="none"/>
        </w:rPr>
      </w:r>
      <w:r/>
    </w:p>
    <w:p>
      <w:pPr>
        <w:pStyle w:val="958"/>
        <w:ind w:firstLine="480"/>
        <w:spacing w:line="40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商务要求响应及偏离表（格式见</w:t>
      </w:r>
      <w:r>
        <w:rPr>
          <w:rFonts w:ascii="宋体" w:hAnsi="宋体"/>
          <w:color w:val="000000"/>
          <w:sz w:val="24"/>
          <w:highlight w:val="none"/>
        </w:rPr>
        <w:t xml:space="preserve">附件4</w:t>
      </w:r>
      <w:r>
        <w:rPr>
          <w:rFonts w:hint="eastAsia" w:ascii="宋体" w:hAnsi="宋体"/>
          <w:color w:val="000000"/>
          <w:sz w:val="24"/>
          <w:highlight w:val="none"/>
        </w:rPr>
        <w:t xml:space="preserve">）</w:t>
      </w:r>
      <w:r>
        <w:rPr>
          <w:highlight w:val="none"/>
        </w:rPr>
      </w:r>
      <w:r/>
    </w:p>
    <w:p>
      <w:pPr>
        <w:pStyle w:val="95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5.****（格式</w:t>
      </w:r>
      <w:r>
        <w:rPr>
          <w:rFonts w:ascii="宋体" w:hAnsi="宋体"/>
          <w:color w:val="000000"/>
          <w:sz w:val="24"/>
          <w:highlight w:val="none"/>
        </w:rPr>
        <w:t xml:space="preserve">见附件</w:t>
      </w:r>
      <w:r>
        <w:rPr>
          <w:rFonts w:hint="eastAsia" w:ascii="宋体" w:hAnsi="宋体"/>
          <w:color w:val="000000"/>
          <w:sz w:val="24"/>
          <w:highlight w:val="none"/>
        </w:rPr>
        <w:t xml:space="preserve">**）</w:t>
      </w:r>
      <w:r>
        <w:rPr>
          <w:highlight w:val="none"/>
        </w:rPr>
      </w:r>
      <w:r/>
    </w:p>
    <w:p>
      <w:pPr>
        <w:pStyle w:val="958"/>
        <w:ind w:left="480"/>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二</w:t>
      </w:r>
      <w:r>
        <w:rPr>
          <w:rFonts w:ascii="宋体" w:hAnsi="宋体"/>
          <w:b/>
          <w:color w:val="000000"/>
          <w:sz w:val="24"/>
          <w:highlight w:val="none"/>
        </w:rPr>
        <w:t xml:space="preserve">、资格审查内容</w:t>
      </w:r>
      <w:r>
        <w:rPr>
          <w:highlight w:val="none"/>
        </w:rPr>
      </w:r>
      <w:r/>
    </w:p>
    <w:p>
      <w:pPr>
        <w:pStyle w:val="958"/>
        <w:ind w:left="480"/>
        <w:spacing w:line="40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法人或者其他组织的营业执照等证明文件，自然人的身份证明</w:t>
      </w:r>
      <w:r>
        <w:rPr>
          <w:highlight w:val="none"/>
        </w:rPr>
      </w:r>
      <w:r/>
    </w:p>
    <w:p>
      <w:pPr>
        <w:pStyle w:val="958"/>
        <w:ind w:left="480"/>
        <w:spacing w:line="4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2024或2025年度的财务状况报告（投标人成立不满一年无需提供）</w:t>
      </w:r>
      <w:r>
        <w:rPr>
          <w:highlight w:val="none"/>
        </w:rPr>
      </w:r>
      <w:r/>
    </w:p>
    <w:p>
      <w:pPr>
        <w:pStyle w:val="958"/>
        <w:ind w:left="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依法缴纳税收和社会保障资金的相关材料（提供提交投标文件截止时间前一年</w:t>
      </w:r>
      <w:r>
        <w:rPr>
          <w:highlight w:val="none"/>
        </w:rPr>
      </w:r>
      <w:r/>
    </w:p>
    <w:p>
      <w:pPr>
        <w:pStyle w:val="958"/>
        <w:spacing w:line="400" w:lineRule="exact"/>
        <w:rPr>
          <w:rFonts w:hint="eastAsia" w:ascii="宋体" w:hAnsi="宋体"/>
          <w:color w:val="000000"/>
          <w:sz w:val="24"/>
          <w:highlight w:val="none"/>
        </w:rPr>
      </w:pPr>
      <w:r>
        <w:rPr>
          <w:rFonts w:hint="eastAsia" w:ascii="宋体" w:hAnsi="宋体"/>
          <w:color w:val="000000"/>
          <w:sz w:val="24"/>
          <w:highlight w:val="none"/>
        </w:rPr>
        <w:t xml:space="preserve">内至少一个月依法缴纳税收及缴纳社会保障资金的证明材料。投标人依法享受缓缴、免缴税收、社会保障资金的提供证明材料。）</w:t>
      </w:r>
      <w:r>
        <w:rPr>
          <w:highlight w:val="none"/>
        </w:rPr>
      </w:r>
      <w:r/>
    </w:p>
    <w:p>
      <w:pPr>
        <w:pStyle w:val="958"/>
        <w:ind w:left="480"/>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具备履行合同所必需的设备和专业技术能力的书面声明（格式见</w:t>
      </w:r>
      <w:r>
        <w:rPr>
          <w:rFonts w:ascii="宋体" w:hAnsi="宋体"/>
          <w:color w:val="000000"/>
          <w:sz w:val="24"/>
          <w:highlight w:val="none"/>
        </w:rPr>
        <w:t xml:space="preserve">附件5</w:t>
      </w:r>
      <w:r>
        <w:rPr>
          <w:rFonts w:hint="eastAsia" w:ascii="宋体" w:hAnsi="宋体"/>
          <w:color w:val="000000"/>
          <w:sz w:val="24"/>
          <w:highlight w:val="none"/>
        </w:rPr>
        <w:t xml:space="preserve">）</w:t>
      </w:r>
      <w:r>
        <w:rPr>
          <w:highlight w:val="none"/>
        </w:rPr>
      </w:r>
      <w:r/>
    </w:p>
    <w:p>
      <w:pPr>
        <w:pStyle w:val="958"/>
        <w:ind w:left="480"/>
        <w:spacing w:line="400" w:lineRule="exact"/>
        <w:rPr>
          <w:rFonts w:ascii="宋体" w:hAnsi="宋体"/>
          <w:color w:val="000000"/>
          <w:sz w:val="24"/>
          <w:highlight w:val="none"/>
        </w:rPr>
      </w:pPr>
      <w:r>
        <w:rPr>
          <w:rFonts w:hint="eastAsia" w:ascii="宋体" w:hAnsi="宋体"/>
          <w:color w:val="000000"/>
          <w:sz w:val="24"/>
          <w:highlight w:val="none"/>
        </w:rPr>
        <w:t xml:space="preserve">5.参加政府采购活动前 3 年内在经营活动中没有重大违法记录的书面声明（格式</w:t>
      </w:r>
      <w:r>
        <w:rPr>
          <w:highlight w:val="none"/>
        </w:rPr>
      </w:r>
      <w:r/>
    </w:p>
    <w:p>
      <w:pPr>
        <w:pStyle w:val="958"/>
        <w:spacing w:line="400" w:lineRule="exact"/>
        <w:rPr>
          <w:rFonts w:hint="eastAsia" w:ascii="宋体" w:hAnsi="宋体"/>
          <w:color w:val="000000"/>
          <w:sz w:val="24"/>
          <w:highlight w:val="none"/>
        </w:rPr>
      </w:pPr>
      <w:r>
        <w:rPr>
          <w:rFonts w:hint="eastAsia" w:ascii="宋体" w:hAnsi="宋体"/>
          <w:color w:val="000000"/>
          <w:sz w:val="24"/>
          <w:highlight w:val="none"/>
        </w:rPr>
        <w:t xml:space="preserve">见</w:t>
      </w:r>
      <w:r>
        <w:rPr>
          <w:rFonts w:ascii="宋体" w:hAnsi="宋体"/>
          <w:color w:val="000000"/>
          <w:sz w:val="24"/>
          <w:highlight w:val="none"/>
        </w:rPr>
        <w:t xml:space="preserve">附件6</w:t>
      </w:r>
      <w:r>
        <w:rPr>
          <w:rFonts w:hint="eastAsia" w:ascii="宋体" w:hAnsi="宋体"/>
          <w:color w:val="000000"/>
          <w:sz w:val="24"/>
          <w:highlight w:val="none"/>
        </w:rPr>
        <w:t xml:space="preserve">）</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特定资格要求的证明文件（如果本项目对投标人</w:t>
      </w:r>
      <w:r>
        <w:rPr>
          <w:rFonts w:ascii="宋体" w:hAnsi="宋体"/>
          <w:color w:val="000000"/>
          <w:sz w:val="24"/>
          <w:highlight w:val="none"/>
        </w:rPr>
        <w:t xml:space="preserve">做出特定资格要求的</w:t>
      </w:r>
      <w:r>
        <w:rPr>
          <w:rFonts w:hint="eastAsia" w:ascii="宋体" w:hAnsi="宋体"/>
          <w:color w:val="000000"/>
          <w:sz w:val="24"/>
          <w:highlight w:val="none"/>
        </w:rPr>
        <w:t xml:space="preserve">，必须提供）</w:t>
      </w:r>
      <w:r>
        <w:rPr>
          <w:highlight w:val="none"/>
        </w:rPr>
      </w:r>
      <w:r/>
    </w:p>
    <w:p>
      <w:pPr>
        <w:pStyle w:val="95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法人授权书（格式见附件</w:t>
      </w:r>
      <w:r>
        <w:rPr>
          <w:rFonts w:ascii="宋体" w:hAnsi="宋体"/>
          <w:color w:val="000000"/>
          <w:sz w:val="24"/>
          <w:highlight w:val="none"/>
        </w:rPr>
        <w:t xml:space="preserve">7</w:t>
      </w:r>
      <w:r>
        <w:rPr>
          <w:rFonts w:hint="eastAsia" w:ascii="宋体" w:hAnsi="宋体"/>
          <w:color w:val="000000"/>
          <w:sz w:val="24"/>
          <w:highlight w:val="none"/>
        </w:rPr>
        <w:t xml:space="preserve">）</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投标函（格式见附件</w:t>
      </w:r>
      <w:r>
        <w:rPr>
          <w:rFonts w:ascii="宋体" w:hAnsi="宋体"/>
          <w:color w:val="000000"/>
          <w:sz w:val="24"/>
          <w:highlight w:val="none"/>
        </w:rPr>
        <w:t xml:space="preserve">8</w:t>
      </w:r>
      <w:r>
        <w:rPr>
          <w:rFonts w:hint="eastAsia" w:ascii="宋体" w:hAnsi="宋体"/>
          <w:color w:val="000000"/>
          <w:sz w:val="24"/>
          <w:highlight w:val="none"/>
        </w:rPr>
        <w:t xml:space="preserve">）</w:t>
      </w:r>
      <w:r>
        <w:rPr>
          <w:highlight w:val="none"/>
        </w:rPr>
      </w:r>
      <w:r/>
    </w:p>
    <w:p>
      <w:pPr>
        <w:pStyle w:val="958"/>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总备注：上述“资格审查内容”中1-6条、8、9条投标人必须在投标文件中提</w:t>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供相关材料，否则作无效投标处理。</w:t>
      </w:r>
      <w:r>
        <w:rPr>
          <w:highlight w:val="none"/>
        </w:rPr>
      </w:r>
      <w:r/>
    </w:p>
    <w:p>
      <w:pPr>
        <w:pStyle w:val="958"/>
        <w:ind w:left="480"/>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w:t>
      </w:r>
      <w:r>
        <w:rPr>
          <w:rFonts w:hint="eastAsia" w:ascii="宋体" w:hAnsi="宋体"/>
          <w:b/>
          <w:color w:val="000000"/>
          <w:sz w:val="24"/>
          <w:highlight w:val="none"/>
        </w:rPr>
        <w:t xml:space="preserve">符合性</w:t>
      </w:r>
      <w:r>
        <w:rPr>
          <w:rFonts w:ascii="宋体" w:hAnsi="宋体"/>
          <w:b/>
          <w:color w:val="000000"/>
          <w:sz w:val="24"/>
          <w:highlight w:val="none"/>
        </w:rPr>
        <w:t xml:space="preserve">审查内容</w:t>
      </w:r>
      <w:r>
        <w:rPr>
          <w:highlight w:val="none"/>
        </w:rPr>
      </w:r>
      <w:r/>
    </w:p>
    <w:p>
      <w:pPr>
        <w:pStyle w:val="95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投标人必须</w:t>
      </w:r>
      <w:r>
        <w:rPr>
          <w:rFonts w:ascii="宋体" w:hAnsi="宋体"/>
          <w:color w:val="000000"/>
          <w:sz w:val="24"/>
          <w:highlight w:val="none"/>
        </w:rPr>
        <w:t xml:space="preserve">对</w:t>
      </w:r>
      <w:r>
        <w:rPr>
          <w:rFonts w:hint="eastAsia" w:ascii="宋体" w:hAnsi="宋体"/>
          <w:color w:val="000000"/>
          <w:sz w:val="24"/>
          <w:highlight w:val="none"/>
        </w:rPr>
        <w:t xml:space="preserve">招标文件（含技术</w:t>
      </w:r>
      <w:r>
        <w:rPr>
          <w:rFonts w:ascii="宋体" w:hAnsi="宋体"/>
          <w:color w:val="000000"/>
          <w:sz w:val="24"/>
          <w:highlight w:val="none"/>
        </w:rPr>
        <w:t xml:space="preserve">要求和商务</w:t>
      </w:r>
      <w:r>
        <w:rPr>
          <w:rFonts w:hint="eastAsia" w:ascii="宋体" w:hAnsi="宋体"/>
          <w:color w:val="000000"/>
          <w:sz w:val="24"/>
          <w:highlight w:val="none"/>
        </w:rPr>
        <w:t xml:space="preserve">要求）</w:t>
      </w:r>
      <w:r>
        <w:rPr>
          <w:rFonts w:ascii="宋体" w:hAnsi="宋体"/>
          <w:color w:val="000000"/>
          <w:sz w:val="24"/>
          <w:highlight w:val="none"/>
        </w:rPr>
        <w:t xml:space="preserve">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w:t>
      </w:r>
      <w:r>
        <w:rPr>
          <w:rFonts w:ascii="宋体" w:hAnsi="宋体"/>
          <w:color w:val="000000"/>
          <w:sz w:val="24"/>
          <w:highlight w:val="none"/>
        </w:rPr>
        <w:t xml:space="preserve">的实质性要求</w:t>
      </w:r>
      <w:r>
        <w:rPr>
          <w:rFonts w:hint="eastAsia" w:ascii="宋体" w:hAnsi="宋体"/>
          <w:color w:val="000000"/>
          <w:sz w:val="24"/>
          <w:highlight w:val="none"/>
        </w:rPr>
        <w:t xml:space="preserve">逐条</w:t>
      </w:r>
      <w:r>
        <w:rPr>
          <w:rFonts w:ascii="宋体" w:hAnsi="宋体"/>
          <w:color w:val="000000"/>
          <w:sz w:val="24"/>
          <w:highlight w:val="none"/>
        </w:rPr>
        <w:t xml:space="preserve">做出响应，并按照招标</w:t>
      </w:r>
      <w:r>
        <w:rPr>
          <w:rFonts w:hint="eastAsia" w:ascii="宋体" w:hAnsi="宋体"/>
          <w:color w:val="000000"/>
          <w:sz w:val="24"/>
          <w:highlight w:val="none"/>
        </w:rPr>
        <w:t xml:space="preserve">文件</w:t>
      </w:r>
      <w:r>
        <w:rPr>
          <w:rFonts w:ascii="宋体" w:hAnsi="宋体"/>
          <w:color w:val="000000"/>
          <w:sz w:val="24"/>
          <w:highlight w:val="none"/>
        </w:rPr>
        <w:t xml:space="preserve">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hint="eastAsia" w:ascii="宋体" w:hAnsi="宋体"/>
          <w:color w:val="000000"/>
          <w:sz w:val="24"/>
          <w:highlight w:val="none"/>
        </w:rPr>
        <w:t xml:space="preserve">（格式见</w:t>
      </w:r>
      <w:r>
        <w:rPr>
          <w:rFonts w:ascii="宋体" w:hAnsi="宋体"/>
          <w:color w:val="000000"/>
          <w:sz w:val="24"/>
          <w:highlight w:val="none"/>
        </w:rPr>
        <w:t xml:space="preserve">附件1</w:t>
      </w:r>
      <w:r>
        <w:rPr>
          <w:rFonts w:hint="eastAsia" w:ascii="宋体" w:hAnsi="宋体"/>
          <w:color w:val="000000"/>
          <w:sz w:val="24"/>
          <w:highlight w:val="none"/>
        </w:rPr>
        <w:t xml:space="preserve">1）</w:t>
      </w:r>
      <w:r>
        <w:rPr>
          <w:highlight w:val="none"/>
        </w:rPr>
      </w:r>
      <w:r/>
    </w:p>
    <w:p>
      <w:pPr>
        <w:pStyle w:val="958"/>
        <w:ind w:firstLine="480"/>
        <w:rPr>
          <w:rFonts w:ascii="宋体" w:hAnsi="宋体"/>
          <w:b/>
          <w:color w:val="000000"/>
          <w:sz w:val="24"/>
          <w:highlight w:val="none"/>
        </w:rPr>
      </w:pPr>
      <w:r>
        <w:rPr>
          <w:rFonts w:hint="eastAsia" w:ascii="宋体" w:hAnsi="宋体"/>
          <w:b/>
          <w:color w:val="000000"/>
          <w:sz w:val="24"/>
          <w:highlight w:val="none"/>
        </w:rPr>
        <w:t xml:space="preserve">四、价格</w:t>
      </w:r>
      <w:r>
        <w:rPr>
          <w:rFonts w:ascii="宋体" w:hAnsi="宋体"/>
          <w:b/>
          <w:color w:val="000000"/>
          <w:sz w:val="24"/>
          <w:highlight w:val="none"/>
        </w:rPr>
        <w:t xml:space="preserve">扣除证明文件</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中小微企业声明函（</w:t>
      </w:r>
      <w:r>
        <w:rPr>
          <w:rFonts w:ascii="宋体" w:hAnsi="宋体"/>
          <w:color w:val="000000"/>
          <w:sz w:val="24"/>
          <w:highlight w:val="none"/>
        </w:rPr>
        <w:t xml:space="preserve">格式</w:t>
      </w:r>
      <w:r>
        <w:rPr>
          <w:rFonts w:hint="eastAsia" w:ascii="宋体" w:hAnsi="宋体"/>
          <w:color w:val="000000"/>
          <w:sz w:val="24"/>
          <w:highlight w:val="none"/>
        </w:rPr>
        <w:t xml:space="preserve">见</w:t>
      </w:r>
      <w:r>
        <w:rPr>
          <w:rFonts w:ascii="宋体" w:hAnsi="宋体"/>
          <w:color w:val="000000"/>
          <w:sz w:val="24"/>
          <w:highlight w:val="none"/>
        </w:rPr>
        <w:t xml:space="preserve">附件9</w:t>
      </w:r>
      <w:r>
        <w:rPr>
          <w:rFonts w:hint="eastAsia" w:ascii="宋体" w:hAnsi="宋体"/>
          <w:color w:val="000000"/>
          <w:sz w:val="24"/>
          <w:highlight w:val="none"/>
        </w:rPr>
        <w:t xml:space="preserve">）</w:t>
      </w:r>
      <w:r>
        <w:rPr>
          <w:highlight w:val="none"/>
        </w:rPr>
      </w:r>
      <w:r/>
    </w:p>
    <w:p>
      <w:pPr>
        <w:pStyle w:val="95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残疾人福利性单位声明函（</w:t>
      </w:r>
      <w:r>
        <w:rPr>
          <w:rFonts w:ascii="宋体" w:hAnsi="宋体"/>
          <w:color w:val="000000"/>
          <w:sz w:val="24"/>
          <w:highlight w:val="none"/>
        </w:rPr>
        <w:t xml:space="preserve">格式</w:t>
      </w:r>
      <w:r>
        <w:rPr>
          <w:rFonts w:hint="eastAsia" w:ascii="宋体" w:hAnsi="宋体"/>
          <w:color w:val="000000"/>
          <w:sz w:val="24"/>
          <w:highlight w:val="none"/>
        </w:rPr>
        <w:t xml:space="preserve">见</w:t>
      </w:r>
      <w:r>
        <w:rPr>
          <w:rFonts w:ascii="宋体" w:hAnsi="宋体"/>
          <w:color w:val="000000"/>
          <w:sz w:val="24"/>
          <w:highlight w:val="none"/>
        </w:rPr>
        <w:t xml:space="preserve">附件10</w:t>
      </w:r>
      <w:r>
        <w:rPr>
          <w:rFonts w:hint="eastAsia" w:ascii="宋体" w:hAnsi="宋体"/>
          <w:color w:val="000000"/>
          <w:sz w:val="24"/>
          <w:highlight w:val="none"/>
        </w:rPr>
        <w:t xml:space="preserve">）</w:t>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pStyle w:val="958"/>
        <w:rPr>
          <w:rFonts w:hint="eastAsia" w:eastAsia="仿宋_GB2312"/>
          <w:color w:val="000000"/>
          <w:sz w:val="24"/>
          <w:szCs w:val="20"/>
          <w:highlight w:val="none"/>
        </w:rPr>
      </w:pPr>
      <w:r>
        <w:rPr>
          <w:rFonts w:hint="eastAsia" w:ascii="宋体" w:hAnsi="宋体"/>
          <w:b/>
          <w:color w:val="000000"/>
          <w:sz w:val="24"/>
          <w:szCs w:val="24"/>
          <w:highlight w:val="none"/>
        </w:rPr>
        <w:t xml:space="preserve">附件1 开标一览表</w:t>
      </w:r>
      <w:r>
        <w:rPr>
          <w:highlight w:val="none"/>
        </w:rPr>
      </w:r>
      <w:r/>
    </w:p>
    <w:p>
      <w:pPr>
        <w:pStyle w:val="958"/>
        <w:ind w:firstLine="48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highlight w:val="none"/>
        </w:rPr>
      </w:r>
      <w:r/>
    </w:p>
    <w:p>
      <w:pPr>
        <w:pStyle w:val="958"/>
        <w:ind w:firstLine="482"/>
        <w:spacing w:line="0" w:lineRule="atLeast"/>
        <w:rPr>
          <w:color w:val="000000"/>
          <w:sz w:val="24"/>
          <w:szCs w:val="24"/>
          <w:highlight w:val="none"/>
        </w:rPr>
      </w:pPr>
      <w:r>
        <w:rPr>
          <w:rFonts w:hint="eastAsia" w:ascii="宋体" w:hAnsi="宋体"/>
          <w:color w:val="000000"/>
          <w:sz w:val="24"/>
          <w:szCs w:val="24"/>
          <w:highlight w:val="none"/>
        </w:rPr>
        <w:t xml:space="preserve">项目名称：</w:t>
      </w:r>
      <w:r>
        <w:rPr>
          <w:highlight w:val="none"/>
        </w:rPr>
      </w:r>
      <w:r/>
    </w:p>
    <w:p>
      <w:pPr>
        <w:pStyle w:val="958"/>
        <w:ind w:firstLine="482"/>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项目编号：                                   </w:t>
      </w:r>
      <w:r>
        <w:rPr>
          <w:highlight w:val="none"/>
        </w:rPr>
      </w:r>
      <w:r/>
    </w:p>
    <w:p>
      <w:pPr>
        <w:pStyle w:val="958"/>
        <w:ind w:firstLine="482"/>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采购包号：</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58"/>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highlight w:val="none"/>
              </w:rPr>
            </w:r>
            <w:r/>
          </w:p>
        </w:tc>
      </w:tr>
      <w:tr>
        <w:trPr>
          <w:cantSplit/>
          <w:trHeight w:val="612"/>
        </w:trPr>
        <w:tc>
          <w:tcPr>
            <w:tcW w:w="8206" w:type="dxa"/>
            <w:vAlign w:val="center"/>
            <w:textDirection w:val="lrTb"/>
            <w:noWrap w:val="false"/>
          </w:tcPr>
          <w:p>
            <w:pPr>
              <w:pStyle w:val="1065"/>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highlight w:val="none"/>
              </w:rPr>
            </w:r>
            <w:r/>
          </w:p>
        </w:tc>
      </w:tr>
    </w:tbl>
    <w:p>
      <w:pPr>
        <w:pStyle w:val="958"/>
        <w:ind w:firstLine="48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58"/>
        <w:jc w:val="cente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pStyle w:val="95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投标分项报价表（采购包号：**）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100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1246"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1267"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1001"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highlight w:val="none"/>
              </w:rPr>
            </w:r>
            <w:r/>
          </w:p>
        </w:tc>
        <w:tc>
          <w:tcPr>
            <w:tcW w:w="1483"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highlight w:val="none"/>
              </w:rPr>
            </w:r>
            <w:r/>
          </w:p>
        </w:tc>
        <w:tc>
          <w:tcPr>
            <w:tcW w:w="177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highlight w:val="none"/>
              </w:rPr>
            </w:r>
            <w:r/>
          </w:p>
        </w:tc>
      </w:tr>
      <w:tr>
        <w:trPr>
          <w:cantSplit/>
          <w:trHeight w:val="294"/>
        </w:trPr>
        <w:tc>
          <w:tcPr>
            <w:tcW w:w="556" w:type="dxa"/>
            <w:vAlign w:val="center"/>
            <w:vMerge w:val="continue"/>
            <w:textDirection w:val="lrTb"/>
            <w:noWrap w:val="false"/>
          </w:tcPr>
          <w:p>
            <w:pPr>
              <w:pStyle w:val="95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rPr>
                <w:highlight w:val="none"/>
              </w:rPr>
            </w:r>
            <w:r/>
          </w:p>
        </w:tc>
        <w:tc>
          <w:tcPr>
            <w:tcW w:w="1246"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交付期/服务期</w:t>
            </w:r>
            <w:r>
              <w:rPr>
                <w:highlight w:val="none"/>
              </w:rPr>
            </w:r>
            <w:r/>
          </w:p>
        </w:tc>
        <w:tc>
          <w:tcPr>
            <w:tcW w:w="1267"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rPr>
                <w:highlight w:val="none"/>
              </w:rPr>
            </w:r>
            <w:r/>
          </w:p>
        </w:tc>
        <w:tc>
          <w:tcPr>
            <w:tcW w:w="1001"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highlight w:val="none"/>
              </w:rPr>
            </w:r>
            <w:r/>
          </w:p>
        </w:tc>
        <w:tc>
          <w:tcPr>
            <w:tcW w:w="1483"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highlight w:val="none"/>
              </w:rPr>
            </w:r>
            <w:r/>
          </w:p>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highlight w:val="none"/>
              </w:rPr>
            </w:r>
            <w:r/>
          </w:p>
        </w:tc>
        <w:tc>
          <w:tcPr>
            <w:tcW w:w="177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highlight w:val="none"/>
              </w:rPr>
            </w:r>
            <w:r/>
          </w:p>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highlight w:val="none"/>
              </w:rPr>
            </w:r>
            <w:r/>
          </w:p>
        </w:tc>
      </w:tr>
      <w:tr>
        <w:trPr>
          <w:cantSplit/>
          <w:trHeight w:val="654"/>
        </w:trPr>
        <w:tc>
          <w:tcPr>
            <w:tcW w:w="556"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100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246" w:type="dxa"/>
            <w:vAlign w:val="center"/>
            <w:textDirection w:val="lrTb"/>
            <w:noWrap w:val="false"/>
          </w:tcPr>
          <w:p>
            <w:pPr>
              <w:pStyle w:val="958"/>
              <w:jc w:val="center"/>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highlight w:val="none"/>
              </w:rPr>
            </w:r>
            <w:r/>
          </w:p>
        </w:tc>
        <w:tc>
          <w:tcPr>
            <w:tcW w:w="1267"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001"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483"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77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54"/>
        </w:trPr>
        <w:tc>
          <w:tcPr>
            <w:tcW w:w="556"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1008" w:type="dxa"/>
            <w:vAlign w:val="center"/>
            <w:textDirection w:val="lrTb"/>
            <w:noWrap w:val="false"/>
          </w:tcPr>
          <w:p>
            <w:pPr>
              <w:pStyle w:val="95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w:t>
            </w:r>
            <w:r>
              <w:rPr>
                <w:highlight w:val="none"/>
              </w:rPr>
            </w:r>
            <w:r/>
          </w:p>
        </w:tc>
        <w:tc>
          <w:tcPr>
            <w:tcW w:w="1246"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267"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001"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483"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778" w:type="dxa"/>
            <w:vAlign w:val="center"/>
            <w:textDirection w:val="lrTb"/>
            <w:noWrap w:val="false"/>
          </w:tcPr>
          <w:p>
            <w:pPr>
              <w:pStyle w:val="95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487"/>
        </w:trPr>
        <w:tc>
          <w:tcPr>
            <w:gridSpan w:val="7"/>
            <w:tcW w:w="8339" w:type="dxa"/>
            <w:vAlign w:val="center"/>
            <w:textDirection w:val="lrTb"/>
            <w:noWrap w:val="false"/>
          </w:tcPr>
          <w:p>
            <w:pPr>
              <w:pStyle w:val="958"/>
              <w:spacing w:line="0" w:lineRule="atLeast"/>
              <w:rPr>
                <w:rFonts w:ascii="宋体" w:hAnsi="宋体"/>
                <w:color w:val="000000"/>
                <w:sz w:val="24"/>
                <w:szCs w:val="24"/>
                <w:highlight w:val="none"/>
                <w:u w:val="singl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u w:val="single"/>
              </w:rPr>
              <w:t xml:space="preserve">                          </w:t>
            </w:r>
            <w:r>
              <w:rPr>
                <w:highlight w:val="none"/>
              </w:rPr>
            </w:r>
            <w:r/>
          </w:p>
        </w:tc>
      </w:tr>
    </w:tbl>
    <w:p>
      <w:pPr>
        <w:pStyle w:val="95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备注：</w:t>
      </w:r>
      <w:r>
        <w:rPr>
          <w:highlight w:val="none"/>
        </w:rPr>
      </w:r>
      <w:r/>
    </w:p>
    <w:p>
      <w:pPr>
        <w:pStyle w:val="95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highlight w:val="none"/>
        </w:rPr>
      </w:r>
      <w:r/>
    </w:p>
    <w:p>
      <w:pPr>
        <w:pStyle w:val="95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2.“投标分项报价表”中“投标总报价”数额应当与“开标一览表”中“投标总报价”数额一致。</w:t>
      </w:r>
      <w:r>
        <w:rPr>
          <w:highlight w:val="none"/>
        </w:rPr>
      </w:r>
      <w:r/>
    </w:p>
    <w:p>
      <w:pPr>
        <w:pStyle w:val="958"/>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highlight w:val="none"/>
        </w:rPr>
        <w:t xml:space="preserve"> 项目</w:t>
      </w:r>
      <w:r>
        <w:rPr>
          <w:rFonts w:ascii="宋体" w:hAnsi="宋体"/>
          <w:color w:val="000000"/>
          <w:sz w:val="24"/>
          <w:highlight w:val="none"/>
        </w:rPr>
        <w:t xml:space="preserve">经办人可以根据</w:t>
      </w:r>
      <w:r>
        <w:rPr>
          <w:rFonts w:hint="eastAsia" w:ascii="宋体" w:hAnsi="宋体"/>
          <w:color w:val="000000"/>
          <w:sz w:val="24"/>
          <w:highlight w:val="none"/>
        </w:rPr>
        <w:t xml:space="preserve">项目</w:t>
      </w:r>
      <w:r>
        <w:rPr>
          <w:rFonts w:ascii="宋体" w:hAnsi="宋体"/>
          <w:color w:val="000000"/>
          <w:sz w:val="24"/>
          <w:highlight w:val="none"/>
        </w:rPr>
        <w:t xml:space="preserve">实际需要</w:t>
      </w:r>
      <w:r>
        <w:rPr>
          <w:rFonts w:hint="eastAsia" w:ascii="宋体" w:hAnsi="宋体"/>
          <w:color w:val="000000"/>
          <w:sz w:val="24"/>
          <w:highlight w:val="none"/>
        </w:rPr>
        <w:t xml:space="preserve">对</w:t>
      </w:r>
      <w:r>
        <w:rPr>
          <w:rFonts w:ascii="宋体" w:hAnsi="宋体"/>
          <w:color w:val="000000"/>
          <w:sz w:val="24"/>
          <w:highlight w:val="none"/>
        </w:rPr>
        <w:t xml:space="preserve">表格结构进行</w:t>
      </w:r>
      <w:r>
        <w:rPr>
          <w:rFonts w:hint="eastAsia" w:ascii="宋体" w:hAnsi="宋体"/>
          <w:color w:val="000000"/>
          <w:sz w:val="24"/>
          <w:highlight w:val="none"/>
        </w:rPr>
        <w:t xml:space="preserve">调整</w:t>
      </w:r>
      <w:r>
        <w:rPr>
          <w:rFonts w:ascii="宋体" w:hAnsi="宋体"/>
          <w:color w:val="000000"/>
          <w:sz w:val="24"/>
          <w:highlight w:val="none"/>
        </w:rPr>
        <w:t xml:space="preserve">。</w:t>
      </w:r>
      <w:r>
        <w:rPr>
          <w:highlight w:val="none"/>
        </w:rPr>
      </w:r>
      <w:r/>
    </w:p>
    <w:p>
      <w:pPr>
        <w:pStyle w:val="958"/>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58"/>
        <w:jc w:val="center"/>
        <w:spacing w:line="0" w:lineRule="atLeas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人员工资、社会保险和公积金三项费用报价表（采购包号：**）</w:t>
      </w:r>
      <w:r>
        <w:rPr>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2879"/>
      </w:tblGrid>
      <w:tr>
        <w:trPr>
          <w:trHeight w:val="369"/>
        </w:trPr>
        <w:tc>
          <w:tcPr>
            <w:tcW w:w="61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highlight w:val="none"/>
              </w:rPr>
            </w:r>
            <w:r/>
          </w:p>
        </w:tc>
        <w:tc>
          <w:tcPr>
            <w:tcW w:w="1521"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分项名称</w:t>
            </w:r>
            <w:r>
              <w:rPr>
                <w:highlight w:val="none"/>
              </w:rPr>
            </w:r>
            <w:r/>
          </w:p>
        </w:tc>
        <w:tc>
          <w:tcPr>
            <w:tcW w:w="723"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w:t>
            </w:r>
            <w:r>
              <w:rPr>
                <w:highlight w:val="none"/>
              </w:rPr>
            </w:r>
            <w:r/>
          </w:p>
        </w:tc>
        <w:tc>
          <w:tcPr>
            <w:tcW w:w="96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分项</w:t>
            </w:r>
            <w:r>
              <w:rPr>
                <w:highlight w:val="none"/>
              </w:rPr>
            </w:r>
            <w:r/>
          </w:p>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单价</w:t>
            </w:r>
            <w:r>
              <w:rPr>
                <w:highlight w:val="none"/>
              </w:rPr>
            </w:r>
            <w:r/>
          </w:p>
        </w:tc>
        <w:tc>
          <w:tcPr>
            <w:tcW w:w="1123"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期 限</w:t>
            </w:r>
            <w:r>
              <w:rPr>
                <w:highlight w:val="none"/>
              </w:rPr>
            </w:r>
            <w:r/>
          </w:p>
        </w:tc>
        <w:tc>
          <w:tcPr>
            <w:tcW w:w="113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分项</w:t>
            </w:r>
            <w:r>
              <w:rPr>
                <w:highlight w:val="none"/>
              </w:rPr>
            </w:r>
            <w:r/>
          </w:p>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总价1</w:t>
            </w:r>
            <w:r>
              <w:rPr>
                <w:highlight w:val="none"/>
              </w:rPr>
            </w:r>
            <w:r/>
          </w:p>
        </w:tc>
        <w:tc>
          <w:tcPr>
            <w:tcW w:w="2879" w:type="dxa"/>
            <w:vAlign w:val="center"/>
            <w:vMerge w:val="restart"/>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要求说明</w:t>
            </w:r>
            <w:r>
              <w:rPr>
                <w:highlight w:val="none"/>
              </w:rPr>
            </w:r>
            <w:r/>
          </w:p>
        </w:tc>
      </w:tr>
      <w:tr>
        <w:trPr>
          <w:trHeight w:val="369"/>
        </w:trPr>
        <w:tc>
          <w:tcPr>
            <w:tcW w:w="61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highlight w:val="none"/>
              </w:rPr>
            </w:r>
            <w:r/>
          </w:p>
        </w:tc>
        <w:tc>
          <w:tcPr>
            <w:tcW w:w="1521"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人员工资</w:t>
            </w:r>
            <w:r>
              <w:rPr>
                <w:highlight w:val="none"/>
              </w:rPr>
            </w:r>
            <w:r/>
          </w:p>
        </w:tc>
        <w:tc>
          <w:tcPr>
            <w:tcW w:w="723"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人数</w:t>
            </w:r>
            <w:r>
              <w:rPr>
                <w:highlight w:val="none"/>
              </w:rPr>
            </w:r>
            <w:r/>
          </w:p>
        </w:tc>
        <w:tc>
          <w:tcPr>
            <w:tcW w:w="96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元/月·人</w:t>
            </w:r>
            <w:r>
              <w:rPr>
                <w:highlight w:val="none"/>
              </w:rPr>
            </w:r>
            <w:r/>
          </w:p>
        </w:tc>
        <w:tc>
          <w:tcPr>
            <w:tcW w:w="1123"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月</w:t>
            </w:r>
            <w:r>
              <w:rPr>
                <w:highlight w:val="none"/>
              </w:rPr>
            </w:r>
            <w:r/>
          </w:p>
        </w:tc>
        <w:tc>
          <w:tcPr>
            <w:tcW w:w="1136" w:type="dxa"/>
            <w:vAlign w:val="center"/>
            <w:textDirection w:val="lrTb"/>
            <w:noWrap w:val="false"/>
          </w:tcPr>
          <w:p>
            <w:pPr>
              <w:pStyle w:val="958"/>
              <w:jc w:val="center"/>
              <w:spacing w:line="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元</w:t>
            </w:r>
            <w:r>
              <w:rPr>
                <w:highlight w:val="none"/>
              </w:rPr>
            </w:r>
            <w:r/>
          </w:p>
        </w:tc>
        <w:tc>
          <w:tcPr>
            <w:tcW w:w="2879" w:type="dxa"/>
            <w:vAlign w:val="center"/>
            <w:vMerge w:val="continue"/>
            <w:textDirection w:val="lrTb"/>
            <w:noWrap w:val="false"/>
          </w:tcPr>
          <w:p>
            <w:pPr>
              <w:pStyle w:val="958"/>
              <w:jc w:val="left"/>
              <w:spacing w:line="0" w:lineRule="atLeas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69"/>
        </w:trPr>
        <w:tc>
          <w:tcPr>
            <w:tcW w:w="616"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highlight w:val="none"/>
              </w:rPr>
            </w:r>
            <w:r/>
          </w:p>
        </w:tc>
        <w:tc>
          <w:tcPr>
            <w:tcW w:w="1521"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岗位1（如：保洁员1）</w:t>
            </w:r>
            <w:r>
              <w:rPr>
                <w:highlight w:val="none"/>
              </w:rPr>
            </w:r>
            <w:r/>
          </w:p>
        </w:tc>
        <w:tc>
          <w:tcPr>
            <w:tcW w:w="723" w:type="dxa"/>
            <w:vAlign w:val="center"/>
            <w:textDirection w:val="lrTb"/>
            <w:noWrap w:val="false"/>
          </w:tcPr>
          <w:p>
            <w:pPr>
              <w:pStyle w:val="958"/>
              <w:jc w:val="center"/>
              <w:spacing w:line="0" w:lineRule="atLeas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96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23" w:type="dxa"/>
            <w:vAlign w:val="top"/>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3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2879" w:type="dxa"/>
            <w:vAlign w:val="center"/>
            <w:textDirection w:val="lrTb"/>
            <w:noWrap w:val="false"/>
          </w:tcPr>
          <w:p>
            <w:pPr>
              <w:pStyle w:val="958"/>
              <w:jc w:val="left"/>
              <w:spacing w:line="0" w:lineRule="atLeast"/>
              <w:rPr>
                <w:rFonts w:ascii="宋体" w:hAnsi="宋体" w:cs="等线"/>
                <w:color w:val="000000"/>
                <w:sz w:val="24"/>
                <w:highlight w:val="none"/>
              </w:rPr>
            </w:pPr>
            <w:r>
              <w:rPr>
                <w:rFonts w:hint="eastAsia" w:ascii="宋体" w:hAnsi="宋体" w:cs="等线"/>
                <w:color w:val="000000"/>
                <w:sz w:val="24"/>
                <w:highlight w:val="none"/>
              </w:rPr>
              <w:t xml:space="preserve">投标人为投入本项目的服务人员缴纳社保和公积金的人数不得低于</w:t>
            </w:r>
            <w:r>
              <w:rPr>
                <w:rFonts w:ascii="宋体" w:hAnsi="宋体" w:cs="等线"/>
                <w:color w:val="000000"/>
                <w:sz w:val="24"/>
                <w:highlight w:val="none"/>
              </w:rPr>
              <w:t xml:space="preserve">28</w:t>
            </w:r>
            <w:r>
              <w:rPr>
                <w:rFonts w:hint="eastAsia" w:ascii="宋体" w:hAnsi="宋体" w:cs="等线"/>
                <w:color w:val="000000"/>
                <w:sz w:val="24"/>
                <w:highlight w:val="none"/>
              </w:rPr>
              <w:t xml:space="preserve">人。因项目特殊性，（本项目不接受享受社保公积金减免政策人员、退休返聘人员等）</w:t>
            </w:r>
            <w:r>
              <w:rPr>
                <w:highlight w:val="none"/>
              </w:rPr>
            </w:r>
            <w:r/>
          </w:p>
          <w:p>
            <w:pPr>
              <w:pStyle w:val="958"/>
              <w:jc w:val="left"/>
              <w:spacing w:line="0" w:lineRule="atLeast"/>
              <w:rPr>
                <w:bCs/>
                <w:color w:val="000000"/>
                <w:sz w:val="24"/>
                <w:highlight w:val="none"/>
              </w:rPr>
            </w:pPr>
            <w:r>
              <w:rPr>
                <w:rFonts w:hint="eastAsia" w:ascii="宋体" w:hAnsi="宋体" w:cs="等线"/>
                <w:color w:val="000000"/>
                <w:sz w:val="24"/>
                <w:highlight w:val="none"/>
              </w:rPr>
              <w:t xml:space="preserve">社保费用不得低于镇江市最低标准，</w:t>
            </w:r>
            <w:r>
              <w:rPr>
                <w:rFonts w:hint="eastAsia"/>
                <w:bCs/>
                <w:color w:val="000000"/>
                <w:sz w:val="24"/>
                <w:highlight w:val="none"/>
              </w:rPr>
              <w:t xml:space="preserve">否则做无效投标处理。</w:t>
            </w:r>
            <w:r>
              <w:rPr>
                <w:highlight w:val="none"/>
              </w:rPr>
            </w:r>
            <w:r/>
          </w:p>
          <w:p>
            <w:pPr>
              <w:pStyle w:val="958"/>
              <w:jc w:val="left"/>
              <w:spacing w:line="0" w:lineRule="atLeast"/>
              <w:rPr>
                <w:rFonts w:hint="eastAsia" w:ascii="宋体" w:hAnsi="宋体" w:cs="宋体"/>
                <w:color w:val="000000"/>
                <w:sz w:val="24"/>
                <w:szCs w:val="24"/>
                <w:highlight w:val="none"/>
              </w:rPr>
            </w:pPr>
            <w:r>
              <w:rPr>
                <w:rFonts w:hint="eastAsia" w:ascii="宋体" w:hAnsi="宋体" w:cs="等线"/>
                <w:color w:val="000000"/>
                <w:sz w:val="24"/>
                <w:highlight w:val="none"/>
              </w:rPr>
              <w:t xml:space="preserve">公积金不得低于镇江市最低标准，</w:t>
            </w:r>
            <w:r>
              <w:rPr>
                <w:rFonts w:hint="eastAsia" w:ascii="宋体" w:hAnsi="宋体" w:cs="等线"/>
                <w:color w:val="000000"/>
                <w:sz w:val="24"/>
                <w:highlight w:val="none"/>
                <w:lang w:bidi="en-US"/>
              </w:rPr>
              <w:t xml:space="preserve">且最低工资不包含劳动者按下限缴存的住房公积金，由用人单位按规定另行支付，须测算在公积金报价中，含在投标报价中，否则做无效投标处理。</w:t>
            </w:r>
            <w:r>
              <w:rPr>
                <w:highlight w:val="none"/>
              </w:rPr>
            </w:r>
            <w:r/>
          </w:p>
        </w:tc>
      </w:tr>
      <w:tr>
        <w:trPr>
          <w:trHeight w:val="369"/>
        </w:trPr>
        <w:tc>
          <w:tcPr>
            <w:tcW w:w="616"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highlight w:val="none"/>
              </w:rPr>
            </w:r>
            <w:r/>
          </w:p>
        </w:tc>
        <w:tc>
          <w:tcPr>
            <w:tcW w:w="1521"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岗位2（如：保洁员2）</w:t>
            </w:r>
            <w:r>
              <w:rPr>
                <w:highlight w:val="none"/>
              </w:rPr>
            </w:r>
            <w:r/>
          </w:p>
        </w:tc>
        <w:tc>
          <w:tcPr>
            <w:tcW w:w="723" w:type="dxa"/>
            <w:vAlign w:val="center"/>
            <w:textDirection w:val="lrTb"/>
            <w:noWrap w:val="false"/>
          </w:tcPr>
          <w:p>
            <w:pPr>
              <w:pStyle w:val="958"/>
              <w:jc w:val="center"/>
              <w:spacing w:line="0" w:lineRule="atLeas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96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23" w:type="dxa"/>
            <w:vAlign w:val="top"/>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3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2879" w:type="dxa"/>
            <w:vAlign w:val="center"/>
            <w:textDirection w:val="lrTb"/>
            <w:noWrap w:val="false"/>
          </w:tcPr>
          <w:p>
            <w:pPr>
              <w:pStyle w:val="958"/>
              <w:jc w:val="left"/>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r>
      <w:tr>
        <w:trPr>
          <w:trHeight w:val="369"/>
        </w:trPr>
        <w:tc>
          <w:tcPr>
            <w:tcW w:w="616"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highlight w:val="none"/>
              </w:rPr>
            </w:r>
            <w:r/>
          </w:p>
        </w:tc>
        <w:tc>
          <w:tcPr>
            <w:tcW w:w="1521" w:type="dxa"/>
            <w:vAlign w:val="center"/>
            <w:textDirection w:val="lrTb"/>
            <w:noWrap w:val="false"/>
          </w:tcPr>
          <w:p>
            <w:pPr>
              <w:pStyle w:val="958"/>
              <w:jc w:val="center"/>
              <w:spacing w:line="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tc>
        <w:tc>
          <w:tcPr>
            <w:tcW w:w="723" w:type="dxa"/>
            <w:vAlign w:val="center"/>
            <w:textDirection w:val="lrTb"/>
            <w:noWrap w:val="false"/>
          </w:tcPr>
          <w:p>
            <w:pPr>
              <w:pStyle w:val="958"/>
              <w:jc w:val="center"/>
              <w:spacing w:line="0" w:lineRule="atLeas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rPr>
                <w:highlight w:val="none"/>
              </w:rPr>
            </w:r>
            <w:r/>
          </w:p>
        </w:tc>
        <w:tc>
          <w:tcPr>
            <w:tcW w:w="96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23" w:type="dxa"/>
            <w:vAlign w:val="top"/>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1136" w:type="dxa"/>
            <w:vAlign w:val="center"/>
            <w:textDirection w:val="lrTb"/>
            <w:noWrap w:val="false"/>
          </w:tcPr>
          <w:p>
            <w:pPr>
              <w:pStyle w:val="958"/>
              <w:jc w:val="center"/>
              <w:spacing w:line="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2879" w:type="dxa"/>
            <w:vAlign w:val="center"/>
            <w:textDirection w:val="lrTb"/>
            <w:noWrap w:val="false"/>
          </w:tcPr>
          <w:p>
            <w:pPr>
              <w:pStyle w:val="958"/>
              <w:jc w:val="left"/>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r>
    </w:tbl>
    <w:p>
      <w:pPr>
        <w:pStyle w:val="958"/>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highlight w:val="none"/>
        </w:rPr>
      </w:r>
      <w:r/>
    </w:p>
    <w:p>
      <w:pPr>
        <w:pStyle w:val="958"/>
        <w:spacing w:line="0" w:lineRule="atLeas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1.本表仅适用物业管理服务品目政府采购项目，供应商需在投标（响应）文件中填报此表。</w:t>
      </w:r>
      <w:r>
        <w:rPr>
          <w:highlight w:val="none"/>
        </w:rPr>
      </w:r>
      <w:r/>
    </w:p>
    <w:p>
      <w:pPr>
        <w:pStyle w:val="958"/>
        <w:spacing w:line="0" w:lineRule="atLeast"/>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2.供应商在投标（响应）文件中响应的拟投入本项目的服务人员不得是全日制在校学生。</w:t>
      </w:r>
      <w:r>
        <w:rPr>
          <w:highlight w:val="none"/>
        </w:rPr>
      </w:r>
      <w:r/>
    </w:p>
    <w:p>
      <w:pPr>
        <w:pStyle w:val="958"/>
        <w:spacing w:line="400" w:lineRule="exact"/>
        <w:rPr>
          <w:rFonts w:hint="eastAsia" w:ascii="方正魏碑_GBK" w:hAnsi="方正魏碑_GBK" w:eastAsia="方正魏碑_GBK" w:cs="方正魏碑_GBK"/>
          <w:b/>
          <w:bCs/>
          <w:color w:val="000000"/>
          <w:sz w:val="28"/>
          <w:szCs w:val="28"/>
          <w:highlight w:val="none"/>
        </w:rPr>
      </w:pPr>
      <w:r>
        <w:rPr>
          <w:rFonts w:hint="eastAsia" w:ascii="方正魏碑_GBK" w:hAnsi="方正魏碑_GBK" w:eastAsia="方正魏碑_GBK" w:cs="方正魏碑_GBK"/>
          <w:b/>
          <w:bCs/>
          <w:color w:val="000000"/>
          <w:sz w:val="28"/>
          <w:szCs w:val="28"/>
          <w:highlight w:val="none"/>
        </w:rPr>
      </w:r>
      <w:r>
        <w:rPr>
          <w:highlight w:val="none"/>
        </w:rPr>
      </w:r>
      <w:r/>
    </w:p>
    <w:p>
      <w:pPr>
        <w:pStyle w:val="958"/>
        <w:rPr>
          <w:color w:val="000000"/>
          <w:highlight w:val="none"/>
        </w:rPr>
      </w:pPr>
      <w:r>
        <w:rPr>
          <w:color w:val="000000"/>
          <w:highlight w:val="none"/>
        </w:rPr>
      </w:r>
      <w:r>
        <w:rPr>
          <w:highlight w:val="none"/>
        </w:rPr>
      </w:r>
      <w:r/>
    </w:p>
    <w:p>
      <w:pPr>
        <w:pStyle w:val="958"/>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ind w:firstLine="480"/>
        <w:rPr>
          <w:rFonts w:ascii="宋体" w:hAnsi="宋体"/>
          <w:color w:val="000000"/>
          <w:sz w:val="24"/>
          <w:szCs w:val="24"/>
          <w:highlight w:val="none"/>
        </w:rPr>
      </w:pPr>
      <w:r>
        <w:rPr>
          <w:rFonts w:hint="eastAsia" w:ascii="宋体" w:hAnsi="宋体"/>
          <w:color w:val="000000"/>
          <w:sz w:val="24"/>
          <w:szCs w:val="24"/>
          <w:highlight w:val="none"/>
        </w:rPr>
        <w:t xml:space="preserve">                                           </w:t>
      </w:r>
      <w:r>
        <w:rPr>
          <w:highlight w:val="none"/>
        </w:rPr>
      </w:r>
      <w:r/>
    </w:p>
    <w:p>
      <w:pPr>
        <w:pStyle w:val="95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技术要求响应及偏离表（采购包号：**）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063"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技术要求</w:t>
            </w:r>
            <w:r>
              <w:rPr>
                <w:highlight w:val="none"/>
              </w:rPr>
            </w:r>
            <w:r/>
          </w:p>
        </w:tc>
        <w:tc>
          <w:tcPr>
            <w:tcW w:w="3191"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2128"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063"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063"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1.投标人需对招标文件技术要求中非实质性要求（</w:t>
      </w:r>
      <w:r>
        <w:rPr>
          <w:rFonts w:hint="eastAsia" w:ascii="宋体" w:hAnsi="宋体" w:cs="宋体"/>
          <w:b/>
          <w:color w:val="000000"/>
          <w:sz w:val="24"/>
          <w:szCs w:val="24"/>
          <w:highlight w:val="none"/>
        </w:rPr>
        <w:t xml:space="preserve">未加</w:t>
      </w:r>
      <w:r>
        <w:rPr>
          <w:rFonts w:hint="eastAsia" w:ascii="宋体" w:hAnsi="宋体" w:cs="宋体"/>
          <w:b/>
          <w:i/>
          <w:color w:val="000000"/>
          <w:sz w:val="24"/>
          <w:szCs w:val="24"/>
          <w:highlight w:val="none"/>
          <w:u w:val="single"/>
        </w:rPr>
        <w:t xml:space="preserve">斜体下划线</w:t>
      </w:r>
      <w:r>
        <w:rPr>
          <w:rFonts w:hint="eastAsia" w:ascii="宋体" w:hAnsi="宋体" w:cs="宋体"/>
          <w:b/>
          <w:iCs/>
          <w:color w:val="000000"/>
          <w:sz w:val="24"/>
          <w:szCs w:val="24"/>
          <w:highlight w:val="none"/>
        </w:rPr>
        <w:t xml:space="preserve">部分</w:t>
      </w:r>
      <w:r>
        <w:rPr>
          <w:rFonts w:hint="eastAsia" w:ascii="宋体" w:hAnsi="宋体" w:cs="宋体"/>
          <w:b/>
          <w:color w:val="000000"/>
          <w:sz w:val="24"/>
          <w:szCs w:val="24"/>
          <w:highlight w:val="none"/>
        </w:rPr>
        <w:t xml:space="preserve">或未加*号条款</w:t>
      </w:r>
      <w:r>
        <w:rPr>
          <w:rFonts w:hint="eastAsia" w:ascii="宋体" w:hAnsi="宋体" w:cs="宋体"/>
          <w:color w:val="000000"/>
          <w:sz w:val="24"/>
          <w:szCs w:val="24"/>
          <w:highlight w:val="non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4 </w:t>
      </w:r>
      <w:r>
        <w:rPr>
          <w:rFonts w:hint="eastAsia" w:ascii="宋体" w:hAnsi="宋体"/>
          <w:b/>
          <w:color w:val="000000"/>
          <w:sz w:val="24"/>
          <w:szCs w:val="24"/>
          <w:highlight w:val="none"/>
        </w:rPr>
        <w:t xml:space="preserve">商务要求响应及偏离表（采购包号：**）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063"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商务要求 </w:t>
            </w:r>
            <w:r>
              <w:rPr>
                <w:highlight w:val="none"/>
              </w:rPr>
            </w:r>
            <w:r/>
          </w:p>
        </w:tc>
        <w:tc>
          <w:tcPr>
            <w:tcW w:w="3191"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2128"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063"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063"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191"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highlight w:val="none"/>
        </w:rPr>
      </w:r>
      <w:r/>
    </w:p>
    <w:p>
      <w:pPr>
        <w:pStyle w:val="958"/>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1.投标人需对招标文件商务要求中非实质性要求（</w:t>
      </w:r>
      <w:r>
        <w:rPr>
          <w:rFonts w:hint="eastAsia" w:ascii="宋体" w:hAnsi="宋体" w:cs="宋体"/>
          <w:b/>
          <w:color w:val="000000"/>
          <w:sz w:val="24"/>
          <w:szCs w:val="24"/>
          <w:highlight w:val="none"/>
        </w:rPr>
        <w:t xml:space="preserve">未加</w:t>
      </w:r>
      <w:r>
        <w:rPr>
          <w:rFonts w:hint="eastAsia" w:ascii="宋体" w:hAnsi="宋体" w:cs="宋体"/>
          <w:b/>
          <w:i/>
          <w:color w:val="000000"/>
          <w:sz w:val="24"/>
          <w:szCs w:val="24"/>
          <w:highlight w:val="none"/>
          <w:u w:val="single"/>
        </w:rPr>
        <w:t xml:space="preserve">斜体下划线</w:t>
      </w:r>
      <w:r>
        <w:rPr>
          <w:rFonts w:hint="eastAsia" w:ascii="宋体" w:hAnsi="宋体" w:cs="宋体"/>
          <w:b/>
          <w:iCs/>
          <w:color w:val="000000"/>
          <w:sz w:val="24"/>
          <w:szCs w:val="24"/>
          <w:highlight w:val="none"/>
        </w:rPr>
        <w:t xml:space="preserve">部分</w:t>
      </w:r>
      <w:r>
        <w:rPr>
          <w:rFonts w:hint="eastAsia" w:ascii="宋体" w:hAnsi="宋体" w:cs="宋体"/>
          <w:b/>
          <w:color w:val="000000"/>
          <w:sz w:val="24"/>
          <w:szCs w:val="24"/>
          <w:highlight w:val="none"/>
        </w:rPr>
        <w:t xml:space="preserve">或未加*号条款</w:t>
      </w:r>
      <w:r>
        <w:rPr>
          <w:rFonts w:hint="eastAsia" w:ascii="宋体" w:hAnsi="宋体" w:cs="宋体"/>
          <w:color w:val="000000"/>
          <w:sz w:val="24"/>
          <w:szCs w:val="24"/>
          <w:highlight w:val="none"/>
        </w:rPr>
        <w:t xml:space="preserve">）逐条做出明确响应。</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highlight w:val="none"/>
        </w:rPr>
      </w:r>
      <w:r/>
    </w:p>
    <w:p>
      <w:pPr>
        <w:pStyle w:val="958"/>
        <w:rPr>
          <w:rFonts w:hint="eastAsia" w:ascii="宋体" w:hAnsi="宋体"/>
          <w:b/>
          <w:color w:val="000000"/>
          <w:sz w:val="24"/>
          <w:highlight w:val="none"/>
        </w:rPr>
      </w:pPr>
      <w:r>
        <w:rPr>
          <w:rFonts w:hint="eastAsia" w:ascii="宋体" w:hAnsi="宋体"/>
          <w:b/>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5</w:t>
      </w:r>
      <w:r>
        <w:rPr>
          <w:rFonts w:hint="eastAsia" w:ascii="宋体" w:hAnsi="宋体"/>
          <w:b/>
          <w:color w:val="000000"/>
          <w:sz w:val="24"/>
          <w:highlight w:val="none"/>
        </w:rPr>
        <w:t xml:space="preserve"> 具备履行合同所必需的设备和专业技术能力的书面声明</w:t>
      </w:r>
      <w:r>
        <w:rPr>
          <w:highlight w:val="none"/>
        </w:rPr>
      </w:r>
      <w:r/>
    </w:p>
    <w:p>
      <w:pPr>
        <w:pStyle w:val="95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95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highlight w:val="none"/>
        </w:rPr>
      </w:r>
      <w:r/>
    </w:p>
    <w:p>
      <w:pPr>
        <w:pStyle w:val="95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highlight w:val="none"/>
        </w:rPr>
      </w:r>
      <w:r/>
    </w:p>
    <w:p>
      <w:pPr>
        <w:pStyle w:val="958"/>
        <w:ind w:left="480"/>
        <w:rPr>
          <w:rFonts w:ascii="宋体" w:hAnsi="宋体"/>
          <w:b/>
          <w:color w:val="000000"/>
          <w:sz w:val="24"/>
          <w:highlight w:val="none"/>
        </w:rPr>
      </w:pPr>
      <w:r>
        <w:rPr>
          <w:rFonts w:ascii="宋体" w:hAnsi="宋体"/>
          <w:b/>
          <w:color w:val="000000"/>
          <w:sz w:val="24"/>
          <w:highlight w:val="none"/>
        </w:rPr>
      </w:r>
      <w:r>
        <w:rPr>
          <w:highlight w:val="none"/>
        </w:rPr>
      </w:r>
      <w:r/>
    </w:p>
    <w:p>
      <w:pPr>
        <w:pStyle w:val="958"/>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6 </w:t>
      </w:r>
      <w:r>
        <w:rPr>
          <w:rFonts w:hint="eastAsia" w:ascii="宋体" w:hAnsi="宋体"/>
          <w:b/>
          <w:color w:val="000000"/>
          <w:sz w:val="24"/>
          <w:highlight w:val="none"/>
        </w:rPr>
        <w:t xml:space="preserve">参加政府采购活动前 3 年内在经营活动中没有重大违法记录的书面声明</w:t>
      </w:r>
      <w:r>
        <w:rPr>
          <w:highlight w:val="none"/>
        </w:rPr>
      </w:r>
      <w:r/>
    </w:p>
    <w:p>
      <w:pPr>
        <w:pStyle w:val="958"/>
        <w:jc w:val="center"/>
        <w:spacing w:line="460" w:lineRule="exact"/>
        <w:rPr>
          <w:rFonts w:ascii="宋体" w:hAnsi="宋体"/>
          <w:b/>
          <w:bCs/>
          <w:color w:val="000000"/>
          <w:sz w:val="24"/>
          <w:highlight w:val="none"/>
        </w:rPr>
      </w:pPr>
      <w:r>
        <w:rPr>
          <w:rFonts w:ascii="宋体" w:hAnsi="宋体"/>
          <w:b/>
          <w:bCs/>
          <w:color w:val="000000"/>
          <w:sz w:val="24"/>
          <w:highlight w:val="none"/>
        </w:rPr>
      </w:r>
      <w:r>
        <w:rPr>
          <w:highlight w:val="none"/>
        </w:rPr>
      </w:r>
      <w:r/>
    </w:p>
    <w:p>
      <w:pPr>
        <w:pStyle w:val="958"/>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958"/>
        <w:ind w:left="480"/>
        <w:rPr>
          <w:rFonts w:ascii="宋体" w:hAnsi="宋体"/>
          <w:b/>
          <w:color w:val="000000"/>
          <w:sz w:val="24"/>
          <w:highlight w:val="none"/>
        </w:rPr>
      </w:pPr>
      <w:r>
        <w:rPr>
          <w:rFonts w:ascii="宋体" w:hAnsi="宋体"/>
          <w:b/>
          <w:color w:val="000000"/>
          <w:sz w:val="24"/>
          <w:highlight w:val="none"/>
        </w:rPr>
      </w:r>
      <w:r>
        <w:rPr>
          <w:highlight w:val="none"/>
        </w:rPr>
      </w:r>
      <w:r/>
    </w:p>
    <w:p>
      <w:pPr>
        <w:pStyle w:val="958"/>
        <w:ind w:firstLine="480"/>
        <w:spacing w:line="460" w:lineRule="exact"/>
        <w:rPr>
          <w:rFonts w:ascii="宋体" w:hAnsi="宋体"/>
          <w:b/>
          <w:color w:val="000000"/>
          <w:sz w:val="24"/>
          <w:highlight w:val="none"/>
        </w:rPr>
      </w:pPr>
      <w:r>
        <w:rPr>
          <w:rFonts w:ascii="宋体" w:hAnsi="宋体"/>
          <w:b/>
          <w:color w:val="000000"/>
          <w:sz w:val="24"/>
          <w:highlight w:val="none"/>
        </w:rPr>
      </w:r>
      <w:r>
        <w:rPr>
          <w:highlight w:val="none"/>
        </w:rPr>
      </w:r>
      <w:r/>
    </w:p>
    <w:p>
      <w:pPr>
        <w:pStyle w:val="958"/>
        <w:ind w:firstLine="480"/>
        <w:spacing w:line="460" w:lineRule="exact"/>
        <w:rPr>
          <w:rFonts w:ascii="宋体" w:hAnsi="宋体"/>
          <w:b/>
          <w:color w:val="000000"/>
          <w:sz w:val="24"/>
          <w:highlight w:val="none"/>
        </w:rPr>
      </w:pPr>
      <w:r>
        <w:rPr>
          <w:rFonts w:ascii="宋体" w:hAnsi="宋体"/>
          <w:b/>
          <w:color w:val="000000"/>
          <w:sz w:val="24"/>
          <w:highlight w:val="none"/>
        </w:rPr>
      </w:r>
      <w:r>
        <w:rPr>
          <w:highlight w:val="none"/>
        </w:rPr>
      </w:r>
      <w:r/>
    </w:p>
    <w:p>
      <w:pPr>
        <w:pStyle w:val="958"/>
        <w:ind w:firstLine="480"/>
        <w:spacing w:line="460" w:lineRule="exact"/>
        <w:rPr>
          <w:rFonts w:hint="eastAsia" w:ascii="宋体" w:hAnsi="宋体"/>
          <w:b/>
          <w:color w:val="000000"/>
          <w:sz w:val="24"/>
          <w:highlight w:val="none"/>
        </w:rPr>
      </w:pPr>
      <w:r>
        <w:rPr>
          <w:rFonts w:hint="eastAsia" w:ascii="宋体" w:hAnsi="宋体"/>
          <w:b/>
          <w:color w:val="000000"/>
          <w:sz w:val="24"/>
          <w:highlight w:val="none"/>
        </w:rPr>
      </w:r>
      <w:r>
        <w:rPr>
          <w:highlight w:val="none"/>
        </w:rPr>
      </w:r>
      <w:r/>
    </w:p>
    <w:p>
      <w:pPr>
        <w:pStyle w:val="958"/>
        <w:ind w:firstLine="480"/>
        <w:spacing w:line="460" w:lineRule="exact"/>
        <w:rPr>
          <w:rFonts w:hint="eastAsia" w:ascii="宋体" w:hAnsi="宋体"/>
          <w:bCs/>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7</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法人授权书</w:t>
      </w:r>
      <w:r>
        <w:rPr>
          <w:highlight w:val="none"/>
        </w:rPr>
      </w:r>
      <w:r/>
    </w:p>
    <w:p>
      <w:pPr>
        <w:pStyle w:val="95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rPr>
          <w:highlight w:val="none"/>
        </w:rPr>
      </w:r>
      <w:r/>
    </w:p>
    <w:p>
      <w:pPr>
        <w:pStyle w:val="95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highlight w:val="none"/>
        </w:rPr>
      </w:r>
      <w:r/>
    </w:p>
    <w:p>
      <w:pPr>
        <w:pStyle w:val="958"/>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highlight w:val="none"/>
        </w:rPr>
      </w:r>
      <w:r/>
    </w:p>
    <w:p>
      <w:pPr>
        <w:pStyle w:val="958"/>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highlight w:val="none"/>
        </w:rPr>
      </w:r>
      <w:r/>
    </w:p>
    <w:p>
      <w:pPr>
        <w:pStyle w:val="958"/>
        <w:ind w:firstLine="120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被授权人电子邮箱：</w:t>
      </w:r>
      <w:r>
        <w:rPr>
          <w:rFonts w:hint="eastAsia"/>
          <w:color w:val="000000"/>
          <w:sz w:val="24"/>
          <w:szCs w:val="24"/>
          <w:highlight w:val="none"/>
          <w:u w:val="single"/>
        </w:rPr>
        <w:t xml:space="preserve">            </w:t>
      </w:r>
      <w:r>
        <w:rPr>
          <w:highlight w:val="none"/>
        </w:rPr>
      </w:r>
      <w:r/>
    </w:p>
    <w:p>
      <w:pPr>
        <w:pStyle w:val="958"/>
        <w:ind w:firstLine="120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highlight w:val="none"/>
        </w:rPr>
      </w:r>
      <w:r/>
    </w:p>
    <w:p>
      <w:pPr>
        <w:pStyle w:val="958"/>
        <w:ind w:firstLine="48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highlight w:val="none"/>
        </w:rPr>
      </w:r>
      <w:r/>
    </w:p>
    <w:p>
      <w:pPr>
        <w:pStyle w:val="95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r>
        <w:rPr>
          <w:highlight w:val="none"/>
        </w:rPr>
      </w:r>
      <w:r/>
    </w:p>
    <w:p>
      <w:pPr>
        <w:pStyle w:val="958"/>
        <w:ind w:firstLine="360"/>
        <w:spacing w:line="400" w:lineRule="exact"/>
        <w:rPr>
          <w:rFonts w:ascii="楷体" w:hAnsi="楷体" w:eastAsia="楷体"/>
          <w:color w:val="000000"/>
          <w:sz w:val="24"/>
          <w:szCs w:val="24"/>
          <w:highlight w:val="none"/>
        </w:rPr>
      </w:pPr>
      <w:r>
        <w:rPr>
          <w:rFonts w:ascii="楷体" w:hAnsi="楷体" w:eastAsia="楷体"/>
          <w:color w:val="000000"/>
          <w:sz w:val="24"/>
          <w:szCs w:val="24"/>
          <w:highlight w:val="none"/>
        </w:rPr>
      </w:r>
      <w:r>
        <w:rPr>
          <w:highlight w:val="none"/>
        </w:rPr>
      </w:r>
      <w:r/>
    </w:p>
    <w:p>
      <w:pPr>
        <w:pStyle w:val="958"/>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highlight w:val="none"/>
        </w:rPr>
        <w:t xml:space="preserve">附件</w:t>
      </w:r>
      <w:r>
        <w:rPr>
          <w:rFonts w:ascii="宋体" w:hAnsi="宋体"/>
          <w:b/>
          <w:color w:val="000000"/>
          <w:sz w:val="24"/>
          <w:highlight w:val="none"/>
        </w:rPr>
        <w:t xml:space="preserve">8</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投标函</w:t>
      </w:r>
      <w:r>
        <w:rPr>
          <w:highlight w:val="none"/>
        </w:rPr>
      </w:r>
      <w:r/>
    </w:p>
    <w:p>
      <w:pPr>
        <w:pStyle w:val="958"/>
        <w:jc w:val="left"/>
        <w:spacing w:line="420" w:lineRule="exact"/>
        <w:rPr>
          <w:rFonts w:ascii="宋体" w:hAnsi="宋体"/>
          <w:color w:val="000000"/>
          <w:sz w:val="24"/>
          <w:highlight w:val="none"/>
        </w:rPr>
      </w:pPr>
      <w:r>
        <w:rPr>
          <w:rFonts w:hint="eastAsia" w:ascii="宋体" w:hAnsi="宋体"/>
          <w:color w:val="000000"/>
          <w:sz w:val="24"/>
          <w:highlight w:val="none"/>
        </w:rPr>
        <w:t xml:space="preserve">致：江苏省政府采购中心</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w:t>
      </w:r>
      <w:r>
        <w:rPr>
          <w:rFonts w:ascii="宋体" w:hAnsi="宋体"/>
          <w:color w:val="000000"/>
          <w:szCs w:val="21"/>
          <w:highlight w:val="none"/>
        </w:rPr>
        <w:t xml:space="preserve">320000-***</w:t>
      </w:r>
      <w:r>
        <w:rPr>
          <w:rFonts w:hint="eastAsia" w:ascii="宋体" w:hAnsi="宋体"/>
          <w:color w:val="000000"/>
          <w:szCs w:val="21"/>
          <w:highlight w:val="none"/>
        </w:rPr>
        <w:t xml:space="preserve">号招标文件，正式授权下述签字人______(姓名)代表我方______________（投标人的名称），全权处理本次项目投标的有关事宜。</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highlight w:val="none"/>
        </w:rPr>
      </w:r>
      <w:r/>
    </w:p>
    <w:p>
      <w:pPr>
        <w:pStyle w:val="10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highlight w:val="none"/>
        </w:rPr>
      </w:r>
      <w:r/>
    </w:p>
    <w:p>
      <w:pPr>
        <w:pStyle w:val="10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highlight w:val="none"/>
        </w:rPr>
      </w:r>
      <w:r/>
    </w:p>
    <w:p>
      <w:pPr>
        <w:pStyle w:val="10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pStyle w:val="10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.与本投标有关的正式通讯地址为：</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highlight w:val="none"/>
        </w:rPr>
      </w:r>
      <w:r/>
    </w:p>
    <w:p>
      <w:pPr>
        <w:pStyle w:val="106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期：________年____月____日</w:t>
      </w:r>
      <w:r>
        <w:rPr>
          <w:highlight w:val="none"/>
        </w:rPr>
      </w:r>
      <w:r/>
    </w:p>
    <w:p>
      <w:pPr>
        <w:pStyle w:val="95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58"/>
        <w:spacing w:line="460" w:lineRule="exact"/>
        <w:rPr>
          <w:rFonts w:hint="eastAsia" w:ascii="黑体" w:hAnsi="黑体" w:eastAsia="黑体"/>
          <w:b/>
          <w:color w:val="000000"/>
          <w:sz w:val="32"/>
          <w:szCs w:val="32"/>
          <w:highlight w:val="none"/>
        </w:rPr>
      </w:pPr>
      <w:r>
        <w:rPr>
          <w:highlight w:val="none"/>
        </w:rPr>
      </w:r>
      <w:bookmarkEnd w:id="206"/>
      <w:r>
        <w:rPr>
          <w:highlight w:val="none"/>
        </w:rPr>
      </w:r>
      <w:bookmarkEnd w:id="207"/>
      <w:r>
        <w:rPr>
          <w:highlight w:val="none"/>
        </w:rPr>
      </w:r>
      <w:bookmarkEnd w:id="208"/>
      <w:r>
        <w:rPr>
          <w:highlight w:val="none"/>
        </w:rPr>
      </w:r>
      <w:bookmarkStart w:id="209" w:name="_Toc120614284"/>
      <w:r>
        <w:rPr>
          <w:highlight w:val="none"/>
        </w:rPr>
      </w:r>
      <w:r/>
    </w:p>
    <w:p>
      <w:pPr>
        <w:pStyle w:val="958"/>
        <w:jc w:val="center"/>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9</w:t>
      </w:r>
      <w:r>
        <w:rPr>
          <w:rFonts w:hint="eastAsia" w:ascii="宋体" w:hAnsi="宋体"/>
          <w:b/>
          <w:color w:val="000000"/>
          <w:sz w:val="24"/>
          <w:szCs w:val="24"/>
          <w:highlight w:val="none"/>
        </w:rPr>
        <w:t xml:space="preserve"> 中小微企业声明函（服务类项目）（采购包号：**）</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ascii="宋体" w:hAnsi="宋体"/>
          <w:color w:val="000000"/>
          <w:sz w:val="24"/>
          <w:szCs w:val="24"/>
          <w:highlight w:val="none"/>
        </w:rPr>
        <w:t xml:space="preserve">JSZC-320000-</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（项目名称）（采购包号：**）</w:t>
      </w:r>
      <w:r>
        <w:rPr>
          <w:rFonts w:hint="eastAsia" w:ascii="宋体" w:hAnsi="宋体"/>
          <w:color w:val="000000"/>
          <w:sz w:val="24"/>
          <w:szCs w:val="24"/>
          <w:highlight w:val="none"/>
        </w:rPr>
        <w:t xml:space="preserve">的采购活动，服务全部由符合政策的中小微企业承接。相关企业（含联合体中的中小微企业、签订采购包意向协议的中小微企业）的具体情况如下：</w:t>
      </w:r>
      <w:r>
        <w:rPr>
          <w:highlight w:val="none"/>
        </w:rPr>
      </w:r>
      <w:r/>
    </w:p>
    <w:p>
      <w:pPr>
        <w:pStyle w:val="958"/>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highlight w:val="none"/>
        </w:rPr>
      </w:r>
      <w:r/>
    </w:p>
    <w:p>
      <w:pPr>
        <w:pStyle w:val="958"/>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95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highlight w:val="none"/>
        </w:rPr>
      </w:r>
      <w:r/>
    </w:p>
    <w:p>
      <w:pPr>
        <w:pStyle w:val="958"/>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highlight w:val="none"/>
        </w:rPr>
      </w:r>
      <w:r/>
    </w:p>
    <w:p>
      <w:pPr>
        <w:pStyle w:val="958"/>
        <w:ind w:right="480" w:firstLine="54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highlight w:val="none"/>
        </w:rPr>
      </w:r>
      <w:r/>
    </w:p>
    <w:p>
      <w:pPr>
        <w:pStyle w:val="958"/>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highlight w:val="none"/>
        </w:rPr>
      </w:r>
      <w:r/>
    </w:p>
    <w:p>
      <w:pPr>
        <w:pStyle w:val="95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highlight w:val="none"/>
        </w:rPr>
      </w:r>
      <w:r/>
    </w:p>
    <w:p>
      <w:pPr>
        <w:pStyle w:val="95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highlight w:val="none"/>
        </w:rPr>
      </w:r>
      <w:r/>
    </w:p>
    <w:p>
      <w:pPr>
        <w:pStyle w:val="958"/>
        <w:ind w:left="540" w:hanging="1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3.供应商应对照《工业和信息化部、国家统计局、国家发展和改革委员会、财政部</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10</w:t>
      </w:r>
      <w:r>
        <w:rPr>
          <w:rFonts w:hint="eastAsia" w:ascii="宋体" w:hAnsi="宋体"/>
          <w:b/>
          <w:color w:val="000000"/>
          <w:sz w:val="24"/>
          <w:szCs w:val="24"/>
          <w:highlight w:val="none"/>
        </w:rPr>
        <w:t xml:space="preserve"> 残疾人福利性单位声明函（服务类项目）（采购包号：**）</w:t>
      </w:r>
      <w:r>
        <w:rPr>
          <w:highlight w:val="none"/>
        </w:rPr>
      </w:r>
      <w:r/>
    </w:p>
    <w:p>
      <w:pPr>
        <w:pStyle w:val="958"/>
        <w:ind w:firstLine="480"/>
        <w:spacing w:line="0" w:lineRule="atLeas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highlight w:val="none"/>
        </w:rPr>
        <w:t xml:space="preserve">JSZC-320000-</w:t>
      </w:r>
      <w:r>
        <w:rPr>
          <w:rFonts w:ascii="宋体" w:hAnsi="宋体"/>
          <w:color w:val="000000"/>
          <w:sz w:val="24"/>
          <w:szCs w:val="24"/>
          <w:highlight w:val="none"/>
          <w:u w:val="single"/>
        </w:rPr>
        <w:t xml:space="preserve">****</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项目（采购包号：**）采购活动由本单位提供服务。</w:t>
      </w:r>
      <w:r>
        <w:rPr>
          <w:highlight w:val="none"/>
        </w:rPr>
      </w:r>
      <w:r/>
    </w:p>
    <w:p>
      <w:pPr>
        <w:pStyle w:val="95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highlight w:val="none"/>
        </w:rPr>
      </w:r>
      <w:r/>
    </w:p>
    <w:p>
      <w:pPr>
        <w:pStyle w:val="958"/>
        <w:ind w:firstLine="480"/>
        <w:spacing w:line="0" w:lineRule="atLeas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5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备注：</w:t>
      </w:r>
      <w:r>
        <w:rPr>
          <w:highlight w:val="none"/>
        </w:rPr>
      </w:r>
      <w:r/>
    </w:p>
    <w:p>
      <w:pPr>
        <w:pStyle w:val="95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highlight w:val="none"/>
        </w:rPr>
      </w:r>
      <w:r/>
    </w:p>
    <w:p>
      <w:pPr>
        <w:pStyle w:val="95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highlight w:val="none"/>
        </w:rPr>
      </w:r>
      <w:r/>
    </w:p>
    <w:p>
      <w:pPr>
        <w:pStyle w:val="958"/>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highlight w:val="none"/>
        </w:rPr>
      </w:r>
      <w:r/>
    </w:p>
    <w:p>
      <w:pPr>
        <w:pStyle w:val="958"/>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rPr>
          <w:highlight w:val="none"/>
        </w:rPr>
      </w:r>
      <w:r/>
    </w:p>
    <w:p>
      <w:pPr>
        <w:pStyle w:val="958"/>
        <w:ind w:right="1559" w:firstLine="624"/>
        <w:jc w:val="center"/>
        <w:spacing w:line="0" w:lineRule="atLeas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highlight w:val="none"/>
        </w:rPr>
      </w:r>
      <w:r/>
    </w:p>
    <w:p>
      <w:pPr>
        <w:pStyle w:val="958"/>
        <w:ind w:right="1559" w:firstLine="480"/>
        <w:jc w:val="center"/>
        <w:spacing w:line="0" w:lineRule="atLeas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highlight w:val="none"/>
        </w:rPr>
      </w:r>
      <w:r/>
    </w:p>
    <w:p>
      <w:pPr>
        <w:pStyle w:val="95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5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1实质性要求响应及偏离表（采购包号：**）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609"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highlight w:val="none"/>
              </w:rPr>
              <w:t xml:space="preserve">招标文件（含技术</w:t>
            </w:r>
            <w:r>
              <w:rPr>
                <w:rFonts w:ascii="宋体" w:hAnsi="宋体"/>
                <w:color w:val="000000"/>
                <w:sz w:val="24"/>
                <w:highlight w:val="none"/>
              </w:rPr>
              <w:t xml:space="preserve">要求和商务</w:t>
            </w:r>
            <w:r>
              <w:rPr>
                <w:rFonts w:hint="eastAsia" w:ascii="宋体" w:hAnsi="宋体"/>
                <w:color w:val="000000"/>
                <w:sz w:val="24"/>
                <w:highlight w:val="none"/>
              </w:rPr>
              <w:t xml:space="preserve">要求）</w:t>
            </w:r>
            <w:r>
              <w:rPr>
                <w:rFonts w:ascii="宋体" w:hAnsi="宋体"/>
                <w:color w:val="000000"/>
                <w:sz w:val="24"/>
                <w:highlight w:val="none"/>
              </w:rPr>
              <w:t xml:space="preserve">中</w:t>
            </w:r>
            <w:r>
              <w:rPr>
                <w:rFonts w:ascii="宋体" w:hAnsi="宋体"/>
                <w:color w:val="000000"/>
                <w:sz w:val="24"/>
                <w:szCs w:val="24"/>
                <w:highlight w:val="none"/>
              </w:rPr>
              <w:t xml:space="preserve">的实质性要求</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w:t>
            </w:r>
            <w:r>
              <w:rPr>
                <w:highlight w:val="none"/>
              </w:rPr>
            </w:r>
            <w:r/>
          </w:p>
        </w:tc>
        <w:tc>
          <w:tcPr>
            <w:tcW w:w="3317"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1526" w:type="dxa"/>
            <w:vAlign w:val="center"/>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609"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17"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26"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3609"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17"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26"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609"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317"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26" w:type="dxa"/>
            <w:vAlign w:val="top"/>
            <w:textDirection w:val="lrTb"/>
            <w:noWrap w:val="false"/>
          </w:tcPr>
          <w:p>
            <w:pPr>
              <w:pStyle w:val="95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highlight w:val="none"/>
        </w:rPr>
        <w:t xml:space="preserve">招标文件（含技术</w:t>
      </w:r>
      <w:r>
        <w:rPr>
          <w:rFonts w:ascii="宋体" w:hAnsi="宋体"/>
          <w:color w:val="000000"/>
          <w:sz w:val="24"/>
          <w:highlight w:val="none"/>
        </w:rPr>
        <w:t xml:space="preserve">要求和商务</w:t>
      </w:r>
      <w:r>
        <w:rPr>
          <w:rFonts w:hint="eastAsia" w:ascii="宋体" w:hAnsi="宋体"/>
          <w:color w:val="000000"/>
          <w:sz w:val="24"/>
          <w:highlight w:val="none"/>
        </w:rPr>
        <w:t xml:space="preserve">要求）</w:t>
      </w:r>
      <w:r>
        <w:rPr>
          <w:rFonts w:ascii="宋体" w:hAnsi="宋体"/>
          <w:color w:val="000000"/>
          <w:sz w:val="24"/>
          <w:highlight w:val="none"/>
        </w:rPr>
        <w:t xml:space="preserve">中</w:t>
      </w:r>
      <w:r>
        <w:rPr>
          <w:rFonts w:ascii="宋体" w:hAnsi="宋体"/>
          <w:color w:val="000000"/>
          <w:sz w:val="24"/>
          <w:szCs w:val="24"/>
          <w:highlight w:val="none"/>
        </w:rPr>
        <w:t xml:space="preserve">的实质性要求</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highlight w:val="none"/>
        </w:rPr>
      </w:r>
      <w:r/>
    </w:p>
    <w:p>
      <w:pPr>
        <w:pStyle w:val="95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3.投标人未对实质性要求逐条作出明确响应的，或未按招标文件要求提供证明材料的，该采购包作无效投标处理。</w:t>
      </w:r>
      <w:r>
        <w:rPr>
          <w:highlight w:val="none"/>
        </w:rPr>
      </w:r>
      <w:r/>
    </w:p>
    <w:p>
      <w:pPr>
        <w:pStyle w:val="95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58"/>
        <w:rPr>
          <w:rFonts w:hint="eastAsia"/>
          <w:color w:val="000000"/>
          <w:highlight w:val="none"/>
        </w:rPr>
      </w:pPr>
      <w:r>
        <w:rPr>
          <w:rFonts w:hint="eastAsia"/>
          <w:color w:val="000000"/>
          <w:highlight w:val="none"/>
        </w:rPr>
      </w:r>
      <w:r>
        <w:rPr>
          <w:highlight w:val="none"/>
        </w:rPr>
      </w:r>
      <w:r/>
    </w:p>
    <w:p>
      <w:pPr>
        <w:pStyle w:val="9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58"/>
        <w:rPr>
          <w:rFonts w:hint="eastAsia" w:ascii="宋体" w:hAnsi="宋体" w:cs="仿宋"/>
          <w:b/>
          <w:bCs/>
          <w:color w:val="000000"/>
          <w:sz w:val="32"/>
          <w:szCs w:val="32"/>
          <w:highlight w:val="none"/>
        </w:rPr>
      </w:pPr>
      <w:r>
        <w:rPr>
          <w:highlight w:val="none"/>
        </w:rPr>
      </w:r>
      <w:bookmarkEnd w:id="187"/>
      <w:r>
        <w:rPr>
          <w:highlight w:val="none"/>
        </w:rPr>
      </w:r>
      <w:bookmarkEnd w:id="188"/>
      <w:r>
        <w:rPr>
          <w:highlight w:val="none"/>
        </w:rPr>
      </w:r>
      <w:bookmarkEnd w:id="209"/>
      <w:r>
        <w:rPr>
          <w:highlight w:val="none"/>
        </w:rPr>
      </w:r>
      <w:r/>
    </w:p>
    <w:p>
      <w:pPr>
        <w:pStyle w:val="958"/>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highlight w:val="none"/>
        </w:rPr>
      </w:r>
      <w:r/>
    </w:p>
    <w:p>
      <w:pPr>
        <w:pStyle w:val="958"/>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highlight w:val="none"/>
        </w:rPr>
      </w:r>
      <w:r/>
    </w:p>
    <w:p>
      <w:pPr>
        <w:pStyle w:val="9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highlight w:val="none"/>
        </w:rPr>
      </w:r>
      <w:r/>
    </w:p>
    <w:p>
      <w:pPr>
        <w:pStyle w:val="95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highlight w:val="none"/>
        </w:rPr>
      </w:r>
      <w:r/>
    </w:p>
    <w:p>
      <w:pPr>
        <w:pStyle w:val="9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highlight w:val="none"/>
        </w:rPr>
      </w:r>
      <w:r/>
    </w:p>
    <w:p>
      <w:pPr>
        <w:pStyle w:val="958"/>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highlight w:val="none"/>
        </w:rPr>
      </w:r>
      <w:r/>
    </w:p>
    <w:p>
      <w:pPr>
        <w:pStyle w:val="958"/>
        <w:rPr>
          <w:rFonts w:ascii="宋体" w:hAnsi="宋体"/>
          <w:color w:val="000000"/>
          <w:sz w:val="24"/>
          <w:szCs w:val="24"/>
          <w:highlight w:val="none"/>
        </w:rPr>
      </w:pPr>
      <w:r>
        <w:rPr>
          <w:rFonts w:hint="eastAsia" w:ascii="宋体" w:hAnsi="宋体"/>
          <w:color w:val="000000"/>
          <w:sz w:val="24"/>
          <w:szCs w:val="24"/>
          <w:highlight w:val="none"/>
        </w:rPr>
        <w:t xml:space="preserve">日期：    </w:t>
      </w:r>
      <w:r>
        <w:rPr>
          <w:highlight w:val="none"/>
        </w:rPr>
      </w:r>
      <w:r/>
    </w:p>
    <w:p>
      <w:pPr>
        <w:pStyle w:val="958"/>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highlight w:val="none"/>
        </w:rPr>
      </w:r>
      <w:r/>
    </w:p>
    <w:p>
      <w:pPr>
        <w:pStyle w:val="9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972"/>
        <w:rPr>
          <w:rFonts w:hint="eastAsia"/>
          <w:color w:val="000000"/>
          <w:sz w:val="24"/>
          <w:szCs w:val="24"/>
          <w:highlight w:val="none"/>
        </w:rPr>
      </w:pPr>
      <w:r>
        <w:rPr>
          <w:rFonts w:hint="eastAsia"/>
          <w:color w:val="000000"/>
          <w:sz w:val="24"/>
          <w:szCs w:val="24"/>
          <w:highlight w:val="none"/>
        </w:rPr>
      </w:r>
      <w:r>
        <w:rPr>
          <w:highlight w:val="none"/>
        </w:rPr>
      </w:r>
      <w:r/>
    </w:p>
    <w:p>
      <w:pPr>
        <w:pStyle w:val="972"/>
        <w:rPr>
          <w:color w:val="000000"/>
          <w:sz w:val="24"/>
          <w:szCs w:val="24"/>
          <w:highlight w:val="none"/>
        </w:rPr>
      </w:pPr>
      <w:r>
        <w:rPr>
          <w:color w:val="000000"/>
          <w:sz w:val="24"/>
          <w:szCs w:val="24"/>
          <w:highlight w:val="none"/>
        </w:rPr>
      </w:r>
      <w:r>
        <w:rPr>
          <w:highlight w:val="none"/>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8"/>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8"/>
      <w:isLgl w:val="false"/>
      <w:suff w:val="tab"/>
      <w:lvlText w:val="附录%1."/>
      <w:lvlJc w:val="left"/>
      <w:pPr>
        <w:pStyle w:val="9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9"/>
      <w:isLgl w:val="false"/>
      <w:suff w:val="tab"/>
      <w:lvlText w:val="%1."/>
      <w:lvlJc w:val="left"/>
      <w:pPr>
        <w:pStyle w:val="958"/>
        <w:ind w:left="709" w:hanging="709"/>
        <w:tabs>
          <w:tab w:val="num" w:pos="709" w:leader="none"/>
        </w:tabs>
      </w:pPr>
      <w:rPr>
        <w:rFonts w:hint="eastAsia"/>
      </w:rPr>
    </w:lvl>
    <w:lvl w:ilvl="1">
      <w:start w:val="1"/>
      <w:numFmt w:val="decimal"/>
      <w:isLgl w:val="false"/>
      <w:suff w:val="tab"/>
      <w:lvlText w:val="%1.%2"/>
      <w:lvlJc w:val="left"/>
      <w:pPr>
        <w:pStyle w:val="958"/>
        <w:ind w:left="709" w:hanging="709"/>
        <w:tabs>
          <w:tab w:val="num" w:pos="709" w:leader="none"/>
        </w:tabs>
      </w:pPr>
      <w:rPr>
        <w:rFonts w:hint="eastAsia"/>
      </w:rPr>
    </w:lvl>
    <w:lvl w:ilvl="2">
      <w:start w:val="1"/>
      <w:numFmt w:val="decimal"/>
      <w:isLgl w:val="false"/>
      <w:suff w:val="tab"/>
      <w:lvlText w:val="%1.%2.%3."/>
      <w:lvlJc w:val="left"/>
      <w:pPr>
        <w:pStyle w:val="958"/>
        <w:ind w:left="425" w:hanging="425"/>
        <w:tabs>
          <w:tab w:val="num" w:pos="425" w:leader="none"/>
        </w:tabs>
      </w:pPr>
      <w:rPr>
        <w:rFonts w:hint="eastAsia"/>
      </w:rPr>
    </w:lvl>
    <w:lvl w:ilvl="3">
      <w:start w:val="1"/>
      <w:numFmt w:val="decimal"/>
      <w:isLgl w:val="false"/>
      <w:suff w:val="tab"/>
      <w:lvlText w:val="%1.%2.%3.%4."/>
      <w:lvlJc w:val="left"/>
      <w:pPr>
        <w:pStyle w:val="958"/>
        <w:ind w:left="851" w:hanging="851"/>
        <w:tabs>
          <w:tab w:val="num" w:pos="851" w:leader="none"/>
        </w:tabs>
      </w:pPr>
      <w:rPr>
        <w:rFonts w:hint="eastAsia"/>
      </w:rPr>
    </w:lvl>
    <w:lvl w:ilvl="4">
      <w:start w:val="1"/>
      <w:numFmt w:val="decimal"/>
      <w:isLgl w:val="false"/>
      <w:suff w:val="tab"/>
      <w:lvlText w:val="%1.%2.%3.%4.%5."/>
      <w:lvlJc w:val="left"/>
      <w:pPr>
        <w:pStyle w:val="958"/>
        <w:ind w:left="992" w:hanging="992"/>
        <w:tabs>
          <w:tab w:val="num" w:pos="992" w:leader="none"/>
        </w:tabs>
      </w:pPr>
      <w:rPr>
        <w:rFonts w:hint="eastAsia"/>
      </w:rPr>
    </w:lvl>
    <w:lvl w:ilvl="5">
      <w:start w:val="1"/>
      <w:numFmt w:val="decimal"/>
      <w:isLgl w:val="false"/>
      <w:suff w:val="tab"/>
      <w:lvlText w:val="%1.%2.%3.%4.%5.%6."/>
      <w:lvlJc w:val="left"/>
      <w:pPr>
        <w:pStyle w:val="958"/>
        <w:ind w:left="1134" w:hanging="1134"/>
        <w:tabs>
          <w:tab w:val="num" w:pos="1134" w:leader="none"/>
        </w:tabs>
      </w:pPr>
      <w:rPr>
        <w:rFonts w:hint="eastAsia"/>
      </w:rPr>
    </w:lvl>
    <w:lvl w:ilvl="6">
      <w:start w:val="1"/>
      <w:numFmt w:val="decimal"/>
      <w:isLgl w:val="false"/>
      <w:suff w:val="tab"/>
      <w:lvlText w:val="%1.%2.%3.%4.%5.%6.%7."/>
      <w:lvlJc w:val="left"/>
      <w:pPr>
        <w:pStyle w:val="958"/>
        <w:ind w:left="1276" w:hanging="1276"/>
        <w:tabs>
          <w:tab w:val="num" w:pos="1276" w:leader="none"/>
        </w:tabs>
      </w:pPr>
      <w:rPr>
        <w:rFonts w:hint="eastAsia"/>
      </w:rPr>
    </w:lvl>
    <w:lvl w:ilvl="7">
      <w:start w:val="1"/>
      <w:numFmt w:val="decimal"/>
      <w:isLgl w:val="false"/>
      <w:suff w:val="tab"/>
      <w:lvlText w:val="%1.%2.%3.%4.%5.%6.%7.%8."/>
      <w:lvlJc w:val="left"/>
      <w:pPr>
        <w:pStyle w:val="958"/>
        <w:ind w:left="1418" w:hanging="1418"/>
        <w:tabs>
          <w:tab w:val="num" w:pos="1418" w:leader="none"/>
        </w:tabs>
      </w:pPr>
      <w:rPr>
        <w:rFonts w:hint="eastAsia"/>
      </w:rPr>
    </w:lvl>
    <w:lvl w:ilvl="8">
      <w:start w:val="1"/>
      <w:numFmt w:val="decimal"/>
      <w:isLgl w:val="false"/>
      <w:suff w:val="tab"/>
      <w:lvlText w:val="%1.%2.%3.%4.%5.%6.%7.%8.%9."/>
      <w:lvlJc w:val="left"/>
      <w:pPr>
        <w:pStyle w:val="95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58"/>
        <w:ind w:left="0" w:firstLine="0"/>
      </w:pPr>
      <w:rPr>
        <w:rFonts w:hint="eastAsia"/>
      </w:rPr>
    </w:lvl>
    <w:lvl w:ilvl="1">
      <w:start w:val="1"/>
      <w:numFmt w:val="decimal"/>
      <w:isLgl w:val="false"/>
      <w:suff w:val="nothing"/>
      <w:lvlText w:val="%2、"/>
      <w:lvlJc w:val="left"/>
      <w:pPr>
        <w:pStyle w:val="958"/>
        <w:ind w:left="0" w:firstLine="0"/>
      </w:pPr>
      <w:rPr>
        <w:rFonts w:hint="eastAsia"/>
      </w:rPr>
    </w:lvl>
    <w:lvl w:ilvl="2">
      <w:start w:val="1"/>
      <w:numFmt w:val="decimal"/>
      <w:isLgl w:val="false"/>
      <w:suff w:val="nothing"/>
      <w:lvlText w:val="%2.%3 "/>
      <w:lvlJc w:val="left"/>
      <w:pPr>
        <w:pStyle w:val="958"/>
        <w:ind w:left="0" w:firstLine="0"/>
      </w:pPr>
      <w:rPr>
        <w:rFonts w:hint="eastAsia"/>
      </w:rPr>
    </w:lvl>
    <w:lvl w:ilvl="3">
      <w:start w:val="1"/>
      <w:numFmt w:val="decimal"/>
      <w:isLgl w:val="false"/>
      <w:suff w:val="nothing"/>
      <w:lvlText w:val="%2.%3.%4 "/>
      <w:lvlJc w:val="left"/>
      <w:pPr>
        <w:pStyle w:val="958"/>
        <w:ind w:left="0" w:firstLine="0"/>
      </w:pPr>
      <w:rPr>
        <w:rFonts w:hint="eastAsia"/>
      </w:rPr>
    </w:lvl>
    <w:lvl w:ilvl="4">
      <w:start w:val="1"/>
      <w:numFmt w:val="decimal"/>
      <w:isLgl w:val="false"/>
      <w:suff w:val="nothing"/>
      <w:lvlText w:val="%2.%3.%4.%5 "/>
      <w:lvlJc w:val="left"/>
      <w:pPr>
        <w:pStyle w:val="958"/>
        <w:ind w:left="0" w:firstLine="0"/>
      </w:pPr>
      <w:rPr>
        <w:rFonts w:hint="eastAsia"/>
      </w:rPr>
    </w:lvl>
    <w:lvl w:ilvl="5">
      <w:start w:val="1"/>
      <w:numFmt w:val="decimal"/>
      <w:pStyle w:val="964"/>
      <w:isLgl w:val="false"/>
      <w:suff w:val="nothing"/>
      <w:lvlText w:val=""/>
      <w:lvlJc w:val="left"/>
      <w:pPr>
        <w:pStyle w:val="958"/>
        <w:ind w:left="0" w:firstLine="0"/>
      </w:pPr>
      <w:rPr>
        <w:rFonts w:hint="eastAsia"/>
      </w:rPr>
    </w:lvl>
    <w:lvl w:ilvl="6">
      <w:start w:val="1"/>
      <w:numFmt w:val="decimal"/>
      <w:pStyle w:val="965"/>
      <w:isLgl w:val="false"/>
      <w:suff w:val="nothing"/>
      <w:lvlText w:val=""/>
      <w:lvlJc w:val="left"/>
      <w:pPr>
        <w:pStyle w:val="958"/>
        <w:ind w:left="0" w:firstLine="0"/>
      </w:pPr>
      <w:rPr>
        <w:rFonts w:hint="eastAsia"/>
      </w:rPr>
    </w:lvl>
    <w:lvl w:ilvl="7">
      <w:start w:val="1"/>
      <w:numFmt w:val="decimal"/>
      <w:pStyle w:val="966"/>
      <w:isLgl w:val="false"/>
      <w:suff w:val="nothing"/>
      <w:lvlText w:val=""/>
      <w:lvlJc w:val="left"/>
      <w:pPr>
        <w:pStyle w:val="958"/>
        <w:ind w:left="0" w:firstLine="0"/>
      </w:pPr>
      <w:rPr>
        <w:rFonts w:hint="eastAsia"/>
      </w:rPr>
    </w:lvl>
    <w:lvl w:ilvl="8">
      <w:start w:val="1"/>
      <w:numFmt w:val="decimal"/>
      <w:pStyle w:val="967"/>
      <w:isLgl w:val="false"/>
      <w:suff w:val="nothing"/>
      <w:lvlText w:val=""/>
      <w:lvlJc w:val="left"/>
      <w:pPr>
        <w:pStyle w:val="958"/>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9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sz w:val="21"/>
      <w:szCs w:val="21"/>
      <w:lang w:val="en-US" w:eastAsia="zh-CN" w:bidi="ar-SA"/>
    </w:rPr>
  </w:style>
  <w:style w:type="paragraph" w:styleId="959">
    <w:name w:val="标题 1"/>
    <w:basedOn w:val="958"/>
    <w:next w:val="958"/>
    <w:link w:val="970"/>
    <w:qFormat/>
    <w:pPr>
      <w:jc w:val="center"/>
      <w:keepNext/>
      <w:outlineLvl w:val="0"/>
    </w:pPr>
    <w:rPr>
      <w:rFonts w:ascii="楷体_GB2312" w:eastAsia="楷体_GB2312"/>
      <w:sz w:val="28"/>
      <w:szCs w:val="28"/>
    </w:rPr>
  </w:style>
  <w:style w:type="paragraph" w:styleId="960">
    <w:name w:val="标题 2"/>
    <w:basedOn w:val="958"/>
    <w:next w:val="972"/>
    <w:link w:val="971"/>
    <w:qFormat/>
    <w:pPr>
      <w:jc w:val="center"/>
      <w:keepLines/>
      <w:keepNext/>
      <w:spacing w:before="260" w:after="260" w:line="416" w:lineRule="auto"/>
      <w:outlineLvl w:val="1"/>
    </w:pPr>
    <w:rPr>
      <w:rFonts w:ascii="Arial" w:hAnsi="Arial" w:eastAsia="幼圆" w:cs="Arial"/>
      <w:b/>
      <w:bCs/>
      <w:sz w:val="44"/>
      <w:szCs w:val="44"/>
    </w:rPr>
  </w:style>
  <w:style w:type="paragraph" w:styleId="961">
    <w:name w:val="标题 3"/>
    <w:basedOn w:val="958"/>
    <w:next w:val="972"/>
    <w:link w:val="974"/>
    <w:qFormat/>
    <w:pPr>
      <w:keepLines/>
      <w:keepNext/>
      <w:spacing w:before="260" w:after="260" w:line="416" w:lineRule="auto"/>
      <w:outlineLvl w:val="2"/>
    </w:pPr>
    <w:rPr>
      <w:b/>
      <w:bCs/>
      <w:sz w:val="32"/>
      <w:szCs w:val="32"/>
    </w:rPr>
  </w:style>
  <w:style w:type="paragraph" w:styleId="962">
    <w:name w:val="标题 4"/>
    <w:basedOn w:val="958"/>
    <w:next w:val="972"/>
    <w:link w:val="975"/>
    <w:qFormat/>
    <w:pPr>
      <w:keepLines/>
      <w:keepNext/>
      <w:spacing w:before="280" w:after="290" w:line="376" w:lineRule="auto"/>
      <w:outlineLvl w:val="3"/>
    </w:pPr>
    <w:rPr>
      <w:rFonts w:ascii="Arial" w:hAnsi="Arial" w:eastAsia="黑体" w:cs="Arial"/>
      <w:b/>
      <w:bCs/>
      <w:sz w:val="28"/>
      <w:szCs w:val="28"/>
    </w:rPr>
  </w:style>
  <w:style w:type="paragraph" w:styleId="963">
    <w:name w:val="标题 5"/>
    <w:basedOn w:val="958"/>
    <w:next w:val="972"/>
    <w:link w:val="976"/>
    <w:qFormat/>
    <w:pPr>
      <w:keepNext/>
      <w:outlineLvl w:val="4"/>
    </w:pPr>
    <w:rPr>
      <w:rFonts w:ascii="宋体"/>
      <w:color w:val="000000"/>
      <w:sz w:val="28"/>
      <w:szCs w:val="28"/>
    </w:rPr>
  </w:style>
  <w:style w:type="paragraph" w:styleId="964">
    <w:name w:val="标题 6"/>
    <w:basedOn w:val="958"/>
    <w:next w:val="958"/>
    <w:link w:val="977"/>
    <w:qFormat/>
    <w:pPr>
      <w:numPr>
        <w:ilvl w:val="5"/>
        <w:numId w:val="1"/>
      </w:numPr>
      <w:keepLines/>
      <w:keepNext/>
      <w:spacing w:before="240" w:after="64" w:line="320" w:lineRule="auto"/>
      <w:outlineLvl w:val="5"/>
    </w:pPr>
    <w:rPr>
      <w:rFonts w:ascii="Arial" w:hAnsi="Arial" w:eastAsia="黑体"/>
      <w:b/>
      <w:bCs/>
      <w:sz w:val="24"/>
      <w:szCs w:val="24"/>
    </w:rPr>
  </w:style>
  <w:style w:type="paragraph" w:styleId="965">
    <w:name w:val="标题 7"/>
    <w:basedOn w:val="958"/>
    <w:next w:val="958"/>
    <w:link w:val="978"/>
    <w:qFormat/>
    <w:pPr>
      <w:numPr>
        <w:ilvl w:val="6"/>
        <w:numId w:val="1"/>
      </w:numPr>
      <w:keepLines/>
      <w:keepNext/>
      <w:spacing w:before="240" w:after="64" w:line="320" w:lineRule="auto"/>
      <w:outlineLvl w:val="6"/>
    </w:pPr>
    <w:rPr>
      <w:b/>
      <w:bCs/>
      <w:sz w:val="24"/>
      <w:szCs w:val="24"/>
    </w:rPr>
  </w:style>
  <w:style w:type="paragraph" w:styleId="966">
    <w:name w:val="标题 8"/>
    <w:basedOn w:val="958"/>
    <w:next w:val="958"/>
    <w:link w:val="979"/>
    <w:qFormat/>
    <w:pPr>
      <w:numPr>
        <w:ilvl w:val="7"/>
        <w:numId w:val="1"/>
      </w:numPr>
      <w:keepLines/>
      <w:keepNext/>
      <w:spacing w:before="240" w:after="64" w:line="320" w:lineRule="auto"/>
      <w:outlineLvl w:val="7"/>
    </w:pPr>
    <w:rPr>
      <w:rFonts w:ascii="Arial" w:hAnsi="Arial" w:eastAsia="黑体"/>
      <w:sz w:val="24"/>
      <w:szCs w:val="24"/>
    </w:rPr>
  </w:style>
  <w:style w:type="paragraph" w:styleId="967">
    <w:name w:val="标题 9"/>
    <w:basedOn w:val="958"/>
    <w:next w:val="958"/>
    <w:link w:val="980"/>
    <w:qFormat/>
    <w:pPr>
      <w:numPr>
        <w:ilvl w:val="8"/>
        <w:numId w:val="1"/>
      </w:numPr>
      <w:keepLines/>
      <w:keepNext/>
      <w:spacing w:before="240" w:after="64" w:line="320" w:lineRule="auto"/>
      <w:outlineLvl w:val="8"/>
    </w:pPr>
    <w:rPr>
      <w:rFonts w:ascii="Arial" w:hAnsi="Arial" w:eastAsia="黑体"/>
    </w:rPr>
  </w:style>
  <w:style w:type="character" w:styleId="968">
    <w:name w:val="默认段落字体"/>
    <w:next w:val="968"/>
    <w:link w:val="958"/>
    <w:uiPriority w:val="1"/>
    <w:unhideWhenUsed/>
  </w:style>
  <w:style w:type="table" w:styleId="969">
    <w:name w:val="普通表格"/>
    <w:next w:val="969"/>
    <w:link w:val="958"/>
    <w:uiPriority w:val="99"/>
    <w:unhideWhenUsed/>
    <w:tblPr/>
  </w:style>
  <w:style w:type="character" w:styleId="970">
    <w:name w:val="标题 1 字符"/>
    <w:next w:val="970"/>
    <w:link w:val="959"/>
    <w:rPr>
      <w:rFonts w:ascii="楷体_GB2312" w:hAnsi="Times New Roman" w:eastAsia="楷体_GB2312" w:cs="Times New Roman"/>
      <w:sz w:val="28"/>
      <w:szCs w:val="28"/>
    </w:rPr>
  </w:style>
  <w:style w:type="character" w:styleId="971">
    <w:name w:val="标题 2 字符"/>
    <w:next w:val="971"/>
    <w:link w:val="960"/>
    <w:rPr>
      <w:rFonts w:ascii="Arial" w:hAnsi="Arial" w:eastAsia="幼圆" w:cs="Arial"/>
      <w:b/>
      <w:bCs/>
      <w:sz w:val="44"/>
      <w:szCs w:val="44"/>
    </w:rPr>
  </w:style>
  <w:style w:type="paragraph" w:styleId="972">
    <w:name w:val="正文缩进"/>
    <w:basedOn w:val="958"/>
    <w:next w:val="972"/>
    <w:link w:val="973"/>
    <w:pPr>
      <w:ind w:firstLine="420"/>
    </w:pPr>
  </w:style>
  <w:style w:type="character" w:styleId="973">
    <w:name w:val="正文缩进 字符"/>
    <w:next w:val="973"/>
    <w:link w:val="972"/>
    <w:rPr>
      <w:rFonts w:ascii="Times New Roman" w:hAnsi="Times New Roman" w:eastAsia="宋体" w:cs="Times New Roman"/>
      <w:szCs w:val="21"/>
    </w:rPr>
  </w:style>
  <w:style w:type="character" w:styleId="974">
    <w:name w:val="标题 3 字符"/>
    <w:next w:val="974"/>
    <w:link w:val="961"/>
    <w:rPr>
      <w:rFonts w:ascii="Times New Roman" w:hAnsi="Times New Roman" w:eastAsia="宋体" w:cs="Times New Roman"/>
      <w:b/>
      <w:bCs/>
      <w:sz w:val="32"/>
      <w:szCs w:val="32"/>
    </w:rPr>
  </w:style>
  <w:style w:type="character" w:styleId="975">
    <w:name w:val="标题 4 字符"/>
    <w:next w:val="975"/>
    <w:link w:val="962"/>
    <w:rPr>
      <w:rFonts w:ascii="Arial" w:hAnsi="Arial" w:eastAsia="黑体" w:cs="Arial"/>
      <w:b/>
      <w:bCs/>
      <w:sz w:val="28"/>
      <w:szCs w:val="28"/>
    </w:rPr>
  </w:style>
  <w:style w:type="character" w:styleId="976">
    <w:name w:val="标题 5 字符"/>
    <w:next w:val="976"/>
    <w:link w:val="963"/>
    <w:rPr>
      <w:rFonts w:ascii="宋体" w:hAnsi="Times New Roman" w:eastAsia="宋体" w:cs="Times New Roman"/>
      <w:color w:val="000000"/>
      <w:sz w:val="28"/>
      <w:szCs w:val="28"/>
    </w:rPr>
  </w:style>
  <w:style w:type="character" w:styleId="977">
    <w:name w:val="标题 6 字符"/>
    <w:next w:val="977"/>
    <w:link w:val="964"/>
    <w:rPr>
      <w:rFonts w:ascii="Arial" w:hAnsi="Arial" w:eastAsia="黑体" w:cs="Times New Roman"/>
      <w:b/>
      <w:bCs/>
      <w:sz w:val="24"/>
      <w:szCs w:val="24"/>
    </w:rPr>
  </w:style>
  <w:style w:type="character" w:styleId="978">
    <w:name w:val="标题 7 字符"/>
    <w:next w:val="978"/>
    <w:link w:val="965"/>
    <w:rPr>
      <w:rFonts w:ascii="Times New Roman" w:hAnsi="Times New Roman" w:eastAsia="宋体" w:cs="Times New Roman"/>
      <w:b/>
      <w:bCs/>
      <w:sz w:val="24"/>
      <w:szCs w:val="24"/>
    </w:rPr>
  </w:style>
  <w:style w:type="character" w:styleId="979">
    <w:name w:val="标题 8 字符"/>
    <w:next w:val="979"/>
    <w:link w:val="966"/>
    <w:rPr>
      <w:rFonts w:ascii="Arial" w:hAnsi="Arial" w:eastAsia="黑体" w:cs="Times New Roman"/>
      <w:sz w:val="24"/>
      <w:szCs w:val="24"/>
    </w:rPr>
  </w:style>
  <w:style w:type="character" w:styleId="980">
    <w:name w:val="标题 9 字符"/>
    <w:next w:val="980"/>
    <w:link w:val="967"/>
    <w:rPr>
      <w:rFonts w:ascii="Arial" w:hAnsi="Arial" w:eastAsia="黑体" w:cs="Times New Roman"/>
      <w:szCs w:val="21"/>
    </w:rPr>
  </w:style>
  <w:style w:type="paragraph" w:styleId="981">
    <w:name w:val="列表 3"/>
    <w:basedOn w:val="958"/>
    <w:next w:val="981"/>
    <w:link w:val="958"/>
    <w:pPr>
      <w:ind w:left="100" w:hanging="200"/>
    </w:pPr>
  </w:style>
  <w:style w:type="paragraph" w:styleId="982">
    <w:name w:val="目录 7"/>
    <w:basedOn w:val="958"/>
    <w:next w:val="958"/>
    <w:link w:val="958"/>
    <w:semiHidden/>
    <w:pPr>
      <w:ind w:left="1260"/>
      <w:jc w:val="left"/>
    </w:pPr>
  </w:style>
  <w:style w:type="paragraph" w:styleId="983">
    <w:name w:val="文档结构图"/>
    <w:basedOn w:val="958"/>
    <w:next w:val="983"/>
    <w:link w:val="984"/>
    <w:semiHidden/>
    <w:pPr>
      <w:shd w:val="clear" w:color="auto" w:fill="000080"/>
    </w:pPr>
  </w:style>
  <w:style w:type="character" w:styleId="984">
    <w:name w:val="文档结构图 字符"/>
    <w:next w:val="984"/>
    <w:link w:val="983"/>
    <w:semiHidden/>
    <w:rPr>
      <w:rFonts w:ascii="Times New Roman" w:hAnsi="Times New Roman" w:eastAsia="宋体" w:cs="Times New Roman"/>
      <w:szCs w:val="21"/>
      <w:shd w:val="clear" w:color="auto" w:fill="000080"/>
    </w:rPr>
  </w:style>
  <w:style w:type="paragraph" w:styleId="985">
    <w:name w:val="批注文字"/>
    <w:basedOn w:val="958"/>
    <w:next w:val="985"/>
    <w:link w:val="986"/>
    <w:semiHidden/>
    <w:pPr>
      <w:jc w:val="left"/>
    </w:pPr>
  </w:style>
  <w:style w:type="character" w:styleId="986">
    <w:name w:val="批注文字 字符"/>
    <w:next w:val="986"/>
    <w:link w:val="985"/>
    <w:semiHidden/>
    <w:rPr>
      <w:rFonts w:ascii="Times New Roman" w:hAnsi="Times New Roman" w:eastAsia="宋体" w:cs="Times New Roman"/>
      <w:szCs w:val="21"/>
    </w:rPr>
  </w:style>
  <w:style w:type="paragraph" w:styleId="987">
    <w:name w:val="正文文本 3"/>
    <w:basedOn w:val="958"/>
    <w:next w:val="987"/>
    <w:link w:val="988"/>
    <w:rPr>
      <w:rFonts w:ascii="仿宋_GB2312" w:hAnsi="Arial" w:eastAsia="仿宋_GB2312"/>
      <w:sz w:val="32"/>
      <w:szCs w:val="32"/>
    </w:rPr>
  </w:style>
  <w:style w:type="character" w:styleId="988">
    <w:name w:val="正文文本 3 字符"/>
    <w:next w:val="988"/>
    <w:link w:val="987"/>
    <w:rPr>
      <w:rFonts w:ascii="仿宋_GB2312" w:hAnsi="Arial" w:eastAsia="仿宋_GB2312" w:cs="Times New Roman"/>
      <w:sz w:val="32"/>
      <w:szCs w:val="32"/>
    </w:rPr>
  </w:style>
  <w:style w:type="paragraph" w:styleId="989">
    <w:name w:val="正文文本"/>
    <w:basedOn w:val="958"/>
    <w:next w:val="989"/>
    <w:link w:val="990"/>
    <w:rPr>
      <w:rFonts w:ascii="楷体_GB2312" w:hAnsi="Arial" w:eastAsia="楷体_GB2312"/>
      <w:sz w:val="28"/>
      <w:szCs w:val="28"/>
    </w:rPr>
  </w:style>
  <w:style w:type="character" w:styleId="990">
    <w:name w:val="正文文本 字符"/>
    <w:next w:val="990"/>
    <w:link w:val="989"/>
    <w:rPr>
      <w:rFonts w:ascii="楷体_GB2312" w:hAnsi="Arial" w:eastAsia="楷体_GB2312" w:cs="Times New Roman"/>
      <w:sz w:val="28"/>
      <w:szCs w:val="28"/>
    </w:rPr>
  </w:style>
  <w:style w:type="paragraph" w:styleId="991">
    <w:name w:val="正文文本缩进"/>
    <w:basedOn w:val="958"/>
    <w:next w:val="991"/>
    <w:link w:val="992"/>
    <w:pPr>
      <w:ind w:firstLine="645"/>
    </w:pPr>
    <w:rPr>
      <w:rFonts w:ascii="楷体_GB2312" w:eastAsia="楷体_GB2312"/>
      <w:sz w:val="32"/>
      <w:szCs w:val="32"/>
    </w:rPr>
  </w:style>
  <w:style w:type="character" w:styleId="992">
    <w:name w:val="正文文本缩进 字符"/>
    <w:next w:val="992"/>
    <w:link w:val="991"/>
    <w:rPr>
      <w:rFonts w:ascii="楷体_GB2312" w:hAnsi="Times New Roman" w:eastAsia="楷体_GB2312" w:cs="Times New Roman"/>
      <w:sz w:val="32"/>
      <w:szCs w:val="32"/>
    </w:rPr>
  </w:style>
  <w:style w:type="paragraph" w:styleId="993">
    <w:name w:val="列表 2"/>
    <w:basedOn w:val="958"/>
    <w:next w:val="993"/>
    <w:link w:val="958"/>
    <w:pPr>
      <w:ind w:left="100" w:hanging="200"/>
    </w:pPr>
  </w:style>
  <w:style w:type="paragraph" w:styleId="994">
    <w:name w:val="文本块"/>
    <w:next w:val="994"/>
    <w:link w:val="958"/>
    <w:uiPriority w:val="99"/>
    <w:unhideWhenUsed/>
    <w:qFormat/>
    <w:pPr>
      <w:ind w:left="1440" w:right="1440"/>
      <w:jc w:val="both"/>
      <w:spacing w:after="120"/>
      <w:widowControl w:val="off"/>
    </w:pPr>
    <w:rPr>
      <w:sz w:val="21"/>
      <w:szCs w:val="21"/>
      <w:lang w:val="en-US" w:eastAsia="zh-CN" w:bidi="ar-SA"/>
    </w:rPr>
  </w:style>
  <w:style w:type="paragraph" w:styleId="995">
    <w:name w:val="目录 5"/>
    <w:basedOn w:val="958"/>
    <w:next w:val="958"/>
    <w:link w:val="958"/>
    <w:semiHidden/>
    <w:pPr>
      <w:ind w:left="840"/>
      <w:jc w:val="left"/>
    </w:pPr>
  </w:style>
  <w:style w:type="paragraph" w:styleId="996">
    <w:name w:val="目录 3"/>
    <w:basedOn w:val="958"/>
    <w:next w:val="958"/>
    <w:link w:val="958"/>
    <w:semiHidden/>
    <w:pPr>
      <w:ind w:left="420"/>
      <w:jc w:val="left"/>
    </w:pPr>
    <w:rPr>
      <w:i/>
      <w:iCs/>
      <w:szCs w:val="24"/>
    </w:rPr>
  </w:style>
  <w:style w:type="paragraph" w:styleId="997">
    <w:name w:val="纯文本"/>
    <w:basedOn w:val="958"/>
    <w:next w:val="997"/>
    <w:link w:val="998"/>
    <w:rPr>
      <w:rFonts w:ascii="宋体" w:hAnsi="Courier New" w:cs="Courier New"/>
    </w:rPr>
  </w:style>
  <w:style w:type="character" w:styleId="998">
    <w:name w:val="纯文本 字符"/>
    <w:next w:val="998"/>
    <w:link w:val="997"/>
    <w:rPr>
      <w:rFonts w:ascii="宋体" w:hAnsi="Courier New" w:eastAsia="宋体" w:cs="Courier New"/>
      <w:szCs w:val="21"/>
    </w:rPr>
  </w:style>
  <w:style w:type="paragraph" w:styleId="999">
    <w:name w:val="目录 8"/>
    <w:basedOn w:val="958"/>
    <w:next w:val="958"/>
    <w:link w:val="958"/>
    <w:semiHidden/>
    <w:pPr>
      <w:ind w:left="1470"/>
      <w:jc w:val="left"/>
    </w:pPr>
  </w:style>
  <w:style w:type="paragraph" w:styleId="1000">
    <w:name w:val="日期"/>
    <w:basedOn w:val="958"/>
    <w:next w:val="958"/>
    <w:link w:val="1001"/>
    <w:rPr>
      <w:sz w:val="24"/>
      <w:szCs w:val="24"/>
    </w:rPr>
  </w:style>
  <w:style w:type="character" w:styleId="1001">
    <w:name w:val="日期 字符"/>
    <w:next w:val="1001"/>
    <w:link w:val="1000"/>
    <w:rPr>
      <w:rFonts w:ascii="Times New Roman" w:hAnsi="Times New Roman" w:eastAsia="宋体" w:cs="Times New Roman"/>
      <w:sz w:val="24"/>
      <w:szCs w:val="24"/>
    </w:rPr>
  </w:style>
  <w:style w:type="paragraph" w:styleId="1002">
    <w:name w:val="正文文本缩进 2"/>
    <w:basedOn w:val="958"/>
    <w:next w:val="1002"/>
    <w:link w:val="1003"/>
    <w:pPr>
      <w:ind w:left="630" w:firstLine="645"/>
    </w:pPr>
    <w:rPr>
      <w:rFonts w:ascii="Arial" w:hAnsi="Arial" w:eastAsia="仿宋_GB2312" w:cs="Arial"/>
      <w:sz w:val="32"/>
      <w:szCs w:val="32"/>
    </w:rPr>
  </w:style>
  <w:style w:type="character" w:styleId="1003">
    <w:name w:val="正文文本缩进 2 字符"/>
    <w:next w:val="1003"/>
    <w:link w:val="1002"/>
    <w:rPr>
      <w:rFonts w:ascii="Arial" w:hAnsi="Arial" w:eastAsia="仿宋_GB2312" w:cs="Arial"/>
      <w:sz w:val="32"/>
      <w:szCs w:val="32"/>
    </w:rPr>
  </w:style>
  <w:style w:type="paragraph" w:styleId="1004">
    <w:name w:val="批注框文本"/>
    <w:basedOn w:val="958"/>
    <w:next w:val="1004"/>
    <w:link w:val="1005"/>
    <w:semiHidden/>
    <w:rPr>
      <w:sz w:val="18"/>
      <w:szCs w:val="18"/>
    </w:rPr>
  </w:style>
  <w:style w:type="character" w:styleId="1005">
    <w:name w:val="批注框文本 字符"/>
    <w:next w:val="1005"/>
    <w:link w:val="1004"/>
    <w:semiHidden/>
    <w:rPr>
      <w:rFonts w:ascii="Times New Roman" w:hAnsi="Times New Roman" w:eastAsia="宋体" w:cs="Times New Roman"/>
      <w:sz w:val="18"/>
      <w:szCs w:val="18"/>
    </w:rPr>
  </w:style>
  <w:style w:type="paragraph" w:styleId="1006">
    <w:name w:val="页脚"/>
    <w:basedOn w:val="958"/>
    <w:next w:val="1006"/>
    <w:link w:val="1007"/>
    <w:uiPriority w:val="99"/>
    <w:pPr>
      <w:jc w:val="left"/>
      <w:tabs>
        <w:tab w:val="center" w:pos="4153" w:leader="none"/>
        <w:tab w:val="right" w:pos="8306" w:leader="none"/>
      </w:tabs>
    </w:pPr>
    <w:rPr>
      <w:sz w:val="18"/>
      <w:szCs w:val="18"/>
    </w:rPr>
  </w:style>
  <w:style w:type="character" w:styleId="1007">
    <w:name w:val="页脚 字符"/>
    <w:next w:val="1007"/>
    <w:link w:val="1006"/>
    <w:uiPriority w:val="99"/>
    <w:rPr>
      <w:rFonts w:ascii="Times New Roman" w:hAnsi="Times New Roman" w:eastAsia="宋体" w:cs="Times New Roman"/>
      <w:sz w:val="18"/>
      <w:szCs w:val="18"/>
    </w:rPr>
  </w:style>
  <w:style w:type="paragraph" w:styleId="1008">
    <w:name w:val="页眉"/>
    <w:basedOn w:val="958"/>
    <w:next w:val="1008"/>
    <w:link w:val="1009"/>
    <w:pPr>
      <w:jc w:val="center"/>
      <w:tabs>
        <w:tab w:val="center" w:pos="4153" w:leader="none"/>
        <w:tab w:val="right" w:pos="8306" w:leader="none"/>
      </w:tabs>
      <w:pBdr>
        <w:bottom w:val="single" w:color="000000" w:sz="6" w:space="1"/>
      </w:pBdr>
    </w:pPr>
    <w:rPr>
      <w:sz w:val="18"/>
      <w:szCs w:val="18"/>
    </w:rPr>
  </w:style>
  <w:style w:type="character" w:styleId="1009">
    <w:name w:val="页眉 字符"/>
    <w:next w:val="1009"/>
    <w:link w:val="1008"/>
    <w:rPr>
      <w:rFonts w:ascii="Times New Roman" w:hAnsi="Times New Roman" w:eastAsia="宋体" w:cs="Times New Roman"/>
      <w:sz w:val="18"/>
      <w:szCs w:val="18"/>
    </w:rPr>
  </w:style>
  <w:style w:type="paragraph" w:styleId="1010">
    <w:name w:val="目录 1"/>
    <w:basedOn w:val="958"/>
    <w:next w:val="958"/>
    <w:link w:val="958"/>
    <w:semiHidden/>
    <w:pPr>
      <w:jc w:val="left"/>
      <w:spacing w:before="120" w:after="120" w:line="400" w:lineRule="exact"/>
      <w:tabs>
        <w:tab w:val="right" w:pos="8720" w:leader="dot"/>
      </w:tabs>
    </w:pPr>
    <w:rPr>
      <w:rFonts w:ascii="宋体" w:hAnsi="宋体"/>
      <w:caps/>
      <w:sz w:val="24"/>
      <w:szCs w:val="24"/>
    </w:rPr>
  </w:style>
  <w:style w:type="paragraph" w:styleId="1011">
    <w:name w:val="目录 4"/>
    <w:basedOn w:val="958"/>
    <w:next w:val="958"/>
    <w:link w:val="958"/>
    <w:semiHidden/>
    <w:pPr>
      <w:ind w:left="630"/>
      <w:jc w:val="left"/>
    </w:pPr>
  </w:style>
  <w:style w:type="paragraph" w:styleId="1012">
    <w:name w:val="列表"/>
    <w:basedOn w:val="958"/>
    <w:next w:val="1012"/>
    <w:link w:val="958"/>
    <w:pPr>
      <w:ind w:left="200" w:hanging="200"/>
    </w:pPr>
  </w:style>
  <w:style w:type="paragraph" w:styleId="1013">
    <w:name w:val="目录 6"/>
    <w:basedOn w:val="958"/>
    <w:next w:val="958"/>
    <w:link w:val="958"/>
    <w:semiHidden/>
    <w:pPr>
      <w:ind w:left="1050"/>
      <w:jc w:val="left"/>
    </w:pPr>
  </w:style>
  <w:style w:type="paragraph" w:styleId="1014">
    <w:name w:val="正文文本缩进 3"/>
    <w:basedOn w:val="958"/>
    <w:next w:val="1014"/>
    <w:link w:val="1015"/>
    <w:pPr>
      <w:ind w:left="645" w:firstLine="645"/>
    </w:pPr>
    <w:rPr>
      <w:rFonts w:ascii="Arial" w:hAnsi="Arial" w:eastAsia="仿宋_GB2312" w:cs="Arial"/>
      <w:color w:val="ffff00"/>
      <w:sz w:val="32"/>
      <w:szCs w:val="32"/>
    </w:rPr>
  </w:style>
  <w:style w:type="character" w:styleId="1015">
    <w:name w:val="正文文本缩进 3 字符"/>
    <w:next w:val="1015"/>
    <w:link w:val="1014"/>
    <w:rPr>
      <w:rFonts w:ascii="Arial" w:hAnsi="Arial" w:eastAsia="仿宋_GB2312" w:cs="Arial"/>
      <w:color w:val="ffff00"/>
      <w:sz w:val="32"/>
      <w:szCs w:val="32"/>
    </w:rPr>
  </w:style>
  <w:style w:type="paragraph" w:styleId="1016">
    <w:name w:val="图表目录"/>
    <w:basedOn w:val="958"/>
    <w:next w:val="958"/>
    <w:link w:val="958"/>
    <w:semiHidden/>
    <w:pPr>
      <w:ind w:left="840" w:hanging="420"/>
    </w:pPr>
  </w:style>
  <w:style w:type="paragraph" w:styleId="1017">
    <w:name w:val="目录 2"/>
    <w:basedOn w:val="958"/>
    <w:next w:val="958"/>
    <w:link w:val="958"/>
    <w:semiHidden/>
    <w:pPr>
      <w:ind w:left="210"/>
      <w:jc w:val="left"/>
    </w:pPr>
    <w:rPr>
      <w:smallCaps/>
      <w:szCs w:val="24"/>
    </w:rPr>
  </w:style>
  <w:style w:type="paragraph" w:styleId="1018">
    <w:name w:val="目录 9"/>
    <w:basedOn w:val="958"/>
    <w:next w:val="958"/>
    <w:link w:val="958"/>
    <w:semiHidden/>
    <w:pPr>
      <w:ind w:left="1680"/>
      <w:jc w:val="left"/>
    </w:pPr>
  </w:style>
  <w:style w:type="paragraph" w:styleId="1019">
    <w:name w:val="正文文本 2"/>
    <w:basedOn w:val="958"/>
    <w:next w:val="1019"/>
    <w:link w:val="1020"/>
    <w:pPr>
      <w:jc w:val="center"/>
      <w:widowControl/>
    </w:pPr>
    <w:rPr>
      <w:rFonts w:ascii="楷体_GB2312" w:eastAsia="楷体_GB2312"/>
      <w:sz w:val="28"/>
      <w:szCs w:val="28"/>
    </w:rPr>
  </w:style>
  <w:style w:type="character" w:styleId="1020">
    <w:name w:val="正文文本 2 字符"/>
    <w:next w:val="1020"/>
    <w:link w:val="1019"/>
    <w:rPr>
      <w:rFonts w:ascii="楷体_GB2312" w:hAnsi="Times New Roman" w:eastAsia="楷体_GB2312" w:cs="Times New Roman"/>
      <w:sz w:val="28"/>
      <w:szCs w:val="28"/>
    </w:rPr>
  </w:style>
  <w:style w:type="paragraph" w:styleId="1021">
    <w:name w:val="普通(网站)"/>
    <w:basedOn w:val="958"/>
    <w:next w:val="1021"/>
    <w:link w:val="958"/>
    <w:uiPriority w:val="99"/>
    <w:pPr>
      <w:jc w:val="left"/>
      <w:spacing w:before="100" w:beforeAutospacing="1" w:after="100" w:afterAutospacing="1"/>
      <w:widowControl/>
    </w:pPr>
    <w:rPr>
      <w:rFonts w:ascii="宋体" w:hAnsi="宋体" w:cs="宋体"/>
      <w:sz w:val="24"/>
      <w:szCs w:val="24"/>
    </w:rPr>
  </w:style>
  <w:style w:type="paragraph" w:styleId="1022">
    <w:name w:val="索引 1"/>
    <w:basedOn w:val="958"/>
    <w:next w:val="958"/>
    <w:link w:val="958"/>
    <w:semiHidden/>
    <w:pPr>
      <w:spacing w:line="240" w:lineRule="atLeast"/>
    </w:pPr>
    <w:rPr>
      <w:b/>
      <w:bCs/>
    </w:rPr>
  </w:style>
  <w:style w:type="paragraph" w:styleId="1023">
    <w:name w:val="批注主题"/>
    <w:basedOn w:val="985"/>
    <w:next w:val="985"/>
    <w:link w:val="1024"/>
    <w:semiHidden/>
    <w:rPr>
      <w:b/>
      <w:bCs/>
    </w:rPr>
  </w:style>
  <w:style w:type="character" w:styleId="1024">
    <w:name w:val="批注主题 字符"/>
    <w:next w:val="1024"/>
    <w:link w:val="1023"/>
    <w:semiHidden/>
    <w:rPr>
      <w:rFonts w:ascii="Times New Roman" w:hAnsi="Times New Roman" w:eastAsia="宋体" w:cs="Times New Roman"/>
      <w:b/>
      <w:bCs/>
      <w:szCs w:val="21"/>
    </w:rPr>
  </w:style>
  <w:style w:type="paragraph" w:styleId="1025">
    <w:name w:val="正文首行缩进"/>
    <w:basedOn w:val="958"/>
    <w:next w:val="1025"/>
    <w:link w:val="1026"/>
    <w:pPr>
      <w:ind w:firstLine="200"/>
      <w:spacing w:line="360" w:lineRule="auto"/>
    </w:pPr>
    <w:rPr>
      <w:rFonts w:ascii="仿宋_GB2312" w:eastAsia="仿宋_GB2312"/>
      <w:sz w:val="30"/>
      <w:szCs w:val="30"/>
    </w:rPr>
  </w:style>
  <w:style w:type="character" w:styleId="1026">
    <w:name w:val="正文首行缩进 字符"/>
    <w:next w:val="1026"/>
    <w:link w:val="1025"/>
    <w:rPr>
      <w:rFonts w:ascii="仿宋_GB2312" w:hAnsi="Times New Roman" w:eastAsia="仿宋_GB2312" w:cs="Times New Roman"/>
      <w:sz w:val="30"/>
      <w:szCs w:val="30"/>
    </w:rPr>
  </w:style>
  <w:style w:type="paragraph" w:styleId="1027">
    <w:name w:val="正文首行缩进 2"/>
    <w:basedOn w:val="991"/>
    <w:next w:val="1027"/>
    <w:link w:val="1028"/>
    <w:pPr>
      <w:ind w:firstLine="420"/>
      <w:spacing w:line="360" w:lineRule="auto"/>
    </w:pPr>
    <w:rPr>
      <w:rFonts w:ascii="宋体" w:hAnsi="宋体" w:eastAsia="宋体"/>
      <w:sz w:val="21"/>
      <w:szCs w:val="20"/>
    </w:rPr>
  </w:style>
  <w:style w:type="character" w:styleId="1028">
    <w:name w:val="正文首行缩进 2 字符"/>
    <w:next w:val="1028"/>
    <w:link w:val="1027"/>
    <w:rPr>
      <w:rFonts w:ascii="宋体" w:hAnsi="宋体" w:eastAsia="宋体" w:cs="Times New Roman"/>
      <w:sz w:val="32"/>
      <w:szCs w:val="20"/>
    </w:rPr>
  </w:style>
  <w:style w:type="table" w:styleId="1029">
    <w:name w:val="网格型"/>
    <w:basedOn w:val="969"/>
    <w:next w:val="1029"/>
    <w:link w:val="958"/>
    <w:pPr>
      <w:jc w:val="both"/>
      <w:widowControl w:val="off"/>
    </w:pPr>
    <w:rPr>
      <w:rFonts w:ascii="Times New Roman" w:hAnsi="Times New Roman" w:eastAsia="宋体" w:cs="Times New Roman"/>
      <w:sz w:val="20"/>
      <w:szCs w:val="20"/>
    </w:rPr>
    <w:tblPr/>
  </w:style>
  <w:style w:type="character" w:styleId="1030">
    <w:name w:val="要点"/>
    <w:next w:val="1030"/>
    <w:link w:val="958"/>
    <w:uiPriority w:val="22"/>
    <w:qFormat/>
    <w:rPr>
      <w:b/>
      <w:bCs/>
    </w:rPr>
  </w:style>
  <w:style w:type="character" w:styleId="1031">
    <w:name w:val="页码"/>
    <w:next w:val="1031"/>
    <w:link w:val="958"/>
  </w:style>
  <w:style w:type="character" w:styleId="1032">
    <w:name w:val="已访问的超链接"/>
    <w:next w:val="1032"/>
    <w:link w:val="958"/>
    <w:rPr>
      <w:color w:val="800080"/>
      <w:u w:val="single"/>
    </w:rPr>
  </w:style>
  <w:style w:type="character" w:styleId="1033">
    <w:name w:val="超链接"/>
    <w:next w:val="1033"/>
    <w:link w:val="958"/>
    <w:rPr>
      <w:color w:val="0000ff"/>
      <w:u w:val="single"/>
    </w:rPr>
  </w:style>
  <w:style w:type="character" w:styleId="1034">
    <w:name w:val="批注引用"/>
    <w:next w:val="1034"/>
    <w:link w:val="958"/>
    <w:qFormat/>
    <w:rPr>
      <w:sz w:val="21"/>
      <w:szCs w:val="21"/>
    </w:rPr>
  </w:style>
  <w:style w:type="character" w:styleId="1035">
    <w:name w:val="列出段落 Char,Bullet List Char,numbered Char,FooterText Char,List Paragraph1 Char,Paragraphe de liste1 Char"/>
    <w:next w:val="1035"/>
    <w:link w:val="1036"/>
    <w:rPr>
      <w:rFonts w:ascii="Calibri" w:hAnsi="Calibri"/>
      <w:sz w:val="24"/>
      <w:szCs w:val="24"/>
      <w:lang w:eastAsia="en-US" w:bidi="en-US"/>
    </w:rPr>
  </w:style>
  <w:style w:type="paragraph" w:styleId="1036">
    <w:name w:val="列出段落1"/>
    <w:basedOn w:val="958"/>
    <w:next w:val="1036"/>
    <w:link w:val="1035"/>
    <w:qFormat/>
    <w:pPr>
      <w:contextualSpacing/>
      <w:ind w:left="720"/>
      <w:jc w:val="left"/>
      <w:widowControl/>
    </w:pPr>
    <w:rPr>
      <w:rFonts w:ascii="Calibri" w:hAnsi="Calibri" w:eastAsia="宋体" w:cs="Times New Roman"/>
      <w:sz w:val="24"/>
      <w:szCs w:val="24"/>
      <w:lang w:eastAsia="en-US" w:bidi="en-US"/>
    </w:rPr>
  </w:style>
  <w:style w:type="character" w:styleId="1037">
    <w:name w:val="二级目录 Char"/>
    <w:next w:val="1037"/>
    <w:link w:val="1038"/>
    <w:rPr>
      <w:b/>
      <w:sz w:val="30"/>
      <w:szCs w:val="28"/>
    </w:rPr>
  </w:style>
  <w:style w:type="paragraph" w:styleId="1038">
    <w:name w:val="二级目录"/>
    <w:next w:val="958"/>
    <w:link w:val="1037"/>
    <w:pPr>
      <w:numPr>
        <w:ilvl w:val="0"/>
        <w:numId w:val="2"/>
      </w:numPr>
      <w:tabs>
        <w:tab w:val="left" w:pos="907" w:leader="none"/>
        <w:tab w:val="left" w:pos="1145" w:leader="none"/>
      </w:tabs>
      <w:outlineLvl w:val="1"/>
    </w:pPr>
    <w:rPr>
      <w:b/>
      <w:sz w:val="30"/>
      <w:szCs w:val="28"/>
      <w:lang w:val="en-US" w:eastAsia="zh-CN" w:bidi="ar-SA"/>
    </w:rPr>
  </w:style>
  <w:style w:type="character" w:styleId="1039">
    <w:name w:val="font5 Char"/>
    <w:next w:val="1039"/>
    <w:link w:val="958"/>
    <w:rPr>
      <w:rFonts w:ascii="宋体" w:hAnsi="宋体" w:eastAsia="宋体"/>
      <w:sz w:val="28"/>
      <w:szCs w:val="28"/>
      <w:lang w:val="en-US" w:eastAsia="zh-CN" w:bidi="ar-SA"/>
    </w:rPr>
  </w:style>
  <w:style w:type="paragraph" w:styleId="1040">
    <w:name w:val="Char"/>
    <w:basedOn w:val="958"/>
    <w:next w:val="1040"/>
    <w:link w:val="958"/>
    <w:pPr>
      <w:ind w:firstLine="200"/>
      <w:tabs>
        <w:tab w:val="left" w:pos="360" w:leader="none"/>
      </w:tabs>
    </w:pPr>
    <w:rPr>
      <w:sz w:val="28"/>
      <w:szCs w:val="30"/>
    </w:rPr>
  </w:style>
  <w:style w:type="paragraph" w:styleId="1041">
    <w:name w:val="Body Text(ch)"/>
    <w:basedOn w:val="958"/>
    <w:next w:val="989"/>
    <w:link w:val="958"/>
    <w:pPr>
      <w:spacing w:after="120"/>
    </w:pPr>
    <w:rPr>
      <w:rFonts w:ascii="宋体" w:hAnsi="Arial"/>
      <w:bCs/>
      <w:iCs/>
      <w:szCs w:val="24"/>
    </w:rPr>
  </w:style>
  <w:style w:type="paragraph" w:styleId="1042">
    <w:name w:val="Char Char Char Char Char Char Char Char"/>
    <w:basedOn w:val="958"/>
    <w:next w:val="1042"/>
    <w:link w:val="958"/>
    <w:pPr>
      <w:jc w:val="left"/>
      <w:spacing w:after="160" w:line="240" w:lineRule="exact"/>
      <w:widowControl/>
    </w:pPr>
    <w:rPr>
      <w:rFonts w:ascii="Verdana" w:hAnsi="Verdana"/>
      <w:sz w:val="20"/>
      <w:szCs w:val="20"/>
      <w:lang w:eastAsia="en-US"/>
    </w:rPr>
  </w:style>
  <w:style w:type="paragraph" w:styleId="1043">
    <w:name w:val="xl30"/>
    <w:basedOn w:val="958"/>
    <w:next w:val="1043"/>
    <w:link w:val="958"/>
    <w:pPr>
      <w:jc w:val="center"/>
      <w:spacing w:before="100" w:beforeAutospacing="1" w:after="100" w:afterAutospacing="1"/>
      <w:widowControl/>
    </w:pPr>
    <w:rPr>
      <w:rFonts w:ascii="宋体" w:hAnsi="宋体"/>
      <w:b/>
      <w:bCs/>
      <w:sz w:val="36"/>
      <w:szCs w:val="36"/>
    </w:rPr>
  </w:style>
  <w:style w:type="paragraph" w:styleId="1044">
    <w:name w:val="列出段落"/>
    <w:basedOn w:val="958"/>
    <w:next w:val="1044"/>
    <w:link w:val="958"/>
    <w:qFormat/>
    <w:pPr>
      <w:contextualSpacing/>
      <w:ind w:left="720"/>
      <w:jc w:val="left"/>
      <w:widowControl/>
    </w:pPr>
    <w:rPr>
      <w:rFonts w:ascii="Calibri" w:hAnsi="Calibri"/>
      <w:sz w:val="24"/>
      <w:szCs w:val="24"/>
      <w:lang w:eastAsia="en-US" w:bidi="en-US"/>
    </w:rPr>
  </w:style>
  <w:style w:type="paragraph" w:styleId="1045">
    <w:name w:val="4"/>
    <w:basedOn w:val="958"/>
    <w:next w:val="1014"/>
    <w:link w:val="958"/>
    <w:pPr>
      <w:ind w:firstLine="420"/>
      <w:spacing w:line="360" w:lineRule="auto"/>
    </w:pPr>
    <w:rPr>
      <w:color w:val="ff0000"/>
      <w:sz w:val="24"/>
      <w:szCs w:val="24"/>
    </w:rPr>
  </w:style>
  <w:style w:type="paragraph" w:styleId="1046">
    <w:name w:val="无间隔"/>
    <w:next w:val="1046"/>
    <w:link w:val="958"/>
    <w:uiPriority w:val="99"/>
    <w:qFormat/>
    <w:pPr>
      <w:jc w:val="both"/>
      <w:widowControl w:val="off"/>
    </w:pPr>
    <w:rPr>
      <w:sz w:val="21"/>
      <w:szCs w:val="21"/>
      <w:lang w:val="en-US" w:eastAsia="zh-CN" w:bidi="ar-SA"/>
    </w:rPr>
  </w:style>
  <w:style w:type="paragraph" w:styleId="1047">
    <w:name w:val="修订"/>
    <w:next w:val="1047"/>
    <w:link w:val="958"/>
    <w:uiPriority w:val="99"/>
    <w:semiHidden/>
    <w:rPr>
      <w:sz w:val="21"/>
      <w:szCs w:val="21"/>
      <w:lang w:val="en-US" w:eastAsia="zh-CN" w:bidi="ar-SA"/>
    </w:rPr>
  </w:style>
  <w:style w:type="paragraph" w:styleId="1048">
    <w:name w:val="附录1"/>
    <w:next w:val="1048"/>
    <w:link w:val="958"/>
    <w:pPr>
      <w:numPr>
        <w:ilvl w:val="0"/>
        <w:numId w:val="2"/>
      </w:numPr>
      <w:spacing w:before="240" w:line="600" w:lineRule="atLeast"/>
      <w:tabs>
        <w:tab w:val="left" w:pos="907" w:leader="none"/>
      </w:tabs>
    </w:pPr>
    <w:rPr>
      <w:b/>
      <w:i/>
      <w:sz w:val="28"/>
      <w:lang w:val="en-US" w:eastAsia="zh-CN" w:bidi="ar-SA"/>
    </w:rPr>
  </w:style>
  <w:style w:type="paragraph" w:styleId="1049">
    <w:name w:val="table_1stline"/>
    <w:basedOn w:val="958"/>
    <w:next w:val="1049"/>
    <w:link w:val="958"/>
    <w:pPr>
      <w:jc w:val="left"/>
      <w:spacing w:before="120"/>
      <w:widowControl/>
    </w:pPr>
    <w:rPr>
      <w:bCs/>
      <w:sz w:val="20"/>
      <w:szCs w:val="20"/>
      <w:lang w:val="de-DE" w:eastAsia="de-DE"/>
    </w:rPr>
  </w:style>
  <w:style w:type="paragraph" w:styleId="1050">
    <w:name w:val="xl29"/>
    <w:basedOn w:val="958"/>
    <w:next w:val="1050"/>
    <w:link w:val="95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name w:val="标题1"/>
    <w:basedOn w:val="958"/>
    <w:next w:val="958"/>
    <w:link w:val="95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name w:val="xl27"/>
    <w:basedOn w:val="958"/>
    <w:next w:val="1052"/>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name w:val="table_lines"/>
    <w:basedOn w:val="958"/>
    <w:next w:val="1053"/>
    <w:link w:val="958"/>
    <w:pPr>
      <w:jc w:val="left"/>
      <w:widowControl/>
    </w:pPr>
    <w:rPr>
      <w:sz w:val="20"/>
      <w:szCs w:val="20"/>
      <w:lang w:val="de-DE" w:eastAsia="de-DE"/>
    </w:rPr>
  </w:style>
  <w:style w:type="paragraph" w:styleId="1054">
    <w:name w:val="font5"/>
    <w:basedOn w:val="958"/>
    <w:next w:val="1054"/>
    <w:link w:val="958"/>
    <w:pPr>
      <w:jc w:val="left"/>
      <w:spacing w:before="100" w:beforeAutospacing="1" w:after="100" w:afterAutospacing="1"/>
      <w:widowControl/>
    </w:pPr>
    <w:rPr>
      <w:rFonts w:hint="eastAsia" w:ascii="宋体" w:hAnsi="宋体"/>
      <w:sz w:val="28"/>
      <w:szCs w:val="28"/>
    </w:rPr>
  </w:style>
  <w:style w:type="paragraph" w:styleId="1055">
    <w:name w:val=" Char"/>
    <w:basedOn w:val="983"/>
    <w:next w:val="1055"/>
    <w:link w:val="958"/>
    <w:rPr>
      <w:rFonts w:ascii="Tahoma" w:hAnsi="Tahoma"/>
      <w:sz w:val="24"/>
      <w:szCs w:val="24"/>
    </w:rPr>
  </w:style>
  <w:style w:type="paragraph" w:styleId="1056">
    <w:name w:val="xl26"/>
    <w:basedOn w:val="958"/>
    <w:next w:val="1056"/>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7">
    <w:name w:val="Char Char Char Char"/>
    <w:basedOn w:val="983"/>
    <w:next w:val="1057"/>
    <w:link w:val="958"/>
    <w:pPr>
      <w:spacing w:line="360" w:lineRule="auto"/>
    </w:pPr>
    <w:rPr>
      <w:rFonts w:ascii="Tahoma" w:hAnsi="Tahoma"/>
      <w:sz w:val="24"/>
      <w:szCs w:val="24"/>
    </w:rPr>
  </w:style>
  <w:style w:type="paragraph" w:styleId="1058">
    <w:name w:val="font7"/>
    <w:basedOn w:val="958"/>
    <w:next w:val="1058"/>
    <w:link w:val="958"/>
    <w:pPr>
      <w:jc w:val="left"/>
      <w:spacing w:before="100" w:beforeAutospacing="1" w:after="100" w:afterAutospacing="1"/>
      <w:widowControl/>
    </w:pPr>
    <w:rPr>
      <w:rFonts w:hint="eastAsia" w:ascii="宋体" w:hAnsi="宋体"/>
      <w:sz w:val="18"/>
      <w:szCs w:val="18"/>
    </w:rPr>
  </w:style>
  <w:style w:type="paragraph" w:styleId="1059">
    <w:name w:val="样式1"/>
    <w:basedOn w:val="958"/>
    <w:next w:val="1059"/>
    <w:link w:val="958"/>
    <w:pPr>
      <w:numPr>
        <w:ilvl w:val="0"/>
        <w:numId w:val="3"/>
      </w:numPr>
      <w:tabs>
        <w:tab w:val="left" w:pos="709" w:leader="none"/>
      </w:tabs>
    </w:pPr>
    <w:rPr>
      <w:rFonts w:ascii="宋体" w:hAnsi="宋体"/>
    </w:rPr>
  </w:style>
  <w:style w:type="paragraph" w:styleId="1060">
    <w:name w:val=" Char Char Char Char"/>
    <w:basedOn w:val="983"/>
    <w:next w:val="1060"/>
    <w:link w:val="958"/>
    <w:pPr>
      <w:spacing w:line="360" w:lineRule="auto"/>
    </w:pPr>
    <w:rPr>
      <w:rFonts w:ascii="Tahoma" w:hAnsi="Tahoma"/>
      <w:sz w:val="24"/>
      <w:szCs w:val="24"/>
    </w:rPr>
  </w:style>
  <w:style w:type="paragraph" w:styleId="1061">
    <w:name w:val="font6"/>
    <w:basedOn w:val="958"/>
    <w:next w:val="1061"/>
    <w:link w:val="958"/>
    <w:pPr>
      <w:jc w:val="left"/>
      <w:spacing w:before="100" w:beforeAutospacing="1" w:after="100" w:afterAutospacing="1"/>
      <w:widowControl/>
    </w:pPr>
    <w:rPr>
      <w:rFonts w:hint="eastAsia" w:ascii="宋体" w:hAnsi="宋体"/>
      <w:sz w:val="28"/>
      <w:szCs w:val="28"/>
      <w:u w:val="single"/>
    </w:rPr>
  </w:style>
  <w:style w:type="paragraph" w:styleId="1062">
    <w:name w:val="普通 (Web)"/>
    <w:basedOn w:val="958"/>
    <w:next w:val="1062"/>
    <w:link w:val="958"/>
    <w:pPr>
      <w:jc w:val="left"/>
      <w:spacing w:before="100" w:beforeAutospacing="1" w:after="100" w:afterAutospacing="1"/>
      <w:widowControl/>
    </w:pPr>
    <w:rPr>
      <w:rFonts w:ascii="宋体" w:hAnsi="宋体"/>
      <w:sz w:val="24"/>
      <w:szCs w:val="24"/>
    </w:rPr>
  </w:style>
  <w:style w:type="paragraph" w:styleId="1063">
    <w:name w:val=" Char Char Char Char Char Char Char Char"/>
    <w:basedOn w:val="958"/>
    <w:next w:val="1063"/>
    <w:link w:val="958"/>
    <w:pPr>
      <w:jc w:val="left"/>
      <w:spacing w:after="160" w:line="240" w:lineRule="exact"/>
      <w:widowControl/>
    </w:pPr>
    <w:rPr>
      <w:rFonts w:ascii="Verdana" w:hAnsi="Verdana"/>
      <w:sz w:val="20"/>
      <w:szCs w:val="20"/>
      <w:lang w:eastAsia="en-US"/>
    </w:rPr>
  </w:style>
  <w:style w:type="paragraph" w:styleId="1064">
    <w:name w:val="xl28"/>
    <w:basedOn w:val="958"/>
    <w:next w:val="1064"/>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name w:val="普通正文"/>
    <w:basedOn w:val="958"/>
    <w:next w:val="1065"/>
    <w:link w:val="958"/>
    <w:pPr>
      <w:ind w:firstLine="480"/>
      <w:jc w:val="left"/>
      <w:spacing w:before="120" w:after="120" w:line="360" w:lineRule="auto"/>
    </w:pPr>
    <w:rPr>
      <w:rFonts w:ascii="Arial" w:hAnsi="Arial"/>
      <w:sz w:val="24"/>
      <w:szCs w:val="24"/>
    </w:rPr>
  </w:style>
  <w:style w:type="paragraph" w:styleId="1066">
    <w:name w:val="标题 31"/>
    <w:basedOn w:val="958"/>
    <w:next w:val="1067"/>
    <w:link w:val="958"/>
    <w:qFormat/>
    <w:pPr>
      <w:keepLines/>
      <w:keepNext/>
      <w:spacing w:before="260" w:after="260" w:line="416" w:lineRule="auto"/>
      <w:outlineLvl w:val="2"/>
    </w:pPr>
    <w:rPr>
      <w:b/>
      <w:bCs/>
      <w:sz w:val="32"/>
      <w:szCs w:val="32"/>
    </w:rPr>
  </w:style>
  <w:style w:type="paragraph" w:styleId="1067">
    <w:name w:val="正文缩进1"/>
    <w:basedOn w:val="958"/>
    <w:next w:val="1067"/>
    <w:link w:val="958"/>
    <w:qFormat/>
    <w:pPr>
      <w:ind w:firstLine="420"/>
    </w:pPr>
  </w:style>
  <w:style w:type="paragraph" w:styleId="1068">
    <w:name w:val="图标"/>
    <w:basedOn w:val="958"/>
    <w:next w:val="958"/>
    <w:link w:val="95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9">
    <w:name w:val="正文缩进11"/>
    <w:next w:val="1069"/>
    <w:link w:val="958"/>
    <w:qFormat/>
    <w:pPr>
      <w:ind w:firstLine="420"/>
      <w:jc w:val="both"/>
      <w:widowControl w:val="off"/>
    </w:pPr>
    <w:rPr>
      <w:sz w:val="21"/>
      <w:szCs w:val="21"/>
      <w:lang w:val="en-US" w:eastAsia="zh-CN" w:bidi="ar-SA"/>
    </w:rPr>
  </w:style>
  <w:style w:type="paragraph" w:styleId="1070">
    <w:name w:val=" Char Char Char Char Char Char Char Char Char Char"/>
    <w:basedOn w:val="958"/>
    <w:next w:val="1070"/>
    <w:link w:val="958"/>
    <w:pPr>
      <w:spacing w:line="360" w:lineRule="auto"/>
    </w:pPr>
    <w:rPr>
      <w:sz w:val="24"/>
      <w:szCs w:val="20"/>
    </w:rPr>
  </w:style>
  <w:style w:type="paragraph" w:styleId="1071">
    <w:name w:val="xl25"/>
    <w:basedOn w:val="958"/>
    <w:next w:val="1071"/>
    <w:link w:val="9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2">
    <w:name w:val="xl24"/>
    <w:basedOn w:val="958"/>
    <w:next w:val="1072"/>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3">
    <w:name w:val="标题3"/>
    <w:basedOn w:val="958"/>
    <w:next w:val="958"/>
    <w:link w:val="958"/>
    <w:pPr>
      <w:ind w:firstLine="624"/>
      <w:spacing w:line="590" w:lineRule="atLeast"/>
    </w:pPr>
    <w:rPr>
      <w:rFonts w:ascii="方正黑体_GBK" w:eastAsia="方正黑体_GBK"/>
      <w:sz w:val="32"/>
      <w:szCs w:val="32"/>
    </w:rPr>
  </w:style>
  <w:style w:type="paragraph" w:styleId="1074">
    <w:name w:val="批注文字1"/>
    <w:next w:val="1074"/>
    <w:link w:val="958"/>
    <w:uiPriority w:val="99"/>
    <w:qFormat/>
    <w:pPr>
      <w:widowControl w:val="off"/>
    </w:pPr>
    <w:rPr>
      <w:sz w:val="21"/>
      <w:szCs w:val="21"/>
      <w:lang w:val="en-US" w:eastAsia="zh-CN" w:bidi="ar-SA"/>
    </w:rPr>
  </w:style>
  <w:style w:type="paragraph" w:styleId="1075">
    <w:name w:val="正文1"/>
    <w:next w:val="1075"/>
    <w:link w:val="958"/>
    <w:qFormat/>
    <w:pPr>
      <w:jc w:val="both"/>
      <w:widowControl w:val="off"/>
    </w:pPr>
    <w:rPr>
      <w:rFonts w:ascii="Calibri" w:hAnsi="Calibri"/>
      <w:sz w:val="21"/>
      <w:szCs w:val="24"/>
      <w:lang w:val="en-US" w:eastAsia="zh-CN" w:bidi="ar-SA"/>
    </w:rPr>
  </w:style>
  <w:style w:type="paragraph" w:styleId="1076">
    <w:name w:val="ds-markdown-paragraph"/>
    <w:basedOn w:val="958"/>
    <w:next w:val="1076"/>
    <w:link w:val="958"/>
    <w:pPr>
      <w:jc w:val="left"/>
      <w:spacing w:before="100" w:beforeAutospacing="1" w:after="100" w:afterAutospacing="1"/>
      <w:widowControl/>
    </w:pPr>
    <w:rPr>
      <w:rFonts w:ascii="宋体" w:hAnsi="宋体" w:cs="宋体"/>
      <w:sz w:val="24"/>
      <w:szCs w:val="24"/>
    </w:r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11</cp:revision>
  <dcterms:created xsi:type="dcterms:W3CDTF">2023-03-16T02:16:00Z</dcterms:created>
  <dcterms:modified xsi:type="dcterms:W3CDTF">2026-04-14T09:20:37Z</dcterms:modified>
</cp:coreProperties>
</file>