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0"/>
        <w:rPr>
          <w:rFonts w:hint="eastAsia" w:eastAsia="黑体"/>
          <w:b/>
          <w:bCs/>
          <w:sz w:val="84"/>
          <w:shd w:val="clear" w:color="ffffff" w:fill="d9d9d9"/>
        </w:rPr>
      </w:pPr>
      <w:r>
        <w:rPr>
          <w:rFonts w:hint="eastAsia" w:eastAsia="黑体"/>
          <w:b/>
          <w:bCs/>
          <w:sz w:val="84"/>
          <w:shd w:val="clear" w:color="ffffff" w:fill="d9d9d9"/>
        </w:rPr>
      </w:r>
      <w:r/>
    </w:p>
    <w:p>
      <w:pPr>
        <w:pStyle w:val="1086"/>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086"/>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108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8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86"/>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99"/>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JSZC-320200-JZCG-G2026-0010</w:t>
      </w:r>
      <w:r>
        <w:rPr>
          <w:rFonts w:hint="eastAsia" w:ascii="黑体" w:hAnsi="华文中宋" w:eastAsia="黑体"/>
          <w:bCs/>
          <w:color w:val="000000"/>
          <w:sz w:val="32"/>
          <w:szCs w:val="32"/>
          <w:lang w:eastAsia="zh-CN"/>
        </w:rPr>
      </w:r>
      <w:r/>
    </w:p>
    <w:p>
      <w:pPr>
        <w:pStyle w:val="999"/>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无锡市“一网统管”城市运行管理平台（扩续建2025）</w:t>
      </w:r>
      <w:r>
        <w:rPr>
          <w:rFonts w:hint="eastAsia" w:ascii="黑体" w:hAnsi="华文中宋" w:eastAsia="黑体"/>
          <w:bCs/>
          <w:color w:val="000000"/>
          <w:sz w:val="32"/>
          <w:szCs w:val="32"/>
          <w:lang w:eastAsia="zh-CN"/>
        </w:rPr>
      </w:r>
      <w:r/>
    </w:p>
    <w:p>
      <w:pPr>
        <w:pStyle w:val="999"/>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无锡市市域社会治理现代化指挥中心</w:t>
      </w:r>
      <w:r>
        <w:rPr>
          <w:rFonts w:hint="eastAsia" w:ascii="黑体" w:hAnsi="华文中宋" w:eastAsia="黑体"/>
          <w:bCs/>
          <w:color w:val="000000"/>
          <w:sz w:val="32"/>
          <w:szCs w:val="32"/>
          <w:lang w:eastAsia="zh-CN"/>
        </w:rPr>
      </w:r>
      <w:r/>
    </w:p>
    <w:p>
      <w:pPr>
        <w:pStyle w:val="999"/>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86"/>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86"/>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86"/>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86"/>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108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086"/>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999"/>
        <w:jc w:val="center"/>
        <w:spacing w:line="480" w:lineRule="auto"/>
        <w:rPr>
          <w:rFonts w:hint="eastAsia" w:ascii="黑体" w:hAnsi="Arial" w:eastAsia="黑体"/>
          <w:sz w:val="44"/>
        </w:rPr>
        <w:outlineLvl w:val="0"/>
      </w:pPr>
      <w:r>
        <w:rPr>
          <w:rFonts w:hint="eastAsia" w:ascii="黑体" w:hAnsi="Arial" w:eastAsia="黑体"/>
          <w:sz w:val="44"/>
        </w:rPr>
      </w:r>
      <w:r/>
    </w:p>
    <w:p>
      <w:pPr>
        <w:pStyle w:val="99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9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9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9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9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99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999"/>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999"/>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无锡市市域社会治理现代化指挥中心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无锡市“一网统管”城市运行管理平台（扩续建2025）</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JSZC-320200-JZCG-G2026-0010</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999"/>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999"/>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无锡市“一网统管”城市运行管理平台（扩续建2025）</w:t>
      </w:r>
      <w:r>
        <w:rPr>
          <w:rFonts w:hint="eastAsia" w:ascii="宋体" w:hAnsi="宋体"/>
          <w:color w:val="000000"/>
          <w:sz w:val="24"/>
          <w:szCs w:val="24"/>
        </w:rPr>
        <w:t xml:space="preserve">采购项目的潜在投标人应</w:t>
      </w:r>
      <w:r>
        <w:rPr>
          <w:rFonts w:hint="eastAsia" w:ascii="宋体" w:hAnsi="宋体"/>
          <w:sz w:val="24"/>
          <w:szCs w:val="24"/>
        </w:rPr>
        <w:t xml:space="preserve">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1002"/>
        <w:ind w:firstLine="452"/>
        <w:keepLines w:val="0"/>
        <w:keepNext w:val="0"/>
        <w:spacing w:before="0" w:after="0" w:line="500" w:lineRule="exact"/>
        <w:rPr>
          <w:sz w:val="30"/>
          <w:szCs w:val="30"/>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99"/>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w:t>
      </w:r>
      <w:r>
        <w:rPr>
          <w:rFonts w:hint="eastAsia" w:ascii="宋体" w:hAnsi="宋体"/>
          <w:color w:val="000000"/>
          <w:sz w:val="24"/>
          <w:szCs w:val="24"/>
        </w:rPr>
        <w:t xml:space="preserve">目编号：</w:t>
      </w:r>
      <w:r>
        <w:rPr>
          <w:rFonts w:hint="eastAsia" w:ascii="宋体" w:hAnsi="宋体"/>
          <w:color w:val="000000"/>
          <w:sz w:val="24"/>
          <w:szCs w:val="24"/>
          <w:lang w:eastAsia="zh-CN"/>
        </w:rPr>
        <w:t xml:space="preserve">JSZC-320200-JZCG-G2026-0010</w:t>
      </w:r>
      <w:r>
        <w:rPr>
          <w:rFonts w:hint="eastAsia" w:ascii="宋体" w:hAnsi="宋体" w:eastAsia="宋体"/>
          <w:color w:val="000000"/>
          <w:sz w:val="24"/>
          <w:szCs w:val="24"/>
          <w:lang w:eastAsia="zh-CN"/>
        </w:rPr>
      </w:r>
      <w:r/>
    </w:p>
    <w:p>
      <w:pPr>
        <w:pStyle w:val="999"/>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无锡市“一网统管”城市运行管理平台（扩续建2025）</w:t>
      </w:r>
      <w:r>
        <w:rPr>
          <w:rFonts w:hint="eastAsia" w:ascii="宋体" w:hAnsi="宋体" w:eastAsia="宋体"/>
          <w:color w:val="000000"/>
          <w:sz w:val="24"/>
          <w:szCs w:val="24"/>
          <w:lang w:eastAsia="zh-CN"/>
        </w:rPr>
      </w:r>
      <w:r/>
    </w:p>
    <w:p>
      <w:pPr>
        <w:pStyle w:val="999"/>
        <w:ind w:firstLine="480"/>
        <w:spacing w:line="500" w:lineRule="exact"/>
        <w:rPr>
          <w:rFonts w:ascii="宋体" w:hAnsi="宋体"/>
          <w:color w:val="000000"/>
          <w:sz w:val="24"/>
          <w:szCs w:val="24"/>
        </w:rPr>
      </w:pPr>
      <w:r/>
      <w:bookmarkEnd w:id="11"/>
      <w:r>
        <w:rPr>
          <w:rFonts w:hint="eastAsia" w:ascii="宋体" w:hAnsi="宋体"/>
          <w:sz w:val="24"/>
          <w:szCs w:val="24"/>
        </w:rPr>
        <w:t xml:space="preserve">3.项目预</w:t>
      </w:r>
      <w:r>
        <w:rPr>
          <w:rFonts w:hint="eastAsia" w:ascii="宋体" w:hAnsi="宋体"/>
          <w:color w:val="000000"/>
          <w:sz w:val="24"/>
          <w:szCs w:val="24"/>
        </w:rPr>
        <w:t xml:space="preserve">算金额：</w:t>
      </w:r>
      <w:r>
        <w:rPr>
          <w:rFonts w:hint="eastAsia" w:ascii="宋体" w:hAnsi="宋体"/>
          <w:color w:val="000000"/>
          <w:sz w:val="24"/>
          <w:szCs w:val="24"/>
          <w:lang w:val="en-US" w:eastAsia="zh-CN"/>
        </w:rPr>
        <w:t xml:space="preserve">1644.439</w:t>
      </w:r>
      <w:r>
        <w:rPr>
          <w:rFonts w:hint="eastAsia" w:ascii="宋体" w:hAnsi="宋体"/>
          <w:color w:val="000000"/>
          <w:sz w:val="24"/>
          <w:szCs w:val="24"/>
        </w:rPr>
        <w:t xml:space="preserve">万元</w:t>
      </w:r>
      <w:r>
        <w:rPr>
          <w:rFonts w:ascii="宋体" w:hAnsi="宋体"/>
          <w:color w:val="000000"/>
          <w:sz w:val="24"/>
          <w:szCs w:val="24"/>
        </w:rPr>
      </w:r>
      <w:r/>
    </w:p>
    <w:p>
      <w:pPr>
        <w:pStyle w:val="999"/>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1644.439</w:t>
      </w:r>
      <w:r>
        <w:rPr>
          <w:rFonts w:hint="eastAsia" w:ascii="宋体" w:hAnsi="宋体"/>
          <w:color w:val="000000"/>
          <w:sz w:val="24"/>
          <w:szCs w:val="24"/>
        </w:rPr>
        <w:t xml:space="preserve">万元</w:t>
      </w:r>
      <w:r>
        <w:rPr>
          <w:rFonts w:ascii="宋体" w:hAnsi="宋体"/>
          <w:color w:val="000000"/>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99"/>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99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1002"/>
        <w:ind w:firstLine="452"/>
        <w:keepLines w:val="0"/>
        <w:keepNext w:val="0"/>
        <w:spacing w:before="0" w:after="0" w:line="500" w:lineRule="exact"/>
        <w:rPr>
          <w:color w:val="000000"/>
          <w:sz w:val="30"/>
          <w:szCs w:val="30"/>
        </w:rPr>
      </w:pPr>
      <w:r/>
      <w:bookmarkStart w:id="12" w:name="_Toc28359003"/>
      <w:r/>
      <w:bookmarkStart w:id="13" w:name="_Toc35393791"/>
      <w:r/>
      <w:bookmarkStart w:id="14" w:name="_Toc28359080"/>
      <w:r/>
      <w:bookmarkStart w:id="15" w:name="_Toc35393622"/>
      <w:r/>
      <w:bookmarkStart w:id="16" w:name="_Toc38985264"/>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999"/>
        <w:ind w:firstLine="480"/>
        <w:spacing w:line="500" w:lineRule="exact"/>
        <w:rPr>
          <w:rFonts w:ascii="宋体" w:hAnsi="宋体"/>
          <w:sz w:val="24"/>
          <w:szCs w:val="24"/>
        </w:rPr>
      </w:pPr>
      <w:r/>
      <w:bookmarkStart w:id="17" w:name="_Toc35393792"/>
      <w:r/>
      <w:bookmarkStart w:id="18" w:name="_Toc38985265"/>
      <w:r/>
      <w:bookmarkStart w:id="19" w:name="_Toc28359004"/>
      <w:r/>
      <w:bookmarkStart w:id="20" w:name="_Toc35393623"/>
      <w:r/>
      <w:bookmarkStart w:id="21" w:name="_Toc28359081"/>
      <w:r>
        <w:rPr>
          <w:rFonts w:hint="eastAsia" w:ascii="宋体" w:hAnsi="宋体"/>
          <w:sz w:val="24"/>
          <w:szCs w:val="24"/>
        </w:rPr>
        <w:t xml:space="preserve">1.满足《中华人民共和国政府采购法》第二十二条规定；</w:t>
      </w:r>
      <w:r>
        <w:rPr>
          <w:rFonts w:ascii="宋体" w:hAnsi="宋体"/>
          <w:sz w:val="24"/>
          <w:szCs w:val="24"/>
        </w:rPr>
      </w:r>
      <w:r/>
    </w:p>
    <w:p>
      <w:pPr>
        <w:pStyle w:val="999"/>
        <w:ind w:firstLine="480"/>
        <w:spacing w:line="500" w:lineRule="exact"/>
        <w:rPr>
          <w:rFonts w:hint="eastAsia" w:ascii="宋体" w:hAnsi="宋体"/>
          <w:sz w:val="24"/>
          <w:szCs w:val="24"/>
          <w:highlight w:val="none"/>
        </w:rPr>
      </w:pPr>
      <w:r>
        <w:rPr>
          <w:rFonts w:hint="eastAsia" w:ascii="宋体" w:hAnsi="宋体"/>
          <w:sz w:val="24"/>
          <w:szCs w:val="24"/>
        </w:rPr>
        <w:t xml:space="preserve">2.落实政府采购政策</w:t>
      </w:r>
      <w:r>
        <w:rPr>
          <w:rFonts w:hint="eastAsia" w:ascii="宋体" w:hAnsi="宋体"/>
          <w:sz w:val="24"/>
          <w:szCs w:val="24"/>
          <w:highlight w:val="none"/>
        </w:rPr>
        <w:t xml:space="preserve">需满足的资格要求：</w:t>
      </w:r>
      <w:r>
        <w:rPr>
          <w:rFonts w:hint="eastAsia" w:ascii="宋体" w:hAnsi="宋体"/>
          <w:sz w:val="24"/>
          <w:szCs w:val="24"/>
          <w:highlight w:val="none"/>
        </w:rPr>
      </w:r>
      <w:r/>
    </w:p>
    <w:p>
      <w:pPr>
        <w:pStyle w:val="999"/>
        <w:ind w:firstLine="480"/>
        <w:spacing w:line="500" w:lineRule="exact"/>
        <w:rPr>
          <w:rFonts w:hint="eastAsia" w:ascii="宋体" w:hAnsi="宋体"/>
          <w:color w:val="000000"/>
          <w:sz w:val="24"/>
          <w:szCs w:val="24"/>
          <w:highlight w:val="none"/>
        </w:rPr>
      </w:pPr>
      <w:r>
        <w:rPr>
          <w:rFonts w:hint="eastAsia" w:ascii="宋体" w:hAnsi="宋体"/>
          <w:sz w:val="24"/>
          <w:szCs w:val="24"/>
          <w:highlight w:val="none"/>
        </w:rPr>
        <w:t xml:space="preserve">2.1中小企业政</w:t>
      </w:r>
      <w:r>
        <w:rPr>
          <w:rFonts w:hint="eastAsia" w:ascii="宋体" w:hAnsi="宋体"/>
          <w:color w:val="000000"/>
          <w:sz w:val="24"/>
          <w:szCs w:val="24"/>
          <w:highlight w:val="none"/>
        </w:rPr>
        <w:t xml:space="preserve">策：本项目预留预算总额30%专门面向中小企业采购（其中预留给小微企业的比例不低于预算总额的18%），投标人必须满足以下任意一项条件：</w:t>
      </w:r>
      <w:r>
        <w:rPr>
          <w:rFonts w:hint="eastAsia" w:ascii="宋体" w:hAnsi="宋体"/>
          <w:color w:val="000000"/>
          <w:sz w:val="24"/>
          <w:szCs w:val="24"/>
          <w:highlight w:val="none"/>
        </w:rPr>
      </w:r>
      <w:r/>
    </w:p>
    <w:p>
      <w:pPr>
        <w:pStyle w:val="999"/>
        <w:ind w:firstLine="480"/>
        <w:spacing w:line="500" w:lineRule="exact"/>
        <w:rPr>
          <w:rFonts w:hint="eastAsia" w:ascii="宋体" w:hAnsi="宋体"/>
          <w:color w:val="000000"/>
          <w:sz w:val="24"/>
          <w:szCs w:val="24"/>
        </w:rPr>
      </w:pPr>
      <w:r>
        <w:rPr>
          <w:rFonts w:hint="eastAsia" w:ascii="宋体" w:hAnsi="宋体"/>
          <w:color w:val="000000"/>
          <w:sz w:val="24"/>
          <w:szCs w:val="24"/>
          <w:highlight w:val="none"/>
        </w:rPr>
        <w:t xml:space="preserve">（1）投标人为大型企</w:t>
      </w:r>
      <w:r>
        <w:rPr>
          <w:rFonts w:hint="eastAsia" w:ascii="宋体" w:hAnsi="宋体"/>
          <w:color w:val="000000"/>
          <w:sz w:val="24"/>
          <w:szCs w:val="24"/>
        </w:rPr>
        <w:t xml:space="preserve">业的，中标后须将采购项目中的一定比例分包给中小微企业，分包给中小微企业的份额不得低于</w:t>
      </w:r>
      <w:r>
        <w:rPr>
          <w:rFonts w:hint="eastAsia" w:ascii="宋体" w:hAnsi="宋体"/>
          <w:color w:val="000000"/>
          <w:sz w:val="24"/>
          <w:szCs w:val="24"/>
          <w:lang w:val="en-US" w:eastAsia="zh-CN"/>
        </w:rPr>
        <w:t xml:space="preserve">项目预算</w:t>
      </w:r>
      <w:r>
        <w:rPr>
          <w:rFonts w:hint="eastAsia" w:ascii="宋体" w:hAnsi="宋体"/>
          <w:color w:val="000000"/>
          <w:sz w:val="24"/>
          <w:szCs w:val="24"/>
        </w:rPr>
        <w:t xml:space="preserve">总金额的30%（且其中分包给小微企业的份额不得低于</w:t>
      </w:r>
      <w:r>
        <w:rPr>
          <w:rFonts w:hint="eastAsia" w:ascii="宋体" w:hAnsi="宋体"/>
          <w:color w:val="000000"/>
          <w:sz w:val="24"/>
          <w:szCs w:val="24"/>
          <w:lang w:val="en-US" w:eastAsia="zh-CN"/>
        </w:rPr>
        <w:t xml:space="preserve">项目预算</w:t>
      </w:r>
      <w:r>
        <w:rPr>
          <w:rFonts w:hint="eastAsia" w:ascii="宋体" w:hAnsi="宋体"/>
          <w:color w:val="000000"/>
          <w:sz w:val="24"/>
          <w:szCs w:val="24"/>
        </w:rPr>
        <w:t xml:space="preserve">总金额的18%）；</w:t>
      </w:r>
      <w:r>
        <w:rPr>
          <w:rFonts w:hint="eastAsia" w:ascii="宋体" w:hAnsi="宋体"/>
          <w:color w:val="000000"/>
          <w:sz w:val="24"/>
          <w:szCs w:val="24"/>
        </w:rPr>
      </w:r>
      <w:r/>
    </w:p>
    <w:p>
      <w:pPr>
        <w:pStyle w:val="99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（2）投标人为中型企业的，中标后须将</w:t>
      </w:r>
      <w:r>
        <w:rPr>
          <w:rFonts w:hint="eastAsia" w:ascii="宋体" w:hAnsi="宋体"/>
          <w:color w:val="000000"/>
          <w:sz w:val="24"/>
          <w:szCs w:val="24"/>
        </w:rPr>
        <w:t xml:space="preserve">采购项目中的一定比例</w:t>
      </w:r>
      <w:r>
        <w:rPr>
          <w:rFonts w:hint="eastAsia" w:ascii="宋体" w:hAnsi="宋体"/>
          <w:color w:val="000000"/>
          <w:sz w:val="24"/>
          <w:szCs w:val="24"/>
        </w:rPr>
        <w:t xml:space="preserve">分包给小微企业，分包给小微企业的份额不得低于</w:t>
      </w:r>
      <w:r>
        <w:rPr>
          <w:rFonts w:hint="eastAsia" w:ascii="宋体" w:hAnsi="宋体"/>
          <w:color w:val="000000"/>
          <w:sz w:val="24"/>
          <w:szCs w:val="24"/>
          <w:lang w:val="en-US" w:eastAsia="zh-CN"/>
        </w:rPr>
        <w:t xml:space="preserve">项目预算</w:t>
      </w:r>
      <w:r>
        <w:rPr>
          <w:rFonts w:hint="eastAsia" w:ascii="宋体" w:hAnsi="宋体"/>
          <w:color w:val="000000"/>
          <w:sz w:val="24"/>
          <w:szCs w:val="24"/>
        </w:rPr>
        <w:t xml:space="preserve">总金额的18%；</w:t>
      </w:r>
      <w:r>
        <w:rPr>
          <w:rFonts w:hint="eastAsia" w:ascii="宋体" w:hAnsi="宋体"/>
          <w:color w:val="000000"/>
          <w:sz w:val="24"/>
          <w:szCs w:val="24"/>
        </w:rPr>
      </w:r>
      <w:r/>
    </w:p>
    <w:p>
      <w:pPr>
        <w:pStyle w:val="99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（3）投标人为小型企业或微型企业。</w:t>
      </w:r>
      <w:r>
        <w:rPr>
          <w:rFonts w:hint="eastAsia" w:ascii="宋体" w:hAnsi="宋体"/>
          <w:color w:val="000000"/>
          <w:sz w:val="24"/>
          <w:szCs w:val="24"/>
        </w:rPr>
      </w:r>
      <w:r/>
    </w:p>
    <w:p>
      <w:pPr>
        <w:pStyle w:val="99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注：享受中小企业扶持政策获得政府采购合同的，小微企业不得将合同分包给大中型企业，中型企业不得将合同分包给大型企业。接受分包合同的企业之间不得存在直接控股、管理关系。</w:t>
      </w:r>
      <w:r>
        <w:rPr>
          <w:rFonts w:hint="eastAsia" w:ascii="宋体" w:hAnsi="宋体"/>
          <w:color w:val="000000"/>
          <w:sz w:val="24"/>
          <w:szCs w:val="24"/>
        </w:rPr>
      </w:r>
      <w:r/>
    </w:p>
    <w:p>
      <w:pPr>
        <w:pStyle w:val="99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999"/>
        <w:ind w:firstLine="480"/>
        <w:spacing w:line="500" w:lineRule="exact"/>
      </w:pPr>
      <w:r>
        <w:rPr>
          <w:rFonts w:hint="eastAsia" w:ascii="宋体" w:hAnsi="宋体"/>
          <w:color w:val="000000"/>
          <w:sz w:val="24"/>
          <w:szCs w:val="24"/>
        </w:rPr>
        <w:t xml:space="preserve">3.本项目的特定资格要求：无。</w:t>
      </w:r>
      <w:r/>
    </w:p>
    <w:p>
      <w:pPr>
        <w:pStyle w:val="1002"/>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99"/>
        <w:ind w:firstLine="540"/>
        <w:spacing w:line="500" w:lineRule="exact"/>
        <w:rPr>
          <w:rFonts w:hint="eastAsia"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999"/>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999"/>
        <w:ind w:firstLine="540"/>
        <w:spacing w:line="500" w:lineRule="exact"/>
        <w:rPr>
          <w:rStyle w:val="1075"/>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1075"/>
        </w:rPr>
      </w:r>
      <w:r/>
    </w:p>
    <w:p>
      <w:pPr>
        <w:pStyle w:val="999"/>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1002"/>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99"/>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6年4月29日09点30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w:t>
      </w:r>
      <w:r>
        <w:rPr>
          <w:rFonts w:hint="eastAsia" w:ascii="宋体" w:hAnsi="宋体"/>
          <w:bCs/>
          <w:sz w:val="24"/>
          <w:szCs w:val="24"/>
        </w:rPr>
        <w:t xml:space="preserve">间）</w:t>
      </w:r>
      <w:r>
        <w:rPr>
          <w:rFonts w:hint="eastAsia" w:ascii="宋体" w:hAnsi="宋体"/>
          <w:bCs/>
          <w:sz w:val="24"/>
          <w:szCs w:val="24"/>
        </w:rPr>
      </w:r>
      <w:r/>
    </w:p>
    <w:p>
      <w:pPr>
        <w:pStyle w:val="999"/>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1002"/>
        <w:ind w:firstLine="452"/>
        <w:keepLines w:val="0"/>
        <w:keepNext w:val="0"/>
        <w:spacing w:before="0" w:after="0" w:line="500" w:lineRule="exact"/>
        <w:rPr>
          <w:sz w:val="30"/>
          <w:szCs w:val="30"/>
        </w:rPr>
      </w:pPr>
      <w:r/>
      <w:bookmarkStart w:id="27" w:name="_Toc38985267"/>
      <w:r/>
      <w:bookmarkStart w:id="28" w:name="_Toc28359084"/>
      <w:r/>
      <w:bookmarkStart w:id="29" w:name="_Toc35393625"/>
      <w:r/>
      <w:bookmarkStart w:id="30" w:name="_Toc35393794"/>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999"/>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1002"/>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99"/>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1002"/>
        <w:ind w:firstLine="452"/>
        <w:keepLines w:val="0"/>
        <w:keepNext w:val="0"/>
        <w:spacing w:before="0" w:after="0" w:line="500" w:lineRule="exact"/>
        <w:rPr>
          <w:sz w:val="30"/>
          <w:szCs w:val="30"/>
        </w:rPr>
      </w:pPr>
      <w:r/>
      <w:bookmarkStart w:id="35" w:name="_Toc38985269"/>
      <w:r/>
      <w:bookmarkStart w:id="36" w:name="_Toc35393796"/>
      <w:r/>
      <w:bookmarkStart w:id="37" w:name="_Toc28359085"/>
      <w:r/>
      <w:bookmarkStart w:id="38" w:name="_Toc28359008"/>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99"/>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99"/>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无锡市市域社会治理现代化指挥中心</w:t>
      </w:r>
      <w:r>
        <w:rPr>
          <w:rFonts w:hint="eastAsia" w:ascii="宋体" w:hAnsi="宋体" w:eastAsia="宋体" w:cs="宋体"/>
          <w:color w:val="000000"/>
          <w:sz w:val="24"/>
          <w:szCs w:val="24"/>
          <w:lang w:eastAsia="zh-CN"/>
        </w:rPr>
      </w:r>
      <w:r/>
    </w:p>
    <w:p>
      <w:pPr>
        <w:pStyle w:val="99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址：无锡市观山路199号市民中心13号楼2楼</w:t>
      </w:r>
      <w:r>
        <w:rPr>
          <w:rFonts w:ascii="宋体" w:hAnsi="宋体" w:cs="宋体"/>
          <w:color w:val="000000"/>
          <w:sz w:val="24"/>
          <w:szCs w:val="24"/>
        </w:rPr>
      </w:r>
      <w:r/>
    </w:p>
    <w:p>
      <w:pPr>
        <w:pStyle w:val="999"/>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99"/>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99"/>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999"/>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99"/>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999"/>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999"/>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采购人项目咨询联系</w:t>
      </w:r>
      <w:r>
        <w:rPr>
          <w:rFonts w:hint="eastAsia" w:ascii="宋体" w:hAnsi="宋体" w:cs="宋体"/>
          <w:color w:val="000000"/>
          <w:sz w:val="24"/>
          <w:szCs w:val="24"/>
        </w:rPr>
        <w:t xml:space="preserve">人：卜莹；电话：0510-81827916</w:t>
      </w:r>
      <w:r>
        <w:rPr>
          <w:rFonts w:hint="eastAsia" w:ascii="宋体" w:hAnsi="宋体" w:cs="宋体"/>
          <w:color w:val="000000"/>
          <w:sz w:val="24"/>
          <w:szCs w:val="24"/>
        </w:rPr>
      </w:r>
      <w:r/>
    </w:p>
    <w:p>
      <w:pPr>
        <w:pStyle w:val="99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采购人质疑受理联系人：卜莹；电话：0510-81827916</w:t>
      </w:r>
      <w:r>
        <w:rPr>
          <w:rFonts w:hint="eastAsia" w:ascii="宋体" w:hAnsi="宋体" w:cs="宋体"/>
          <w:color w:val="000000"/>
          <w:sz w:val="24"/>
          <w:szCs w:val="24"/>
        </w:rPr>
      </w:r>
      <w:r/>
    </w:p>
    <w:p>
      <w:pPr>
        <w:pStyle w:val="999"/>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1002"/>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9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9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9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9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9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9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99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99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99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99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9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99"/>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999"/>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999"/>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999"/>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999"/>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1002"/>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16938519"/>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1003"/>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99"/>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1003"/>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999"/>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1003"/>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99"/>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1003"/>
        <w:ind w:firstLine="422"/>
        <w:keepLines w:val="0"/>
        <w:keepNext w:val="0"/>
        <w:spacing w:before="0" w:after="0" w:line="500" w:lineRule="exact"/>
        <w:rPr>
          <w:rFonts w:hint="eastAsia" w:ascii="宋体" w:hAnsi="宋体" w:eastAsia="宋体"/>
          <w:bCs w:val="0"/>
        </w:rPr>
      </w:pPr>
      <w:r/>
      <w:bookmarkStart w:id="61" w:name="_Toc20823279"/>
      <w:r/>
      <w:bookmarkStart w:id="62" w:name="_Toc462564067"/>
      <w:r/>
      <w:bookmarkStart w:id="63" w:name="_Toc51302920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9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999"/>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10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999"/>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1002"/>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20614215"/>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1003"/>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9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99"/>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99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999"/>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1003"/>
        <w:ind w:firstLine="422"/>
        <w:keepLines w:val="0"/>
        <w:keepNext w:val="0"/>
        <w:spacing w:before="0" w:after="0" w:line="500" w:lineRule="exact"/>
        <w:rPr>
          <w:rFonts w:hint="eastAsia" w:ascii="宋体" w:hAnsi="宋体" w:eastAsia="宋体"/>
          <w:bCs w:val="0"/>
          <w:color w:val="000000"/>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999"/>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1003"/>
        <w:ind w:firstLine="422"/>
        <w:keepLines w:val="0"/>
        <w:keepNext w:val="0"/>
        <w:spacing w:before="0" w:after="0" w:line="500" w:lineRule="exact"/>
        <w:rPr>
          <w:rFonts w:hint="eastAsia" w:ascii="宋体" w:hAnsi="宋体" w:eastAsia="宋体"/>
          <w:bCs w:val="0"/>
          <w:color w:val="000000"/>
        </w:rPr>
      </w:pPr>
      <w:r/>
      <w:bookmarkStart w:id="76" w:name="_Toc513029212"/>
      <w:r/>
      <w:bookmarkStart w:id="77" w:name="_Toc16938528"/>
      <w:r/>
      <w:bookmarkStart w:id="78" w:name="_Toc20823284"/>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99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rPr>
      </w:r>
      <w:r/>
    </w:p>
    <w:p>
      <w:pPr>
        <w:pStyle w:val="999"/>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1002"/>
        <w:ind w:firstLine="452"/>
        <w:keepLines w:val="0"/>
        <w:keepNext w:val="0"/>
        <w:spacing w:before="0" w:after="0" w:line="500" w:lineRule="exact"/>
        <w:rPr>
          <w:rFonts w:hint="eastAsia"/>
          <w:sz w:val="30"/>
          <w:szCs w:val="30"/>
        </w:rPr>
      </w:pPr>
      <w:r/>
      <w:bookmarkStart w:id="80" w:name="_Toc16938529"/>
      <w:r/>
      <w:bookmarkStart w:id="81" w:name="_Toc20823285"/>
      <w:r/>
      <w:bookmarkStart w:id="82" w:name="_Toc120614216"/>
      <w:r/>
      <w:bookmarkStart w:id="83" w:name="_Toc462564072"/>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1003"/>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9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99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1003"/>
        <w:ind w:firstLine="422"/>
        <w:keepLines w:val="0"/>
        <w:keepNext w:val="0"/>
        <w:spacing w:before="0" w:after="0" w:line="500" w:lineRule="exact"/>
        <w:rPr>
          <w:rFonts w:hint="eastAsia" w:ascii="宋体" w:hAnsi="宋体" w:eastAsia="宋体"/>
          <w:bCs w:val="0"/>
        </w:rPr>
      </w:pPr>
      <w:r/>
      <w:bookmarkStart w:id="89" w:name="_Toc16938531"/>
      <w:r/>
      <w:bookmarkStart w:id="90" w:name="_Toc462564074"/>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99"/>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99"/>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999"/>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999"/>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sz w:val="24"/>
          <w:u w:val="single"/>
        </w:rPr>
      </w:r>
      <w:r/>
    </w:p>
    <w:p>
      <w:pPr>
        <w:pStyle w:val="999"/>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999"/>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999"/>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rPr>
          <w:rFonts w:hint="eastAsia" w:ascii="宋体" w:hAnsi="宋体"/>
          <w:b/>
          <w:sz w:val="24"/>
        </w:rPr>
      </w:r>
      <w:r/>
    </w:p>
    <w:p>
      <w:pPr>
        <w:pStyle w:val="999"/>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rPr>
          <w:rFonts w:hint="eastAsia" w:ascii="宋体" w:hAnsi="宋体"/>
          <w:b/>
          <w:sz w:val="24"/>
        </w:rPr>
      </w:r>
      <w:r/>
    </w:p>
    <w:p>
      <w:pPr>
        <w:pStyle w:val="999"/>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rPr>
          <w:rFonts w:hint="eastAsia" w:ascii="宋体" w:hAnsi="宋体"/>
          <w:b/>
          <w:sz w:val="24"/>
        </w:rPr>
      </w:r>
      <w:r/>
    </w:p>
    <w:p>
      <w:pPr>
        <w:pStyle w:val="1003"/>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99"/>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1003"/>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999"/>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999"/>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1003"/>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999"/>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1003"/>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842"/>
      <w:r/>
      <w:bookmarkEnd w:id="109"/>
      <w:r/>
      <w:bookmarkStart w:id="110" w:name="_Hlt26954846"/>
      <w:r/>
      <w:bookmarkEnd w:id="110"/>
      <w:r/>
      <w:bookmarkStart w:id="111" w:name="_Hlt26670403"/>
      <w:r/>
      <w:bookmarkEnd w:id="111"/>
      <w:r/>
      <w:bookmarkStart w:id="112" w:name="_Hlt26668983"/>
      <w:r/>
      <w:bookmarkEnd w:id="112"/>
      <w:r/>
      <w:bookmarkStart w:id="113" w:name="_Hlt26670425"/>
      <w:r/>
      <w:bookmarkEnd w:id="113"/>
      <w:r/>
      <w:bookmarkStart w:id="114" w:name="_Hlt26670482"/>
      <w:r/>
      <w:bookmarkEnd w:id="114"/>
      <w:r/>
      <w:bookmarkStart w:id="115" w:name="_Hlt26954731"/>
      <w:r/>
      <w:bookmarkEnd w:id="115"/>
      <w:r/>
      <w:bookmarkStart w:id="116" w:name="_Hlt26954844"/>
      <w:r/>
      <w:bookmarkEnd w:id="116"/>
      <w:r/>
      <w:bookmarkStart w:id="117" w:name="_Hlt26954848"/>
      <w:r/>
      <w:bookmarkEnd w:id="117"/>
      <w:r>
        <w:rPr>
          <w:rFonts w:hint="eastAsia" w:ascii="宋体" w:hAnsi="宋体" w:eastAsia="宋体"/>
          <w:bCs w:val="0"/>
        </w:rPr>
        <w:t xml:space="preserve">14.投标偏离表</w:t>
      </w:r>
      <w:r>
        <w:rPr>
          <w:rFonts w:hint="eastAsia" w:ascii="宋体" w:hAnsi="宋体" w:eastAsia="宋体"/>
          <w:bCs w:val="0"/>
        </w:rPr>
      </w:r>
      <w:r/>
    </w:p>
    <w:p>
      <w:pPr>
        <w:pStyle w:val="999"/>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1003"/>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9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10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99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1002"/>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1003"/>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99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111"/>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10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999"/>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1003"/>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99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1003"/>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99"/>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999"/>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999"/>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999"/>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9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1002"/>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1003"/>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99"/>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99"/>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999"/>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999"/>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1003"/>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999"/>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10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999"/>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999"/>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999"/>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1003"/>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99"/>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99"/>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1003"/>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99"/>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999"/>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99"/>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99"/>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9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999"/>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99"/>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99"/>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99"/>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99"/>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99"/>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999"/>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10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999"/>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rPr>
          <w:rFonts w:hint="eastAsia" w:ascii="宋体" w:hAnsi="宋体"/>
          <w:bCs/>
          <w:sz w:val="24"/>
        </w:rPr>
      </w:r>
      <w:r/>
    </w:p>
    <w:p>
      <w:pPr>
        <w:pStyle w:val="999"/>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999"/>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999"/>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99"/>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999"/>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999"/>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99"/>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99"/>
        <w:ind w:left="479"/>
        <w:spacing w:line="50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99"/>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99"/>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99"/>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999"/>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99"/>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002"/>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1003"/>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999"/>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999"/>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99"/>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99"/>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99"/>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99"/>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99"/>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99"/>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0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999"/>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99"/>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10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1002"/>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1003"/>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999"/>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999"/>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100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99"/>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513029242"/>
      <w:r/>
      <w:bookmarkStart w:id="178" w:name="_Toc16938558"/>
      <w:r/>
      <w:bookmarkStart w:id="179" w:name="_Toc120614221"/>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999"/>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999"/>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1037"/>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1037"/>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1037"/>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1037"/>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37"/>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37"/>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37"/>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37"/>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37"/>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1037"/>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37"/>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1037"/>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37"/>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37"/>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1037"/>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37"/>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1037"/>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1037"/>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37"/>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1037"/>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1037"/>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99"/>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99"/>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99"/>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7.2按招标文件要求，如乙方将合同份额进行分包的，应当按投标文件中提供的分包意向协议履行合同。</w:t>
      </w:r>
      <w:r>
        <w:rPr>
          <w:rFonts w:hint="eastAsia" w:ascii="宋体" w:hAnsi="宋体"/>
          <w:sz w:val="24"/>
          <w:szCs w:val="24"/>
          <w:highlight w:val="none"/>
        </w:rPr>
      </w:r>
      <w:r/>
    </w:p>
    <w:p>
      <w:pPr>
        <w:pStyle w:val="999"/>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7.3</w:t>
      </w:r>
      <w:r>
        <w:rPr>
          <w:rFonts w:hint="eastAsia" w:ascii="宋体" w:hAnsi="宋体"/>
          <w:sz w:val="24"/>
          <w:szCs w:val="24"/>
          <w:highlight w:val="none"/>
        </w:rPr>
        <w:t xml:space="preserve">乙方应书面通知甲方本合同项下所授予的分包合同。</w:t>
      </w:r>
      <w:r>
        <w:rPr>
          <w:rFonts w:hint="eastAsia" w:ascii="宋体" w:hAnsi="宋体"/>
          <w:sz w:val="24"/>
          <w:szCs w:val="24"/>
          <w:highlight w:val="none"/>
        </w:rPr>
        <w:t xml:space="preserve">乙方与分包单位签订</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分包合同</w:t>
      </w:r>
      <w:r>
        <w:rPr>
          <w:rFonts w:hint="eastAsia" w:ascii="宋体" w:hAnsi="宋体"/>
          <w:sz w:val="24"/>
          <w:szCs w:val="24"/>
          <w:highlight w:val="none"/>
        </w:rPr>
        <w:t xml:space="preserve">，应将副本留存甲方处备案。若分包合同与本合同发生抵触，则以本合同为准。</w:t>
      </w:r>
      <w:r>
        <w:rPr>
          <w:rFonts w:hint="eastAsia" w:ascii="宋体" w:hAnsi="宋体"/>
          <w:sz w:val="24"/>
          <w:szCs w:val="24"/>
          <w:highlight w:val="none"/>
        </w:rPr>
      </w:r>
      <w:r/>
    </w:p>
    <w:p>
      <w:pPr>
        <w:pStyle w:val="999"/>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7.4</w:t>
      </w:r>
      <w:r>
        <w:rPr>
          <w:rFonts w:hint="eastAsia" w:ascii="宋体" w:hAnsi="宋体"/>
          <w:sz w:val="24"/>
          <w:szCs w:val="24"/>
          <w:highlight w:val="none"/>
        </w:rPr>
        <w:t xml:space="preserve">乙方所签订的分包合同的服务标准不得低于本合同的服务标准，并对分包单位的服务行为向甲方承担连带责任。</w:t>
      </w:r>
      <w:r>
        <w:rPr>
          <w:rFonts w:hint="eastAsia" w:ascii="宋体" w:hAnsi="宋体"/>
          <w:sz w:val="24"/>
          <w:szCs w:val="24"/>
          <w:highlight w:val="none"/>
        </w:rPr>
      </w:r>
      <w:r/>
    </w:p>
    <w:p>
      <w:pPr>
        <w:pStyle w:val="999"/>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7.5</w:t>
      </w:r>
      <w:r>
        <w:rPr>
          <w:rFonts w:hint="eastAsia" w:ascii="宋体" w:hAnsi="宋体"/>
          <w:sz w:val="24"/>
          <w:szCs w:val="24"/>
          <w:highlight w:val="none"/>
        </w:rPr>
        <w:t xml:space="preserve">分包合同不能解除乙方在本合同中应承担的任何义务和责任。乙方应对分包项目派驻相应监督管理人员，保证合同的履行。分包单位的任何违约或疏忽，均视为乙方的违约或疏忽。</w:t>
      </w:r>
      <w:r>
        <w:rPr>
          <w:rFonts w:hint="eastAsia" w:ascii="宋体" w:hAnsi="宋体"/>
          <w:sz w:val="24"/>
          <w:szCs w:val="24"/>
          <w:highlight w:val="none"/>
        </w:rPr>
      </w:r>
      <w:r/>
    </w:p>
    <w:p>
      <w:pPr>
        <w:pStyle w:val="999"/>
        <w:ind w:firstLine="480"/>
        <w:spacing w:line="400" w:lineRule="exact"/>
        <w:rPr>
          <w:rFonts w:ascii="宋体" w:hAnsi="宋体" w:eastAsia="仿宋_GB2312"/>
          <w:sz w:val="24"/>
          <w:szCs w:val="24"/>
        </w:rPr>
      </w:pPr>
      <w:r>
        <w:rPr>
          <w:rFonts w:ascii="宋体" w:hAnsi="宋体"/>
          <w:sz w:val="24"/>
          <w:szCs w:val="24"/>
        </w:rPr>
        <w:t xml:space="preserve">7.</w:t>
      </w:r>
      <w:r>
        <w:rPr>
          <w:rFonts w:hint="eastAsia" w:ascii="宋体" w:hAnsi="宋体"/>
          <w:sz w:val="24"/>
          <w:szCs w:val="24"/>
          <w:lang w:val="en-US" w:eastAsia="zh-CN"/>
        </w:rPr>
        <w:t xml:space="preserve">6</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37"/>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1037"/>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99"/>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999"/>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999"/>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999"/>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99"/>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3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rPr>
          <w:rFonts w:hint="eastAsia" w:hAnsi="宋体"/>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103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3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3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37"/>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3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rPr>
          <w:rFonts w:hAnsi="宋体"/>
          <w:sz w:val="24"/>
          <w:szCs w:val="24"/>
        </w:rPr>
      </w:r>
      <w:r/>
    </w:p>
    <w:p>
      <w:pPr>
        <w:pStyle w:val="103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37"/>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1037"/>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37"/>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37"/>
        <w:ind w:firstLine="240"/>
        <w:spacing w:line="400" w:lineRule="exact"/>
        <w:rPr>
          <w:rFonts w:hint="eastAsia"/>
        </w:rPr>
      </w:pPr>
      <w:r>
        <w:rPr>
          <w:rFonts w:hint="eastAsia" w:hAnsi="宋体"/>
          <w:sz w:val="24"/>
          <w:szCs w:val="24"/>
        </w:rPr>
        <w:t xml:space="preserve">联系电话：                    联系电话：          </w:t>
      </w:r>
      <w:r>
        <w:rPr>
          <w:rFonts w:hint="eastAsia"/>
        </w:rPr>
      </w:r>
      <w:r/>
    </w:p>
    <w:p>
      <w:pPr>
        <w:pStyle w:val="999"/>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99"/>
        <w:ind w:firstLine="480"/>
        <w:spacing w:line="400" w:lineRule="exact"/>
        <w:rPr>
          <w:rFonts w:hint="eastAsia"/>
          <w:sz w:val="24"/>
          <w:szCs w:val="24"/>
          <w:highlight w:val="none"/>
          <w:lang w:val="en-US" w:eastAsia="zh-CN"/>
        </w:rPr>
      </w:pPr>
      <w:r>
        <w:rPr>
          <w:rFonts w:hint="eastAsia"/>
          <w:sz w:val="24"/>
          <w:szCs w:val="24"/>
          <w:highlight w:val="none"/>
          <w:lang w:val="en-US" w:eastAsia="zh-CN"/>
        </w:rPr>
      </w:r>
      <w:r/>
    </w:p>
    <w:p>
      <w:pPr>
        <w:pStyle w:val="999"/>
        <w:ind w:firstLine="480"/>
        <w:spacing w:line="400" w:lineRule="exact"/>
        <w:rPr>
          <w:rFonts w:hint="eastAsia" w:eastAsia="宋体"/>
          <w:sz w:val="24"/>
          <w:szCs w:val="24"/>
          <w:highlight w:val="none"/>
          <w:lang w:val="en-US" w:eastAsia="zh-CN"/>
        </w:rPr>
      </w:pPr>
      <w:r>
        <w:rPr>
          <w:rFonts w:hint="eastAsia"/>
          <w:sz w:val="24"/>
          <w:szCs w:val="24"/>
          <w:highlight w:val="none"/>
          <w:lang w:val="en-US" w:eastAsia="zh-CN"/>
        </w:rPr>
        <w:t xml:space="preserve">注：依据《关于印发《政府采购促进中小企业发展管理办法》的通知》（财库〔2020〕46号）相关规定及招标文件要求，中标人如是将合同份额进行分包的，双方在签订采购合同时应当明确标注本合同为中小企业预留合同，分包意向协议将作为采购合同的组成部分。</w:t>
      </w:r>
      <w:r>
        <w:rPr>
          <w:rFonts w:hint="eastAsia" w:eastAsia="宋体"/>
          <w:sz w:val="24"/>
          <w:szCs w:val="24"/>
          <w:highlight w:val="none"/>
          <w:lang w:val="en-US" w:eastAsia="zh-CN"/>
        </w:rPr>
      </w:r>
      <w:r/>
    </w:p>
    <w:p>
      <w:pPr>
        <w:pStyle w:val="999"/>
        <w:jc w:val="center"/>
        <w:keepLines w:val="0"/>
        <w:keepNext w:val="0"/>
        <w:pageBreakBefore w:val="0"/>
        <w:spacing w:line="360" w:lineRule="auto"/>
        <w:widowControl w:val="off"/>
        <w:tabs>
          <w:tab w:val="left" w:pos="1440" w:leader="none"/>
        </w:tabs>
        <w:rPr>
          <w:rFonts w:hint="eastAsia" w:ascii="黑体" w:hAnsi="黑体" w:eastAsia="黑体"/>
          <w:sz w:val="36"/>
          <w:szCs w:val="36"/>
        </w:rPr>
        <w:outlineLvl w:val="0"/>
      </w:pPr>
      <w:r>
        <w:rPr>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999"/>
        <w:ind w:firstLine="480"/>
        <w:jc w:val="left"/>
        <w:keepLines w:val="0"/>
        <w:keepNext w:val="0"/>
        <w:pageBreakBefore w:val="0"/>
        <w:spacing w:line="360" w:lineRule="auto"/>
        <w:widowControl w:val="off"/>
        <w:rPr>
          <w:rFonts w:hint="eastAsia" w:ascii="黑体" w:hAnsi="黑体" w:eastAsia="黑体"/>
          <w:color w:val="000000"/>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rPr>
          <w:rFonts w:hint="eastAsia" w:ascii="黑体" w:hAnsi="黑体" w:eastAsia="黑体"/>
          <w:color w:val="000000"/>
          <w:sz w:val="30"/>
          <w:szCs w:val="30"/>
        </w:rPr>
      </w:r>
      <w:r/>
    </w:p>
    <w:p>
      <w:pPr>
        <w:pStyle w:val="999"/>
        <w:ind w:firstLine="482"/>
        <w:jc w:val="left"/>
        <w:keepLines w:val="0"/>
        <w:keepNext w:val="0"/>
        <w:pageBreakBefore w:val="0"/>
        <w:spacing w:line="360" w:lineRule="auto"/>
        <w:widowControl w:val="off"/>
        <w:rPr>
          <w:rFonts w:hint="eastAsia" w:ascii="宋体" w:hAnsi="宋体"/>
          <w:b/>
          <w:color w:val="000000"/>
          <w:sz w:val="24"/>
          <w:szCs w:val="24"/>
        </w:rPr>
      </w:pPr>
      <w:r>
        <w:rPr>
          <w:rFonts w:hint="eastAsia" w:ascii="宋体" w:hAnsi="宋体"/>
          <w:b/>
          <w:color w:val="000000"/>
          <w:sz w:val="24"/>
          <w:szCs w:val="24"/>
        </w:rPr>
        <w:t xml:space="preserve">本项目属性：服务类项目</w:t>
      </w:r>
      <w:r>
        <w:rPr>
          <w:rFonts w:hint="eastAsia" w:ascii="宋体" w:hAnsi="宋体"/>
          <w:b/>
          <w:color w:val="000000"/>
          <w:sz w:val="24"/>
          <w:szCs w:val="24"/>
        </w:rPr>
      </w:r>
      <w:r/>
    </w:p>
    <w:p>
      <w:pPr>
        <w:pStyle w:val="999"/>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本项目标的物所属行业：详见项目技术要求</w:t>
      </w:r>
      <w:r>
        <w:rPr>
          <w:rFonts w:hint="eastAsia" w:ascii="宋体" w:hAnsi="宋体"/>
          <w:bCs/>
          <w:color w:val="000000"/>
          <w:sz w:val="24"/>
          <w:szCs w:val="24"/>
        </w:rPr>
      </w:r>
      <w:r/>
    </w:p>
    <w:p>
      <w:pPr>
        <w:pStyle w:val="999"/>
        <w:ind w:firstLine="480"/>
        <w:keepLines w:val="0"/>
        <w:keepNext w:val="0"/>
        <w:pageBreakBefore w:val="0"/>
        <w:spacing w:line="360" w:lineRule="auto"/>
        <w:widowControl w:val="off"/>
        <w:rPr>
          <w:rFonts w:ascii="宋体" w:hAnsi="宋体"/>
          <w:color w:val="000000"/>
          <w:sz w:val="24"/>
          <w:szCs w:val="24"/>
        </w:rPr>
      </w:pPr>
      <w:r>
        <w:rPr>
          <w:rFonts w:hint="eastAsia" w:ascii="宋体"/>
          <w:bCs/>
          <w:color w:val="000000"/>
          <w:sz w:val="24"/>
          <w:szCs w:val="24"/>
          <w:highlight w:val="none"/>
        </w:rPr>
        <w:t xml:space="preserve">本项目不接受进口产品参与投标。</w:t>
      </w:r>
      <w:r>
        <w:rPr>
          <w:rFonts w:ascii="宋体" w:hAnsi="宋体"/>
          <w:color w:val="000000"/>
          <w:sz w:val="24"/>
          <w:szCs w:val="24"/>
        </w:rPr>
      </w:r>
      <w:r/>
    </w:p>
    <w:p>
      <w:pPr>
        <w:pStyle w:val="999"/>
        <w:ind w:firstLine="602"/>
        <w:keepLines w:val="0"/>
        <w:keepNext w:val="0"/>
        <w:pageBreakBefore w:val="0"/>
        <w:spacing w:line="360" w:lineRule="auto"/>
        <w:widowControl w:val="off"/>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999"/>
        <w:numPr>
          <w:ilvl w:val="0"/>
          <w:numId w:val="0"/>
        </w:numPr>
        <w:ind w:left="0" w:firstLine="0"/>
        <w:spacing w:line="360" w:lineRule="auto"/>
        <w:rPr>
          <w:rFonts w:hint="eastAsia" w:ascii="黑体" w:hAnsi="黑体" w:eastAsia="黑体" w:cs="黑体"/>
          <w:sz w:val="28"/>
          <w:szCs w:val="28"/>
        </w:rPr>
      </w:pPr>
      <w:r>
        <w:rPr>
          <w:rFonts w:hint="eastAsia" w:ascii="黑体" w:hAnsi="黑体" w:eastAsia="黑体" w:cs="黑体"/>
          <w:sz w:val="28"/>
          <w:szCs w:val="28"/>
          <w:lang w:val="en-US" w:eastAsia="zh-CN" w:bidi="ar-SA"/>
        </w:rPr>
        <w:t xml:space="preserve">一、</w:t>
      </w:r>
      <w:r>
        <w:rPr>
          <w:rFonts w:hint="eastAsia" w:ascii="黑体" w:hAnsi="黑体" w:eastAsia="黑体" w:cs="黑体"/>
          <w:sz w:val="28"/>
          <w:szCs w:val="28"/>
        </w:rPr>
        <w:t xml:space="preserve">建设背景</w:t>
      </w:r>
      <w:r>
        <w:rPr>
          <w:rFonts w:hint="eastAsia" w:ascii="黑体" w:hAnsi="黑体" w:eastAsia="黑体" w:cs="黑体"/>
          <w:sz w:val="28"/>
          <w:szCs w:val="28"/>
        </w:rPr>
      </w:r>
      <w:r/>
    </w:p>
    <w:p>
      <w:pPr>
        <w:pStyle w:val="999"/>
        <w:numPr>
          <w:ilvl w:val="0"/>
          <w:numId w:val="0"/>
        </w:numPr>
        <w:spacing w:line="360" w:lineRule="auto"/>
        <w:rPr>
          <w:rFonts w:hint="eastAsia" w:ascii="黑体" w:hAnsi="黑体" w:eastAsia="黑体" w:cs="黑体"/>
          <w:sz w:val="24"/>
          <w:szCs w:val="24"/>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一</w:t>
      </w:r>
      <w:r>
        <w:rPr>
          <w:rFonts w:hint="eastAsia" w:ascii="黑体" w:hAnsi="黑体" w:eastAsia="黑体" w:cs="黑体"/>
          <w:sz w:val="24"/>
          <w:szCs w:val="24"/>
          <w:lang w:eastAsia="zh-CN"/>
        </w:rPr>
        <w:t xml:space="preserve">）</w:t>
      </w:r>
      <w:r>
        <w:rPr>
          <w:rFonts w:hint="eastAsia" w:ascii="黑体" w:hAnsi="黑体" w:eastAsia="黑体" w:cs="黑体"/>
          <w:sz w:val="24"/>
          <w:szCs w:val="24"/>
        </w:rPr>
        <w:t xml:space="preserve">项目背景</w:t>
      </w:r>
      <w:r>
        <w:rPr>
          <w:rFonts w:hint="eastAsia" w:ascii="黑体" w:hAnsi="黑体" w:eastAsia="黑体" w:cs="黑体"/>
          <w:sz w:val="24"/>
          <w:szCs w:val="24"/>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近年来，国家层面出台政策推动公共数据开发利用与智慧城市建设。《关于深化智慧城市发展 推进城市全域数字化转型指导意见》提出完善城市运行管理平台，深化“一网统管”建设，加强城市生命体征监测；依托城市智能中枢等，聚合城市管理、民情感知等领域，实现态势全面感知、趋势智能研判、协同高效处置、调度敏捷响应、平急快速切换的智慧城市发展方向。</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江苏省将智慧城市建设作为数字化转型的核心抓手，出台多项政策明确实施路径。《江苏省深化智慧城市发展推进城市全域数字化转型实施方案》要求依托城市运行智能中枢，整合公共安全、城市管理等全领域资源，集约化建设城市运行“一网统管”平台，利用城市大模型实现事件全周期智能处置。为项目建设提供了具体方向。</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无锡市委十四届八次全体会议决定明确提出高水平建设市城市运行管理中心，要求进一步提升综合研判能力，落实《无锡市数字化转型促进条例》要求，统筹建设城市运行“一网统管”平台，实现城市运行态势监测预警、城市重大事件指挥调度、线上线下协同高效处置，推动城市治理智能化、精细化。推动社会治理应用场景创新，将涉及基层治理、公共安全、防灾减灾等社会治理领域的应用接入“一网统管”平台，形成监管和服务相融合的体系。为项目建设划定了实施重点。</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为响应国家及省市政策要求，结合目前城运中心基础支撑能力不足、现有系统能力与实战需求仍显不足的现实需求，开展无锡市“一网统管”城市运行管理平台(扩续建2025)的建设工作。</w:t>
      </w:r>
      <w:r>
        <w:rPr>
          <w:rFonts w:hint="eastAsia" w:ascii="宋体" w:hAnsi="宋体" w:eastAsia="宋体" w:cs="宋体"/>
          <w:sz w:val="21"/>
          <w:lang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二</w:t>
      </w:r>
      <w:r>
        <w:rPr>
          <w:rFonts w:hint="eastAsia" w:ascii="黑体" w:hAnsi="黑体" w:eastAsia="黑体" w:cs="黑体"/>
          <w:sz w:val="24"/>
          <w:szCs w:val="24"/>
          <w:lang w:eastAsia="zh-CN"/>
        </w:rPr>
        <w:t xml:space="preserve">）基本现状</w:t>
      </w:r>
      <w:r>
        <w:rPr>
          <w:rFonts w:hint="eastAsia" w:ascii="黑体" w:hAnsi="黑体" w:eastAsia="黑体" w:cs="黑体"/>
          <w:sz w:val="24"/>
          <w:szCs w:val="24"/>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无锡市“一网统管”已搭建起以“高效处置一件事”为核心的基础框架。其整合了无锡市“一网统管”城市运行管理平台（一期）、城市生命体征小屏端、社情民意速办平台、无人机低空巡管等多个项目相关系统，对接“i无锡”、“灵锡APP”、气象局系统等多渠道资源，同时构建了标准规范、数据支撑、基础设施等多维度保障体系。目前，该框架在事件受理、协同处置、数据汇聚等方面已取得初步成效，为城市治理数字化转型筑牢了基础。</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但从实际运行成效来看，“一网统管”仍存在部分能力短板，难以充分支撑“高效处置一件事”的核心业务目标及市领导高效指挥调度需求，具体短板如下：</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业务与能力整合深度不足，缺乏统一身份认证与应用接入机制，难以满足“一部门一系统”工作要求，业务系统分散导致全流程闭环管理缺失；资源调度仍依赖人工操作，综合研判缺乏智能化支撑，整体效率偏低；视频识别算力供给不足，事件识别准确度有待提升，难以满足精准处置需求；综合评估指标尚未统一，数据融合共享机制薄弱，跨部门、跨系统数据协同效能不足；AI智能体共性能力与数据服务支撑能力欠缺，未能充分赋能业务场景；部分现有规范与当前业务发展、法律法规要求不匹配，且部分系统未达到信创建设标准，适配性与合规性有待优化。</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1.</w:t>
      </w:r>
      <w:r>
        <w:rPr>
          <w:rFonts w:hint="eastAsia" w:ascii="黑体" w:hAnsi="黑体" w:eastAsia="黑体" w:cs="黑体"/>
          <w:sz w:val="24"/>
          <w:szCs w:val="24"/>
          <w:lang w:eastAsia="zh-CN"/>
        </w:rPr>
        <w:t xml:space="preserve">应用系统现状</w:t>
      </w:r>
      <w:r>
        <w:rPr>
          <w:rFonts w:hint="eastAsia" w:ascii="黑体" w:hAnsi="黑体" w:eastAsia="黑体" w:cs="黑体"/>
          <w:sz w:val="24"/>
          <w:szCs w:val="24"/>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1.1无锡市“一网统管”城市运行管理平台（一期）系统现状</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城运平台一期以“搭框架、筑基础、出实效”为目标，搭建市城运平台及其基础支撑能力体系，总体建设内容为“1+1+1+4+N”，分别为1个标准体系、1个统一交互体系、1个城运支撑体系、4个业务系统和N个应用场景，具体建设内容如下：</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建设1个标准规范体系：包括体征指标规范、平台安全规范共2项标准规范，为市、市（县）区城市运行管理平台的一体化建设提供标准指导；建设1个统一交互体系：包括城运</w:t>
      </w:r>
      <w:r>
        <w:rPr>
          <w:rFonts w:hint="eastAsia" w:ascii="宋体" w:hAnsi="宋体" w:eastAsia="宋体" w:cs="宋体"/>
          <w:sz w:val="21"/>
          <w:lang w:eastAsia="zh-CN"/>
        </w:rPr>
        <w:t xml:space="preserve">平台大、中、小屏，基于一套数据、一套支撑体系实现三屏联动，助力提升城市治理事件协同处置成效；建设4个业务系统：包含城市生命体征系统、城市之眼系统、事件协同处置系统、值班值守系统，用于提升日常业务效率；建设及接入N个应用场景：围绕市数字化转型重点场景任务清单，以标准化方式接入超限超载无遁形、数字食安无忧保、防汛防台秒响应、消防隐患智感知、工程运输全景控等多个重点场景，实现主题工作的“一屏总览”；建设1个城运支撑体系：包含城运数据资源、地理信息服务、统一运管中心等，夯筑城运平台能力基石，为业务系统提供基础支撑。</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1.2其他历史系统现状</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城市生命体征小屏端以国家标准为基础，结合地方实际构建了包含移动端、管理后台、八大指标专题驾驶舱的完整架构，实现城市之眼视频推送、八大类全域指标专题监测、城市事件日报专报及值班值守等功能，为领导移动端决策提供直观数据支撑与服务保障。</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社情民意速办平台聚焦“看见、预见、应急调度”，通过构建事件汇聚库、线索分析库等功能，整合各类民生诉求渠道，发现民生线索，生成各类分析报告，实现城市治理事件部门协同联动。</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无人机低空巡管共享服务平台已建成“网、云、端”协同的5G网联无人机技术体系，通过接入523架无人机资源，结合500余路高空鹰眼形成“空中一张网”，服务城市治理场景，创新“部门吹哨、城运派单、警航实施”机制。</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全天候公众与企业在线服务快速响应信息平台通过诉求派发、微信服务号及自助客服，服务全市企业群众，并与公安、税务等多部门系统对接，提升诉求流转效率。</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轻应用平台与数字底座能力运营平台作为技术支撑核心，为各部门搭建147个应用，解决基层需求响应慢等问题；并以电子工单系统为关键，实现服务资源统一管理。</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电子证照系统对标国家电子证照最新标准，提供电子证照目录管理、发证管理、用证管理等功能，累计归集400多种目录。</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统一电子印章系统，形成从制作、发布到应用的完整的电子印章服务体系。接入44个业务系统。</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统一政务短信平台提供短信接口为各委办局提供验证码、通知、会务等短信发送能力，与电子证照系统、统一电子印章系统共同夯实政务服务数字化基础。</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AI中台构建大模型训练平台与政务大模型，开发公文写作、事件分析等原生应用，为市域治理、指挥调度等场景注入智能引擎。</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2.基础设施现状</w:t>
      </w:r>
      <w:r>
        <w:rPr>
          <w:rFonts w:hint="eastAsia" w:ascii="黑体" w:hAnsi="黑体" w:eastAsia="黑体" w:cs="黑体"/>
          <w:sz w:val="24"/>
          <w:szCs w:val="24"/>
          <w:lang w:val="en-US"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2.1网络情况</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无锡市“一网统管”城市运行管理平台(扩续建2025)项目主要基于无锡市电子政务外网进行建设运行。无锡市电子政务外网参照《网络安全等级保护设计技术要求》（GB/T25070-2019）、《网络安全等级保护基本要求》（GB/T22239-2019）等文件的要求进行安全保密建设和管理，并已通过等级保护测评，已实现市、市（县）区、镇（街道）、村（社区）和各委办局条线的工作业务综合接入。</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2.2政务云情况</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无锡市电子政务云采用政府按需采购服务，利用虚拟化、分布式等云计算技术，为政府各部门提供计算、存储、网络等弹性、可靠、安全的信息化基础设施服务，实现基础资源的集约化管理和弹性分配。云平台通过至少两条冗余的裸光纤接入无锡市电子政务外网网络核心，云计算服务提供平台层服务、主机备份服务等。</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2.3指挥大厅设施情况</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无锡市城市运行管理中心指挥大厅是城市日常管理与应急指挥的核心枢纽</w:t>
      </w:r>
      <w:r>
        <w:rPr>
          <w:rFonts w:hint="eastAsia" w:ascii="宋体" w:hAnsi="宋体" w:eastAsia="宋体" w:cs="宋体"/>
          <w:sz w:val="21"/>
          <w:lang w:eastAsia="zh-CN"/>
        </w:rPr>
        <w:t xml:space="preserve">。无锡市城运中心原有视频会议平台基于华为CloudLink系列产品建设，该系统采用一体化云视频会议架构，具备高清音视频通信、多级互联、智能协作等功能，主要用于支撑市—县区—镇街三级日常指挥调度、应急会商及视频点调等业务场景。当前系统支持管理100个设备，最大并发数为53个。随着日常市—县区—镇街三级点调会议需求的增长，现有管理容量和并发能力已无法满足实际需要。同时，由于入会单位较多，现有画面合成能力（多画面数量）不足，影响会议效果。因此，需将管理节点扩容至200个，并发数提升至130个，并增配电视墙服务器。</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3.规范现状</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当前市城运中心围绕管理需求，从数据、技术、业务、管理四个维度构建了规范体系。数据规范方面，已构建《事件主题库建设规范》涵盖事件数据目录的</w:t>
      </w:r>
      <w:r>
        <w:rPr>
          <w:rFonts w:hint="eastAsia" w:ascii="宋体" w:hAnsi="宋体" w:eastAsia="宋体" w:cs="宋体"/>
          <w:sz w:val="21"/>
          <w:lang w:eastAsia="zh-CN"/>
        </w:rPr>
        <w:t xml:space="preserve">数据元、质量规则及分类合并等内容，《速办事件接口规范》明确速办平台与外部系统集成对接方式；技术规范方面，聚焦提升智慧中枢技术水平与全市赋能，已构建《无锡市政务数字底座能力中台对外赋能规程（试行）》，提供大模型接入使用及沉淀能力赋能标准；业务规范方面，已构建《无锡市“一网统管”城市运行管理平台城市生命体征指标规范》及《事件数据标注规范》《事件标识编码规范》等事件类规范，明确事件分类、名称定义等内容；在管理规范方面，已构建《无锡市“一网统管”城市运行管理平台安全规范》为项目工作制定标准，保障项目安全可持续运行。</w:t>
      </w:r>
      <w:r>
        <w:rPr>
          <w:rFonts w:hint="eastAsia" w:ascii="宋体" w:hAnsi="宋体" w:eastAsia="宋体" w:cs="宋体"/>
          <w:sz w:val="21"/>
          <w:lang w:eastAsia="zh-CN"/>
        </w:rPr>
      </w:r>
      <w:r/>
    </w:p>
    <w:p>
      <w:pPr>
        <w:pStyle w:val="999"/>
        <w:numPr>
          <w:ilvl w:val="0"/>
          <w:numId w:val="0"/>
        </w:numPr>
        <w:ind w:left="0" w:firstLine="0"/>
        <w:spacing w:line="360" w:lineRule="auto"/>
        <w:rPr>
          <w:rFonts w:hint="eastAsia" w:ascii="黑体" w:hAnsi="黑体" w:eastAsia="黑体" w:cs="黑体"/>
          <w:sz w:val="28"/>
          <w:szCs w:val="28"/>
        </w:rPr>
      </w:pPr>
      <w:r>
        <w:rPr>
          <w:rFonts w:hint="eastAsia" w:ascii="黑体" w:hAnsi="黑体" w:eastAsia="黑体" w:cs="黑体"/>
          <w:sz w:val="28"/>
          <w:szCs w:val="28"/>
          <w:lang w:val="en-US" w:eastAsia="zh-CN" w:bidi="ar-SA"/>
        </w:rPr>
        <w:t xml:space="preserve">二、</w:t>
      </w:r>
      <w:r>
        <w:rPr>
          <w:rFonts w:hint="eastAsia" w:ascii="黑体" w:hAnsi="黑体" w:eastAsia="黑体" w:cs="黑体"/>
          <w:sz w:val="28"/>
          <w:szCs w:val="28"/>
        </w:rPr>
        <w:t xml:space="preserve">总体要求</w:t>
      </w:r>
      <w:r>
        <w:rPr>
          <w:rFonts w:hint="eastAsia" w:ascii="黑体" w:hAnsi="黑体" w:eastAsia="黑体" w:cs="黑体"/>
          <w:sz w:val="28"/>
          <w:szCs w:val="28"/>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一</w:t>
      </w:r>
      <w:r>
        <w:rPr>
          <w:rFonts w:hint="eastAsia" w:ascii="黑体" w:hAnsi="黑体" w:eastAsia="黑体" w:cs="黑体"/>
          <w:sz w:val="24"/>
          <w:szCs w:val="24"/>
          <w:lang w:eastAsia="zh-CN"/>
        </w:rPr>
        <w:t xml:space="preserve">）项目建设目标</w:t>
      </w:r>
      <w:r>
        <w:rPr>
          <w:rFonts w:hint="eastAsia" w:ascii="黑体" w:hAnsi="黑体" w:eastAsia="黑体" w:cs="黑体"/>
          <w:sz w:val="24"/>
          <w:szCs w:val="24"/>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无锡市“一网统管”城市运行管理平台（扩续建2025）项目，严格依照《无锡市数据局信息系统整合实施方案》所确立的“一部门一系统”的建设原则，在现有</w:t>
      </w:r>
      <w:r>
        <w:rPr>
          <w:rFonts w:hint="eastAsia" w:ascii="宋体" w:hAnsi="宋体" w:eastAsia="宋体" w:cs="宋体"/>
          <w:sz w:val="21"/>
          <w:lang w:eastAsia="zh-CN"/>
        </w:rPr>
        <w:t xml:space="preserve">平台的基础上进行升级改造。该项目紧密围绕“看见、预见、应急调度”的核心理念，以“一网统管”作为统筹城市治理的关键手段，深度融合人工智能与大数据模型技术，构建起“智能中枢+业务中枢”的双中枢全方位体系，整合城市多源数据资源，构建态势感知、决策指挥等能力，为一网统管提供标准化、智能化的技术支撑。通过打造平战结合的立体化指挥模式，贯通纵向管理脉络，固化横向协作标准，全力推动“高效处置一件事”的核心目标的深化落实，致力于提升城市治理的智能化、精细化和协同化水平，推动城市治理从“人工经验驱动”向“数据智能驱动”转型。</w:t>
      </w:r>
      <w:r>
        <w:rPr>
          <w:rFonts w:hint="eastAsia" w:ascii="宋体" w:hAnsi="宋体" w:eastAsia="宋体" w:cs="宋体"/>
          <w:sz w:val="21"/>
          <w:lang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二</w:t>
      </w:r>
      <w:r>
        <w:rPr>
          <w:rFonts w:hint="eastAsia" w:ascii="黑体" w:hAnsi="黑体" w:eastAsia="黑体" w:cs="黑体"/>
          <w:sz w:val="24"/>
          <w:szCs w:val="24"/>
          <w:lang w:eastAsia="zh-CN"/>
        </w:rPr>
        <w:t xml:space="preserve">）技术要求</w:t>
      </w:r>
      <w:r>
        <w:rPr>
          <w:rFonts w:hint="eastAsia" w:ascii="黑体" w:hAnsi="黑体" w:eastAsia="黑体" w:cs="黑体"/>
          <w:sz w:val="24"/>
          <w:szCs w:val="24"/>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1.总体性能要求</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（1）交互类业务</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平台查看页面最长不超过3秒，平均时间应在1～2秒以内；</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业务详情页面最长不超过5秒，平均时间应在1～3秒以内；</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实时统计页面最长不超过20秒，平均应在5～10秒以内。</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（2）查询类业务</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简单查询平均响应时间，1秒；</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复杂查询平均响应时间，3秒；</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视频播放平均响应时间，3秒；</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千万级数据量以下，单记录（精确匹配）查询的响应时间不大于3秒。</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2.接口要求</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支持与城管、公安等部门系统对接，接口兼容RESTful、SOAP等标准协议，提供标准化API文档。</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接口数据传输成功率≥99%，单条记录交易平均响应时间&lt;1秒；多条记录（100条）交易平均响应时间≤3秒，支持接口版本迭代升级，确保兼容性。</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3.信创要求</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要求响应国家信息技术应用创新（信创）战略，确保技术方案的安全性和自主可控性。在软硬件选型时，需紧密结合国产化与信创要求，确保技术架构的先进性与合规性。</w:t>
      </w:r>
      <w:r>
        <w:rPr>
          <w:rFonts w:hint="eastAsia" w:ascii="宋体" w:hAnsi="宋体" w:eastAsia="宋体" w:cs="宋体"/>
          <w:sz w:val="21"/>
          <w:lang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三</w:t>
      </w:r>
      <w:r>
        <w:rPr>
          <w:rFonts w:hint="eastAsia" w:ascii="黑体" w:hAnsi="黑体" w:eastAsia="黑体" w:cs="黑体"/>
          <w:sz w:val="24"/>
          <w:szCs w:val="24"/>
          <w:lang w:eastAsia="zh-CN"/>
        </w:rPr>
        <w:t xml:space="preserve">）架构设计要求</w:t>
      </w:r>
      <w:r>
        <w:rPr>
          <w:rFonts w:hint="eastAsia" w:ascii="黑体" w:hAnsi="黑体" w:eastAsia="黑体" w:cs="黑体"/>
          <w:sz w:val="24"/>
          <w:szCs w:val="24"/>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围绕项目建设目标和业务需求，各架构要求如下：</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业务架构：需围绕实时监测、动态分析、指挥调度、综合评价环节，明确各部门权责边界与协同机制，确保业务闭环、避免流程脱节的核心，解决传统模式下权责不清、响应滞后的问题。</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应用架构：构建以实时监测、动态分析、指挥调度、综合评价环节为主导的业务中枢，支撑多场景业务落地；并搭建智能中枢，构建数字基础资源及共性能力服务体系。</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数据架构：对接业务数据（城市大数据中心、委办局等多源数据），明确数据接入和共享规范，建立统一数据标准与资源目录，为各类应用场景提供稳定、精准的数据支撑。</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技术架构：围绕“业务驱动技术，技术支撑业务”逻辑，保障系统高并发、高可用，满足海量民意数据处理与业务增长需求，避免技术瓶颈。</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集成架构：基于业务中枢分层逻辑，按实时监测、动态分析、指挥调度和综合评价四层明确各系统集成定位，清晰展示现有业务系统的整合策略，展现本项目与一期历史系统的集成变化关系。</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服务架构：明确服务的组织人员，聚焦人员处置事件过程，如何通过流程标准和资源配置，解决“服务如何有序开展”的问题，避免环节混乱，确保服务输出的稳定性和规范性。</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能力架构：梳理组织或系统的核心能力模块，整合技术、人员、资源等核心资源，解决能力碎片化、供需不匹配及支撑不足的问题，实现高效复用与快速组合，同时能适配业务变化、降低能力建设与运营成本。</w:t>
      </w:r>
      <w:r>
        <w:rPr>
          <w:rFonts w:hint="eastAsia" w:ascii="宋体" w:hAnsi="宋体" w:eastAsia="宋体" w:cs="宋体"/>
          <w:sz w:val="21"/>
          <w:lang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四</w:t>
      </w:r>
      <w:r>
        <w:rPr>
          <w:rFonts w:hint="eastAsia" w:ascii="黑体" w:hAnsi="黑体" w:eastAsia="黑体" w:cs="黑体"/>
          <w:sz w:val="24"/>
          <w:szCs w:val="24"/>
          <w:lang w:eastAsia="zh-CN"/>
        </w:rPr>
        <w:t xml:space="preserve">）服务要求</w:t>
      </w:r>
      <w:r>
        <w:rPr>
          <w:rFonts w:hint="eastAsia" w:ascii="黑体" w:hAnsi="黑体" w:eastAsia="黑体" w:cs="黑体"/>
          <w:sz w:val="24"/>
          <w:szCs w:val="24"/>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1.场景实施方案梳理</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围绕“高效处置一件事”，全面梳理城市运行相关场景实施方案，包括防汛防台、雨雪冰冻、节假日运行监测、体育赛事等不少于6类场景。</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场景实施方案应明确每个场景的场景定义、场景清单、详细业务流程等内容，同时应支持方案动态更新与优化，确保覆盖全面、贴合实际，实现场景实施方案规范化管理。</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2.各模块性能指标要求</w:t>
      </w:r>
      <w:r>
        <w:rPr>
          <w:rFonts w:hint="eastAsia" w:ascii="黑体" w:hAnsi="黑体" w:eastAsia="黑体" w:cs="黑体"/>
          <w:sz w:val="24"/>
          <w:szCs w:val="24"/>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46"/>
        <w:gridCol w:w="1830"/>
        <w:gridCol w:w="4705"/>
      </w:tblGrid>
      <w:tr>
        <w:trPr/>
        <w:tc>
          <w:tcPr>
            <w:tcW w:w="433" w:type="dxa"/>
            <w:vAlign w:val="center"/>
            <w:textDirection w:val="lrTb"/>
            <w:noWrap w:val="false"/>
          </w:tcPr>
          <w:p>
            <w:pPr>
              <w:pStyle w:val="999"/>
              <w:jc w:val="center"/>
              <w:rPr>
                <w:rFonts w:hint="eastAsia" w:ascii="黑体" w:hAnsi="黑体" w:eastAsia="黑体" w:cs="黑体"/>
                <w:b w:val="0"/>
                <w:bCs w:val="0"/>
                <w:sz w:val="22"/>
                <w:szCs w:val="22"/>
              </w:rPr>
            </w:pPr>
            <w:r>
              <w:rPr>
                <w:rFonts w:hint="eastAsia" w:ascii="黑体" w:hAnsi="黑体" w:eastAsia="黑体" w:cs="黑体"/>
                <w:b w:val="0"/>
                <w:bCs w:val="0"/>
                <w:sz w:val="22"/>
                <w:szCs w:val="22"/>
                <w:lang w:bidi="ar"/>
              </w:rPr>
              <w:t xml:space="preserve">序号</w:t>
            </w:r>
            <w:r>
              <w:rPr>
                <w:rFonts w:hint="eastAsia" w:ascii="黑体" w:hAnsi="黑体" w:eastAsia="黑体" w:cs="黑体"/>
                <w:b w:val="0"/>
                <w:bCs w:val="0"/>
                <w:sz w:val="22"/>
                <w:szCs w:val="22"/>
              </w:rPr>
            </w:r>
            <w:r/>
          </w:p>
        </w:tc>
        <w:tc>
          <w:tcPr>
            <w:tcW w:w="731" w:type="dxa"/>
            <w:vAlign w:val="center"/>
            <w:textDirection w:val="lrTb"/>
            <w:noWrap w:val="false"/>
          </w:tcPr>
          <w:p>
            <w:pPr>
              <w:pStyle w:val="999"/>
              <w:jc w:val="center"/>
              <w:rPr>
                <w:rFonts w:hint="eastAsia" w:ascii="黑体" w:hAnsi="黑体" w:eastAsia="黑体" w:cs="黑体"/>
                <w:b w:val="0"/>
                <w:bCs w:val="0"/>
                <w:sz w:val="22"/>
                <w:szCs w:val="22"/>
              </w:rPr>
            </w:pPr>
            <w:r>
              <w:rPr>
                <w:rFonts w:hint="eastAsia" w:ascii="黑体" w:hAnsi="黑体" w:eastAsia="黑体" w:cs="黑体"/>
                <w:b w:val="0"/>
                <w:bCs w:val="0"/>
                <w:sz w:val="22"/>
                <w:szCs w:val="22"/>
                <w:lang w:bidi="ar"/>
              </w:rPr>
              <w:t xml:space="preserve">类别</w:t>
            </w:r>
            <w:r>
              <w:rPr>
                <w:rFonts w:hint="eastAsia" w:ascii="黑体" w:hAnsi="黑体" w:eastAsia="黑体" w:cs="黑体"/>
                <w:b w:val="0"/>
                <w:bCs w:val="0"/>
                <w:sz w:val="22"/>
                <w:szCs w:val="22"/>
              </w:rPr>
            </w:r>
            <w:r/>
          </w:p>
        </w:tc>
        <w:tc>
          <w:tcPr>
            <w:tcW w:w="1074" w:type="dxa"/>
            <w:vAlign w:val="center"/>
            <w:textDirection w:val="lrTb"/>
            <w:noWrap w:val="false"/>
          </w:tcPr>
          <w:p>
            <w:pPr>
              <w:pStyle w:val="999"/>
              <w:jc w:val="center"/>
              <w:rPr>
                <w:rFonts w:hint="eastAsia" w:ascii="黑体" w:hAnsi="黑体" w:eastAsia="黑体" w:cs="黑体"/>
                <w:b w:val="0"/>
                <w:bCs w:val="0"/>
                <w:sz w:val="22"/>
                <w:szCs w:val="22"/>
              </w:rPr>
            </w:pPr>
            <w:r>
              <w:rPr>
                <w:rFonts w:hint="eastAsia" w:ascii="黑体" w:hAnsi="黑体" w:eastAsia="黑体" w:cs="黑体"/>
                <w:b w:val="0"/>
                <w:bCs w:val="0"/>
                <w:sz w:val="22"/>
                <w:szCs w:val="22"/>
                <w:lang w:bidi="ar"/>
              </w:rPr>
              <w:t xml:space="preserve">模块</w:t>
            </w:r>
            <w:r>
              <w:rPr>
                <w:rFonts w:hint="eastAsia" w:ascii="黑体" w:hAnsi="黑体" w:eastAsia="黑体" w:cs="黑体"/>
                <w:b w:val="0"/>
                <w:bCs w:val="0"/>
                <w:sz w:val="22"/>
                <w:szCs w:val="22"/>
              </w:rPr>
            </w:r>
            <w:r/>
          </w:p>
        </w:tc>
        <w:tc>
          <w:tcPr>
            <w:tcW w:w="2761" w:type="dxa"/>
            <w:vAlign w:val="center"/>
            <w:textDirection w:val="lrTb"/>
            <w:noWrap/>
          </w:tcPr>
          <w:p>
            <w:pPr>
              <w:pStyle w:val="999"/>
              <w:jc w:val="center"/>
              <w:rPr>
                <w:rFonts w:hint="eastAsia" w:ascii="黑体" w:hAnsi="黑体" w:eastAsia="黑体" w:cs="黑体"/>
                <w:b w:val="0"/>
                <w:bCs w:val="0"/>
                <w:sz w:val="22"/>
                <w:szCs w:val="22"/>
              </w:rPr>
            </w:pPr>
            <w:r>
              <w:rPr>
                <w:rFonts w:hint="eastAsia" w:ascii="黑体" w:hAnsi="黑体" w:eastAsia="黑体" w:cs="黑体"/>
                <w:b w:val="0"/>
                <w:bCs w:val="0"/>
                <w:sz w:val="22"/>
                <w:szCs w:val="22"/>
              </w:rPr>
              <w:t xml:space="preserve">性能指标</w:t>
            </w:r>
            <w:r>
              <w:rPr>
                <w:rFonts w:hint="eastAsia" w:ascii="黑体" w:hAnsi="黑体" w:eastAsia="黑体" w:cs="黑体"/>
                <w:b w:val="0"/>
                <w:bCs w:val="0"/>
                <w:sz w:val="22"/>
                <w:szCs w:val="22"/>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rPr>
            </w:r>
            <w:r/>
          </w:p>
        </w:tc>
        <w:tc>
          <w:tcPr>
            <w:tcW w:w="731" w:type="dxa"/>
            <w:vAlign w:val="center"/>
            <w:vMerge w:val="restart"/>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业务中枢</w:t>
            </w: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lang w:eastAsia="zh-CN"/>
              </w:rPr>
            </w:pPr>
            <w:r>
              <w:rPr>
                <w:rFonts w:hint="eastAsia" w:ascii="宋体" w:hAnsi="宋体" w:eastAsia="宋体" w:cs="宋体"/>
                <w:sz w:val="21"/>
                <w:szCs w:val="21"/>
                <w:lang w:eastAsia="zh-CN" w:bidi="ar"/>
              </w:rPr>
              <w:t xml:space="preserve">城市治理视频事件“秒感知”</w:t>
            </w:r>
            <w:r>
              <w:rPr>
                <w:rFonts w:hint="eastAsia" w:ascii="宋体" w:hAnsi="宋体" w:eastAsia="宋体" w:cs="宋体"/>
                <w:sz w:val="21"/>
                <w:szCs w:val="21"/>
                <w:lang w:eastAsia="zh-CN"/>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1、用户进行视频/区域关键字精确查询响应时间＜3秒；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2、用户并发进行视频/区域关键字精确查询响应时间＜5秒；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3、视频并发转发路数≥500路；</w:t>
            </w:r>
            <w:r>
              <w:rPr>
                <w:rFonts w:hint="eastAsia" w:ascii="宋体" w:hAnsi="宋体" w:eastAsia="宋体" w:cs="宋体"/>
                <w:sz w:val="21"/>
                <w:szCs w:val="21"/>
                <w:lang w:eastAsia="zh-CN"/>
              </w:rPr>
            </w:r>
            <w:r/>
          </w:p>
          <w:p>
            <w:pPr>
              <w:pStyle w:val="999"/>
              <w:rPr>
                <w:rFonts w:hint="eastAsia" w:ascii="宋体" w:hAnsi="宋体" w:eastAsia="宋体" w:cs="宋体"/>
                <w:strike/>
                <w:sz w:val="21"/>
                <w:szCs w:val="21"/>
                <w:lang w:eastAsia="zh-CN"/>
              </w:rPr>
            </w:pPr>
            <w:r>
              <w:rPr>
                <w:rFonts w:hint="eastAsia" w:ascii="宋体" w:hAnsi="宋体" w:eastAsia="宋体" w:cs="宋体"/>
                <w:sz w:val="21"/>
                <w:szCs w:val="21"/>
                <w:lang w:eastAsia="zh-CN"/>
              </w:rPr>
              <w:t xml:space="preserve">4、视频水印叠加能力并发路数≥256路2M码流。</w:t>
            </w:r>
            <w:r>
              <w:rPr>
                <w:rFonts w:hint="eastAsia" w:ascii="宋体" w:hAnsi="宋体" w:eastAsia="宋体" w:cs="宋体"/>
                <w:strike/>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2</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lang w:eastAsia="zh-CN"/>
              </w:rPr>
            </w:pPr>
            <w:r>
              <w:rPr>
                <w:rFonts w:hint="eastAsia" w:ascii="宋体" w:hAnsi="宋体" w:eastAsia="宋体" w:cs="宋体"/>
                <w:sz w:val="21"/>
                <w:szCs w:val="21"/>
                <w:lang w:eastAsia="zh-CN" w:bidi="ar"/>
              </w:rPr>
              <w:t xml:space="preserve">城市运行视频事件“智解析”</w:t>
            </w:r>
            <w:r>
              <w:rPr>
                <w:rFonts w:hint="eastAsia" w:ascii="宋体" w:hAnsi="宋体" w:eastAsia="宋体" w:cs="宋体"/>
                <w:sz w:val="21"/>
                <w:szCs w:val="21"/>
                <w:lang w:eastAsia="zh-CN"/>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1、新增算力分析能力，以2M码流视频并发分析≥128路；</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2、用户事件检索时间＜7秒；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3、支持自定义策略数量≥50；</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4、事件转发性能≥500条/秒。</w:t>
            </w:r>
            <w:r>
              <w:rPr>
                <w:rFonts w:hint="eastAsia" w:ascii="宋体" w:hAnsi="宋体" w:eastAsia="宋体" w:cs="宋体"/>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3</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lang w:eastAsia="zh-CN"/>
              </w:rPr>
            </w:pPr>
            <w:r>
              <w:rPr>
                <w:rFonts w:hint="eastAsia" w:ascii="宋体" w:hAnsi="宋体" w:eastAsia="宋体" w:cs="宋体"/>
                <w:sz w:val="21"/>
                <w:szCs w:val="21"/>
                <w:lang w:eastAsia="zh-CN" w:bidi="ar"/>
              </w:rPr>
              <w:t xml:space="preserve">城市治理视频事件“快关联”</w:t>
            </w:r>
            <w:r>
              <w:rPr>
                <w:rFonts w:hint="eastAsia" w:ascii="宋体" w:hAnsi="宋体" w:eastAsia="宋体" w:cs="宋体"/>
                <w:sz w:val="21"/>
                <w:szCs w:val="21"/>
                <w:lang w:eastAsia="zh-CN"/>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1、场景智能识别任务支持并发任务数≥10个；</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2、AR实景地图加载电子标签响应耗时≤3秒；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3、系统最大支持用户同时并发标注点位响应耗时≤3秒；</w:t>
            </w:r>
            <w:r>
              <w:rPr>
                <w:rFonts w:hint="eastAsia" w:ascii="宋体" w:hAnsi="宋体" w:eastAsia="宋体" w:cs="宋体"/>
                <w:sz w:val="21"/>
                <w:szCs w:val="21"/>
                <w:lang w:eastAsia="zh-CN"/>
              </w:rPr>
            </w:r>
            <w:r/>
          </w:p>
          <w:p>
            <w:pPr>
              <w:pStyle w:val="999"/>
              <w:rPr>
                <w:rFonts w:hint="eastAsia" w:ascii="宋体" w:hAnsi="宋体" w:eastAsia="宋体" w:cs="宋体"/>
                <w:strike/>
                <w:sz w:val="21"/>
                <w:szCs w:val="21"/>
                <w:lang w:eastAsia="zh-CN"/>
              </w:rPr>
            </w:pPr>
            <w:r>
              <w:rPr>
                <w:rFonts w:hint="eastAsia" w:ascii="宋体" w:hAnsi="宋体" w:eastAsia="宋体" w:cs="宋体"/>
                <w:sz w:val="21"/>
                <w:szCs w:val="21"/>
                <w:lang w:eastAsia="zh-CN"/>
              </w:rPr>
              <w:t xml:space="preserve">4、界面标签查询展示响应耗时＜5秒。</w:t>
            </w:r>
            <w:r>
              <w:rPr>
                <w:rFonts w:hint="eastAsia" w:ascii="宋体" w:hAnsi="宋体" w:eastAsia="宋体" w:cs="宋体"/>
                <w:strike/>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4</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社情民意速告警“智研判”</w:t>
            </w:r>
            <w:r>
              <w:rPr>
                <w:rFonts w:hint="eastAsia" w:ascii="宋体" w:hAnsi="宋体" w:eastAsia="宋体" w:cs="宋体"/>
                <w:sz w:val="21"/>
                <w:szCs w:val="21"/>
              </w:rPr>
            </w:r>
            <w:r/>
          </w:p>
        </w:tc>
        <w:tc>
          <w:tcPr>
            <w:tcW w:w="2761" w:type="dxa"/>
            <w:vAlign w:val="bottom"/>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一、平台稳定性指标</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1、根据设计容量，满负载情况下，CPU的使用率需小于70％。</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二、响应时间需求</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1）交互类业务</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1、平台查看页面最长不超过3秒，平均时间需在1～2秒以内；</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2、业务详情页面最长不超过5秒，平均时间需在1～3秒以内；</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3、实时统计页面最长不超过5秒，平均时间需在1～3秒以内。</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2）查询类业务</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1、简单查询平均响应时间需≦1秒；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2、复杂查询平均响应时间需≦3秒；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3、千万级数据量以下，单记录（精确匹配）查询的响应时间需≦3秒。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3）接口服务（数据交换）</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1、单条记录交易平均响应时间需≦1秒；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2、多条记录（100条）交易平均响应时间需≦3秒。</w:t>
            </w:r>
            <w:r>
              <w:rPr>
                <w:rFonts w:hint="eastAsia" w:ascii="宋体" w:hAnsi="宋体" w:eastAsia="宋体" w:cs="宋体"/>
                <w:sz w:val="21"/>
                <w:szCs w:val="21"/>
                <w:lang w:eastAsia="zh-CN"/>
              </w:rPr>
            </w:r>
            <w:r/>
          </w:p>
        </w:tc>
      </w:tr>
      <w:tr>
        <w:trPr/>
        <w:tc>
          <w:tcPr>
            <w:tcW w:w="433" w:type="dxa"/>
            <w:vAlign w:val="top"/>
            <w:textDirection w:val="lrTb"/>
            <w:noWrap w:val="false"/>
          </w:tcPr>
          <w:p>
            <w:pPr>
              <w:pStyle w:val="1004"/>
              <w:numPr>
                <w:ilvl w:val="0"/>
                <w:numId w:val="0"/>
              </w:numPr>
              <w:jc w:val="center"/>
              <w:spacing w:before="312" w:after="312"/>
              <w:rPr>
                <w:rFonts w:hint="eastAsia" w:ascii="宋体" w:hAnsi="宋体" w:eastAsia="宋体" w:cs="宋体"/>
                <w:sz w:val="21"/>
                <w:szCs w:val="21"/>
              </w:rPr>
            </w:pPr>
            <w:r>
              <w:rPr>
                <w:rFonts w:hint="eastAsia" w:ascii="宋体" w:hAnsi="宋体" w:eastAsia="宋体" w:cs="宋体"/>
                <w:b w:val="0"/>
                <w:bCs w:val="0"/>
                <w:sz w:val="21"/>
                <w:szCs w:val="21"/>
                <w:lang w:bidi="ar"/>
              </w:rPr>
              <w:t xml:space="preserve">5</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lang w:eastAsia="zh-CN"/>
              </w:rPr>
            </w:pPr>
            <w:r>
              <w:rPr>
                <w:rFonts w:hint="eastAsia" w:ascii="宋体" w:hAnsi="宋体" w:eastAsia="宋体" w:cs="宋体"/>
                <w:sz w:val="21"/>
                <w:szCs w:val="21"/>
                <w:lang w:eastAsia="zh-CN" w:bidi="ar"/>
              </w:rPr>
              <w:t xml:space="preserve">紧急事件跨域联动“慧调度”</w:t>
            </w:r>
            <w:r>
              <w:rPr>
                <w:rFonts w:hint="eastAsia" w:ascii="宋体" w:hAnsi="宋体" w:eastAsia="宋体" w:cs="宋体"/>
                <w:sz w:val="21"/>
                <w:szCs w:val="21"/>
                <w:lang w:eastAsia="zh-CN"/>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1、融合通信端到端呼叫建立时间≤800ms；</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2、预案调取查询时间≤5秒。</w:t>
            </w:r>
            <w:r>
              <w:rPr>
                <w:rFonts w:hint="eastAsia" w:ascii="宋体" w:hAnsi="宋体" w:eastAsia="宋体" w:cs="宋体"/>
                <w:sz w:val="21"/>
                <w:szCs w:val="21"/>
                <w:lang w:eastAsia="zh-CN"/>
              </w:rPr>
            </w:r>
            <w:r/>
          </w:p>
        </w:tc>
      </w:tr>
      <w:tr>
        <w:trPr/>
        <w:tc>
          <w:tcPr>
            <w:tcW w:w="433" w:type="dxa"/>
            <w:vAlign w:val="center"/>
            <w:textDirection w:val="lrTb"/>
            <w:noWrap w:val="false"/>
          </w:tcPr>
          <w:p>
            <w:pPr>
              <w:pStyle w:val="1004"/>
              <w:numPr>
                <w:ilvl w:val="0"/>
                <w:numId w:val="0"/>
              </w:numPr>
              <w:jc w:val="center"/>
              <w:spacing w:before="312" w:after="312"/>
              <w:rPr>
                <w:rFonts w:hint="eastAsia" w:ascii="宋体" w:hAnsi="宋体" w:eastAsia="宋体" w:cs="宋体"/>
                <w:b w:val="0"/>
                <w:bCs w:val="0"/>
                <w:sz w:val="21"/>
                <w:szCs w:val="21"/>
                <w:lang w:bidi="ar"/>
              </w:rPr>
            </w:pPr>
            <w:r>
              <w:rPr>
                <w:rFonts w:hint="eastAsia" w:ascii="宋体" w:hAnsi="宋体" w:eastAsia="宋体" w:cs="宋体"/>
                <w:b w:val="0"/>
                <w:sz w:val="21"/>
                <w:szCs w:val="21"/>
                <w:lang w:bidi="ar"/>
              </w:rPr>
              <w:t xml:space="preserve">6</w:t>
            </w:r>
            <w:r>
              <w:rPr>
                <w:rFonts w:hint="eastAsia" w:ascii="宋体" w:hAnsi="宋体" w:eastAsia="宋体" w:cs="宋体"/>
                <w:b w:val="0"/>
                <w:bCs w:val="0"/>
                <w:sz w:val="21"/>
                <w:szCs w:val="21"/>
                <w:lang w:bidi="ar"/>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 xml:space="preserve">紧急事件跨域联动“慧调度”-三维应用工作站服务保障</w:t>
            </w:r>
            <w:r>
              <w:rPr>
                <w:rFonts w:hint="eastAsia" w:ascii="宋体" w:hAnsi="宋体" w:eastAsia="宋体" w:cs="宋体"/>
                <w:sz w:val="21"/>
                <w:szCs w:val="21"/>
                <w:lang w:eastAsia="zh-CN" w:bidi="ar"/>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模型呈现流畅性：在指挥大厅常规三维模型场景（如城市级建筑群、地形地貌、管线网络等，数据量≤10TB）下，工作站需保障首次加载模型加载时间≤10秒，二次加载模型时间≤3秒，交互操作（如缩放、旋转、分层展示）无肉眼可见的卡顿或掉帧现象（帧数≥60FPS、帧时间≤16.67 ms）；</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2、多任务并发能力：支持同时运行三维模型渲染与至少2个模块（如联合指挥、资源调度等），多任务运行时模型操作流畅性指标没有明显下降（帧率允许下降但不超过20%且不低于30FPS）。</w:t>
            </w:r>
            <w:r>
              <w:rPr>
                <w:rFonts w:hint="eastAsia" w:ascii="宋体" w:hAnsi="宋体" w:eastAsia="宋体" w:cs="宋体"/>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7</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lang w:eastAsia="zh-CN"/>
              </w:rPr>
            </w:pPr>
            <w:r>
              <w:rPr>
                <w:rFonts w:hint="eastAsia" w:ascii="宋体" w:hAnsi="宋体" w:eastAsia="宋体" w:cs="宋体"/>
                <w:sz w:val="21"/>
                <w:szCs w:val="21"/>
                <w:lang w:eastAsia="zh-CN" w:bidi="ar"/>
              </w:rPr>
              <w:t xml:space="preserve">城市治理处置事件“高效评”</w:t>
            </w:r>
            <w:r>
              <w:rPr>
                <w:rFonts w:hint="eastAsia" w:ascii="宋体" w:hAnsi="宋体" w:eastAsia="宋体" w:cs="宋体"/>
                <w:sz w:val="21"/>
                <w:szCs w:val="21"/>
                <w:lang w:eastAsia="zh-CN"/>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1、页面间跳转时间≤5s；</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2、精确查询（包括请求服务）响应时间≤5s；</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3、模糊查询响应时间≤10s；</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4、简单查询平均响应时间需≦1秒；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5、模板报告生成时间≤60s；</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6、实时统计页面最长不超过5秒，平均时间需在1～3秒以内；</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7、数据同步延迟≤10min。</w:t>
            </w:r>
            <w:r>
              <w:rPr>
                <w:rFonts w:hint="eastAsia" w:ascii="宋体" w:hAnsi="宋体" w:eastAsia="宋体" w:cs="宋体"/>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8</w:t>
            </w:r>
            <w:r>
              <w:rPr>
                <w:rFonts w:hint="eastAsia" w:ascii="宋体" w:hAnsi="宋体" w:eastAsia="宋体" w:cs="宋体"/>
                <w:sz w:val="21"/>
                <w:szCs w:val="21"/>
              </w:rPr>
            </w:r>
            <w:r/>
          </w:p>
        </w:tc>
        <w:tc>
          <w:tcPr>
            <w:tcW w:w="731" w:type="dxa"/>
            <w:vAlign w:val="center"/>
            <w:vMerge w:val="restart"/>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智能中枢</w:t>
            </w: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统一身份认证  </w:t>
            </w:r>
            <w:r>
              <w:rPr>
                <w:rFonts w:hint="eastAsia" w:ascii="宋体" w:hAnsi="宋体" w:eastAsia="宋体" w:cs="宋体"/>
                <w:sz w:val="21"/>
                <w:szCs w:val="21"/>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1、登录响应：200并发用户执行登录测试时，平均响应时间不多于2.0秒，事务成功率不低于99.9%；</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2、查询响应：组织机构树打开时间≤1秒；用户信息查询时间≤2秒；日志检索时间≤3秒。</w:t>
            </w:r>
            <w:r>
              <w:rPr>
                <w:rFonts w:hint="eastAsia" w:ascii="宋体" w:hAnsi="宋体" w:eastAsia="宋体" w:cs="宋体"/>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9</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OCR</w:t>
            </w:r>
            <w:r>
              <w:rPr>
                <w:rFonts w:hint="eastAsia" w:ascii="宋体" w:hAnsi="宋体" w:eastAsia="宋体" w:cs="宋体"/>
                <w:sz w:val="21"/>
                <w:szCs w:val="21"/>
              </w:rPr>
            </w:r>
            <w:r/>
          </w:p>
        </w:tc>
        <w:tc>
          <w:tcPr>
            <w:tcW w:w="2761" w:type="dxa"/>
            <w:vAlign w:val="center"/>
            <w:textDirection w:val="lrTb"/>
            <w:noWrap/>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bidi="ar"/>
              </w:rPr>
              <w:t xml:space="preserve">文字识别准确率≥95%。</w:t>
            </w:r>
            <w:r>
              <w:rPr>
                <w:rFonts w:hint="eastAsia" w:ascii="宋体" w:hAnsi="宋体" w:eastAsia="宋体" w:cs="宋体"/>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10</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云勘验</w:t>
            </w:r>
            <w:r>
              <w:rPr>
                <w:rFonts w:hint="eastAsia" w:ascii="宋体" w:hAnsi="宋体" w:eastAsia="宋体" w:cs="宋体"/>
                <w:sz w:val="21"/>
                <w:szCs w:val="21"/>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1、用户登录、任务创建、视频连线启动等功能需快速响应在3秒内；</w:t>
            </w:r>
            <w:r>
              <w:rPr>
                <w:rFonts w:hint="eastAsia" w:ascii="宋体" w:hAnsi="宋体" w:eastAsia="宋体" w:cs="宋体"/>
                <w:sz w:val="21"/>
                <w:szCs w:val="21"/>
                <w:lang w:eastAsia="zh-CN"/>
              </w:rPr>
            </w:r>
            <w:r/>
          </w:p>
          <w:p>
            <w:pPr>
              <w:pStyle w:val="999"/>
              <w:rPr>
                <w:rFonts w:hint="eastAsia" w:ascii="宋体" w:hAnsi="宋体" w:eastAsia="宋体" w:cs="宋体"/>
                <w:strike/>
                <w:sz w:val="21"/>
                <w:szCs w:val="21"/>
                <w:lang w:eastAsia="zh-CN"/>
              </w:rPr>
            </w:pPr>
            <w:r>
              <w:rPr>
                <w:rFonts w:hint="eastAsia" w:ascii="宋体" w:hAnsi="宋体" w:eastAsia="宋体" w:cs="宋体"/>
                <w:sz w:val="21"/>
                <w:szCs w:val="21"/>
                <w:lang w:eastAsia="zh-CN"/>
              </w:rPr>
              <w:t xml:space="preserve">2、页面加载时间平均不超过3秒。</w:t>
            </w:r>
            <w:r>
              <w:rPr>
                <w:rFonts w:hint="eastAsia" w:ascii="宋体" w:hAnsi="宋体" w:eastAsia="宋体" w:cs="宋体"/>
                <w:strike/>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11</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智能体编排工具</w:t>
            </w:r>
            <w:r>
              <w:rPr>
                <w:rFonts w:hint="eastAsia" w:ascii="宋体" w:hAnsi="宋体" w:eastAsia="宋体" w:cs="宋体"/>
                <w:sz w:val="21"/>
                <w:szCs w:val="21"/>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1、智能体及知识库问答首token响应时间≤5秒，智能体可添加的知识库数量上限不低于20个；添加的组件数量上限不低于50个；</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2、知识库支持导入文本文档不少于9种格式，至少包含doc、txt、docx、pdf、ppt、ppyx、md、wps、ofd格式；支持导入表格文件不少于3种，至少包含xlsx、xls、csv格式。</w:t>
            </w:r>
            <w:r>
              <w:rPr>
                <w:rFonts w:hint="eastAsia" w:ascii="宋体" w:hAnsi="宋体" w:eastAsia="宋体" w:cs="宋体"/>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12</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模型接入</w:t>
            </w:r>
            <w:r>
              <w:rPr>
                <w:rFonts w:hint="eastAsia" w:ascii="宋体" w:hAnsi="宋体" w:eastAsia="宋体" w:cs="宋体"/>
                <w:sz w:val="21"/>
                <w:szCs w:val="21"/>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1、普通页面加载时间（除首屏外）≤2秒；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2、用户登录认证请求响应时间应≤3秒。</w:t>
            </w:r>
            <w:r>
              <w:rPr>
                <w:rFonts w:hint="eastAsia" w:ascii="宋体" w:hAnsi="宋体" w:eastAsia="宋体" w:cs="宋体"/>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13</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应用接入</w:t>
            </w:r>
            <w:r>
              <w:rPr>
                <w:rFonts w:hint="eastAsia" w:ascii="宋体" w:hAnsi="宋体" w:eastAsia="宋体" w:cs="宋体"/>
                <w:sz w:val="21"/>
                <w:szCs w:val="21"/>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1、平均查询时间≤4 秒，普通查询响应时间≤3 秒，较复杂的统计、查询、报表响应时间≤10 秒；所有更新处理、数据转换及传输时间≤10秒； </w:t>
            </w:r>
            <w:r>
              <w:rPr>
                <w:rFonts w:hint="eastAsia" w:ascii="宋体" w:hAnsi="宋体" w:eastAsia="宋体" w:cs="宋体"/>
                <w:sz w:val="21"/>
                <w:szCs w:val="21"/>
                <w:lang w:eastAsia="zh-CN"/>
              </w:rPr>
            </w:r>
            <w:r/>
          </w:p>
          <w:p>
            <w:pPr>
              <w:pStyle w:val="999"/>
              <w:rPr>
                <w:rFonts w:hint="eastAsia" w:ascii="宋体" w:hAnsi="宋体" w:eastAsia="宋体" w:cs="宋体"/>
                <w:strike/>
                <w:sz w:val="21"/>
                <w:szCs w:val="21"/>
                <w:lang w:eastAsia="zh-CN"/>
              </w:rPr>
            </w:pPr>
            <w:r>
              <w:rPr>
                <w:rFonts w:hint="eastAsia" w:ascii="宋体" w:hAnsi="宋体" w:eastAsia="宋体" w:cs="宋体"/>
                <w:sz w:val="21"/>
                <w:szCs w:val="21"/>
                <w:lang w:eastAsia="zh-CN"/>
              </w:rPr>
              <w:t xml:space="preserve">2、支持应用接入量 300 及以上，应用平稳运行。</w:t>
            </w:r>
            <w:r>
              <w:rPr>
                <w:rFonts w:hint="eastAsia" w:ascii="宋体" w:hAnsi="宋体" w:eastAsia="宋体" w:cs="宋体"/>
                <w:strike/>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14</w:t>
            </w:r>
            <w:r>
              <w:rPr>
                <w:rFonts w:hint="eastAsia" w:ascii="宋体" w:hAnsi="宋体" w:eastAsia="宋体" w:cs="宋体"/>
                <w:sz w:val="21"/>
                <w:szCs w:val="21"/>
              </w:rPr>
            </w:r>
            <w:r/>
          </w:p>
        </w:tc>
        <w:tc>
          <w:tcPr>
            <w:tcW w:w="731" w:type="dxa"/>
            <w:vAlign w:val="center"/>
            <w:vMerge w:val="continue"/>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城运数据仓</w:t>
            </w:r>
            <w:r>
              <w:rPr>
                <w:rFonts w:hint="eastAsia" w:ascii="宋体" w:hAnsi="宋体" w:eastAsia="宋体" w:cs="宋体"/>
                <w:sz w:val="21"/>
                <w:szCs w:val="21"/>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一、平台稳定性指标</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1、根据设计容量，满负载情况下，CPU的使用率应小于70％。</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二、响应时间需求</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（1）交互类业务</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1、平台查看页面最长不超过3秒，平均时间应在2秒以内；</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2、业务详情页面最长不超过5秒，平均时间应在3秒以内。</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（2）查询类业务</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1、简单查询平均响应时间，1秒；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2、复杂查询平均响应时间，3秒；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3、千万级数据量以下，单记录（精确匹配）查询的响应时间小于3秒。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（3）接口服务（数据交换）</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1、单条记录交易平均响应时间，1秒；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2、多条记录（100条）交易平均响应时间，3秒。</w:t>
            </w:r>
            <w:r>
              <w:rPr>
                <w:rFonts w:hint="eastAsia" w:ascii="宋体" w:hAnsi="宋体" w:eastAsia="宋体" w:cs="宋体"/>
                <w:sz w:val="21"/>
                <w:szCs w:val="21"/>
                <w:lang w:eastAsia="zh-CN"/>
              </w:rPr>
            </w:r>
            <w:r/>
          </w:p>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三、并发访问需求</w:t>
            </w:r>
            <w:r>
              <w:rPr>
                <w:rFonts w:hint="eastAsia" w:ascii="宋体" w:hAnsi="宋体" w:eastAsia="宋体" w:cs="宋体"/>
                <w:sz w:val="21"/>
                <w:szCs w:val="21"/>
                <w:lang w:eastAsia="zh-CN"/>
              </w:rPr>
            </w:r>
            <w:r/>
          </w:p>
          <w:p>
            <w:pPr>
              <w:pStyle w:val="999"/>
              <w:rPr>
                <w:rFonts w:hint="eastAsia" w:ascii="宋体" w:hAnsi="宋体" w:eastAsia="宋体" w:cs="宋体"/>
                <w:strike/>
                <w:sz w:val="21"/>
                <w:szCs w:val="21"/>
                <w:lang w:eastAsia="zh-CN"/>
              </w:rPr>
            </w:pPr>
            <w:r>
              <w:rPr>
                <w:rFonts w:hint="eastAsia" w:ascii="宋体" w:hAnsi="宋体" w:eastAsia="宋体" w:cs="宋体"/>
                <w:sz w:val="21"/>
                <w:szCs w:val="21"/>
                <w:lang w:eastAsia="zh-CN"/>
              </w:rPr>
              <w:t xml:space="preserve">系统能大规模、高质量地处理数据，提供高速度、高效率、实时、及时的计算与信息处理能力，要求系统不能由于用户连接的增加明显降低系统的响应时间。</w:t>
            </w:r>
            <w:r>
              <w:rPr>
                <w:rFonts w:hint="eastAsia" w:ascii="宋体" w:hAnsi="宋体" w:eastAsia="宋体" w:cs="宋体"/>
                <w:strike/>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15</w:t>
            </w:r>
            <w:r>
              <w:rPr>
                <w:rFonts w:hint="eastAsia" w:ascii="宋体" w:hAnsi="宋体" w:eastAsia="宋体" w:cs="宋体"/>
                <w:sz w:val="21"/>
                <w:szCs w:val="21"/>
              </w:rPr>
            </w:r>
            <w:r/>
          </w:p>
        </w:tc>
        <w:tc>
          <w:tcPr>
            <w:tcW w:w="731" w:type="dxa"/>
            <w:vAlign w:val="center"/>
            <w:vMerge w:val="restart"/>
            <w:textDirection w:val="lrTb"/>
            <w:noWrap/>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行业应用</w:t>
            </w: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lang w:eastAsia="zh-CN"/>
              </w:rPr>
            </w:pPr>
            <w:r>
              <w:rPr>
                <w:rFonts w:hint="eastAsia" w:ascii="宋体" w:hAnsi="宋体" w:eastAsia="宋体" w:cs="宋体"/>
                <w:sz w:val="21"/>
                <w:szCs w:val="21"/>
                <w:lang w:eastAsia="zh-CN" w:bidi="ar"/>
              </w:rPr>
              <w:t xml:space="preserve">税收征管保障-税费协同共治应用</w:t>
            </w:r>
            <w:r>
              <w:rPr>
                <w:rFonts w:hint="eastAsia" w:ascii="宋体" w:hAnsi="宋体" w:eastAsia="宋体" w:cs="宋体"/>
                <w:sz w:val="21"/>
                <w:szCs w:val="21"/>
                <w:lang w:eastAsia="zh-CN"/>
              </w:rPr>
            </w:r>
            <w:r/>
          </w:p>
        </w:tc>
        <w:tc>
          <w:tcPr>
            <w:tcW w:w="2761" w:type="dxa"/>
            <w:vAlign w:val="center"/>
            <w:textDirection w:val="lrTb"/>
            <w:noWrap w:val="false"/>
          </w:tcPr>
          <w:p>
            <w:pPr>
              <w:pStyle w:val="999"/>
              <w:rPr>
                <w:rFonts w:hint="eastAsia" w:ascii="宋体" w:hAnsi="宋体" w:eastAsia="宋体" w:cs="宋体"/>
                <w:strike/>
                <w:sz w:val="21"/>
                <w:szCs w:val="21"/>
                <w:lang w:eastAsia="zh-CN"/>
              </w:rPr>
            </w:pPr>
            <w:r>
              <w:rPr>
                <w:rFonts w:hint="eastAsia" w:ascii="宋体" w:hAnsi="宋体" w:eastAsia="宋体" w:cs="宋体"/>
                <w:sz w:val="21"/>
                <w:szCs w:val="21"/>
                <w:lang w:eastAsia="zh-CN"/>
              </w:rPr>
              <w:t xml:space="preserve">应用应能满足用户使用平台的时效性要求，平均延时应≤ 3 秒。</w:t>
            </w:r>
            <w:r>
              <w:rPr>
                <w:rFonts w:hint="eastAsia" w:ascii="宋体" w:hAnsi="宋体" w:eastAsia="宋体" w:cs="宋体"/>
                <w:strike/>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r>
            <w:r/>
          </w:p>
        </w:tc>
        <w:tc>
          <w:tcPr>
            <w:tcW w:w="731" w:type="dxa"/>
            <w:vAlign w:val="center"/>
            <w:vMerge w:val="continue"/>
            <w:textDirection w:val="lrTb"/>
            <w:noWrap/>
          </w:tcPr>
          <w:p>
            <w:pPr>
              <w:pStyle w:val="999"/>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lang w:eastAsia="zh-CN"/>
              </w:rPr>
            </w:pPr>
            <w:r>
              <w:rPr>
                <w:rFonts w:hint="eastAsia" w:ascii="宋体" w:hAnsi="宋体" w:eastAsia="宋体" w:cs="宋体"/>
                <w:sz w:val="21"/>
                <w:szCs w:val="21"/>
                <w:lang w:eastAsia="zh-CN" w:bidi="ar"/>
              </w:rPr>
              <w:t xml:space="preserve">税收征管保障-财税银系统</w:t>
            </w:r>
            <w:r>
              <w:rPr>
                <w:rFonts w:hint="eastAsia" w:ascii="宋体" w:hAnsi="宋体" w:eastAsia="宋体" w:cs="宋体"/>
                <w:sz w:val="21"/>
                <w:szCs w:val="21"/>
                <w:lang w:eastAsia="zh-CN"/>
              </w:rPr>
            </w:r>
            <w:r/>
          </w:p>
        </w:tc>
        <w:tc>
          <w:tcPr>
            <w:tcW w:w="2761" w:type="dxa"/>
            <w:vAlign w:val="center"/>
            <w:textDirection w:val="lrTb"/>
            <w:noWrap w:val="false"/>
          </w:tcPr>
          <w:p>
            <w:pPr>
              <w:pStyle w:val="99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1、事务成功率：业务数据采集事务成功率高于 99.9 %； </w:t>
            </w:r>
            <w:r>
              <w:rPr>
                <w:rFonts w:hint="eastAsia" w:ascii="宋体" w:hAnsi="宋体" w:eastAsia="宋体" w:cs="宋体"/>
                <w:sz w:val="21"/>
                <w:szCs w:val="21"/>
                <w:lang w:eastAsia="zh-CN"/>
              </w:rPr>
            </w:r>
            <w:r/>
          </w:p>
          <w:p>
            <w:pPr>
              <w:pStyle w:val="999"/>
              <w:rPr>
                <w:rFonts w:hint="eastAsia" w:ascii="宋体" w:hAnsi="宋体" w:eastAsia="宋体" w:cs="宋体"/>
                <w:strike/>
                <w:sz w:val="21"/>
                <w:szCs w:val="21"/>
                <w:lang w:eastAsia="zh-CN"/>
              </w:rPr>
            </w:pPr>
            <w:r>
              <w:rPr>
                <w:rFonts w:hint="eastAsia" w:ascii="宋体" w:hAnsi="宋体" w:eastAsia="宋体" w:cs="宋体"/>
                <w:sz w:val="21"/>
                <w:szCs w:val="21"/>
                <w:lang w:eastAsia="zh-CN"/>
              </w:rPr>
              <w:t xml:space="preserve">2、数据完整性：各类数据下发完整率不低于99.9%。</w:t>
            </w:r>
            <w:r>
              <w:rPr>
                <w:rFonts w:hint="eastAsia" w:ascii="宋体" w:hAnsi="宋体" w:eastAsia="宋体" w:cs="宋体"/>
                <w:strike/>
                <w:sz w:val="21"/>
                <w:szCs w:val="21"/>
                <w:lang w:eastAsia="zh-CN"/>
              </w:rPr>
            </w:r>
            <w:r/>
          </w:p>
        </w:tc>
      </w:tr>
      <w:tr>
        <w:trPr/>
        <w:tc>
          <w:tcPr>
            <w:tcW w:w="433"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17</w:t>
            </w:r>
            <w:r>
              <w:rPr>
                <w:rFonts w:hint="eastAsia" w:ascii="宋体" w:hAnsi="宋体" w:eastAsia="宋体" w:cs="宋体"/>
                <w:sz w:val="21"/>
                <w:szCs w:val="21"/>
              </w:rPr>
            </w:r>
            <w:r/>
          </w:p>
        </w:tc>
        <w:tc>
          <w:tcPr>
            <w:tcW w:w="731"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rPr>
              <w:t xml:space="preserve">基础能力</w:t>
            </w:r>
            <w:r>
              <w:rPr>
                <w:rFonts w:hint="eastAsia" w:ascii="宋体" w:hAnsi="宋体" w:eastAsia="宋体" w:cs="宋体"/>
                <w:sz w:val="21"/>
                <w:szCs w:val="21"/>
              </w:rPr>
            </w:r>
            <w:r/>
          </w:p>
        </w:tc>
        <w:tc>
          <w:tcPr>
            <w:tcW w:w="1074" w:type="dxa"/>
            <w:vAlign w:val="center"/>
            <w:textDirection w:val="lrTb"/>
            <w:noWrap w:val="false"/>
          </w:tcPr>
          <w:p>
            <w:pPr>
              <w:pStyle w:val="999"/>
              <w:jc w:val="center"/>
              <w:rPr>
                <w:rFonts w:hint="eastAsia" w:ascii="宋体" w:hAnsi="宋体" w:eastAsia="宋体" w:cs="宋体"/>
                <w:sz w:val="21"/>
                <w:szCs w:val="21"/>
              </w:rPr>
            </w:pPr>
            <w:r>
              <w:rPr>
                <w:rFonts w:hint="eastAsia" w:ascii="宋体" w:hAnsi="宋体" w:eastAsia="宋体" w:cs="宋体"/>
                <w:sz w:val="21"/>
                <w:szCs w:val="21"/>
                <w:lang w:bidi="ar"/>
              </w:rPr>
              <w:t xml:space="preserve">一期子系统信创适配</w:t>
            </w:r>
            <w:r>
              <w:rPr>
                <w:rFonts w:hint="eastAsia" w:ascii="宋体" w:hAnsi="宋体" w:eastAsia="宋体" w:cs="宋体"/>
                <w:sz w:val="21"/>
                <w:szCs w:val="21"/>
              </w:rPr>
            </w:r>
            <w:r/>
          </w:p>
        </w:tc>
        <w:tc>
          <w:tcPr>
            <w:tcW w:w="2761" w:type="dxa"/>
            <w:vAlign w:val="center"/>
            <w:textDirection w:val="lrTb"/>
            <w:noWrap w:val="false"/>
          </w:tcPr>
          <w:p>
            <w:pPr>
              <w:pStyle w:val="999"/>
              <w:numPr>
                <w:ilvl w:val="0"/>
                <w:numId w:val="5"/>
              </w:num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大屏页面加载 ≤5s；</w:t>
            </w:r>
            <w:r>
              <w:rPr>
                <w:rFonts w:hint="eastAsia" w:ascii="宋体" w:hAnsi="宋体" w:eastAsia="宋体" w:cs="宋体"/>
                <w:sz w:val="21"/>
                <w:szCs w:val="21"/>
              </w:rPr>
            </w:r>
            <w:r/>
          </w:p>
          <w:p>
            <w:pPr>
              <w:pStyle w:val="999"/>
              <w:numPr>
                <w:ilvl w:val="0"/>
                <w:numId w:val="5"/>
              </w:num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小屏页面加载 ≤3s。</w:t>
            </w:r>
            <w:r>
              <w:rPr>
                <w:rFonts w:hint="eastAsia" w:ascii="宋体" w:hAnsi="宋体" w:eastAsia="宋体" w:cs="宋体"/>
                <w:sz w:val="21"/>
                <w:szCs w:val="21"/>
              </w:rPr>
            </w:r>
            <w:r/>
          </w:p>
        </w:tc>
      </w:tr>
    </w:tbl>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3.标准规范要求</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为保障无锡市“一网统管”城市运行管理平台（扩续建2025）项目建设的持续运行，要求</w:t>
      </w:r>
      <w:r>
        <w:rPr>
          <w:rFonts w:hint="eastAsia" w:ascii="宋体" w:hAnsi="宋体" w:eastAsia="宋体" w:cs="宋体"/>
          <w:sz w:val="21"/>
          <w:lang w:val="en-US" w:eastAsia="zh-CN"/>
        </w:rPr>
        <w:t xml:space="preserve">中标</w:t>
      </w:r>
      <w:r>
        <w:rPr>
          <w:rFonts w:hint="eastAsia" w:ascii="宋体" w:hAnsi="宋体" w:eastAsia="宋体" w:cs="宋体"/>
          <w:sz w:val="21"/>
          <w:lang w:eastAsia="zh-CN"/>
        </w:rPr>
        <w:t xml:space="preserve">人结合项目需求，新增和升级相关标准规范，包括新增《“一网统管”数据资源目录管理规范》《“一网统管”密码管理规范》2项标准规范，升级《“一网统管”数据接入规范》《“一网统管”高效处置一件事平台运行指南》2项标准规范。</w:t>
      </w:r>
      <w:r>
        <w:rPr>
          <w:rFonts w:hint="eastAsia" w:ascii="宋体" w:hAnsi="宋体" w:eastAsia="宋体" w:cs="宋体"/>
          <w:sz w:val="21"/>
          <w:lang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五</w:t>
      </w:r>
      <w:r>
        <w:rPr>
          <w:rFonts w:hint="eastAsia" w:ascii="黑体" w:hAnsi="黑体" w:eastAsia="黑体" w:cs="黑体"/>
          <w:sz w:val="24"/>
          <w:szCs w:val="24"/>
          <w:lang w:eastAsia="zh-CN"/>
        </w:rPr>
        <w:t xml:space="preserve">）指标要求</w:t>
      </w:r>
      <w:r>
        <w:rPr>
          <w:rFonts w:hint="eastAsia" w:ascii="黑体" w:hAnsi="黑体" w:eastAsia="黑体" w:cs="黑体"/>
          <w:sz w:val="24"/>
          <w:szCs w:val="24"/>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1.运维保障能力指标</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（1）系统可用性与稳定性</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平台总体可用率应≥99.7%，数据库应用可用率应≥99.8%，WEB应用可用率应≥99.8%；</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平台性能稳定，应支持7×24小时工作，平均无故障率应达到99.99%；</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系统要保证数据的一致性、完整性、准确性要求达到99.99%；</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根据设计容量，满负载情况下，CPU的使用率应小于70％。</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（2）故障响应与处理</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紧急故障响应时效：要求在收到故障请求后2小时做出响应，24小时内完成故障处理，且提供7×24小时电话热线咨询服务。</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平均故障时间：要求系统的日平均故障时长&lt;10分钟。</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平均故障修复时间：针对一级故障，要求平均故障修复时间≤2小时，缩短系统不可用时间，系统质保期故障及时解决率≥95%。</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故障根因分析报告提交时效：要求重大故障修复后24小时内提交根因分析报告，包括故障现象、原因、修复措施及预防建议，并需经采购人审核通过。</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（3）安全与合规性</w:t>
      </w:r>
      <w:r>
        <w:rPr>
          <w:rFonts w:hint="eastAsia" w:ascii="宋体" w:hAnsi="宋体" w:eastAsia="宋体" w:cs="宋体"/>
          <w:sz w:val="21"/>
          <w:lang w:eastAsia="zh-CN"/>
        </w:rPr>
      </w:r>
      <w:r/>
    </w:p>
    <w:p>
      <w:pPr>
        <w:pStyle w:val="1026"/>
        <w:ind w:firstLine="420"/>
        <w:keepLines w:val="0"/>
        <w:keepNext w:val="0"/>
        <w:pageBreakBefore w:val="0"/>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数据安全事件发生率</w:t>
      </w: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符合等保三级认证要求</w:t>
      </w:r>
      <w:r>
        <w:rPr>
          <w:rFonts w:hint="eastAsia" w:ascii="宋体" w:hAnsi="宋体" w:eastAsia="宋体" w:cs="宋体"/>
          <w:sz w:val="21"/>
          <w:lang w:eastAsia="zh-CN"/>
        </w:rPr>
        <w:t xml:space="preserve">，确保数据安全无泄露、篡改等风险。</w:t>
      </w:r>
      <w:r>
        <w:rPr>
          <w:rFonts w:hint="eastAsia" w:ascii="宋体" w:hAnsi="宋体" w:eastAsia="宋体" w:cs="宋体"/>
          <w:sz w:val="21"/>
          <w:lang w:eastAsia="zh-CN"/>
        </w:rPr>
      </w:r>
      <w:r/>
    </w:p>
    <w:p>
      <w:pPr>
        <w:pStyle w:val="1026"/>
        <w:ind w:firstLine="420"/>
        <w:keepLines w:val="0"/>
        <w:keepNext w:val="0"/>
        <w:pageBreakBefore w:val="0"/>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漏洞修复及时率：要求扫描发现的高危漏洞（CV</w:t>
      </w:r>
      <w:r>
        <w:rPr>
          <w:rFonts w:hint="eastAsia" w:ascii="宋体" w:hAnsi="宋体" w:eastAsia="宋体" w:cs="宋体"/>
          <w:sz w:val="21"/>
          <w:lang w:eastAsia="zh-CN"/>
        </w:rPr>
        <w:t xml:space="preserve">SS评分≥7.0）在72小时内修复，修复率达到100%，并提供漏洞扫描报告与修复记录。</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（4）资源管理与性能优化</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性能优化任务完成率：要求针对系统性能瓶颈（如查询响应慢、接口超时）制定的优化任务按期完成比例≥95%，并提供优化前后性能对比数据，包括数据库索引优化、缓存策略调整、代码重构等。</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（5）持续改进与知识管理</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运维知识库更新频率：要求运维团队对常见问题、解决方案、操作手册等文档的更新频率≥1次/月，并与故障处理、系统升级同步更新。知识库需支持全文检索，且对</w:t>
      </w:r>
      <w:r>
        <w:rPr>
          <w:rFonts w:hint="eastAsia" w:ascii="宋体" w:hAnsi="宋体" w:eastAsia="宋体" w:cs="宋体"/>
          <w:sz w:val="21"/>
          <w:lang w:val="en-US" w:eastAsia="zh-CN"/>
        </w:rPr>
        <w:t xml:space="preserve">采购人</w:t>
      </w:r>
      <w:r>
        <w:rPr>
          <w:rFonts w:hint="eastAsia" w:ascii="宋体" w:hAnsi="宋体" w:eastAsia="宋体" w:cs="宋体"/>
          <w:sz w:val="21"/>
          <w:lang w:eastAsia="zh-CN"/>
        </w:rPr>
        <w:t xml:space="preserve">开放权限。</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2.运维满意度</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在试运行通过后，通过满意度调查问卷收集</w:t>
      </w:r>
      <w:r>
        <w:rPr>
          <w:rFonts w:hint="eastAsia" w:ascii="宋体" w:hAnsi="宋体" w:eastAsia="宋体" w:cs="宋体"/>
          <w:sz w:val="21"/>
          <w:lang w:val="en-US" w:eastAsia="zh-CN"/>
        </w:rPr>
        <w:t xml:space="preserve">采购人</w:t>
      </w:r>
      <w:r>
        <w:rPr>
          <w:rFonts w:hint="eastAsia" w:ascii="宋体" w:hAnsi="宋体" w:eastAsia="宋体" w:cs="宋体"/>
          <w:sz w:val="21"/>
          <w:lang w:eastAsia="zh-CN"/>
        </w:rPr>
        <w:t xml:space="preserve">用户对运维服务（如响应速度、解决效果、沟通态度）的评分，系统用户满意度≥99%。</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3.应用效果与效益指标</w:t>
      </w:r>
      <w:r>
        <w:rPr>
          <w:rFonts w:hint="eastAsia" w:ascii="黑体" w:hAnsi="黑体" w:eastAsia="黑体" w:cs="黑体"/>
          <w:sz w:val="24"/>
          <w:szCs w:val="24"/>
          <w:lang w:val="en-US" w:eastAsia="zh-CN"/>
        </w:rPr>
      </w:r>
      <w:r/>
    </w:p>
    <w:tbl>
      <w:tblPr>
        <w:tblpPr w:horzAnchor="text" w:tblpXSpec="left" w:vertAnchor="text" w:tblpY="1" w:leftFromText="180" w:topFromText="0" w:rightFromText="180" w:bottomFromText="0"/>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663"/>
        <w:gridCol w:w="859"/>
        <w:gridCol w:w="2188"/>
        <w:gridCol w:w="4809"/>
      </w:tblGrid>
      <w:tr>
        <w:trPr>
          <w:trHeight w:val="336"/>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黑体" w:hAnsi="黑体" w:eastAsia="黑体" w:cs="黑体"/>
                <w:b w:val="0"/>
                <w:bCs w:val="0"/>
                <w:sz w:val="22"/>
                <w:szCs w:val="22"/>
              </w:rPr>
              <w:framePr w:vAnchor="margin" w:hAnchor="page" w:y="1"/>
            </w:pPr>
            <w:r>
              <w:rPr>
                <w:rFonts w:hint="eastAsia" w:ascii="黑体" w:hAnsi="黑体" w:eastAsia="黑体" w:cs="黑体"/>
                <w:b w:val="0"/>
                <w:bCs w:val="0"/>
                <w:sz w:val="22"/>
                <w:szCs w:val="22"/>
                <w:lang w:bidi="ar"/>
              </w:rPr>
              <w:t xml:space="preserve">序号</w:t>
            </w:r>
            <w:r>
              <w:rPr>
                <w:rFonts w:hint="eastAsia" w:ascii="黑体" w:hAnsi="黑体" w:eastAsia="黑体" w:cs="黑体"/>
                <w:b w:val="0"/>
                <w:bCs w:val="0"/>
                <w:sz w:val="22"/>
                <w:szCs w:val="22"/>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999"/>
              <w:jc w:val="center"/>
              <w:rPr>
                <w:rFonts w:hint="eastAsia" w:ascii="黑体" w:hAnsi="黑体" w:eastAsia="黑体" w:cs="黑体"/>
                <w:b w:val="0"/>
                <w:bCs w:val="0"/>
                <w:sz w:val="22"/>
                <w:szCs w:val="22"/>
              </w:rPr>
              <w:framePr w:vAnchor="margin" w:hAnchor="page" w:y="1"/>
            </w:pPr>
            <w:r>
              <w:rPr>
                <w:rFonts w:hint="eastAsia" w:ascii="黑体" w:hAnsi="黑体" w:eastAsia="黑体" w:cs="黑体"/>
                <w:b w:val="0"/>
                <w:bCs w:val="0"/>
                <w:sz w:val="22"/>
                <w:szCs w:val="22"/>
                <w:lang w:bidi="ar"/>
              </w:rPr>
              <w:t xml:space="preserve">类别</w:t>
            </w:r>
            <w:r>
              <w:rPr>
                <w:rFonts w:hint="eastAsia" w:ascii="黑体" w:hAnsi="黑体" w:eastAsia="黑体" w:cs="黑体"/>
                <w:b w:val="0"/>
                <w:bCs w:val="0"/>
                <w:sz w:val="22"/>
                <w:szCs w:val="22"/>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黑体" w:hAnsi="黑体" w:eastAsia="黑体" w:cs="黑体"/>
                <w:b w:val="0"/>
                <w:bCs w:val="0"/>
                <w:sz w:val="22"/>
                <w:szCs w:val="22"/>
              </w:rPr>
              <w:framePr w:vAnchor="margin" w:hAnchor="page" w:y="1"/>
            </w:pPr>
            <w:r>
              <w:rPr>
                <w:rFonts w:hint="eastAsia" w:ascii="黑体" w:hAnsi="黑体" w:eastAsia="黑体" w:cs="黑体"/>
                <w:b w:val="0"/>
                <w:bCs w:val="0"/>
                <w:sz w:val="22"/>
                <w:szCs w:val="22"/>
                <w:lang w:bidi="ar"/>
              </w:rPr>
              <w:t xml:space="preserve">模块</w:t>
            </w:r>
            <w:r>
              <w:rPr>
                <w:rFonts w:hint="eastAsia" w:ascii="黑体" w:hAnsi="黑体" w:eastAsia="黑体" w:cs="黑体"/>
                <w:b w:val="0"/>
                <w:bCs w:val="0"/>
                <w:sz w:val="22"/>
                <w:szCs w:val="22"/>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jc w:val="center"/>
              <w:rPr>
                <w:rFonts w:hint="eastAsia" w:ascii="黑体" w:hAnsi="黑体" w:eastAsia="黑体" w:cs="黑体"/>
                <w:b w:val="0"/>
                <w:bCs w:val="0"/>
                <w:sz w:val="22"/>
                <w:szCs w:val="22"/>
              </w:rPr>
              <w:framePr w:vAnchor="margin" w:hAnchor="page" w:y="1"/>
            </w:pPr>
            <w:r>
              <w:rPr>
                <w:rFonts w:hint="eastAsia" w:ascii="黑体" w:hAnsi="黑体" w:eastAsia="黑体" w:cs="黑体"/>
                <w:b w:val="0"/>
                <w:bCs w:val="0"/>
                <w:sz w:val="22"/>
                <w:szCs w:val="22"/>
                <w:lang w:bidi="ar"/>
              </w:rPr>
              <w:t xml:space="preserve">绩效指标</w:t>
            </w:r>
            <w:r>
              <w:rPr>
                <w:rFonts w:hint="eastAsia" w:ascii="黑体" w:hAnsi="黑体" w:eastAsia="黑体" w:cs="黑体"/>
                <w:b w:val="0"/>
                <w:bCs w:val="0"/>
                <w:sz w:val="22"/>
                <w:szCs w:val="22"/>
              </w:rPr>
            </w:r>
            <w:r/>
          </w:p>
        </w:tc>
      </w:tr>
      <w:tr>
        <w:trPr>
          <w:trHeight w:val="68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业务中枢</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城市治理视频事件“秒感知”</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numPr>
                <w:ilvl w:val="0"/>
                <w:numId w:val="6"/>
              </w:numPr>
              <w:spacing w:after="0" w:line="360" w:lineRule="auto"/>
              <w:rPr>
                <w:rFonts w:hint="eastAsia" w:ascii="宋体" w:hAnsi="宋体" w:eastAsia="宋体" w:cs="宋体"/>
                <w:sz w:val="21"/>
                <w:szCs w:val="21"/>
                <w:lang w:eastAsia="zh-CN" w:bidi="ar"/>
              </w:rPr>
              <w:framePr w:vAnchor="margin" w:hAnchor="page" w:y="1"/>
            </w:pPr>
            <w:r>
              <w:rPr>
                <w:rFonts w:hint="eastAsia" w:ascii="宋体" w:hAnsi="宋体" w:eastAsia="宋体" w:cs="宋体"/>
                <w:sz w:val="21"/>
                <w:szCs w:val="21"/>
                <w:lang w:eastAsia="zh-CN" w:bidi="ar"/>
              </w:rPr>
              <w:t xml:space="preserve">支撑达成城市之眼共享用户数≥10家；</w:t>
            </w:r>
            <w:r>
              <w:rPr>
                <w:rFonts w:hint="eastAsia" w:ascii="宋体" w:hAnsi="宋体" w:eastAsia="宋体" w:cs="宋体"/>
                <w:sz w:val="21"/>
                <w:szCs w:val="21"/>
                <w:lang w:eastAsia="zh-CN" w:bidi="ar"/>
              </w:rPr>
            </w:r>
            <w:r/>
          </w:p>
          <w:p>
            <w:pPr>
              <w:pStyle w:val="999"/>
              <w:rPr>
                <w:rFonts w:hint="eastAsia" w:ascii="宋体" w:hAnsi="宋体" w:eastAsia="宋体" w:cs="宋体"/>
                <w:sz w:val="21"/>
                <w:szCs w:val="21"/>
                <w:lang w:eastAsia="zh-CN" w:bidi="ar"/>
              </w:rPr>
              <w:framePr w:vAnchor="margin" w:hAnchor="page" w:y="1"/>
            </w:pPr>
            <w:r>
              <w:rPr>
                <w:rFonts w:hint="eastAsia" w:ascii="宋体" w:hAnsi="宋体" w:eastAsia="宋体" w:cs="宋体"/>
                <w:sz w:val="21"/>
                <w:szCs w:val="21"/>
                <w:lang w:eastAsia="zh-CN" w:bidi="ar"/>
              </w:rPr>
              <w:t xml:space="preserve">2、城市之眼对外共享视频水印配置率达100%</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bidi="ar"/>
              </w:rPr>
            </w:r>
            <w:r/>
          </w:p>
        </w:tc>
      </w:tr>
      <w:tr>
        <w:trPr>
          <w:trHeight w:val="102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城市运行视频事件“智解析”</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1、支撑达成城市之眼算法事件共享用户量增加至≥5家；</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2、共享有效事件数量占总发现事件数提升30%。</w:t>
            </w:r>
            <w:r>
              <w:rPr>
                <w:rFonts w:hint="eastAsia" w:ascii="宋体" w:hAnsi="宋体" w:eastAsia="宋体" w:cs="宋体"/>
                <w:sz w:val="21"/>
                <w:szCs w:val="21"/>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3</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城市治理视频事件“快关联”</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1、支撑达成日常监测场景赋能≥5个；</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2、大型活动场景赋能≥3个。</w:t>
            </w:r>
            <w:r>
              <w:rPr>
                <w:rFonts w:hint="eastAsia" w:ascii="宋体" w:hAnsi="宋体" w:eastAsia="宋体" w:cs="宋体"/>
                <w:sz w:val="21"/>
                <w:szCs w:val="21"/>
                <w:lang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社情民意速告警“智研判”</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通用研判报告模板至少需要6类。</w:t>
            </w:r>
            <w:r>
              <w:rPr>
                <w:rFonts w:hint="eastAsia" w:ascii="宋体" w:hAnsi="宋体" w:eastAsia="宋体" w:cs="宋体"/>
                <w:sz w:val="21"/>
                <w:szCs w:val="21"/>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5</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紧急事件跨域联动“慧调度”</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1、支持资源接入种类数量70种；</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2、支持专题指挥调度业务场景数达到10类。</w:t>
            </w:r>
            <w:r>
              <w:rPr>
                <w:rFonts w:hint="eastAsia" w:ascii="宋体" w:hAnsi="宋体" w:eastAsia="宋体" w:cs="宋体"/>
                <w:sz w:val="21"/>
                <w:szCs w:val="21"/>
                <w:lang w:eastAsia="zh-CN"/>
              </w:rPr>
            </w:r>
            <w:r/>
          </w:p>
        </w:tc>
      </w:tr>
      <w:tr>
        <w:trPr>
          <w:trHeight w:val="947"/>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6</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城市治理处置事件“高效评”</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1、报告数据支撑，按需提供城市治理处置事件的相关数据，为12份月报、4份季报等提供多维度数据支撑；</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2、为急时速办类事件及时提供评价数据，及时率≥98%。</w:t>
            </w:r>
            <w:r>
              <w:rPr>
                <w:rFonts w:hint="eastAsia" w:ascii="宋体" w:hAnsi="宋体" w:eastAsia="宋体" w:cs="宋体"/>
                <w:sz w:val="21"/>
                <w:szCs w:val="21"/>
                <w:lang w:eastAsia="zh-CN"/>
              </w:rPr>
            </w:r>
            <w:r/>
          </w:p>
        </w:tc>
      </w:tr>
      <w:tr>
        <w:trPr>
          <w:trHeight w:val="946"/>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7</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智能中枢</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统一身份认证  </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1、支撑达成不少于20个场景对接；</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2、支撑达成汇聚公务人员信息，经清洗合并后入库，入库人数不少于2万条记录。</w:t>
            </w:r>
            <w:r>
              <w:rPr>
                <w:rFonts w:hint="eastAsia" w:ascii="宋体" w:hAnsi="宋体" w:eastAsia="宋体" w:cs="宋体"/>
                <w:sz w:val="21"/>
                <w:szCs w:val="21"/>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OCR</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支撑达成每年调用量不少于2万次；</w:t>
            </w:r>
            <w:r>
              <w:rPr>
                <w:rFonts w:hint="eastAsia" w:ascii="宋体" w:hAnsi="宋体" w:eastAsia="宋体" w:cs="宋体"/>
                <w:sz w:val="21"/>
                <w:szCs w:val="21"/>
                <w:lang w:eastAsia="zh-CN"/>
              </w:rPr>
              <w:t xml:space="preserve"> </w:t>
            </w:r>
            <w:r>
              <w:rPr>
                <w:rFonts w:hint="eastAsia" w:ascii="宋体" w:hAnsi="宋体" w:eastAsia="宋体" w:cs="宋体"/>
                <w:sz w:val="21"/>
                <w:szCs w:val="21"/>
                <w:lang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9</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云勘验</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支撑达成云勘验场景不少于10个。</w:t>
            </w:r>
            <w:r>
              <w:rPr>
                <w:rFonts w:hint="eastAsia" w:ascii="宋体" w:hAnsi="宋体" w:eastAsia="宋体" w:cs="宋体"/>
                <w:sz w:val="21"/>
                <w:szCs w:val="21"/>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智能体编排工具</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每建设并发布一个智能体应用计为一次，建设数量不少于9个。</w:t>
            </w:r>
            <w:r>
              <w:rPr>
                <w:rFonts w:hint="eastAsia" w:ascii="宋体" w:hAnsi="宋体" w:eastAsia="宋体" w:cs="宋体"/>
                <w:sz w:val="21"/>
                <w:szCs w:val="21"/>
                <w:lang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模型接入</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支持大语言、视觉等模型的接入，不少于3个。</w:t>
            </w:r>
            <w:r>
              <w:rPr>
                <w:rFonts w:hint="eastAsia" w:ascii="宋体" w:hAnsi="宋体" w:eastAsia="宋体" w:cs="宋体"/>
                <w:sz w:val="21"/>
                <w:szCs w:val="21"/>
                <w:lang w:eastAsia="zh-CN"/>
              </w:rPr>
            </w:r>
            <w:r/>
          </w:p>
        </w:tc>
      </w:tr>
      <w:tr>
        <w:trPr>
          <w:trHeight w:val="352"/>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数据标注服务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1、标注数据量：总标注数据量不少于70000条；</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2、格式规范符合率：输出数据须完全符合招标方规定的结构化Excel模板要求，格式规范符合率99%。</w:t>
            </w:r>
            <w:r>
              <w:rPr>
                <w:rFonts w:hint="eastAsia" w:ascii="宋体" w:hAnsi="宋体" w:eastAsia="宋体" w:cs="宋体"/>
                <w:sz w:val="21"/>
                <w:szCs w:val="21"/>
                <w:lang w:eastAsia="zh-CN"/>
              </w:rPr>
            </w:r>
            <w:r/>
          </w:p>
        </w:tc>
      </w:tr>
      <w:tr>
        <w:trPr>
          <w:trHeight w:val="102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13</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智能算力资源租赁服务</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1、算力服务满足全年99.9%的可用性；</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2、算力机房具备7×24小时远程监控值守，线路故障响应时间要求为7×24小时人工响应。</w:t>
            </w:r>
            <w:r>
              <w:rPr>
                <w:rFonts w:hint="eastAsia" w:ascii="宋体" w:hAnsi="宋体" w:eastAsia="宋体" w:cs="宋体"/>
                <w:sz w:val="21"/>
                <w:szCs w:val="21"/>
                <w:lang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应用接入</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支撑实现不少于150个应用场景的接入管理。</w:t>
            </w:r>
            <w:r>
              <w:rPr>
                <w:rFonts w:hint="eastAsia" w:ascii="宋体" w:hAnsi="宋体" w:eastAsia="宋体" w:cs="宋体"/>
                <w:sz w:val="21"/>
                <w:szCs w:val="21"/>
                <w:lang w:eastAsia="zh-CN"/>
              </w:rPr>
            </w:r>
            <w:r/>
          </w:p>
        </w:tc>
      </w:tr>
      <w:tr>
        <w:trPr>
          <w:trHeight w:val="2378"/>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15</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城运数据仓</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一、涉人主题库：</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1、对外提供人口主题数据查询服务的信息项：≥90；</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2、支撑达成以库表推送，接口等方式对内外部（含区县）场景提供服务：≥8。</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二、涉企主题库：</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1、对外提供法人主题数据查询服务的信息项：≥400；</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2、支撑达成以库表推送，接口等方式对内外部（含区县）场景提供服务：≥8。</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三、城市事件库：</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1、支撑达成执行关联操作的事件数量/事件总量：≥90%。</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四、事件知识库：</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eastAsia="zh-CN" w:bidi="ar"/>
              </w:rPr>
              <w:t xml:space="preserve">、完成知识数据要素解析数据量/知识数据总量：≥90%；</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eastAsia="zh-CN" w:bidi="ar"/>
              </w:rPr>
              <w:t xml:space="preserve">、支撑达成以库表推送，接口等方式对内外部（含区县）场景提供服务：≥4。</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五、视频资源库：</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1、支撑实际接入的区县数量：≥6。</w:t>
            </w:r>
            <w:r>
              <w:rPr>
                <w:rFonts w:hint="eastAsia" w:ascii="宋体" w:hAnsi="宋体" w:eastAsia="宋体" w:cs="宋体"/>
                <w:sz w:val="21"/>
                <w:szCs w:val="21"/>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16</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行业应用</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税收征管保障-税费协同共治应用</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1、支撑每月自动发起的任务数量不少于500组；</w:t>
            </w:r>
            <w:r>
              <w:rPr>
                <w:rFonts w:hint="eastAsia" w:ascii="宋体" w:hAnsi="宋体" w:eastAsia="宋体" w:cs="宋体"/>
                <w:sz w:val="21"/>
                <w:szCs w:val="21"/>
                <w:lang w:eastAsia="zh-CN" w:bidi="ar"/>
              </w:rPr>
              <w:br w:type="textWrapping" w:clear="all"/>
            </w:r>
            <w:r>
              <w:rPr>
                <w:rFonts w:hint="eastAsia" w:ascii="宋体" w:hAnsi="宋体" w:eastAsia="宋体" w:cs="宋体"/>
                <w:sz w:val="21"/>
                <w:szCs w:val="21"/>
                <w:lang w:eastAsia="zh-CN" w:bidi="ar"/>
              </w:rPr>
              <w:t xml:space="preserve">2、机审的准确率不低于95%。</w:t>
            </w:r>
            <w:r>
              <w:rPr>
                <w:rFonts w:hint="eastAsia" w:ascii="宋体" w:hAnsi="宋体" w:eastAsia="宋体" w:cs="宋体"/>
                <w:sz w:val="21"/>
                <w:szCs w:val="21"/>
                <w:lang w:eastAsia="zh-CN"/>
              </w:rPr>
            </w:r>
            <w:r/>
          </w:p>
        </w:tc>
      </w:tr>
      <w:tr>
        <w:trPr>
          <w:trHeight w:val="539"/>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17</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税收征管保障-财税银系统</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支撑月均采集数量不少于70万条。</w:t>
            </w:r>
            <w:r>
              <w:rPr>
                <w:rFonts w:hint="eastAsia" w:ascii="宋体" w:hAnsi="宋体" w:eastAsia="宋体" w:cs="宋体"/>
                <w:sz w:val="21"/>
                <w:szCs w:val="21"/>
                <w:lang w:eastAsia="zh-CN"/>
              </w:rPr>
            </w:r>
            <w:r/>
          </w:p>
        </w:tc>
      </w:tr>
      <w:tr>
        <w:trPr>
          <w:trHeight w:val="962"/>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t xml:space="preserve">基础能力</w:t>
            </w:r>
            <w:r>
              <w:rPr>
                <w:rFonts w:hint="eastAsia"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一期子系统信创适配</w:t>
            </w:r>
            <w:r>
              <w:rPr>
                <w:rFonts w:hint="eastAsia"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2821" w:type="dxa"/>
            <w:vAlign w:val="center"/>
            <w:textDirection w:val="lrTb"/>
            <w:noWrap w:val="false"/>
          </w:tcPr>
          <w:p>
            <w:pPr>
              <w:pStyle w:val="999"/>
              <w:numPr>
                <w:ilvl w:val="0"/>
                <w:numId w:val="7"/>
              </w:numPr>
              <w:spacing w:after="0" w:line="360" w:lineRule="auto"/>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rPr>
              <w:t xml:space="preserve">统一交互城运门户大屏信创化改造完成率100%；</w:t>
            </w:r>
            <w:r>
              <w:rPr>
                <w:rFonts w:hint="eastAsia" w:ascii="宋体" w:hAnsi="宋体" w:eastAsia="宋体" w:cs="宋体"/>
                <w:sz w:val="21"/>
                <w:szCs w:val="21"/>
                <w:lang w:eastAsia="zh-CN"/>
              </w:rPr>
            </w:r>
            <w:r/>
          </w:p>
          <w:p>
            <w:pPr>
              <w:pStyle w:val="999"/>
              <w:numPr>
                <w:ilvl w:val="0"/>
                <w:numId w:val="7"/>
              </w:numPr>
              <w:spacing w:after="0" w:line="360" w:lineRule="auto"/>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rPr>
              <w:t xml:space="preserve">统一交互领导驾驶舱信创化改造完成率100%。</w:t>
            </w:r>
            <w:r>
              <w:rPr>
                <w:rFonts w:hint="eastAsia" w:ascii="宋体" w:hAnsi="宋体" w:eastAsia="宋体" w:cs="宋体"/>
                <w:sz w:val="21"/>
                <w:szCs w:val="21"/>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lang w:bidi="ar"/>
              </w:rPr>
              <w:t xml:space="preserve">19</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tcPr>
          <w:p>
            <w:pPr>
              <w:pStyle w:val="999"/>
              <w:jc w:val="center"/>
              <w:rPr>
                <w:rFonts w:hint="eastAsia" w:ascii="宋体" w:hAnsi="宋体" w:eastAsia="宋体" w:cs="宋体"/>
                <w:sz w:val="21"/>
                <w:szCs w:val="21"/>
              </w:rPr>
              <w:framePr w:vAnchor="margin" w:hAnchor="page" w:y="1"/>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99"/>
              <w:jc w:val="center"/>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原有视频会议平台管理、并发授权；可视化控制系统点位授权</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9"/>
              <w:rPr>
                <w:rFonts w:hint="eastAsia" w:ascii="宋体" w:hAnsi="宋体" w:eastAsia="宋体" w:cs="宋体"/>
                <w:sz w:val="21"/>
                <w:szCs w:val="21"/>
                <w:lang w:eastAsia="zh-CN"/>
              </w:rPr>
              <w:framePr w:vAnchor="margin" w:hAnchor="page" w:y="1"/>
            </w:pPr>
            <w:r>
              <w:rPr>
                <w:rFonts w:hint="eastAsia" w:ascii="宋体" w:hAnsi="宋体" w:eastAsia="宋体" w:cs="宋体"/>
                <w:sz w:val="21"/>
                <w:szCs w:val="21"/>
                <w:lang w:eastAsia="zh-CN" w:bidi="ar"/>
              </w:rPr>
              <w:t xml:space="preserve">指挥大厅硬件支撑能力提升，支撑指挥调度保障会场并发数从50家提升至100家。</w:t>
            </w:r>
            <w:r>
              <w:rPr>
                <w:rFonts w:hint="eastAsia" w:ascii="宋体" w:hAnsi="宋体" w:eastAsia="宋体" w:cs="宋体"/>
                <w:sz w:val="21"/>
                <w:szCs w:val="21"/>
                <w:lang w:eastAsia="zh-CN"/>
              </w:rPr>
            </w:r>
            <w:r/>
          </w:p>
        </w:tc>
      </w:tr>
    </w:tbl>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六</w:t>
      </w:r>
      <w:r>
        <w:rPr>
          <w:rFonts w:hint="eastAsia" w:ascii="黑体" w:hAnsi="黑体" w:eastAsia="黑体" w:cs="黑体"/>
          <w:sz w:val="24"/>
          <w:szCs w:val="24"/>
          <w:lang w:eastAsia="zh-CN"/>
        </w:rPr>
        <w:t xml:space="preserve">）易用性及扩展性要求</w:t>
      </w:r>
      <w:r>
        <w:rPr>
          <w:rFonts w:hint="eastAsia" w:ascii="黑体" w:hAnsi="黑体" w:eastAsia="黑体" w:cs="黑体"/>
          <w:sz w:val="24"/>
          <w:szCs w:val="24"/>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1.用户界面设计要求</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界面设计简洁直观，符合政务系统操作习惯，支持自定义界面布局与功能配置，适配不同用户角色需求。</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色彩搭配协调，字体清晰易读，操作流程简化，关键功能一键可达，减少操作步骤。</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支持暗色模式与亮色模式切换，适配不同使用场景，界面响应流畅，无卡顿、闪退等问题。 </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2.系统架构扩展性要求</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架构支持横向扩展与纵向扩展，横向可增加节点、服务器等硬件资源，纵向可升级软件版本、扩展功能模块。</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支持云计算、大数据、人工智能等新技术集成，预留技术扩展接口，适配未来技术发展趋势。</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系统架构具备良好的兼容性，可与未来新增的政务系统、业务平台无缝对接，无需大规模重构。</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3.数据扩展性要求</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支持数据量持续增长，存储容量可弹性扩展，满足未来 3-5 年数据存储需求。</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支持新增数据类型与数据来源，可快速接入新的数据源，扩展数据覆盖范围。</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具备数据挖掘与分析能力扩展，支持新增数据分析模型与算法，提升数据价值挖掘能力。</w:t>
      </w:r>
      <w:r>
        <w:rPr>
          <w:rFonts w:hint="eastAsia" w:ascii="宋体" w:hAnsi="宋体" w:eastAsia="宋体" w:cs="宋体"/>
          <w:sz w:val="21"/>
          <w:lang w:eastAsia="zh-CN"/>
        </w:rPr>
      </w:r>
      <w:r/>
    </w:p>
    <w:p>
      <w:pPr>
        <w:pStyle w:val="999"/>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4.技术升级扩展性要求</w:t>
      </w:r>
      <w:r>
        <w:rPr>
          <w:rFonts w:hint="eastAsia" w:ascii="黑体" w:hAnsi="黑体" w:eastAsia="黑体" w:cs="黑体"/>
          <w:sz w:val="24"/>
          <w:szCs w:val="24"/>
          <w:lang w:val="en-US"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支持技术框架与组件升级，确保系统技术先进性，兼容新技术、新组件的集成应用。</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提供技术升级方案与实施服务，升级过程不影响系统正常运行，数据不丢失、业务不中断。</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t xml:space="preserve">建立技术升级评估机制，定期评估技术发展趋势与系统技术现状，提出合理的升级建议与计划。</w:t>
      </w: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pPr>
      <w:r>
        <w:rPr>
          <w:rFonts w:hint="eastAsia" w:ascii="宋体" w:hAnsi="宋体" w:eastAsia="宋体" w:cs="宋体"/>
          <w:sz w:val="21"/>
          <w:lang w:eastAsia="zh-CN"/>
        </w:rPr>
      </w:r>
      <w:r/>
    </w:p>
    <w:p>
      <w:pPr>
        <w:pStyle w:val="999"/>
        <w:ind w:firstLine="420"/>
        <w:keepLines w:val="0"/>
        <w:keepNext w:val="0"/>
        <w:pageBreakBefore w:val="0"/>
        <w:spacing w:line="300" w:lineRule="auto"/>
        <w:widowControl w:val="off"/>
        <w:rPr>
          <w:rFonts w:hint="eastAsia" w:ascii="宋体" w:hAnsi="宋体" w:eastAsia="宋体" w:cs="宋体"/>
          <w:sz w:val="21"/>
          <w:lang w:eastAsia="zh-CN"/>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1"/>
          <w:lang w:eastAsia="zh-CN"/>
        </w:rPr>
      </w:r>
      <w:r/>
    </w:p>
    <w:p>
      <w:pPr>
        <w:pStyle w:val="999"/>
        <w:numPr>
          <w:ilvl w:val="0"/>
          <w:numId w:val="0"/>
        </w:numPr>
        <w:spacing w:line="360" w:lineRule="auto"/>
        <w:rPr>
          <w:rFonts w:hint="eastAsia" w:ascii="黑体" w:hAnsi="黑体" w:eastAsia="黑体" w:cs="黑体"/>
          <w:sz w:val="28"/>
          <w:szCs w:val="28"/>
        </w:rPr>
      </w:pPr>
      <w:r>
        <w:rPr>
          <w:rFonts w:hint="eastAsia" w:ascii="黑体" w:hAnsi="黑体" w:eastAsia="黑体" w:cs="黑体"/>
          <w:sz w:val="28"/>
          <w:szCs w:val="28"/>
          <w:lang w:val="en-US" w:eastAsia="zh-CN"/>
        </w:rPr>
        <w:t xml:space="preserve">三、</w:t>
      </w:r>
      <w:r>
        <w:rPr>
          <w:rFonts w:hint="eastAsia" w:ascii="黑体" w:hAnsi="黑体" w:eastAsia="黑体" w:cs="黑体"/>
          <w:sz w:val="28"/>
          <w:szCs w:val="28"/>
        </w:rPr>
        <w:t xml:space="preserve">采购清单</w:t>
      </w:r>
      <w:r>
        <w:rPr>
          <w:rFonts w:hint="eastAsia" w:ascii="黑体" w:hAnsi="黑体" w:eastAsia="黑体" w:cs="黑体"/>
          <w:sz w:val="28"/>
          <w:szCs w:val="28"/>
        </w:rPr>
      </w:r>
      <w:r/>
    </w:p>
    <w:p>
      <w:pPr>
        <w:pStyle w:val="999"/>
        <w:numPr>
          <w:ilvl w:val="0"/>
          <w:numId w:val="0"/>
        </w:numPr>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（一）采购清单</w:t>
      </w:r>
      <w:r>
        <w:rPr>
          <w:rFonts w:hint="eastAsia" w:ascii="黑体" w:hAnsi="黑体" w:eastAsia="黑体" w:cs="黑体"/>
          <w:sz w:val="24"/>
          <w:szCs w:val="24"/>
          <w:lang w:val="en-US" w:eastAsia="zh-CN"/>
        </w:rPr>
      </w:r>
      <w:r/>
    </w:p>
    <w:tbl>
      <w:tblPr>
        <w:tblStyle w:val="10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505"/>
        <w:gridCol w:w="3230"/>
        <w:gridCol w:w="796"/>
        <w:gridCol w:w="719"/>
        <w:gridCol w:w="2345"/>
        <w:gridCol w:w="4025"/>
      </w:tblGrid>
      <w:tr>
        <w:trPr>
          <w:trHeight w:val="440"/>
        </w:trPr>
        <w:tc>
          <w:tcPr>
            <w:tcW w:w="904" w:type="dxa"/>
            <w:vAlign w:val="center"/>
            <w:textDirection w:val="lrTb"/>
            <w:noWrap w:val="false"/>
          </w:tcPr>
          <w:p>
            <w:pPr>
              <w:pStyle w:val="999"/>
              <w:jc w:val="center"/>
              <w:spacing w:line="240" w:lineRule="auto"/>
              <w:rPr>
                <w:rFonts w:hint="eastAsia" w:ascii="黑体" w:hAnsi="黑体" w:eastAsia="黑体" w:cs="黑体"/>
                <w:b w:val="0"/>
                <w:bCs w:val="0"/>
                <w:sz w:val="22"/>
                <w:szCs w:val="28"/>
                <w:lang w:val="en-US" w:eastAsia="zh-CN" w:bidi="ar-SA"/>
              </w:rPr>
            </w:pPr>
            <w:r>
              <w:rPr>
                <w:rFonts w:hint="eastAsia" w:ascii="黑体" w:hAnsi="黑体" w:eastAsia="黑体" w:cs="黑体"/>
                <w:b w:val="0"/>
                <w:bCs w:val="0"/>
                <w:sz w:val="22"/>
                <w:szCs w:val="28"/>
              </w:rPr>
              <w:t xml:space="preserve">序号</w:t>
            </w:r>
            <w:r>
              <w:rPr>
                <w:rFonts w:hint="eastAsia" w:ascii="黑体" w:hAnsi="黑体" w:eastAsia="黑体" w:cs="黑体"/>
                <w:b w:val="0"/>
                <w:bCs w:val="0"/>
                <w:sz w:val="22"/>
                <w:szCs w:val="28"/>
                <w:lang w:val="en-US" w:eastAsia="zh-CN" w:bidi="ar-SA"/>
              </w:rPr>
            </w:r>
            <w:r/>
          </w:p>
        </w:tc>
        <w:tc>
          <w:tcPr>
            <w:tcW w:w="1505" w:type="dxa"/>
            <w:vAlign w:val="center"/>
            <w:textDirection w:val="lrTb"/>
            <w:noWrap w:val="false"/>
          </w:tcPr>
          <w:p>
            <w:pPr>
              <w:pStyle w:val="999"/>
              <w:jc w:val="center"/>
              <w:spacing w:line="240" w:lineRule="auto"/>
              <w:rPr>
                <w:rFonts w:hint="eastAsia" w:ascii="黑体" w:hAnsi="黑体" w:eastAsia="黑体" w:cs="黑体"/>
                <w:b w:val="0"/>
                <w:bCs w:val="0"/>
                <w:sz w:val="22"/>
                <w:szCs w:val="28"/>
                <w:highlight w:val="none"/>
                <w:lang w:val="en-US" w:eastAsia="zh-CN" w:bidi="ar-SA"/>
              </w:rPr>
            </w:pPr>
            <w:r>
              <w:rPr>
                <w:rFonts w:hint="eastAsia" w:ascii="黑体" w:hAnsi="黑体" w:eastAsia="黑体" w:cs="黑体"/>
                <w:b w:val="0"/>
                <w:bCs w:val="0"/>
                <w:sz w:val="22"/>
                <w:szCs w:val="28"/>
                <w:highlight w:val="none"/>
              </w:rPr>
              <w:t xml:space="preserve">类别</w:t>
            </w:r>
            <w:r>
              <w:rPr>
                <w:rFonts w:hint="eastAsia" w:ascii="黑体" w:hAnsi="黑体" w:eastAsia="黑体" w:cs="黑体"/>
                <w:b w:val="0"/>
                <w:bCs w:val="0"/>
                <w:sz w:val="22"/>
                <w:szCs w:val="28"/>
                <w:highlight w:val="none"/>
                <w:lang w:val="en-US" w:eastAsia="zh-CN" w:bidi="ar-SA"/>
              </w:rPr>
            </w:r>
            <w:r/>
          </w:p>
        </w:tc>
        <w:tc>
          <w:tcPr>
            <w:tcW w:w="3230" w:type="dxa"/>
            <w:vAlign w:val="center"/>
            <w:textDirection w:val="lrTb"/>
            <w:noWrap w:val="false"/>
          </w:tcPr>
          <w:p>
            <w:pPr>
              <w:pStyle w:val="999"/>
              <w:jc w:val="center"/>
              <w:spacing w:line="240" w:lineRule="auto"/>
              <w:rPr>
                <w:rFonts w:hint="eastAsia" w:ascii="黑体" w:hAnsi="黑体" w:eastAsia="黑体" w:cs="黑体"/>
                <w:b w:val="0"/>
                <w:bCs w:val="0"/>
                <w:sz w:val="22"/>
                <w:szCs w:val="28"/>
                <w:highlight w:val="none"/>
                <w:lang w:val="en-US" w:eastAsia="zh-CN" w:bidi="ar-SA"/>
              </w:rPr>
            </w:pPr>
            <w:r>
              <w:rPr>
                <w:rFonts w:hint="eastAsia" w:ascii="黑体" w:hAnsi="黑体" w:eastAsia="黑体" w:cs="黑体"/>
                <w:b w:val="0"/>
                <w:bCs w:val="0"/>
                <w:sz w:val="22"/>
                <w:szCs w:val="28"/>
                <w:highlight w:val="none"/>
              </w:rPr>
              <w:t xml:space="preserve">标的名称</w:t>
            </w:r>
            <w:r>
              <w:rPr>
                <w:rFonts w:hint="eastAsia" w:ascii="黑体" w:hAnsi="黑体" w:eastAsia="黑体" w:cs="黑体"/>
                <w:b w:val="0"/>
                <w:bCs w:val="0"/>
                <w:sz w:val="22"/>
                <w:szCs w:val="28"/>
                <w:highlight w:val="none"/>
                <w:lang w:val="en-US" w:eastAsia="zh-CN" w:bidi="ar-SA"/>
              </w:rPr>
            </w:r>
            <w:r/>
          </w:p>
        </w:tc>
        <w:tc>
          <w:tcPr>
            <w:tcW w:w="796" w:type="dxa"/>
            <w:vAlign w:val="center"/>
            <w:textDirection w:val="lrTb"/>
            <w:noWrap w:val="false"/>
          </w:tcPr>
          <w:p>
            <w:pPr>
              <w:pStyle w:val="999"/>
              <w:jc w:val="center"/>
              <w:spacing w:line="240" w:lineRule="auto"/>
              <w:rPr>
                <w:rFonts w:hint="eastAsia" w:ascii="黑体" w:hAnsi="黑体" w:eastAsia="黑体" w:cs="黑体"/>
                <w:b w:val="0"/>
                <w:bCs w:val="0"/>
                <w:sz w:val="22"/>
                <w:szCs w:val="28"/>
                <w:lang w:val="en-US" w:eastAsia="zh-CN" w:bidi="ar-SA"/>
              </w:rPr>
            </w:pPr>
            <w:r>
              <w:rPr>
                <w:rFonts w:hint="eastAsia" w:ascii="黑体" w:hAnsi="黑体" w:eastAsia="黑体" w:cs="黑体"/>
                <w:b w:val="0"/>
                <w:bCs w:val="0"/>
                <w:sz w:val="22"/>
                <w:szCs w:val="28"/>
              </w:rPr>
              <w:t xml:space="preserve">数量</w:t>
            </w:r>
            <w:r>
              <w:rPr>
                <w:rFonts w:hint="eastAsia" w:ascii="黑体" w:hAnsi="黑体" w:eastAsia="黑体" w:cs="黑体"/>
                <w:b w:val="0"/>
                <w:bCs w:val="0"/>
                <w:sz w:val="22"/>
                <w:szCs w:val="28"/>
                <w:lang w:val="en-US" w:eastAsia="zh-CN" w:bidi="ar-SA"/>
              </w:rPr>
            </w:r>
            <w:r/>
          </w:p>
        </w:tc>
        <w:tc>
          <w:tcPr>
            <w:tcW w:w="719" w:type="dxa"/>
            <w:vAlign w:val="center"/>
            <w:textDirection w:val="lrTb"/>
            <w:noWrap w:val="false"/>
          </w:tcPr>
          <w:p>
            <w:pPr>
              <w:pStyle w:val="999"/>
              <w:jc w:val="center"/>
              <w:spacing w:line="240" w:lineRule="auto"/>
              <w:rPr>
                <w:rFonts w:hint="eastAsia" w:ascii="黑体" w:hAnsi="黑体" w:eastAsia="黑体" w:cs="黑体"/>
                <w:b w:val="0"/>
                <w:bCs w:val="0"/>
                <w:sz w:val="22"/>
                <w:szCs w:val="28"/>
                <w:lang w:val="en-US" w:eastAsia="zh-CN" w:bidi="ar-SA"/>
              </w:rPr>
            </w:pPr>
            <w:r>
              <w:rPr>
                <w:rFonts w:hint="eastAsia" w:ascii="黑体" w:hAnsi="黑体" w:eastAsia="黑体" w:cs="黑体"/>
                <w:b w:val="0"/>
                <w:bCs w:val="0"/>
                <w:sz w:val="22"/>
                <w:szCs w:val="28"/>
                <w:lang w:val="en-US" w:eastAsia="zh-CN"/>
              </w:rPr>
              <w:t xml:space="preserve">单位</w:t>
            </w:r>
            <w:r>
              <w:rPr>
                <w:rFonts w:hint="eastAsia" w:ascii="黑体" w:hAnsi="黑体" w:eastAsia="黑体" w:cs="黑体"/>
                <w:b w:val="0"/>
                <w:bCs w:val="0"/>
                <w:sz w:val="22"/>
                <w:szCs w:val="28"/>
                <w:lang w:val="en-US" w:eastAsia="zh-CN" w:bidi="ar-SA"/>
              </w:rPr>
            </w:r>
            <w:r/>
          </w:p>
        </w:tc>
        <w:tc>
          <w:tcPr>
            <w:tcW w:w="2345" w:type="dxa"/>
            <w:vAlign w:val="center"/>
            <w:textDirection w:val="lrTb"/>
            <w:noWrap w:val="false"/>
          </w:tcPr>
          <w:p>
            <w:pPr>
              <w:pStyle w:val="999"/>
              <w:jc w:val="center"/>
              <w:spacing w:line="240" w:lineRule="auto"/>
              <w:rPr>
                <w:rFonts w:ascii="黑体" w:hAnsi="黑体" w:eastAsia="黑体" w:cs="黑体"/>
                <w:b w:val="0"/>
                <w:bCs w:val="0"/>
                <w:sz w:val="22"/>
                <w:szCs w:val="28"/>
                <w:lang w:val="en-US" w:eastAsia="zh-CN" w:bidi="ar-SA"/>
              </w:rPr>
            </w:pPr>
            <w:r>
              <w:rPr>
                <w:rFonts w:hint="eastAsia" w:ascii="黑体" w:hAnsi="黑体" w:eastAsia="黑体" w:cs="黑体"/>
                <w:b w:val="0"/>
                <w:bCs w:val="0"/>
                <w:sz w:val="22"/>
                <w:szCs w:val="28"/>
                <w:lang w:val="en-US" w:eastAsia="zh-CN" w:bidi="ar-SA"/>
              </w:rPr>
              <w:t xml:space="preserve">所属行业</w:t>
            </w:r>
            <w:r>
              <w:rPr>
                <w:rFonts w:ascii="黑体" w:hAnsi="黑体" w:eastAsia="黑体" w:cs="黑体"/>
                <w:b w:val="0"/>
                <w:bCs w:val="0"/>
                <w:sz w:val="22"/>
                <w:szCs w:val="28"/>
                <w:lang w:val="en-US" w:eastAsia="zh-CN" w:bidi="ar-SA"/>
              </w:rPr>
            </w:r>
            <w:r/>
          </w:p>
        </w:tc>
        <w:tc>
          <w:tcPr>
            <w:tcW w:w="4025" w:type="dxa"/>
            <w:vAlign w:val="center"/>
            <w:textDirection w:val="lrTb"/>
            <w:noWrap w:val="false"/>
          </w:tcPr>
          <w:p>
            <w:pPr>
              <w:pStyle w:val="999"/>
              <w:jc w:val="center"/>
              <w:spacing w:line="240" w:lineRule="auto"/>
              <w:rPr>
                <w:rFonts w:ascii="黑体" w:hAnsi="黑体" w:eastAsia="黑体" w:cs="黑体"/>
                <w:b w:val="0"/>
                <w:bCs w:val="0"/>
                <w:sz w:val="22"/>
                <w:szCs w:val="28"/>
                <w:lang w:val="en-US" w:eastAsia="zh-CN" w:bidi="ar-SA"/>
              </w:rPr>
            </w:pPr>
            <w:r>
              <w:rPr>
                <w:rFonts w:hint="eastAsia" w:ascii="黑体" w:hAnsi="黑体" w:eastAsia="黑体" w:cs="黑体"/>
                <w:b w:val="0"/>
                <w:bCs w:val="0"/>
                <w:sz w:val="22"/>
                <w:szCs w:val="28"/>
                <w:lang w:val="en-US" w:eastAsia="zh-CN" w:bidi="ar-SA"/>
              </w:rPr>
              <w:t xml:space="preserve">备注</w:t>
            </w:r>
            <w:r>
              <w:rPr>
                <w:rFonts w:ascii="黑体" w:hAnsi="黑体" w:eastAsia="黑体" w:cs="黑体"/>
                <w:b w:val="0"/>
                <w:bCs w:val="0"/>
                <w:sz w:val="22"/>
                <w:szCs w:val="28"/>
                <w:lang w:val="en-US" w:eastAsia="zh-CN" w:bidi="ar-SA"/>
              </w:rPr>
            </w:r>
            <w:r/>
          </w:p>
        </w:tc>
      </w:tr>
      <w:tr>
        <w:trPr>
          <w:trHeight w:val="440"/>
        </w:trPr>
        <w:tc>
          <w:tcPr>
            <w:gridSpan w:val="7"/>
            <w:tcW w:w="13524" w:type="dxa"/>
            <w:vAlign w:val="center"/>
            <w:textDirection w:val="lrTb"/>
            <w:noWrap w:val="false"/>
          </w:tcPr>
          <w:p>
            <w:pPr>
              <w:pStyle w:val="999"/>
              <w:jc w:val="left"/>
              <w:spacing w:line="240" w:lineRule="auto"/>
              <w:rPr>
                <w:rFonts w:ascii="黑体" w:hAnsi="黑体" w:eastAsia="黑体" w:cs="黑体"/>
                <w:b w:val="0"/>
                <w:bCs w:val="0"/>
                <w:sz w:val="22"/>
                <w:szCs w:val="28"/>
                <w:lang w:val="en-US" w:eastAsia="zh-CN" w:bidi="ar-SA"/>
              </w:rPr>
            </w:pPr>
            <w:r>
              <w:rPr>
                <w:rFonts w:hint="eastAsia" w:ascii="黑体" w:hAnsi="黑体" w:eastAsia="黑体" w:cs="黑体"/>
                <w:b w:val="0"/>
                <w:bCs w:val="0"/>
                <w:sz w:val="22"/>
                <w:szCs w:val="28"/>
                <w:lang w:val="en-US" w:eastAsia="zh-CN" w:bidi="ar-SA"/>
              </w:rPr>
              <w:t xml:space="preserve">服务部分</w:t>
            </w:r>
            <w:r>
              <w:rPr>
                <w:rFonts w:ascii="黑体" w:hAnsi="黑体" w:eastAsia="黑体" w:cs="黑体"/>
                <w:b w:val="0"/>
                <w:bCs w:val="0"/>
                <w:sz w:val="22"/>
                <w:szCs w:val="28"/>
                <w:lang w:val="en-US" w:eastAsia="zh-CN" w:bidi="ar-SA"/>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ascii="宋体" w:hAnsi="宋体" w:eastAsia="宋体" w:cs="宋体"/>
                <w:sz w:val="21"/>
                <w:szCs w:val="24"/>
                <w:lang w:val="en-US" w:eastAsia="zh-CN"/>
              </w:rPr>
            </w:r>
            <w:r/>
          </w:p>
        </w:tc>
        <w:tc>
          <w:tcPr>
            <w:tcW w:w="1505" w:type="dxa"/>
            <w:vAlign w:val="center"/>
            <w:vMerge w:val="restart"/>
            <w:textDirection w:val="lrTb"/>
            <w:noWrap w:val="false"/>
          </w:tcPr>
          <w:p>
            <w:pPr>
              <w:pStyle w:val="999"/>
              <w:jc w:val="center"/>
              <w:rPr>
                <w:rFonts w:hint="eastAsia"/>
                <w:lang w:val="en-US" w:eastAsia="zh-CN"/>
              </w:rPr>
            </w:pPr>
            <w:r>
              <w:rPr>
                <w:rFonts w:hint="eastAsia" w:ascii="宋体" w:hAnsi="宋体" w:eastAsia="宋体" w:cs="宋体"/>
                <w:sz w:val="21"/>
                <w:szCs w:val="24"/>
              </w:rPr>
              <w:t xml:space="preserve">业务中枢</w:t>
            </w:r>
            <w:r>
              <w:rPr>
                <w:rFonts w:hint="eastAsia"/>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实时监测</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项</w:t>
            </w:r>
            <w:r>
              <w:rPr>
                <w:rFonts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2</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动态分析</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3</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指挥调度</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4</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综合评价</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5</w:t>
            </w:r>
            <w:r>
              <w:rPr>
                <w:rFonts w:ascii="宋体" w:hAnsi="宋体" w:eastAsia="宋体" w:cs="宋体"/>
                <w:sz w:val="21"/>
                <w:szCs w:val="24"/>
                <w:lang w:val="en-US" w:eastAsia="zh-CN"/>
              </w:rPr>
            </w:r>
            <w:r/>
          </w:p>
        </w:tc>
        <w:tc>
          <w:tcPr>
            <w:tcW w:w="1505" w:type="dxa"/>
            <w:vAlign w:val="center"/>
            <w:vMerge w:val="restart"/>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cs="宋体"/>
                <w:szCs w:val="24"/>
              </w:rPr>
              <w:t xml:space="preserve">智能中枢</w:t>
            </w: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能力中台</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可分包，该标的占项目预算19.96%</w:t>
            </w:r>
            <w:r>
              <w:rPr>
                <w:rFonts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6</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城运数据仓</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可分包，该标的占项目预算13.53%</w:t>
            </w: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7</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eastAsia="zh-CN"/>
              </w:rPr>
              <w:t xml:space="preserve">智能算力资源租赁服务</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可分包，该标的占项目预算16.42%</w:t>
            </w:r>
            <w:r>
              <w:rPr>
                <w:rFonts w:hint="eastAsia" w:ascii="宋体" w:hAnsi="宋体" w:eastAsia="宋体" w:cs="宋体"/>
                <w:sz w:val="21"/>
                <w:szCs w:val="24"/>
                <w:lang w:val="en-US" w:eastAsia="zh-CN"/>
              </w:rPr>
            </w:r>
            <w:r/>
          </w:p>
        </w:tc>
      </w:tr>
      <w:tr>
        <w:trPr>
          <w:trHeight w:val="90"/>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8</w:t>
            </w:r>
            <w:r>
              <w:rPr>
                <w:rFonts w:ascii="宋体" w:hAnsi="宋体" w:eastAsia="宋体" w:cs="宋体"/>
                <w:sz w:val="21"/>
                <w:szCs w:val="24"/>
                <w:lang w:val="en-US" w:eastAsia="zh-CN"/>
              </w:rPr>
            </w:r>
            <w:r/>
          </w:p>
        </w:tc>
        <w:tc>
          <w:tcPr>
            <w:tcW w:w="1505" w:type="dxa"/>
            <w:vAlign w:val="center"/>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eastAsia="宋体" w:cs="宋体"/>
                <w:sz w:val="21"/>
                <w:szCs w:val="24"/>
              </w:rPr>
              <w:t xml:space="preserve">行业应用</w:t>
            </w: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税收征管保障</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可分包，该标的占项目预算3.19%</w:t>
            </w: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9</w:t>
            </w:r>
            <w:r>
              <w:rPr>
                <w:rFonts w:ascii="宋体" w:hAnsi="宋体" w:eastAsia="宋体" w:cs="宋体"/>
                <w:sz w:val="21"/>
                <w:szCs w:val="24"/>
                <w:lang w:val="en-US" w:eastAsia="zh-CN"/>
              </w:rPr>
            </w:r>
            <w:r/>
          </w:p>
        </w:tc>
        <w:tc>
          <w:tcPr>
            <w:tcW w:w="1505" w:type="dxa"/>
            <w:vAlign w:val="center"/>
            <w:vMerge w:val="restart"/>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cs="宋体"/>
                <w:szCs w:val="24"/>
              </w:rPr>
              <w:t xml:space="preserve">基础能力需求</w:t>
            </w: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cs="宋体"/>
                <w:szCs w:val="24"/>
              </w:rPr>
              <w:t xml:space="preserve">站点证书服务</w:t>
            </w:r>
            <w:r>
              <w:rPr>
                <w:rFonts w:hint="eastAsia" w:ascii="黑体" w:hAnsi="黑体" w:eastAsia="黑体" w:cs="黑体"/>
                <w:sz w:val="28"/>
                <w:szCs w:val="28"/>
                <w:vertAlign w:val="baseline"/>
                <w:lang w:val="en-US" w:eastAsia="zh-CN"/>
              </w:rPr>
            </w:r>
            <w:r/>
          </w:p>
        </w:tc>
        <w:tc>
          <w:tcPr>
            <w:tcW w:w="796"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1</w:t>
            </w:r>
            <w:r>
              <w:rPr>
                <w:rFonts w:hint="eastAsia" w:ascii="宋体" w:hAnsi="宋体" w:cs="宋体"/>
                <w:sz w:val="21"/>
                <w:szCs w:val="24"/>
                <w:lang w:val="en-US" w:eastAsia="zh-CN" w:bidi="ar-SA"/>
              </w:rPr>
            </w:r>
            <w:r/>
          </w:p>
        </w:tc>
        <w:tc>
          <w:tcPr>
            <w:tcW w:w="719"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项</w:t>
            </w:r>
            <w:r>
              <w:rPr>
                <w:rFonts w:hint="eastAsia" w:ascii="宋体" w:hAnsi="宋体" w:cs="宋体"/>
                <w:sz w:val="21"/>
                <w:szCs w:val="24"/>
                <w:lang w:val="en-US" w:eastAsia="zh-CN" w:bidi="ar-SA"/>
              </w:rPr>
            </w:r>
            <w:r/>
          </w:p>
        </w:tc>
        <w:tc>
          <w:tcPr>
            <w:tcW w:w="2345" w:type="dxa"/>
            <w:vAlign w:val="center"/>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eastAsia="宋体" w:cs="宋体"/>
                <w:sz w:val="21"/>
                <w:szCs w:val="24"/>
              </w:rPr>
              <w:t xml:space="preserve">软件和信息技术服务业</w:t>
            </w:r>
            <w:r>
              <w:rPr>
                <w:rFonts w:hint="eastAsia" w:ascii="黑体" w:hAnsi="黑体" w:eastAsia="黑体" w:cs="黑体"/>
                <w:sz w:val="28"/>
                <w:szCs w:val="28"/>
                <w:vertAlign w:val="baseline"/>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rHeight w:val="599"/>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10</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jc w:val="center"/>
              <w:spacing w:line="240" w:lineRule="auto"/>
              <w:rPr>
                <w:rFonts w:hint="eastAsia" w:ascii="宋体" w:hAnsi="宋体" w:cs="宋体"/>
                <w:sz w:val="21"/>
                <w:szCs w:val="24"/>
                <w:lang w:val="en-US" w:eastAsia="zh-CN" w:bidi="ar-SA"/>
              </w:rPr>
            </w:pPr>
            <w:r>
              <w:rPr>
                <w:rFonts w:hint="eastAsia" w:ascii="宋体" w:hAnsi="宋体" w:eastAsia="宋体" w:cs="宋体"/>
                <w:sz w:val="21"/>
                <w:szCs w:val="24"/>
              </w:rPr>
              <w:t xml:space="preserve">签名工具</w:t>
            </w:r>
            <w:r>
              <w:rPr>
                <w:rFonts w:hint="eastAsia" w:ascii="宋体" w:hAnsi="宋体" w:cs="宋体"/>
                <w:sz w:val="21"/>
                <w:szCs w:val="24"/>
                <w:lang w:val="en-US" w:eastAsia="zh-CN" w:bidi="ar-SA"/>
              </w:rPr>
            </w:r>
            <w:r/>
          </w:p>
        </w:tc>
        <w:tc>
          <w:tcPr>
            <w:tcW w:w="796"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1</w:t>
            </w:r>
            <w:r>
              <w:rPr>
                <w:rFonts w:hint="eastAsia" w:ascii="宋体" w:hAnsi="宋体" w:cs="宋体"/>
                <w:sz w:val="21"/>
                <w:szCs w:val="24"/>
                <w:lang w:val="en-US" w:eastAsia="zh-CN" w:bidi="ar-SA"/>
              </w:rPr>
            </w:r>
            <w:r/>
          </w:p>
        </w:tc>
        <w:tc>
          <w:tcPr>
            <w:tcW w:w="719"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套</w:t>
            </w:r>
            <w:r>
              <w:rPr>
                <w:rFonts w:hint="eastAsia" w:ascii="宋体" w:hAnsi="宋体" w:cs="宋体"/>
                <w:sz w:val="21"/>
                <w:szCs w:val="24"/>
                <w:lang w:val="en-US" w:eastAsia="zh-CN" w:bidi="ar-SA"/>
              </w:rPr>
            </w:r>
            <w:r/>
          </w:p>
        </w:tc>
        <w:tc>
          <w:tcPr>
            <w:tcW w:w="2345" w:type="dxa"/>
            <w:vAlign w:val="center"/>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eastAsia="宋体" w:cs="宋体"/>
                <w:sz w:val="21"/>
                <w:szCs w:val="24"/>
              </w:rPr>
              <w:t xml:space="preserve">软件和信息技术服务业</w:t>
            </w:r>
            <w:r>
              <w:rPr>
                <w:rFonts w:hint="eastAsia" w:ascii="黑体" w:hAnsi="黑体" w:eastAsia="黑体" w:cs="黑体"/>
                <w:sz w:val="28"/>
                <w:szCs w:val="28"/>
                <w:vertAlign w:val="baseline"/>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可分包，该标的占项目预算0.12%</w:t>
            </w: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11</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jc w:val="center"/>
              <w:spacing w:line="240" w:lineRule="auto"/>
              <w:rPr>
                <w:rFonts w:hint="eastAsia" w:ascii="宋体" w:hAnsi="宋体" w:cs="宋体"/>
                <w:sz w:val="21"/>
                <w:szCs w:val="24"/>
                <w:lang w:val="en-US" w:eastAsia="zh-CN" w:bidi="ar-SA"/>
              </w:rPr>
            </w:pPr>
            <w:r>
              <w:rPr>
                <w:rFonts w:hint="eastAsia" w:ascii="宋体" w:hAnsi="宋体" w:eastAsia="宋体" w:cs="宋体"/>
                <w:sz w:val="21"/>
                <w:szCs w:val="24"/>
              </w:rPr>
              <w:t xml:space="preserve">CA国密证书</w:t>
            </w:r>
            <w:r>
              <w:rPr>
                <w:rFonts w:hint="eastAsia" w:ascii="宋体" w:hAnsi="宋体" w:cs="宋体"/>
                <w:sz w:val="21"/>
                <w:szCs w:val="24"/>
                <w:lang w:val="en-US" w:eastAsia="zh-CN" w:bidi="ar-SA"/>
              </w:rPr>
            </w:r>
            <w:r/>
          </w:p>
        </w:tc>
        <w:tc>
          <w:tcPr>
            <w:tcW w:w="796"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5</w:t>
            </w:r>
            <w:r>
              <w:rPr>
                <w:rFonts w:hint="eastAsia" w:ascii="宋体" w:hAnsi="宋体" w:cs="宋体"/>
                <w:sz w:val="21"/>
                <w:szCs w:val="24"/>
                <w:lang w:val="en-US" w:eastAsia="zh-CN" w:bidi="ar-SA"/>
              </w:rPr>
            </w:r>
            <w:r/>
          </w:p>
        </w:tc>
        <w:tc>
          <w:tcPr>
            <w:tcW w:w="719"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套</w:t>
            </w:r>
            <w:r>
              <w:rPr>
                <w:rFonts w:hint="eastAsia" w:ascii="宋体" w:hAnsi="宋体" w:cs="宋体"/>
                <w:sz w:val="21"/>
                <w:szCs w:val="24"/>
                <w:lang w:val="en-US" w:eastAsia="zh-CN" w:bidi="ar-SA"/>
              </w:rPr>
            </w:r>
            <w:r/>
          </w:p>
        </w:tc>
        <w:tc>
          <w:tcPr>
            <w:tcW w:w="2345" w:type="dxa"/>
            <w:vAlign w:val="center"/>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eastAsia="宋体" w:cs="宋体"/>
                <w:sz w:val="21"/>
                <w:szCs w:val="24"/>
              </w:rPr>
              <w:t xml:space="preserve">软件和信息技术服务业</w:t>
            </w:r>
            <w:r>
              <w:rPr>
                <w:rFonts w:hint="eastAsia" w:ascii="黑体" w:hAnsi="黑体" w:eastAsia="黑体" w:cs="黑体"/>
                <w:sz w:val="28"/>
                <w:szCs w:val="28"/>
                <w:vertAlign w:val="baseline"/>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可分包，该标的占项目预算0.03%</w:t>
            </w: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12</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jc w:val="center"/>
              <w:spacing w:line="240" w:lineRule="auto"/>
              <w:rPr>
                <w:rFonts w:hint="eastAsia" w:ascii="宋体" w:hAnsi="宋体" w:cs="宋体"/>
                <w:sz w:val="21"/>
                <w:szCs w:val="24"/>
                <w:lang w:val="en-US" w:eastAsia="zh-CN" w:bidi="ar-SA"/>
              </w:rPr>
            </w:pPr>
            <w:r>
              <w:rPr>
                <w:rFonts w:hint="eastAsia" w:ascii="宋体" w:hAnsi="宋体" w:eastAsia="宋体" w:cs="宋体"/>
                <w:sz w:val="21"/>
                <w:szCs w:val="24"/>
              </w:rPr>
              <w:t xml:space="preserve">中间件</w:t>
            </w:r>
            <w:r>
              <w:rPr>
                <w:rFonts w:hint="eastAsia" w:ascii="宋体" w:hAnsi="宋体" w:cs="宋体"/>
                <w:sz w:val="21"/>
                <w:szCs w:val="24"/>
                <w:lang w:val="en-US" w:eastAsia="zh-CN" w:bidi="ar-SA"/>
              </w:rPr>
            </w:r>
            <w:r/>
          </w:p>
        </w:tc>
        <w:tc>
          <w:tcPr>
            <w:tcW w:w="796"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1</w:t>
            </w:r>
            <w:r>
              <w:rPr>
                <w:rFonts w:hint="eastAsia" w:ascii="宋体" w:hAnsi="宋体" w:cs="宋体"/>
                <w:sz w:val="21"/>
                <w:szCs w:val="24"/>
                <w:lang w:val="en-US" w:eastAsia="zh-CN" w:bidi="ar-SA"/>
              </w:rPr>
            </w:r>
            <w:r/>
          </w:p>
        </w:tc>
        <w:tc>
          <w:tcPr>
            <w:tcW w:w="719"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套</w:t>
            </w:r>
            <w:r>
              <w:rPr>
                <w:rFonts w:hint="eastAsia" w:ascii="宋体" w:hAnsi="宋体" w:cs="宋体"/>
                <w:sz w:val="21"/>
                <w:szCs w:val="24"/>
                <w:lang w:val="en-US" w:eastAsia="zh-CN" w:bidi="ar-SA"/>
              </w:rPr>
            </w:r>
            <w:r/>
          </w:p>
        </w:tc>
        <w:tc>
          <w:tcPr>
            <w:tcW w:w="2345" w:type="dxa"/>
            <w:vAlign w:val="center"/>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eastAsia="宋体" w:cs="宋体"/>
                <w:sz w:val="21"/>
                <w:szCs w:val="24"/>
              </w:rPr>
              <w:t xml:space="preserve">软件和信息技术服务业</w:t>
            </w:r>
            <w:r>
              <w:rPr>
                <w:rFonts w:hint="eastAsia" w:ascii="黑体" w:hAnsi="黑体" w:eastAsia="黑体" w:cs="黑体"/>
                <w:sz w:val="28"/>
                <w:szCs w:val="28"/>
                <w:vertAlign w:val="baseline"/>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可分包，该标的占项目预算0.21%</w:t>
            </w: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13</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jc w:val="center"/>
              <w:spacing w:line="240" w:lineRule="auto"/>
              <w:rPr>
                <w:rFonts w:hint="eastAsia" w:ascii="宋体" w:hAnsi="宋体" w:cs="宋体"/>
                <w:sz w:val="21"/>
                <w:szCs w:val="24"/>
                <w:lang w:val="en-US" w:eastAsia="zh-CN" w:bidi="ar-SA"/>
              </w:rPr>
            </w:pPr>
            <w:r>
              <w:rPr>
                <w:rFonts w:hint="eastAsia" w:ascii="宋体" w:hAnsi="宋体" w:eastAsia="宋体" w:cs="宋体"/>
                <w:sz w:val="21"/>
                <w:szCs w:val="24"/>
              </w:rPr>
              <w:t xml:space="preserve">一期子系统信创适配</w:t>
            </w:r>
            <w:r>
              <w:rPr>
                <w:rFonts w:hint="eastAsia" w:ascii="宋体" w:hAnsi="宋体" w:cs="宋体"/>
                <w:sz w:val="21"/>
                <w:szCs w:val="24"/>
                <w:lang w:val="en-US" w:eastAsia="zh-CN" w:bidi="ar-SA"/>
              </w:rPr>
            </w:r>
            <w:r/>
          </w:p>
        </w:tc>
        <w:tc>
          <w:tcPr>
            <w:tcW w:w="796"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1</w:t>
            </w:r>
            <w:r>
              <w:rPr>
                <w:rFonts w:hint="eastAsia" w:ascii="宋体" w:hAnsi="宋体" w:cs="宋体"/>
                <w:sz w:val="21"/>
                <w:szCs w:val="24"/>
                <w:lang w:val="en-US" w:eastAsia="zh-CN" w:bidi="ar-SA"/>
              </w:rPr>
            </w:r>
            <w:r/>
          </w:p>
        </w:tc>
        <w:tc>
          <w:tcPr>
            <w:tcW w:w="719" w:type="dxa"/>
            <w:vAlign w:val="center"/>
            <w:textDirection w:val="lrTb"/>
            <w:noWrap w:val="false"/>
          </w:tcPr>
          <w:p>
            <w:pPr>
              <w:pStyle w:val="999"/>
              <w:jc w:val="center"/>
              <w:rPr>
                <w:rFonts w:hint="eastAsia" w:ascii="宋体" w:hAnsi="宋体" w:cs="宋体"/>
                <w:sz w:val="21"/>
                <w:szCs w:val="24"/>
                <w:lang w:val="en-US" w:eastAsia="zh-CN" w:bidi="ar-SA"/>
              </w:rPr>
            </w:pPr>
            <w:r>
              <w:rPr>
                <w:rFonts w:hint="eastAsia" w:ascii="宋体" w:hAnsi="宋体" w:cs="宋体"/>
                <w:szCs w:val="24"/>
              </w:rPr>
              <w:t xml:space="preserve">项</w:t>
            </w:r>
            <w:r>
              <w:rPr>
                <w:rFonts w:hint="eastAsia" w:ascii="宋体" w:hAnsi="宋体" w:cs="宋体"/>
                <w:sz w:val="21"/>
                <w:szCs w:val="24"/>
                <w:lang w:val="en-US" w:eastAsia="zh-CN" w:bidi="ar-SA"/>
              </w:rPr>
            </w:r>
            <w:r/>
          </w:p>
        </w:tc>
        <w:tc>
          <w:tcPr>
            <w:tcW w:w="2345" w:type="dxa"/>
            <w:vAlign w:val="center"/>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eastAsia="宋体" w:cs="宋体"/>
                <w:sz w:val="21"/>
                <w:szCs w:val="24"/>
              </w:rPr>
              <w:t xml:space="preserve">软件和信息技术服务业</w:t>
            </w:r>
            <w:r>
              <w:rPr>
                <w:rFonts w:hint="eastAsia" w:ascii="黑体" w:hAnsi="黑体" w:eastAsia="黑体" w:cs="黑体"/>
                <w:sz w:val="28"/>
                <w:szCs w:val="28"/>
                <w:vertAlign w:val="baseline"/>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可分包，该标的占项目预算2.13%</w:t>
            </w: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14</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原有</w:t>
            </w:r>
            <w:r>
              <w:rPr>
                <w:rFonts w:hint="eastAsia" w:ascii="宋体" w:hAnsi="宋体" w:eastAsia="宋体" w:cs="宋体"/>
                <w:sz w:val="21"/>
                <w:szCs w:val="24"/>
              </w:rPr>
              <w:t xml:space="preserve">视频会议平台管理授权</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100</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套</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15</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原有</w:t>
            </w:r>
            <w:r>
              <w:rPr>
                <w:rFonts w:hint="eastAsia" w:ascii="宋体" w:hAnsi="宋体" w:eastAsia="宋体" w:cs="宋体"/>
                <w:sz w:val="21"/>
                <w:szCs w:val="24"/>
              </w:rPr>
              <w:t xml:space="preserve">视频会议平台并发授权</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77</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套</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16</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可视化控制系统点位授权</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套</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ind w:left="0" w:firstLine="0"/>
              <w:jc w:val="center"/>
              <w:spacing w:line="360" w:lineRule="auto"/>
              <w:rPr>
                <w:rFonts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17</w:t>
            </w:r>
            <w:r>
              <w:rPr>
                <w:rFonts w:ascii="宋体" w:hAnsi="宋体" w:eastAsia="宋体" w:cs="宋体"/>
                <w:sz w:val="21"/>
                <w:szCs w:val="24"/>
                <w:lang w:val="en-US" w:eastAsia="zh-CN" w:bidi="ar-SA"/>
              </w:rPr>
            </w:r>
            <w:r/>
          </w:p>
        </w:tc>
        <w:tc>
          <w:tcPr>
            <w:tcW w:w="1505"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Cs w:val="24"/>
                <w:lang w:val="en-US" w:eastAsia="zh-CN"/>
              </w:rPr>
            </w:pPr>
            <w:r>
              <w:rPr>
                <w:rFonts w:hint="eastAsia" w:ascii="宋体" w:hAnsi="宋体" w:cs="宋体"/>
                <w:szCs w:val="24"/>
                <w:lang w:val="en-US" w:eastAsia="zh-CN"/>
              </w:rPr>
              <w:t xml:space="preserve">硬件需求</w:t>
            </w:r>
            <w:r>
              <w:rPr>
                <w:rFonts w:hint="eastAsia" w:ascii="宋体" w:hAnsi="宋体" w:eastAsia="宋体" w:cs="宋体"/>
                <w:szCs w:val="24"/>
                <w:lang w:val="en-US" w:eastAsia="zh-CN"/>
              </w:rPr>
            </w:r>
            <w:r/>
          </w:p>
        </w:tc>
        <w:tc>
          <w:tcPr>
            <w:tcW w:w="3230"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综合布线</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套</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rPr>
            </w:r>
            <w:r/>
          </w:p>
        </w:tc>
        <w:tc>
          <w:tcPr>
            <w:tcW w:w="4025"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c>
          <w:tcPr>
            <w:tcW w:w="904" w:type="dxa"/>
            <w:vAlign w:val="center"/>
            <w:textDirection w:val="lrTb"/>
            <w:noWrap w:val="false"/>
          </w:tcPr>
          <w:p>
            <w:pPr>
              <w:pStyle w:val="999"/>
              <w:numPr>
                <w:ilvl w:val="0"/>
                <w:numId w:val="0"/>
              </w:numPr>
              <w:ind w:left="0" w:firstLine="0"/>
              <w:jc w:val="center"/>
              <w:spacing w:line="360" w:lineRule="auto"/>
              <w:rPr>
                <w:rFonts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18</w:t>
            </w:r>
            <w:r>
              <w:rPr>
                <w:rFonts w:ascii="宋体" w:hAnsi="宋体" w:eastAsia="宋体" w:cs="宋体"/>
                <w:sz w:val="21"/>
                <w:szCs w:val="24"/>
                <w:lang w:val="en-US" w:eastAsia="zh-CN" w:bidi="ar-SA"/>
              </w:rPr>
            </w:r>
            <w:r/>
          </w:p>
        </w:tc>
        <w:tc>
          <w:tcPr>
            <w:tcW w:w="1505" w:type="dxa"/>
            <w:vAlign w:val="center"/>
            <w:textDirection w:val="lrTb"/>
            <w:noWrap w:val="false"/>
          </w:tcPr>
          <w:p>
            <w:pPr>
              <w:pStyle w:val="999"/>
              <w:numPr>
                <w:ilvl w:val="0"/>
                <w:numId w:val="0"/>
              </w:numPr>
              <w:ind w:left="0" w:firstLine="0"/>
              <w:jc w:val="center"/>
              <w:spacing w:line="360" w:lineRule="auto"/>
              <w:rPr>
                <w:rFonts w:hint="eastAsia" w:ascii="黑体" w:hAnsi="黑体" w:eastAsia="黑体" w:cs="黑体"/>
                <w:sz w:val="28"/>
                <w:szCs w:val="28"/>
                <w:vertAlign w:val="baseline"/>
                <w:lang w:val="en-US" w:eastAsia="zh-CN" w:bidi="ar-SA"/>
              </w:rPr>
            </w:pPr>
            <w:r>
              <w:rPr>
                <w:rFonts w:hint="eastAsia" w:ascii="宋体" w:hAnsi="宋体" w:cs="宋体"/>
                <w:szCs w:val="24"/>
              </w:rPr>
              <w:t xml:space="preserve">集成需求</w:t>
            </w:r>
            <w:r>
              <w:rPr>
                <w:rFonts w:hint="eastAsia" w:ascii="黑体" w:hAnsi="黑体" w:eastAsia="黑体" w:cs="黑体"/>
                <w:sz w:val="28"/>
                <w:szCs w:val="28"/>
                <w:vertAlign w:val="baseline"/>
                <w:lang w:val="en-US" w:eastAsia="zh-CN" w:bidi="ar-SA"/>
              </w:rPr>
            </w:r>
            <w:r/>
          </w:p>
        </w:tc>
        <w:tc>
          <w:tcPr>
            <w:tcW w:w="3230"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lang w:val="en-US" w:eastAsia="zh-CN" w:bidi="ar-SA"/>
              </w:rPr>
            </w:pPr>
            <w:r>
              <w:rPr>
                <w:rFonts w:hint="eastAsia" w:ascii="宋体" w:hAnsi="宋体" w:eastAsia="宋体" w:cs="宋体"/>
                <w:sz w:val="21"/>
                <w:szCs w:val="24"/>
              </w:rPr>
              <w:t xml:space="preserve">/</w:t>
            </w:r>
            <w:r>
              <w:rPr>
                <w:rFonts w:hint="eastAsia" w:ascii="宋体" w:hAnsi="宋体" w:eastAsia="宋体" w:cs="宋体"/>
                <w:sz w:val="21"/>
                <w:szCs w:val="24"/>
                <w:lang w:val="en-US" w:eastAsia="zh-CN" w:bidi="ar-SA"/>
              </w:rPr>
            </w:r>
            <w:r/>
          </w:p>
        </w:tc>
        <w:tc>
          <w:tcPr>
            <w:tcW w:w="796"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lang w:val="en-US" w:eastAsia="zh-CN" w:bidi="ar-SA"/>
              </w:rPr>
            </w:pPr>
            <w:r>
              <w:rPr>
                <w:rFonts w:hint="eastAsia" w:ascii="宋体" w:hAnsi="宋体" w:eastAsia="宋体" w:cs="宋体"/>
                <w:sz w:val="21"/>
                <w:szCs w:val="24"/>
              </w:rPr>
              <w:t xml:space="preserve">1</w:t>
            </w:r>
            <w:r>
              <w:rPr>
                <w:rFonts w:hint="eastAsia" w:ascii="宋体" w:hAnsi="宋体" w:eastAsia="宋体" w:cs="宋体"/>
                <w:sz w:val="21"/>
                <w:szCs w:val="24"/>
                <w:lang w:val="en-US" w:eastAsia="zh-CN" w:bidi="ar-SA"/>
              </w:rPr>
            </w:r>
            <w:r/>
          </w:p>
        </w:tc>
        <w:tc>
          <w:tcPr>
            <w:tcW w:w="719"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lang w:val="en-US" w:eastAsia="zh-CN" w:bidi="ar-SA"/>
              </w:rPr>
            </w:pPr>
            <w:r>
              <w:rPr>
                <w:rFonts w:hint="eastAsia" w:ascii="宋体" w:hAnsi="宋体" w:eastAsia="宋体" w:cs="宋体"/>
                <w:sz w:val="21"/>
                <w:szCs w:val="24"/>
              </w:rPr>
              <w:t xml:space="preserve">套</w:t>
            </w:r>
            <w:r>
              <w:rPr>
                <w:rFonts w:hint="eastAsia" w:ascii="宋体" w:hAnsi="宋体" w:eastAsia="宋体" w:cs="宋体"/>
                <w:sz w:val="21"/>
                <w:szCs w:val="24"/>
                <w:lang w:val="en-US" w:eastAsia="zh-CN" w:bidi="ar-SA"/>
              </w:rPr>
            </w:r>
            <w:r/>
          </w:p>
        </w:tc>
        <w:tc>
          <w:tcPr>
            <w:tcW w:w="2345"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lang w:val="en-US" w:eastAsia="zh-CN" w:bidi="ar-SA"/>
              </w:rPr>
            </w:pPr>
            <w:r>
              <w:rPr>
                <w:rFonts w:hint="eastAsia" w:ascii="宋体" w:hAnsi="宋体" w:eastAsia="宋体" w:cs="宋体"/>
                <w:sz w:val="21"/>
                <w:szCs w:val="24"/>
              </w:rPr>
              <w:t xml:space="preserve">软件和信息技术服务业</w:t>
            </w:r>
            <w:r>
              <w:rPr>
                <w:rFonts w:hint="eastAsia" w:ascii="宋体" w:hAnsi="宋体" w:eastAsia="宋体" w:cs="宋体"/>
                <w:sz w:val="21"/>
                <w:szCs w:val="24"/>
                <w:lang w:val="en-US" w:eastAsia="zh-CN" w:bidi="ar-SA"/>
              </w:rPr>
            </w:r>
            <w:r/>
          </w:p>
        </w:tc>
        <w:tc>
          <w:tcPr>
            <w:tcW w:w="4025" w:type="dxa"/>
            <w:vAlign w:val="center"/>
            <w:textDirection w:val="lrTb"/>
            <w:noWrap w:val="false"/>
          </w:tcPr>
          <w:p>
            <w:pPr>
              <w:pStyle w:val="999"/>
              <w:numPr>
                <w:ilvl w:val="0"/>
                <w:numId w:val="0"/>
              </w:numPr>
              <w:ind w:left="0" w:firstLine="0"/>
              <w:jc w:val="center"/>
              <w:spacing w:line="360" w:lineRule="auto"/>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452"/>
        </w:trPr>
        <w:tc>
          <w:tcPr>
            <w:gridSpan w:val="7"/>
            <w:tcW w:w="13524" w:type="dxa"/>
            <w:vAlign w:val="center"/>
            <w:textDirection w:val="lrTb"/>
            <w:noWrap w:val="false"/>
          </w:tcPr>
          <w:p>
            <w:pPr>
              <w:pStyle w:val="999"/>
              <w:jc w:val="left"/>
              <w:spacing w:line="240" w:lineRule="auto"/>
              <w:rPr>
                <w:rFonts w:ascii="宋体" w:hAnsi="宋体" w:eastAsia="宋体" w:cs="宋体"/>
                <w:sz w:val="21"/>
                <w:szCs w:val="24"/>
                <w:lang w:val="en-US" w:eastAsia="zh-CN"/>
              </w:rPr>
            </w:pPr>
            <w:r>
              <w:rPr>
                <w:rFonts w:hint="eastAsia" w:ascii="黑体" w:hAnsi="黑体" w:eastAsia="黑体" w:cs="黑体"/>
                <w:b w:val="0"/>
                <w:bCs w:val="0"/>
                <w:sz w:val="22"/>
                <w:szCs w:val="28"/>
                <w:lang w:val="en-US" w:eastAsia="zh-CN" w:bidi="ar-SA"/>
              </w:rPr>
              <w:t xml:space="preserve">货物部分</w:t>
            </w:r>
            <w:r>
              <w:rPr>
                <w:rFonts w:ascii="宋体" w:hAnsi="宋体" w:eastAsia="宋体" w:cs="宋体"/>
                <w:sz w:val="21"/>
                <w:szCs w:val="24"/>
                <w:lang w:val="en-US" w:eastAsia="zh-CN"/>
              </w:rPr>
            </w:r>
            <w:r/>
          </w:p>
        </w:tc>
      </w:tr>
      <w:tr>
        <w:trPr>
          <w:trHeight w:val="415"/>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19</w:t>
            </w:r>
            <w:r>
              <w:rPr>
                <w:rFonts w:ascii="宋体" w:hAnsi="宋体" w:eastAsia="宋体" w:cs="宋体"/>
                <w:sz w:val="21"/>
                <w:szCs w:val="24"/>
                <w:lang w:val="en-US" w:eastAsia="zh-CN"/>
              </w:rPr>
            </w:r>
            <w:r/>
          </w:p>
        </w:tc>
        <w:tc>
          <w:tcPr>
            <w:tcW w:w="1505" w:type="dxa"/>
            <w:vAlign w:val="center"/>
            <w:vMerge w:val="restart"/>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宋体" w:hAnsi="宋体" w:cs="宋体"/>
                <w:szCs w:val="24"/>
              </w:rPr>
              <w:t xml:space="preserve">硬件需求</w:t>
            </w: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主机设备</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套</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工业</w:t>
            </w:r>
            <w:r>
              <w:rPr>
                <w:rFonts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20</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安全设备</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套</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工业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r>
        <w:trPr/>
        <w:tc>
          <w:tcPr>
            <w:tcW w:w="904" w:type="dxa"/>
            <w:vAlign w:val="center"/>
            <w:textDirection w:val="lrTb"/>
            <w:noWrap w:val="false"/>
          </w:tcPr>
          <w:p>
            <w:pPr>
              <w:pStyle w:val="999"/>
              <w:numPr>
                <w:ilvl w:val="0"/>
                <w:numId w:val="0"/>
              </w:numPr>
              <w:jc w:val="center"/>
              <w:spacing w:line="360" w:lineRule="auto"/>
              <w:rPr>
                <w:rFonts w:ascii="宋体" w:hAnsi="宋体" w:eastAsia="宋体" w:cs="宋体"/>
                <w:sz w:val="21"/>
                <w:szCs w:val="24"/>
                <w:lang w:val="en-US" w:eastAsia="zh-CN"/>
              </w:rPr>
            </w:pPr>
            <w:r>
              <w:rPr>
                <w:rFonts w:hint="eastAsia" w:ascii="宋体" w:hAnsi="宋体" w:eastAsia="宋体" w:cs="宋体"/>
                <w:sz w:val="21"/>
                <w:szCs w:val="24"/>
                <w:lang w:val="en-US" w:eastAsia="zh-CN"/>
              </w:rPr>
              <w:t xml:space="preserve">21</w:t>
            </w:r>
            <w:r>
              <w:rPr>
                <w:rFonts w:ascii="宋体" w:hAnsi="宋体" w:eastAsia="宋体" w:cs="宋体"/>
                <w:sz w:val="21"/>
                <w:szCs w:val="24"/>
                <w:lang w:val="en-US" w:eastAsia="zh-CN"/>
              </w:rPr>
            </w:r>
            <w:r/>
          </w:p>
        </w:tc>
        <w:tc>
          <w:tcPr>
            <w:tcW w:w="1505" w:type="dxa"/>
            <w:vAlign w:val="center"/>
            <w:vMerge w:val="continue"/>
            <w:textDirection w:val="lrTb"/>
            <w:noWrap w:val="false"/>
          </w:tcPr>
          <w:p>
            <w:pPr>
              <w:pStyle w:val="999"/>
              <w:numPr>
                <w:ilvl w:val="0"/>
                <w:numId w:val="0"/>
              </w:numPr>
              <w:jc w:val="center"/>
              <w:spacing w:line="360" w:lineRule="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r>
            <w:r/>
          </w:p>
        </w:tc>
        <w:tc>
          <w:tcPr>
            <w:tcW w:w="3230"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其他设备</w:t>
            </w:r>
            <w:r>
              <w:rPr>
                <w:rFonts w:hint="eastAsia" w:ascii="宋体" w:hAnsi="宋体" w:eastAsia="宋体" w:cs="宋体"/>
                <w:sz w:val="21"/>
                <w:szCs w:val="24"/>
                <w:lang w:val="en-US" w:eastAsia="zh-CN"/>
              </w:rPr>
            </w:r>
            <w:r/>
          </w:p>
        </w:tc>
        <w:tc>
          <w:tcPr>
            <w:tcW w:w="796"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1</w:t>
            </w:r>
            <w:r>
              <w:rPr>
                <w:rFonts w:hint="eastAsia" w:ascii="宋体" w:hAnsi="宋体" w:eastAsia="宋体" w:cs="宋体"/>
                <w:sz w:val="21"/>
                <w:szCs w:val="24"/>
                <w:lang w:val="en-US" w:eastAsia="zh-CN"/>
              </w:rPr>
            </w:r>
            <w:r/>
          </w:p>
        </w:tc>
        <w:tc>
          <w:tcPr>
            <w:tcW w:w="719"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rPr>
              <w:t xml:space="preserve">套</w:t>
            </w:r>
            <w:r>
              <w:rPr>
                <w:rFonts w:hint="eastAsia" w:ascii="宋体" w:hAnsi="宋体" w:eastAsia="宋体" w:cs="宋体"/>
                <w:sz w:val="21"/>
                <w:szCs w:val="24"/>
                <w:lang w:val="en-US" w:eastAsia="zh-CN"/>
              </w:rPr>
            </w:r>
            <w:r/>
          </w:p>
        </w:tc>
        <w:tc>
          <w:tcPr>
            <w:tcW w:w="234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工业</w:t>
            </w:r>
            <w:r>
              <w:rPr>
                <w:rFonts w:hint="eastAsia" w:ascii="宋体" w:hAnsi="宋体" w:eastAsia="宋体" w:cs="宋体"/>
                <w:sz w:val="21"/>
                <w:szCs w:val="24"/>
                <w:lang w:val="en-US" w:eastAsia="zh-CN"/>
              </w:rPr>
            </w:r>
            <w:r/>
          </w:p>
        </w:tc>
        <w:tc>
          <w:tcPr>
            <w:tcW w:w="4025" w:type="dxa"/>
            <w:vAlign w:val="center"/>
            <w:textDirection w:val="lrTb"/>
            <w:noWrap w:val="false"/>
          </w:tcPr>
          <w:p>
            <w:pPr>
              <w:pStyle w:val="999"/>
              <w:numPr>
                <w:ilvl w:val="0"/>
                <w:numId w:val="0"/>
              </w:numPr>
              <w:jc w:val="center"/>
              <w:spacing w:line="360" w:lineRule="auto"/>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r>
            <w:r/>
          </w:p>
        </w:tc>
      </w:tr>
    </w:tbl>
    <w:p>
      <w:pPr>
        <w:pStyle w:val="1026"/>
        <w:rPr>
          <w:rFonts w:eastAsia="宋体"/>
          <w:sz w:val="24"/>
          <w:szCs w:val="28"/>
          <w:lang w:val="en-US" w:eastAsia="zh-CN"/>
        </w:rPr>
      </w:pPr>
      <w:r>
        <w:rPr>
          <w:rFonts w:hint="eastAsia" w:eastAsia="宋体" w:cs="Times New Roman"/>
          <w:sz w:val="24"/>
          <w:szCs w:val="28"/>
          <w:lang w:val="en-US" w:eastAsia="zh-CN"/>
        </w:rPr>
        <w:t xml:space="preserve">注：本</w:t>
      </w:r>
      <w:r>
        <w:rPr>
          <w:rFonts w:hint="eastAsia"/>
          <w:sz w:val="24"/>
          <w:szCs w:val="28"/>
          <w:lang w:val="en-US" w:eastAsia="zh-CN"/>
        </w:rPr>
        <w:t xml:space="preserve">表中备注“可分包”的，投标人可以按要求进行分包，未备注的“可分包”的，不可进行分包。</w:t>
      </w:r>
      <w:r>
        <w:rPr>
          <w:rFonts w:eastAsia="宋体"/>
          <w:sz w:val="24"/>
          <w:szCs w:val="28"/>
          <w:lang w:val="en-US" w:eastAsia="zh-CN"/>
        </w:rPr>
      </w:r>
      <w:r/>
    </w:p>
    <w:p>
      <w:pPr>
        <w:pStyle w:val="999"/>
        <w:numPr>
          <w:ilvl w:val="0"/>
          <w:numId w:val="0"/>
        </w:numPr>
        <w:spacing w:line="240" w:lineRule="auto"/>
        <w:rPr>
          <w:rFonts w:ascii="黑体" w:hAnsi="黑体" w:eastAsia="黑体" w:cs="黑体"/>
          <w:sz w:val="13"/>
          <w:szCs w:val="13"/>
          <w:lang w:val="en-US" w:eastAsia="zh-CN"/>
        </w:rPr>
      </w:pPr>
      <w:r>
        <w:rPr>
          <w:rFonts w:ascii="黑体" w:hAnsi="黑体" w:eastAsia="黑体" w:cs="黑体"/>
          <w:sz w:val="13"/>
          <w:szCs w:val="13"/>
          <w:lang w:val="en-US" w:eastAsia="zh-CN"/>
        </w:rPr>
      </w:r>
      <w:r/>
    </w:p>
    <w:p>
      <w:pPr>
        <w:pStyle w:val="999"/>
        <w:numPr>
          <w:ilvl w:val="0"/>
          <w:numId w:val="0"/>
        </w:numPr>
        <w:spacing w:line="360" w:lineRule="auto"/>
        <w:rPr>
          <w:rFonts w:ascii="黑体" w:hAnsi="黑体" w:eastAsia="黑体" w:cs="黑体"/>
          <w:sz w:val="24"/>
          <w:szCs w:val="24"/>
          <w:lang w:val="en-US" w:eastAsia="zh-CN"/>
        </w:rPr>
      </w:pPr>
      <w:r>
        <w:rPr>
          <w:rFonts w:hint="eastAsia" w:ascii="黑体" w:hAnsi="黑体" w:eastAsia="黑体" w:cs="黑体"/>
          <w:sz w:val="24"/>
          <w:szCs w:val="24"/>
          <w:lang w:val="en-US" w:eastAsia="zh-CN"/>
        </w:rPr>
        <w:t xml:space="preserve">（二）具体功能需求</w:t>
      </w:r>
      <w:r>
        <w:rPr>
          <w:rFonts w:ascii="黑体" w:hAnsi="黑体" w:eastAsia="黑体" w:cs="黑体"/>
          <w:sz w:val="24"/>
          <w:szCs w:val="24"/>
          <w:lang w:val="en-US" w:eastAsia="zh-CN"/>
        </w:rPr>
      </w:r>
      <w:r/>
    </w:p>
    <w:tbl>
      <w:tblPr>
        <w:tblW w:w="4702" w:type="pct"/>
        <w:tblInd w:w="-108" w:type="dxa"/>
        <w:tblLayout w:type="fixed"/>
        <w:tblCellMar>
          <w:left w:w="108" w:type="dxa"/>
          <w:top w:w="0" w:type="dxa"/>
          <w:right w:w="108" w:type="dxa"/>
          <w:bottom w:w="0" w:type="dxa"/>
        </w:tblCellMar>
        <w:tblLook w:val="04A0" w:firstRow="1" w:lastRow="0" w:firstColumn="1" w:lastColumn="0" w:noHBand="0" w:noVBand="1"/>
      </w:tblPr>
      <w:tblGrid>
        <w:gridCol w:w="923"/>
        <w:gridCol w:w="1239"/>
        <w:gridCol w:w="2937"/>
        <w:gridCol w:w="6262"/>
        <w:gridCol w:w="1020"/>
        <w:gridCol w:w="949"/>
      </w:tblGrid>
      <w:tr>
        <w:trPr>
          <w:trHeight w:val="387"/>
        </w:trPr>
        <w:tc>
          <w:tcPr>
            <w:tcBorders>
              <w:top w:val="single" w:color="000000" w:sz="8"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黑体" w:hAnsi="黑体" w:eastAsia="黑体" w:cs="黑体"/>
                <w:b w:val="0"/>
                <w:bCs w:val="0"/>
                <w:sz w:val="22"/>
                <w:szCs w:val="28"/>
              </w:rPr>
            </w:pPr>
            <w:r>
              <w:rPr>
                <w:rFonts w:hint="eastAsia" w:ascii="黑体" w:hAnsi="黑体" w:eastAsia="黑体" w:cs="黑体"/>
                <w:b w:val="0"/>
                <w:bCs w:val="0"/>
                <w:sz w:val="22"/>
                <w:szCs w:val="28"/>
              </w:rPr>
              <w:t xml:space="preserve">序号</w:t>
            </w:r>
            <w:r>
              <w:rPr>
                <w:rFonts w:hint="eastAsia" w:ascii="黑体" w:hAnsi="黑体" w:eastAsia="黑体" w:cs="黑体"/>
                <w:b w:val="0"/>
                <w:bCs w:val="0"/>
                <w:sz w:val="22"/>
                <w:szCs w:val="28"/>
              </w:rPr>
            </w:r>
            <w:r/>
          </w:p>
        </w:tc>
        <w:tc>
          <w:tcPr>
            <w:tcBorders>
              <w:top w:val="single" w:color="000000" w:sz="8" w:space="0"/>
              <w:left w:val="none" w:color="000000" w:sz="4" w:space="0"/>
              <w:bottom w:val="none" w:color="000000" w:sz="4" w:space="0"/>
              <w:right w:val="none" w:color="000000" w:sz="4" w:space="0"/>
            </w:tcBorders>
            <w:tcW w:w="464" w:type="dxa"/>
            <w:vAlign w:val="center"/>
            <w:textDirection w:val="lrTb"/>
            <w:noWrap/>
          </w:tcPr>
          <w:p>
            <w:pPr>
              <w:pStyle w:val="999"/>
              <w:jc w:val="center"/>
              <w:spacing w:line="240" w:lineRule="auto"/>
              <w:rPr>
                <w:rFonts w:hint="eastAsia" w:ascii="黑体" w:hAnsi="黑体" w:eastAsia="黑体" w:cs="黑体"/>
                <w:b w:val="0"/>
                <w:bCs w:val="0"/>
                <w:sz w:val="22"/>
                <w:szCs w:val="28"/>
              </w:rPr>
            </w:pPr>
            <w:r>
              <w:rPr>
                <w:rFonts w:hint="eastAsia" w:ascii="黑体" w:hAnsi="黑体" w:eastAsia="黑体" w:cs="黑体"/>
                <w:b w:val="0"/>
                <w:bCs w:val="0"/>
                <w:sz w:val="22"/>
                <w:szCs w:val="28"/>
              </w:rPr>
              <w:t xml:space="preserve">类别</w:t>
            </w:r>
            <w:r>
              <w:rPr>
                <w:rFonts w:hint="eastAsia" w:ascii="黑体" w:hAnsi="黑体" w:eastAsia="黑体" w:cs="黑体"/>
                <w:b w:val="0"/>
                <w:bCs w:val="0"/>
                <w:sz w:val="22"/>
                <w:szCs w:val="28"/>
              </w:rPr>
            </w:r>
            <w:r/>
          </w:p>
        </w:tc>
        <w:tc>
          <w:tcPr>
            <w:tcBorders>
              <w:top w:val="single" w:color="000000" w:sz="8" w:space="0"/>
              <w:left w:val="single" w:color="000000" w:sz="8"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黑体" w:hAnsi="黑体" w:eastAsia="黑体" w:cs="黑体"/>
                <w:b w:val="0"/>
                <w:bCs w:val="0"/>
                <w:sz w:val="22"/>
                <w:szCs w:val="28"/>
              </w:rPr>
            </w:pPr>
            <w:r>
              <w:rPr>
                <w:rFonts w:hint="eastAsia" w:ascii="黑体" w:hAnsi="黑体" w:eastAsia="黑体" w:cs="黑体"/>
                <w:b w:val="0"/>
                <w:bCs w:val="0"/>
                <w:sz w:val="22"/>
                <w:szCs w:val="28"/>
                <w:highlight w:val="none"/>
              </w:rPr>
              <w:t xml:space="preserve">标的名称</w:t>
            </w:r>
            <w:r>
              <w:rPr>
                <w:rFonts w:hint="eastAsia" w:ascii="黑体" w:hAnsi="黑体" w:eastAsia="黑体" w:cs="黑体"/>
                <w:b w:val="0"/>
                <w:bCs w:val="0"/>
                <w:sz w:val="22"/>
                <w:szCs w:val="28"/>
              </w:rPr>
            </w:r>
            <w:r/>
          </w:p>
        </w:tc>
        <w:tc>
          <w:tcPr>
            <w:tcBorders>
              <w:top w:val="single" w:color="000000" w:sz="8" w:space="0"/>
              <w:left w:val="none" w:color="000000" w:sz="4" w:space="0"/>
              <w:bottom w:val="single" w:color="000000" w:sz="8" w:space="0"/>
              <w:right w:val="single" w:color="000000" w:sz="8" w:space="0"/>
            </w:tcBorders>
            <w:tcW w:w="2348" w:type="dxa"/>
            <w:vAlign w:val="center"/>
            <w:textDirection w:val="lrTb"/>
            <w:noWrap/>
          </w:tcPr>
          <w:p>
            <w:pPr>
              <w:pStyle w:val="999"/>
              <w:jc w:val="center"/>
              <w:spacing w:line="240" w:lineRule="auto"/>
              <w:rPr>
                <w:rFonts w:hint="eastAsia" w:ascii="黑体" w:hAnsi="黑体" w:eastAsia="黑体" w:cs="黑体"/>
                <w:b w:val="0"/>
                <w:bCs w:val="0"/>
                <w:sz w:val="22"/>
                <w:szCs w:val="28"/>
              </w:rPr>
            </w:pPr>
            <w:r>
              <w:rPr>
                <w:rFonts w:hint="eastAsia" w:ascii="黑体" w:hAnsi="黑体" w:eastAsia="黑体" w:cs="黑体"/>
                <w:b w:val="0"/>
                <w:bCs w:val="0"/>
                <w:sz w:val="22"/>
                <w:szCs w:val="28"/>
                <w:lang w:val="en-US" w:eastAsia="zh-CN"/>
              </w:rPr>
              <w:t xml:space="preserve">需求</w:t>
            </w:r>
            <w:r>
              <w:rPr>
                <w:rFonts w:hint="eastAsia" w:ascii="黑体" w:hAnsi="黑体" w:eastAsia="黑体" w:cs="黑体"/>
                <w:b w:val="0"/>
                <w:bCs w:val="0"/>
                <w:sz w:val="22"/>
                <w:szCs w:val="28"/>
              </w:rPr>
              <w:t xml:space="preserve">子项</w:t>
            </w:r>
            <w:r>
              <w:rPr>
                <w:rFonts w:hint="eastAsia" w:ascii="黑体" w:hAnsi="黑体" w:eastAsia="黑体" w:cs="黑体"/>
                <w:b w:val="0"/>
                <w:bCs w:val="0"/>
                <w:sz w:val="22"/>
                <w:szCs w:val="28"/>
              </w:rPr>
            </w:r>
            <w:r/>
          </w:p>
        </w:tc>
        <w:tc>
          <w:tcPr>
            <w:tcBorders>
              <w:top w:val="single" w:color="000000" w:sz="8"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黑体" w:hAnsi="黑体" w:eastAsia="黑体" w:cs="黑体"/>
                <w:b w:val="0"/>
                <w:bCs w:val="0"/>
                <w:sz w:val="22"/>
                <w:szCs w:val="28"/>
              </w:rPr>
            </w:pPr>
            <w:r>
              <w:rPr>
                <w:rFonts w:hint="eastAsia" w:ascii="黑体" w:hAnsi="黑体" w:eastAsia="黑体" w:cs="黑体"/>
                <w:b w:val="0"/>
                <w:bCs w:val="0"/>
                <w:sz w:val="22"/>
                <w:szCs w:val="28"/>
              </w:rPr>
              <w:t xml:space="preserve">数量</w:t>
            </w:r>
            <w:r>
              <w:rPr>
                <w:rFonts w:hint="eastAsia" w:ascii="黑体" w:hAnsi="黑体" w:eastAsia="黑体" w:cs="黑体"/>
                <w:b w:val="0"/>
                <w:bCs w:val="0"/>
                <w:sz w:val="22"/>
                <w:szCs w:val="28"/>
              </w:rPr>
            </w:r>
            <w:r/>
          </w:p>
        </w:tc>
        <w:tc>
          <w:tcPr>
            <w:tcBorders>
              <w:top w:val="singl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黑体" w:hAnsi="黑体" w:eastAsia="黑体" w:cs="黑体"/>
                <w:b w:val="0"/>
                <w:bCs w:val="0"/>
                <w:sz w:val="22"/>
                <w:szCs w:val="28"/>
              </w:rPr>
            </w:pPr>
            <w:r>
              <w:rPr>
                <w:rFonts w:hint="eastAsia" w:ascii="黑体" w:hAnsi="黑体" w:eastAsia="黑体" w:cs="黑体"/>
                <w:b w:val="0"/>
                <w:bCs w:val="0"/>
                <w:sz w:val="22"/>
                <w:szCs w:val="28"/>
              </w:rPr>
              <w:t xml:space="preserve">单位</w:t>
            </w:r>
            <w:r>
              <w:rPr>
                <w:rFonts w:hint="eastAsia" w:ascii="黑体" w:hAnsi="黑体" w:eastAsia="黑体" w:cs="黑体"/>
                <w:b w:val="0"/>
                <w:bCs w:val="0"/>
                <w:sz w:val="22"/>
                <w:szCs w:val="28"/>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业务中枢</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实时监测</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城市治理视频事件“秒感知”-视频联网共享扩容</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lang w:eastAsia="zh-CN"/>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lang w:eastAsia="zh-CN"/>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城市治理视频事件“秒感知”-视频安全网关</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城市治理视频事件“秒感知”-视频汇聚</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城市运行视频事件“智解析”-智能任务管理调度子系统</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城市运行视频事件“智解析”-算法成效管理模块</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民意速办监测预警集成升级</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动态分析</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城市治理视频事件“快关联”-融合赋能</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城市治理视频事件“快关联”-视频标签-AI智能标签</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城市治理视频事件“快关联”-视频标签-标签人工微调工具</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城市治理视频事件“快关联”-视频标签-视频调阅</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11</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城市治理视频事件“快关联”-视频标签-图上检索POI融合接入功能</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12</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城市治理视频事件“快关联”-视频标签-标签治理共享赋能功能</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13</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城市治理视频事件“快关联”-视频标签-视频预案联动共享功能</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14</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城市治理视频事件“快关联”-AR实景地图应用</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15</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城市治理视频事件“快关联”-城市之眼快查应用-快查应用配置</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16</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城市治理视频事件“快关联”-城市之眼快查应用-AI中台能力调用</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17</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城市治理视频事件“快关联”-城市之眼快查应用-快查应用</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2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18</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社情民意速告警“智研判”-专题监测告警</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2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19</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社情民意速告警“智研判”-事件智能智管</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2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20</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社情民意速告警“智研判”-专区订阅</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2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21</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社情民意速告警“智研判”-网情对接</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22</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民意速办专题监测集成升级</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23</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指挥调度</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紧急事件跨域联动“慧调度”-可视化指挥一张图-全域感知</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24</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紧急事件跨域联动“慧调度”-可视化指挥一张图-事件动态</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25</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紧急事件跨域联动“慧调度”-可视化指挥一张图-联合指挥</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26</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紧急事件跨域联动“慧调度”-资源调度-资源管理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27</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紧急事件跨域联动“慧调度”-资源调度-预案管理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28</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紧急事件跨域联动“慧调度”-资源调度-资源关联与赋能</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29</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紧急事件跨域联动“慧调度”-资源调度-系统管理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30</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紧急事件跨域联动“慧调度”-第三方系统对接</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31</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紧急事件跨域联动“慧调度”-三维应用工作站服务</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32</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民生诉求回访/评价办结集成升级</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33</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综合评价</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城市治理处置事件“高效评”-绩效指标管理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34</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城市治理处置事件“高效评”-评估模型建立</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35</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城市治理处置事件“高效评”-数据分析功能</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36</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城市治理处置事件“高效评”-报告生成功能</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37</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城市治理处置事件“高效评”-展示功能</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38</w:t>
            </w:r>
            <w:r>
              <w:rPr>
                <w:rFonts w:hint="eastAsia" w:ascii="宋体" w:hAnsi="宋体" w:eastAsia="宋体" w:cs="宋体"/>
                <w:sz w:val="21"/>
                <w:szCs w:val="24"/>
              </w:rPr>
            </w:r>
            <w:r/>
          </w:p>
        </w:tc>
        <w:tc>
          <w:tcPr>
            <w:tcBorders>
              <w:top w:val="single" w:color="000000" w:sz="8"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城市治理处置事件“高效评”-市民诉求“统一治理”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39</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智能中枢</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restart"/>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能力中台</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能力中台(通用类)-统一身份认证-用户中心</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40</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能力中台(通用类)-统一身份认证-应用中心</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41</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能力中台(通用类)-统一身份认证-认证中心</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42</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能力中台(通用类)-统一身份认证-服务中心</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43</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能力中台(通用类)-统一身份认证-消息中心</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44</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能力中台(通用类)-统一身份认证-系统管理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45</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能力中台(通用类)-统一身份认证-审计管理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46</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能力中台(通用类)-OCR组件</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47</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能力中台(通用类)-云勘验-“云勘验”管理系统-信息管理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48</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能力中台(通用类)-云勘验-“云勘验”管理系统-勘验任务</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49</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能力中台(通用类)-云勘验-“云勘验”管理系统-统计分析</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50</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能力中台(通用类)-云勘验-“云勘验”管理系统-系统对接</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51</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能力中台(通用类)-云勘验-智慧勘验移动端应用-云勘验专区</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52</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能力中台(通用类)-云勘验-智慧勘验移动端应用-渠道开发</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53</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能力中台(通用类)-云勘验-智慧勘验移动端应用-勘验流程管理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54</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能力中台(通用类)-云勘验-智慧勘验移动端应用-勘验记录</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55</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能力中台(通用类)-云勘验-智慧勘验移动端应用-操作指南</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56</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能力中台(通用类)-云勘验-智慧勘验移动端应用-远程指导功能</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57</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能力中台(通用类)-云勘验-智慧勘验移动端应用-系统对接</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58</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能力运营平台-应用接入</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59</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能力运营平台-模型接入-PC端服务</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60</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能力运营平台-模型接入-移动端服务</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61</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能力运营平台-模型接入-管理系统</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62</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AI底座平台-智能体编排工具-AI原生应用开发</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63</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AI底座平台-智能体编排工具-组织空间管理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64</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AI底座平台-智能体编排工具-应用广场</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65</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AI底座平台-智能体编排工具-组件广场</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66</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AI底座平台-智能体编排工具-模型接入</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67</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AI底座平台-智能体编排工具-导入管理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68</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AI底座平台-智能体编排工具-权限管理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69</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AI底座平台-智能体编排工具-密钥管理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70</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AI底座平台-智能体编排工具-内置组件列表</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71</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restart"/>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城运数据仓</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数据资源管理模块</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72</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涉人主题库</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73</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涉企主题库</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74</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城市事件库</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75</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事件知识库</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76</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视频资源库</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77</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业务库</w:t>
            </w: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78</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数据标注服务</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6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79</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b/>
                <w:bCs/>
                <w:sz w:val="21"/>
                <w:szCs w:val="24"/>
                <w:lang w:eastAsia="zh-CN"/>
              </w:rPr>
            </w:pPr>
            <w:r>
              <w:rPr>
                <w:rFonts w:hint="eastAsia" w:ascii="宋体" w:hAnsi="宋体" w:eastAsia="宋体" w:cs="宋体"/>
                <w:sz w:val="21"/>
                <w:szCs w:val="24"/>
                <w:lang w:eastAsia="zh-CN"/>
              </w:rPr>
              <w:t xml:space="preserve">智能算力资源租赁服务</w:t>
            </w:r>
            <w:r>
              <w:rPr>
                <w:rFonts w:hint="eastAsia" w:ascii="宋体" w:hAnsi="宋体" w:eastAsia="宋体" w:cs="宋体"/>
                <w:b/>
                <w:bCs/>
                <w:sz w:val="21"/>
                <w:szCs w:val="24"/>
                <w:lang w:eastAsia="zh-CN"/>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80</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restart"/>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行业应用</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税收征管保障</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税费协同共治应用-数据管理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81</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税费协同共治应用-任务管理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82</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税费协同共治应用-任务监管</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83</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税费协同共治应用-绩效管理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84</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税费协同共治应用-系统设置</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85</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税费协同共治应用-数据处理</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86</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财税银系统-数据采集</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87</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财税银系统-导入数据监控</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85"/>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88</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财税银系统-数据比对</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89</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财税银系统-数据清洗</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90</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财税银系统-数据下发</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91</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财税银系统-数据收发监控</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92</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财税银系统-用户权限改造</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93</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财税银系统-前置机通讯应用改造</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94</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财税银系统-数据安全控制</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95</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基础能力需求</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站点证书服务</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96</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b/>
                <w:bCs/>
                <w:sz w:val="21"/>
                <w:szCs w:val="24"/>
              </w:rPr>
            </w:pPr>
            <w:r>
              <w:rPr>
                <w:rFonts w:hint="eastAsia" w:ascii="宋体" w:hAnsi="宋体" w:eastAsia="宋体" w:cs="宋体"/>
                <w:sz w:val="21"/>
                <w:szCs w:val="24"/>
              </w:rPr>
              <w:t xml:space="preserve">签名工具</w:t>
            </w:r>
            <w:r>
              <w:rPr>
                <w:rFonts w:hint="eastAsia" w:ascii="宋体" w:hAnsi="宋体" w:eastAsia="宋体" w:cs="宋体"/>
                <w:b/>
                <w:bCs/>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97</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CA国密证书</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5</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98</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中间件</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通讯中间件</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6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99</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一期子系统信创适配</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lang w:val="en-US" w:eastAsia="zh-CN"/>
              </w:rPr>
              <w:t xml:space="preserve">项</w:t>
            </w:r>
            <w:r>
              <w:rPr>
                <w:rFonts w:hint="eastAsia" w:ascii="宋体" w:hAnsi="宋体" w:eastAsia="宋体" w:cs="宋体"/>
                <w:sz w:val="21"/>
                <w:szCs w:val="24"/>
              </w:rPr>
            </w:r>
            <w:r/>
          </w:p>
        </w:tc>
      </w:tr>
      <w:tr>
        <w:trPr>
          <w:trHeight w:val="6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100</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lang w:eastAsia="zh-CN"/>
              </w:rPr>
            </w:pPr>
            <w:r>
              <w:rPr>
                <w:rFonts w:hint="eastAsia" w:ascii="宋体" w:hAnsi="宋体" w:eastAsia="宋体" w:cs="宋体"/>
                <w:sz w:val="21"/>
                <w:szCs w:val="24"/>
                <w:lang w:val="en-US" w:eastAsia="zh-CN"/>
              </w:rPr>
              <w:t xml:space="preserve">原有</w:t>
            </w:r>
            <w:r>
              <w:rPr>
                <w:rFonts w:hint="eastAsia" w:ascii="宋体" w:hAnsi="宋体" w:eastAsia="宋体" w:cs="宋体"/>
                <w:sz w:val="21"/>
                <w:szCs w:val="24"/>
                <w:lang w:eastAsia="zh-CN"/>
              </w:rPr>
              <w:t xml:space="preserve">视频会议平台管理授权</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100</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6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101</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lang w:eastAsia="zh-CN"/>
              </w:rPr>
            </w:pPr>
            <w:r>
              <w:rPr>
                <w:rFonts w:hint="eastAsia" w:ascii="宋体" w:hAnsi="宋体" w:eastAsia="宋体" w:cs="宋体"/>
                <w:sz w:val="21"/>
                <w:szCs w:val="24"/>
                <w:lang w:val="en-US" w:eastAsia="zh-CN"/>
              </w:rPr>
              <w:t xml:space="preserve">原有</w:t>
            </w:r>
            <w:r>
              <w:rPr>
                <w:rFonts w:hint="eastAsia" w:ascii="宋体" w:hAnsi="宋体" w:eastAsia="宋体" w:cs="宋体"/>
                <w:sz w:val="21"/>
                <w:szCs w:val="24"/>
                <w:lang w:eastAsia="zh-CN"/>
              </w:rPr>
              <w:t xml:space="preserve">视频会议平台并发授权</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77</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6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102</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可视化控制系统点位授权</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103</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硬件需求</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主机设备</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视频解析服务器</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台</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104</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算力服务器</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台</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105</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安全设备</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安全管控网关一体机</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台</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106</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restart"/>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其他设备</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电视墙服务器</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台</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107</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电视墙数据处理器</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台</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108</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视频会议终端</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109</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4K输入节点</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6</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个</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110</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4K输出节点</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2</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个</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111</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1101"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无线手持话筒（一拖二）</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个</w:t>
            </w:r>
            <w:r>
              <w:rPr>
                <w:rFonts w:hint="eastAsia" w:ascii="宋体" w:hAnsi="宋体" w:eastAsia="宋体" w:cs="宋体"/>
                <w:sz w:val="21"/>
                <w:szCs w:val="24"/>
              </w:rPr>
            </w:r>
            <w:r/>
          </w:p>
        </w:tc>
      </w:tr>
      <w:tr>
        <w:trPr>
          <w:trHeight w:val="3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112</w:t>
            </w:r>
            <w:r>
              <w:rPr>
                <w:rFonts w:hint="eastAsia" w:ascii="宋体" w:hAnsi="宋体" w:eastAsia="宋体" w:cs="宋体"/>
                <w:sz w:val="21"/>
                <w:szCs w:val="24"/>
              </w:rPr>
            </w:r>
            <w:r/>
          </w:p>
        </w:tc>
        <w:tc>
          <w:tcPr>
            <w:tcBorders>
              <w:top w:val="none" w:color="000000" w:sz="4" w:space="0"/>
              <w:left w:val="single" w:color="000000" w:sz="8" w:space="0"/>
              <w:bottom w:val="single" w:color="000000" w:sz="8" w:space="0"/>
              <w:right w:val="single" w:color="000000" w:sz="8" w:space="0"/>
            </w:tcBorders>
            <w:tcW w:w="464" w:type="dxa"/>
            <w:vAlign w:val="center"/>
            <w:vMerge w:val="continue"/>
            <w:textDirection w:val="lrTb"/>
            <w:noWrap w:val="false"/>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综合布线</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指挥调度硬件综合布线</w:t>
            </w:r>
            <w:r>
              <w:rPr>
                <w:rFonts w:hint="eastAsia" w:ascii="宋体" w:hAnsi="宋体" w:eastAsia="宋体" w:cs="宋体"/>
                <w:sz w:val="21"/>
                <w:szCs w:val="24"/>
                <w:lang w:eastAsia="zh-CN"/>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8"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r>
        <w:trPr>
          <w:trHeight w:val="510"/>
        </w:trPr>
        <w:tc>
          <w:tcPr>
            <w:tcBorders>
              <w:top w:val="none" w:color="000000" w:sz="4" w:space="0"/>
              <w:left w:val="single" w:color="000000" w:sz="8" w:space="0"/>
              <w:bottom w:val="single" w:color="000000" w:sz="8" w:space="0"/>
              <w:right w:val="single" w:color="000000" w:sz="8" w:space="0"/>
            </w:tcBorders>
            <w:tcW w:w="346"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113</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464" w:type="dxa"/>
            <w:vAlign w:val="center"/>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集成需求</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1101" w:type="dxa"/>
            <w:vAlign w:val="center"/>
            <w:textDirection w:val="lrTb"/>
            <w:noWrap w:val="false"/>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8" w:space="0"/>
            </w:tcBorders>
            <w:tcW w:w="2348" w:type="dxa"/>
            <w:vAlign w:val="center"/>
            <w:textDirection w:val="lrTb"/>
            <w:noWrap/>
          </w:tcPr>
          <w:p>
            <w:pPr>
              <w:pStyle w:val="999"/>
              <w:spacing w:line="240" w:lineRule="auto"/>
              <w:rPr>
                <w:rFonts w:hint="eastAsia" w:ascii="宋体" w:hAnsi="宋体" w:eastAsia="宋体" w:cs="宋体"/>
                <w:sz w:val="21"/>
                <w:szCs w:val="24"/>
              </w:rPr>
            </w:pPr>
            <w:r>
              <w:rPr>
                <w:rFonts w:hint="eastAsia" w:ascii="宋体" w:hAnsi="宋体" w:eastAsia="宋体" w:cs="宋体"/>
                <w:sz w:val="21"/>
                <w:szCs w:val="24"/>
              </w:rPr>
              <w:t xml:space="preserve">/</w:t>
            </w:r>
            <w:r>
              <w:rPr>
                <w:rFonts w:hint="eastAsia" w:ascii="宋体" w:hAnsi="宋体" w:eastAsia="宋体" w:cs="宋体"/>
                <w:sz w:val="21"/>
                <w:szCs w:val="24"/>
              </w:rPr>
            </w:r>
            <w:r/>
          </w:p>
        </w:tc>
        <w:tc>
          <w:tcPr>
            <w:tcBorders>
              <w:top w:val="none" w:color="000000" w:sz="4" w:space="0"/>
              <w:left w:val="none" w:color="000000" w:sz="4" w:space="0"/>
              <w:bottom w:val="single" w:color="000000" w:sz="8" w:space="0"/>
              <w:right w:val="single" w:color="000000" w:sz="4" w:space="0"/>
            </w:tcBorders>
            <w:tcW w:w="382"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Borders>
              <w:top w:val="none" w:color="000000" w:sz="4" w:space="0"/>
              <w:left w:val="single" w:color="000000" w:sz="4" w:space="0"/>
              <w:bottom w:val="single" w:color="000000" w:sz="4" w:space="0"/>
              <w:right w:val="single" w:color="000000" w:sz="4" w:space="0"/>
            </w:tcBorders>
            <w:tcW w:w="355" w:type="dxa"/>
            <w:vAlign w:val="center"/>
            <w:textDirection w:val="lrTb"/>
            <w:noWrap/>
          </w:tcPr>
          <w:p>
            <w:pPr>
              <w:pStyle w:val="999"/>
              <w:jc w:val="center"/>
              <w:spacing w:line="240" w:lineRule="auto"/>
              <w:rPr>
                <w:rFonts w:hint="eastAsia" w:ascii="宋体" w:hAnsi="宋体" w:eastAsia="宋体" w:cs="宋体"/>
                <w:sz w:val="21"/>
                <w:szCs w:val="24"/>
              </w:rPr>
            </w:pPr>
            <w:r>
              <w:rPr>
                <w:rFonts w:hint="eastAsia" w:ascii="宋体" w:hAnsi="宋体" w:eastAsia="宋体" w:cs="宋体"/>
                <w:sz w:val="21"/>
                <w:szCs w:val="24"/>
              </w:rPr>
              <w:t xml:space="preserve">套</w:t>
            </w:r>
            <w:r>
              <w:rPr>
                <w:rFonts w:hint="eastAsia" w:ascii="宋体" w:hAnsi="宋体" w:eastAsia="宋体" w:cs="宋体"/>
                <w:sz w:val="21"/>
                <w:szCs w:val="24"/>
              </w:rPr>
            </w:r>
            <w:r/>
          </w:p>
        </w:tc>
      </w:tr>
    </w:tbl>
    <w:p>
      <w:pPr>
        <w:pStyle w:val="999"/>
        <w:ind w:firstLine="420"/>
        <w:keepLines w:val="0"/>
        <w:keepNext w:val="0"/>
        <w:pageBreakBefore w:val="0"/>
        <w:spacing w:line="300" w:lineRule="auto"/>
        <w:widowControl w:val="off"/>
        <w:rPr>
          <w:rFonts w:hint="eastAsia" w:ascii="宋体" w:hAnsi="宋体" w:eastAsia="宋体" w:cs="宋体"/>
          <w:sz w:val="21"/>
          <w:lang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宋体"/>
          <w:sz w:val="21"/>
          <w:lang w:eastAsia="zh-CN"/>
        </w:rPr>
      </w:r>
      <w:r/>
    </w:p>
    <w:p>
      <w:pPr>
        <w:pStyle w:val="999"/>
        <w:numPr>
          <w:ilvl w:val="0"/>
          <w:numId w:val="0"/>
        </w:numPr>
        <w:spacing w:line="360" w:lineRule="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四、建设内容要求</w:t>
      </w:r>
      <w:r>
        <w:rPr>
          <w:rFonts w:hint="eastAsia" w:ascii="黑体" w:hAnsi="黑体" w:eastAsia="黑体" w:cs="黑体"/>
          <w:sz w:val="28"/>
          <w:szCs w:val="28"/>
          <w:lang w:val="en-US"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w:t>
      </w:r>
      <w:r>
        <w:rPr>
          <w:rFonts w:hint="eastAsia" w:ascii="黑体" w:hAnsi="黑体" w:eastAsia="黑体" w:cs="黑体"/>
          <w:sz w:val="24"/>
          <w:szCs w:val="24"/>
          <w:lang w:val="en-US" w:eastAsia="zh-CN"/>
        </w:rPr>
        <w:t xml:space="preserve">一</w:t>
      </w:r>
      <w:r>
        <w:rPr>
          <w:rFonts w:hint="eastAsia" w:ascii="黑体" w:hAnsi="黑体" w:eastAsia="黑体" w:cs="黑体"/>
          <w:sz w:val="24"/>
          <w:szCs w:val="24"/>
          <w:lang w:eastAsia="zh-CN"/>
        </w:rPr>
        <w:t xml:space="preserve">）业务中枢需求</w:t>
      </w:r>
      <w:r>
        <w:rPr>
          <w:rFonts w:hint="eastAsia" w:ascii="黑体" w:hAnsi="黑体" w:eastAsia="黑体" w:cs="黑体"/>
          <w:sz w:val="24"/>
          <w:szCs w:val="24"/>
          <w:lang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1.实时监测</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1.1城市治理视频事件“秒感知”</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lang w:val="en-US" w:eastAsia="zh-CN"/>
        </w:rPr>
      </w:pPr>
      <w:r>
        <w:rPr>
          <w:rFonts w:hint="eastAsia" w:ascii="宋体" w:hAnsi="宋体" w:eastAsia="宋体" w:cs="宋体"/>
          <w:b/>
          <w:bCs/>
          <w:sz w:val="21"/>
          <w:szCs w:val="21"/>
          <w:lang w:val="en-US" w:eastAsia="zh-CN" w:bidi="ar-SA"/>
        </w:rPr>
        <w:t xml:space="preserve">1.1.1</w:t>
      </w:r>
      <w:r>
        <w:rPr>
          <w:rFonts w:hint="eastAsia" w:ascii="宋体" w:hAnsi="宋体" w:eastAsia="宋体" w:cs="宋体"/>
          <w:b/>
          <w:bCs/>
          <w:lang w:val="en-US" w:eastAsia="zh-CN"/>
        </w:rPr>
        <w:t xml:space="preserve">视频联网共享扩容</w:t>
      </w:r>
      <w:r>
        <w:rPr>
          <w:rFonts w:hint="eastAsia" w:ascii="宋体" w:hAnsi="宋体" w:eastAsia="宋体" w:cs="宋体"/>
          <w:b/>
          <w:bCs/>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提供视频共享管理功能，用于视频调阅权限配置、视频共享配置以及政务微信应用权限同步等。</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提供视频预览功能，用于在政务微信上有政务微信权限的用户调阅被授权或被分享的视频。</w:t>
      </w:r>
      <w:r>
        <w:rPr>
          <w:rFonts w:hint="eastAsia" w:ascii="宋体" w:hAnsi="宋体" w:eastAsia="宋体" w:cs="宋体"/>
          <w:lang w:val="en-US" w:eastAsia="zh-CN"/>
        </w:rPr>
      </w:r>
      <w:r/>
    </w:p>
    <w:p>
      <w:pPr>
        <w:pStyle w:val="999"/>
        <w:numPr>
          <w:ilvl w:val="4"/>
          <w:numId w:val="0"/>
        </w:numPr>
        <w:ind w:left="0" w:firstLine="42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1.1.2视频安全网关</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提供视频级联推送水印配置能力，用于对视频监控画面进行溯源追踪。</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提供视频共享可视化运维功能，用于对平台当前级联取流情况实时数据展示。</w:t>
      </w:r>
      <w:r>
        <w:rPr>
          <w:rFonts w:hint="eastAsia" w:ascii="宋体" w:hAnsi="宋体" w:eastAsia="宋体" w:cs="宋体"/>
          <w:lang w:val="en-US" w:eastAsia="zh-CN"/>
        </w:rPr>
      </w:r>
      <w:r/>
    </w:p>
    <w:p>
      <w:pPr>
        <w:pStyle w:val="999"/>
        <w:numPr>
          <w:ilvl w:val="4"/>
          <w:numId w:val="0"/>
        </w:numPr>
        <w:ind w:left="0" w:firstLine="42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1.1.3视频汇聚</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提供视频级联功能，用于城市之眼平台与公安雪亮平台联网级联路数扩容。</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1.2城市运行视频事件“智解析”</w:t>
      </w:r>
      <w:r>
        <w:rPr>
          <w:rFonts w:hint="eastAsia" w:ascii="黑体" w:hAnsi="黑体" w:eastAsia="黑体" w:cs="黑体"/>
          <w:sz w:val="24"/>
          <w:szCs w:val="24"/>
          <w:lang w:val="en-US" w:eastAsia="zh-CN"/>
        </w:rPr>
      </w:r>
      <w:r/>
    </w:p>
    <w:p>
      <w:pPr>
        <w:pStyle w:val="999"/>
        <w:numPr>
          <w:ilvl w:val="4"/>
          <w:numId w:val="0"/>
        </w:numPr>
        <w:ind w:left="0" w:firstLine="42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1.2.1智能任务管理调度子系统</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提供资源管理功能，用于对中心资源的运行监控，监控算法引擎状态、计算单元类型、加载算法、在线状态等运行情况。</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提供扩容任务调度功能，用于提升视频流、图片流智能解析能力。</w:t>
      </w:r>
      <w:r>
        <w:rPr>
          <w:rFonts w:hint="eastAsia" w:ascii="宋体" w:hAnsi="宋体" w:eastAsia="宋体" w:cs="宋体"/>
          <w:lang w:val="en-US" w:eastAsia="zh-CN"/>
        </w:rPr>
      </w:r>
      <w:r/>
    </w:p>
    <w:p>
      <w:pPr>
        <w:pStyle w:val="999"/>
        <w:numPr>
          <w:ilvl w:val="4"/>
          <w:numId w:val="0"/>
        </w:numPr>
        <w:ind w:left="0" w:firstLine="42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1.2.2算法成效管理模块</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提供策略元件管理功能，用于策略算法元件，策略函数元件，事件元件，动作执行元件等元件管理。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提供策略元件管理功能，用于查看策略任务详情、控制任务启停等，记录任务运行日志。</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提供自定义策略数量管理，用于策略编排中增加50路可运行的策略数量。</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提供策略回溯管理，用于系统内策略编排数量、有效事件统计输出策略成效展示。</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1.3民意速办监测预警集成升级</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提供民意速办监测预警集成功能，用于接入城市之眼智能发现事件、无人机发现事件、城市体征事件，并将预警信息推送至城市体征平台。</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2．动态分析</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2.1城市治理视频事件“快关联”</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2.1.1融合赋能</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提供重大活动保障功能，用于活动基本信息管理、路线规划、区域划分、点位关联及视频预案管理等。</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2.1.2视频标签</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2.1.2.1 AI智能标签</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提供AI智能标签功能，用于对视频点位进行周期性检测识别和标定，生成视频点位AI智能标签。</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2.1.2.2 标签人工微调工具</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提供标签人工微调工具功能，用于按照业务实际需要进行人工二次复核，实现AI标签结合使用场景、算法、规则内容的调整工作。</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2.1.2.3 视频调阅</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提供视频调阅功能，用于场景标签、文字标签和POI标签等信息，实现视频融合搜索调阅。</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2.1.2.4 图上检索POI融合接入功能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提供图上检索POI融合接入功能，用于对接POI标签数据，并与现在的地图体系、标签体系融合。</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2.1.2.5 标签治理共享赋能功能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提供标签治理共享赋能功能，用于上下级平台标签数据在平台上按统一标签管理体系进行管理，数据共享，互联互通。</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2.1.2.6 视频预案联动共享功能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提供视频预案联动共享功能，用于上下级视频预案互通，实现信息资源的共享和整合。</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2.1.3.AR实景地图应用</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提供AR应用场景，用于节假日景区、交通枢纽、商超等人流密集区域保障的大范围和多场景的实时监控和情况掌握。</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2.1.4城市之眼快查应用</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2.1.4.1 快查应用配置</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提供快查应用配置功能，用于快查应用使用中逻辑优化、提示词匹配、工作流调优和知识库训练。</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2.1.4.2 AI中台能力调用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提供AI中台能力调用功能，用于调用原有AI中台的组件和知识库能力，建设城市之眼智能搜索快查应用。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2.1.4.3 快查应用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提供快查应用功能，用于实现智能语义检索、智能语义布控、智能事件定位和智能事件定位四项核心应用。</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2.2社情民意速告警“智研判”</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2.2.1专题监测告警</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提供告警规则配置功能，用于根据应用场景自定义调整告警规则，提高告警契合度、准确度。</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提供周期性场景监测告警功能，用于结合周期性预警规则识别周期性事件。</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提供专题场景监测功能，用于识别专题场景，实时监测事件变化趋势，发现异常并告警。</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提供标签管理功能，用于区县、街道城运自定义个性标签以及与共性标签联动，助力无锡市城市运行“标签资产清单”构建。</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提供数据域管理功能，用于数据分级分类分域管理，赋能无锡市区县城运数据分析研判能力。</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2.2.2事件智能智管</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提供事件知识智管功能，用于构建事件画像以及事件图谱，通过关联分析辅助决策者快速定位问题核心。</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提供智能报告撰写功能，用于通过交互式问答的方式理解用户意图，智能分析快速生成报告内容。</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2.2.3专区订阅</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提供专区维度配置功能，用于通过构建用户订阅专区维度配置，允许用户根据既定需求选择关注的行业和领域，实现信息的精准分类与个性化推送。</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提供消息推送设置功能，用于用户自定义接收消息的时间、频率等，确保信息获取的及时性与个性化。</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提供推送消息管理功能，用于工作人员对订阅内容合规性审查，并对推送的行业专区的整体情况、热点信息等信息统一管理。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提供专区分析集成功能，用于整合分析专区数据，通过指标、图表等方式展示。</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2.2.4网情对接</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提供网情对接功能，用于与网情平台对接，将网情数据融入数据分析，深化数据分析应用。</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2.3民意速办专题监测集成升级</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提供民意速办专题监测集成升级功能，用于在原有各类专题分析研判基础上，通过接入城市之眼快查应用，集成升级信息排查和线索分析能力。</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3．指挥调度</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3.1紧急事件跨域联动“慧调度”</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3.1.1可视化指挥一张图</w:t>
      </w:r>
      <w:r>
        <w:rPr>
          <w:rFonts w:hint="eastAsia" w:ascii="宋体" w:hAnsi="宋体" w:eastAsia="宋体" w:cs="宋体"/>
          <w:b/>
          <w:bCs/>
          <w:sz w:val="21"/>
          <w:szCs w:val="21"/>
          <w:lang w:val="en-US" w:eastAsia="zh-CN" w:bidi="ar-SA"/>
        </w:rPr>
        <w:tab/>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3.1.1.1 全域感知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提供指挥体系、资源要素、事件定位、风险预警等功能，用于全方位呈现指挥体系运行全貌、保障紧急事态下联动响应效率。</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3.1.1.2 事件动态</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提供目标事件检索、相似事件关联、事件影响可视化及阶段态势可视化等功能，用于全面呈现事件全流程信息、为处置提供参考依据，助力精准掌握事件态势与分布情况。</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3.1.1.3 联合指挥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事件协同调度、协同事件处置跟踪、实战资源调用、多渠道会商、全程监督、调度消息提醒、统计督导、数字沙盘、总结等功能，用于实现跨部门联合指挥全流程管理，保障紧急事件与专项任务高效协同处置及决策优化。</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3.1.2资源调度</w:t>
      </w:r>
      <w:r>
        <w:rPr>
          <w:rFonts w:hint="eastAsia" w:ascii="宋体" w:hAnsi="宋体" w:eastAsia="宋体" w:cs="宋体"/>
          <w:b/>
          <w:bCs/>
          <w:sz w:val="21"/>
          <w:szCs w:val="21"/>
          <w:lang w:val="en-US" w:eastAsia="zh-CN" w:bidi="ar-SA"/>
        </w:rPr>
        <w:tab/>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3.1.2.1 资源管理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提供专题图层敏捷治理等功能，包括专题图层资源类别匹配、一年期专题资源统计分析服务，用于满足专题资源管理、分析呈现及业务适配需求。</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提供动态资源管理功能，实现三级城运相关组织、设备、数据等各类资源的汇集整合和动态管理。用于构建标准化指挥调度资源业务数据库，支撑可视化指挥调度各应用场景与协同调度工作。</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3.1.2.2 预案管理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提供预案配置、预案调用等功能。用于实现预案数字化管理及事件发生时快速联动处置。</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3.1.2.3 资源关联与赋能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提供资源关联、赋能支撑等功能，用于实现事件处置数字资源共享赋能及基层处置力量规范处置支撑。</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3.1.2.4 系统管理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提供用户对接、用户角色管理、用户角色权限管理、系统日志记录等功能，用于实现系统用户规范化管理、操作全程留痕及审计追溯。</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3.1.3.第三方系统对接</w:t>
      </w:r>
      <w:r>
        <w:rPr>
          <w:rFonts w:hint="eastAsia" w:ascii="宋体" w:hAnsi="宋体" w:eastAsia="宋体" w:cs="宋体"/>
          <w:b/>
          <w:bCs/>
          <w:sz w:val="21"/>
          <w:szCs w:val="21"/>
          <w:lang w:val="en-US" w:eastAsia="zh-CN" w:bidi="ar-SA"/>
        </w:rPr>
        <w:tab/>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城市之眼对接、无人机低空巡管共享服务平台对接、值班值守系统对接、城管运管服平台对接、网络舆情平台对接、融合通信底座对接、政务微信和短信对接、扩展融合通信能力等功能。用于整合多渠道视频、数据、通信资源，支撑可视化指挥调度各类数据分析及场景调度。</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3.1.4三维应用工作站服务</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ascii="Times New Roman" w:hAnsi="Times New Roman" w:cs="Times New Roman"/>
          <w:sz w:val="21"/>
          <w:lang w:eastAsia="zh-CN"/>
        </w:rPr>
      </w:pPr>
      <w:r>
        <w:rPr>
          <w:rFonts w:hint="eastAsia" w:ascii="宋体" w:hAnsi="宋体" w:eastAsia="宋体" w:cs="宋体"/>
          <w:lang w:val="en-US" w:eastAsia="zh-CN"/>
        </w:rPr>
        <w:t xml:space="preserve">提供为期三年的高性能三维应用工作站服务保障，用于满足指挥大厅三维模型场景应用需求。</w:t>
      </w:r>
      <w:r>
        <w:rPr>
          <w:rFonts w:ascii="Times New Roman" w:hAnsi="Times New Roman" w:cs="Times New Roman"/>
          <w:sz w:val="21"/>
          <w:lang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3.2.民生诉求回访/评价办结集成升级</w:t>
      </w:r>
      <w:r>
        <w:rPr>
          <w:rFonts w:hint="eastAsia" w:ascii="黑体" w:hAnsi="黑体" w:eastAsia="黑体" w:cs="黑体"/>
          <w:sz w:val="24"/>
          <w:szCs w:val="24"/>
          <w:lang w:val="en-US" w:eastAsia="zh-CN"/>
        </w:rPr>
      </w:r>
      <w:r/>
    </w:p>
    <w:p>
      <w:pPr>
        <w:pStyle w:val="999"/>
        <w:ind w:firstLine="420"/>
        <w:rPr>
          <w:rFonts w:ascii="Times New Roman" w:hAnsi="Times New Roman" w:cs="Times New Roman"/>
          <w:sz w:val="21"/>
          <w:lang w:eastAsia="zh-CN"/>
        </w:rPr>
      </w:pPr>
      <w:r>
        <w:rPr>
          <w:rFonts w:ascii="Times New Roman" w:hAnsi="Times New Roman" w:cs="Times New Roman"/>
          <w:sz w:val="21"/>
          <w:lang w:eastAsia="zh-CN"/>
        </w:rPr>
        <w:t xml:space="preserve">提供民意速办相关工单（包含</w:t>
      </w:r>
      <w:r>
        <w:rPr>
          <w:rFonts w:hint="eastAsia" w:ascii="Times New Roman" w:hAnsi="Times New Roman" w:cs="Times New Roman"/>
          <w:sz w:val="21"/>
          <w:lang w:eastAsia="zh-CN"/>
        </w:rPr>
        <w:t xml:space="preserve">快处</w:t>
      </w:r>
      <w:r>
        <w:rPr>
          <w:rFonts w:ascii="Times New Roman" w:hAnsi="Times New Roman" w:cs="Times New Roman"/>
          <w:sz w:val="21"/>
          <w:lang w:eastAsia="zh-CN"/>
        </w:rPr>
        <w:t xml:space="preserve">单、指令单、预警单、协同单、督办单、提级单等类型）接入功能，用于工单详情展示时自动关联民意速办模块中的相关数据。</w:t>
      </w:r>
      <w:r>
        <w:rPr>
          <w:rFonts w:ascii="Times New Roman" w:hAnsi="Times New Roman" w:cs="Times New Roman"/>
          <w:sz w:val="21"/>
          <w:lang w:eastAsia="zh-CN"/>
        </w:rPr>
      </w:r>
      <w:r/>
    </w:p>
    <w:p>
      <w:pPr>
        <w:pStyle w:val="999"/>
        <w:ind w:firstLine="420"/>
        <w:rPr>
          <w:rFonts w:ascii="Times New Roman" w:hAnsi="Times New Roman" w:cs="Times New Roman"/>
          <w:sz w:val="21"/>
          <w:lang w:eastAsia="zh-CN"/>
        </w:rPr>
      </w:pPr>
      <w:r>
        <w:rPr>
          <w:rFonts w:ascii="Times New Roman" w:hAnsi="Times New Roman" w:cs="Times New Roman"/>
          <w:sz w:val="21"/>
          <w:lang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4．综合评价</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4.1城市治理处置事件“高效评”</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4.1.1绩效指标管理</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需提供诉求（事件）量、诉求（事件）按时签收率、诉求（事件）按时办结率、诉求（事件</w:t>
      </w:r>
      <w:r>
        <w:rPr>
          <w:rFonts w:hint="eastAsia" w:ascii="宋体" w:hAnsi="宋体" w:eastAsia="宋体" w:cs="宋体"/>
          <w:lang w:val="en-US" w:eastAsia="zh-CN"/>
        </w:rPr>
        <w:t xml:space="preserve">）办理满意率、诉求（事件）平均办理时长、退单次数、延期次数、诉求（事件）签收平均时长、诉求（事件）派单平均时长、诉求（事件）反馈平均时长、诉求（事件）办结平均时长、诉求（事件）签收率、诉求（事件）派单率、诉求（事件）反馈率、诉求（事件）办结率、协同单发起单位满意度、督办单发起单位满意度、应急调度响应程度、快处单发起单位满意度、指令单发起单位满意度、预警单发起单位满意度、提级单发起单位满意度、超期办结量、超期办结满意率等指标的创建以及取数逻辑解析；同时提供绩效指标编辑、删除、查询功能，用于维护管理基础指标库。</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提供绩效指标取数公式计算功能，用于指标数据统计与计算。</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4.1.2评估模型建立</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需提供诉求（事件）派单情况、诉求（事件）签收情况、诉求（事件）办理情况、诉求（事件）满意率、诉求（事件）退单情况、诉求（事件）延期情况、协同单办理情况、督办单满意情况、应急调度响应情况、快处单办理情况、指令单办理情况、预警单办理情况、提级单办理情况、超期办理情况等模型的搭建和数据统计，用于数据展示、数据详情多层钻取。</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4.1.3数据分析功能</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提供多条件聚合查询、同比、环比、趋势分析等功能，用于多维度、直观查看数据近期变化。</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4.1.4报告生成功能</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提供报告模板构建、报告生成、查询、导出及详情钻取，包括综合评估报告、专题评估报告、部门评估报告、日报、月报等，用于定制化生成报告、报告导出、详情钻取。</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4.1.5展示功能</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提供表格、折线图、柱状图展示功能，用于针对不同类型的数据选择不同的展示方式。</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4.1.6市民诉求“统一治理”</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提供为期一年的市民诉求“统一治理”服务，服务内容包括提供数据同步、对账、清洗、转换、整理、融合、拆分、管理、入库等功能，用于省平台与市平台数据统一管理。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（二）智能中枢需求</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1．能力中台</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1.1能力中台（通用类）</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1.1.1统一身份认证</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1.1.1.1 用户中心</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提供对全市各单位的组织机构和用户进行集中管理，方便各业务系统和管理系统对用户、组织机构的使用，保证用户、组织机构数据的安全、真实、唯一。应包含组织机构管理、用户管理、授权管理等功能。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1.1.1.2 应用中心</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提供对业务系统或管理系统的统一管理和访问授权。应包含应用信息管理、应用资源分配、应用类型管理等功能。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1.1.1.3 认证中心</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提供统一认证的入口，便于各对接应用实现身份认证和单点登录。</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1.1.1.4 服务中心</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提供组织机构、用户数据的同步功能，便于对接应用快速实现组织机构和用户的映射。</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1.1.1.5 消息中心</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提供组织机构、用户、应用授权等内容变化的即时消息提醒。应包含信息类型管理、消息订阅管理、后台推送、数据管理、统计分析等功能。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1.1.1.6 系统管理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提供系统运行的基本设置管理，应涵盖菜单管理、字典管理等功能。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1.1.1.7 审计管理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提供系统日志，涵盖用户登录等操作记录。</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1.1.2 OCR组件</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提供文字、证件、票据、文档、表格等类型文件的识别，可转换为文本。</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支持通过接口方式向其他业务系统提供OCR服务，</w:t>
      </w:r>
      <w:bookmarkStart w:id="193" w:name="OLE_LINK4"/>
      <w:r/>
      <w:bookmarkStart w:id="194" w:name="OLE_LINK3"/>
      <w:r>
        <w:rPr>
          <w:rFonts w:hint="eastAsia" w:ascii="宋体" w:hAnsi="宋体" w:eastAsia="宋体" w:cs="宋体"/>
          <w:lang w:val="en-US" w:eastAsia="zh-CN"/>
        </w:rPr>
        <w:t xml:space="preserve">支持调用量统计功能</w:t>
      </w:r>
      <w:bookmarkEnd w:id="193"/>
      <w:r/>
      <w:bookmarkEnd w:id="194"/>
      <w:r>
        <w:rPr>
          <w:rFonts w:hint="eastAsia" w:ascii="宋体" w:hAnsi="宋体" w:eastAsia="宋体" w:cs="宋体"/>
          <w:lang w:val="en-US" w:eastAsia="zh-CN"/>
        </w:rPr>
        <w:t xml:space="preserve">。</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1.1.3 云勘验</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1.1.3.1 “云勘验”管理系统</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（1）信息管理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提供勘验模式定制功能，包含告知承诺勘验、远程勘验、现场电子化勘验三种模式，分别对应申请人自主传材料后台核验、多方视频连线勘验、勘验人员现场拍传材料的不同勘验场景。</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提供审查要点管理，支持对审查要点进行新增、排序、检索、更新与删除等操作。</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提供事项配置，为不同政务服务事项预先关联对应的审查要点，明确各事项适用的勘验模式（告知承诺勘验、远程勘验、现场电子化勘验），同时保障事项信息与审批流程衔接。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提供文书配置，支撑与勘验相关的告知承诺书、远程勘验告知书、勘验报告等文书的标准化配置。</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提供人员管理，可按照不同分组，为不同人员建立账号。</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（2）勘验任务</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提供勘验任务列表，可按照不同类型，清单化展示勘验任务。</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提供新建勘验任务，按照告知承诺勘验、远程勘验或现场电子化勘验三种方式，明确勘验模式、办件申请人基础信息、勘验地址、联合勘验人员/专家等。</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提供短信预约，向申请人发送短信通知。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提供开始勘验功能，按照签到、告知承诺勘验、远程勘验、现场电子勘验等形式进行勘验。</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提供勘验审核，用于对审查要点和取证材料进行审核。</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提供勘验整改功能，用于为满足勘验审查时，要求申请人提供整改材料。</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提供消息告警功能，用于监控审批进度，对临期或超期办件发送系统告警。</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（3）统计分析</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提供各类数据的聚合分析，应涵盖勘验总数、已通过数、平均勘验时长、勘验通过率等数据指标。</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（4）系统对接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提供一网通办、事项库、办件库、用户库以及无人机平台的对接。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1.1.3.2 智慧勘验移动端应用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（1）云勘验专区</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提供苏服办APP的服务页，作为开展远程勘验、现场勘验、告知承诺勘验等各类勘验服务的入口。</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（2）渠道开发</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提供多种终端访问云勘验专区。</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（3）勘验流程管理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提供地理定位，用于远程勘验前进行定位，便于与申报地址进行对比。</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提供注册登录，便于不同角色的人员申请登录该系统。</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提供在线签到，用于勘验人员、联合勘验人员和专家进入正式勘验之前，通过移动端进行在线签到。</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提供开始勘验功能，按照审查要点，逐项拍摄现场影像并上传。</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提供勘验整改，用于申请人在整改完成后上传材料。</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提供电子签名，用于勘验任务完成后，留下司法存证。</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（4）勘验记录</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提供本人办件相关的所有勘验任务。</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（5）操作指南</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提供操作指南，帮助申请人、勘验人员、联合勘验人员和专家等用户熟悉应用操作流程、操作步骤和注意事项。</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（6）远程指导功能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提供在勘验过程中，对申请人的操作支持服务。</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（7）系统对接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提供省统一身份对接、一体化服务平台对接、用户中心对接等。</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1.2能力运营平台</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1.2.1 应用接入</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提供应用接入大屏展示、应用接入中屏展示、管理后台系统、加密设备对接等功能，用于替代线下表格采集方式，实现全市一网统管应用场景接入的规范化管理与可视化呈现。</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1.2.2 模型接入</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（1）PC端服务</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普通登录、统一身份认证登录、折叠/展开交互、历史对话查看、对话重命名、删除对话、模型选择、文件上传、暂停思考、显示思考时间、思考内容折叠、智能体广场等功能，用于用户在PC端使用web浏览器打开模型服务，用于日常的对话问询。</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（2）移动端服务</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政务微信登录、折叠/展开交互、历史对话查看、对话重命名、删除对话、模型选择、文件上传、暂停思考、显示思考时间、思考内容折叠、语音输入、朗读文本等功能，用于用户在移动端使用政务微信打开模型服务，用于日常的对话问询。</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（3）管理系统</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提供智能体接入和用户权限管理等功能，便于管理人员维护接入的智能体。</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1.3.AI底座平台</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1.3.1.智能体编排工具</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（1）AI原生应用开发</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提供自主规划Agent功能，便于用户以对话的形式创建智能体。</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提供工作流Agent功能，便于用户通过可视化界面或代码配置的方式，将业务环节进行拆解，组合成为一个复杂流程的智能体。</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提供写作Agent功能，用于配置写作风格、模板等元素，快速生成场景化的写作文稿。</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（2）组织空间管理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提供应用管理功能，用于管理用户创建的AI原生应用。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提供组件管理功能，用于管理系统中所有的标准化节点，主要涵盖知识库节点、API节点、记忆变量节点、文本处理节点等。</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提供知识库管理功能，用于导入业务知识，同时对文档内容进行切分，便于大模型理解。</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提供数据库管理功能，用于系统连接数据库，便于搭建智能体时，直接调用数据库中的知识。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（3）应用广场</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提供应用广场功能，用于展示已发布的智能体应用，便于用户直接使用智能体。</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（4）组件广场</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提供组件广场功能，便于工作人员查看组件信息，了解组件功能。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（5）模型接入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提供模型接入功能，用于调整模型参数。</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（6）导入管理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提供应用导入和导出功能，便于将外部应用快速搭建至内部。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（7）权限管理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提供权限管理，设置不同角色可访问的菜单权限。</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（8）密钥管理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用于外部应用调用智能体时，确保访问的安全性。</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（9）内置组件列表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提供系统已内置的组件清单，主要涵盖会话小结、复杂query分解、问答对挖掘、阅读理解问答、代码解释器、多轮改写、文档解析、语义匹配等组件。</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2．城运数据仓</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城运数据仓需围绕“数据汇聚-治理-服务-共享”全流程，新建数据资源管理模块、涉人/涉企/城市事件/事件知识/视频资源五大主题库，升级业务库并构建数据标注服务体系，具备实时/准实时写入、千万级存储扩展及回滚追溯能力；实现多源数据标准化整合与质量管控，提供数据查询、接口服务、共享推送等核心能力，支撑跨部门数据协同与业务决策，全面满足城市运营管理的数据管控、业务支撑与智能化应用需求。</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2.1.数据资源管理模块</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提供对服务器、中间件、数据库及数据标准、数据资源目录、接口等全周期管理能力，全面满足资源目录管理、运维管理与数据管控需求。</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首页提供多维度可视化数据驾驶舱，为决策与运维提供实时数据支撑。</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服务器、数据库、中间件管理均支持对应资源的全生命周期管控，含增删改查、自动化巡检、日志报告生成及导出能力。</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数据资源管理实现数据标准化、目录化与资产化管理，支持数据元标准、数据库表等全流程管控及备份导出。</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调度管理可实时监控任务执行、处理异常并支持记录导出。</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工单管理覆盖工单全流程处理并集成附件管理。支持以接口方式</w:t>
      </w:r>
      <w:bookmarkStart w:id="195" w:name="OLE_LINK5"/>
      <w:r/>
      <w:bookmarkStart w:id="196" w:name="OLE_LINK6"/>
      <w:r>
        <w:rPr>
          <w:rFonts w:hint="eastAsia" w:ascii="宋体" w:hAnsi="宋体" w:eastAsia="宋体" w:cs="宋体"/>
          <w:lang w:val="en-US" w:eastAsia="zh-CN"/>
        </w:rPr>
        <w:t xml:space="preserve">向外部系统提供数据资源</w:t>
      </w:r>
      <w:bookmarkEnd w:id="195"/>
      <w:r/>
      <w:bookmarkEnd w:id="196"/>
      <w:r>
        <w:rPr>
          <w:rFonts w:hint="eastAsia" w:ascii="宋体" w:hAnsi="宋体" w:eastAsia="宋体" w:cs="宋体"/>
          <w:lang w:val="en-US" w:eastAsia="zh-CN"/>
        </w:rPr>
        <w:t xml:space="preserve">目录查询。</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任务管理记录全生命周期状态与日志，确保工作责任到人、过程可视。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接口管理实现内外部接口统一管控，含配置记录与连通性测试。</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监测预警持续监控关键指标，支持自定义规则与阈值触发预警。</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运维统计可自动生成周期报表，完成多维度核心指标分析。</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系统设置提供后台集中配置，支持菜单、用户身份、角色权限及数据字典管理。</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2.2.涉人主题库</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涉人主题库，需通过整合不同来源的人员数据，进行有效的数据治理，以支持人员动态管理、决策制定、公共服务等应用。需建立一套完整的数据采集、治理、存储、应用、共享、安全和持续改进的机制。需通过与数据提供方的紧密沟通，确保数据资源的完整性和可用性。需要设计符合第三范式的关系型数据模型，构建人口主题的逻辑模型</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2.3.涉企主题库</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涉企主题库，需通过整合不同来源的企业数据，进行有效的数据治理，以支持企业动态管理、决策制定、公共服务等应用。需建立一套完整的数据采集、治理、存储、应用、共享、安全和持续改进的机制。需通过与数据提供方的紧密沟通，确保数据资源的完整性和可用性。需要设计符合第三范式的关系型数据模型，构建企业主题的逻辑模型</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2.4.城市事件库</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城市事件库，需整合全市事件数据，通过各类来源汇集事件数据。需支持通过批量抽取与流式接入完成数据采集。需要对非标准地址进行标准化处理与映射，需要从事件描述中智能识别并关联涉事主体。需提供治理后事件数据的API接口，建立数据共享机制，按需向内外部分级提供数据服务。</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2.5.事件知识库</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事件知识库，通过汇聚各类渠道汇集事件知识数据，实现多渠道的自动化数据采集与汇聚，并对事件知识进行标准化清洗与质量稽查，确保要素完整。需提供分级共享的API接口，向市级、区县及公众输出不同密级的知识内容。</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2.6.视频资源库</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视频资源库，需通过城市之眼平台汇集视频资源数据。需建立全面的数据治理体系，对设备元数据进行标准化清洗。</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2.7.业务库</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须基于“原始层—</w:t>
      </w:r>
      <w:r>
        <w:rPr>
          <w:rFonts w:hint="eastAsia" w:ascii="宋体" w:hAnsi="宋体" w:eastAsia="宋体" w:cs="宋体"/>
          <w:lang w:val="en-US" w:eastAsia="zh-CN"/>
        </w:rPr>
        <w:t xml:space="preserve">融合层—服务层”三层架构，实现与业务库无缝对接与标准化改造：须兼容并升级现有民生诉求事件库、速办汇聚库、研判业务库等既有业务库结构，确保数据字段、编码、接口与原系统100%映射；新增综合评估、指挥调度协调、统一身份认证、税收征管等业务库时，必须遵循相关规范进行模型设计，提供完整的数据字典、ER图；所有业务库按需支持实时/定期写入，具备单表≥1000万条记录、日均增量≥20万条的线性扩展能力，并提供≥7天的回滚与日志追踪机制，以保障“秒感知、智解析、快关联、智研判、慧调度、高效评”六大主要模块的稳定数据供给。</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2.8.数据标注服务</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提供为期一年的数据标注服务。</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提供政务数据标注规则服务，满足规范政务体系下的数据标注要求。</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提供对办事指南，政策问答，事件类数据，政策文件地方法规，政策文件地方政府规章，政策文件行政规范性文件，政策文件通知，政策文件报告的标注服务；满足政务大模型应用需要。</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提供基于标注数据搭建的问答类智能应用开展测评工作服务，满足评测其答复能力是否满足预期，避免出现错误回答的需要。</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3．智能算力资源租赁服务</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提供为期一年的智能算力资源租赁服务，详细需求如下：</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训练算力要求，总算力不低于12 Pflops半精度算力，单张算力卡不低于280Tflops半精度算力，总显存不低于2500GB；</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推理算力要求：总算力不低于2 Pflops半精度算力，单张算力卡不低于60Tflops半精度算力；</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lang w:val="en-US" w:eastAsia="zh-CN"/>
        </w:rPr>
        <w:t xml:space="preserve">中标后须在无锡本地部署算力机房</w:t>
      </w:r>
      <w:r>
        <w:rPr>
          <w:rFonts w:hint="eastAsia" w:ascii="宋体" w:hAnsi="宋体" w:eastAsia="宋体" w:cs="宋体"/>
          <w:lang w:val="en-US" w:eastAsia="zh-CN"/>
        </w:rPr>
        <w:t xml:space="preserve">，通过政务外网专线连接。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算力机房需要具备UPS电源，满足30分钟断电使用。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提供机房的运维服务，包含拉线、配件等服务器基础服务。</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智能算力资源的租赁期为一年。</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（三）行业应用需求</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1．税收征管保障</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1.1.税费协同共治应用</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1.1.1.数据管理</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提供任务查询、数据查询、台账管理等功能，用于多条件组合查询市本级及各市（县）区的数据及历年发布的任务。</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1.1.2.任务管理</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提供任务定义、任务发起、任务执行、任务审核、任务结束、区县任务、联络人设置、报送频率等功能。用于建立数据模板，在任务发起阶段规范数据提供方式，完善数据管理全流程。</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1.1.3.任务监管</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提供任务统计、审核情况等功能，用于为决策提供数据支持、明确任务改进方向。</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1.1.4.绩效管理</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提供绩效评分、评分结果、短信管理功能，用于明确涉税信息的范围、内容和时限要求完成情况，自动完成简单的绩效考核、支持人工检查调整。</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1.1.5.系统设置</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提供用户管理、菜单管理、角色管理、字典管理、数据项统计、数据项管理、日志管理、组织机构等功能，用于对市本级及各市（县）区的区划、机构、用户、用户、权限等进行统一管理。</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1.1.6.数据处理</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提供数据迁移服务，用于将历史产生的财税数据迁移至信创数据库中。</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1.2.财税银系统</w:t>
      </w:r>
      <w:r>
        <w:rPr>
          <w:rFonts w:hint="eastAsia" w:ascii="黑体" w:hAnsi="黑体" w:eastAsia="黑体" w:cs="黑体"/>
          <w:sz w:val="24"/>
          <w:szCs w:val="24"/>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1.2.1.数据采集</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预算收入集中采集、库存数据集中采集、分户账数据集中采集、总额分成数据集中采集、税票数据集中采集、手工税票数据集中采集、退库数据集中采集、退库退回数据集中采集、更正数据集中采集、免抵调数集中采集、数据初始化等功能，用于实现多来源税收相关数据的规范采集与延续性保障。</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1.2.2.导入数据监控</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提供税票数据导入监控、预算收入数据导入监控、库存数据导入监控、总额分成数据导入监控、分户账数据导入监控等功能，用于确保采集数据无丢失，并支持手动或自动重试导入或发送操作。</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1.2.3.数据比对</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提供税票数据比对、手工税票数据比对、预算收入数据比对、库存数据比对、总额分成数据比对、分户账数据比对等功能，用于根据比对规则进行数据完整性、可靠性比对。</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1.2.4.数据清洗</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提供税票数据清洗、手工税票数据清洗、预算收入数据清洗、库存数据清洗、总额分成数据清洗、分户账数据清洗等功能，用于生成不含空值，符合统计比对要求的数据集。</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1.2.5.数据下发</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提供税票数据定时下发、预算收入数据定时下发、库存数据定时下发、总额分成数据定时下发、分户账数据定时下发等功能，用于依据预先设定的规则完成相关数据的定时下发。</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1.2.6.数据收发监控</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提供数据接收监控、数据发送监控等功能，用于实时追踪税票及各类报表数据的接收情况。</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1.2.7.用户权限改造</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提供界面权限调整、操作权限调整、用户角色管理等功能，用于对数据采集、导入、比对、监控等界面的访问权限进行梳理和设置。</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1.2.8.前置机通讯应用改造</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提供数据推送接口开发、数据申请接口开发、相关配置读取改造、通讯转发与路由、报文附件落地保存及归档等功能，用于实现通讯的转发。</w:t>
      </w:r>
      <w:r>
        <w:rPr>
          <w:rFonts w:hint="eastAsia" w:ascii="宋体" w:hAnsi="宋体" w:eastAsia="宋体" w:cs="宋体"/>
          <w:lang w:val="en-US" w:eastAsia="zh-CN"/>
        </w:rPr>
      </w:r>
      <w:r/>
    </w:p>
    <w:p>
      <w:pPr>
        <w:pStyle w:val="999"/>
        <w:numPr>
          <w:ilvl w:val="4"/>
          <w:numId w:val="0"/>
        </w:numPr>
        <w:ind w:left="0" w:firstLine="402"/>
        <w:keepLines w:val="0"/>
        <w:keepNext w:val="0"/>
        <w:pageBreakBefore w:val="0"/>
        <w:spacing w:line="300" w:lineRule="auto"/>
        <w:widowControl w:val="off"/>
        <w:tabs>
          <w:tab w:val="left" w:pos="0"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1.2.9.数据安全控制</w:t>
      </w:r>
      <w:r>
        <w:rPr>
          <w:rFonts w:hint="eastAsia" w:ascii="宋体" w:hAnsi="宋体" w:eastAsia="宋体" w:cs="宋体"/>
          <w:b/>
          <w:bCs/>
          <w:sz w:val="21"/>
          <w:szCs w:val="21"/>
          <w:lang w:val="en-US" w:eastAsia="zh-CN" w:bidi="ar-SA"/>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提供数据加密解密模块开发、数据国密加签解签模块开发、节点安全控制模块开发等功能，用于支持根据业务需求和安全级别选择不同的算法，确保加密后的数据在传输过程中不被窃取和篡改。</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（四）基础能力需求</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1．站点证书服务</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提供站点证书有效期大于等于3年；</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提供符合国家相关密评要求的SSL站点证书服务，用于确保网络通信的机密性、完整性与通信实体身份真实性，满足国家商用密码应用安全性评估及行业合规性要求，要求由第三方可信CA颁发。</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2．签名工具</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提供报文数字签名工具开发包，用于确保签名防篡改、可追溯，适配多系统集成场景。</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3．CA 国密证书</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提供CA国密证书，用于验证证书合法性，防止“身份伪造”，满足金融监管合规要求。</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4．中间件</w:t>
      </w:r>
      <w:r>
        <w:rPr>
          <w:rFonts w:hint="eastAsia" w:ascii="黑体" w:hAnsi="黑体" w:eastAsia="黑体" w:cs="黑体"/>
          <w:sz w:val="24"/>
          <w:szCs w:val="24"/>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4.1.通讯中间件</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提供通讯中间件，具备故障自动切换与负载均衡能力，用于支持高并发请求处理，适配金融级加密协议保障传输安全。</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5．一期子系统信创适配</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提供对统一交互体系的信创改造，包括应用信创改造、数据库信创改造，用于满足国产信创化需求</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6．原有视频会议平台管理授权</w:t>
      </w:r>
      <w:r>
        <w:rPr>
          <w:rFonts w:hint="eastAsia" w:ascii="黑体" w:hAnsi="黑体" w:eastAsia="黑体" w:cs="黑体"/>
          <w:sz w:val="24"/>
          <w:szCs w:val="24"/>
          <w:lang w:val="en-US" w:eastAsia="zh-CN"/>
        </w:rPr>
      </w:r>
      <w:r/>
    </w:p>
    <w:p>
      <w:pPr>
        <w:pStyle w:val="999"/>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提供100个长期有效的原有视频会议平台管理授权。</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7．原有视频会议平台并发授权</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提供77个长期有效的原有视频会议平台并发授权。</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8．可视化控制系统点位授权</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提供1个长期有效的可视化控制系统点位授权，用于支持可视化触控操作。</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（五）硬件需求</w:t>
      </w:r>
      <w:r>
        <w:rPr>
          <w:rFonts w:hint="eastAsia" w:ascii="黑体" w:hAnsi="黑体" w:eastAsia="黑体" w:cs="黑体"/>
          <w:sz w:val="24"/>
          <w:szCs w:val="24"/>
          <w:lang w:val="en-US" w:eastAsia="zh-CN"/>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3"/>
        <w:gridCol w:w="907"/>
        <w:gridCol w:w="707"/>
        <w:gridCol w:w="5448"/>
        <w:gridCol w:w="702"/>
        <w:gridCol w:w="702"/>
      </w:tblGrid>
      <w:tr>
        <w:trPr>
          <w:trHeight w:val="336"/>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黑体" w:hAnsi="黑体" w:eastAsia="黑体" w:cs="黑体"/>
                <w:sz w:val="22"/>
                <w:szCs w:val="28"/>
              </w:rPr>
            </w:pPr>
            <w:r>
              <w:rPr>
                <w:rFonts w:hint="eastAsia" w:ascii="黑体" w:hAnsi="黑体" w:eastAsia="黑体" w:cs="黑体"/>
                <w:sz w:val="22"/>
                <w:szCs w:val="28"/>
                <w:lang w:bidi="ar"/>
              </w:rPr>
              <w:t xml:space="preserve">序号</w:t>
            </w:r>
            <w:r>
              <w:rPr>
                <w:rFonts w:hint="eastAsia" w:ascii="黑体" w:hAnsi="黑体" w:eastAsia="黑体" w:cs="黑体"/>
                <w:sz w:val="22"/>
                <w:szCs w:val="28"/>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pStyle w:val="999"/>
              <w:jc w:val="center"/>
              <w:rPr>
                <w:rFonts w:hint="eastAsia" w:ascii="黑体" w:hAnsi="黑体" w:eastAsia="黑体" w:cs="黑体"/>
                <w:sz w:val="22"/>
                <w:szCs w:val="28"/>
              </w:rPr>
            </w:pPr>
            <w:r>
              <w:rPr>
                <w:rFonts w:hint="eastAsia" w:ascii="黑体" w:hAnsi="黑体" w:eastAsia="黑体" w:cs="黑体"/>
                <w:sz w:val="22"/>
                <w:szCs w:val="28"/>
                <w:lang w:bidi="ar"/>
              </w:rPr>
              <w:t xml:space="preserve">模块名称</w:t>
            </w:r>
            <w:r>
              <w:rPr>
                <w:rFonts w:hint="eastAsia" w:ascii="黑体" w:hAnsi="黑体" w:eastAsia="黑体" w:cs="黑体"/>
                <w:sz w:val="22"/>
                <w:szCs w:val="28"/>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999"/>
              <w:jc w:val="center"/>
              <w:rPr>
                <w:rFonts w:hint="eastAsia" w:ascii="黑体" w:hAnsi="黑体" w:eastAsia="黑体" w:cs="黑体"/>
                <w:sz w:val="22"/>
                <w:szCs w:val="28"/>
              </w:rPr>
            </w:pPr>
            <w:r>
              <w:rPr>
                <w:rFonts w:hint="eastAsia" w:ascii="黑体" w:hAnsi="黑体" w:eastAsia="黑体" w:cs="黑体"/>
                <w:sz w:val="22"/>
                <w:szCs w:val="28"/>
                <w:lang w:bidi="ar"/>
              </w:rPr>
              <w:t xml:space="preserve">分项名称</w:t>
            </w:r>
            <w:r>
              <w:rPr>
                <w:rFonts w:hint="eastAsia" w:ascii="黑体" w:hAnsi="黑体" w:eastAsia="黑体" w:cs="黑体"/>
                <w:sz w:val="22"/>
                <w:szCs w:val="28"/>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tcPr>
          <w:p>
            <w:pPr>
              <w:pStyle w:val="999"/>
              <w:jc w:val="center"/>
              <w:rPr>
                <w:rFonts w:hint="eastAsia" w:ascii="黑体" w:hAnsi="黑体" w:eastAsia="黑体" w:cs="黑体"/>
                <w:sz w:val="22"/>
                <w:szCs w:val="28"/>
              </w:rPr>
            </w:pPr>
            <w:r>
              <w:rPr>
                <w:rFonts w:hint="eastAsia" w:ascii="黑体" w:hAnsi="黑体" w:eastAsia="黑体" w:cs="黑体"/>
                <w:sz w:val="22"/>
                <w:szCs w:val="28"/>
                <w:lang w:bidi="ar"/>
              </w:rPr>
              <w:t xml:space="preserve">特性列表/参数</w:t>
            </w:r>
            <w:r>
              <w:rPr>
                <w:rFonts w:hint="eastAsia" w:ascii="黑体" w:hAnsi="黑体" w:eastAsia="黑体" w:cs="黑体"/>
                <w:sz w:val="22"/>
                <w:szCs w:val="28"/>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黑体" w:hAnsi="黑体" w:eastAsia="黑体" w:cs="黑体"/>
                <w:sz w:val="22"/>
                <w:szCs w:val="28"/>
              </w:rPr>
            </w:pPr>
            <w:r>
              <w:rPr>
                <w:rFonts w:hint="eastAsia" w:ascii="黑体" w:hAnsi="黑体" w:eastAsia="黑体" w:cs="黑体"/>
                <w:sz w:val="22"/>
                <w:szCs w:val="28"/>
                <w:lang w:bidi="ar"/>
              </w:rPr>
              <w:t xml:space="preserve">单位</w:t>
            </w:r>
            <w:r>
              <w:rPr>
                <w:rFonts w:hint="eastAsia" w:ascii="黑体" w:hAnsi="黑体" w:eastAsia="黑体" w:cs="黑体"/>
                <w:sz w:val="22"/>
                <w:szCs w:val="28"/>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黑体" w:hAnsi="黑体" w:eastAsia="黑体" w:cs="黑体"/>
                <w:sz w:val="22"/>
                <w:szCs w:val="28"/>
              </w:rPr>
            </w:pPr>
            <w:r>
              <w:rPr>
                <w:rFonts w:hint="eastAsia" w:ascii="黑体" w:hAnsi="黑体" w:eastAsia="黑体" w:cs="黑体"/>
                <w:sz w:val="22"/>
                <w:szCs w:val="28"/>
                <w:lang w:bidi="ar"/>
              </w:rPr>
              <w:t xml:space="preserve">数量</w:t>
            </w:r>
            <w:r>
              <w:rPr>
                <w:rFonts w:hint="eastAsia" w:ascii="黑体" w:hAnsi="黑体" w:eastAsia="黑体" w:cs="黑体"/>
                <w:sz w:val="22"/>
                <w:szCs w:val="28"/>
              </w:rPr>
            </w:r>
            <w:r/>
          </w:p>
        </w:tc>
      </w:tr>
      <w:tr>
        <w:trPr>
          <w:trHeight w:val="411"/>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主机设备</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视频解析服务器</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jc w:val="left"/>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处理器：配置不少于2颗处理器，核数≥48核，主频≥2.6GHz ；</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内存：配置不少于 320G DDR4；设备最大支持32根内存插槽，最大支持4T内存容量</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硬盘：配置不少于1块480G SSD；最多 16 个 3.5 英寸或 27 个 2.5 英寸 SAS/SATA HDD 硬盘</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独显&amp;GPU扩展：配置算力性能不少于6张Atlas 300V Pro加速卡；</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阵列卡：标配SAS_HBA 卡，支持RAID 0/1/10；可选RAID1G、2G或4G 卡, 支持RAID 0/1/5/6/10/50/60 ，可选支持断电保护；</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网口：配置不少于2个千兆电口、2个万兆光口；支持2个板载网络插卡，每个插卡支持4*GE电口或者4*10GE光口或者4*25GE光口；</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PCI E扩展槽：最大可支持9个PCIe 4.0接口扩展插槽，其中8 个为标准的PCIe 扩展槽位， 1 个为 RAID 扣卡专用扩展槽位；</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电源：配置2000W(1+1)冗余电源；支持2个热插拔 900W 或 2000W 交流电源模块或1200W直流或1500W直流电源模块，支持 1+1 冗余</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其他端口：前面板提供 2 个 USB 3.0 端口、1 个 DB15 VGA 端口；后面板提供 2 个 USB 3.0 端口、1 个 DB15 VGA 端口、1 个RJ45 串口、1 个 RJ45 系统管理端口。</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台</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w:t>
            </w:r>
            <w:r>
              <w:rPr>
                <w:rFonts w:hint="eastAsia" w:ascii="宋体" w:hAnsi="宋体" w:eastAsia="宋体" w:cs="宋体"/>
                <w:sz w:val="21"/>
                <w:szCs w:val="24"/>
              </w:rPr>
            </w:r>
            <w:r/>
          </w:p>
        </w:tc>
      </w:tr>
      <w:tr>
        <w:trPr>
          <w:trHeight w:val="248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2</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算力服务器</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1、2U标准机架式服务器</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2、配置≥2颗ARM处理器，单颗处理器主频≥2.6GHz,单颗处理器核数≥48核,所投服务器的CPU须符合安全可靠测评要求。</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3、配置≥768GB容量内存，单根内存条频率3200MHz DDR4，最大支持32 个内存插槽</w:t>
            </w:r>
            <w:r>
              <w:rPr>
                <w:rFonts w:hint="eastAsia" w:ascii="宋体" w:hAnsi="宋体" w:eastAsia="宋体" w:cs="宋体"/>
                <w:sz w:val="21"/>
                <w:szCs w:val="24"/>
                <w:lang w:eastAsia="zh-CN" w:bidi="ar"/>
              </w:rPr>
            </w:r>
            <w:r/>
          </w:p>
          <w:p>
            <w:pPr>
              <w:pStyle w:val="999"/>
              <w:jc w:val="left"/>
              <w:rPr>
                <w:rFonts w:hint="eastAsia" w:ascii="宋体" w:hAnsi="宋体" w:eastAsia="宋体" w:cs="宋体"/>
                <w:sz w:val="21"/>
                <w:szCs w:val="24"/>
                <w:lang w:bidi="ar"/>
              </w:rPr>
            </w:pPr>
            <w:r>
              <w:rPr>
                <w:rFonts w:hint="eastAsia" w:ascii="宋体" w:hAnsi="宋体" w:eastAsia="宋体" w:cs="宋体"/>
                <w:sz w:val="21"/>
                <w:szCs w:val="24"/>
                <w:lang w:bidi="ar"/>
              </w:rPr>
              <w:t xml:space="preserve">4、配置≥4块计算卡，单卡算力FP16≥140 TFLOPS，INT8≥280 TOPS，显存≥96G;</w:t>
            </w:r>
            <w:r>
              <w:rPr>
                <w:rFonts w:hint="eastAsia" w:ascii="宋体" w:hAnsi="宋体" w:eastAsia="宋体" w:cs="宋体"/>
                <w:sz w:val="21"/>
                <w:szCs w:val="24"/>
                <w:lang w:bidi="ar"/>
              </w:rPr>
            </w:r>
            <w:r/>
          </w:p>
          <w:p>
            <w:pPr>
              <w:pStyle w:val="999"/>
              <w:rPr>
                <w:rFonts w:hint="eastAsia" w:ascii="宋体" w:hAnsi="宋体" w:eastAsia="宋体" w:cs="宋体"/>
                <w:sz w:val="21"/>
                <w:szCs w:val="24"/>
                <w:lang w:bidi="ar"/>
              </w:rPr>
            </w:pPr>
            <w:r>
              <w:rPr>
                <w:rFonts w:hint="eastAsia" w:ascii="宋体" w:hAnsi="宋体" w:eastAsia="宋体" w:cs="宋体"/>
                <w:sz w:val="21"/>
                <w:szCs w:val="24"/>
                <w:lang w:bidi="ar"/>
              </w:rPr>
              <w:t xml:space="preserve">5、配置≥2块480GB SATA SSD</w:t>
            </w:r>
            <w:r>
              <w:rPr>
                <w:rFonts w:hint="eastAsia" w:ascii="宋体" w:hAnsi="宋体" w:eastAsia="宋体" w:cs="宋体"/>
                <w:sz w:val="21"/>
                <w:szCs w:val="24"/>
                <w:lang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6、配置≥1块RAID标卡 支持RAID0,1,5,6,10,50,60。4GB缓存</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7、最大可扩展8个PCIe 4.0槽位</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8、配置≥4个千兆电口，≥2块双口25GE光口网卡（包含万兆光模块）</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9、配置≥2块2000W白金交流电源</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10、长期工作环境温度支持5-40度</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台</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w:t>
            </w:r>
            <w:r>
              <w:rPr>
                <w:rFonts w:hint="eastAsia" w:ascii="宋体" w:hAnsi="宋体" w:eastAsia="宋体" w:cs="宋体"/>
                <w:sz w:val="21"/>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3</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安全设备</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安全管控网关一体机</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jc w:val="left"/>
              <w:rPr>
                <w:rFonts w:hint="eastAsia" w:ascii="宋体" w:hAnsi="宋体" w:eastAsia="宋体" w:cs="宋体"/>
                <w:sz w:val="21"/>
                <w:szCs w:val="24"/>
                <w:lang w:eastAsia="zh-CN"/>
              </w:rPr>
            </w:pPr>
            <w:r>
              <w:rPr>
                <w:rFonts w:hint="eastAsia" w:ascii="宋体" w:hAnsi="宋体" w:eastAsia="宋体" w:cs="宋体"/>
                <w:sz w:val="21"/>
                <w:szCs w:val="24"/>
                <w:lang w:bidi="ar"/>
              </w:rPr>
              <w:t xml:space="preserve">【功能指标】</w:t>
            </w:r>
            <w:r>
              <w:rPr>
                <w:rFonts w:hint="eastAsia" w:ascii="宋体" w:hAnsi="宋体" w:eastAsia="宋体" w:cs="宋体"/>
                <w:sz w:val="21"/>
                <w:szCs w:val="24"/>
                <w:lang w:bidi="ar"/>
              </w:rPr>
              <w:br w:type="textWrapping" w:clear="all"/>
            </w:r>
            <w:r>
              <w:rPr>
                <w:rFonts w:hint="eastAsia" w:ascii="宋体" w:hAnsi="宋体" w:eastAsia="宋体" w:cs="宋体"/>
                <w:sz w:val="21"/>
                <w:szCs w:val="24"/>
                <w:lang w:val="en-US" w:eastAsia="zh-CN" w:bidi="ar"/>
              </w:rPr>
              <w:t xml:space="preserve">1.</w:t>
            </w:r>
            <w:r>
              <w:rPr>
                <w:rFonts w:hint="eastAsia" w:ascii="宋体" w:hAnsi="宋体" w:eastAsia="宋体" w:cs="宋体"/>
                <w:sz w:val="21"/>
                <w:szCs w:val="24"/>
                <w:lang w:bidi="ar"/>
              </w:rPr>
              <w:t xml:space="preserve">水印性能：支持对256路1080P@30fps4Mbps叠加水印</w:t>
            </w:r>
            <w:r>
              <w:rPr>
                <w:rFonts w:hint="eastAsia" w:ascii="宋体" w:hAnsi="宋体" w:eastAsia="宋体" w:cs="宋体"/>
                <w:sz w:val="21"/>
                <w:szCs w:val="24"/>
                <w:lang w:bidi="ar"/>
              </w:rPr>
              <w:br w:type="textWrapping" w:clear="all"/>
            </w:r>
            <w:r>
              <w:rPr>
                <w:rFonts w:hint="eastAsia" w:ascii="宋体" w:hAnsi="宋体" w:eastAsia="宋体" w:cs="宋体"/>
                <w:sz w:val="21"/>
                <w:szCs w:val="24"/>
                <w:lang w:val="en-US" w:eastAsia="zh-CN" w:bidi="ar"/>
              </w:rPr>
              <w:t xml:space="preserve">2.</w:t>
            </w:r>
            <w:r>
              <w:rPr>
                <w:rFonts w:hint="eastAsia" w:ascii="宋体" w:hAnsi="宋体" w:eastAsia="宋体" w:cs="宋体"/>
                <w:sz w:val="21"/>
                <w:szCs w:val="24"/>
                <w:lang w:bidi="ar"/>
              </w:rPr>
              <w:t xml:space="preserve">视频安全：提供视频播放叠加水印功能，保证视频码流叠加水印不可擦除，视频外泄后便于用户进行溯源，维护用户视频版权；支持显示水印的展示模板配置。</w:t>
            </w:r>
            <w:r>
              <w:rPr>
                <w:rFonts w:hint="eastAsia" w:ascii="宋体" w:hAnsi="宋体" w:eastAsia="宋体" w:cs="宋体"/>
                <w:sz w:val="21"/>
                <w:szCs w:val="24"/>
                <w:lang w:bidi="ar"/>
              </w:rPr>
              <w:br w:type="textWrapping" w:clear="all"/>
            </w:r>
            <w:r>
              <w:rPr>
                <w:rFonts w:hint="eastAsia" w:ascii="宋体" w:hAnsi="宋体" w:eastAsia="宋体" w:cs="宋体"/>
                <w:sz w:val="21"/>
                <w:szCs w:val="24"/>
                <w:lang w:val="en-US" w:eastAsia="zh-CN" w:bidi="ar"/>
              </w:rPr>
              <w:t xml:space="preserve">3.</w:t>
            </w:r>
            <w:r>
              <w:rPr>
                <w:rFonts w:hint="eastAsia" w:ascii="宋体" w:hAnsi="宋体" w:eastAsia="宋体" w:cs="宋体"/>
                <w:sz w:val="21"/>
                <w:szCs w:val="24"/>
                <w:lang w:eastAsia="zh-CN" w:bidi="ar"/>
              </w:rPr>
              <w:t xml:space="preserve">展示方式：自定义水印位置、水印布局、水印字体、透明度、水印颜色、旋转角度。</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val="en-US" w:eastAsia="zh-CN" w:bidi="ar"/>
              </w:rPr>
              <w:t xml:space="preserve">4.</w:t>
            </w:r>
            <w:r>
              <w:rPr>
                <w:rFonts w:hint="eastAsia" w:ascii="宋体" w:hAnsi="宋体" w:eastAsia="宋体" w:cs="宋体"/>
                <w:sz w:val="21"/>
                <w:szCs w:val="24"/>
                <w:lang w:eastAsia="zh-CN" w:bidi="ar"/>
              </w:rPr>
              <w:t xml:space="preserve">水印内容：调阅者名称、调阅时间、监控点名称、IP地址及自定义内容。</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val="en-US" w:eastAsia="zh-CN" w:bidi="ar"/>
              </w:rPr>
              <w:t xml:space="preserve">5.</w:t>
            </w:r>
            <w:r>
              <w:rPr>
                <w:rFonts w:hint="eastAsia" w:ascii="宋体" w:hAnsi="宋体" w:eastAsia="宋体" w:cs="宋体"/>
                <w:sz w:val="21"/>
                <w:szCs w:val="24"/>
                <w:lang w:eastAsia="zh-CN" w:bidi="ar"/>
              </w:rPr>
              <w:t xml:space="preserve">服务对象：客户端、上级域平台、平台用户、合作方、解码上墙。</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val="en-US" w:eastAsia="zh-CN" w:bidi="ar"/>
              </w:rPr>
              <w:t xml:space="preserve">6.</w:t>
            </w:r>
            <w:r>
              <w:rPr>
                <w:rFonts w:hint="eastAsia" w:ascii="宋体" w:hAnsi="宋体" w:eastAsia="宋体" w:cs="宋体"/>
                <w:sz w:val="21"/>
                <w:szCs w:val="24"/>
                <w:lang w:eastAsia="zh-CN" w:bidi="ar"/>
              </w:rPr>
              <w:t xml:space="preserve">全面管控：提供用户、监控点、客户端类型、OpenAPI对外开放账号、上级域平台、下级域平台等对象操作实时预览、录像回放、录像下载、云台控制的视频业务权限控制能力，并可对取流路数、时长、使用期限等变量进行调度控制，提升平台视频业务调度的灵活性；支持快速回收监控点视频业务使用权限，并支持添加白名单对象，及时有效防止突发事件外泄。支持多种控制规则的灵活组合，可满足不同项目应用场景需求。</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val="en-US" w:eastAsia="zh-CN" w:bidi="ar"/>
              </w:rPr>
              <w:t xml:space="preserve">7.</w:t>
            </w:r>
            <w:r>
              <w:rPr>
                <w:rFonts w:hint="eastAsia" w:ascii="宋体" w:hAnsi="宋体" w:eastAsia="宋体" w:cs="宋体"/>
                <w:sz w:val="21"/>
                <w:szCs w:val="24"/>
                <w:lang w:eastAsia="zh-CN" w:bidi="ar"/>
              </w:rPr>
              <w:t xml:space="preserve">可视运维：主动采集视频业务数据，呈现监控平台的取流路数、取流流量等业务的管控实时数据和业务数据异常操作的告警提示，并能实时回放平台的监测数据，方便用户回顾分析平台历史运行状态；提供监控链路的数据查询，包括用户、IP、取流业务、监控点名称、操作时间等，便于分析实时管控链路的详情和业务问题的排查追溯；提供管控业务数据的统计分析，便于用户分析平台运行态势及时掌握业务用量，支持报表方式导出统计数据。</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【硬件参数】</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处理器：不低于 2.8 GHz 8核</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内存：≥32GB DDR4</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硬盘：≥256GB SSD</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网络接口：不低于7个10/100/1000M自适应电口，不少于2个10/100/1000M自适应光口</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输出接口：不少于1×HDMI，1×VGA</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台</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w:t>
            </w:r>
            <w:r>
              <w:rPr>
                <w:rFonts w:hint="eastAsia" w:ascii="宋体" w:hAnsi="宋体" w:eastAsia="宋体" w:cs="宋体"/>
                <w:sz w:val="21"/>
                <w:szCs w:val="24"/>
              </w:rPr>
            </w:r>
            <w:r/>
          </w:p>
        </w:tc>
      </w:tr>
      <w:tr>
        <w:trPr>
          <w:trHeight w:val="2051"/>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4</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其他设备</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电视墙服务器</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jc w:val="left"/>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一、硬件要求</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为了保证会议室安静无噪音，设备必须采用无风扇静音设计。</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为有效保障设备能够安全使用，设备单电源模块需支持12V及以下的安全供电。</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单台设备必须最少具备2个千兆网口，有网口备份功能。</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单台设备至少具备2路线性音频输入和2路线性音频输出接口。</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单台设备具备4路HDMI接口输出和2路HDMI输入，输出分辨率达到4K。</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设备需有2个USB接口。</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二、软件要求</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设备兼容所有符合H.323协议和SIP协议的MCU和终端。</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采用截包方式接入用户网络，不占用用户MCU的资源，不会对原有视频会议系统产生影响。</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设备支持H.265（HEVC）、H.264（AVC）视频编码标准。设备支持解码标准RTMP、RTSP媒体流。</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视频格式支持4K、1080P、720P、4CIF、CIF、VGA、SVGA、SXGA。</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支持多台设备统一管理，分布在多个地方的电视墙服务器可由同一界面统一管理。</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支持模板功能，方便快速切换不同输出模式。</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设备需要支持会场名功能，通道的会场名颜色、大小、位置、字体、背景、样式、透明度可调。</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支持轮巡输出多个画面，支持整屏轮巡和分屏轮巡。</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通道管理支持对输出图像的亮度、对比度、色调、饱和度进行调整。</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设备每路视频输出口均支持1、2、3、4、5＋1、1+5、7＋1、1+7、9、8＋2、12＋1、16等多种分屏模式，并且在会议过程中可以任意切换且不占用解码资源。</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支持对与会会场的音视频同步解码输出。</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支持每路视频可以在电视墙服务器的多个通道重复输出，不额外占用解码路数。</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支持通道在线实时预览功能，即在浏览器的管理界面中，通过点击“通道预览”按钮，在弹出窗口中，通过切换通道号，直接预览所有通道实时解码输出的分屏效果及会场图像，为管理员操作提供便利。</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设备需要支持H.239、BFCP双流协议，支持4K、1080P等各种分辨率下的双流输出，可选择单独显示会场画面或者双流画面。</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设备支持多会议、多MCU模式，不同会议中、MCU中的终端画面可以显示在同一电视墙上。即电视墙支持同时连接多个抓包设备，进行解码输出。</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单台设备具备同时解码50路1080P视频的能力；或同时解码12路4K分辨率视频的能力。</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支持与</w:t>
            </w:r>
            <w:r>
              <w:rPr>
                <w:rFonts w:hint="eastAsia" w:ascii="宋体" w:hAnsi="宋体" w:eastAsia="宋体" w:cs="宋体"/>
                <w:sz w:val="21"/>
                <w:szCs w:val="24"/>
                <w:lang w:val="en-US" w:eastAsia="zh-CN" w:bidi="ar"/>
              </w:rPr>
              <w:t xml:space="preserve">原有</w:t>
            </w:r>
            <w:r>
              <w:rPr>
                <w:rFonts w:hint="eastAsia" w:ascii="宋体" w:hAnsi="宋体" w:eastAsia="宋体" w:cs="宋体"/>
                <w:sz w:val="21"/>
                <w:szCs w:val="24"/>
                <w:lang w:eastAsia="zh-CN" w:bidi="ar"/>
              </w:rPr>
              <w:t xml:space="preserve">管理平台推流对接，无需镜像抓包，由SMC推流至电视墙输出显示。达到和</w:t>
            </w:r>
            <w:r>
              <w:rPr>
                <w:rFonts w:hint="eastAsia" w:ascii="宋体" w:hAnsi="宋体" w:eastAsia="宋体" w:cs="宋体"/>
                <w:sz w:val="21"/>
                <w:szCs w:val="24"/>
                <w:lang w:val="en-US" w:eastAsia="zh-CN" w:bidi="ar"/>
              </w:rPr>
              <w:t xml:space="preserve">原有</w:t>
            </w:r>
            <w:r>
              <w:rPr>
                <w:rFonts w:hint="eastAsia" w:ascii="宋体" w:hAnsi="宋体" w:eastAsia="宋体" w:cs="宋体"/>
                <w:sz w:val="21"/>
                <w:szCs w:val="24"/>
                <w:lang w:eastAsia="zh-CN" w:bidi="ar"/>
              </w:rPr>
              <w:t xml:space="preserve">视频会议同等效果。</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台</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w:t>
            </w:r>
            <w:r>
              <w:rPr>
                <w:rFonts w:hint="eastAsia" w:ascii="宋体" w:hAnsi="宋体" w:eastAsia="宋体" w:cs="宋体"/>
                <w:sz w:val="21"/>
                <w:szCs w:val="24"/>
              </w:rPr>
            </w:r>
            <w:r/>
          </w:p>
        </w:tc>
      </w:tr>
      <w:tr>
        <w:trPr>
          <w:trHeight w:val="575"/>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5</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电视墙数据处理器</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jc w:val="left"/>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1、服务器必须采用标准硬件结构和嵌入式系统，提供不少于四个千兆以太网口，采用12V安全供电，通过镜像方式来获取数据，采用WEB方式管理，实现远程管理和维护。</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2、兼容各种主流符合H.</w:t>
            </w:r>
            <w:r>
              <w:rPr>
                <w:rFonts w:hint="eastAsia" w:ascii="宋体" w:hAnsi="宋体" w:eastAsia="宋体" w:cs="宋体"/>
                <w:sz w:val="21"/>
                <w:szCs w:val="24"/>
                <w:highlight w:val="none"/>
                <w:lang w:eastAsia="zh-CN" w:bidi="ar"/>
              </w:rPr>
              <w:t xml:space="preserve">323、SIP通讯协议，H.239、BFCP辅流协议的MCU和终端，包括</w:t>
            </w:r>
            <w:r>
              <w:rPr>
                <w:rFonts w:hint="eastAsia" w:ascii="宋体" w:hAnsi="宋体" w:eastAsia="宋体" w:cs="宋体"/>
                <w:sz w:val="21"/>
                <w:szCs w:val="24"/>
                <w:highlight w:val="none"/>
                <w:lang w:val="en-US" w:eastAsia="zh-CN" w:bidi="ar"/>
              </w:rPr>
              <w:t xml:space="preserve">但不限于</w:t>
            </w:r>
            <w:r>
              <w:rPr>
                <w:rFonts w:hint="eastAsia" w:ascii="宋体" w:hAnsi="宋体" w:eastAsia="宋体" w:cs="宋体"/>
                <w:sz w:val="21"/>
                <w:szCs w:val="24"/>
                <w:highlight w:val="none"/>
                <w:lang w:eastAsia="zh-CN" w:bidi="ar"/>
              </w:rPr>
              <w:t xml:space="preserve">华为、中兴、宝利通、思科、中创、亿联、科达、AVAYA、LifeSize等。支持RTSP、RTMP、RTP实时流协议。支持H.264、H.265视频编码协议，支持AAC、G.7系列音频协议。</w:t>
            </w:r>
            <w:r>
              <w:rPr>
                <w:rFonts w:hint="eastAsia" w:ascii="宋体" w:hAnsi="宋体" w:eastAsia="宋体" w:cs="宋体"/>
                <w:sz w:val="21"/>
                <w:szCs w:val="24"/>
                <w:highlight w:val="none"/>
                <w:lang w:eastAsia="zh-CN" w:bidi="ar"/>
              </w:rPr>
              <w:br w:type="textWrapping" w:clear="all"/>
            </w:r>
            <w:r>
              <w:rPr>
                <w:rFonts w:hint="eastAsia" w:ascii="宋体" w:hAnsi="宋体" w:eastAsia="宋体" w:cs="宋体"/>
                <w:sz w:val="21"/>
                <w:szCs w:val="24"/>
                <w:highlight w:val="none"/>
                <w:lang w:eastAsia="zh-CN" w:bidi="ar"/>
              </w:rPr>
              <w:t xml:space="preserve">3、支持自动/手动I帧申请，以保证在网络丢包状态下的图像质量，支持与</w:t>
            </w:r>
            <w:r>
              <w:rPr>
                <w:rFonts w:hint="eastAsia" w:ascii="宋体" w:hAnsi="宋体" w:eastAsia="宋体" w:cs="宋体"/>
                <w:sz w:val="21"/>
                <w:szCs w:val="24"/>
                <w:highlight w:val="none"/>
                <w:lang w:eastAsia="zh-CN" w:bidi="ar"/>
              </w:rPr>
              <w:t xml:space="preserve">包括</w:t>
            </w:r>
            <w:r>
              <w:rPr>
                <w:rFonts w:hint="eastAsia" w:ascii="宋体" w:hAnsi="宋体" w:eastAsia="宋体" w:cs="宋体"/>
                <w:sz w:val="21"/>
                <w:szCs w:val="24"/>
                <w:highlight w:val="none"/>
                <w:lang w:val="en-US" w:eastAsia="zh-CN" w:bidi="ar"/>
              </w:rPr>
              <w:t xml:space="preserve">但不限于</w:t>
            </w:r>
            <w:r>
              <w:rPr>
                <w:rFonts w:hint="eastAsia" w:ascii="宋体" w:hAnsi="宋体" w:eastAsia="宋体" w:cs="宋体"/>
                <w:sz w:val="21"/>
                <w:szCs w:val="24"/>
                <w:highlight w:val="none"/>
                <w:lang w:eastAsia="zh-CN" w:bidi="ar"/>
              </w:rPr>
              <w:t xml:space="preserve">华为、宝利通、中兴、思科、中创、亿联、科达等主流视频会</w:t>
            </w:r>
            <w:r>
              <w:rPr>
                <w:rFonts w:hint="eastAsia" w:ascii="宋体" w:hAnsi="宋体" w:eastAsia="宋体" w:cs="宋体"/>
                <w:sz w:val="21"/>
                <w:szCs w:val="24"/>
                <w:lang w:eastAsia="zh-CN" w:bidi="ar"/>
              </w:rPr>
              <w:t xml:space="preserve">议品牌的I帧申请机制。</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bidi="ar"/>
              </w:rPr>
              <w:t xml:space="preserve">4、支持4K、1080P、720P、SXGA、WSXGA等分辨率，最高支持60FPS。</w:t>
            </w:r>
            <w:r>
              <w:rPr>
                <w:rFonts w:hint="eastAsia" w:ascii="宋体" w:hAnsi="宋体" w:eastAsia="宋体" w:cs="宋体"/>
                <w:sz w:val="21"/>
                <w:szCs w:val="24"/>
                <w:lang w:bidi="ar"/>
              </w:rPr>
              <w:br w:type="textWrapping" w:clear="all"/>
            </w:r>
            <w:r>
              <w:rPr>
                <w:rFonts w:hint="eastAsia" w:ascii="宋体" w:hAnsi="宋体" w:eastAsia="宋体" w:cs="宋体"/>
                <w:sz w:val="21"/>
                <w:szCs w:val="24"/>
                <w:lang w:eastAsia="zh-CN" w:bidi="ar"/>
              </w:rPr>
              <w:t xml:space="preserve">5、支持抓取级联会议模式下，二级MCU中的任意终端码流。</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台</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w:t>
            </w:r>
            <w:r>
              <w:rPr>
                <w:rFonts w:hint="eastAsia" w:ascii="宋体" w:hAnsi="宋体" w:eastAsia="宋体" w:cs="宋体"/>
                <w:sz w:val="21"/>
                <w:szCs w:val="24"/>
              </w:rPr>
            </w:r>
            <w:r/>
          </w:p>
        </w:tc>
      </w:tr>
      <w:tr>
        <w:trPr>
          <w:trHeight w:val="6288"/>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6</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视频会议终端</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jc w:val="left"/>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采用分体式结构，嵌入式操作系统，非PC、非工控机架构，至少包括视音频编解码单元、CPU处理单元、可编程逻辑芯片、电源模块、时钟芯片、视频输入输出芯片等。</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支持64Kbps-8Mbps呼叫带宽。</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支持ITU-T H.323、IETF SIP通信标准，具备良好的兼容性和开放性。</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支持H.264 SVC、H.264 BP、H.264 HP、H.265 SVC、H.265等图像编码协议。</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支持G.711、G.722、G.722.1C、G.729A、AAC-LD、Opus等音频协议，支持双声道立体声功能。</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bidi="ar"/>
              </w:rPr>
              <w:t xml:space="preserve">支持4K30fps、1080p60fps、1080p30fps、720p60 fps、720p30fps等分辨率。</w:t>
            </w:r>
            <w:r>
              <w:rPr>
                <w:rFonts w:hint="eastAsia" w:ascii="宋体" w:hAnsi="宋体" w:eastAsia="宋体" w:cs="宋体"/>
                <w:sz w:val="21"/>
                <w:szCs w:val="24"/>
                <w:lang w:bidi="ar"/>
              </w:rPr>
              <w:br w:type="textWrapping" w:clear="all"/>
            </w:r>
            <w:r>
              <w:rPr>
                <w:rFonts w:hint="eastAsia" w:ascii="宋体" w:hAnsi="宋体" w:eastAsia="宋体" w:cs="宋体"/>
                <w:sz w:val="21"/>
                <w:szCs w:val="24"/>
                <w:lang w:eastAsia="zh-CN" w:bidi="ar"/>
              </w:rPr>
              <w:t xml:space="preserve">支持ITU-T H.239和IETF BFCP双流协议。</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支持主流达到4K30fps情况下，辅流同时达到4K30fps。</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支持≥4路高清视频输入接口（至少含3个HDMI输入口）、≥3路高清视频输出接口。</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支持≥4路独立音频输入接口、≥4路独立音频输出接口，至少具备卡侬头、RCA等音频接口。</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支持摄像头一线连接终端，实现同时传输视频信号、控制信号和摄像头供电。</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支持高清视频信号远距离传输，通过以太网线无需借助额外设备，4K60fps高清信号传输距离≥100米。</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支持IP网络升降速，可根据IP网络带宽的变化，自动调整会议中视音频带宽，保证图像语音质量良好。</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支持80%的网络丢包时，声音清晰流畅，不影响会议继续进行。</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视频画面经过本地采集、编码、网络传输、解码、显示输出后整体时延不超过120ms。</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支持1Mbps会议带宽下，实现4K30帧图像格式编解码；支持512Kbps会议带宽下，实现1080P60帧图像格式编解码；384Kbps会议带宽下，实现1080P30帧图像格式编解码；256Kbps会议带宽下，实现720P30帧图像格式编解码。</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支持IPv4和IPv6网络协议。</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支持单屏三显功能，在一个显示设备上显示远端图像、本端图像及双流图像。</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支持终端上电开机后，自动调用摄像机的预置位，无须人工干预，。</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支持7×24小时连续正常工作，无死机、无音视频卡顿现象。</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按组织层级和权限级别设置不同呼叫等级，呼叫等级按数值大小排序，处于通话状态的视频会议终端，收到高呼叫等级的呼叫请求后，保持当前的通话状态，并接听新的呼叫。当新的通话结束后，如原通话仍处于有效状态，则自动恢复原呼叫。</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支持会场名叠加功能，会场名称、字体大小、颜色、显示位置可自定义，会场名支持红色魏碑字体。</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支持在终端前面板显示启动、升级、休眠、异常信息、IP地址、H.323号码、SIP号码等信息。</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支持高温告警功能，当终端内部温度超过临界温度时，界面可弹出告警提示信息。</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支持断点续传功能，在终端升级过程中，发生网络中断、断电重启等情况，恢复后可断点续传，避免升级失败。</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支持还原设备出厂默认参数配置后，保留设备现有IP地址，方便远程设备维护。</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支持在H.323协议下，H.235信令加密；支持在SIP协议下，TLS、SRTP加密；支持AES媒体流加密算法，保证会议安全。</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支持SM2、SM3、SM4国密加密算法。</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标配触控终端，触控屏尺寸≥10英寸，分辨率≥1280×800。</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支持通过有线或无线方式实现与会议终端连接。</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终端休眠和唤醒、网络地址本、创建会议、设置/取消静音、音量调节、打开/关闭摄像机、摄像机PTZ控制、预置位设置及调用、双流共享、呼叫/挂断会场、添加/删除会场、声控切换、观看/广播会场、结束/延长会议、申请及释放主席等功能。</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支持电源适配器、PoE模块、PoE交换机供电。</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lang w:eastAsia="zh-CN"/>
              </w:rPr>
            </w:pP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w:t>
            </w:r>
            <w:r>
              <w:rPr>
                <w:rFonts w:hint="eastAsia" w:ascii="宋体" w:hAnsi="宋体" w:eastAsia="宋体" w:cs="宋体"/>
                <w:sz w:val="21"/>
                <w:szCs w:val="24"/>
              </w:rPr>
            </w:r>
            <w:r/>
          </w:p>
        </w:tc>
      </w:tr>
      <w:tr>
        <w:trPr>
          <w:trHeight w:val="819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7</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4K输入节点</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1.4K输入节点可支持HDMI2.0等接口，输入节点具备1路视频输入接口、1路视频环出接口、1路3.5mm音频输入接口、1路3.5mm音频环出接口、1路3.5mm反向音频输出接口。1个USB Type-B接口、1路千兆电口、2路万兆光口、1个 DB9接口。</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2.输入节点支持4K分辨率采集或输出，支持4096x2160@60Hz、3840x2400@60Hz、3840x2160@60Hz等分辨率视频采集和编码，并向下兼容其他分辨率，无丢帧、卡顿现象。</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3.前面板显示屏可显示设备IP地址、设备型号、自定义名称、MAC，网关，掩码等；</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4.采用4:4:4全色度取样的图像无损处理，还原信号颜色。经过编解码后，画质仍然保持原图像质量、色度、亮度、对比度、饱和度等，帧率不抽帧。支持8bit、10bit图像采样。</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5.信号源由输入节点至输出节点解码输出的延时时间小于等于17ms。</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6.支持在输入通道上叠加台标，包括文字，图片。可自定义字体、颜色、大小、位置、背景色等参数，支持不小于1024*256分辨率的台标显示。</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bidi="ar"/>
              </w:rPr>
            </w:pPr>
            <w:r>
              <w:rPr>
                <w:rFonts w:hint="eastAsia" w:ascii="宋体" w:hAnsi="宋体" w:eastAsia="宋体" w:cs="宋体"/>
                <w:sz w:val="21"/>
                <w:szCs w:val="24"/>
                <w:lang w:bidi="ar"/>
              </w:rPr>
              <w:t xml:space="preserve">7.支持去隔行处理，支持分辨率包括:1920x1080@60i;1920x1080@50i;向下兼容常见分辨率。</w:t>
            </w:r>
            <w:r>
              <w:rPr>
                <w:rFonts w:hint="eastAsia" w:ascii="宋体" w:hAnsi="宋体" w:eastAsia="宋体" w:cs="宋体"/>
                <w:sz w:val="21"/>
                <w:szCs w:val="24"/>
                <w:lang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8.支持非标准视频分辨率EDID导入。</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9.支持单播与组播。支持数据的镜像转发（不少于1024路），可复制及调用。</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10.音视频同步和异步传输。音频独立传输时，当视频切换的时候，音频输出不发生改变，当音频切换的时候，视频输出不发生改变；音频可与视频同源或不同源，在无视频接入的情况下也音频可正常传输；音视频同传时，音视频输入经编码、网络传输后，在解码端可同时进行音视频切换。</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11.支持在输入通道上叠加台标，包括文字，图片。可自定义字体、颜色、大小、位置、背景色等参数，支持不小于1024*256分辨率的台标显示。</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12.支持输入信号丢失指示功能，可在客户端软件中实时检测节点信息，同步时间不小于1s。</w:t>
            </w:r>
            <w:r>
              <w:rPr>
                <w:rFonts w:hint="eastAsia" w:ascii="宋体" w:hAnsi="宋体" w:eastAsia="宋体" w:cs="宋体"/>
                <w:sz w:val="21"/>
                <w:szCs w:val="24"/>
                <w:lang w:eastAsia="zh-CN" w:bidi="ar"/>
              </w:rPr>
            </w:r>
            <w:r/>
          </w:p>
          <w:p>
            <w:pPr>
              <w:pStyle w:val="999"/>
              <w:jc w:val="left"/>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13.可进行信号源/输出分组，支持不少于5级的信号源/输出分组，并可调取、快速上屏、批量切换。</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个</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6</w:t>
            </w:r>
            <w:r>
              <w:rPr>
                <w:rFonts w:hint="eastAsia" w:ascii="宋体" w:hAnsi="宋体" w:eastAsia="宋体" w:cs="宋体"/>
                <w:sz w:val="21"/>
                <w:szCs w:val="24"/>
              </w:rPr>
            </w:r>
            <w:r/>
          </w:p>
        </w:tc>
      </w:tr>
      <w:tr>
        <w:trPr>
          <w:trHeight w:val="2411"/>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8</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4K输出节点</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1.4K输出节点可支持HDMI2.0等接口，输出节点具备1路视频输出接口、1路3.5mm模拟音频输出、1路3.5mm反向模拟音频输入。6个USB Type-A接口、1路千兆电口、2路万兆光口、1个DB9接口。</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2.前面板显示屏可显示设备IP地址、设备型号、自定义名称、MAC，网关，掩码等。</w:t>
            </w:r>
            <w:r>
              <w:rPr>
                <w:rFonts w:hint="eastAsia" w:ascii="宋体" w:hAnsi="宋体" w:eastAsia="宋体" w:cs="宋体"/>
                <w:sz w:val="21"/>
                <w:szCs w:val="24"/>
                <w:lang w:eastAsia="zh-CN" w:bidi="ar"/>
              </w:rPr>
            </w:r>
            <w:r/>
          </w:p>
          <w:p>
            <w:pPr>
              <w:pStyle w:val="999"/>
              <w:jc w:val="left"/>
              <w:rPr>
                <w:rFonts w:hint="eastAsia" w:ascii="宋体" w:hAnsi="宋体" w:eastAsia="宋体" w:cs="宋体"/>
                <w:sz w:val="21"/>
                <w:szCs w:val="24"/>
                <w:lang w:bidi="ar"/>
              </w:rPr>
            </w:pPr>
            <w:r>
              <w:rPr>
                <w:rFonts w:hint="eastAsia" w:ascii="宋体" w:hAnsi="宋体" w:eastAsia="宋体" w:cs="宋体"/>
                <w:sz w:val="21"/>
                <w:szCs w:val="24"/>
                <w:lang w:bidi="ar"/>
              </w:rPr>
              <w:t xml:space="preserve">3.输出节点支持4K分辨率采集或输出，支持4096x2160@60Hz、3840x2400@60Hz、3840x2160@60Hz等分辨率视频采集和编码，并向下兼容其他分辨率，无丢帧、卡顿现象。</w:t>
            </w:r>
            <w:r>
              <w:rPr>
                <w:rFonts w:hint="eastAsia" w:ascii="宋体" w:hAnsi="宋体" w:eastAsia="宋体" w:cs="宋体"/>
                <w:sz w:val="21"/>
                <w:szCs w:val="24"/>
                <w:lang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4.信号源由输入节点至输出节点解码输出的延时时间小于等于17ms。</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5.信号切换、预案调取时无黑场、闪屏、画面静止等中间过度状态。</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bidi="ar"/>
              </w:rPr>
            </w:pPr>
            <w:r>
              <w:rPr>
                <w:rFonts w:hint="eastAsia" w:ascii="宋体" w:hAnsi="宋体" w:eastAsia="宋体" w:cs="宋体"/>
                <w:sz w:val="21"/>
                <w:szCs w:val="24"/>
                <w:lang w:eastAsia="zh-CN" w:bidi="ar"/>
              </w:rPr>
              <w:t xml:space="preserve">6.支持单播与组播。支持数据的镜像转发(不少于1024路)，可复制及调用。</w:t>
            </w:r>
            <w:r>
              <w:rPr>
                <w:rFonts w:hint="eastAsia" w:ascii="宋体" w:hAnsi="宋体" w:eastAsia="宋体" w:cs="宋体"/>
                <w:sz w:val="21"/>
                <w:szCs w:val="24"/>
                <w:lang w:eastAsia="zh-CN" w:bidi="ar"/>
              </w:rPr>
            </w:r>
            <w:r/>
          </w:p>
          <w:p>
            <w:pPr>
              <w:pStyle w:val="999"/>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7.支持在输出节点上进行字符叠加，可自定义字体、颜色、大小、位置、背景色等参数。</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个</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2</w:t>
            </w:r>
            <w:r>
              <w:rPr>
                <w:rFonts w:hint="eastAsia" w:ascii="宋体" w:hAnsi="宋体" w:eastAsia="宋体" w:cs="宋体"/>
                <w:sz w:val="21"/>
                <w:szCs w:val="24"/>
              </w:rPr>
            </w:r>
            <w:r/>
          </w:p>
        </w:tc>
      </w:tr>
      <w:tr>
        <w:trPr>
          <w:trHeight w:val="5511"/>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9</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无线手持话筒（一拖二）</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jc w:val="left"/>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1.包含无线话筒数字接收机</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2.包含无线手持话筒头（含发射机）*2</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3.集成话筒振膜设计:-10 dB增益衰减</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4.轻质耐用结构</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5.每个频带多达12个兼容系统（视区域而定）</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6.XLR和1/4英寸输出接口</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7.微处理器控制的内部天线分集</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8.可调节的输出电平</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9.可拆卸的天线</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10.延迟：≤3.2ms</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11.总谐波失真：≤0.02%</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12.话筒头：</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13.动圈式，心型拾音模式</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14.频率响应：优于50Hz-15kHz</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15. 灵敏度：（dBV/Pa）：＞-54,5 dBV/Pa</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16.支持2节AA电池或充电锂电池</w:t>
            </w:r>
            <w:r>
              <w:rPr>
                <w:rFonts w:hint="eastAsia" w:ascii="宋体" w:hAnsi="宋体" w:eastAsia="宋体" w:cs="宋体"/>
                <w:sz w:val="21"/>
                <w:szCs w:val="24"/>
                <w:lang w:eastAsia="zh-CN" w:bidi="ar"/>
              </w:rPr>
              <w:br w:type="textWrapping" w:clear="all"/>
            </w:r>
            <w:r>
              <w:rPr>
                <w:rFonts w:hint="eastAsia" w:ascii="宋体" w:hAnsi="宋体" w:eastAsia="宋体" w:cs="宋体"/>
                <w:sz w:val="21"/>
                <w:szCs w:val="24"/>
                <w:lang w:eastAsia="zh-CN" w:bidi="ar"/>
              </w:rPr>
              <w:t xml:space="preserve">17.手持发射机有电量显示</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个</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w:t>
            </w:r>
            <w:r>
              <w:rPr>
                <w:rFonts w:hint="eastAsia" w:ascii="宋体" w:hAnsi="宋体" w:eastAsia="宋体" w:cs="宋体"/>
                <w:sz w:val="21"/>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10</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综合布线</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99"/>
              <w:jc w:val="center"/>
              <w:rPr>
                <w:rFonts w:hint="eastAsia" w:ascii="宋体" w:hAnsi="宋体" w:eastAsia="宋体" w:cs="宋体"/>
                <w:sz w:val="21"/>
                <w:szCs w:val="24"/>
                <w:lang w:eastAsia="zh-CN"/>
              </w:rPr>
            </w:pPr>
            <w:r>
              <w:rPr>
                <w:rFonts w:hint="eastAsia" w:ascii="宋体" w:hAnsi="宋体" w:eastAsia="宋体" w:cs="宋体"/>
                <w:sz w:val="21"/>
                <w:szCs w:val="24"/>
                <w:lang w:eastAsia="zh-CN" w:bidi="ar"/>
              </w:rPr>
              <w:t xml:space="preserve">指挥调度硬件综合布线</w:t>
            </w:r>
            <w:r>
              <w:rPr>
                <w:rFonts w:hint="eastAsia" w:ascii="宋体" w:hAnsi="宋体" w:eastAsia="宋体" w:cs="宋体"/>
                <w:sz w:val="21"/>
                <w:szCs w:val="24"/>
                <w:lang w:eastAsia="zh-CN"/>
              </w:rPr>
            </w:r>
            <w:r/>
          </w:p>
        </w:tc>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999"/>
              <w:rPr>
                <w:rFonts w:ascii="宋体" w:hAnsi="宋体" w:eastAsia="宋体" w:cs="宋体"/>
                <w:sz w:val="21"/>
                <w:szCs w:val="24"/>
                <w:lang w:val="en-US" w:eastAsia="zh-CN"/>
              </w:rPr>
            </w:pPr>
            <w:r>
              <w:rPr>
                <w:rFonts w:hint="eastAsia" w:ascii="宋体" w:hAnsi="宋体" w:eastAsia="宋体" w:cs="宋体"/>
                <w:sz w:val="21"/>
                <w:szCs w:val="24"/>
                <w:lang w:eastAsia="zh-CN" w:bidi="ar"/>
              </w:rPr>
              <w:t xml:space="preserve">提供中心机房至大厅调音台敷设视频会议终端所需音频线缆</w:t>
            </w:r>
            <w:r>
              <w:rPr>
                <w:rFonts w:hint="eastAsia" w:ascii="宋体" w:hAnsi="宋体" w:eastAsia="宋体" w:cs="宋体"/>
                <w:sz w:val="21"/>
                <w:szCs w:val="24"/>
                <w:lang w:val="en-US" w:eastAsia="zh-CN" w:bidi="ar"/>
              </w:rPr>
              <w:t xml:space="preserve">布线服务</w:t>
            </w:r>
            <w:r>
              <w:rPr>
                <w:rFonts w:hint="eastAsia" w:ascii="宋体" w:hAnsi="宋体" w:eastAsia="宋体" w:cs="宋体"/>
                <w:sz w:val="21"/>
                <w:szCs w:val="24"/>
                <w:lang w:eastAsia="zh-CN" w:bidi="ar"/>
              </w:rPr>
              <w:t xml:space="preserve">，满足视频会议收听及发言的需求，</w:t>
            </w:r>
            <w:r>
              <w:rPr>
                <w:rFonts w:hint="eastAsia" w:ascii="宋体" w:hAnsi="宋体" w:eastAsia="宋体" w:cs="宋体"/>
                <w:sz w:val="21"/>
                <w:szCs w:val="24"/>
                <w:lang w:val="en-US" w:eastAsia="zh-CN" w:bidi="ar"/>
              </w:rPr>
              <w:t xml:space="preserve">投标人可自行联系采购人前往勘探。</w:t>
            </w:r>
            <w:r>
              <w:rPr>
                <w:rFonts w:ascii="宋体" w:hAnsi="宋体" w:eastAsia="宋体" w:cs="宋体"/>
                <w:sz w:val="21"/>
                <w:szCs w:val="24"/>
                <w:lang w:val="en-US"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项</w:t>
            </w:r>
            <w:r>
              <w:rPr>
                <w:rFonts w:hint="eastAsia" w:ascii="宋体" w:hAnsi="宋体" w:eastAsia="宋体" w:cs="宋体"/>
                <w:sz w:val="21"/>
                <w:szCs w:val="24"/>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99"/>
              <w:jc w:val="center"/>
              <w:rPr>
                <w:rFonts w:hint="eastAsia" w:ascii="宋体" w:hAnsi="宋体" w:eastAsia="宋体" w:cs="宋体"/>
                <w:sz w:val="21"/>
                <w:szCs w:val="24"/>
              </w:rPr>
            </w:pPr>
            <w:r>
              <w:rPr>
                <w:rFonts w:hint="eastAsia" w:ascii="宋体" w:hAnsi="宋体" w:eastAsia="宋体" w:cs="宋体"/>
                <w:sz w:val="21"/>
                <w:szCs w:val="24"/>
                <w:lang w:bidi="ar"/>
              </w:rPr>
              <w:t xml:space="preserve">1</w:t>
            </w:r>
            <w:r>
              <w:rPr>
                <w:rFonts w:hint="eastAsia" w:ascii="宋体" w:hAnsi="宋体" w:eastAsia="宋体" w:cs="宋体"/>
                <w:sz w:val="21"/>
                <w:szCs w:val="24"/>
              </w:rPr>
            </w:r>
            <w:r/>
          </w:p>
        </w:tc>
      </w:tr>
    </w:tbl>
    <w:p>
      <w:pPr>
        <w:pStyle w:val="999"/>
        <w:numPr>
          <w:ilvl w:val="0"/>
          <w:numId w:val="0"/>
        </w:numPr>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pStyle w:val="999"/>
        <w:numPr>
          <w:ilvl w:val="0"/>
          <w:numId w:val="0"/>
        </w:numPr>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（六）集成需求</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系统整合集成：需按照“一部门一系统”要求，通过业务整合、数据对接、能力复用等方式完成无锡市“一网统管”城市运行管理平台（一期）、无锡市无人机低空巡管共享服务平台等11个历史分散子系统的整合。其中城市生命体征小屏端系统、社情民意速办平台、数字底座能力运营平台、AI中台等6个历史子系统采用统一身份认证对接方式完成系统集成改造。</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数据集成共享：需完成跨部门数据集成，接入公安、人社、市监等多部门数据，构建涉人、涉企等五大主题库，遵循《“一网统管”数据接入规范》等标准，实现数据统一归集、清洗、共享，保障数据准确性、及时性和完整性，为城市运行跨部门场景方案提供数据支撑。</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外部系统对接集成：需实现与综治网格化平台、城管运管服、120接报等外部系统的数据共享与业务协同，支持视频数据、事件信息等跨系统互通，满足多源事件统一汇聚、指挥调度需求。</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业务集成：横向业务集成需实现与市城管局、市委政法委、市公安局等单位的业务协同，打通“高效处置一件事”横向业务链路，支撑与横向部门系统的实时数据交互、事件协同处置。纵向业务集成需贯通市、县（区）、镇（街道）三级城运体系，围绕“实时监测、动态分析、指挥调度、综合评价”四大环节，以“平台贯通、业务共享”两种贯穿方式为主，在3个区县开展模块试点贯穿工作，实现智能中枢能力下沉与业务中枢模块使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硬件与系统集成：需完成指挥大厅会议系统、分布式显控系统、扩声系统的升级集成，实现新增硬件设备与现有系统的无缝对接，满足视频共享、多渠道会商等业务场景需求。</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ind w:left="0" w:firstLine="0"/>
        <w:spacing w:line="360" w:lineRule="auto"/>
        <w:rPr>
          <w:rFonts w:hint="eastAsia"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五、项目其他要求</w:t>
      </w:r>
      <w:r>
        <w:rPr>
          <w:rFonts w:hint="eastAsia" w:ascii="黑体" w:hAnsi="黑体" w:eastAsia="黑体" w:cs="黑体"/>
          <w:sz w:val="28"/>
          <w:szCs w:val="28"/>
          <w:lang w:val="en-US" w:eastAsia="zh-CN" w:bidi="ar-SA"/>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（一）</w:t>
      </w:r>
      <w:r>
        <w:rPr>
          <w:rFonts w:hint="eastAsia" w:ascii="黑体" w:hAnsi="黑体" w:eastAsia="黑体" w:cs="黑体"/>
          <w:sz w:val="24"/>
          <w:szCs w:val="24"/>
          <w:lang w:eastAsia="zh-CN"/>
        </w:rPr>
        <w:t xml:space="preserve">项目实施要求</w:t>
      </w:r>
      <w:r>
        <w:rPr>
          <w:rFonts w:hint="eastAsia" w:ascii="黑体" w:hAnsi="黑体" w:eastAsia="黑体" w:cs="黑体"/>
          <w:sz w:val="24"/>
          <w:szCs w:val="24"/>
          <w:lang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1．质量要求</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（1）能够保质保量完成本项目的开发及实施任务，能够让产品最终展现形式满足采购人需求，能够在使用中得到应有的功能体现。</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（2）中标人应按照 ISO9001 系列相应规范或等同的标准为项目的实施、完工和完善建立适当和可行的质量保证体系，用于衡量实施质量。衡量质量标准的指标一般包括集成服务实施涉及范围、具体的实施步骤、周期估计、成本预算、工作详细内容安排、质量指标要求以及客户满意度等。</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（3）中标人应按照质量保证体系的要求，提供、填写、整理并保存任何必要的过程记录。这些过程记录应随时可供建设单位、实施单位、监理工程师或有关主管部门查阅。</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（4）在执行过程中采取有效措施来监控实际运行，根据要求收集过程中的相关信息，观察、分析实际情况以便监控。为了达到有效监控的目的，可以利用的监控措施与沟通渠道包括：</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①正式的监控与沟通渠道，例如进度报告、例会、里程碑会议、各种会议纪要等；</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②非正式的监控与沟通渠道，例如与小组成员或最终用户进行交谈与讨论，与采购人进行非正式的交流等。</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（5）关于质保期要求，自项目终验合格之日起，中标人须提供项目整体质保期三年，其中软件三年免费运维，硬件五年质保服务。</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2．项目管理要求</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（1）中标人应签署《廉洁履约承诺书》作为合同附件，将廉洁履约纳入合同范围，中标人承诺在项目履行过程中严格按照相关要求约束自身行为，并自愿承担违反廉洁履约承诺的相应后果。</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（2）中标人在项目实施过程中，需对项目进行规范化管理，要有项目管理组织、项目管理计划、项目进度计划、项目验收计划等方案，确保项目实施质量。</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（3）提供联合工作机制，中标人承诺成立由采购方业务骨干和中标方业务专家组成的“业务联合设计组”，并给出具体的组织架构、工作章程和例会制度。</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中标人应合理安排综合服务计划，科学合理制定综合服务实施方案，方案需包括明确的场景实施方案、架构设计方案、项目管理方案、质量保证方案等。签订合同后2个月内向采购方提交审定。</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5）中标人应接受采购人委派的监理机构、审计机构的监督，包括但不限于业务系统架构、技术架构、数据接口、消息服务接口和类型、系统接口和类型、业务流程、业务分类、基础数据、业务数据、定制开发代码等项目资料信息并配合系统对接、联调等相关工作，不得以保密、分权分域、知识产权或其他理由拒绝。</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6）中标人对提供的所有集成服务、硬件购置及其他保证系统完整性的相应工作和项目质量负责。在项目实施过程中（从开始供货、安装测试、软件验收直至售后服务）严格执行本招标文件、项目合同中有关的技术、商务条款。</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（7）中标人选用的硬件设备和系统软件，如达不到测评和验收要求的，应无条件更换并不得拖延验收时间。</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（8）中标人应当接受和配合相关部门对项目建设情况进行监督检查及绩效评价。</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（9）中标人有义务为采购内容提供支持，支持但不限于产品相关技术文档、软件接口规范说明的提供，中标人不得收取额外费用。</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（10）关于项目变更管理，因项目范围变化导致的变更，由采购人与中标人协商解决。</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3．履约验收要求</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（1）履约验收主体</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无锡市市域社会治理现代化指挥中心</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highlight w:val="none"/>
          <w:lang w:val="en-US" w:eastAsia="zh-CN"/>
        </w:rPr>
      </w:pPr>
      <w:r>
        <w:rPr>
          <w:rFonts w:hint="eastAsia" w:ascii="宋体" w:hAnsi="宋体" w:eastAsia="宋体" w:cs="宋体"/>
          <w:lang w:val="en-US" w:eastAsia="zh-CN"/>
        </w:rPr>
        <w:t xml:space="preserve">（2）履约验收时间</w:t>
      </w:r>
      <w:r>
        <w:rPr>
          <w:rFonts w:hint="eastAsia" w:ascii="宋体" w:hAnsi="宋体" w:eastAsia="宋体" w:cs="宋体"/>
          <w:highlight w:val="none"/>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highlight w:val="none"/>
          <w:lang w:val="en-US" w:eastAsia="zh-CN"/>
        </w:rPr>
        <w:t xml:space="preserve">项目自合同签订后9个月内完成开发、在市级信创政务云完成部署、联调测试并具备稳定运行条件及上线工作。建设过程中及建设完成后，必须按照相关标准及规范进行验收，遵循初验、试运行、终验（竣工验收）环节。项目建成后可进行</w:t>
      </w:r>
      <w:r>
        <w:rPr>
          <w:rFonts w:hint="eastAsia" w:ascii="宋体" w:hAnsi="宋体" w:eastAsia="宋体" w:cs="宋体"/>
          <w:lang w:val="en-US" w:eastAsia="zh-CN"/>
        </w:rPr>
        <w:t xml:space="preserve">初验，初验通过后进入试运行期，试运行期为3-6个月，试运行结束后进行终验。</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（3）履约验收方式</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一次性验收。</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（4）履约验收程序</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试运行期间若发生与技术要求不符或与初验记录不一致的情况时，中标供应商应配合采购人解决问题，否则不予终验。属于中标供应商工作严重失职造成的较大损失的，追究其单位的责任和损失。试运行完成后，中标供应商向采购人提交验收申请，验收方案由采购人最终确定，并在一个月内由采购人组织验收。根据采购人确定的最终验收方案，完成验收。</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（5）履约验收内容和标准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项目初、终验需同时验收项目文档，提交验收的主要文件及内容符合相关文档规范。文档不合格的，不得通过项目初、终验。中标供应商应当负责在项目整体验收前将系统的全部各种相关的系统软件，各阶段开发文档，以及有关产品和系统说明书、安装手册、测试报告等文档汇集成册交付给采购方，如中标供应商不提供以上资料，采购方有权不办理项目整体验收程序。</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4．人员要求</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人员配置应科学、合理、有效，应充分保证人员的数量和质量。项目实施全过程中，中标人应配备符合以下条件的人员： </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（1）项目人员应熟悉制度和相关政策。 </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bookmarkStart w:id="197" w:name="_Toc24830"/>
      <w:r/>
      <w:bookmarkStart w:id="198" w:name="_Toc23485"/>
      <w:r>
        <w:rPr>
          <w:rFonts w:hint="eastAsia" w:ascii="宋体" w:hAnsi="宋体" w:eastAsia="宋体" w:cs="宋体"/>
          <w:lang w:val="en-US" w:eastAsia="zh-CN"/>
        </w:rPr>
        <w:t xml:space="preserve">（2</w:t>
      </w:r>
      <w:bookmarkEnd w:id="197"/>
      <w:r/>
      <w:bookmarkEnd w:id="198"/>
      <w:r>
        <w:rPr>
          <w:rFonts w:hint="eastAsia" w:ascii="宋体" w:hAnsi="宋体" w:eastAsia="宋体" w:cs="宋体"/>
          <w:lang w:val="en-US" w:eastAsia="zh-CN"/>
        </w:rPr>
        <w:t xml:space="preserve">）中标人须配置项目经理，架构负责人，技术负责人和产品负责人等角色人员完成本次技术服务内容。</w:t>
      </w:r>
      <w:r>
        <w:rPr>
          <w:rFonts w:hint="eastAsia" w:ascii="宋体" w:hAnsi="宋体" w:eastAsia="宋体" w:cs="宋体"/>
          <w:lang w:val="en-US" w:eastAsia="zh-CN"/>
        </w:rPr>
        <w:t xml:space="preserve">项目实施期间，驻场人员不少于5个（1人为项目经理，1人为架构负责人，3人为技术保障人员。技术保障人员中，1人为紧急事件跨域联动“慧调度”提供专题资源统计分析服务，该人员在建设完成后需提供一年的运营服务；1人为城运数据仓提供服务；1人为城市治理处置事件“高效评”提供服务）。要求驻场人员按照采购人要求参加工作例会，负责技术培训，提供项目整体实施的技术方案，对项目实施过程中出现的疑难问题提供技术支持。中标人对派出的所有人员的驻场行为负责，如因任何驻场人员的失职、失误及其他行为给采购人造成的损失均由中标人承担责任。</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 中标人更换项目经理和主要技术人员（即架构负责人、技术负责人、产品负责人），需将变更人及其工作影响、替换人资历等情况需报告采购人审核，经同意后方可更换。</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 中标人在项目实施过程中出现资源、进度、质量协调控制不力的情况，采购人有权要求更换相关责任人，中标人必须予以配合，并确保不影响项目建设的进度和质量。</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lang w:val="en-US"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（二）</w:t>
      </w:r>
      <w:r>
        <w:rPr>
          <w:rFonts w:hint="eastAsia" w:ascii="黑体" w:hAnsi="黑体" w:eastAsia="黑体" w:cs="黑体"/>
          <w:sz w:val="24"/>
          <w:szCs w:val="24"/>
          <w:lang w:eastAsia="zh-CN"/>
        </w:rPr>
        <w:t xml:space="preserve">培训要求</w:t>
      </w:r>
      <w:r>
        <w:rPr>
          <w:rFonts w:hint="eastAsia" w:ascii="黑体" w:hAnsi="黑体" w:eastAsia="黑体" w:cs="黑体"/>
          <w:sz w:val="24"/>
          <w:szCs w:val="24"/>
          <w:lang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 中标人应对采购人提供产品使用及维护的培训，包含产品使用期间系统用户、系统维护人员等的培训。培训人员应包括：系统使用人员、系统运行管理人员、系统维护人员等。</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 中标人应根据项目使用需求提供详细的培训方案，培训方案需配套提供 SOP 手册（标准操作流程）。</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 培训效果要求：中标人应详尽培训产品管理的每一项功能，保证采购人系统管理维护人员能独立操作完成产品日常管理、使用、维护及常规故障判别处理。</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（三）</w:t>
      </w:r>
      <w:r>
        <w:rPr>
          <w:rFonts w:hint="eastAsia" w:ascii="黑体" w:hAnsi="黑体" w:eastAsia="黑体" w:cs="黑体"/>
          <w:sz w:val="24"/>
          <w:szCs w:val="24"/>
          <w:lang w:eastAsia="zh-CN"/>
        </w:rPr>
        <w:t xml:space="preserve">合规与安全保障要求</w:t>
      </w:r>
      <w:r>
        <w:rPr>
          <w:rFonts w:hint="eastAsia" w:ascii="黑体" w:hAnsi="黑体" w:eastAsia="黑体" w:cs="黑体"/>
          <w:sz w:val="24"/>
          <w:szCs w:val="24"/>
          <w:lang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1．知识产权要求</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 中标人应保证在本项目使用的任何产品和服务（包括部分使用）时，不会产生因第三方提出侵犯其专利权、商标权或其他知识产权而引起的法律和经济纠纷，如因专利权、商标权或其他知识产权而引起法律和经济纠纷，由中标人承担所有相关责任。</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 本项目在实施过程中的硬件设备所有权、定制化软件产生的知识成果及知识产权归采购人所有。</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 中标人如在项目实施过程中采用自有知识成果，中标人需提供开发接口和开发手册等技术文档，并承诺提供相应的技术支持。</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 本项目产生和承载的数据资源归采购人所有，未经采购人书面同意，中标人不可将数据资源用于本项目之外，包括数据复制、加工、共享、应用和提供给第三方。</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2．项目保密要求</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 自本合同签订之日起，中标人应对在项目前后及过程中获知的、由采购人披露或自身接触到的所有信息承担严格的保密义务。</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 保密信息范围包括但不限于：采购人提供的任何技术文件（含软件、咨询报告、设计方案）、工作业务信息、业务数据、资料文件、知识产权信息，以及通过口头、书面、电子等任何其他形式提供的一切数据、报告、预测和记录。</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 签订本合同的同时，中标人必须与采购人签订《安全保密协议》，此保密协议所规定的保密义务不因本合同的终止而免除。中标人或其员工如违反《安全保密协议》，造成采购人信息泄露，中标人必须承担全部责任并赔偿采购人的一切损失，采购人有权追究中标人的法律责任并终止本合同。</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 在建设过程中，中标人应组织所有项目组成员进行安全和保密培训，增强所有参与项目的人员安全和保密意识。将建立规章制度，并与所有参与者签订保密协议。</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（5） 中标人应按《安全保密协议》的要求，加强成果保密工作，应设置专人在项目建设期间对文档进行检查和管理，形成规范的文档体系，承担因资料等泄密造成的一切责任，项目最终验收后所有资料全部移交给采购人。 </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3．信息安全要求</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（1） 中标人必须遵守采购人的信息安全、数据安全等规章制度，规范组织开发建设工作，制定切实可行的措施保障计划，还应积极配合采购人完成信息安全主管部门对本项目系统信息安全所涉及的监督检查。</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（2） 中标人应确保其提供的系统、软件及代码安全、可靠，并履行审慎核查义务，保证其不被故意植入或包含任何病毒、木马、后门、逻辑炸弹等恶意代码及未声明的隐蔽功能。</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（3） 未经采购人事先书面许可，中标人不得在软件中插入任何可禁用、中断或绕过系统安全机制、审计功能或服务组件的代码。</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（4） 中标人不得擅自留存使用、泄漏，或者向他人提供政务数据，不得擅自将数据作为商业用途，不得擅自向境外提供数据。</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（5） 中标人可在通过网络安全等级保护2.0三级认证基础上，主动配合采购人组织的渗透测试，针对测试发现的安全隐患及问题，及时完成整改修正。</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（四）</w:t>
      </w:r>
      <w:r>
        <w:rPr>
          <w:rFonts w:hint="eastAsia" w:ascii="黑体" w:hAnsi="黑体" w:eastAsia="黑体" w:cs="黑体"/>
          <w:sz w:val="24"/>
          <w:szCs w:val="24"/>
          <w:lang w:eastAsia="zh-CN"/>
        </w:rPr>
        <w:t xml:space="preserve">售后服务要求</w:t>
      </w:r>
      <w:r>
        <w:rPr>
          <w:rFonts w:hint="eastAsia" w:ascii="黑体" w:hAnsi="黑体" w:eastAsia="黑体" w:cs="黑体"/>
          <w:sz w:val="24"/>
          <w:szCs w:val="24"/>
          <w:lang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1．服务响应</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中标人在质量保证期内提供7×24小时电话值守，紧急情况应立即做出响应；一般问题应在30分钟内做出明确响应和安排，2小时内做出故障诊断报告，如需更高能力工程师支持，具有解决故障能力的工程师应在接到服务请求后3小时内到达用户现场提供现场技术服务，并在8小时内完成处理；较为复杂问题处理时限应不超过2天；特殊或系统性问题应在用户规定时限内完成，且处理时限最多不超过10日。无法在1天内完成处理的故障问题，中标人应提供临时保障方案，确保基本业务工作正常进行。</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2．系统故障处理及加固</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如果系统发生故障，中标人要调查故障原因并修复直至满足竣工验收指标和性能的要求，或者更换整个或部分有缺陷的模块，所有涉及的费用均包含在本次投标人的报价中。在使用中发现软件系统存在缺陷的，采购人有权要求中标人进行整改升级处理。所有升级完成后，如出现相关系统或服务运行异常等不良影响的，中标人须负责为采购人恢复受影响系统或服务至正常运行。此外，如中标人推出技术升级程序或系统补丁程序，中标人应在升级程序推出后15日内到现场为采购人提供升级服务，相关费用包含在本项目预算范围内。 </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3．集成实施保障服务</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在运维期间，采购人开展日常系统应急处置及演练、关联系统建设、系统功能测试/检测、重大工作保障等活动时，中标人须根据采购人或用户约定时间及保障服务等要求，派出相关专业技术人员及项目建设人员予以配合。提供事前筹备、事中保障、事后跟踪等服务。承诺在驻场期内与采购人团队混合编组、联合值班，并提交详细的《保障记录表》，确保采购人团队在驻场期满后能独立运维。</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4．技术支援服务 </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当采购人计划开展与本项目相关的后续系统升级、改造、扩建等系统建设工作时，如采购人向中标人提出相应请求，中标人应在要求的时限内组织技术专家团队为采购人提供相关系统建设工作所需的设计、咨询、技术审查、本项目相关开发培训及本项目建成系统联调等技术服务工作。</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5．安全技术保障服务 </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本项目整体质保期内，当系统出现网络安全、数据信息保密安全威胁等事件时，中标人在接到采购人请求后，应立即组成专家技术服务小组到达采购人现场，为采购人提供应急处置和技术支援服务。 </w:t>
      </w:r>
      <w:r>
        <w:rPr>
          <w:rFonts w:hint="eastAsia" w:ascii="宋体" w:hAnsi="宋体" w:eastAsia="宋体" w:cs="宋体"/>
          <w:lang w:val="en-US" w:eastAsia="zh-CN"/>
        </w:rPr>
      </w:r>
      <w:r/>
    </w:p>
    <w:p>
      <w:pPr>
        <w:pStyle w:val="999"/>
        <w:numPr>
          <w:ilvl w:val="0"/>
          <w:numId w:val="0"/>
        </w:numPr>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6．技术资料服务</w:t>
      </w:r>
      <w:r>
        <w:rPr>
          <w:rFonts w:hint="eastAsia" w:ascii="黑体" w:hAnsi="黑体" w:eastAsia="黑体" w:cs="黑体"/>
          <w:sz w:val="24"/>
          <w:szCs w:val="24"/>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中标人为采购人提供保证软件正常运行的必要技术资料（含技术和商业机密的除外）。为采购人提供有关产品知识、操作手册、设备运行维护经验、技术文档等资料。常用资料应提供纸质文档和电子文档，保证资料方便共享，并对采购人如何访问该电子资源进行必要的培训。</w:t>
      </w:r>
      <w:r>
        <w:rPr>
          <w:rFonts w:hint="eastAsia" w:ascii="宋体" w:hAnsi="宋体" w:eastAsia="宋体" w:cs="宋体"/>
          <w:lang w:val="en-US" w:eastAsia="zh-CN"/>
        </w:rPr>
      </w:r>
      <w:r/>
    </w:p>
    <w:p>
      <w:pPr>
        <w:pStyle w:val="999"/>
        <w:numPr>
          <w:ilvl w:val="0"/>
          <w:numId w:val="0"/>
        </w:numPr>
        <w:spacing w:line="360" w:lineRule="auto"/>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（五）</w:t>
      </w:r>
      <w:r>
        <w:rPr>
          <w:rFonts w:hint="eastAsia" w:ascii="黑体" w:hAnsi="黑体" w:eastAsia="黑体" w:cs="黑体"/>
          <w:sz w:val="24"/>
          <w:szCs w:val="24"/>
          <w:lang w:eastAsia="zh-CN"/>
        </w:rPr>
        <w:t xml:space="preserve">考核办法</w:t>
      </w:r>
      <w:r>
        <w:rPr>
          <w:rFonts w:hint="eastAsia" w:ascii="黑体" w:hAnsi="黑体" w:eastAsia="黑体" w:cs="黑体"/>
          <w:sz w:val="24"/>
          <w:szCs w:val="24"/>
          <w:lang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为保障技术服务质量和系统安全稳定运行，在合同约定的范围内，中标人严格遵守服务质量承诺及相关管理规定，对于违反服务质量承诺和服务水平约定造成服务质量下降的进行考核。考核内容包括重大安全事故情形、技术服务期间完成进度考核、质量考核（包含系统安全稳定运行、安全管理等）、技术服务、满意度等5个方面。具体考核细则如下：</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第一条  为保障无锡市“一网统管”城市运行管理平台(扩续建2025)项目 （以下简称“项目”）安全稳定运行，达到研发、运用预期目的，落实协议约定合作事项，结合工作实际，制定本办法。</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第二条  考核内容包括重大安全事故情形、技术服务期间完成进度考核、质量考核（包含系统安全稳定运行、安全管理等）、技术服务、满意度等5个方面（具体详见《考核评分表》），并可根据服务内容及相关工作要求具体明确与适当调整。</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第三条  采购人和中标人双方应明确专人负责本项目的相关联系协调工作，涉及重大安全事故、加扣分情形，以双方工作人员确认书面文书作为考核依据。</w:t>
      </w:r>
      <w:r>
        <w:rPr>
          <w:rFonts w:hint="eastAsia" w:ascii="宋体" w:hAnsi="宋体" w:eastAsia="宋体" w:cs="宋体"/>
          <w:lang w:val="en-US" w:eastAsia="zh-CN"/>
        </w:rPr>
      </w:r>
      <w:r/>
    </w:p>
    <w:p>
      <w:pPr>
        <w:pStyle w:val="999"/>
        <w:numPr>
          <w:ilvl w:val="0"/>
          <w:numId w:val="0"/>
        </w:numPr>
        <w:ind w:left="0" w:firstLine="420"/>
        <w:keepLines w:val="0"/>
        <w:keepNext w:val="0"/>
        <w:pageBreakBefore w:val="0"/>
        <w:spacing w:line="300" w:lineRule="auto"/>
        <w:widowControl w:val="off"/>
        <w:tabs>
          <w:tab w:val="left" w:pos="0" w:leader="none"/>
        </w:tabs>
        <w:rPr>
          <w:rFonts w:hint="eastAsia" w:ascii="宋体" w:hAnsi="宋体" w:eastAsia="宋体" w:cs="宋体"/>
          <w:lang w:val="en-US" w:eastAsia="zh-CN"/>
        </w:rPr>
      </w:pPr>
      <w:r>
        <w:rPr>
          <w:rFonts w:hint="eastAsia" w:ascii="宋体" w:hAnsi="宋体" w:eastAsia="宋体" w:cs="宋体"/>
          <w:lang w:val="en-US" w:eastAsia="zh-CN"/>
        </w:rPr>
        <w:t xml:space="preserve">第四条  其他涉及运行维护考核的未尽事宜，由采购人和中标人双方协商确定。</w:t>
      </w:r>
      <w:r>
        <w:rPr>
          <w:rFonts w:hint="eastAsia" w:ascii="宋体" w:hAnsi="宋体" w:eastAsia="宋体" w:cs="宋体"/>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292"/>
        <w:gridCol w:w="1688"/>
        <w:gridCol w:w="5333"/>
      </w:tblGrid>
      <w:tr>
        <w:trPr/>
        <w:tc>
          <w:tcPr>
            <w:gridSpan w:val="4"/>
            <w:tcW w:w="9169" w:type="dxa"/>
            <w:vAlign w:val="center"/>
            <w:textDirection w:val="lrTb"/>
            <w:noWrap w:val="false"/>
          </w:tcPr>
          <w:p>
            <w:pPr>
              <w:pStyle w:val="999"/>
              <w:jc w:val="center"/>
              <w:spacing w:line="360" w:lineRule="atLeast"/>
              <w:shd w:val="clear" w:color="auto" w:fill="ffffff"/>
              <w:rPr>
                <w:rFonts w:hint="eastAsia" w:ascii="宋体" w:hAnsi="宋体" w:eastAsia="宋体" w:cs="宋体"/>
                <w:b/>
                <w:bCs/>
                <w:sz w:val="21"/>
                <w:szCs w:val="24"/>
              </w:rPr>
            </w:pPr>
            <w:r>
              <w:rPr>
                <w:rFonts w:hint="eastAsia" w:ascii="宋体" w:hAnsi="宋体" w:eastAsia="宋体" w:cs="宋体"/>
                <w:b/>
                <w:bCs/>
                <w:sz w:val="21"/>
                <w:szCs w:val="24"/>
              </w:rPr>
              <w:t xml:space="preserve">考核评分表</w:t>
            </w:r>
            <w:r>
              <w:rPr>
                <w:rFonts w:hint="eastAsia" w:ascii="宋体" w:hAnsi="宋体" w:eastAsia="宋体" w:cs="宋体"/>
                <w:b/>
                <w:bCs/>
                <w:sz w:val="21"/>
                <w:szCs w:val="24"/>
              </w:rPr>
            </w:r>
            <w:r/>
          </w:p>
        </w:tc>
      </w:tr>
      <w:tr>
        <w:trPr/>
        <w:tc>
          <w:tcPr>
            <w:gridSpan w:val="4"/>
            <w:tcW w:w="9169" w:type="dxa"/>
            <w:vAlign w:val="center"/>
            <w:textDirection w:val="lrTb"/>
            <w:noWrap w:val="false"/>
          </w:tcPr>
          <w:p>
            <w:pPr>
              <w:pStyle w:val="999"/>
              <w:spacing w:line="360" w:lineRule="atLeast"/>
              <w:shd w:val="clear" w:color="auto" w:fill="ffffff"/>
              <w:rPr>
                <w:rFonts w:hint="eastAsia" w:ascii="宋体" w:hAnsi="宋体" w:eastAsia="宋体" w:cs="宋体"/>
                <w:b/>
                <w:bCs/>
                <w:sz w:val="21"/>
                <w:szCs w:val="24"/>
              </w:rPr>
            </w:pPr>
            <w:r>
              <w:rPr>
                <w:rFonts w:hint="eastAsia" w:ascii="宋体" w:hAnsi="宋体" w:eastAsia="宋体" w:cs="宋体"/>
                <w:b/>
                <w:bCs/>
                <w:sz w:val="21"/>
                <w:szCs w:val="24"/>
              </w:rPr>
              <w:t xml:space="preserve">一、重大安全事故情形</w:t>
            </w:r>
            <w:r>
              <w:rPr>
                <w:rFonts w:hint="eastAsia" w:ascii="宋体" w:hAnsi="宋体" w:eastAsia="宋体" w:cs="宋体"/>
                <w:b/>
                <w:bCs/>
                <w:sz w:val="21"/>
                <w:szCs w:val="24"/>
              </w:rPr>
            </w:r>
            <w:r/>
          </w:p>
        </w:tc>
      </w:tr>
      <w:tr>
        <w:trPr/>
        <w:tc>
          <w:tcPr>
            <w:tcW w:w="77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序号</w:t>
            </w:r>
            <w:r>
              <w:rPr>
                <w:rFonts w:hint="eastAsia" w:ascii="宋体" w:hAnsi="宋体" w:eastAsia="宋体" w:cs="宋体"/>
                <w:sz w:val="21"/>
                <w:szCs w:val="24"/>
              </w:rPr>
            </w:r>
            <w:r/>
          </w:p>
        </w:tc>
        <w:tc>
          <w:tcPr>
            <w:tcW w:w="1169"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考核项目</w:t>
            </w:r>
            <w:r>
              <w:rPr>
                <w:rFonts w:hint="eastAsia" w:ascii="宋体" w:hAnsi="宋体" w:eastAsia="宋体" w:cs="宋体"/>
                <w:sz w:val="21"/>
                <w:szCs w:val="24"/>
              </w:rPr>
            </w:r>
            <w:r/>
          </w:p>
        </w:tc>
        <w:tc>
          <w:tcPr>
            <w:tcW w:w="1527"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考核内容</w:t>
            </w:r>
            <w:r>
              <w:rPr>
                <w:rFonts w:hint="eastAsia" w:ascii="宋体" w:hAnsi="宋体" w:eastAsia="宋体" w:cs="宋体"/>
                <w:sz w:val="21"/>
                <w:szCs w:val="24"/>
              </w:rPr>
            </w:r>
            <w:r/>
          </w:p>
        </w:tc>
        <w:tc>
          <w:tcPr>
            <w:tcW w:w="482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扣分标准</w:t>
            </w:r>
            <w:r>
              <w:rPr>
                <w:rFonts w:hint="eastAsia" w:ascii="宋体" w:hAnsi="宋体" w:eastAsia="宋体" w:cs="宋体"/>
                <w:sz w:val="21"/>
                <w:szCs w:val="24"/>
              </w:rPr>
            </w:r>
            <w:r/>
          </w:p>
        </w:tc>
      </w:tr>
      <w:tr>
        <w:trPr/>
        <w:tc>
          <w:tcPr>
            <w:tcW w:w="775"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W w:w="1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系统崩溃</w:t>
            </w:r>
            <w:r>
              <w:rPr>
                <w:rFonts w:hint="eastAsia" w:ascii="宋体" w:hAnsi="宋体" w:eastAsia="宋体" w:cs="宋体"/>
                <w:sz w:val="21"/>
                <w:szCs w:val="24"/>
              </w:rPr>
            </w:r>
            <w:r/>
          </w:p>
        </w:tc>
        <w:tc>
          <w:tcPr>
            <w:tcW w:w="1527"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发生系统崩溃、核心功能不可使用</w:t>
            </w:r>
            <w:r>
              <w:rPr>
                <w:rFonts w:hint="eastAsia" w:ascii="宋体" w:hAnsi="宋体" w:eastAsia="宋体" w:cs="宋体"/>
                <w:sz w:val="21"/>
                <w:szCs w:val="24"/>
                <w:lang w:eastAsia="zh-CN"/>
              </w:rPr>
            </w:r>
            <w:r/>
          </w:p>
        </w:tc>
        <w:tc>
          <w:tcPr>
            <w:tcW w:w="4825"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因中标人单方面原因，导致服务高峰时段（工作日8:00-22:00）发生系统崩溃、核心功能不可使用，一次超过4小时的，每次扣20分。</w:t>
            </w:r>
            <w:r>
              <w:rPr>
                <w:rFonts w:hint="eastAsia" w:ascii="宋体" w:hAnsi="宋体" w:eastAsia="宋体" w:cs="宋体"/>
                <w:sz w:val="21"/>
                <w:szCs w:val="24"/>
                <w:lang w:eastAsia="zh-CN"/>
              </w:rPr>
            </w:r>
            <w:r/>
          </w:p>
        </w:tc>
      </w:tr>
      <w:tr>
        <w:trPr/>
        <w:tc>
          <w:tcPr>
            <w:tcW w:w="775"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2</w:t>
            </w:r>
            <w:r>
              <w:rPr>
                <w:rFonts w:hint="eastAsia" w:ascii="宋体" w:hAnsi="宋体" w:eastAsia="宋体" w:cs="宋体"/>
                <w:sz w:val="21"/>
                <w:szCs w:val="24"/>
              </w:rPr>
            </w:r>
            <w:r/>
          </w:p>
        </w:tc>
        <w:tc>
          <w:tcPr>
            <w:tcW w:w="1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恶劣影响</w:t>
            </w:r>
            <w:r>
              <w:rPr>
                <w:rFonts w:hint="eastAsia" w:ascii="宋体" w:hAnsi="宋体" w:eastAsia="宋体" w:cs="宋体"/>
                <w:sz w:val="21"/>
                <w:szCs w:val="24"/>
              </w:rPr>
            </w:r>
            <w:r/>
          </w:p>
        </w:tc>
        <w:tc>
          <w:tcPr>
            <w:tcW w:w="1527"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造成恶劣影响的</w:t>
            </w:r>
            <w:r>
              <w:rPr>
                <w:rFonts w:hint="eastAsia" w:ascii="宋体" w:hAnsi="宋体" w:eastAsia="宋体" w:cs="宋体"/>
                <w:sz w:val="21"/>
                <w:szCs w:val="24"/>
              </w:rPr>
            </w:r>
            <w:r/>
          </w:p>
        </w:tc>
        <w:tc>
          <w:tcPr>
            <w:tcW w:w="4825"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因中标人原因，被无锡市相关政府部门认定发生重大安全事件，造成恶劣影响的，每次扣20分。</w:t>
            </w:r>
            <w:r>
              <w:rPr>
                <w:rFonts w:hint="eastAsia" w:ascii="宋体" w:hAnsi="宋体" w:eastAsia="宋体" w:cs="宋体"/>
                <w:sz w:val="21"/>
                <w:szCs w:val="24"/>
                <w:lang w:eastAsia="zh-CN"/>
              </w:rPr>
            </w:r>
            <w:r/>
          </w:p>
        </w:tc>
      </w:tr>
      <w:tr>
        <w:trPr/>
        <w:tc>
          <w:tcPr>
            <w:gridSpan w:val="4"/>
            <w:tcW w:w="9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b/>
                <w:bCs/>
                <w:sz w:val="21"/>
                <w:szCs w:val="24"/>
                <w:lang w:eastAsia="zh-CN"/>
              </w:rPr>
              <w:t xml:space="preserve">二、技术服务期间完成进度考核情形</w:t>
            </w:r>
            <w:r>
              <w:rPr>
                <w:rFonts w:hint="eastAsia" w:ascii="宋体" w:hAnsi="宋体" w:eastAsia="宋体" w:cs="宋体"/>
                <w:sz w:val="21"/>
                <w:szCs w:val="24"/>
                <w:lang w:eastAsia="zh-CN"/>
              </w:rPr>
            </w:r>
            <w:r/>
          </w:p>
        </w:tc>
      </w:tr>
      <w:tr>
        <w:trPr/>
        <w:tc>
          <w:tcPr>
            <w:tcW w:w="77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序号</w:t>
            </w:r>
            <w:r>
              <w:rPr>
                <w:rFonts w:hint="eastAsia" w:ascii="宋体" w:hAnsi="宋体" w:eastAsia="宋体" w:cs="宋体"/>
                <w:sz w:val="21"/>
                <w:szCs w:val="24"/>
              </w:rPr>
            </w:r>
            <w:r/>
          </w:p>
        </w:tc>
        <w:tc>
          <w:tcPr>
            <w:tcW w:w="1169"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考核项目</w:t>
            </w:r>
            <w:r>
              <w:rPr>
                <w:rFonts w:hint="eastAsia" w:ascii="宋体" w:hAnsi="宋体" w:eastAsia="宋体" w:cs="宋体"/>
                <w:sz w:val="21"/>
                <w:szCs w:val="24"/>
              </w:rPr>
            </w:r>
            <w:r/>
          </w:p>
        </w:tc>
        <w:tc>
          <w:tcPr>
            <w:tcW w:w="1527"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考核内容</w:t>
            </w:r>
            <w:r>
              <w:rPr>
                <w:rFonts w:hint="eastAsia" w:ascii="宋体" w:hAnsi="宋体" w:eastAsia="宋体" w:cs="宋体"/>
                <w:sz w:val="21"/>
                <w:szCs w:val="24"/>
              </w:rPr>
            </w:r>
            <w:r/>
          </w:p>
        </w:tc>
        <w:tc>
          <w:tcPr>
            <w:tcW w:w="482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扣分标准</w:t>
            </w:r>
            <w:r>
              <w:rPr>
                <w:rFonts w:hint="eastAsia" w:ascii="宋体" w:hAnsi="宋体" w:eastAsia="宋体" w:cs="宋体"/>
                <w:sz w:val="21"/>
                <w:szCs w:val="24"/>
              </w:rPr>
            </w:r>
            <w:r/>
          </w:p>
        </w:tc>
      </w:tr>
      <w:tr>
        <w:trPr/>
        <w:tc>
          <w:tcPr>
            <w:tcW w:w="775"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W w:w="1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技术服务</w:t>
            </w:r>
            <w:r>
              <w:rPr>
                <w:rFonts w:hint="eastAsia" w:ascii="宋体" w:hAnsi="宋体" w:eastAsia="宋体" w:cs="宋体"/>
                <w:sz w:val="21"/>
                <w:szCs w:val="24"/>
              </w:rPr>
            </w:r>
            <w:r/>
          </w:p>
        </w:tc>
        <w:tc>
          <w:tcPr>
            <w:tcW w:w="1527"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对技术服务完成进度进行考评</w:t>
            </w:r>
            <w:r>
              <w:rPr>
                <w:rFonts w:hint="eastAsia" w:ascii="宋体" w:hAnsi="宋体" w:eastAsia="宋体" w:cs="宋体"/>
                <w:sz w:val="21"/>
                <w:szCs w:val="24"/>
                <w:lang w:eastAsia="zh-CN"/>
              </w:rPr>
            </w:r>
            <w:r/>
          </w:p>
        </w:tc>
        <w:tc>
          <w:tcPr>
            <w:tcW w:w="4825"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1.若中标人未按质量和时间要求提交综合服务实施方案、需求规格说明书等技术文档并经采购人审核确认，每延期5个工作日，扣10分，以此类推。</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2.若中标人的技术服务期因中标人原因不能在本招标文件规定的时间内达到初步验收、最终验收标准的，每延期5个工作日，扣10分，以此类推。若中标人超过15个工作日还未能完成综合服务并达到最终验收标准的，采购人有权解除合同并追究中标人相关责任。（不可抗力因素除外）</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3.合同签订后，中标人应立即安排相关人员驻场，驻场人员专业应符合招标文件要求。若3个工作日内驻场人员不到岗的，或人员专业达不到招标文件要求的，采购人有权</w:t>
            </w:r>
            <w:r>
              <w:rPr>
                <w:rFonts w:hint="eastAsia" w:ascii="宋体" w:hAnsi="宋体" w:eastAsia="宋体" w:cs="宋体"/>
                <w:sz w:val="21"/>
                <w:szCs w:val="24"/>
                <w:lang w:val="en-US" w:eastAsia="zh-CN"/>
              </w:rPr>
              <w:t xml:space="preserve">依法</w:t>
            </w:r>
            <w:r>
              <w:rPr>
                <w:rFonts w:hint="eastAsia" w:ascii="宋体" w:hAnsi="宋体" w:eastAsia="宋体" w:cs="宋体"/>
                <w:sz w:val="21"/>
                <w:szCs w:val="24"/>
                <w:lang w:eastAsia="zh-CN"/>
              </w:rPr>
              <w:t xml:space="preserve">终止本项目的技术服务合同，拒绝支付相关费用，并保留追究相应法律责任的权利。对采购人造成损失的，采购人有权要求中标人赔偿损失。</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4.未满足采购人重大业务需求功能开发进度和质量要求，视情节严重，每次扣5-10分；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5.未按照采购人要求参加工作例会的，每次扣2分。</w:t>
            </w:r>
            <w:r>
              <w:rPr>
                <w:rFonts w:hint="eastAsia" w:ascii="宋体" w:hAnsi="宋体" w:eastAsia="宋体" w:cs="宋体"/>
                <w:sz w:val="21"/>
                <w:szCs w:val="24"/>
                <w:lang w:eastAsia="zh-CN"/>
              </w:rPr>
            </w:r>
            <w:r/>
          </w:p>
        </w:tc>
      </w:tr>
      <w:tr>
        <w:trPr/>
        <w:tc>
          <w:tcPr>
            <w:gridSpan w:val="4"/>
            <w:tcW w:w="9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b/>
                <w:bCs/>
                <w:sz w:val="21"/>
                <w:szCs w:val="24"/>
                <w:lang w:eastAsia="zh-CN"/>
              </w:rPr>
              <w:t xml:space="preserve">三、质量考核情形（包含系统安全稳定运行、安全管理等）</w:t>
            </w:r>
            <w:r>
              <w:rPr>
                <w:rFonts w:hint="eastAsia" w:ascii="宋体" w:hAnsi="宋体" w:eastAsia="宋体" w:cs="宋体"/>
                <w:sz w:val="21"/>
                <w:szCs w:val="24"/>
                <w:lang w:eastAsia="zh-CN"/>
              </w:rPr>
            </w:r>
            <w:r/>
          </w:p>
        </w:tc>
      </w:tr>
      <w:tr>
        <w:trPr/>
        <w:tc>
          <w:tcPr>
            <w:tcW w:w="77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序号</w:t>
            </w:r>
            <w:r>
              <w:rPr>
                <w:rFonts w:hint="eastAsia" w:ascii="宋体" w:hAnsi="宋体" w:eastAsia="宋体" w:cs="宋体"/>
                <w:sz w:val="21"/>
                <w:szCs w:val="24"/>
              </w:rPr>
            </w:r>
            <w:r/>
          </w:p>
        </w:tc>
        <w:tc>
          <w:tcPr>
            <w:tcW w:w="1169"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考核项目</w:t>
            </w:r>
            <w:r>
              <w:rPr>
                <w:rFonts w:hint="eastAsia" w:ascii="宋体" w:hAnsi="宋体" w:eastAsia="宋体" w:cs="宋体"/>
                <w:sz w:val="21"/>
                <w:szCs w:val="24"/>
              </w:rPr>
            </w:r>
            <w:r/>
          </w:p>
        </w:tc>
        <w:tc>
          <w:tcPr>
            <w:tcW w:w="1527"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考核内容</w:t>
            </w:r>
            <w:r>
              <w:rPr>
                <w:rFonts w:hint="eastAsia" w:ascii="宋体" w:hAnsi="宋体" w:eastAsia="宋体" w:cs="宋体"/>
                <w:sz w:val="21"/>
                <w:szCs w:val="24"/>
              </w:rPr>
            </w:r>
            <w:r/>
          </w:p>
        </w:tc>
        <w:tc>
          <w:tcPr>
            <w:tcW w:w="482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扣分标准</w:t>
            </w:r>
            <w:r>
              <w:rPr>
                <w:rFonts w:hint="eastAsia" w:ascii="宋体" w:hAnsi="宋体" w:eastAsia="宋体" w:cs="宋体"/>
                <w:sz w:val="21"/>
                <w:szCs w:val="24"/>
              </w:rPr>
            </w:r>
            <w:r/>
          </w:p>
        </w:tc>
      </w:tr>
      <w:tr>
        <w:trPr/>
        <w:tc>
          <w:tcPr>
            <w:tcW w:w="775"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W w:w="1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系统稳定性</w:t>
            </w:r>
            <w:r>
              <w:rPr>
                <w:rFonts w:hint="eastAsia" w:ascii="宋体" w:hAnsi="宋体" w:eastAsia="宋体" w:cs="宋体"/>
                <w:sz w:val="21"/>
                <w:szCs w:val="24"/>
              </w:rPr>
            </w:r>
            <w:r/>
          </w:p>
        </w:tc>
        <w:tc>
          <w:tcPr>
            <w:tcW w:w="1527"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在试运行结束后，对日常运行稳定性、故障处理、系统性能、用户体验等方面进行综合考核</w:t>
            </w:r>
            <w:r>
              <w:rPr>
                <w:rFonts w:hint="eastAsia" w:ascii="宋体" w:hAnsi="宋体" w:eastAsia="宋体" w:cs="宋体"/>
                <w:sz w:val="21"/>
                <w:szCs w:val="24"/>
                <w:lang w:eastAsia="zh-CN"/>
              </w:rPr>
            </w:r>
            <w:r/>
          </w:p>
        </w:tc>
        <w:tc>
          <w:tcPr>
            <w:tcW w:w="4825"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1.若因中标人单方面导致的服务发生相关系统宕机、崩溃、无法访问等事故，单次时长小于等于60分钟的，每次扣2分；单次时长大于60分钟但小于120分钟的，每次扣4分。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2.未经授权，进行违规操作的，一次扣2分；造成业务中断的，一次扣3分；影响较大，被上级机关通报，一次扣10分。</w:t>
            </w:r>
            <w:r>
              <w:rPr>
                <w:rFonts w:hint="eastAsia" w:ascii="宋体" w:hAnsi="宋体" w:eastAsia="宋体" w:cs="宋体"/>
                <w:sz w:val="21"/>
                <w:szCs w:val="24"/>
                <w:lang w:eastAsia="zh-CN"/>
              </w:rPr>
            </w:r>
            <w:r/>
          </w:p>
        </w:tc>
      </w:tr>
      <w:tr>
        <w:trPr/>
        <w:tc>
          <w:tcPr>
            <w:tcW w:w="775"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2</w:t>
            </w:r>
            <w:r>
              <w:rPr>
                <w:rFonts w:hint="eastAsia" w:ascii="宋体" w:hAnsi="宋体" w:eastAsia="宋体" w:cs="宋体"/>
                <w:sz w:val="21"/>
                <w:szCs w:val="24"/>
              </w:rPr>
            </w:r>
            <w:r/>
          </w:p>
        </w:tc>
        <w:tc>
          <w:tcPr>
            <w:tcW w:w="1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安全管理</w:t>
            </w:r>
            <w:r>
              <w:rPr>
                <w:rFonts w:hint="eastAsia" w:ascii="宋体" w:hAnsi="宋体" w:eastAsia="宋体" w:cs="宋体"/>
                <w:sz w:val="21"/>
                <w:szCs w:val="24"/>
              </w:rPr>
            </w:r>
            <w:r/>
          </w:p>
        </w:tc>
        <w:tc>
          <w:tcPr>
            <w:tcW w:w="1527"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对制定安全管理制度、安全管理技术手段使用、安全管理、人员管理等方面进行综合考核</w:t>
            </w:r>
            <w:r>
              <w:rPr>
                <w:rFonts w:hint="eastAsia" w:ascii="宋体" w:hAnsi="宋体" w:eastAsia="宋体" w:cs="宋体"/>
                <w:sz w:val="21"/>
                <w:szCs w:val="24"/>
                <w:lang w:eastAsia="zh-CN"/>
              </w:rPr>
            </w:r>
            <w:r/>
          </w:p>
        </w:tc>
        <w:tc>
          <w:tcPr>
            <w:tcW w:w="4825"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1.未经采购人允许，中标人擅自将相关系统数据另作他用或提供给任何第三方使用的，采购人有权立即终止本项目的技术服务合同，拒绝支付相关费用，并保留追究相应法律责任的权利。对采购人造成损失的，采购人有权要求中标人赔偿损失。</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2.因中标人单方面原因导致系统数据泄露的，采购人有权</w:t>
            </w:r>
            <w:r>
              <w:rPr>
                <w:rFonts w:hint="eastAsia" w:ascii="宋体" w:hAnsi="宋体" w:eastAsia="宋体" w:cs="宋体"/>
                <w:sz w:val="21"/>
                <w:szCs w:val="24"/>
                <w:lang w:val="en-US" w:eastAsia="zh-CN"/>
              </w:rPr>
              <w:t xml:space="preserve">依法</w:t>
            </w:r>
            <w:r>
              <w:rPr>
                <w:rFonts w:hint="eastAsia" w:ascii="宋体" w:hAnsi="宋体" w:eastAsia="宋体" w:cs="宋体"/>
                <w:sz w:val="21"/>
                <w:szCs w:val="24"/>
                <w:lang w:eastAsia="zh-CN"/>
              </w:rPr>
              <w:t xml:space="preserve">终止本项目的技术服务合同，拒绝支付相关费用，并保留追究相应法律责任的权利。对采购人造成损失的，采购人有权要求中标人赔偿损失。</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3.被无锡市相关政府部门或无锡市电子政务云服务商扫描发现信息安全漏洞，在规定时间内未完成整改的，每次扣10分。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4.其他因中标人单方面原因导致的安全事件，视情节严重，每次扣5-20分。</w:t>
            </w:r>
            <w:r>
              <w:rPr>
                <w:rFonts w:hint="eastAsia" w:ascii="宋体" w:hAnsi="宋体" w:eastAsia="宋体" w:cs="宋体"/>
                <w:sz w:val="21"/>
                <w:szCs w:val="24"/>
                <w:lang w:eastAsia="zh-CN"/>
              </w:rPr>
            </w:r>
            <w:r/>
          </w:p>
        </w:tc>
      </w:tr>
      <w:tr>
        <w:trPr/>
        <w:tc>
          <w:tcPr>
            <w:gridSpan w:val="4"/>
            <w:tcW w:w="9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b/>
                <w:bCs/>
                <w:sz w:val="21"/>
                <w:szCs w:val="24"/>
                <w:lang w:eastAsia="zh-CN"/>
              </w:rPr>
              <w:t xml:space="preserve">四、技术服务考核情形</w:t>
            </w:r>
            <w:r>
              <w:rPr>
                <w:rFonts w:hint="eastAsia" w:ascii="宋体" w:hAnsi="宋体" w:eastAsia="宋体" w:cs="宋体"/>
                <w:sz w:val="21"/>
                <w:szCs w:val="24"/>
                <w:lang w:eastAsia="zh-CN"/>
              </w:rPr>
            </w:r>
            <w:r/>
          </w:p>
        </w:tc>
      </w:tr>
      <w:tr>
        <w:trPr/>
        <w:tc>
          <w:tcPr>
            <w:tcW w:w="77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序号</w:t>
            </w:r>
            <w:r>
              <w:rPr>
                <w:rFonts w:hint="eastAsia" w:ascii="宋体" w:hAnsi="宋体" w:eastAsia="宋体" w:cs="宋体"/>
                <w:sz w:val="21"/>
                <w:szCs w:val="24"/>
              </w:rPr>
            </w:r>
            <w:r/>
          </w:p>
        </w:tc>
        <w:tc>
          <w:tcPr>
            <w:tcW w:w="1169"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考核项目</w:t>
            </w:r>
            <w:r>
              <w:rPr>
                <w:rFonts w:hint="eastAsia" w:ascii="宋体" w:hAnsi="宋体" w:eastAsia="宋体" w:cs="宋体"/>
                <w:sz w:val="21"/>
                <w:szCs w:val="24"/>
              </w:rPr>
            </w:r>
            <w:r/>
          </w:p>
        </w:tc>
        <w:tc>
          <w:tcPr>
            <w:tcW w:w="1527"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考核内容</w:t>
            </w:r>
            <w:r>
              <w:rPr>
                <w:rFonts w:hint="eastAsia" w:ascii="宋体" w:hAnsi="宋体" w:eastAsia="宋体" w:cs="宋体"/>
                <w:sz w:val="21"/>
                <w:szCs w:val="24"/>
              </w:rPr>
            </w:r>
            <w:r/>
          </w:p>
        </w:tc>
        <w:tc>
          <w:tcPr>
            <w:tcW w:w="482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扣分标准</w:t>
            </w:r>
            <w:r>
              <w:rPr>
                <w:rFonts w:hint="eastAsia" w:ascii="宋体" w:hAnsi="宋体" w:eastAsia="宋体" w:cs="宋体"/>
                <w:sz w:val="21"/>
                <w:szCs w:val="24"/>
              </w:rPr>
            </w:r>
            <w:r/>
          </w:p>
        </w:tc>
      </w:tr>
      <w:tr>
        <w:trPr/>
        <w:tc>
          <w:tcPr>
            <w:tcW w:w="775"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W w:w="1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技术服务</w:t>
            </w:r>
            <w:r>
              <w:rPr>
                <w:rFonts w:hint="eastAsia" w:ascii="宋体" w:hAnsi="宋体" w:eastAsia="宋体" w:cs="宋体"/>
                <w:sz w:val="21"/>
                <w:szCs w:val="24"/>
              </w:rPr>
            </w:r>
            <w:r/>
          </w:p>
        </w:tc>
        <w:tc>
          <w:tcPr>
            <w:tcW w:w="1527"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对技术服务人员的售前支持、技术咨询、故障处理、系统培训、技术支持、服务态度等进行综合考核</w:t>
            </w:r>
            <w:r>
              <w:rPr>
                <w:rFonts w:hint="eastAsia" w:ascii="宋体" w:hAnsi="宋体" w:eastAsia="宋体" w:cs="宋体"/>
                <w:sz w:val="21"/>
                <w:szCs w:val="24"/>
                <w:lang w:eastAsia="zh-CN"/>
              </w:rPr>
            </w:r>
            <w:r/>
          </w:p>
        </w:tc>
        <w:tc>
          <w:tcPr>
            <w:tcW w:w="4825"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1.技术支持、系统维护人员不及时接听故障处理电话的，视情节严重，每次扣1-2分；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2.所有驻场人员应当实行甲乙双方双重管理，严格按照采购人规定的作息制度和要求开展相关工作。重大活动、节假日、临时专项工作未服从采购人安排进行专人值守，每次扣5分；驻场人员无故迟到、早退、旷工一次，扣1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3.未在规定时间内按照要求完成派遣工作的，一次扣2分；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4.对存在的问题，经采购人指出后未按时整改的；项目开发、系统运行过程中工作不主动，经采购人反复催促三次仍不能完成工作任务的，一次扣5分；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5.技术服务期，未满足人员驻场要求的，每少1人，一次扣2分；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6.技术支持人员稳定，未经采购人同意更换人员，视人员重要程度，每次扣2-5分；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7.采购人认为不服从管理、不称职的驻场人员有权要求中标人更换，中标人应在30日内将不符合采购人要求的人员更换完毕，替换人员应当同时到岗，且必须保证替换人员的专业技术能力水平不低于退场人员，如中标人违反本条约定，则每逾期1天扣2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8.技术支持人员不胜任或态度不端正，不接受采购人工作管理及技术工作安排时，视工作影响，每次扣1-2分。</w:t>
            </w:r>
            <w:r>
              <w:rPr>
                <w:rFonts w:hint="eastAsia" w:ascii="宋体" w:hAnsi="宋体" w:eastAsia="宋体" w:cs="宋体"/>
                <w:sz w:val="21"/>
                <w:szCs w:val="24"/>
                <w:lang w:eastAsia="zh-CN"/>
              </w:rPr>
            </w:r>
            <w:r/>
          </w:p>
        </w:tc>
      </w:tr>
      <w:tr>
        <w:trPr/>
        <w:tc>
          <w:tcPr>
            <w:gridSpan w:val="4"/>
            <w:tcW w:w="9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b/>
                <w:bCs/>
                <w:sz w:val="21"/>
                <w:szCs w:val="24"/>
                <w:lang w:eastAsia="zh-CN"/>
              </w:rPr>
              <w:t xml:space="preserve">五、满意度考核情形</w:t>
            </w:r>
            <w:r>
              <w:rPr>
                <w:rFonts w:hint="eastAsia" w:ascii="宋体" w:hAnsi="宋体" w:eastAsia="宋体" w:cs="宋体"/>
                <w:sz w:val="21"/>
                <w:szCs w:val="24"/>
              </w:rPr>
            </w:r>
            <w:r/>
          </w:p>
        </w:tc>
      </w:tr>
      <w:tr>
        <w:trPr>
          <w:trHeight w:val="477"/>
        </w:trPr>
        <w:tc>
          <w:tcPr>
            <w:tcW w:w="77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序号</w:t>
            </w:r>
            <w:r>
              <w:rPr>
                <w:rFonts w:hint="eastAsia" w:ascii="宋体" w:hAnsi="宋体" w:eastAsia="宋体" w:cs="宋体"/>
                <w:sz w:val="21"/>
                <w:szCs w:val="24"/>
              </w:rPr>
            </w:r>
            <w:r/>
          </w:p>
        </w:tc>
        <w:tc>
          <w:tcPr>
            <w:tcW w:w="1169"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考核项目</w:t>
            </w:r>
            <w:r>
              <w:rPr>
                <w:rFonts w:hint="eastAsia" w:ascii="宋体" w:hAnsi="宋体" w:eastAsia="宋体" w:cs="宋体"/>
                <w:sz w:val="21"/>
                <w:szCs w:val="24"/>
              </w:rPr>
            </w:r>
            <w:r/>
          </w:p>
        </w:tc>
        <w:tc>
          <w:tcPr>
            <w:tcW w:w="1527"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考核内容</w:t>
            </w:r>
            <w:r>
              <w:rPr>
                <w:rFonts w:hint="eastAsia" w:ascii="宋体" w:hAnsi="宋体" w:eastAsia="宋体" w:cs="宋体"/>
                <w:sz w:val="21"/>
                <w:szCs w:val="24"/>
              </w:rPr>
            </w:r>
            <w:r/>
          </w:p>
        </w:tc>
        <w:tc>
          <w:tcPr>
            <w:tcW w:w="4825" w:type="dxa"/>
            <w:vAlign w:val="center"/>
            <w:textDirection w:val="lrTb"/>
            <w:noWrap w:val="false"/>
          </w:tcPr>
          <w:p>
            <w:pPr>
              <w:pStyle w:val="999"/>
              <w:jc w:val="center"/>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加分标准</w:t>
            </w:r>
            <w:r>
              <w:rPr>
                <w:rFonts w:hint="eastAsia" w:ascii="宋体" w:hAnsi="宋体" w:eastAsia="宋体" w:cs="宋体"/>
                <w:sz w:val="21"/>
                <w:szCs w:val="24"/>
              </w:rPr>
            </w:r>
            <w:r/>
          </w:p>
        </w:tc>
      </w:tr>
      <w:tr>
        <w:trPr/>
        <w:tc>
          <w:tcPr>
            <w:tcW w:w="775"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1</w:t>
            </w:r>
            <w:r>
              <w:rPr>
                <w:rFonts w:hint="eastAsia" w:ascii="宋体" w:hAnsi="宋体" w:eastAsia="宋体" w:cs="宋体"/>
                <w:sz w:val="21"/>
                <w:szCs w:val="24"/>
              </w:rPr>
            </w:r>
            <w:r/>
          </w:p>
        </w:tc>
        <w:tc>
          <w:tcPr>
            <w:tcW w:w="1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满意度</w:t>
            </w:r>
            <w:r>
              <w:rPr>
                <w:rFonts w:hint="eastAsia" w:ascii="宋体" w:hAnsi="宋体" w:eastAsia="宋体" w:cs="宋体"/>
                <w:sz w:val="21"/>
                <w:szCs w:val="24"/>
              </w:rPr>
            </w:r>
            <w:r/>
          </w:p>
        </w:tc>
        <w:tc>
          <w:tcPr>
            <w:tcW w:w="1527"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在合理化建议、知识分享、表彰表扬等方面进行加分考核</w:t>
            </w:r>
            <w:r>
              <w:rPr>
                <w:rFonts w:hint="eastAsia" w:ascii="宋体" w:hAnsi="宋体" w:eastAsia="宋体" w:cs="宋体"/>
                <w:sz w:val="21"/>
                <w:szCs w:val="24"/>
                <w:lang w:eastAsia="zh-CN"/>
              </w:rPr>
            </w:r>
            <w:r/>
          </w:p>
        </w:tc>
        <w:tc>
          <w:tcPr>
            <w:tcW w:w="4825"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1.对系统管理、系统推广、运维运营等提出合理化工作建议且被采纳，每次加2分。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2.主动进行系统推广、运维运营知识、经验、数据管理等分享与总结，并对系统建设和运营产生积极影响的，每次加2分。</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3.系统受到采购人上级机关通报表彰的，每次加5分。被中央媒体报道表彰的，每次加5分；被省（市）级媒体报道表彰的，每次加2分。</w:t>
            </w:r>
            <w:r>
              <w:rPr>
                <w:rFonts w:hint="eastAsia" w:ascii="宋体" w:hAnsi="宋体" w:eastAsia="宋体" w:cs="宋体"/>
                <w:sz w:val="21"/>
                <w:szCs w:val="24"/>
                <w:lang w:eastAsia="zh-CN"/>
              </w:rPr>
            </w:r>
            <w:r/>
          </w:p>
        </w:tc>
      </w:tr>
      <w:tr>
        <w:trPr>
          <w:trHeight w:val="90"/>
        </w:trPr>
        <w:tc>
          <w:tcPr>
            <w:gridSpan w:val="4"/>
            <w:tcW w:w="9169" w:type="dxa"/>
            <w:vAlign w:val="center"/>
            <w:textDirection w:val="lrTb"/>
            <w:noWrap w:val="false"/>
          </w:tcPr>
          <w:p>
            <w:pPr>
              <w:pStyle w:val="999"/>
              <w:ind w:firstLine="420"/>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注：本项目采取100分评分制考核，考核由采购人组织实施，对中标人实行每个季度一次考核，每次考核成绩高于等于85分，表明考核优秀；每次考核中考核成绩低于85分且高于等于60分，表明考核合格；单次考核成绩低于60</w:t>
            </w:r>
            <w:r>
              <w:rPr>
                <w:rFonts w:hint="eastAsia" w:ascii="宋体" w:hAnsi="宋体" w:eastAsia="宋体" w:cs="宋体"/>
                <w:sz w:val="21"/>
                <w:szCs w:val="24"/>
                <w:lang w:val="en-US" w:eastAsia="zh-CN"/>
              </w:rPr>
              <w:t xml:space="preserve">分</w:t>
            </w:r>
            <w:r>
              <w:rPr>
                <w:rFonts w:hint="eastAsia" w:ascii="宋体" w:hAnsi="宋体" w:eastAsia="宋体" w:cs="宋体"/>
                <w:sz w:val="21"/>
                <w:szCs w:val="24"/>
                <w:lang w:eastAsia="zh-CN"/>
              </w:rPr>
              <w:t xml:space="preserve">，表明考核不合格。</w:t>
            </w:r>
            <w:r>
              <w:rPr>
                <w:rFonts w:hint="eastAsia" w:ascii="宋体" w:hAnsi="宋体" w:eastAsia="宋体" w:cs="宋体"/>
                <w:sz w:val="21"/>
                <w:szCs w:val="24"/>
                <w:lang w:eastAsia="zh-CN"/>
              </w:rPr>
            </w:r>
            <w:r/>
          </w:p>
        </w:tc>
      </w:tr>
      <w:tr>
        <w:trPr/>
        <w:tc>
          <w:tcPr>
            <w:gridSpan w:val="4"/>
            <w:tcW w:w="9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rPr>
            </w:pPr>
            <w:r>
              <w:rPr>
                <w:rFonts w:hint="eastAsia" w:ascii="宋体" w:hAnsi="宋体" w:eastAsia="宋体" w:cs="宋体"/>
                <w:sz w:val="21"/>
                <w:szCs w:val="24"/>
              </w:rPr>
              <w:t xml:space="preserve">六、考核结论</w:t>
            </w:r>
            <w:r>
              <w:rPr>
                <w:rFonts w:hint="eastAsia" w:ascii="宋体" w:hAnsi="宋体" w:eastAsia="宋体" w:cs="宋体"/>
                <w:sz w:val="21"/>
                <w:szCs w:val="24"/>
              </w:rPr>
            </w:r>
            <w:r/>
          </w:p>
        </w:tc>
      </w:tr>
      <w:tr>
        <w:trPr/>
        <w:tc>
          <w:tcPr>
            <w:gridSpan w:val="4"/>
            <w:tcW w:w="9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本次考核得分                  ，考核  </w:t>
            </w:r>
            <w:r>
              <w:rPr>
                <w:rFonts w:ascii="Wingdings 2" w:hAnsi="Wingdings 2" w:eastAsia="Wingdings 2" w:cs="Wingdings 2"/>
                <w:sz w:val="21"/>
                <w:szCs w:val="24"/>
              </w:rPr>
              <w:t xml:space="preserve">£</w:t>
            </w:r>
            <w:r>
              <w:rPr>
                <w:rFonts w:hint="eastAsia" w:ascii="宋体" w:hAnsi="宋体" w:eastAsia="宋体" w:cs="宋体"/>
                <w:sz w:val="21"/>
                <w:szCs w:val="24"/>
                <w:lang w:eastAsia="zh-CN"/>
              </w:rPr>
              <w:t xml:space="preserve"> 通过   </w:t>
            </w:r>
            <w:r>
              <w:rPr>
                <w:rFonts w:ascii="Wingdings 2" w:hAnsi="Wingdings 2" w:eastAsia="Wingdings 2" w:cs="Wingdings 2"/>
                <w:sz w:val="21"/>
                <w:szCs w:val="24"/>
              </w:rPr>
              <w:t xml:space="preserve">£</w:t>
            </w:r>
            <w:r>
              <w:rPr>
                <w:rFonts w:hint="eastAsia" w:ascii="宋体" w:hAnsi="宋体" w:eastAsia="宋体" w:cs="宋体"/>
                <w:sz w:val="21"/>
                <w:szCs w:val="24"/>
                <w:lang w:eastAsia="zh-CN"/>
              </w:rPr>
              <w:t xml:space="preserve"> 不通过。</w:t>
            </w:r>
            <w:r>
              <w:rPr>
                <w:rFonts w:hint="eastAsia" w:ascii="宋体" w:hAnsi="宋体" w:eastAsia="宋体" w:cs="宋体"/>
                <w:sz w:val="21"/>
                <w:szCs w:val="24"/>
                <w:lang w:eastAsia="zh-CN"/>
              </w:rPr>
            </w:r>
            <w:r/>
          </w:p>
        </w:tc>
      </w:tr>
      <w:tr>
        <w:trPr>
          <w:trHeight w:val="525"/>
        </w:trPr>
        <w:tc>
          <w:tcPr>
            <w:gridSpan w:val="4"/>
            <w:tcW w:w="9169" w:type="dxa"/>
            <w:vAlign w:val="center"/>
            <w:textDirection w:val="lrTb"/>
            <w:noWrap w:val="false"/>
          </w:tcPr>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实施单位代表：</w:t>
            </w:r>
            <w:r>
              <w:rPr>
                <w:rFonts w:hint="eastAsia" w:ascii="宋体" w:hAnsi="宋体" w:eastAsia="宋体" w:cs="宋体"/>
                <w:sz w:val="21"/>
                <w:szCs w:val="24"/>
                <w:lang w:eastAsia="zh-CN"/>
              </w:rPr>
            </w:r>
            <w:r/>
          </w:p>
          <w:p>
            <w:pPr>
              <w:pStyle w:val="999"/>
              <w:spacing w:line="360" w:lineRule="atLeast"/>
              <w:shd w:val="clear" w:color="auto" w:fill="ffffff"/>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考核时间：</w:t>
            </w:r>
            <w:r>
              <w:rPr>
                <w:rFonts w:hint="eastAsia" w:ascii="宋体" w:hAnsi="宋体" w:eastAsia="宋体" w:cs="宋体"/>
                <w:sz w:val="21"/>
                <w:szCs w:val="24"/>
                <w:lang w:eastAsia="zh-CN"/>
              </w:rPr>
            </w:r>
            <w:r/>
          </w:p>
        </w:tc>
      </w:tr>
    </w:tbl>
    <w:p>
      <w:pPr>
        <w:pStyle w:val="999"/>
        <w:spacing w:line="360" w:lineRule="auto"/>
        <w:rPr>
          <w:rFonts w:hint="eastAsia" w:ascii="宋体" w:hAnsi="宋体"/>
          <w:bCs/>
          <w:sz w:val="24"/>
          <w:szCs w:val="24"/>
        </w:rPr>
      </w:pPr>
      <w:r>
        <w:rPr>
          <w:rFonts w:hint="eastAsia" w:ascii="宋体" w:hAnsi="宋体"/>
          <w:bCs/>
          <w:sz w:val="24"/>
          <w:szCs w:val="24"/>
        </w:rPr>
      </w:r>
      <w:r/>
    </w:p>
    <w:p>
      <w:pPr>
        <w:pStyle w:val="999"/>
        <w:numPr>
          <w:ilvl w:val="0"/>
          <w:numId w:val="0"/>
        </w:numPr>
        <w:ind w:left="0" w:firstLine="0"/>
        <w:spacing w:line="360" w:lineRule="auto"/>
        <w:rPr>
          <w:rFonts w:hint="eastAsia"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六、关于项目进行分包的要求</w:t>
      </w:r>
      <w:r>
        <w:rPr>
          <w:rFonts w:hint="eastAsia" w:ascii="黑体" w:hAnsi="黑体" w:eastAsia="黑体" w:cs="黑体"/>
          <w:sz w:val="28"/>
          <w:szCs w:val="28"/>
          <w:lang w:val="en-US" w:eastAsia="zh-CN" w:bidi="ar-SA"/>
        </w:rPr>
      </w:r>
      <w:r/>
    </w:p>
    <w:p>
      <w:pPr>
        <w:pStyle w:val="999"/>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合同分包履行的，不得将中标项目的主体、关键性工作进行分包，分包承担主体（即分包供应商）应当具备相应资质能力条件且不得再次分包。中标供应商就采购项目和分包项目向采购人负责，分包供应商就分包项目承担责任。</w:t>
      </w:r>
      <w:r>
        <w:rPr>
          <w:rFonts w:hint="eastAsia" w:ascii="宋体" w:hAnsi="宋体"/>
          <w:bCs/>
          <w:color w:val="000000"/>
          <w:sz w:val="24"/>
          <w:szCs w:val="24"/>
          <w:highlight w:val="none"/>
        </w:rPr>
      </w:r>
      <w:r/>
    </w:p>
    <w:p>
      <w:pPr>
        <w:pStyle w:val="999"/>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采购人应与中标（成交）供应商签订采购合同，中标（成交）供应商应与分包供应商签订分包合同，分包合同的履行应当符合采购合同的约定，确保采购活动顺利进行</w:t>
      </w:r>
      <w:r>
        <w:rPr>
          <w:rFonts w:hint="eastAsia" w:ascii="宋体" w:hAnsi="宋体"/>
          <w:bCs/>
          <w:sz w:val="24"/>
          <w:szCs w:val="24"/>
          <w:lang w:eastAsia="zh-CN"/>
        </w:rPr>
        <w:t xml:space="preserve">，</w:t>
      </w:r>
      <w:r>
        <w:rPr>
          <w:rFonts w:hint="eastAsia" w:ascii="宋体" w:hAnsi="宋体"/>
          <w:bCs/>
          <w:sz w:val="24"/>
          <w:szCs w:val="24"/>
        </w:rPr>
        <w:t xml:space="preserve">中标（成交）供应商应将《分包</w:t>
      </w:r>
      <w:r>
        <w:rPr>
          <w:rFonts w:hint="eastAsia" w:ascii="宋体" w:hAnsi="宋体"/>
          <w:bCs/>
          <w:sz w:val="24"/>
          <w:szCs w:val="24"/>
          <w:lang w:val="en-US" w:eastAsia="zh-CN"/>
        </w:rPr>
        <w:t xml:space="preserve">合同</w:t>
      </w:r>
      <w:r>
        <w:rPr>
          <w:rFonts w:hint="eastAsia" w:ascii="宋体" w:hAnsi="宋体"/>
          <w:bCs/>
          <w:sz w:val="24"/>
          <w:szCs w:val="24"/>
        </w:rPr>
        <w:t xml:space="preserve">》原件提交给采购人备案</w:t>
      </w:r>
      <w:r>
        <w:rPr>
          <w:rFonts w:hint="eastAsia" w:ascii="宋体" w:hAnsi="宋体"/>
          <w:bCs/>
          <w:sz w:val="24"/>
          <w:szCs w:val="24"/>
        </w:rPr>
        <w:t xml:space="preserve">。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999"/>
        <w:ind w:firstLine="480"/>
        <w:spacing w:line="360" w:lineRule="auto"/>
        <w:rPr>
          <w:rFonts w:hint="eastAsia" w:ascii="宋体" w:hAnsi="宋体"/>
          <w:bCs/>
          <w:sz w:val="24"/>
          <w:szCs w:val="24"/>
        </w:rPr>
      </w:pPr>
      <w:r>
        <w:rPr>
          <w:rFonts w:hint="eastAsia" w:ascii="宋体" w:hAnsi="宋体"/>
          <w:bCs/>
          <w:sz w:val="24"/>
          <w:szCs w:val="24"/>
        </w:rPr>
      </w:r>
      <w:r/>
    </w:p>
    <w:p>
      <w:pPr>
        <w:pStyle w:val="999"/>
        <w:ind w:firstLine="602"/>
        <w:spacing w:line="360" w:lineRule="auto"/>
        <w:rPr>
          <w:rFonts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99"/>
        <w:numPr>
          <w:ilvl w:val="1"/>
          <w:numId w:val="8"/>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投标总报价包括满足本项目服务要求的从项目中标起到项目正式交付以及服务期内所发生的一切费用。</w:t>
      </w:r>
      <w:r>
        <w:rPr>
          <w:rFonts w:ascii="宋体"/>
          <w:bCs/>
          <w:color w:val="000000"/>
          <w:sz w:val="24"/>
          <w:szCs w:val="24"/>
          <w:highlight w:val="none"/>
        </w:rPr>
      </w:r>
      <w:r/>
    </w:p>
    <w:p>
      <w:pPr>
        <w:pStyle w:val="999"/>
        <w:numPr>
          <w:ilvl w:val="1"/>
          <w:numId w:val="8"/>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进口产品是指通过中国海关报关验放进入中国境内且产自关境外的产品。</w:t>
      </w:r>
      <w:r>
        <w:rPr>
          <w:rFonts w:ascii="宋体"/>
          <w:bCs/>
          <w:color w:val="000000"/>
          <w:sz w:val="24"/>
          <w:szCs w:val="24"/>
          <w:highlight w:val="none"/>
        </w:rPr>
      </w:r>
      <w:r/>
    </w:p>
    <w:p>
      <w:pPr>
        <w:pStyle w:val="999"/>
        <w:numPr>
          <w:ilvl w:val="1"/>
          <w:numId w:val="8"/>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999"/>
        <w:numPr>
          <w:ilvl w:val="1"/>
          <w:numId w:val="8"/>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/完工期：自合同签订后9个月内完成开发、部署、测试工作及上线工作。</w:t>
      </w:r>
      <w:r>
        <w:rPr>
          <w:rFonts w:ascii="宋体"/>
          <w:bCs/>
          <w:color w:val="000000"/>
          <w:sz w:val="24"/>
          <w:szCs w:val="24"/>
          <w:highlight w:val="none"/>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项目整体质保期：</w:t>
      </w:r>
      <w:r>
        <w:rPr>
          <w:rFonts w:hint="eastAsia" w:ascii="宋体"/>
          <w:bCs/>
          <w:color w:val="000000"/>
          <w:sz w:val="24"/>
          <w:szCs w:val="24"/>
          <w:highlight w:val="none"/>
          <w:lang w:val="en-US" w:eastAsia="zh-CN"/>
        </w:rPr>
        <w:t xml:space="preserve">整体质保期为</w:t>
      </w:r>
      <w:r>
        <w:rPr>
          <w:rFonts w:hint="eastAsia" w:ascii="宋体"/>
          <w:bCs/>
          <w:color w:val="000000"/>
          <w:sz w:val="24"/>
          <w:szCs w:val="24"/>
          <w:highlight w:val="none"/>
        </w:rPr>
        <w:t xml:space="preserve">自验收合格之日起</w:t>
      </w:r>
      <w:r>
        <w:rPr>
          <w:rFonts w:hint="eastAsia" w:ascii="宋体"/>
          <w:bCs/>
          <w:color w:val="000000"/>
          <w:sz w:val="24"/>
          <w:szCs w:val="24"/>
          <w:highlight w:val="none"/>
          <w:lang w:val="en-US" w:eastAsia="zh-CN"/>
        </w:rPr>
        <w:t xml:space="preserve">三年</w:t>
      </w:r>
      <w:r>
        <w:rPr>
          <w:rFonts w:hint="eastAsia" w:ascii="宋体"/>
          <w:bCs/>
          <w:color w:val="000000"/>
          <w:sz w:val="24"/>
          <w:szCs w:val="24"/>
          <w:highlight w:val="none"/>
        </w:rPr>
        <w:t xml:space="preserve">，其中硬件五年，软件三年（相关费用已包含在此次预算范围内）。</w:t>
      </w:r>
      <w:r>
        <w:rPr>
          <w:rFonts w:ascii="宋体"/>
          <w:bCs/>
          <w:color w:val="000000"/>
          <w:sz w:val="24"/>
          <w:szCs w:val="24"/>
          <w:highlight w:val="none"/>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付款方式：（1）合同生效之日起三十日内，采购人应向中标人支付合同总金额的30%作为预付款。（2）初验付款</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项目初验合格后，采购人应在收到中标人提交的符合要求的付款申请之日起三十日内，向中标人支付合同总金额的40%。（3）终验付款</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项目终验通过后，采购人应在收到中标人提交的符合要求的付款申请之日起三十日内，向中标人支付剩余尾款。初验及终验付款时，采购人有权依据合同约定的考核条款，直接扣除中标人应承担的考核扣款（如有）。</w:t>
      </w:r>
      <w:r>
        <w:rPr>
          <w:rFonts w:hint="eastAsia" w:ascii="宋体"/>
          <w:bCs/>
          <w:color w:val="000000"/>
          <w:sz w:val="24"/>
          <w:szCs w:val="24"/>
          <w:highlight w:val="none"/>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中标（成交）供应商按签约合同价的</w:t>
      </w: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w:t>
      </w:r>
      <w:r>
        <w:rPr>
          <w:rFonts w:hint="eastAsia" w:ascii="宋体" w:hAnsi="宋体"/>
          <w:color w:val="000000"/>
          <w:sz w:val="24"/>
          <w:szCs w:val="24"/>
          <w:highlight w:val="none"/>
        </w:rPr>
        <w:t xml:space="preserve">向采购人缴纳履约保证金；</w:t>
      </w:r>
      <w:r>
        <w:rPr>
          <w:rFonts w:hint="eastAsia" w:ascii="宋体"/>
          <w:bCs/>
          <w:color w:val="000000"/>
          <w:sz w:val="24"/>
          <w:szCs w:val="24"/>
          <w:highlight w:val="none"/>
        </w:rPr>
        <w:t xml:space="preserve">中标（成交）供应商也可采用电子履约保函（保险）形式提供履约担保，具体操作可登录江苏政府采购网的保险保函模块进行办理。</w:t>
      </w:r>
      <w:r>
        <w:rPr>
          <w:rFonts w:hint="eastAsia" w:ascii="宋体"/>
          <w:bCs/>
          <w:color w:val="000000"/>
          <w:sz w:val="24"/>
          <w:szCs w:val="24"/>
          <w:highlight w:val="none"/>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bCs/>
          <w:color w:val="000000"/>
          <w:sz w:val="24"/>
          <w:szCs w:val="24"/>
          <w:highlight w:val="none"/>
          <w:lang w:val="en-US" w:eastAsia="zh-CN"/>
        </w:rPr>
        <w:t xml:space="preserve">无锡市，</w:t>
      </w:r>
      <w:r>
        <w:rPr>
          <w:rFonts w:hint="eastAsia" w:ascii="宋体" w:hAnsi="宋体"/>
          <w:bCs/>
          <w:color w:val="000000"/>
          <w:sz w:val="24"/>
          <w:szCs w:val="24"/>
          <w:highlight w:val="none"/>
        </w:rPr>
        <w:t xml:space="preserve">具体地点以合同书约定为准。中标方必须按采购人要求将本项目中货物送到指定地点（包括可能的分布范围），并分地实施安装调试。</w:t>
      </w:r>
      <w:r>
        <w:rPr>
          <w:rFonts w:ascii="宋体"/>
          <w:bCs/>
          <w:color w:val="000000"/>
          <w:sz w:val="24"/>
          <w:szCs w:val="24"/>
          <w:highlight w:val="none"/>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highlight w:val="none"/>
        </w:rPr>
        <w:t xml:space="preserve">质量及验收：采购人根据国家有关规定、招标文件、中标</w:t>
      </w:r>
      <w:r>
        <w:rPr>
          <w:rFonts w:hint="eastAsia" w:ascii="宋体" w:hAnsi="宋体"/>
          <w:bCs/>
          <w:color w:val="000000"/>
          <w:sz w:val="24"/>
          <w:szCs w:val="24"/>
        </w:rPr>
        <w:t xml:space="preserve">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999"/>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99"/>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99"/>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999"/>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999"/>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999"/>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999"/>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99"/>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999"/>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999"/>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999"/>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99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99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9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99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99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9" w:name="OLE_LINK2"/>
      <w:r/>
      <w:bookmarkStart w:id="200" w:name="OLE_LINK1"/>
      <w:r>
        <w:rPr>
          <w:rFonts w:hint="eastAsia" w:ascii="宋体"/>
          <w:bCs/>
          <w:sz w:val="24"/>
          <w:szCs w:val="24"/>
        </w:rPr>
        <w:t xml:space="preserve">《保障中小企业款项支付条例》（中华人民共和国国务院令第802号）</w:t>
      </w:r>
      <w:bookmarkEnd w:id="199"/>
      <w:r/>
      <w:bookmarkEnd w:id="200"/>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9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9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9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99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99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rPr>
      </w:r>
      <w:r/>
    </w:p>
    <w:p>
      <w:pPr>
        <w:pStyle w:val="9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9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999"/>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01"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1086"/>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1086"/>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1086"/>
        <w:spacing w:before="0" w:after="0" w:line="500" w:lineRule="exact"/>
        <w:rPr>
          <w:rFonts w:hint="eastAsia" w:cs="Arial"/>
        </w:rPr>
      </w:pPr>
      <w:r>
        <w:rPr>
          <w:rFonts w:hint="eastAsia" w:cs="Arial"/>
        </w:rPr>
        <w:t xml:space="preserve">比较与评价采用综合评分法。</w:t>
      </w:r>
      <w:r>
        <w:rPr>
          <w:rFonts w:hint="eastAsia" w:cs="Arial"/>
        </w:rPr>
      </w:r>
      <w:r/>
    </w:p>
    <w:p>
      <w:pPr>
        <w:pStyle w:val="1086"/>
        <w:spacing w:before="0" w:after="0" w:line="500" w:lineRule="exact"/>
        <w:rPr>
          <w:rStyle w:val="1075"/>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1075"/>
          <w:rFonts w:ascii="Times New Roman" w:hAnsi="Times New Roman"/>
        </w:rPr>
      </w:r>
      <w:r/>
    </w:p>
    <w:p>
      <w:pPr>
        <w:pStyle w:val="1086"/>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1086"/>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1086"/>
        <w:ind w:firstLine="562"/>
        <w:spacing w:before="0" w:after="0" w:line="500" w:lineRule="exact"/>
        <w:rPr>
          <w:rFonts w:hint="eastAsia" w:ascii="宋体" w:hAnsi="宋体"/>
          <w:b/>
          <w:sz w:val="28"/>
          <w:szCs w:val="28"/>
          <w:highlight w:val="none"/>
        </w:rPr>
      </w:pPr>
      <w:r>
        <w:rPr>
          <w:rFonts w:hint="eastAsia" w:ascii="宋体" w:hAnsi="宋体"/>
          <w:b/>
          <w:sz w:val="28"/>
          <w:szCs w:val="28"/>
        </w:rPr>
        <w:t xml:space="preserve">一、落实政府采</w:t>
      </w:r>
      <w:r>
        <w:rPr>
          <w:rFonts w:hint="eastAsia" w:ascii="宋体" w:hAnsi="宋体"/>
          <w:b/>
          <w:sz w:val="28"/>
          <w:szCs w:val="28"/>
          <w:highlight w:val="none"/>
        </w:rPr>
        <w:t xml:space="preserve">购政策的价格调整</w:t>
      </w:r>
      <w:r>
        <w:rPr>
          <w:rFonts w:hint="eastAsia" w:ascii="宋体" w:hAnsi="宋体"/>
          <w:b/>
          <w:sz w:val="28"/>
          <w:szCs w:val="28"/>
          <w:highlight w:val="none"/>
        </w:rPr>
      </w:r>
      <w:r/>
    </w:p>
    <w:p>
      <w:pPr>
        <w:pStyle w:val="999"/>
        <w:ind w:firstLine="482"/>
        <w:jc w:val="left"/>
        <w:spacing w:line="500" w:lineRule="exact"/>
        <w:rPr>
          <w:rFonts w:hint="eastAsia" w:ascii="宋体" w:hAnsi="宋体"/>
          <w:b/>
          <w:bCs/>
          <w:sz w:val="24"/>
          <w:szCs w:val="24"/>
          <w:highlight w:val="none"/>
        </w:rPr>
      </w:pPr>
      <w:r>
        <w:rPr>
          <w:rFonts w:hint="eastAsia" w:ascii="宋体" w:hAnsi="宋体"/>
          <w:b/>
          <w:bCs/>
          <w:sz w:val="24"/>
          <w:szCs w:val="24"/>
          <w:highlight w:val="none"/>
        </w:rPr>
        <w:t xml:space="preserve">1.小微型企业价格扣除：本项目为设置预留采购部分专门面向中小企业采购项目，中小企业已按要求享受中小企业扶持政策，本项目不再享受小微型企业价格扣除政策。</w:t>
      </w:r>
      <w:r>
        <w:rPr>
          <w:rFonts w:hint="eastAsia" w:ascii="宋体" w:hAnsi="宋体"/>
          <w:b/>
          <w:bCs/>
          <w:sz w:val="24"/>
          <w:szCs w:val="24"/>
          <w:highlight w:val="none"/>
        </w:rPr>
      </w:r>
      <w:r/>
    </w:p>
    <w:p>
      <w:pPr>
        <w:pStyle w:val="999"/>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w:t>
      </w:r>
      <w:r>
        <w:rPr>
          <w:rFonts w:hint="eastAsia" w:ascii="宋体"/>
          <w:b/>
          <w:bCs/>
          <w:color w:val="000000"/>
          <w:sz w:val="24"/>
          <w:szCs w:val="24"/>
        </w:rPr>
        <w:t xml:space="preserve">标准及相关政策的通知》（国办发〔2025〕34号）要求，</w:t>
      </w:r>
      <w:r>
        <w:rPr>
          <w:rFonts w:hint="eastAsia" w:ascii="宋体" w:hAnsi="宋体"/>
          <w:b/>
          <w:bCs/>
          <w:color w:val="000000"/>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2.1本国产品价格扣除政策</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rPr>
      </w:r>
      <w:r/>
    </w:p>
    <w:p>
      <w:pPr>
        <w:pStyle w:val="999"/>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 xml:space="preserve">对于仅有本国产品参与竞争的政府采购项目或采购包，本国产品不享受价格扣除评审优惠。</w:t>
      </w:r>
      <w:r>
        <w:rPr>
          <w:rFonts w:hint="eastAsia" w:ascii="宋体" w:hAnsi="宋体"/>
          <w:b/>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2.2注意事项</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（1）提供本国产品进行投标（报价）的供应商需在其投</w:t>
      </w:r>
      <w:r>
        <w:rPr>
          <w:rFonts w:hint="eastAsia" w:ascii="宋体" w:hAnsi="宋体"/>
          <w:bCs/>
          <w:color w:val="000000"/>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其中，“符合本国产品标准的产品成本之和”是指本项目或采购包中符合本国产品标准的</w:t>
      </w:r>
      <w:r>
        <w:rPr>
          <w:rFonts w:hint="eastAsia" w:ascii="宋体" w:hAnsi="宋体"/>
          <w:b/>
          <w:bCs/>
          <w:color w:val="000000"/>
          <w:sz w:val="24"/>
          <w:szCs w:val="24"/>
        </w:rPr>
        <w:t xml:space="preserve">货物成本之和</w:t>
      </w:r>
      <w:r>
        <w:rPr>
          <w:rFonts w:hint="eastAsia" w:ascii="宋体" w:hAnsi="宋体"/>
          <w:bCs/>
          <w:color w:val="000000"/>
          <w:sz w:val="24"/>
          <w:szCs w:val="24"/>
        </w:rPr>
        <w:t xml:space="preserve">；“全部产品成本之和”是指货物或服务项目（或者采购包）中包含的</w:t>
      </w:r>
      <w:r>
        <w:rPr>
          <w:rFonts w:hint="eastAsia" w:ascii="宋体" w:hAnsi="宋体"/>
          <w:b/>
          <w:bCs/>
          <w:color w:val="000000"/>
          <w:sz w:val="24"/>
          <w:szCs w:val="24"/>
        </w:rPr>
        <w:t xml:space="preserve">全部货物、服务产品的成本之和</w:t>
      </w:r>
      <w:r>
        <w:rPr>
          <w:rFonts w:hint="eastAsia" w:ascii="宋体" w:hAnsi="宋体"/>
          <w:bCs/>
          <w:color w:val="000000"/>
          <w:sz w:val="24"/>
          <w:szCs w:val="24"/>
        </w:rPr>
        <w:t xml:space="preserve">。</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即，当小微型企业价格扣除政策和本国产品价格扣除政策同时享受时，按以下计算方式进行计算：</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供应商参与评审的报价=供应商投标总报价×[1-（小微型企业价格扣除+本国产品价格扣除）]</w:t>
      </w:r>
      <w:r>
        <w:rPr>
          <w:rFonts w:hint="eastAsia" w:ascii="宋体" w:hAnsi="宋体"/>
          <w:bCs/>
          <w:color w:val="000000"/>
          <w:sz w:val="24"/>
          <w:szCs w:val="24"/>
        </w:rPr>
      </w:r>
      <w:r/>
    </w:p>
    <w:p>
      <w:pPr>
        <w:pStyle w:val="99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rPr>
      </w:r>
      <w:r/>
    </w:p>
    <w:p>
      <w:pPr>
        <w:pStyle w:val="999"/>
        <w:ind w:firstLine="480"/>
        <w:jc w:val="left"/>
        <w:spacing w:line="500" w:lineRule="exact"/>
        <w:rPr>
          <w:color w:val="000000"/>
        </w:rPr>
      </w:pPr>
      <w:r>
        <w:rPr>
          <w:rFonts w:hint="eastAsia" w:ascii="宋体" w:hAnsi="宋体"/>
          <w:bCs/>
          <w:color w:val="000000"/>
          <w:sz w:val="24"/>
          <w:szCs w:val="24"/>
        </w:rPr>
        <w:t xml:space="preserve">1000000×[1-（10%+20%）]=700000元</w:t>
      </w:r>
      <w:r>
        <w:rPr>
          <w:color w:val="000000"/>
        </w:rPr>
      </w:r>
      <w:r/>
    </w:p>
    <w:p>
      <w:pPr>
        <w:pStyle w:val="1086"/>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br w:type="page" w:clear="all"/>
      </w:r>
      <w:r>
        <w:rPr>
          <w:rFonts w:hint="eastAsia" w:ascii="宋体" w:hAnsi="宋体"/>
          <w:b/>
          <w:color w:val="000000"/>
          <w:sz w:val="28"/>
          <w:szCs w:val="28"/>
        </w:rPr>
        <w:t xml:space="preserve">二、评分标准</w:t>
      </w:r>
      <w:r>
        <w:rPr>
          <w:rFonts w:hint="eastAsia" w:ascii="宋体" w:hAnsi="宋体"/>
          <w:b/>
          <w:color w:val="000000"/>
          <w:sz w:val="28"/>
          <w:szCs w:val="28"/>
        </w:rPr>
      </w:r>
      <w:r/>
    </w:p>
    <w:p>
      <w:pPr>
        <w:pStyle w:val="1086"/>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1086"/>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54</w:t>
      </w:r>
      <w:r>
        <w:rPr>
          <w:rFonts w:hint="eastAsia" w:ascii="宋体" w:hAnsi="宋体"/>
          <w:b/>
          <w:color w:val="000000"/>
          <w:sz w:val="28"/>
          <w:szCs w:val="28"/>
        </w:rPr>
        <w:t xml:space="preserve">分）</w:t>
      </w:r>
      <w:r>
        <w:rPr>
          <w:rFonts w:hint="eastAsia" w:ascii="宋体" w:hAnsi="宋体"/>
          <w:b/>
          <w:color w:val="000000"/>
          <w:sz w:val="28"/>
          <w:szCs w:val="28"/>
        </w:rPr>
      </w:r>
      <w:r/>
    </w:p>
    <w:p>
      <w:pPr>
        <w:pStyle w:val="999"/>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99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9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99"/>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sz w:val="24"/>
          <w:szCs w:val="24"/>
        </w:rPr>
      </w:r>
      <w:r/>
    </w:p>
    <w:p>
      <w:pPr>
        <w:pStyle w:val="999"/>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8.5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
          <w:bCs/>
          <w:color w:val="000000"/>
          <w:sz w:val="24"/>
          <w:lang w:val="en-US" w:eastAsia="zh-CN"/>
        </w:rPr>
        <w:t xml:space="preserve">注：以下岗位人员不得兼任。</w:t>
      </w:r>
      <w:r>
        <w:rPr>
          <w:rFonts w:ascii="宋体" w:hAnsi="宋体"/>
          <w:b/>
          <w:bCs/>
          <w:color w:val="000000"/>
          <w:sz w:val="24"/>
          <w:szCs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2.1 项目经理（</w:t>
      </w:r>
      <w:r>
        <w:rPr>
          <w:rFonts w:hint="eastAsia" w:ascii="宋体" w:hAnsi="宋体"/>
          <w:color w:val="000000"/>
          <w:sz w:val="24"/>
          <w:lang w:val="en-US" w:eastAsia="zh-CN"/>
        </w:rPr>
        <w:t xml:space="preserve">2.5</w:t>
      </w:r>
      <w:r>
        <w:rPr>
          <w:rFonts w:hint="eastAsia" w:ascii="宋体" w:hAnsi="宋体"/>
          <w:color w:val="000000"/>
          <w:sz w:val="24"/>
        </w:rPr>
        <w:t xml:space="preserve">分）：投标人为本项目配置本项目一名项目经理，该项目经理具有信息系统项目管理师证书、系统规划与管理师证书、信息技术应用创新服务经理证书（ITSS）证书、CISAW信息安全保障人员（应急服务专业级及以上）证书、注册信息安全专业人员（CISP）证书，每提供上述一种证书的得0.5分，最高得</w:t>
      </w:r>
      <w:r>
        <w:rPr>
          <w:rFonts w:hint="eastAsia" w:ascii="宋体" w:hAnsi="宋体"/>
          <w:color w:val="000000"/>
          <w:sz w:val="24"/>
          <w:lang w:val="en-US" w:eastAsia="zh-CN"/>
        </w:rPr>
        <w:t xml:space="preserve">2.5</w:t>
      </w:r>
      <w:r>
        <w:rPr>
          <w:rFonts w:hint="eastAsia" w:ascii="宋体" w:hAnsi="宋体"/>
          <w:color w:val="000000"/>
          <w:sz w:val="24"/>
        </w:rPr>
        <w:t xml:space="preserve">分；须提供相应</w:t>
      </w:r>
      <w:r>
        <w:rPr>
          <w:rFonts w:hint="eastAsia" w:ascii="宋体" w:hAnsi="宋体"/>
          <w:color w:val="000000"/>
          <w:sz w:val="24"/>
          <w:lang w:val="en-US" w:eastAsia="zh-CN"/>
        </w:rPr>
        <w:t xml:space="preserve">有效</w:t>
      </w:r>
      <w:r>
        <w:rPr>
          <w:rFonts w:hint="eastAsia" w:ascii="宋体" w:hAnsi="宋体"/>
          <w:color w:val="000000"/>
          <w:sz w:val="24"/>
        </w:rPr>
        <w:t xml:space="preserve">证书扫描件，没有不得分。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2.2</w:t>
      </w:r>
      <w:r>
        <w:rPr>
          <w:rFonts w:hint="eastAsia" w:ascii="宋体" w:hAnsi="宋体"/>
          <w:color w:val="000000"/>
          <w:sz w:val="24"/>
          <w:lang w:val="en-US" w:eastAsia="zh-CN"/>
        </w:rPr>
        <w:t xml:space="preserve"> </w:t>
      </w:r>
      <w:r>
        <w:rPr>
          <w:rFonts w:hint="eastAsia" w:ascii="宋体" w:hAnsi="宋体"/>
          <w:color w:val="000000"/>
          <w:sz w:val="24"/>
        </w:rPr>
        <w:t xml:space="preserve">架构负责人（2.5分）：投标人为本项目配置一名架构负责人，该架构负责人具有高级系统架构设计师证书、软件设计师证书、软件测试工程师证书（高级）、软件工程造价师证书、注册信息安全专业人员（CISP）证书，每提供上述一种证书的得0.5分，最高得2.5分，须提供相应</w:t>
      </w:r>
      <w:r>
        <w:rPr>
          <w:rFonts w:hint="eastAsia" w:ascii="宋体" w:hAnsi="宋体"/>
          <w:color w:val="000000"/>
          <w:sz w:val="24"/>
          <w:lang w:val="en-US" w:eastAsia="zh-CN"/>
        </w:rPr>
        <w:t xml:space="preserve">有效</w:t>
      </w:r>
      <w:r>
        <w:rPr>
          <w:rFonts w:hint="eastAsia" w:ascii="宋体" w:hAnsi="宋体"/>
          <w:color w:val="000000"/>
          <w:sz w:val="24"/>
        </w:rPr>
        <w:t xml:space="preserve">证书扫描件，没有不得分。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2.3</w:t>
      </w:r>
      <w:r>
        <w:rPr>
          <w:rFonts w:hint="eastAsia" w:ascii="宋体" w:hAnsi="宋体"/>
          <w:color w:val="000000"/>
          <w:sz w:val="24"/>
          <w:lang w:val="en-US" w:eastAsia="zh-CN"/>
        </w:rPr>
        <w:t xml:space="preserve"> </w:t>
      </w:r>
      <w:r>
        <w:rPr>
          <w:rFonts w:hint="eastAsia" w:ascii="宋体" w:hAnsi="宋体"/>
          <w:color w:val="000000"/>
          <w:sz w:val="24"/>
        </w:rPr>
        <w:t xml:space="preserve">安全负责人（2分）：投标人为本项目配备一名安全负责人，该安全负责人具有注册信息安全工程师（CISE）证书 、CCSC 网络安全能力认证证书（网络安全管理II级及以上）、CISAW信息安全保障人员证书（安全运维专业级及以上）、通信专业技术人员职业资格</w:t>
      </w:r>
      <w:r>
        <w:rPr>
          <w:rFonts w:hint="eastAsia" w:ascii="宋体" w:hAnsi="宋体"/>
          <w:color w:val="000000"/>
          <w:sz w:val="24"/>
          <w:lang w:val="en-US" w:eastAsia="zh-CN"/>
        </w:rPr>
        <w:t xml:space="preserve">证书</w:t>
      </w:r>
      <w:r>
        <w:rPr>
          <w:rFonts w:hint="eastAsia" w:ascii="宋体" w:hAnsi="宋体"/>
          <w:color w:val="000000"/>
          <w:sz w:val="24"/>
        </w:rPr>
        <w:t xml:space="preserve">，每提供上述一种证书的得0.5分，最高得2分。须提供相应</w:t>
      </w:r>
      <w:r>
        <w:rPr>
          <w:rFonts w:hint="eastAsia" w:ascii="宋体" w:hAnsi="宋体"/>
          <w:color w:val="000000"/>
          <w:sz w:val="24"/>
          <w:lang w:val="en-US" w:eastAsia="zh-CN"/>
        </w:rPr>
        <w:t xml:space="preserve">有效</w:t>
      </w:r>
      <w:r>
        <w:rPr>
          <w:rFonts w:hint="eastAsia" w:ascii="宋体" w:hAnsi="宋体"/>
          <w:color w:val="000000"/>
          <w:sz w:val="24"/>
        </w:rPr>
        <w:t xml:space="preserve">证书扫描件，没有不得分。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2.4</w:t>
      </w:r>
      <w:r>
        <w:rPr>
          <w:rFonts w:hint="eastAsia" w:ascii="宋体" w:hAnsi="宋体"/>
          <w:color w:val="000000"/>
          <w:sz w:val="24"/>
          <w:lang w:val="en-US" w:eastAsia="zh-CN"/>
        </w:rPr>
        <w:t xml:space="preserve"> </w:t>
      </w:r>
      <w:r>
        <w:rPr>
          <w:rFonts w:hint="eastAsia" w:ascii="宋体" w:hAnsi="宋体"/>
          <w:color w:val="000000"/>
          <w:sz w:val="24"/>
        </w:rPr>
        <w:t xml:space="preserve">项目组成员（1.5分）：项目组成员具有人工智能高级工程师证书、数据库系统工程师证书、CISAW信息安全保障人员证书，每提供上述一种证书的得0.5分，最高得1.5分，须提供相应</w:t>
      </w:r>
      <w:r>
        <w:rPr>
          <w:rFonts w:hint="eastAsia" w:ascii="宋体" w:hAnsi="宋体"/>
          <w:color w:val="000000"/>
          <w:sz w:val="24"/>
          <w:lang w:val="en-US" w:eastAsia="zh-CN"/>
        </w:rPr>
        <w:t xml:space="preserve">有效</w:t>
      </w:r>
      <w:r>
        <w:rPr>
          <w:rFonts w:hint="eastAsia" w:ascii="宋体" w:hAnsi="宋体"/>
          <w:color w:val="000000"/>
          <w:sz w:val="24"/>
        </w:rPr>
        <w:t xml:space="preserve">证书扫描件，没有不得分。同一人员具有多项证书不重复得分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不同人员提供同一种证书不重复得分</w:t>
      </w:r>
      <w:r>
        <w:rPr>
          <w:rFonts w:hint="eastAsia" w:ascii="宋体" w:hAnsi="宋体"/>
          <w:color w:val="000000"/>
          <w:sz w:val="24"/>
        </w:rPr>
        <w:t xml:space="preserve">。</w:t>
      </w:r>
      <w:r>
        <w:rPr>
          <w:rFonts w:hint="eastAsia" w:ascii="宋体" w:hAnsi="宋体"/>
          <w:color w:val="000000"/>
          <w:sz w:val="24"/>
        </w:rPr>
      </w:r>
      <w:r/>
    </w:p>
    <w:p>
      <w:pPr>
        <w:pStyle w:val="999"/>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7.5</w:t>
      </w:r>
      <w:r>
        <w:rPr>
          <w:rFonts w:hint="eastAsia" w:ascii="宋体" w:hAnsi="宋体"/>
          <w:b/>
          <w:bCs/>
          <w:color w:val="000000"/>
          <w:sz w:val="24"/>
          <w:szCs w:val="24"/>
        </w:rPr>
        <w:t xml:space="preserve">分）：</w:t>
      </w:r>
      <w:r>
        <w:rPr>
          <w:rFonts w:ascii="宋体" w:hAnsi="宋体"/>
          <w:b/>
          <w:bCs/>
          <w:color w:val="000000"/>
          <w:sz w:val="24"/>
          <w:szCs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3.1 体系认证证书（2分）：投标人具有有效的数据治理安全管理体系认证证书、数据存储安全管理体系认证证书、业务连续性管理体系认证证书、隐私信息管理体系认证证书，每提供一类证书得0.5分，最高得2分。</w:t>
      </w:r>
      <w:r>
        <w:rPr>
          <w:rFonts w:hint="eastAsia" w:ascii="宋体" w:hAnsi="宋体"/>
          <w:color w:val="000000"/>
          <w:sz w:val="24"/>
        </w:rPr>
        <w:t xml:space="preserve">投标时须提供</w:t>
      </w:r>
      <w:r>
        <w:rPr>
          <w:rFonts w:hint="eastAsia" w:ascii="宋体" w:hAnsi="宋体"/>
          <w:color w:val="000000"/>
          <w:sz w:val="24"/>
          <w:lang w:val="en-US" w:eastAsia="zh-CN"/>
        </w:rPr>
        <w:t xml:space="preserve">有效</w:t>
      </w:r>
      <w:r>
        <w:rPr>
          <w:rFonts w:hint="eastAsia" w:ascii="宋体" w:hAnsi="宋体"/>
          <w:color w:val="000000"/>
          <w:sz w:val="24"/>
        </w:rPr>
        <w:t xml:space="preserve">证书扫描件加盖投标人公章</w:t>
      </w:r>
      <w:r>
        <w:rPr>
          <w:rFonts w:hint="eastAsia" w:ascii="宋体" w:hAnsi="宋体"/>
          <w:color w:val="000000"/>
          <w:sz w:val="24"/>
          <w:lang w:eastAsia="zh-CN"/>
        </w:rPr>
        <w:t xml:space="preserve">。</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3.2</w:t>
      </w:r>
      <w:r>
        <w:rPr>
          <w:rFonts w:hint="eastAsia" w:ascii="宋体" w:hAnsi="宋体"/>
          <w:color w:val="000000"/>
          <w:sz w:val="24"/>
          <w:lang w:val="en-US" w:eastAsia="zh-CN"/>
        </w:rPr>
        <w:t xml:space="preserve"> </w:t>
      </w:r>
      <w:r>
        <w:rPr>
          <w:rFonts w:hint="eastAsia" w:ascii="宋体" w:hAnsi="宋体"/>
          <w:color w:val="000000"/>
          <w:sz w:val="24"/>
        </w:rPr>
        <w:t xml:space="preserve">业绩（3分）：投标人自2022年1月1日以来（以合同签订日期为准），具有与本项目同类信息化项目案例的，每提供一个有效业绩得1分，最高得3分。须提供</w:t>
      </w:r>
      <w:r>
        <w:rPr>
          <w:rFonts w:hint="eastAsia" w:ascii="宋体" w:hAnsi="宋体"/>
          <w:color w:val="000000"/>
          <w:sz w:val="24"/>
          <w:lang w:val="en-US" w:eastAsia="zh-CN"/>
        </w:rPr>
        <w:t xml:space="preserve">相应有效</w:t>
      </w:r>
      <w:r>
        <w:rPr>
          <w:rFonts w:hint="eastAsia" w:ascii="宋体" w:hAnsi="宋体"/>
          <w:color w:val="000000"/>
          <w:sz w:val="24"/>
        </w:rPr>
        <w:t xml:space="preserve">合同扫描件。</w:t>
      </w:r>
      <w:r>
        <w:rPr>
          <w:rFonts w:hint="eastAsia" w:ascii="宋体" w:hAnsi="宋体"/>
          <w:color w:val="000000"/>
          <w:sz w:val="24"/>
        </w:rPr>
      </w:r>
      <w:r/>
    </w:p>
    <w:p>
      <w:pPr>
        <w:pStyle w:val="999"/>
        <w:ind w:firstLine="480"/>
        <w:spacing w:line="500" w:lineRule="exact"/>
        <w:rPr>
          <w:rFonts w:ascii="宋体" w:hAnsi="宋体"/>
          <w:color w:val="000000"/>
          <w:sz w:val="24"/>
        </w:rPr>
      </w:pPr>
      <w:r>
        <w:rPr>
          <w:rFonts w:hint="eastAsia" w:ascii="宋体" w:hAnsi="宋体"/>
          <w:color w:val="000000"/>
          <w:sz w:val="24"/>
        </w:rPr>
        <w:t xml:space="preserve">3.3</w:t>
      </w:r>
      <w:r>
        <w:rPr>
          <w:rFonts w:hint="eastAsia" w:ascii="宋体" w:hAnsi="宋体"/>
          <w:color w:val="000000"/>
          <w:sz w:val="24"/>
          <w:lang w:val="en-US" w:eastAsia="zh-CN"/>
        </w:rPr>
        <w:t xml:space="preserve"> </w:t>
      </w:r>
      <w:r>
        <w:rPr>
          <w:rFonts w:hint="eastAsia" w:ascii="宋体" w:hAnsi="宋体"/>
          <w:color w:val="000000"/>
          <w:sz w:val="24"/>
        </w:rPr>
        <w:t xml:space="preserve">软件著作权证书（</w:t>
      </w:r>
      <w:r>
        <w:rPr>
          <w:rFonts w:hint="eastAsia" w:ascii="宋体" w:hAnsi="宋体"/>
          <w:color w:val="000000"/>
          <w:sz w:val="24"/>
          <w:lang w:val="en-US" w:eastAsia="zh-CN"/>
        </w:rPr>
        <w:t xml:space="preserve">2.5</w:t>
      </w:r>
      <w:r>
        <w:rPr>
          <w:rFonts w:hint="eastAsia" w:ascii="宋体" w:hAnsi="宋体"/>
          <w:color w:val="000000"/>
          <w:sz w:val="24"/>
        </w:rPr>
        <w:t xml:space="preserve">分）：为实现全域资源整合、统筹协同管理功能，投标人具有“一网统管平台”相关类型的著作权证书；为实现市域治理态势感知、风险研判及决策支撑功能，投标人具有“市域治理分析研判”相关类型的著作权证书；为实现场景可视化呈现、指令快速下达及调度功能，投标人具有“可视化智能指挥调度”相关类型的著作权证书；为实现海量数据归集、清洗、分析及价值挖掘功能，投标人具有“大数据分析系统”相关类型的著作权证书；为实现线索自动采集、智能分析及精准推送功能，投标人具有“线索分析推送系统”相关类型的著作权证书。每提供一类得</w:t>
      </w:r>
      <w:r>
        <w:rPr>
          <w:rFonts w:hint="eastAsia" w:ascii="宋体" w:hAnsi="宋体"/>
          <w:color w:val="000000"/>
          <w:sz w:val="24"/>
          <w:lang w:val="en-US" w:eastAsia="zh-CN"/>
        </w:rPr>
        <w:t xml:space="preserve">0.5</w:t>
      </w:r>
      <w:r>
        <w:rPr>
          <w:rFonts w:hint="eastAsia" w:ascii="宋体" w:hAnsi="宋体"/>
          <w:color w:val="000000"/>
          <w:sz w:val="24"/>
        </w:rPr>
        <w:t xml:space="preserve">分，最高得</w:t>
      </w:r>
      <w:r>
        <w:rPr>
          <w:rFonts w:hint="eastAsia" w:ascii="宋体" w:hAnsi="宋体"/>
          <w:color w:val="000000"/>
          <w:sz w:val="24"/>
          <w:lang w:val="en-US" w:eastAsia="zh-CN"/>
        </w:rPr>
        <w:t xml:space="preserve">2.5</w:t>
      </w:r>
      <w:r>
        <w:rPr>
          <w:rFonts w:hint="eastAsia" w:ascii="宋体" w:hAnsi="宋体"/>
          <w:color w:val="000000"/>
          <w:sz w:val="24"/>
        </w:rPr>
        <w:t xml:space="preserve">分。须提供软件著作权登记证书扫描件并加盖投标人公章，著作权证书名称与上述所列有所不同，但实质内容相关或功能类同的，可视为等同，所提供的软件著作权登记证书上的著作权人须为投标人，否则不得分。</w:t>
      </w:r>
      <w:r>
        <w:rPr>
          <w:rFonts w:ascii="宋体" w:hAnsi="宋体"/>
          <w:color w:val="000000"/>
          <w:sz w:val="24"/>
        </w:rPr>
      </w:r>
      <w:r/>
    </w:p>
    <w:p>
      <w:pPr>
        <w:pStyle w:val="999"/>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产品技术（</w:t>
      </w:r>
      <w:r>
        <w:rPr>
          <w:rFonts w:hint="eastAsia" w:ascii="宋体" w:hAnsi="宋体"/>
          <w:b/>
          <w:bCs/>
          <w:color w:val="000000"/>
          <w:sz w:val="24"/>
          <w:szCs w:val="24"/>
          <w:lang w:val="en-US" w:eastAsia="zh-CN"/>
        </w:rPr>
        <w:t xml:space="preserve">14</w:t>
      </w:r>
      <w:r>
        <w:rPr>
          <w:rFonts w:hint="eastAsia" w:ascii="宋体" w:hAnsi="宋体"/>
          <w:b/>
          <w:bCs/>
          <w:color w:val="000000"/>
          <w:sz w:val="24"/>
          <w:szCs w:val="24"/>
        </w:rPr>
        <w:t xml:space="preserve">分）：</w:t>
      </w:r>
      <w:r>
        <w:rPr>
          <w:rFonts w:ascii="宋体" w:hAnsi="宋体"/>
          <w:b/>
          <w:bCs/>
          <w:color w:val="000000"/>
          <w:sz w:val="24"/>
          <w:szCs w:val="24"/>
        </w:rPr>
      </w:r>
      <w:r/>
    </w:p>
    <w:p>
      <w:pPr>
        <w:pStyle w:val="999"/>
        <w:ind w:firstLine="482"/>
        <w:spacing w:line="500" w:lineRule="exact"/>
        <w:rPr>
          <w:rFonts w:hint="eastAsia" w:ascii="宋体" w:hAnsi="宋体"/>
          <w:b/>
          <w:bCs/>
          <w:color w:val="000000"/>
          <w:sz w:val="24"/>
        </w:rPr>
      </w:pPr>
      <w:r>
        <w:rPr>
          <w:rFonts w:hint="eastAsia" w:ascii="宋体" w:hAnsi="宋体"/>
          <w:b/>
          <w:bCs/>
          <w:color w:val="000000"/>
          <w:sz w:val="24"/>
        </w:rPr>
        <w:t xml:space="preserve">4.1 社情民意速告警“智研判”</w:t>
      </w:r>
      <w:r>
        <w:rPr>
          <w:rFonts w:hint="eastAsia" w:ascii="宋体" w:hAnsi="宋体"/>
          <w:b/>
          <w:bCs/>
          <w:color w:val="000000"/>
          <w:sz w:val="24"/>
        </w:rPr>
      </w:r>
      <w:r/>
    </w:p>
    <w:p>
      <w:pPr>
        <w:pStyle w:val="999"/>
        <w:ind w:firstLine="482"/>
        <w:spacing w:line="500" w:lineRule="exact"/>
        <w:rPr>
          <w:rFonts w:hint="eastAsia" w:ascii="宋体" w:hAnsi="宋体"/>
          <w:color w:val="000000"/>
          <w:sz w:val="24"/>
        </w:rPr>
      </w:pPr>
      <w:r>
        <w:rPr>
          <w:rFonts w:hint="eastAsia" w:ascii="宋体" w:hAnsi="宋体"/>
          <w:b/>
          <w:bCs/>
          <w:color w:val="000000"/>
          <w:sz w:val="24"/>
          <w:lang w:val="en-US" w:eastAsia="zh-CN"/>
        </w:rPr>
        <w:t xml:space="preserve">4.1.1</w:t>
      </w:r>
      <w:r>
        <w:rPr>
          <w:rFonts w:hint="eastAsia" w:ascii="宋体" w:hAnsi="宋体"/>
          <w:b/>
          <w:bCs/>
          <w:color w:val="000000"/>
          <w:sz w:val="24"/>
        </w:rPr>
        <w:t xml:space="preserve">算力服务器</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1分</w:t>
      </w:r>
      <w:r>
        <w:rPr>
          <w:rFonts w:hint="eastAsia" w:ascii="宋体" w:hAnsi="宋体"/>
          <w:b/>
          <w:bCs/>
          <w:color w:val="000000"/>
          <w:sz w:val="24"/>
          <w:lang w:eastAsia="zh-CN"/>
        </w:rPr>
        <w:t xml:space="preserve">）：</w:t>
      </w:r>
      <w:r>
        <w:rPr>
          <w:rFonts w:hint="eastAsia" w:ascii="宋体" w:hAnsi="宋体"/>
          <w:color w:val="000000"/>
          <w:sz w:val="24"/>
        </w:rPr>
        <w:t xml:space="preserve">所投服务器智能管理系统具有高可靠的硬件监控及管理功能，通过</w:t>
      </w:r>
      <w:r>
        <w:rPr>
          <w:rFonts w:hint="eastAsia" w:ascii="宋体" w:hAnsi="宋体"/>
          <w:color w:val="000000"/>
          <w:sz w:val="24"/>
        </w:rPr>
        <w:t xml:space="preserve">软件安全性测试和软件防渗透测试：</w:t>
      </w:r>
      <w:r>
        <w:rPr>
          <w:rFonts w:hint="eastAsia" w:ascii="宋体" w:hAnsi="宋体"/>
          <w:color w:val="000000"/>
          <w:sz w:val="24"/>
        </w:rPr>
        <w:t xml:space="preserve">包括传输保密性、完善性校验、日志可核查性、日志抗抵赖性、认证安全性、权限管理安全性、用户会话安全性、敏感信息防泄漏、信息输入输出安全等。（投标时须提供具有CMA资质的检测机构出具的带有CMA标识的检测报告扫描件。）</w:t>
      </w:r>
      <w:r>
        <w:rPr>
          <w:rFonts w:hint="eastAsia" w:ascii="宋体" w:hAnsi="宋体"/>
          <w:color w:val="000000"/>
          <w:sz w:val="24"/>
        </w:rPr>
      </w:r>
      <w:r/>
    </w:p>
    <w:p>
      <w:pPr>
        <w:pStyle w:val="999"/>
        <w:ind w:firstLine="482"/>
        <w:spacing w:line="500" w:lineRule="exact"/>
        <w:rPr>
          <w:rFonts w:hint="eastAsia" w:ascii="宋体" w:hAnsi="宋体"/>
          <w:b/>
          <w:bCs/>
          <w:color w:val="000000"/>
          <w:sz w:val="24"/>
        </w:rPr>
      </w:pPr>
      <w:r>
        <w:rPr>
          <w:rFonts w:hint="eastAsia" w:ascii="宋体" w:hAnsi="宋体"/>
          <w:b/>
          <w:bCs/>
          <w:color w:val="000000"/>
          <w:sz w:val="24"/>
        </w:rPr>
        <w:t xml:space="preserve">4.2紧急事件跨域联动“慧调度”</w:t>
      </w:r>
      <w:r>
        <w:rPr>
          <w:rFonts w:hint="eastAsia" w:ascii="宋体" w:hAnsi="宋体"/>
          <w:b/>
          <w:bCs/>
          <w:color w:val="000000"/>
          <w:sz w:val="24"/>
        </w:rPr>
      </w:r>
      <w:r/>
    </w:p>
    <w:p>
      <w:pPr>
        <w:pStyle w:val="999"/>
        <w:ind w:firstLine="482"/>
        <w:spacing w:line="500" w:lineRule="exact"/>
        <w:rPr>
          <w:rFonts w:hint="eastAsia" w:ascii="宋体" w:hAnsi="宋体" w:eastAsia="宋体"/>
          <w:b/>
          <w:bCs/>
          <w:color w:val="000000"/>
          <w:sz w:val="24"/>
          <w:lang w:eastAsia="zh-CN"/>
        </w:rPr>
      </w:pPr>
      <w:r>
        <w:rPr>
          <w:rFonts w:hint="eastAsia" w:ascii="宋体" w:hAnsi="宋体"/>
          <w:b/>
          <w:bCs/>
          <w:color w:val="000000"/>
          <w:sz w:val="24"/>
          <w:lang w:val="en-US" w:eastAsia="zh-CN"/>
        </w:rPr>
        <w:t xml:space="preserve">4.2.1 </w:t>
      </w:r>
      <w:r>
        <w:rPr>
          <w:rFonts w:hint="eastAsia" w:ascii="宋体" w:hAnsi="宋体"/>
          <w:b/>
          <w:bCs/>
          <w:color w:val="000000"/>
          <w:sz w:val="24"/>
        </w:rPr>
        <w:t xml:space="preserve">4K输入节点</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4分</w:t>
      </w:r>
      <w:r>
        <w:rPr>
          <w:rFonts w:hint="eastAsia" w:ascii="宋体" w:hAnsi="宋体"/>
          <w:b/>
          <w:bCs/>
          <w:color w:val="000000"/>
          <w:sz w:val="24"/>
          <w:lang w:eastAsia="zh-CN"/>
        </w:rPr>
        <w:t xml:space="preserve">）</w:t>
      </w:r>
      <w:r>
        <w:rPr>
          <w:rFonts w:hint="eastAsia" w:ascii="宋体" w:hAnsi="宋体" w:eastAsia="宋体"/>
          <w:b/>
          <w:bCs/>
          <w:color w:val="000000"/>
          <w:sz w:val="24"/>
          <w:lang w:eastAsia="zh-CN"/>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预览功能检验：</w:t>
      </w:r>
      <w:r>
        <w:rPr>
          <w:rFonts w:hint="eastAsia" w:ascii="宋体" w:hAnsi="宋体"/>
          <w:color w:val="000000"/>
          <w:sz w:val="24"/>
        </w:rPr>
        <w:t xml:space="preserve">支持信号源画面(刷新频率15Hz)实时预览与输出显示内容的实时监看</w:t>
      </w:r>
      <w:r>
        <w:rPr>
          <w:rFonts w:hint="eastAsia" w:ascii="宋体" w:hAnsi="宋体"/>
          <w:color w:val="000000"/>
          <w:sz w:val="24"/>
          <w:lang w:eastAsia="zh-CN"/>
        </w:rPr>
        <w:t xml:space="preserve">；</w:t>
      </w:r>
      <w:r>
        <w:rPr>
          <w:rFonts w:hint="eastAsia" w:ascii="宋体" w:hAnsi="宋体"/>
          <w:color w:val="000000"/>
          <w:sz w:val="24"/>
        </w:rPr>
        <w:t xml:space="preserve">支持高清模式、标清模式、流畅模式选择，节点可输出3种不同分辨率的码流</w:t>
      </w:r>
      <w:r>
        <w:rPr>
          <w:rFonts w:hint="eastAsia" w:ascii="宋体" w:hAnsi="宋体"/>
          <w:color w:val="000000"/>
          <w:sz w:val="24"/>
          <w:lang w:eastAsia="zh-CN"/>
        </w:rPr>
        <w:t xml:space="preserve">；</w:t>
      </w:r>
      <w:r>
        <w:rPr>
          <w:rFonts w:hint="eastAsia" w:ascii="宋体" w:hAnsi="宋体"/>
          <w:color w:val="000000"/>
          <w:sz w:val="24"/>
        </w:rPr>
        <w:t xml:space="preserve">支持32路画面同时预监。（投标时须提供具有CMA资质的检测机构出具的带有CMA标识的检测报告扫描件。）（</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2）光光备份功能检验：支持输入输出节点双光纤链路传输，主光链路传输断开时，可自动切换至备光纤链路数据传输，当主光链路恢复时，自动切换回主光链路。（投标时须提供具有CMA资质的检测机构出具的带有CMA标识的检测报告扫描件。）（</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999"/>
        <w:ind w:firstLine="480"/>
        <w:jc w:val="left"/>
        <w:spacing w:line="500" w:lineRule="exact"/>
        <w:rPr>
          <w:rFonts w:hint="eastAsia" w:ascii="宋体" w:hAnsi="宋体"/>
          <w:color w:val="000000"/>
          <w:sz w:val="24"/>
        </w:rPr>
      </w:pPr>
      <w:r>
        <w:rPr>
          <w:rFonts w:hint="eastAsia" w:ascii="宋体" w:hAnsi="宋体"/>
          <w:color w:val="000000"/>
          <w:sz w:val="24"/>
        </w:rPr>
        <w:t xml:space="preserve">（3）中控集成：支持PC端、移动客户端上位机软件集成中控页面功能。可通过TCP/IP网络发送控制指令给节点并控制后端受控设备。（投标时须提供具有CMA资质的检测机构出具的带有CMA标识的检测报告扫描件。）（</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999"/>
        <w:ind w:firstLine="480"/>
        <w:jc w:val="left"/>
        <w:spacing w:line="500" w:lineRule="exact"/>
        <w:rPr>
          <w:rFonts w:hint="eastAsia" w:ascii="宋体" w:hAnsi="宋体"/>
          <w:color w:val="000000"/>
          <w:sz w:val="24"/>
        </w:rPr>
      </w:pPr>
      <w:r>
        <w:rPr>
          <w:rFonts w:hint="eastAsia" w:ascii="宋体" w:hAnsi="宋体"/>
          <w:color w:val="000000"/>
          <w:sz w:val="24"/>
        </w:rPr>
        <w:t xml:space="preserve">（4）波特率设置功能检验：节点支持DB9接口，可实现全9针串口控制与透传功能，支持1200、2400、4800、9600、14400、19200、38400、56000、57600、115200、128000、250000、256000等多种波特率。（投标时须提供具有CMA资质的检测机构出具的带有CMA标识的检测报告扫描件。）（</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999"/>
        <w:ind w:firstLine="482"/>
        <w:spacing w:line="500" w:lineRule="exact"/>
        <w:rPr>
          <w:rFonts w:hint="eastAsia" w:ascii="宋体" w:hAnsi="宋体" w:eastAsia="宋体"/>
          <w:b/>
          <w:bCs/>
          <w:color w:val="000000"/>
          <w:sz w:val="24"/>
          <w:lang w:eastAsia="zh-CN"/>
        </w:rPr>
      </w:pPr>
      <w:r>
        <w:rPr>
          <w:rFonts w:hint="eastAsia" w:ascii="宋体" w:hAnsi="宋体"/>
          <w:b/>
          <w:bCs/>
          <w:color w:val="000000"/>
          <w:sz w:val="24"/>
          <w:lang w:val="en-US" w:eastAsia="zh-CN"/>
        </w:rPr>
        <w:t xml:space="preserve">4.2.2 </w:t>
      </w:r>
      <w:r>
        <w:rPr>
          <w:rFonts w:hint="eastAsia" w:ascii="宋体" w:hAnsi="宋体"/>
          <w:b/>
          <w:bCs/>
          <w:color w:val="000000"/>
          <w:sz w:val="24"/>
        </w:rPr>
        <w:t xml:space="preserve">4K输出节点</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3分</w:t>
      </w:r>
      <w:r>
        <w:rPr>
          <w:rFonts w:hint="eastAsia" w:ascii="宋体" w:hAnsi="宋体"/>
          <w:b/>
          <w:bCs/>
          <w:color w:val="000000"/>
          <w:sz w:val="24"/>
          <w:lang w:eastAsia="zh-CN"/>
        </w:rPr>
        <w:t xml:space="preserve">）</w:t>
      </w:r>
      <w:r>
        <w:rPr>
          <w:rFonts w:hint="eastAsia" w:ascii="宋体" w:hAnsi="宋体" w:eastAsia="宋体"/>
          <w:b/>
          <w:bCs/>
          <w:color w:val="000000"/>
          <w:sz w:val="24"/>
          <w:lang w:eastAsia="zh-CN"/>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（1）音频独立传输功能检验：音视频同步和异步传输。音频独立传输时，当视频切换的时候，音频输出不发生改变，当音频切换的时候，视频输出不发生改变</w:t>
      </w:r>
      <w:r>
        <w:rPr>
          <w:rFonts w:hint="eastAsia" w:ascii="宋体" w:hAnsi="宋体"/>
          <w:color w:val="000000"/>
          <w:sz w:val="24"/>
          <w:lang w:eastAsia="zh-CN"/>
        </w:rPr>
        <w:t xml:space="preserve">；</w:t>
      </w:r>
      <w:r>
        <w:rPr>
          <w:rFonts w:hint="eastAsia" w:ascii="宋体" w:hAnsi="宋体"/>
          <w:color w:val="000000"/>
          <w:sz w:val="24"/>
        </w:rPr>
        <w:t xml:space="preserve">音频可与视频同源或不同源，在无视频接入的情况下也音频可正常传输</w:t>
      </w:r>
      <w:r>
        <w:rPr>
          <w:rFonts w:hint="eastAsia" w:ascii="宋体" w:hAnsi="宋体"/>
          <w:color w:val="000000"/>
          <w:sz w:val="24"/>
          <w:lang w:eastAsia="zh-CN"/>
        </w:rPr>
        <w:t xml:space="preserve">；</w:t>
      </w:r>
      <w:r>
        <w:rPr>
          <w:rFonts w:hint="eastAsia" w:ascii="宋体" w:hAnsi="宋体"/>
          <w:color w:val="000000"/>
          <w:sz w:val="24"/>
        </w:rPr>
        <w:t xml:space="preserve">音视频同传时，音视频输入经编码、网络传输后，在解码端可同时进行音视频切换。（投标时须提供具有CMA资质的检测机构出具的带有CMA标识的检测报告扫描件。）（</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音柱叠加功能检验：</w:t>
      </w:r>
      <w:r>
        <w:rPr>
          <w:rFonts w:hint="eastAsia" w:ascii="宋体" w:hAnsi="宋体"/>
          <w:color w:val="000000"/>
          <w:sz w:val="24"/>
        </w:rPr>
        <w:t xml:space="preserve">可在输出节点上预览信号源音频的状态，可以音柱的形式监看音频音量大小，且不影响其他输出节点画面显示。（投标时须提供具有CMA资质的检测机构出具的带有CMA标识的检测报告扫描件。）（</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3</w:t>
      </w:r>
      <w:r>
        <w:rPr>
          <w:rFonts w:hint="eastAsia" w:ascii="宋体" w:hAnsi="宋体"/>
          <w:color w:val="000000"/>
          <w:sz w:val="24"/>
        </w:rPr>
        <w:t xml:space="preserve">）支持与现有分布式显控系统无缝对接。（投标时须提供所投4K输出节点产品原厂承诺函并加盖原厂公章）（</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999"/>
        <w:ind w:firstLine="482"/>
        <w:spacing w:line="500" w:lineRule="exact"/>
        <w:rPr>
          <w:rFonts w:hint="eastAsia" w:ascii="宋体" w:hAnsi="宋体"/>
          <w:b/>
          <w:bCs/>
          <w:color w:val="000000"/>
          <w:sz w:val="24"/>
        </w:rPr>
      </w:pPr>
      <w:r>
        <w:rPr>
          <w:rFonts w:hint="eastAsia" w:ascii="宋体" w:hAnsi="宋体"/>
          <w:b/>
          <w:bCs/>
          <w:color w:val="000000"/>
          <w:sz w:val="24"/>
        </w:rPr>
        <w:t xml:space="preserve">4.3城市运行视频事件“智解析”</w:t>
      </w:r>
      <w:r>
        <w:rPr>
          <w:rFonts w:hint="eastAsia" w:ascii="宋体" w:hAnsi="宋体"/>
          <w:b/>
          <w:bCs/>
          <w:color w:val="000000"/>
          <w:sz w:val="24"/>
        </w:rPr>
      </w:r>
      <w:r/>
    </w:p>
    <w:p>
      <w:pPr>
        <w:pStyle w:val="999"/>
        <w:ind w:firstLine="482"/>
        <w:spacing w:line="500" w:lineRule="exact"/>
        <w:rPr>
          <w:rFonts w:hint="eastAsia" w:ascii="宋体" w:hAnsi="宋体" w:eastAsia="宋体"/>
          <w:b/>
          <w:bCs/>
          <w:color w:val="000000"/>
          <w:sz w:val="24"/>
          <w:lang w:eastAsia="zh-CN"/>
        </w:rPr>
      </w:pPr>
      <w:r>
        <w:rPr>
          <w:rFonts w:hint="eastAsia" w:ascii="宋体" w:hAnsi="宋体"/>
          <w:b/>
          <w:bCs/>
          <w:color w:val="000000"/>
          <w:sz w:val="24"/>
          <w:lang w:val="en-US" w:eastAsia="zh-CN"/>
        </w:rPr>
        <w:t xml:space="preserve">4.3.1 </w:t>
      </w:r>
      <w:r>
        <w:rPr>
          <w:rFonts w:hint="eastAsia" w:ascii="宋体" w:hAnsi="宋体"/>
          <w:b/>
          <w:bCs/>
          <w:color w:val="000000"/>
          <w:sz w:val="24"/>
        </w:rPr>
        <w:t xml:space="preserve">算法成效管理模块</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2分</w:t>
      </w:r>
      <w:r>
        <w:rPr>
          <w:rFonts w:hint="eastAsia" w:ascii="宋体" w:hAnsi="宋体"/>
          <w:b/>
          <w:bCs/>
          <w:color w:val="000000"/>
          <w:sz w:val="24"/>
          <w:lang w:eastAsia="zh-CN"/>
        </w:rPr>
        <w:t xml:space="preserve">）</w:t>
      </w:r>
      <w:r>
        <w:rPr>
          <w:rFonts w:hint="eastAsia" w:ascii="宋体" w:hAnsi="宋体" w:eastAsia="宋体"/>
          <w:b/>
          <w:bCs/>
          <w:color w:val="000000"/>
          <w:sz w:val="24"/>
          <w:lang w:eastAsia="zh-CN"/>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szCs w:val="24"/>
        </w:rPr>
        <w:t xml:space="preserve">策略算法元件功能检查：</w:t>
      </w:r>
      <w:r>
        <w:rPr>
          <w:rFonts w:hint="eastAsia" w:ascii="宋体" w:hAnsi="宋体"/>
          <w:color w:val="000000"/>
          <w:sz w:val="24"/>
        </w:rPr>
        <w:t xml:space="preserve">支持策略算法元件的编辑、删除、导入和导出操作。支持按照元件名称、元件版本、元件标识等进行策略算法元件的条件检索，并按照列表进行结果展示，点击详情可展示元件详细信息，详细信息中包含了元件信息、算法信息和引用关系。引用关系包含了策略名称、策略标识、策略状态、创建人、创建时间、详情，点击详情可跳转到对应的策略中。</w:t>
      </w:r>
      <w:r>
        <w:rPr>
          <w:rFonts w:hint="eastAsia" w:ascii="宋体" w:hAnsi="宋体"/>
          <w:color w:val="000000"/>
          <w:sz w:val="24"/>
        </w:rPr>
        <w:t xml:space="preserve">（投标时须提供具有CMA资质的检测机构出具的带有CMA标识的检测报告扫描件。）（</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szCs w:val="24"/>
        </w:rPr>
        <w:t xml:space="preserve">策略素材库功能检查：</w:t>
      </w:r>
      <w:r>
        <w:rPr>
          <w:rFonts w:hint="eastAsia" w:ascii="宋体" w:hAnsi="宋体"/>
          <w:color w:val="000000"/>
          <w:sz w:val="24"/>
        </w:rPr>
        <w:t xml:space="preserve">支持手动</w:t>
      </w:r>
      <w:r>
        <w:rPr>
          <w:rFonts w:hint="eastAsia" w:ascii="宋体" w:hAnsi="宋体"/>
          <w:color w:val="000000"/>
          <w:sz w:val="24"/>
          <w:lang w:val="en-US" w:eastAsia="zh-CN"/>
        </w:rPr>
        <w:t xml:space="preserve">选择</w:t>
      </w:r>
      <w:r>
        <w:rPr>
          <w:rFonts w:hint="eastAsia" w:ascii="宋体" w:hAnsi="宋体"/>
          <w:color w:val="000000"/>
          <w:sz w:val="24"/>
        </w:rPr>
        <w:t xml:space="preserve">事件类型、监控点、素材库类型以及对应的素材库图片进行策略素材库的添加，其中素材库的图片支持通过本地上传、录像抓图、实时抓图方式进行添加，并对上传的图片刻画多边形框或者矩形框。支持按照事件类型、点位的维度展示已加入到策略素材库中的事件图片。</w:t>
      </w:r>
      <w:r>
        <w:rPr>
          <w:rFonts w:hint="eastAsia" w:ascii="宋体" w:hAnsi="宋体"/>
          <w:color w:val="000000"/>
          <w:sz w:val="24"/>
        </w:rPr>
        <w:t xml:space="preserve">（投标时须提供具有CMA资质的检测机构出具的带有CMA标识的检测报告扫描件。）</w:t>
      </w:r>
      <w:r>
        <w:rPr>
          <w:rFonts w:hint="eastAsia" w:ascii="宋体" w:hAnsi="宋体"/>
          <w:color w:val="000000"/>
          <w:sz w:val="24"/>
        </w:rPr>
        <w:t xml:space="preserve">（</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999"/>
        <w:ind w:firstLine="482"/>
        <w:spacing w:line="500" w:lineRule="exact"/>
        <w:rPr>
          <w:rFonts w:hint="eastAsia" w:ascii="宋体" w:hAnsi="宋体"/>
          <w:b/>
          <w:bCs/>
          <w:color w:val="000000"/>
          <w:sz w:val="24"/>
        </w:rPr>
      </w:pPr>
      <w:r>
        <w:rPr>
          <w:rFonts w:hint="eastAsia" w:ascii="宋体" w:hAnsi="宋体"/>
          <w:b/>
          <w:bCs/>
          <w:color w:val="000000"/>
          <w:sz w:val="24"/>
        </w:rPr>
        <w:t xml:space="preserve">4.4城市治理视频事件“快关联”</w:t>
      </w:r>
      <w:r>
        <w:rPr>
          <w:rFonts w:hint="eastAsia" w:ascii="宋体" w:hAnsi="宋体"/>
          <w:b/>
          <w:bCs/>
          <w:color w:val="000000"/>
          <w:sz w:val="24"/>
        </w:rPr>
      </w:r>
      <w:r/>
    </w:p>
    <w:p>
      <w:pPr>
        <w:pStyle w:val="999"/>
        <w:ind w:firstLine="482"/>
        <w:spacing w:line="500" w:lineRule="exact"/>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4.4.1 </w:t>
      </w:r>
      <w:r>
        <w:rPr>
          <w:rFonts w:hint="eastAsia" w:ascii="宋体" w:hAnsi="宋体"/>
          <w:b/>
          <w:bCs/>
          <w:color w:val="000000"/>
          <w:sz w:val="24"/>
          <w:highlight w:val="none"/>
        </w:rPr>
        <w:t xml:space="preserve">视频标签</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1分</w:t>
      </w:r>
      <w:r>
        <w:rPr>
          <w:rFonts w:hint="eastAsia" w:ascii="宋体" w:hAnsi="宋体"/>
          <w:b/>
          <w:bCs/>
          <w:color w:val="000000"/>
          <w:sz w:val="24"/>
          <w:highlight w:val="none"/>
          <w:lang w:eastAsia="zh-CN"/>
        </w:rPr>
        <w:t xml:space="preserve">）</w:t>
      </w:r>
      <w:r>
        <w:rPr>
          <w:rFonts w:hint="eastAsia" w:ascii="宋体" w:hAnsi="宋体" w:eastAsia="宋体"/>
          <w:b/>
          <w:bCs/>
          <w:color w:val="000000"/>
          <w:sz w:val="24"/>
          <w:highlight w:val="none"/>
          <w:lang w:eastAsia="zh-CN"/>
        </w:rPr>
      </w:r>
      <w:r/>
    </w:p>
    <w:p>
      <w:pPr>
        <w:pStyle w:val="99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级联推送管理-任务管道配置功能检查</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支持查看级联推送管理的配置流程；支持管理数据推送任务，支持的任务有：从本级向上级同步审核通过的编目资源、从本级向上级同步应用场景标签与资源的关联关系；支持查看任务的任务名称、上次全量同步时间、上次全量同步结果、是否实时同步，支持根据上次全量同步时间进行排序；支持单个或批量管理任务的实时同步开关，支持单个或批量触发全量同步操作。</w:t>
      </w:r>
      <w:r>
        <w:rPr>
          <w:rFonts w:hint="eastAsia" w:ascii="宋体" w:hAnsi="宋体"/>
          <w:color w:val="000000"/>
          <w:sz w:val="24"/>
        </w:rPr>
        <w:t xml:space="preserve">（投标时须提供具有CMA资质的检测机构出具的带有CMA标识的检测报告扫描件。）</w:t>
      </w:r>
      <w:r>
        <w:rPr>
          <w:rFonts w:hint="eastAsia" w:ascii="宋体" w:hAnsi="宋体"/>
          <w:color w:val="000000"/>
          <w:sz w:val="24"/>
          <w:highlight w:val="none"/>
        </w:rPr>
      </w:r>
      <w:r/>
    </w:p>
    <w:p>
      <w:pPr>
        <w:pStyle w:val="999"/>
        <w:ind w:firstLine="482"/>
        <w:spacing w:line="5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4.4.2 </w:t>
      </w:r>
      <w:r>
        <w:rPr>
          <w:rFonts w:hint="eastAsia" w:ascii="宋体" w:hAnsi="宋体"/>
          <w:b/>
          <w:bCs/>
          <w:color w:val="000000"/>
          <w:sz w:val="24"/>
          <w:highlight w:val="none"/>
        </w:rPr>
        <w:t xml:space="preserve">城市之眼快查应用</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rPr>
        <w:t xml:space="preserve">分）</w:t>
      </w:r>
      <w:r>
        <w:rPr>
          <w:rFonts w:hint="eastAsia" w:ascii="宋体" w:hAnsi="宋体"/>
          <w:b/>
          <w:bCs/>
          <w:color w:val="000000"/>
          <w:sz w:val="24"/>
          <w:highlight w:val="none"/>
        </w:rPr>
      </w:r>
      <w:r/>
    </w:p>
    <w:p>
      <w:pPr>
        <w:pStyle w:val="999"/>
        <w:ind w:firstLine="480"/>
        <w:spacing w:line="500" w:lineRule="exact"/>
        <w:rPr>
          <w:rFonts w:hint="eastAsia" w:ascii="宋体" w:hAnsi="宋体"/>
          <w:color w:val="000000"/>
          <w:sz w:val="24"/>
        </w:rPr>
      </w:pPr>
      <w:r>
        <w:rPr>
          <w:rFonts w:hint="eastAsia" w:ascii="宋体" w:hAnsi="宋体"/>
          <w:color w:val="000000"/>
          <w:sz w:val="24"/>
          <w:highlight w:val="none"/>
        </w:rPr>
        <w:t xml:space="preserve">智能事件库-智能事件检索功能检查：提供平台事件智能检索，支持根据时间、地</w:t>
      </w:r>
      <w:r>
        <w:rPr>
          <w:rFonts w:hint="eastAsia" w:ascii="宋体" w:hAnsi="宋体"/>
          <w:color w:val="000000"/>
          <w:sz w:val="24"/>
        </w:rPr>
        <w:t xml:space="preserve">点、事件类型等属性一句话搜索事件，搜索结果跳转事件检索页面展示；支持搜索记录查看、清除，同时根据搜索记录进行搜索条件推荐。</w:t>
      </w:r>
      <w:r>
        <w:rPr>
          <w:rFonts w:hint="eastAsia" w:ascii="宋体" w:hAnsi="宋体"/>
          <w:color w:val="000000"/>
          <w:sz w:val="24"/>
        </w:rPr>
        <w:t xml:space="preserve">（投标时须提供具有CMA资质的检测机构出具的带有CMA标识的检测报告扫描件。）</w:t>
      </w:r>
      <w:r>
        <w:rPr>
          <w:rFonts w:hint="eastAsia" w:ascii="宋体" w:hAnsi="宋体"/>
          <w:color w:val="000000"/>
          <w:sz w:val="24"/>
        </w:rPr>
      </w:r>
      <w:r/>
    </w:p>
    <w:p>
      <w:pPr>
        <w:pStyle w:val="999"/>
        <w:ind w:firstLine="482"/>
        <w:spacing w:line="500" w:lineRule="exact"/>
        <w:rPr>
          <w:rFonts w:hint="eastAsia" w:ascii="宋体" w:hAnsi="宋体"/>
          <w:b/>
          <w:bCs/>
          <w:color w:val="000000"/>
          <w:sz w:val="24"/>
        </w:rPr>
      </w:pPr>
      <w:r>
        <w:rPr>
          <w:rFonts w:hint="eastAsia" w:ascii="宋体" w:hAnsi="宋体"/>
          <w:b/>
          <w:bCs/>
          <w:color w:val="000000"/>
          <w:sz w:val="24"/>
        </w:rPr>
        <w:t xml:space="preserve">4.5能力中台</w:t>
      </w:r>
      <w:r>
        <w:rPr>
          <w:rFonts w:hint="eastAsia" w:ascii="宋体" w:hAnsi="宋体"/>
          <w:b/>
          <w:bCs/>
          <w:color w:val="000000"/>
          <w:sz w:val="24"/>
        </w:rPr>
      </w:r>
      <w:r/>
    </w:p>
    <w:p>
      <w:pPr>
        <w:pStyle w:val="999"/>
        <w:ind w:firstLine="482"/>
        <w:spacing w:line="500" w:lineRule="exact"/>
        <w:rPr>
          <w:rFonts w:hint="eastAsia" w:ascii="宋体" w:hAnsi="宋体"/>
          <w:color w:val="000000"/>
          <w:sz w:val="24"/>
        </w:rPr>
      </w:pPr>
      <w:r>
        <w:rPr>
          <w:rFonts w:hint="eastAsia" w:ascii="宋体" w:hAnsi="宋体"/>
          <w:b/>
          <w:bCs/>
          <w:color w:val="000000"/>
          <w:sz w:val="24"/>
          <w:lang w:val="en-US" w:eastAsia="zh-CN"/>
        </w:rPr>
        <w:t xml:space="preserve">4.5.1 </w:t>
      </w:r>
      <w:r>
        <w:rPr>
          <w:rFonts w:hint="eastAsia" w:ascii="宋体" w:hAnsi="宋体"/>
          <w:b/>
          <w:bCs/>
          <w:color w:val="000000"/>
          <w:sz w:val="24"/>
        </w:rPr>
        <w:t xml:space="preserve">统一身份认证</w:t>
      </w:r>
      <w:r>
        <w:rPr>
          <w:rFonts w:hint="eastAsia" w:ascii="宋体" w:hAnsi="宋体"/>
          <w:b/>
          <w:bCs/>
          <w:color w:val="000000"/>
          <w:sz w:val="24"/>
        </w:rPr>
        <w:t xml:space="preserve">（</w:t>
      </w:r>
      <w:r>
        <w:rPr>
          <w:rFonts w:hint="eastAsia" w:ascii="宋体" w:hAnsi="宋体"/>
          <w:b/>
          <w:bCs/>
          <w:color w:val="000000"/>
          <w:sz w:val="24"/>
          <w:lang w:val="en-US" w:eastAsia="zh-CN"/>
        </w:rPr>
        <w:t xml:space="preserve">1</w:t>
      </w:r>
      <w:r>
        <w:rPr>
          <w:rFonts w:hint="eastAsia" w:ascii="宋体" w:hAnsi="宋体"/>
          <w:b/>
          <w:bCs/>
          <w:color w:val="000000"/>
          <w:sz w:val="24"/>
        </w:rPr>
        <w:t xml:space="preserve">分）</w:t>
      </w:r>
      <w:r>
        <w:rPr>
          <w:rFonts w:hint="eastAsia" w:ascii="宋体" w:hAnsi="宋体"/>
          <w:b/>
          <w:bCs/>
          <w:color w:val="000000"/>
          <w:sz w:val="24"/>
          <w:lang w:eastAsia="zh-CN"/>
        </w:rPr>
        <w:t xml:space="preserve">：</w:t>
      </w:r>
      <w:r>
        <w:rPr>
          <w:rFonts w:hint="eastAsia" w:ascii="宋体" w:hAnsi="宋体"/>
          <w:color w:val="000000"/>
          <w:sz w:val="24"/>
        </w:rPr>
        <w:t xml:space="preserve">所投产品</w:t>
      </w:r>
      <w:r>
        <w:rPr>
          <w:rFonts w:hint="eastAsia" w:ascii="宋体" w:hAnsi="宋体"/>
          <w:color w:val="000000"/>
          <w:sz w:val="24"/>
          <w:lang w:val="en-US" w:eastAsia="zh-CN"/>
        </w:rPr>
        <w:t xml:space="preserve">具有</w:t>
      </w:r>
      <w:r>
        <w:rPr>
          <w:rFonts w:hint="eastAsia" w:ascii="宋体" w:hAnsi="宋体"/>
          <w:color w:val="000000"/>
          <w:sz w:val="24"/>
        </w:rPr>
        <w:t xml:space="preserve">“统一身份认证系统”</w:t>
      </w:r>
      <w:r>
        <w:rPr>
          <w:rFonts w:hint="eastAsia" w:ascii="宋体" w:hAnsi="宋体"/>
          <w:color w:val="000000"/>
          <w:sz w:val="24"/>
          <w:highlight w:val="none"/>
        </w:rPr>
        <w:t xml:space="preserve">类的软件著作权</w:t>
      </w:r>
      <w:r>
        <w:rPr>
          <w:rFonts w:hint="eastAsia" w:ascii="宋体" w:hAnsi="宋体"/>
          <w:color w:val="000000"/>
          <w:sz w:val="24"/>
          <w:highlight w:val="none"/>
          <w:lang w:val="en-US" w:eastAsia="zh-CN"/>
        </w:rPr>
        <w:t xml:space="preserve">登记</w:t>
      </w:r>
      <w:r>
        <w:rPr>
          <w:rFonts w:hint="eastAsia" w:ascii="宋体" w:hAnsi="宋体"/>
          <w:color w:val="000000"/>
          <w:sz w:val="24"/>
          <w:highlight w:val="none"/>
        </w:rPr>
        <w:t xml:space="preserve">证书</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著作权证书名称与上述所列有所不同，但实质内容相关或功能类同的，可视为等同</w:t>
      </w:r>
      <w:r>
        <w:rPr>
          <w:rFonts w:hint="eastAsia" w:ascii="宋体" w:hAnsi="宋体"/>
          <w:color w:val="000000"/>
          <w:sz w:val="24"/>
          <w:highlight w:val="none"/>
          <w:lang w:eastAsia="zh-CN"/>
        </w:rPr>
        <w:t xml:space="preserve">。</w:t>
      </w:r>
      <w:r>
        <w:rPr>
          <w:rFonts w:hint="eastAsia" w:ascii="宋体" w:hAnsi="宋体"/>
          <w:color w:val="000000"/>
          <w:sz w:val="24"/>
        </w:rPr>
        <w:t xml:space="preserve">（投标时须提供相关计算机软件著作权登记证书扫描件）</w:t>
      </w:r>
      <w:r>
        <w:rPr>
          <w:rFonts w:hint="eastAsia" w:ascii="宋体" w:hAnsi="宋体"/>
          <w:color w:val="000000"/>
          <w:sz w:val="24"/>
        </w:rPr>
      </w:r>
      <w:r/>
    </w:p>
    <w:p>
      <w:pPr>
        <w:pStyle w:val="999"/>
        <w:ind w:firstLine="482"/>
        <w:spacing w:line="500" w:lineRule="exact"/>
        <w:rPr>
          <w:rFonts w:hint="eastAsia" w:ascii="宋体" w:hAnsi="宋体"/>
          <w:color w:val="000000"/>
          <w:sz w:val="24"/>
        </w:rPr>
      </w:pPr>
      <w:r>
        <w:rPr>
          <w:rFonts w:hint="eastAsia" w:ascii="宋体" w:hAnsi="宋体"/>
          <w:b/>
          <w:bCs/>
          <w:color w:val="000000"/>
          <w:sz w:val="24"/>
          <w:lang w:val="en-US" w:eastAsia="zh-CN"/>
        </w:rPr>
        <w:t xml:space="preserve">4.5.2 </w:t>
      </w:r>
      <w:r>
        <w:rPr>
          <w:rFonts w:hint="eastAsia" w:ascii="宋体" w:hAnsi="宋体"/>
          <w:b/>
          <w:bCs/>
          <w:color w:val="000000"/>
          <w:sz w:val="24"/>
        </w:rPr>
        <w:t xml:space="preserve">云勘验</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1分</w:t>
      </w:r>
      <w:r>
        <w:rPr>
          <w:rFonts w:hint="eastAsia" w:ascii="宋体" w:hAnsi="宋体"/>
          <w:b/>
          <w:bCs/>
          <w:color w:val="000000"/>
          <w:sz w:val="24"/>
          <w:lang w:eastAsia="zh-CN"/>
        </w:rPr>
        <w:t xml:space="preserve">）：</w:t>
      </w:r>
      <w:r>
        <w:rPr>
          <w:rFonts w:hint="eastAsia" w:ascii="宋体" w:hAnsi="宋体"/>
          <w:color w:val="000000"/>
          <w:sz w:val="24"/>
          <w:highlight w:val="none"/>
        </w:rPr>
        <w:t xml:space="preserve">所投产品具有与</w:t>
      </w:r>
      <w:r>
        <w:rPr>
          <w:rFonts w:hint="eastAsia" w:ascii="宋体" w:hAnsi="宋体"/>
          <w:color w:val="000000"/>
          <w:sz w:val="24"/>
        </w:rPr>
        <w:t xml:space="preserve">云勘验相关的</w:t>
      </w:r>
      <w:r>
        <w:rPr>
          <w:rFonts w:hint="eastAsia" w:ascii="宋体" w:hAnsi="宋体"/>
          <w:color w:val="000000"/>
          <w:sz w:val="24"/>
        </w:rPr>
        <w:t xml:space="preserve">，含“远程勘验系统”或“云勘验系统”相关</w:t>
      </w:r>
      <w:r>
        <w:rPr>
          <w:rFonts w:hint="eastAsia" w:ascii="宋体" w:hAnsi="宋体"/>
          <w:color w:val="000000"/>
          <w:sz w:val="24"/>
          <w:lang w:val="en-US" w:eastAsia="zh-CN"/>
        </w:rPr>
        <w:t xml:space="preserve">大类的</w:t>
      </w:r>
      <w:r>
        <w:rPr>
          <w:rFonts w:hint="eastAsia" w:ascii="宋体" w:hAnsi="宋体"/>
          <w:color w:val="000000"/>
          <w:sz w:val="24"/>
        </w:rPr>
        <w:t xml:space="preserve">软件著作权登记证书</w:t>
      </w:r>
      <w:r>
        <w:rPr>
          <w:rFonts w:hint="eastAsia" w:ascii="宋体" w:hAnsi="宋体"/>
          <w:color w:val="000000"/>
          <w:sz w:val="24"/>
          <w:lang w:eastAsia="zh-CN"/>
        </w:rPr>
        <w:t xml:space="preserve">，</w:t>
      </w:r>
      <w:r>
        <w:rPr>
          <w:rFonts w:hint="eastAsia" w:ascii="宋体" w:hAnsi="宋体"/>
          <w:color w:val="000000"/>
          <w:sz w:val="24"/>
          <w:highlight w:val="none"/>
        </w:rPr>
        <w:t xml:space="preserve">著作权证书名</w:t>
      </w:r>
      <w:r>
        <w:rPr>
          <w:rFonts w:hint="eastAsia" w:ascii="宋体" w:hAnsi="宋体"/>
          <w:color w:val="000000"/>
          <w:sz w:val="24"/>
          <w:highlight w:val="none"/>
        </w:rPr>
        <w:t xml:space="preserve">称与上述所列有所不同，但实质内容相关或功能类同的，可视为等同</w:t>
      </w:r>
      <w:r>
        <w:rPr>
          <w:rFonts w:hint="eastAsia" w:ascii="宋体" w:hAnsi="宋体"/>
          <w:color w:val="000000"/>
          <w:sz w:val="24"/>
        </w:rPr>
        <w:t xml:space="preserve">。（投标时须提供相关计算机软件著作权登记证书扫描件）</w:t>
      </w:r>
      <w:r>
        <w:rPr>
          <w:rFonts w:hint="eastAsia" w:ascii="宋体" w:hAnsi="宋体"/>
          <w:color w:val="000000"/>
          <w:sz w:val="24"/>
        </w:rPr>
      </w:r>
      <w:r/>
    </w:p>
    <w:p>
      <w:pPr>
        <w:pStyle w:val="999"/>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999"/>
        <w:numPr>
          <w:ilvl w:val="4"/>
          <w:numId w:val="10"/>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hint="eastAsia" w:ascii="宋体" w:hAnsi="宋体"/>
          <w:bCs/>
          <w:sz w:val="24"/>
          <w:szCs w:val="24"/>
        </w:rPr>
        <w:t xml:space="preserve">演示必须是目前正在运行的真实环境或模拟环境，不得使用PPT演示稿或录屏、截图等其他方式演示。演示时</w:t>
      </w:r>
      <w:r>
        <w:rPr>
          <w:rFonts w:hint="eastAsia" w:ascii="宋体" w:hAnsi="宋体"/>
          <w:bCs/>
          <w:color w:val="000000"/>
          <w:sz w:val="24"/>
          <w:szCs w:val="24"/>
        </w:rPr>
        <w:t xml:space="preserve">间不超过15分钟，无演示不得分。本项目演示为投标人在线提供演示，投标人无需到现场，关于在线演示操作，详</w:t>
      </w:r>
      <w:r>
        <w:rPr>
          <w:rFonts w:hint="eastAsia" w:ascii="宋体" w:hAnsi="宋体"/>
          <w:bCs/>
          <w:sz w:val="24"/>
          <w:szCs w:val="24"/>
        </w:rPr>
        <w:t xml:space="preserve">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sz w:val="24"/>
          <w:szCs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6.1 演示社情民意速告警“智研判”-专题监测告警功能（1分）：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通过配置重点区域、事项类型等规则，设置预警阈值，对场景进行实时监测与动态预警，并按维度智能聚类“同人同诉”与“多人同诉”事件，并对事件进行多维度可视化分析，辅助评估治理效能。以上功能全部按要求进行演示的得1分，未按要求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6.2.演示社情民意速告警“智研判”-专区订阅功能（1分）：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按照教育、交通等行业领域展示其专区事件数据，并对事件进行多维度事件总量、涉事主体、发生趋势、区划信息的可视化分析展示；用户通过订阅专区维度配置，如订阅周期、推送频次、订阅规则等，允许用户根据既定需求选择关注的行业和领域进行数据推送，实现信息的精准分类与个性化推送。以上功能全部按要求进行演示的得1分，未按要求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6.3演示AI底座平台-智能体编排工具功能（2分）：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1.创建一个自主规划智能体，选择模型，可根据业务复杂度按需使用大模型或轻量化模型；可配置组件；可关联知识库；显示调试与预览功能，可在正式发布前模拟提问。以上功能全部按要求进行演示的得1分，未按要求进行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2.通过可视化画布构建一个工作流智能体，拖拽并配置以下节点类型：大模型节点、组件节点、意图识别节点、知识库节点、信息收集节点。以上功能全部按要求进行演示的得1分，未按要求进行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6.4.演示城市治理视频事件“秒感知”-视频联网共享扩容功能（1分）：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视频共享管理功能支持视频分组，并支持查看分组下的视频点位数，可为每个视频分组分配具备查看权限的用户。以上功能全部按要求进行演示的得1分，未按要求进行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6.5.演示城市运行视频事件“智解析”-智能任务管理调度子系统功能（1分）：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支持查看算法引擎状态、计算单元类型、算法加载状态、在线情况。支持创建视频流解析任务和图片流解析任务。以上功能全部按要求进行演示的得1分，未按要求进行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6.6.演示城市治理视频事件“快关联”-融合赋能功能（1分）：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支持创建活动分组，并在分组下面新建活动，创建活动名称、开始时间和结束时间，通过地图框选方式在地图上标定活动涉及到的面数据，并对面数据设置名称。根据活动涉及到的面数据自动查询展示周边的视频资源，一键关联至活动。以上功能全部按要求进行演示的得1分，未按要求进行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6.7.演示财税银系统功能（5分）：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1.能够在系统中展示数据的采集界面，包含但不限于：税票、手工票、预算收入。以上功能全部按要求进行演示的得1分，未按要求进行演示或演示功能点不全或未进行演示的，均不得分。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2.能够在财税银系统中展示所需采集数据的监控界面，可以查询各数据的采集状态，支持当日及历史数据的采集状态。以上功能全部按要求进行演示的得1分，未按要求进行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3.数据清洗，通过体制分成参数进行数据清洗，形成能够进行分国库、分企业、分级次、分预算类型统计的明细数据，支持查询清洗后的当日数据和历史数据。以上功能全部按要求进行演示的得1分，未按要求进行演示或演示功能点不全或未进行演示的，均不得分。</w:t>
      </w:r>
      <w:r>
        <w:rPr>
          <w:rFonts w:hint="eastAsia" w:ascii="宋体" w:hAnsi="宋体"/>
          <w:color w:val="000000"/>
          <w:sz w:val="24"/>
        </w:rPr>
      </w:r>
      <w:r/>
    </w:p>
    <w:p>
      <w:pPr>
        <w:pStyle w:val="999"/>
        <w:ind w:firstLine="480"/>
        <w:spacing w:line="500" w:lineRule="exact"/>
        <w:rPr>
          <w:rFonts w:hint="eastAsia" w:ascii="宋体" w:hAnsi="宋体"/>
          <w:color w:val="000000"/>
          <w:sz w:val="24"/>
        </w:rPr>
      </w:pPr>
      <w:r>
        <w:rPr>
          <w:rFonts w:hint="eastAsia" w:ascii="宋体" w:hAnsi="宋体"/>
          <w:color w:val="000000"/>
          <w:sz w:val="24"/>
        </w:rPr>
        <w:t xml:space="preserve">4.数据比对，每日数据加工清洗后的数据能够和当日的预算收入进行逐国库、科目、预算级次、预算种类的总金额的比对，支持比对结果查询及比对失败原因查询。以上功能全部按要求进行演示的得1分，未按要求进行演示或演示功能点不全或未进行演示的，均不得分。</w:t>
      </w:r>
      <w:r>
        <w:rPr>
          <w:rFonts w:hint="eastAsia" w:ascii="宋体" w:hAnsi="宋体"/>
          <w:color w:val="000000"/>
          <w:sz w:val="24"/>
        </w:rPr>
      </w:r>
      <w:r/>
    </w:p>
    <w:p>
      <w:pPr>
        <w:pStyle w:val="999"/>
        <w:ind w:firstLine="480"/>
        <w:spacing w:line="500" w:lineRule="exact"/>
        <w:rPr>
          <w:rFonts w:ascii="宋体" w:hAnsi="宋体"/>
          <w:color w:val="000000"/>
          <w:sz w:val="24"/>
        </w:rPr>
      </w:pPr>
      <w:r>
        <w:rPr>
          <w:rFonts w:hint="eastAsia" w:ascii="宋体" w:hAnsi="宋体"/>
          <w:color w:val="000000"/>
          <w:sz w:val="24"/>
        </w:rPr>
        <w:t xml:space="preserve">5. 针对财政、税务数据的下发和收发状态进行查询展示，以报表形式展示。以上功能全部按要求进行演示的得1分，未按要求进行演示或演示功能点不全或未进行演示的，均不得分。</w:t>
      </w:r>
      <w:r>
        <w:rPr>
          <w:rFonts w:ascii="宋体" w:hAnsi="宋体"/>
          <w:color w:val="000000"/>
          <w:sz w:val="24"/>
        </w:rPr>
      </w:r>
      <w:r/>
    </w:p>
    <w:p>
      <w:pPr>
        <w:pStyle w:val="1086"/>
        <w:ind w:firstLine="360"/>
        <w:spacing w:before="0" w:after="0" w:line="500" w:lineRule="exact"/>
        <w:rPr>
          <w:rFonts w:hint="eastAsia" w:ascii="宋体" w:hAnsi="宋体"/>
          <w:b/>
          <w:color w:val="000000"/>
          <w:sz w:val="28"/>
          <w:szCs w:val="28"/>
        </w:rPr>
      </w:pPr>
      <w:r>
        <w:rPr>
          <w:rFonts w:ascii="宋体" w:hAnsi="宋体"/>
          <w:color w:val="000000"/>
        </w:rPr>
        <w:br w:type="page" w:clear="all"/>
      </w: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46</w:t>
      </w:r>
      <w:r>
        <w:rPr>
          <w:rFonts w:hint="eastAsia" w:ascii="宋体" w:hAnsi="宋体"/>
          <w:b/>
          <w:color w:val="000000"/>
          <w:sz w:val="28"/>
          <w:szCs w:val="28"/>
        </w:rPr>
        <w:t xml:space="preserve">分）</w:t>
      </w:r>
      <w:r>
        <w:rPr>
          <w:rFonts w:hint="eastAsia" w:ascii="宋体" w:hAnsi="宋体"/>
          <w:b/>
          <w:color w:val="000000"/>
          <w:sz w:val="28"/>
          <w:szCs w:val="28"/>
        </w:rPr>
      </w:r>
      <w:r/>
    </w:p>
    <w:p>
      <w:pPr>
        <w:pStyle w:val="1086"/>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99"/>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46</w:t>
      </w:r>
      <w:r>
        <w:rPr>
          <w:rFonts w:hint="eastAsia" w:ascii="宋体" w:hAnsi="宋体"/>
          <w:b/>
          <w:bCs/>
          <w:color w:val="000000"/>
          <w:sz w:val="24"/>
          <w:szCs w:val="24"/>
        </w:rPr>
        <w:t xml:space="preserve">分）：</w:t>
      </w:r>
      <w:r>
        <w:rPr>
          <w:rFonts w:hint="eastAsia" w:ascii="宋体" w:hAnsi="宋体"/>
          <w:b w:val="0"/>
          <w:bCs w:val="0"/>
          <w:color w:val="000000"/>
          <w:sz w:val="24"/>
          <w:szCs w:val="24"/>
          <w:lang w:val="en-US" w:eastAsia="zh-CN"/>
        </w:rPr>
        <w:t xml:space="preserve">考查</w:t>
      </w:r>
      <w:r>
        <w:rPr>
          <w:rFonts w:hint="eastAsia" w:ascii="宋体" w:hAnsi="宋体"/>
          <w:bCs/>
          <w:color w:val="000000"/>
          <w:sz w:val="24"/>
          <w:szCs w:val="24"/>
        </w:rPr>
        <w:t xml:space="preserve">投标人项目技术方案，在响应采购文件需求的基础上对下列各部分进行评价，要求体现科学合理性、条理性、可行性、完善性、针对性，无方案不得分。</w:t>
      </w:r>
      <w:r>
        <w:rPr>
          <w:rFonts w:hint="eastAsia" w:ascii="宋体" w:hAnsi="宋体"/>
          <w:b/>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7.1  总体设计方案（9分）：</w:t>
      </w:r>
      <w:r>
        <w:rPr>
          <w:rFonts w:hint="eastAsia" w:ascii="宋体" w:hAnsi="宋体"/>
          <w:b w:val="0"/>
          <w:bCs w:val="0"/>
          <w:color w:val="000000"/>
          <w:sz w:val="24"/>
          <w:szCs w:val="24"/>
          <w:lang w:val="en-US" w:eastAsia="zh-CN"/>
        </w:rPr>
        <w:t xml:space="preserve">考查</w:t>
      </w:r>
      <w:r>
        <w:rPr>
          <w:rFonts w:hint="eastAsia" w:ascii="宋体" w:hAnsi="宋体"/>
          <w:bCs/>
          <w:color w:val="000000"/>
          <w:sz w:val="24"/>
          <w:szCs w:val="24"/>
        </w:rPr>
        <w:t xml:space="preserve">投标人对本项目的整体理解与设计把控，根据项目实际情况编制方案，包含：①项目背景；②项目现状（应用系统/基础设施/规范）；③存在问题；④项目需求分析；⑤建设目标；⑥建设原则；⑦业务/应用/数据/技术/集成/服务/能力等7类架构设计；⑧与外部系统关系等。</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方案清晰、合理、详细、全面、针对性强、可行性强，且</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项内容方案均齐全的，得9分；方案较清晰、较合理、较详细、较全面、针对性较强、可行性较强，能够提供</w:t>
      </w:r>
      <w:r>
        <w:rPr>
          <w:rFonts w:hint="eastAsia" w:ascii="宋体" w:hAnsi="宋体"/>
          <w:bCs/>
          <w:color w:val="000000"/>
          <w:sz w:val="24"/>
          <w:szCs w:val="24"/>
          <w:lang w:val="en-US" w:eastAsia="zh-CN"/>
        </w:rPr>
        <w:t xml:space="preserve">6</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项内容方案的，得7分；方案清晰度一般、合理性一般、详细性一般、全面性一般、针对性一般、可行性一般，能够提供4-</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项内容方案的，得5分；方案内容不足4项或无方案的均不得分。</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7.2 业务中枢建设方案（7分）：</w:t>
      </w:r>
      <w:r>
        <w:rPr>
          <w:rFonts w:hint="eastAsia" w:ascii="宋体" w:hAnsi="宋体"/>
          <w:b w:val="0"/>
          <w:bCs w:val="0"/>
          <w:color w:val="000000"/>
          <w:sz w:val="24"/>
          <w:szCs w:val="24"/>
          <w:lang w:val="en-US" w:eastAsia="zh-CN"/>
        </w:rPr>
        <w:t xml:space="preserve">考查</w:t>
      </w:r>
      <w:r>
        <w:rPr>
          <w:rFonts w:hint="eastAsia" w:ascii="宋体" w:hAnsi="宋体"/>
          <w:bCs/>
          <w:color w:val="000000"/>
          <w:sz w:val="24"/>
          <w:szCs w:val="24"/>
        </w:rPr>
        <w:t xml:space="preserve">投标人对业务中枢提供的方案，方案内容包括：①城市治理视频事件“秒感知”；②城市运行视频事件“智解析”；③民意速办监测预警集成升级；④城市治理视频事件“快关联”；⑤社情民意速告警“智研判”；⑥民意速办专题监测集成升级；⑦紧急事件跨域联动“慧调度”；⑧民生诉求回访/评价办结集成升级；⑨城市治理处置事件“高效评”等模块功能，满足建设需求。</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方案清晰、合理、详细、全面、针对性强、可行性强，且9项内容方案均齐全的，得7分；方案较清晰、较合理、较详细、较全面、针对性较强、可行性较强，能够提供6-</w:t>
      </w:r>
      <w:r>
        <w:rPr>
          <w:rFonts w:hint="eastAsia" w:ascii="宋体" w:hAnsi="宋体"/>
          <w:bCs/>
          <w:color w:val="000000"/>
          <w:sz w:val="24"/>
          <w:szCs w:val="24"/>
          <w:lang w:val="en-US" w:eastAsia="zh-CN"/>
        </w:rPr>
        <w:t xml:space="preserve">9</w:t>
      </w:r>
      <w:r>
        <w:rPr>
          <w:rFonts w:hint="eastAsia" w:ascii="宋体" w:hAnsi="宋体"/>
          <w:bCs/>
          <w:color w:val="000000"/>
          <w:sz w:val="24"/>
          <w:szCs w:val="24"/>
        </w:rPr>
        <w:t xml:space="preserve">项内容方案的，得5分；方案清晰度一般、合理性一般、详细性一般、全面性一般、针对性一般、可行性一般，能够提供3-</w:t>
      </w:r>
      <w:r>
        <w:rPr>
          <w:rFonts w:hint="eastAsia" w:ascii="宋体" w:hAnsi="宋体"/>
          <w:bCs/>
          <w:color w:val="000000"/>
          <w:sz w:val="24"/>
          <w:szCs w:val="24"/>
          <w:lang w:val="en-US" w:eastAsia="zh-CN"/>
        </w:rPr>
        <w:t xml:space="preserve">9</w:t>
      </w:r>
      <w:r>
        <w:rPr>
          <w:rFonts w:hint="eastAsia" w:ascii="宋体" w:hAnsi="宋体"/>
          <w:bCs/>
          <w:color w:val="000000"/>
          <w:sz w:val="24"/>
          <w:szCs w:val="24"/>
        </w:rPr>
        <w:t xml:space="preserve">项内容方案的，得3分；方案内容不足3项或无方案的均不得分。</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7.3 智能中枢-能力中台建设方案（4分）：</w:t>
      </w:r>
      <w:r>
        <w:rPr>
          <w:rFonts w:hint="eastAsia" w:ascii="宋体" w:hAnsi="宋体"/>
          <w:b w:val="0"/>
          <w:bCs w:val="0"/>
          <w:color w:val="000000"/>
          <w:sz w:val="24"/>
          <w:szCs w:val="24"/>
          <w:lang w:val="en-US" w:eastAsia="zh-CN"/>
        </w:rPr>
        <w:t xml:space="preserve">考查</w:t>
      </w:r>
      <w:r>
        <w:rPr>
          <w:rFonts w:hint="eastAsia" w:ascii="宋体" w:hAnsi="宋体"/>
          <w:bCs/>
          <w:color w:val="000000"/>
          <w:sz w:val="24"/>
          <w:szCs w:val="24"/>
        </w:rPr>
        <w:t xml:space="preserve">投标人对智能中枢-能力中台提供的方案，方案内容包括：①统一身份认证；②OCR；③云勘验；④应用接入；⑤模型接入；⑥智能体编排工具等模块功能，满足建设需求。</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rPr>
        <w:t xml:space="preserve">方案清晰、合理、详细、全面、针对性强、可行性强，且6项内容方案均齐全的，得4分；方案较清晰、较合理、较详细、较全面、针对性较强、可行性较强，能够提供4-</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项内容方案的，得3分；方案清晰度一般、合理性一般、详细性一般、全面性一般、针对性一般、可行性一般，能够提供2-</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项内容方案的，得2分；方案内容不</w:t>
      </w:r>
      <w:r>
        <w:rPr>
          <w:rFonts w:hint="eastAsia" w:ascii="宋体" w:hAnsi="宋体"/>
          <w:bCs/>
          <w:color w:val="000000"/>
          <w:sz w:val="24"/>
          <w:szCs w:val="24"/>
          <w:highlight w:val="none"/>
        </w:rPr>
        <w:t xml:space="preserve">足2项或无方案的均不得分。</w:t>
      </w:r>
      <w:r>
        <w:rPr>
          <w:rFonts w:hint="eastAsia" w:ascii="宋体" w:hAnsi="宋体"/>
          <w:bCs/>
          <w:color w:val="000000"/>
          <w:sz w:val="24"/>
          <w:szCs w:val="24"/>
          <w:highlight w:val="none"/>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7.4 智能中枢-城运数据仓建设方案（4分）：</w:t>
      </w:r>
      <w:r>
        <w:rPr>
          <w:rFonts w:hint="eastAsia" w:ascii="宋体" w:hAnsi="宋体"/>
          <w:b w:val="0"/>
          <w:bCs w:val="0"/>
          <w:color w:val="000000"/>
          <w:sz w:val="24"/>
          <w:szCs w:val="24"/>
          <w:highlight w:val="none"/>
          <w:lang w:val="en-US" w:eastAsia="zh-CN"/>
        </w:rPr>
        <w:t xml:space="preserve">考查</w:t>
      </w:r>
      <w:r>
        <w:rPr>
          <w:rFonts w:hint="eastAsia" w:ascii="宋体" w:hAnsi="宋体"/>
          <w:bCs/>
          <w:color w:val="000000"/>
          <w:sz w:val="24"/>
          <w:szCs w:val="24"/>
          <w:highlight w:val="none"/>
        </w:rPr>
        <w:t xml:space="preserve">投标人对智能中枢-城运数据仓提供的方案，方案内容包括：①对数据资源管理模块功能描述；②主题库模块（涉人主题库、涉企主题库、城市事件库、事件知识库、视频资源库）建设描述，包括但不限于数据采集、数据治理；③业务库库表设计；④数据标注服务等，满足建设需求。</w:t>
      </w:r>
      <w:r>
        <w:rPr>
          <w:rFonts w:hint="eastAsia" w:ascii="宋体" w:hAnsi="宋体"/>
          <w:bCs/>
          <w:color w:val="000000"/>
          <w:sz w:val="24"/>
          <w:szCs w:val="24"/>
          <w:highlight w:val="none"/>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方案清晰、合理、详细、全面、针对性强、可行性强，且4项内容方案均齐全的，得4分；方案较清晰、较合理、较详细、较全面、针对性较强、可行性较强，能够提供2-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项内容方案的，得2分；方案内容不足2项或无方案的不得分。</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7.5 行业应用-税收征管保障建设方案（3分）：</w:t>
      </w:r>
      <w:r>
        <w:rPr>
          <w:rFonts w:hint="eastAsia" w:ascii="宋体" w:hAnsi="宋体"/>
          <w:b w:val="0"/>
          <w:bCs w:val="0"/>
          <w:color w:val="000000"/>
          <w:sz w:val="24"/>
          <w:szCs w:val="24"/>
          <w:lang w:val="en-US" w:eastAsia="zh-CN"/>
        </w:rPr>
        <w:t xml:space="preserve">考查</w:t>
      </w:r>
      <w:r>
        <w:rPr>
          <w:rFonts w:hint="eastAsia" w:ascii="宋体" w:hAnsi="宋体"/>
          <w:bCs/>
          <w:color w:val="000000"/>
          <w:sz w:val="24"/>
          <w:szCs w:val="24"/>
        </w:rPr>
        <w:t xml:space="preserve">投标人对税收征管保障提供的方案，方案内容包括：①税费协同共治应用；②财税银系统等模块，满足建设需求。</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方案清晰、合理、详细、全面、针对性强、可行性强，且2项内容方案均齐全的，得3分；方案较清晰、较合理、较详细、较全面、针对性较强、可行性较强，能够提供1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项内容方案的，得2分；无方案的不得分。</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7.6 项目集成方案（5分）：</w:t>
      </w:r>
      <w:r>
        <w:rPr>
          <w:rFonts w:hint="eastAsia" w:ascii="宋体" w:hAnsi="宋体"/>
          <w:b w:val="0"/>
          <w:bCs w:val="0"/>
          <w:color w:val="000000"/>
          <w:sz w:val="24"/>
          <w:szCs w:val="24"/>
          <w:lang w:val="en-US" w:eastAsia="zh-CN"/>
        </w:rPr>
        <w:t xml:space="preserve">考查</w:t>
      </w:r>
      <w:r>
        <w:rPr>
          <w:rFonts w:hint="eastAsia" w:ascii="宋体" w:hAnsi="宋体"/>
          <w:bCs/>
          <w:color w:val="000000"/>
          <w:sz w:val="24"/>
          <w:szCs w:val="24"/>
        </w:rPr>
        <w:t xml:space="preserve">投标人对项目集成提供的方案，方案内容包括：①系统整合集成；②数据集成共享；③外部系统对接集成；④硬件和系统集成等。</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方案清晰、合理、详细、全面、针对性强、可行性强，且4项内容方案均齐全的，得5分；方案较清晰、较合理、较详细、较全面、针对性较强、可行性较强，能够提供2-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项内容方案的，得4分；方案清晰度一般、合理性一般、详细性一般、全面性一般、针对性一般、可行性一般，能够提供1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项内容方案的，得3分；无方案的不得分。</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7.7 </w:t>
      </w:r>
      <w:r>
        <w:rPr>
          <w:rFonts w:hint="eastAsia" w:ascii="宋体" w:hAnsi="宋体"/>
          <w:bCs/>
          <w:color w:val="000000"/>
          <w:sz w:val="24"/>
          <w:szCs w:val="24"/>
          <w:lang w:val="en-US" w:eastAsia="zh-CN"/>
        </w:rPr>
        <w:t xml:space="preserve">2个</w:t>
      </w:r>
      <w:r>
        <w:rPr>
          <w:rFonts w:hint="eastAsia" w:ascii="宋体" w:hAnsi="宋体"/>
          <w:bCs/>
          <w:color w:val="000000"/>
          <w:sz w:val="24"/>
          <w:szCs w:val="24"/>
        </w:rPr>
        <w:t xml:space="preserve">场景梳理实施方案（10分）：</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7</w:t>
      </w:r>
      <w:r>
        <w:rPr>
          <w:rFonts w:hint="eastAsia" w:ascii="宋体" w:hAnsi="宋体"/>
          <w:bCs/>
          <w:color w:val="000000"/>
          <w:sz w:val="24"/>
          <w:szCs w:val="24"/>
          <w:lang w:val="en-US" w:eastAsia="zh-CN"/>
        </w:rPr>
        <w:t xml:space="preserve">.7.1</w:t>
      </w:r>
      <w:r>
        <w:rPr>
          <w:rFonts w:hint="eastAsia" w:ascii="宋体" w:hAnsi="宋体"/>
          <w:bCs/>
          <w:color w:val="000000"/>
          <w:sz w:val="24"/>
          <w:szCs w:val="24"/>
        </w:rPr>
        <w:t xml:space="preserve">投标人需结合无锡城运中心实际运行现状，针对战时监测核心场景，如雨雪冰冻、防汛防台等，围绕 “高效处置一件事” 的核心需求，提供全流程闭环的场景实施方案，包括①围绕实时监测、动态分析、指挥调度、综合评价四个环节进行详细业务流程设计、②关联清单梳理（如：数据需求清单、监测清单、能力支撑清单、事件分类清单、报告要素清单等）、③集成关系梳理（如：感知集成、应用集成、数据集成、用户集成等）、④保障措施规划（组织保障、技术保障、复盘演练等）等内容；</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sz w:val="24"/>
          <w:szCs w:val="24"/>
        </w:rPr>
        <w:t xml:space="preserve">该部分一个场景实施方案满分为5分</w:t>
      </w:r>
      <w:r>
        <w:rPr>
          <w:rFonts w:hint="eastAsia" w:ascii="宋体" w:hAnsi="宋体"/>
          <w:bCs/>
          <w:color w:val="000000"/>
          <w:sz w:val="24"/>
          <w:szCs w:val="24"/>
          <w:lang w:val="en-US" w:eastAsia="zh-CN"/>
        </w:rPr>
        <w:t xml:space="preserve">，</w:t>
      </w:r>
      <w:r>
        <w:rPr>
          <w:rFonts w:hint="eastAsia" w:ascii="宋体" w:hAnsi="宋体"/>
          <w:bCs/>
          <w:color w:val="000000"/>
          <w:sz w:val="24"/>
          <w:szCs w:val="24"/>
        </w:rPr>
        <w:t xml:space="preserve">若方案清晰、合理、详细、全面、针对性强、可行性强，且4项内容方案均齐全的，得5分；方案较清晰、较合理、较详细、较全面、针对性较强、可行性较强，能够提供2-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项内容方案的，得4分；</w:t>
      </w:r>
      <w:r>
        <w:rPr>
          <w:rFonts w:hint="eastAsia" w:ascii="宋体" w:hAnsi="宋体"/>
          <w:bCs/>
          <w:color w:val="000000"/>
          <w:sz w:val="24"/>
          <w:szCs w:val="24"/>
        </w:rPr>
        <w:t xml:space="preserve">方案清晰度一般、合理性一般、详细性一般、全面性一般、针对性一般、可行性一般，</w:t>
      </w:r>
      <w:r>
        <w:rPr>
          <w:rFonts w:hint="eastAsia" w:ascii="宋体" w:hAnsi="宋体"/>
          <w:bCs/>
          <w:color w:val="000000"/>
          <w:sz w:val="24"/>
          <w:szCs w:val="24"/>
        </w:rPr>
        <w:t xml:space="preserve">能够提供1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项内容方案的，得3分；无方案的不得分；不按要求类别提供场景实施方案的不得分。</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7.7.2</w:t>
      </w:r>
      <w:r>
        <w:rPr>
          <w:rFonts w:hint="eastAsia" w:ascii="宋体" w:hAnsi="宋体"/>
          <w:bCs/>
          <w:color w:val="000000"/>
          <w:sz w:val="24"/>
          <w:szCs w:val="24"/>
        </w:rPr>
        <w:t xml:space="preserve">投标人需结合无锡城运中心实际运行现状，针对平时监测核心场景，如节假日运行监测、体育赛事、文旅活动等，围绕“高效处置一件事”的核心需求，提供全流程闭环的场景实施方案，包括①围绕实时监测、动态分析、指挥调度、综合评价四个环节进行详细业务流程设计、②关联清单梳理（如：数据需求清单、监测清单、能力支撑清单、事件分类清单、报告要素清单等）、③集成关系梳理（如：感知集成、应用集成、数据集成、用户集成等）、④保障措施规划（组织保障、技术保障、复盘演练等）等内容；</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sz w:val="24"/>
          <w:szCs w:val="24"/>
        </w:rPr>
        <w:t xml:space="preserve">该部分一个场景实施方案满分为5分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若方案清晰、合理、详细、全面、针对性强、可行性强，且4项内容方案均齐全的，得5分；方案较清晰、较合理、较详细、较全面、针对性较强、可行性较强，能够提供2-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项内容方案的，得4分；</w:t>
      </w:r>
      <w:r>
        <w:rPr>
          <w:rFonts w:hint="eastAsia" w:ascii="宋体" w:hAnsi="宋体"/>
          <w:bCs/>
          <w:color w:val="000000"/>
          <w:sz w:val="24"/>
          <w:szCs w:val="24"/>
        </w:rPr>
        <w:t xml:space="preserve">方案清晰度一般、合理性一般、详细性一般、全面性一般、针对性一般、可行性一般，</w:t>
      </w:r>
      <w:r>
        <w:rPr>
          <w:rFonts w:hint="eastAsia" w:ascii="宋体" w:hAnsi="宋体"/>
          <w:bCs/>
          <w:color w:val="000000"/>
          <w:sz w:val="24"/>
          <w:szCs w:val="24"/>
        </w:rPr>
        <w:t xml:space="preserve">能够提供1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项内容方案的，得3分；无方案的不得分；不按要求类别提供场景实施方案的不得分。</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7.8 项目管理方案（4分）：投标人须提供覆盖 “启动、规划、执行、监控、收尾”全生命周期五大阶段的完整项目管理方案。方案需详细阐述：①各阶段的核心管理活动（如：启动阶段、规划阶段、执行阶段、监控阶段、收尾阶段等）；②标准化输出物清单（如：项目筹备与组织搭建、方案设计与标准制定、软硬件实施与开发测试、全流程管控与考核改进和项目验收与移交收尾等方面的输出物）；③职责划分（清晰界定启动、规划、执行、监控、收尾等阶段的承建单位、建设单位的职责）。</w:t>
      </w:r>
      <w:r>
        <w:rPr>
          <w:rFonts w:hint="eastAsia" w:ascii="宋体" w:hAnsi="宋体"/>
          <w:bCs/>
          <w:color w:val="000000"/>
          <w:sz w:val="24"/>
          <w:szCs w:val="24"/>
        </w:rPr>
      </w:r>
      <w:r/>
    </w:p>
    <w:p>
      <w:pPr>
        <w:pStyle w:val="999"/>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内容清晰合理、详实全面、针对性强、具备高度可行性，能充分体现对项目全流程的深度理解与严格执行能力的，且3项内容方案均齐全的，得4分；方案内容清晰合理、详实全面，但针对性与可行性未达到要求的，能够提供2</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项内容方案的，得3分；</w:t>
      </w:r>
      <w:r>
        <w:rPr>
          <w:rFonts w:hint="eastAsia" w:ascii="宋体" w:hAnsi="宋体"/>
          <w:bCs/>
          <w:color w:val="000000"/>
          <w:sz w:val="24"/>
          <w:szCs w:val="24"/>
        </w:rPr>
        <w:t xml:space="preserve">方案清晰度一般、合理性一般、详细性一般、全面性一般、针对性一般、可行性一般，</w:t>
      </w:r>
      <w:r>
        <w:rPr>
          <w:rFonts w:hint="eastAsia" w:ascii="宋体" w:hAnsi="宋体"/>
          <w:bCs/>
          <w:color w:val="000000"/>
          <w:sz w:val="24"/>
          <w:szCs w:val="24"/>
        </w:rPr>
        <w:t xml:space="preserve">能够提供1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项内容方案的，得2分；无方案的不得分。</w:t>
      </w:r>
      <w:r>
        <w:rPr>
          <w:rFonts w:hint="eastAsia" w:ascii="宋体" w:hAnsi="宋体"/>
          <w:bCs/>
          <w:color w:val="000000"/>
          <w:sz w:val="24"/>
          <w:szCs w:val="24"/>
        </w:rPr>
      </w:r>
      <w:r/>
    </w:p>
    <w:p>
      <w:pPr>
        <w:pStyle w:val="1086"/>
        <w:spacing w:before="0" w:after="0" w:line="500" w:lineRule="exact"/>
        <w:rPr>
          <w:rFonts w:hint="eastAsia" w:ascii="宋体" w:hAnsi="宋体"/>
          <w:color w:val="000000"/>
        </w:rPr>
      </w:pPr>
      <w:r>
        <w:rPr>
          <w:rFonts w:hint="eastAsia" w:ascii="宋体" w:hAnsi="宋体"/>
          <w:color w:val="000000"/>
        </w:rPr>
      </w:r>
      <w:r/>
    </w:p>
    <w:p>
      <w:pPr>
        <w:pStyle w:val="999"/>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201"/>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1086"/>
        <w:ind w:firstLine="602"/>
        <w:spacing w:before="0" w:after="0" w:line="500" w:lineRule="exact"/>
        <w:rPr>
          <w:rFonts w:hint="eastAsia" w:cs="Arial"/>
          <w:b/>
          <w:sz w:val="30"/>
          <w:szCs w:val="30"/>
        </w:rPr>
      </w:pPr>
      <w:r/>
      <w:bookmarkStart w:id="202" w:name="_Hlt26671244"/>
      <w:r/>
      <w:bookmarkEnd w:id="202"/>
      <w:r/>
      <w:bookmarkStart w:id="203" w:name="_Toc26554094"/>
      <w:r/>
      <w:bookmarkStart w:id="204" w:name="_Toc120614282"/>
      <w:r/>
      <w:bookmarkStart w:id="205" w:name="_Toc49090576"/>
      <w:r/>
      <w:bookmarkStart w:id="206" w:name="_Hlt26955039"/>
      <w:r/>
      <w:bookmarkEnd w:id="206"/>
      <w:r>
        <w:rPr>
          <w:rFonts w:hint="eastAsia" w:cs="Arial"/>
          <w:b/>
          <w:sz w:val="30"/>
          <w:szCs w:val="30"/>
        </w:rPr>
        <w:t xml:space="preserve">第一部分  投标文件内容</w:t>
      </w:r>
      <w:r>
        <w:rPr>
          <w:rFonts w:hint="eastAsia" w:cs="Arial"/>
          <w:b/>
          <w:sz w:val="30"/>
          <w:szCs w:val="30"/>
        </w:rPr>
      </w:r>
      <w:r/>
    </w:p>
    <w:p>
      <w:pPr>
        <w:pStyle w:val="108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86"/>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086"/>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1086"/>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75"/>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086"/>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86"/>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1086"/>
              <w:ind w:firstLine="0"/>
              <w:spacing w:before="0" w:after="0" w:line="240" w:lineRule="auto"/>
              <w:rPr>
                <w:rFonts w:hint="eastAsia" w:ascii="宋体" w:hAnsi="宋体" w:cs="宋体"/>
                <w:bCs/>
              </w:rPr>
            </w:pPr>
            <w:r>
              <w:rPr>
                <w:rFonts w:hint="eastAsia" w:ascii="宋体" w:hAnsi="宋体" w:cs="宋体"/>
                <w:bCs/>
              </w:rPr>
              <w:t xml:space="preserve">满足中小企业政策的证明文件（详见说明）。</w:t>
            </w:r>
            <w:r>
              <w:rPr>
                <w:rFonts w:hint="eastAsia" w:ascii="宋体" w:hAnsi="宋体" w:cs="宋体"/>
                <w:bCs/>
              </w:rPr>
            </w:r>
            <w:r/>
          </w:p>
        </w:tc>
        <w:tc>
          <w:tcPr>
            <w:tcW w:w="2449" w:type="dxa"/>
            <w:vAlign w:val="center"/>
            <w:textDirection w:val="lrTb"/>
            <w:noWrap w:val="false"/>
          </w:tcPr>
          <w:p>
            <w:pPr>
              <w:pStyle w:val="1086"/>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086"/>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8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108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086"/>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086"/>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999"/>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99"/>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99"/>
        <w:ind w:firstLine="480"/>
        <w:spacing w:line="500" w:lineRule="exact"/>
        <w:rPr>
          <w:rFonts w:hint="eastAsia" w:ascii="宋体" w:hAnsi="宋体"/>
          <w:sz w:val="24"/>
          <w:szCs w:val="24"/>
          <w:highlight w:val="none"/>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w:t>
      </w:r>
      <w:r>
        <w:rPr>
          <w:rFonts w:hint="eastAsia" w:ascii="宋体" w:hAnsi="宋体"/>
          <w:sz w:val="24"/>
          <w:szCs w:val="24"/>
          <w:highlight w:val="none"/>
        </w:rPr>
        <w:t xml:space="preserve">油石化、电力、电信等有行业特殊情况的，可以分支机构参加政府采购和签订合同。</w:t>
      </w:r>
      <w:r>
        <w:rPr>
          <w:rFonts w:hint="eastAsia" w:ascii="宋体" w:hAnsi="宋体"/>
          <w:sz w:val="24"/>
          <w:szCs w:val="24"/>
          <w:highlight w:val="none"/>
        </w:rPr>
      </w:r>
      <w:r/>
    </w:p>
    <w:p>
      <w:pPr>
        <w:pStyle w:val="999"/>
        <w:numPr>
          <w:ilvl w:val="0"/>
          <w:numId w:val="11"/>
        </w:numPr>
        <w:ind w:firstLine="48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sz w:val="24"/>
          <w:szCs w:val="24"/>
          <w:highlight w:val="none"/>
        </w:rPr>
        <w:t xml:space="preserve">本项</w:t>
      </w:r>
      <w:r>
        <w:rPr>
          <w:rFonts w:hint="eastAsia" w:ascii="宋体" w:hAnsi="宋体"/>
          <w:color w:val="000000"/>
          <w:sz w:val="24"/>
          <w:szCs w:val="24"/>
          <w:highlight w:val="none"/>
        </w:rPr>
        <w:t xml:space="preserve">目的中小企业政策为：本项目预留预算总额30%专门面向中小企业采购（其中预留给小微企业的比例不低于预算总额的18%），</w:t>
      </w:r>
      <w:r>
        <w:rPr>
          <w:rFonts w:hint="eastAsia" w:ascii="宋体" w:hAnsi="宋体"/>
          <w:color w:val="000000"/>
          <w:sz w:val="24"/>
          <w:szCs w:val="24"/>
          <w:highlight w:val="none"/>
        </w:rPr>
        <w:t xml:space="preserve">投标人须根据以下任意一项情况提供相应证明材料，否则投标文件无效：</w:t>
      </w:r>
      <w:r>
        <w:rPr>
          <w:rFonts w:hint="eastAsia" w:ascii="宋体" w:hAnsi="宋体"/>
          <w:color w:val="000000"/>
          <w:sz w:val="24"/>
          <w:szCs w:val="24"/>
          <w:highlight w:val="none"/>
        </w:rPr>
      </w:r>
      <w:r/>
    </w:p>
    <w:p>
      <w:pPr>
        <w:pStyle w:val="999"/>
        <w:numPr>
          <w:ilvl w:val="0"/>
          <w:numId w:val="0"/>
        </w:numPr>
        <w:ind w:firstLine="48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①</w:t>
      </w:r>
      <w:r>
        <w:rPr>
          <w:rFonts w:hint="eastAsia" w:ascii="宋体" w:hAnsi="宋体"/>
          <w:color w:val="000000"/>
          <w:sz w:val="24"/>
          <w:szCs w:val="24"/>
          <w:highlight w:val="none"/>
        </w:rPr>
        <w:t xml:space="preserve">投标人为大型企业的，中标后须将采购项目中的一定比例分包给中小微企业，分包给中小微企业的份额不得低于项目预算总金额的30%（且其中分包给小微企业的份额不得低于项目预算总金额的18%）；</w:t>
      </w:r>
      <w:r>
        <w:rPr>
          <w:rFonts w:hint="eastAsia" w:ascii="宋体" w:hAnsi="宋体"/>
          <w:color w:val="000000"/>
          <w:sz w:val="24"/>
          <w:szCs w:val="24"/>
          <w:highlight w:val="none"/>
        </w:rPr>
        <w:t xml:space="preserve">投标时须提供分包供应商的《中小企业声明函》（格式见第六章），并按要求提供《分包意向协议》（格式见第六章）。</w:t>
      </w:r>
      <w:r>
        <w:rPr>
          <w:rFonts w:hint="eastAsia" w:ascii="宋体" w:hAnsi="宋体"/>
          <w:color w:val="000000"/>
          <w:sz w:val="24"/>
          <w:szCs w:val="24"/>
          <w:highlight w:val="none"/>
        </w:rPr>
      </w:r>
      <w:r/>
    </w:p>
    <w:p>
      <w:pPr>
        <w:pStyle w:val="999"/>
        <w:numPr>
          <w:ilvl w:val="0"/>
          <w:numId w:val="0"/>
        </w:numPr>
        <w:ind w:firstLine="48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②</w:t>
      </w:r>
      <w:r>
        <w:rPr>
          <w:rFonts w:hint="eastAsia" w:ascii="宋体" w:hAnsi="宋体"/>
          <w:color w:val="000000"/>
          <w:sz w:val="24"/>
          <w:szCs w:val="24"/>
          <w:highlight w:val="none"/>
        </w:rPr>
        <w:t xml:space="preserve">投标人为中型企业的，中标后须将采购项目中的一定比例分包给小微企业，分包给小微企业的份额不得低于项目预算总金额的18%；</w:t>
      </w:r>
      <w:r>
        <w:rPr>
          <w:rFonts w:hint="eastAsia" w:ascii="宋体" w:hAnsi="宋体"/>
          <w:color w:val="000000"/>
          <w:sz w:val="24"/>
          <w:szCs w:val="24"/>
          <w:highlight w:val="none"/>
        </w:rPr>
        <w:t xml:space="preserve">投标时须提供投标人以及分包供应商的《中小企业声明函》（格式见第六章），并按要求提供《分包意向协议》（格式见第六章）。</w:t>
      </w:r>
      <w:r>
        <w:rPr>
          <w:rFonts w:hint="eastAsia" w:ascii="宋体" w:hAnsi="宋体"/>
          <w:color w:val="000000"/>
          <w:sz w:val="24"/>
          <w:szCs w:val="24"/>
          <w:highlight w:val="none"/>
        </w:rPr>
      </w:r>
      <w:r/>
    </w:p>
    <w:p>
      <w:pPr>
        <w:pStyle w:val="999"/>
        <w:numPr>
          <w:ilvl w:val="0"/>
          <w:numId w:val="0"/>
        </w:numPr>
        <w:ind w:firstLine="48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③</w:t>
      </w:r>
      <w:r>
        <w:rPr>
          <w:rFonts w:hint="eastAsia" w:ascii="宋体" w:hAnsi="宋体"/>
          <w:color w:val="000000"/>
          <w:sz w:val="24"/>
          <w:szCs w:val="24"/>
          <w:highlight w:val="none"/>
        </w:rPr>
        <w:t xml:space="preserve">投标人为小型企业或微型企业</w:t>
      </w:r>
      <w:r>
        <w:rPr>
          <w:rFonts w:hint="eastAsia" w:ascii="宋体" w:hAnsi="宋体"/>
          <w:color w:val="000000"/>
          <w:sz w:val="24"/>
          <w:szCs w:val="24"/>
          <w:highlight w:val="none"/>
        </w:rPr>
        <w:t xml:space="preserve">的；投标时须提供投标人《中小企业声明函》（格式见第六章）。</w:t>
      </w:r>
      <w:r>
        <w:rPr>
          <w:rFonts w:hint="eastAsia" w:ascii="宋体" w:hAnsi="宋体"/>
          <w:color w:val="000000"/>
          <w:sz w:val="24"/>
          <w:szCs w:val="24"/>
          <w:highlight w:val="none"/>
        </w:rPr>
      </w:r>
      <w:r/>
    </w:p>
    <w:p>
      <w:pPr>
        <w:pStyle w:val="999"/>
        <w:numPr>
          <w:ilvl w:val="0"/>
          <w:numId w:val="0"/>
        </w:numPr>
        <w:ind w:firstLine="48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rPr>
        <w:t xml:space="preserve">监狱企业视同小型、微型企业；监狱企业则应当按照《关于政府采购支持监狱企业发展有关问题的通知》（财库〔2014〕68号）的规定提供由省级以上监狱管理局、戒毒管理局（含新疆生产建设兵团）出具的属于监狱企业的证明文件复印件。</w:t>
      </w:r>
      <w:r>
        <w:rPr>
          <w:rFonts w:hint="eastAsia" w:ascii="宋体" w:hAnsi="宋体"/>
          <w:color w:val="000000"/>
          <w:sz w:val="24"/>
          <w:szCs w:val="24"/>
          <w:highlight w:val="none"/>
        </w:rPr>
      </w:r>
      <w:r/>
    </w:p>
    <w:p>
      <w:pPr>
        <w:pStyle w:val="999"/>
        <w:numPr>
          <w:ilvl w:val="0"/>
          <w:numId w:val="0"/>
        </w:numPr>
        <w:ind w:firstLine="480"/>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残疾人福利性单位视同小型、微型企业；残疾人福利性单位则应当按照《财政部、民政部、中国残疾人联合会关于促进残疾人就业政府采购政策的通知》（财库〔2017〕141号）的规定提供《残疾人福利性单位声明函》（格式见第六章）。</w:t>
      </w:r>
      <w:r>
        <w:rPr>
          <w:rFonts w:hint="eastAsia" w:ascii="宋体" w:hAnsi="宋体"/>
          <w:sz w:val="24"/>
          <w:szCs w:val="24"/>
          <w:highlight w:val="none"/>
        </w:rPr>
      </w:r>
      <w:r/>
    </w:p>
    <w:p>
      <w:pPr>
        <w:pStyle w:val="999"/>
        <w:numPr>
          <w:ilvl w:val="0"/>
          <w:numId w:val="11"/>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8项，如本项目有特定资格要求的（详见第一章《投标邀请》），须提供相应的特定资格证明文件。</w:t>
      </w:r>
      <w:r>
        <w:rPr>
          <w:rFonts w:hint="eastAsia" w:ascii="宋体" w:hAnsi="宋体"/>
          <w:sz w:val="24"/>
          <w:szCs w:val="24"/>
          <w:highlight w:val="none"/>
        </w:rPr>
      </w:r>
      <w:r/>
    </w:p>
    <w:p>
      <w:pPr>
        <w:pStyle w:val="999"/>
        <w:numPr>
          <w:ilvl w:val="0"/>
          <w:numId w:val="11"/>
        </w:numPr>
        <w:ind w:firstLine="480"/>
        <w:spacing w:line="500" w:lineRule="exact"/>
        <w:rPr>
          <w:rFonts w:hint="eastAsia" w:ascii="宋体" w:hAnsi="宋体"/>
          <w:sz w:val="24"/>
          <w:szCs w:val="24"/>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9项，如本项目接受联合体投标的（详见第一章</w:t>
      </w:r>
      <w:r>
        <w:rPr>
          <w:rFonts w:hint="eastAsia" w:ascii="宋体" w:hAnsi="宋体"/>
          <w:sz w:val="24"/>
          <w:szCs w:val="24"/>
        </w:rPr>
        <w:t xml:space="preserve">《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999"/>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999"/>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999"/>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86"/>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1086"/>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1086"/>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1086"/>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1086"/>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1086"/>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1086"/>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1086"/>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1086"/>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1086"/>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86"/>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1086"/>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86"/>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1086"/>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1086"/>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1086"/>
              <w:ind w:firstLine="0"/>
              <w:jc w:val="both"/>
              <w:spacing w:before="0" w:after="0" w:line="240" w:lineRule="auto"/>
              <w:rPr>
                <w:rFonts w:hint="eastAsia" w:cs="Arial"/>
              </w:rPr>
            </w:pPr>
            <w:r>
              <w:rPr>
                <w:rFonts w:hint="eastAsia" w:cs="Arial"/>
              </w:rPr>
            </w:r>
            <w:r/>
          </w:p>
        </w:tc>
      </w:tr>
    </w:tbl>
    <w:p>
      <w:pPr>
        <w:pStyle w:val="999"/>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99"/>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999"/>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999"/>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999"/>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999"/>
        <w:rPr>
          <w:rFonts w:hint="eastAsia"/>
          <w:b/>
          <w:sz w:val="28"/>
          <w:szCs w:val="28"/>
        </w:rPr>
      </w:pPr>
      <w:r>
        <w:rPr>
          <w:rFonts w:hint="eastAsia"/>
          <w:b/>
          <w:sz w:val="28"/>
          <w:szCs w:val="28"/>
        </w:rPr>
        <w:t xml:space="preserve">（二）其他证明文件</w:t>
      </w:r>
      <w:r>
        <w:rPr>
          <w:rFonts w:hint="eastAsia"/>
          <w:b/>
          <w:sz w:val="28"/>
          <w:szCs w:val="28"/>
        </w:rPr>
      </w:r>
      <w:r/>
    </w:p>
    <w:p>
      <w:pPr>
        <w:pStyle w:val="999"/>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99"/>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99"/>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1086"/>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999"/>
        <w:jc w:val="center"/>
        <w:rPr>
          <w:rFonts w:hint="eastAsia" w:ascii="宋体" w:hAnsi="宋体"/>
          <w:b/>
          <w:sz w:val="72"/>
          <w:shd w:val="clear" w:color="ffffff" w:fill="d9d9d9"/>
        </w:rPr>
      </w:pPr>
      <w:r>
        <w:rPr>
          <w:rFonts w:hint="eastAsia" w:ascii="宋体" w:hAnsi="宋体"/>
          <w:b/>
          <w:sz w:val="72"/>
          <w:shd w:val="clear" w:color="ffffff" w:fill="d9d9d9"/>
        </w:rPr>
      </w:r>
      <w:r/>
    </w:p>
    <w:p>
      <w:pPr>
        <w:pStyle w:val="999"/>
        <w:jc w:val="center"/>
        <w:rPr>
          <w:rFonts w:hint="eastAsia" w:ascii="宋体" w:hAnsi="宋体"/>
          <w:b/>
          <w:sz w:val="72"/>
          <w:shd w:val="clear" w:color="ffffff" w:fill="d9d9d9"/>
        </w:rPr>
      </w:pPr>
      <w:r>
        <w:rPr>
          <w:rFonts w:hint="eastAsia" w:ascii="宋体" w:hAnsi="宋体"/>
          <w:b/>
          <w:sz w:val="72"/>
          <w:shd w:val="clear" w:color="ffffff" w:fill="d9d9d9"/>
        </w:rPr>
      </w:r>
      <w:r/>
    </w:p>
    <w:p>
      <w:pPr>
        <w:pStyle w:val="999"/>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999"/>
        <w:jc w:val="center"/>
        <w:rPr>
          <w:rFonts w:hint="eastAsia" w:ascii="宋体" w:hAnsi="宋体"/>
          <w:b/>
          <w:sz w:val="72"/>
          <w:shd w:val="clear" w:color="ffffff" w:fill="d9d9d9"/>
        </w:rPr>
      </w:pPr>
      <w:r>
        <w:rPr>
          <w:rFonts w:hint="eastAsia" w:ascii="宋体" w:hAnsi="宋体"/>
          <w:b/>
          <w:sz w:val="72"/>
          <w:shd w:val="clear" w:color="ffffff" w:fill="d9d9d9"/>
        </w:rPr>
      </w:r>
      <w:r/>
    </w:p>
    <w:p>
      <w:pPr>
        <w:pStyle w:val="999"/>
        <w:jc w:val="center"/>
        <w:rPr>
          <w:rFonts w:hint="eastAsia" w:ascii="宋体" w:hAnsi="宋体"/>
          <w:b/>
          <w:sz w:val="72"/>
          <w:shd w:val="clear" w:color="ffffff" w:fill="d9d9d9"/>
        </w:rPr>
      </w:pPr>
      <w:r>
        <w:rPr>
          <w:rFonts w:hint="eastAsia" w:ascii="宋体" w:hAnsi="宋体"/>
          <w:b/>
          <w:sz w:val="72"/>
          <w:shd w:val="clear" w:color="ffffff" w:fill="d9d9d9"/>
        </w:rPr>
      </w:r>
      <w:r/>
    </w:p>
    <w:p>
      <w:pPr>
        <w:pStyle w:val="999"/>
        <w:jc w:val="center"/>
        <w:rPr>
          <w:rFonts w:hint="eastAsia" w:ascii="宋体" w:hAnsi="宋体"/>
          <w:b/>
          <w:sz w:val="72"/>
          <w:shd w:val="clear" w:color="ffffff" w:fill="d9d9d9"/>
        </w:rPr>
      </w:pPr>
      <w:r>
        <w:rPr>
          <w:rFonts w:hint="eastAsia" w:ascii="宋体" w:hAnsi="宋体"/>
          <w:b/>
          <w:sz w:val="72"/>
          <w:shd w:val="clear" w:color="ffffff" w:fill="d9d9d9"/>
        </w:rPr>
      </w:r>
      <w:r/>
    </w:p>
    <w:p>
      <w:pPr>
        <w:pStyle w:val="99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99"/>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JSZC-320200-JZCG-G2026-0010</w:t>
      </w:r>
      <w:r>
        <w:rPr>
          <w:rFonts w:hint="eastAsia" w:ascii="黑体" w:hAnsi="华文中宋" w:eastAsia="黑体"/>
          <w:bCs/>
          <w:color w:val="000000"/>
          <w:sz w:val="30"/>
          <w:szCs w:val="30"/>
          <w:lang w:eastAsia="zh-CN"/>
        </w:rPr>
      </w:r>
      <w:r/>
    </w:p>
    <w:p>
      <w:pPr>
        <w:pStyle w:val="999"/>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无锡市“一网统管”城市运行管理平台（扩续建2025）</w:t>
      </w:r>
      <w:r>
        <w:rPr>
          <w:rFonts w:hint="eastAsia" w:ascii="黑体" w:hAnsi="华文中宋" w:eastAsia="黑体"/>
          <w:bCs/>
          <w:color w:val="000000"/>
          <w:sz w:val="30"/>
          <w:szCs w:val="30"/>
          <w:lang w:eastAsia="zh-CN"/>
        </w:rPr>
      </w:r>
      <w:r/>
    </w:p>
    <w:p>
      <w:pPr>
        <w:pStyle w:val="999"/>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999"/>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99"/>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99"/>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1084"/>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JSZC-320200-JZCG-G2026-0010</w:t>
      </w:r>
      <w:r>
        <w:rPr>
          <w:rFonts w:hint="eastAsia" w:ascii="宋体" w:hAnsi="宋体"/>
          <w:bCs/>
          <w:color w:val="000000"/>
          <w:sz w:val="24"/>
          <w:szCs w:val="24"/>
        </w:rPr>
        <w:t xml:space="preserve">项目，兹授权：</w:t>
      </w:r>
      <w:r>
        <w:rPr>
          <w:rFonts w:hint="eastAsia"/>
          <w:color w:val="000000"/>
          <w:sz w:val="24"/>
          <w:szCs w:val="24"/>
        </w:rPr>
      </w:r>
      <w:r/>
    </w:p>
    <w:p>
      <w:pPr>
        <w:pStyle w:val="1084"/>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1084"/>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1084"/>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1084"/>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1084"/>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1084"/>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1084"/>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1084"/>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1084"/>
        <w:ind w:firstLine="0"/>
        <w:spacing w:line="360" w:lineRule="auto"/>
        <w:tabs>
          <w:tab w:val="left" w:pos="360" w:leader="none"/>
        </w:tabs>
        <w:rPr>
          <w:rFonts w:hint="eastAsia"/>
          <w:sz w:val="21"/>
          <w:szCs w:val="21"/>
        </w:rPr>
      </w:pPr>
      <w:r>
        <w:rPr>
          <w:rFonts w:hint="eastAsia"/>
          <w:sz w:val="21"/>
          <w:szCs w:val="21"/>
        </w:rPr>
      </w:r>
      <w:r/>
    </w:p>
    <w:p>
      <w:pPr>
        <w:pStyle w:val="1084"/>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1084"/>
        <w:numPr>
          <w:ilvl w:val="0"/>
          <w:numId w:val="13"/>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1084"/>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1084"/>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1084"/>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1084"/>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999"/>
        <w:jc w:val="center"/>
        <w:rPr>
          <w:rFonts w:ascii="黑体" w:eastAsia="黑体"/>
          <w:bCs/>
          <w:color w:val="000000"/>
          <w:sz w:val="28"/>
          <w:szCs w:val="28"/>
        </w:rPr>
        <w:outlineLvl w:val="0"/>
      </w:pPr>
      <w:r/>
      <w:bookmarkStart w:id="207" w:name="报价方关于资格的声明函（格式）"/>
      <w:r/>
      <w:bookmarkEnd w:id="207"/>
      <w:r>
        <w:rPr>
          <w:rFonts w:hint="eastAsia" w:ascii="黑体" w:eastAsia="黑体"/>
          <w:bCs/>
          <w:color w:val="000000"/>
          <w:sz w:val="28"/>
          <w:szCs w:val="28"/>
        </w:rPr>
        <w:t xml:space="preserve">资格声明函</w:t>
      </w:r>
      <w:r>
        <w:rPr>
          <w:rFonts w:ascii="黑体" w:eastAsia="黑体"/>
          <w:bCs/>
          <w:color w:val="000000"/>
          <w:sz w:val="28"/>
          <w:szCs w:val="28"/>
        </w:rPr>
      </w:r>
      <w:r/>
    </w:p>
    <w:p>
      <w:pPr>
        <w:pStyle w:val="999"/>
        <w:jc w:val="center"/>
        <w:spacing w:line="480" w:lineRule="auto"/>
        <w:rPr>
          <w:rFonts w:ascii="宋体"/>
          <w:bCs/>
          <w:color w:val="000000"/>
          <w:sz w:val="24"/>
          <w:szCs w:val="24"/>
        </w:rPr>
      </w:pPr>
      <w:r>
        <w:rPr>
          <w:rFonts w:ascii="宋体"/>
          <w:bCs/>
          <w:color w:val="000000"/>
          <w:sz w:val="24"/>
          <w:szCs w:val="24"/>
        </w:rPr>
      </w:r>
      <w:r/>
    </w:p>
    <w:p>
      <w:pPr>
        <w:pStyle w:val="999"/>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99"/>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JSZC-320200-JZCG-G2026-0010</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99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w:t>
      </w:r>
      <w:r>
        <w:rPr>
          <w:rFonts w:hint="eastAsia" w:ascii="宋体" w:hAnsi="宋体"/>
          <w:bCs/>
          <w:color w:val="000000"/>
          <w:sz w:val="24"/>
          <w:szCs w:val="24"/>
        </w:rPr>
        <w:t xml:space="preserve">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99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99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999"/>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999"/>
        <w:spacing w:line="480" w:lineRule="auto"/>
        <w:rPr>
          <w:rFonts w:ascii="宋体"/>
          <w:bCs/>
          <w:color w:val="000000"/>
          <w:sz w:val="24"/>
          <w:szCs w:val="24"/>
        </w:rPr>
      </w:pPr>
      <w:r>
        <w:rPr>
          <w:rFonts w:ascii="宋体"/>
          <w:bCs/>
          <w:color w:val="000000"/>
          <w:sz w:val="24"/>
          <w:szCs w:val="24"/>
        </w:rPr>
      </w:r>
      <w:r/>
    </w:p>
    <w:p>
      <w:pPr>
        <w:pStyle w:val="999"/>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99"/>
        <w:spacing w:line="440" w:lineRule="exact"/>
        <w:rPr>
          <w:rFonts w:hint="eastAsia" w:ascii="宋体" w:hAnsi="宋体" w:cs="宋体"/>
          <w:b/>
          <w:color w:val="000000"/>
          <w:sz w:val="28"/>
          <w:szCs w:val="28"/>
          <w:highlight w:val="none"/>
        </w:rPr>
      </w:pPr>
      <w:r>
        <w:rPr>
          <w:rFonts w:ascii="宋体"/>
          <w:bCs/>
          <w:color w:val="000000"/>
          <w:sz w:val="24"/>
          <w:szCs w:val="24"/>
        </w:rPr>
        <w:br w:type="page" w:clear="all"/>
      </w:r>
      <w:r>
        <w:rPr>
          <w:rFonts w:hint="eastAsia" w:ascii="宋体" w:hAnsi="宋体" w:cs="宋体"/>
          <w:b/>
          <w:color w:val="000000"/>
          <w:sz w:val="28"/>
          <w:szCs w:val="28"/>
          <w:highlight w:val="none"/>
        </w:rPr>
        <w:t xml:space="preserve">四、政府采购政策相关声明函（给定格式）：</w:t>
      </w:r>
      <w:r>
        <w:rPr>
          <w:rFonts w:hint="eastAsia" w:ascii="宋体" w:hAnsi="宋体" w:cs="宋体"/>
          <w:b/>
          <w:color w:val="000000"/>
          <w:sz w:val="28"/>
          <w:szCs w:val="28"/>
          <w:highlight w:val="none"/>
        </w:rPr>
      </w:r>
      <w:r/>
    </w:p>
    <w:p>
      <w:pPr>
        <w:pStyle w:val="999"/>
        <w:numPr>
          <w:ilvl w:val="0"/>
          <w:numId w:val="14"/>
        </w:numPr>
        <w:ind w:left="420" w:hanging="420"/>
        <w:jc w:val="left"/>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投标人为大型企业</w:t>
      </w:r>
      <w:r>
        <w:rPr>
          <w:rFonts w:hint="eastAsia" w:ascii="黑体" w:eastAsia="黑体"/>
          <w:bCs/>
          <w:color w:val="000000"/>
          <w:sz w:val="28"/>
          <w:szCs w:val="28"/>
          <w:highlight w:val="none"/>
          <w:lang w:val="en-US" w:eastAsia="zh-CN"/>
        </w:rPr>
        <w:t xml:space="preserve">时</w:t>
      </w:r>
      <w:r>
        <w:rPr>
          <w:rFonts w:ascii="黑体" w:eastAsia="黑体"/>
          <w:bCs/>
          <w:color w:val="000000"/>
          <w:sz w:val="28"/>
          <w:szCs w:val="28"/>
          <w:highlight w:val="none"/>
        </w:rPr>
      </w:r>
      <w:r/>
    </w:p>
    <w:p>
      <w:pPr>
        <w:pStyle w:val="999"/>
        <w:ind w:firstLine="420"/>
        <w:spacing w:line="360" w:lineRule="auto"/>
        <w:rPr>
          <w:rFonts w:hint="eastAsia"/>
          <w:color w:val="000000"/>
          <w:highlight w:val="none"/>
        </w:rPr>
      </w:pPr>
      <w:r>
        <w:rPr>
          <w:rFonts w:hint="eastAsia"/>
          <w:color w:val="000000"/>
          <w:highlight w:val="none"/>
        </w:rPr>
      </w:r>
      <w:r/>
    </w:p>
    <w:p>
      <w:pPr>
        <w:pStyle w:val="999"/>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w:t>
      </w:r>
      <w:r>
        <w:rPr>
          <w:rFonts w:hint="eastAsia" w:ascii="宋体" w:hAnsi="宋体"/>
          <w:bCs/>
          <w:color w:val="000000"/>
          <w:sz w:val="24"/>
          <w:szCs w:val="24"/>
          <w:highlight w:val="none"/>
          <w:lang w:val="en-US" w:eastAsia="zh-CN"/>
        </w:rPr>
        <w:t xml:space="preserve">所分包内容</w:t>
      </w:r>
      <w:r>
        <w:rPr>
          <w:rFonts w:ascii="宋体" w:hAnsi="宋体"/>
          <w:bCs/>
          <w:color w:val="000000"/>
          <w:sz w:val="24"/>
          <w:szCs w:val="24"/>
          <w:highlight w:val="none"/>
        </w:rPr>
        <w:t xml:space="preserve">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lang w:val="en-US" w:eastAsia="zh-CN"/>
        </w:rPr>
        <w:t xml:space="preserve">标的名称</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rPr>
        <w:t xml:space="preserve">（分包部分）</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lang w:val="en-US" w:eastAsia="zh-CN"/>
        </w:rPr>
        <w:t xml:space="preserve">标的名称</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rPr>
        <w:t xml:space="preserve">（分包部分）</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承接分包内容的</w:t>
      </w:r>
      <w:r>
        <w:rPr>
          <w:rFonts w:ascii="宋体" w:hAnsi="宋体"/>
          <w:bCs/>
          <w:color w:val="000000"/>
          <w:sz w:val="24"/>
          <w:szCs w:val="24"/>
          <w:highlight w:val="none"/>
        </w:rPr>
        <w:t xml:space="preserve">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9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99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99"/>
        <w:ind w:firstLine="420"/>
        <w:spacing w:line="360" w:lineRule="auto"/>
        <w:rPr>
          <w:color w:val="000000"/>
          <w:highlight w:val="none"/>
        </w:rPr>
      </w:pPr>
      <w:r>
        <w:rPr>
          <w:color w:val="000000"/>
          <w:highlight w:val="none"/>
        </w:rPr>
      </w:r>
      <w:r/>
    </w:p>
    <w:p>
      <w:pPr>
        <w:pStyle w:val="999"/>
        <w:ind w:firstLine="420"/>
        <w:spacing w:line="360" w:lineRule="auto"/>
        <w:rPr>
          <w:color w:val="000000"/>
          <w:highlight w:val="none"/>
        </w:rPr>
      </w:pPr>
      <w:r>
        <w:rPr>
          <w:rFonts w:hint="eastAsia"/>
          <w:color w:val="000000"/>
          <w:highlight w:val="none"/>
        </w:rPr>
        <w:t xml:space="preserve">注：（1）</w:t>
      </w:r>
      <w:r>
        <w:rPr>
          <w:rFonts w:hint="eastAsia"/>
          <w:b/>
          <w:color w:val="000000"/>
          <w:highlight w:val="none"/>
          <w:u w:val="single"/>
        </w:rPr>
        <w:t xml:space="preserve">投标人为大型企业时</w:t>
      </w:r>
      <w:r>
        <w:rPr>
          <w:rFonts w:hint="eastAsia"/>
          <w:b/>
          <w:color w:val="000000"/>
          <w:highlight w:val="none"/>
          <w:u w:val="single"/>
          <w:lang w:eastAsia="zh-CN"/>
        </w:rPr>
        <w:t xml:space="preserve">，</w:t>
      </w:r>
      <w:r>
        <w:rPr>
          <w:rFonts w:hint="eastAsia"/>
          <w:b/>
          <w:color w:val="000000"/>
          <w:highlight w:val="none"/>
          <w:u w:val="single"/>
        </w:rPr>
        <w:t xml:space="preserve">提供分包供应商的《中小企业声明函》</w:t>
      </w:r>
      <w:r>
        <w:rPr>
          <w:rFonts w:hint="eastAsia"/>
          <w:b/>
          <w:color w:val="000000"/>
          <w:highlight w:val="none"/>
          <w:u w:val="single"/>
          <w:lang w:eastAsia="zh-CN"/>
        </w:rPr>
        <w:t xml:space="preserve">，</w:t>
      </w:r>
      <w:r>
        <w:rPr>
          <w:rFonts w:hint="eastAsia"/>
          <w:b/>
          <w:color w:val="000000"/>
          <w:highlight w:val="none"/>
          <w:u w:val="single"/>
          <w:lang w:val="en-US" w:eastAsia="zh-CN"/>
        </w:rPr>
        <w:t xml:space="preserve">只需</w:t>
      </w:r>
      <w:r>
        <w:rPr>
          <w:rFonts w:hint="eastAsia"/>
          <w:b/>
          <w:color w:val="000000"/>
          <w:highlight w:val="none"/>
          <w:u w:val="single"/>
        </w:rPr>
        <w:t xml:space="preserve">针对投标人分包给中小企业的标的及其所属行业进行逐一进行填报</w:t>
      </w:r>
      <w:r>
        <w:rPr>
          <w:rFonts w:hint="eastAsia"/>
          <w:b/>
          <w:color w:val="000000"/>
          <w:highlight w:val="none"/>
          <w:u w:val="single"/>
          <w:lang w:eastAsia="zh-CN"/>
        </w:rPr>
        <w:t xml:space="preserve">，</w:t>
      </w:r>
      <w:r>
        <w:rPr>
          <w:rFonts w:hint="eastAsia"/>
          <w:b/>
          <w:color w:val="000000"/>
          <w:highlight w:val="none"/>
          <w:u w:val="single"/>
        </w:rPr>
        <w:t xml:space="preserve">“企业名称”应填报为提供该项服务的承建（承接）商，“企业名称（盖章）”处还须盖有相应分包供应商单位公章。投标人未按要求提供分包供应商的《中小企业声明函》的，其投标文件无效。</w:t>
      </w:r>
      <w:r>
        <w:rPr>
          <w:color w:val="000000"/>
          <w:highlight w:val="none"/>
        </w:rPr>
      </w:r>
      <w:r/>
    </w:p>
    <w:p>
      <w:pPr>
        <w:pStyle w:val="999"/>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999"/>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99"/>
        <w:ind w:firstLine="480"/>
        <w:spacing w:line="360" w:lineRule="auto"/>
        <w:rPr>
          <w:rFonts w:hint="eastAsia" w:ascii="宋体" w:hAnsi="宋体"/>
          <w:bCs/>
          <w:color w:val="ff0000"/>
          <w:sz w:val="24"/>
          <w:szCs w:val="24"/>
        </w:rPr>
      </w:pPr>
      <w:r>
        <w:rPr>
          <w:rFonts w:hint="eastAsia" w:ascii="宋体" w:hAnsi="宋体"/>
          <w:bCs/>
          <w:color w:val="ff0000"/>
          <w:sz w:val="24"/>
          <w:szCs w:val="24"/>
        </w:rPr>
      </w:r>
      <w:r/>
    </w:p>
    <w:p>
      <w:pPr>
        <w:pStyle w:val="999"/>
        <w:numPr>
          <w:ilvl w:val="0"/>
          <w:numId w:val="14"/>
        </w:numPr>
        <w:ind w:left="420" w:hanging="420"/>
        <w:jc w:val="left"/>
        <w:spacing w:line="360" w:lineRule="auto"/>
        <w:rPr>
          <w:rFonts w:ascii="黑体" w:eastAsia="黑体"/>
          <w:bCs/>
          <w:color w:val="000000"/>
          <w:sz w:val="28"/>
          <w:szCs w:val="28"/>
          <w:highlight w:val="none"/>
        </w:rPr>
      </w:pPr>
      <w:r>
        <w:rPr>
          <w:rFonts w:hint="eastAsia"/>
          <w:color w:val="00b050"/>
        </w:rPr>
        <w:br w:type="page" w:clear="all"/>
      </w:r>
      <w:r>
        <w:rPr>
          <w:rFonts w:hint="eastAsia" w:ascii="黑体" w:eastAsia="黑体"/>
          <w:bCs/>
          <w:color w:val="000000"/>
          <w:sz w:val="28"/>
          <w:szCs w:val="28"/>
          <w:highlight w:val="none"/>
        </w:rPr>
        <w:t xml:space="preserve">投标人为</w:t>
      </w:r>
      <w:r>
        <w:rPr>
          <w:rFonts w:hint="eastAsia" w:ascii="黑体" w:eastAsia="黑体"/>
          <w:bCs/>
          <w:color w:val="000000"/>
          <w:sz w:val="28"/>
          <w:szCs w:val="28"/>
          <w:highlight w:val="none"/>
          <w:lang w:val="en-US" w:eastAsia="zh-CN"/>
        </w:rPr>
        <w:t xml:space="preserve">中型</w:t>
      </w:r>
      <w:r>
        <w:rPr>
          <w:rFonts w:hint="eastAsia" w:ascii="黑体" w:eastAsia="黑体"/>
          <w:bCs/>
          <w:color w:val="000000"/>
          <w:sz w:val="28"/>
          <w:szCs w:val="28"/>
          <w:highlight w:val="none"/>
        </w:rPr>
        <w:t xml:space="preserve">企业时</w:t>
      </w:r>
      <w:r>
        <w:rPr>
          <w:rFonts w:ascii="黑体" w:eastAsia="黑体"/>
          <w:bCs/>
          <w:color w:val="000000"/>
          <w:sz w:val="28"/>
          <w:szCs w:val="28"/>
          <w:highlight w:val="none"/>
        </w:rPr>
      </w:r>
      <w:r/>
    </w:p>
    <w:p>
      <w:pPr>
        <w:pStyle w:val="999"/>
        <w:ind w:firstLine="420"/>
        <w:spacing w:line="360" w:lineRule="auto"/>
        <w:rPr>
          <w:rFonts w:hint="eastAsia"/>
          <w:color w:val="000000"/>
          <w:highlight w:val="none"/>
        </w:rPr>
      </w:pPr>
      <w:r>
        <w:rPr>
          <w:rFonts w:hint="eastAsia"/>
          <w:color w:val="000000"/>
          <w:highlight w:val="none"/>
        </w:rPr>
      </w:r>
      <w:r/>
    </w:p>
    <w:p>
      <w:pPr>
        <w:pStyle w:val="999"/>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w:t>
      </w:r>
      <w:r>
        <w:rPr>
          <w:rFonts w:hint="eastAsia" w:ascii="宋体" w:hAnsi="宋体"/>
          <w:bCs/>
          <w:color w:val="000000"/>
          <w:sz w:val="24"/>
          <w:szCs w:val="24"/>
          <w:highlight w:val="none"/>
          <w:lang w:val="en-US" w:eastAsia="zh-CN"/>
        </w:rPr>
        <w:t xml:space="preserve">所分包内容</w:t>
      </w:r>
      <w:r>
        <w:rPr>
          <w:rFonts w:ascii="宋体" w:hAnsi="宋体"/>
          <w:bCs/>
          <w:color w:val="000000"/>
          <w:sz w:val="24"/>
          <w:szCs w:val="24"/>
          <w:highlight w:val="none"/>
        </w:rPr>
        <w:t xml:space="preserve">由符合政策要求的</w:t>
      </w:r>
      <w:r>
        <w:rPr>
          <w:rFonts w:hint="eastAsia" w:ascii="宋体" w:hAnsi="宋体"/>
          <w:bCs/>
          <w:color w:val="000000"/>
          <w:sz w:val="24"/>
          <w:szCs w:val="24"/>
          <w:highlight w:val="none"/>
          <w:lang w:val="en-US" w:eastAsia="zh-CN"/>
        </w:rPr>
        <w:t xml:space="preserve">小微</w:t>
      </w:r>
      <w:r>
        <w:rPr>
          <w:rFonts w:ascii="宋体" w:hAnsi="宋体"/>
          <w:bCs/>
          <w:color w:val="000000"/>
          <w:sz w:val="24"/>
          <w:szCs w:val="24"/>
          <w:highlight w:val="none"/>
        </w:rPr>
        <w:t xml:space="preserve">企业承接。相关企业（</w:t>
      </w:r>
      <w:r>
        <w:rPr>
          <w:rFonts w:hint="eastAsia" w:ascii="宋体" w:hAnsi="宋体"/>
          <w:bCs/>
          <w:color w:val="000000"/>
          <w:sz w:val="24"/>
          <w:szCs w:val="24"/>
          <w:highlight w:val="none"/>
          <w:lang w:val="en-US" w:eastAsia="zh-CN"/>
        </w:rPr>
        <w:t xml:space="preserve">含</w:t>
      </w:r>
      <w:r>
        <w:rPr>
          <w:rFonts w:ascii="宋体" w:hAnsi="宋体"/>
          <w:bCs/>
          <w:color w:val="000000"/>
          <w:sz w:val="24"/>
          <w:szCs w:val="24"/>
          <w:highlight w:val="none"/>
        </w:rPr>
        <w:t xml:space="preserve">签订分包意向协议的</w:t>
      </w:r>
      <w:r>
        <w:rPr>
          <w:rFonts w:hint="eastAsia" w:ascii="宋体" w:hAnsi="宋体"/>
          <w:bCs/>
          <w:color w:val="000000"/>
          <w:sz w:val="24"/>
          <w:szCs w:val="24"/>
          <w:highlight w:val="none"/>
          <w:lang w:val="en-US" w:eastAsia="zh-CN"/>
        </w:rPr>
        <w:t xml:space="preserve">小微</w:t>
      </w:r>
      <w:r>
        <w:rPr>
          <w:rFonts w:ascii="宋体" w:hAnsi="宋体"/>
          <w:bCs/>
          <w:color w:val="000000"/>
          <w:sz w:val="24"/>
          <w:szCs w:val="24"/>
          <w:highlight w:val="none"/>
        </w:rPr>
        <w:t xml:space="preserve">企业）的具体情况如下：</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lang w:val="en-US" w:eastAsia="zh-CN"/>
        </w:rPr>
        <w:t xml:space="preserve">标的名称</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rPr>
        <w:t xml:space="preserve">（不含分包内容）</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u w:val="single"/>
        </w:rPr>
        <w:t xml:space="preserve">（分包内容）</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承接分包内容的</w:t>
      </w:r>
      <w:r>
        <w:rPr>
          <w:rFonts w:ascii="宋体" w:hAnsi="宋体"/>
          <w:bCs/>
          <w:color w:val="000000"/>
          <w:sz w:val="24"/>
          <w:szCs w:val="24"/>
          <w:highlight w:val="none"/>
        </w:rPr>
        <w:t xml:space="preserve">企业，不属于大企业的分支机构，不存在控股股东为大企业的情形，也不存在与大企业的负责人为同一人的情形。 本企业对上述声明内容的真实性负责。如有虚假，将依法承担相应责任。</w:t>
      </w:r>
      <w:r>
        <w:rPr>
          <w:rFonts w:ascii="宋体" w:hAnsi="宋体"/>
          <w:bCs/>
          <w:color w:val="000000"/>
          <w:sz w:val="24"/>
          <w:szCs w:val="24"/>
          <w:highlight w:val="none"/>
        </w:rPr>
      </w:r>
      <w:r/>
    </w:p>
    <w:p>
      <w:pPr>
        <w:pStyle w:val="99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99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99"/>
        <w:ind w:firstLine="420"/>
        <w:spacing w:line="360" w:lineRule="auto"/>
        <w:rPr>
          <w:color w:val="000000"/>
          <w:highlight w:val="none"/>
        </w:rPr>
      </w:pPr>
      <w:r>
        <w:rPr>
          <w:color w:val="000000"/>
          <w:highlight w:val="none"/>
        </w:rPr>
      </w:r>
      <w:r/>
    </w:p>
    <w:p>
      <w:pPr>
        <w:pStyle w:val="999"/>
        <w:ind w:firstLine="420"/>
        <w:spacing w:line="360" w:lineRule="auto"/>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color w:val="000000"/>
          <w:highlight w:val="none"/>
          <w:u w:val="single"/>
        </w:rPr>
        <w:t xml:space="preserve">投标人为中型企业时</w:t>
      </w:r>
      <w:r>
        <w:rPr>
          <w:rFonts w:hint="eastAsia"/>
          <w:b/>
          <w:color w:val="000000"/>
          <w:highlight w:val="none"/>
          <w:u w:val="single"/>
          <w:lang w:eastAsia="zh-CN"/>
        </w:rPr>
        <w:t xml:space="preserve">，</w:t>
      </w:r>
      <w:r>
        <w:rPr>
          <w:rFonts w:hint="eastAsia"/>
          <w:b/>
          <w:color w:val="000000"/>
          <w:highlight w:val="none"/>
          <w:u w:val="single"/>
        </w:rPr>
        <w:t xml:space="preserve">提供投标人和分包供应商的《中小企业声明函》。“企业名称”应填报为提供该项服务的相应承建（承接）商，“企业名称（盖章）”处须盖有投标人单位公章以及相应分包供应商单位公章。投标人未按要求提供的，其投标文件无效。</w:t>
      </w:r>
      <w:r/>
    </w:p>
    <w:p>
      <w:pPr>
        <w:pStyle w:val="999"/>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99"/>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
        <w:rPr>
          <w:rFonts w:hint="eastAsia" w:ascii="宋体" w:hAnsi="宋体"/>
          <w:bCs/>
          <w:color w:val="ff0000"/>
          <w:sz w:val="24"/>
          <w:szCs w:val="24"/>
        </w:rPr>
      </w:r>
      <w:r/>
      <w:r/>
    </w:p>
    <w:p>
      <w:pPr>
        <w:pStyle w:val="999"/>
        <w:numPr>
          <w:ilvl w:val="0"/>
          <w:numId w:val="14"/>
        </w:numPr>
        <w:ind w:left="420" w:hanging="420"/>
        <w:spacing w:line="440" w:lineRule="exact"/>
        <w:rPr>
          <w:rFonts w:ascii="黑体" w:eastAsia="黑体"/>
          <w:bCs/>
          <w:color w:val="000000"/>
          <w:sz w:val="28"/>
          <w:szCs w:val="28"/>
          <w:highlight w:val="none"/>
        </w:rPr>
      </w:pPr>
      <w:r>
        <w:rPr>
          <w:rFonts w:hint="eastAsia"/>
          <w:color w:val="00b050"/>
        </w:rPr>
        <w:br w:type="page" w:clear="all"/>
      </w:r>
      <w:r>
        <w:rPr>
          <w:rFonts w:hint="eastAsia" w:ascii="黑体" w:eastAsia="黑体"/>
          <w:bCs/>
          <w:color w:val="000000"/>
          <w:sz w:val="28"/>
          <w:szCs w:val="28"/>
          <w:highlight w:val="none"/>
        </w:rPr>
        <w:t xml:space="preserve">投标人为小型企业或微型企业</w:t>
      </w:r>
      <w:r>
        <w:rPr>
          <w:rFonts w:hint="eastAsia" w:ascii="黑体" w:eastAsia="黑体"/>
          <w:bCs/>
          <w:color w:val="000000"/>
          <w:sz w:val="28"/>
          <w:szCs w:val="28"/>
          <w:highlight w:val="none"/>
          <w:lang w:val="en-US" w:eastAsia="zh-CN"/>
        </w:rPr>
        <w:t xml:space="preserve">时</w:t>
      </w:r>
      <w:r>
        <w:rPr>
          <w:rFonts w:ascii="黑体" w:eastAsia="黑体"/>
          <w:bCs/>
          <w:color w:val="000000"/>
          <w:sz w:val="28"/>
          <w:szCs w:val="28"/>
          <w:highlight w:val="none"/>
        </w:rPr>
      </w:r>
      <w:r/>
    </w:p>
    <w:p>
      <w:pPr>
        <w:pStyle w:val="999"/>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w:t>
      </w:r>
      <w:r>
        <w:rPr>
          <w:rFonts w:hint="eastAsia" w:ascii="宋体" w:hAnsi="宋体"/>
          <w:bCs/>
          <w:color w:val="000000"/>
          <w:sz w:val="24"/>
          <w:szCs w:val="24"/>
          <w:highlight w:val="none"/>
          <w:lang w:val="en-US" w:eastAsia="zh-CN"/>
        </w:rPr>
        <w:t xml:space="preserve">小微</w:t>
      </w:r>
      <w:r>
        <w:rPr>
          <w:rFonts w:ascii="宋体" w:hAnsi="宋体"/>
          <w:bCs/>
          <w:color w:val="000000"/>
          <w:sz w:val="24"/>
          <w:szCs w:val="24"/>
          <w:highlight w:val="none"/>
        </w:rPr>
        <w:t xml:space="preserve">企业承接。相关企业的具体情况如下：</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lang w:val="en-US" w:eastAsia="zh-CN"/>
        </w:rPr>
        <w:t xml:space="preserve">标的名称</w:t>
      </w:r>
      <w:r>
        <w:rPr>
          <w:rFonts w:hint="eastAsia" w:ascii="宋体" w:hAnsi="宋体"/>
          <w:bCs/>
          <w:color w:val="000000"/>
          <w:sz w:val="24"/>
          <w:szCs w:val="24"/>
          <w:highlight w:val="none"/>
          <w:u w:val="single"/>
          <w:lang w:eastAsia="zh-CN"/>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lang w:val="en-US" w:eastAsia="zh-CN"/>
        </w:rPr>
        <w:t xml:space="preserve">标的名称</w:t>
      </w:r>
      <w:r>
        <w:rPr>
          <w:rFonts w:hint="eastAsia" w:ascii="宋体" w:hAnsi="宋体"/>
          <w:bCs/>
          <w:color w:val="000000"/>
          <w:sz w:val="24"/>
          <w:szCs w:val="24"/>
          <w:highlight w:val="none"/>
          <w:u w:val="single"/>
          <w:lang w:eastAsia="zh-CN"/>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ascii="宋体" w:hAnsi="宋体"/>
          <w:bCs/>
          <w:color w:val="000000"/>
          <w:sz w:val="24"/>
          <w:szCs w:val="24"/>
          <w:highlight w:val="none"/>
        </w:rPr>
      </w:r>
      <w:r/>
    </w:p>
    <w:p>
      <w:pPr>
        <w:pStyle w:val="99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99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99"/>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投标人为小型企业或微型企业时，由投标人提供。“企业名称”应填报为提供该项服务的承建（承接）商。投标人未按要求提供的，其投标文件无效。</w:t>
      </w:r>
      <w:r>
        <w:rPr>
          <w:rFonts w:hint="eastAsia"/>
          <w:color w:val="000000"/>
          <w:highlight w:val="none"/>
        </w:rPr>
      </w:r>
      <w:r/>
    </w:p>
    <w:p>
      <w:pPr>
        <w:pStyle w:val="999"/>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999"/>
        <w:ind w:firstLine="420"/>
        <w:jc w:val="left"/>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shd w:val="nil"/>
        <w:rPr>
          <w:rFonts w:hint="eastAsia" w:ascii="黑体" w:eastAsia="黑体" w:cs="Times New Roman"/>
          <w:color w:val="000000"/>
          <w:sz w:val="28"/>
          <w:szCs w:val="28"/>
          <w:highlight w:val="none"/>
          <w:lang w:eastAsia="zh-CN"/>
        </w:rPr>
      </w:pPr>
      <w:r>
        <w:rPr>
          <w:rFonts w:hint="eastAsia" w:ascii="黑体" w:eastAsia="黑体" w:cs="Times New Roman"/>
          <w:bCs/>
          <w:color w:val="000000"/>
          <w:sz w:val="28"/>
          <w:szCs w:val="28"/>
          <w:highlight w:val="none"/>
          <w:lang w:eastAsia="zh-CN"/>
        </w:rPr>
        <w:br w:type="page" w:clear="all"/>
      </w:r>
      <w:r>
        <w:rPr>
          <w:rFonts w:hint="eastAsia" w:ascii="黑体" w:eastAsia="黑体" w:cs="Times New Roman"/>
          <w:bCs/>
          <w:color w:val="000000"/>
          <w:sz w:val="28"/>
          <w:szCs w:val="28"/>
          <w:highlight w:val="none"/>
          <w:lang w:eastAsia="zh-CN"/>
        </w:rPr>
      </w:r>
    </w:p>
    <w:p>
      <w:pPr>
        <w:pStyle w:val="999"/>
        <w:ind w:firstLine="560"/>
        <w:jc w:val="center"/>
        <w:spacing w:line="360" w:lineRule="auto"/>
        <w:rPr>
          <w:rFonts w:hint="eastAsia" w:ascii="黑体" w:eastAsia="黑体" w:cs="Times New Roman"/>
          <w:color w:val="000000"/>
          <w:sz w:val="28"/>
          <w:szCs w:val="28"/>
          <w:highlight w:val="none"/>
          <w:lang w:eastAsia="zh-CN"/>
        </w:rPr>
      </w:pPr>
      <w:r>
        <w:rPr>
          <w:rFonts w:hint="eastAsia" w:ascii="黑体" w:eastAsia="黑体" w:cs="Times New Roman"/>
          <w:bCs/>
          <w:color w:val="000000"/>
          <w:sz w:val="28"/>
          <w:szCs w:val="28"/>
          <w:highlight w:val="none"/>
          <w:lang w:eastAsia="zh-CN"/>
        </w:rPr>
        <w:t xml:space="preserve">分包意向协议（参考格式）</w:t>
      </w:r>
      <w:r>
        <w:rPr>
          <w:rFonts w:hint="eastAsia" w:ascii="黑体" w:eastAsia="黑体" w:cs="Times New Roman"/>
          <w:bCs/>
          <w:color w:val="000000"/>
          <w:sz w:val="28"/>
          <w:szCs w:val="28"/>
          <w:highlight w:val="none"/>
          <w:lang w:eastAsia="zh-CN"/>
        </w:rPr>
      </w:r>
      <w:r/>
    </w:p>
    <w:p>
      <w:pPr>
        <w:pStyle w:val="999"/>
        <w:jc w:val="center"/>
        <w:rPr>
          <w:rFonts w:ascii="Times New Roman" w:hAnsi="Times New Roman" w:cs="Times New Roman"/>
          <w:b/>
          <w:bCs/>
          <w:lang w:eastAsia="zh-CN" w:bidi="ar"/>
        </w:rPr>
      </w:pPr>
      <w:r>
        <w:rPr>
          <w:rFonts w:ascii="Times New Roman" w:hAnsi="Times New Roman" w:cs="Times New Roman"/>
          <w:b/>
          <w:bCs/>
          <w:lang w:eastAsia="zh-CN" w:bidi="ar"/>
        </w:rPr>
      </w:r>
      <w:r/>
    </w:p>
    <w:p>
      <w:pPr>
        <w:pStyle w:val="999"/>
        <w:ind w:firstLine="480"/>
        <w:spacing w:line="360" w:lineRule="auto"/>
        <w:rPr>
          <w:rFonts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甲方（投标供应商）</w:t>
      </w:r>
      <w:r>
        <w:rPr>
          <w:rFonts w:ascii="宋体" w:hAnsi="宋体" w:eastAsia="宋体" w:cs="Times New Roman"/>
          <w:bCs/>
          <w:sz w:val="24"/>
          <w:szCs w:val="24"/>
          <w:lang w:eastAsia="zh-CN"/>
        </w:rPr>
        <w:t xml:space="preserve">：________ </w:t>
      </w:r>
      <w:r>
        <w:rPr>
          <w:rFonts w:ascii="宋体" w:hAnsi="宋体" w:eastAsia="宋体" w:cs="Times New Roman"/>
          <w:bCs/>
          <w:sz w:val="24"/>
          <w:szCs w:val="24"/>
          <w:lang w:eastAsia="zh-CN"/>
        </w:rPr>
      </w:r>
      <w:r/>
    </w:p>
    <w:p>
      <w:pPr>
        <w:pStyle w:val="999"/>
        <w:ind w:firstLine="480"/>
        <w:spacing w:line="360" w:lineRule="auto"/>
        <w:rPr>
          <w:rFonts w:ascii="宋体" w:hAnsi="宋体" w:eastAsia="宋体" w:cs="Times New Roman"/>
          <w:bCs/>
          <w:sz w:val="24"/>
          <w:szCs w:val="24"/>
          <w:lang w:eastAsia="zh-CN"/>
        </w:rPr>
      </w:pPr>
      <w:r>
        <w:rPr>
          <w:rFonts w:ascii="宋体" w:hAnsi="宋体" w:eastAsia="宋体" w:cs="Times New Roman"/>
          <w:bCs/>
          <w:sz w:val="24"/>
          <w:szCs w:val="24"/>
          <w:lang w:eastAsia="zh-CN"/>
        </w:rPr>
        <w:t xml:space="preserve">乙方（</w:t>
      </w:r>
      <w:r>
        <w:rPr>
          <w:rFonts w:hint="eastAsia" w:ascii="宋体" w:hAnsi="宋体" w:eastAsia="宋体" w:cs="Times New Roman"/>
          <w:bCs/>
          <w:sz w:val="24"/>
          <w:szCs w:val="24"/>
          <w:lang w:val="en-US" w:eastAsia="zh-CN"/>
        </w:rPr>
        <w:t xml:space="preserve">分包供应商</w:t>
      </w:r>
      <w:r>
        <w:rPr>
          <w:rFonts w:ascii="宋体" w:hAnsi="宋体" w:eastAsia="宋体" w:cs="Times New Roman"/>
          <w:bCs/>
          <w:sz w:val="24"/>
          <w:szCs w:val="24"/>
          <w:lang w:eastAsia="zh-CN"/>
        </w:rPr>
        <w:t xml:space="preserve">）：________ </w:t>
      </w:r>
      <w:r>
        <w:rPr>
          <w:rFonts w:ascii="宋体" w:hAnsi="宋体" w:eastAsia="宋体" w:cs="Times New Roman"/>
          <w:bCs/>
          <w:sz w:val="24"/>
          <w:szCs w:val="24"/>
          <w:lang w:eastAsia="zh-CN"/>
        </w:rPr>
      </w:r>
      <w:r/>
    </w:p>
    <w:p>
      <w:pPr>
        <w:pStyle w:val="999"/>
        <w:ind w:firstLine="480"/>
        <w:spacing w:line="360" w:lineRule="auto"/>
        <w:rPr>
          <w:rFonts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甲方</w:t>
      </w:r>
      <w:r>
        <w:rPr>
          <w:rFonts w:ascii="宋体" w:hAnsi="宋体" w:eastAsia="宋体" w:cs="Times New Roman"/>
          <w:bCs/>
          <w:sz w:val="24"/>
          <w:szCs w:val="24"/>
          <w:lang w:eastAsia="zh-CN"/>
        </w:rPr>
        <w:t xml:space="preserve">承诺，一旦在</w:t>
      </w:r>
      <w:r>
        <w:rPr>
          <w:rFonts w:hint="eastAsia" w:ascii="宋体" w:hAnsi="宋体" w:eastAsia="宋体" w:cs="Times New Roman"/>
          <w:bCs/>
          <w:sz w:val="24"/>
          <w:szCs w:val="24"/>
          <w:u w:val="single"/>
          <w:lang w:eastAsia="zh-CN"/>
        </w:rPr>
        <w:t xml:space="preserve">无锡市“一网统管”城市运行管理平台（扩续建2025）</w:t>
      </w:r>
      <w:r>
        <w:rPr>
          <w:rFonts w:ascii="宋体" w:hAnsi="宋体" w:eastAsia="宋体" w:cs="Times New Roman"/>
          <w:bCs/>
          <w:sz w:val="24"/>
          <w:szCs w:val="24"/>
          <w:lang w:eastAsia="zh-CN"/>
        </w:rPr>
        <w:t xml:space="preserve">（项目号：_</w:t>
      </w:r>
      <w:r>
        <w:rPr>
          <w:rFonts w:hint="eastAsia" w:ascii="宋体" w:hAnsi="宋体" w:eastAsia="宋体" w:cs="Times New Roman"/>
          <w:bCs/>
          <w:sz w:val="24"/>
          <w:szCs w:val="24"/>
          <w:u w:val="single"/>
          <w:lang w:eastAsia="zh-CN"/>
        </w:rPr>
        <w:t xml:space="preserve">JSZC-320200-JZCG-G2026-0010</w:t>
      </w:r>
      <w:r>
        <w:rPr>
          <w:rFonts w:ascii="宋体" w:hAnsi="宋体" w:eastAsia="宋体" w:cs="Times New Roman"/>
          <w:bCs/>
          <w:sz w:val="24"/>
          <w:szCs w:val="24"/>
          <w:lang w:eastAsia="zh-CN"/>
        </w:rPr>
        <w:t xml:space="preserve">_）招标采购项目中获得采购合同，将按照下述约定将合同项下部分内容分包给乙方： </w:t>
      </w:r>
      <w:r>
        <w:rPr>
          <w:rFonts w:ascii="宋体" w:hAnsi="宋体" w:eastAsia="宋体" w:cs="Times New Roman"/>
          <w:bCs/>
          <w:sz w:val="24"/>
          <w:szCs w:val="24"/>
          <w:lang w:eastAsia="zh-CN"/>
        </w:rPr>
      </w:r>
      <w:r/>
    </w:p>
    <w:p>
      <w:pPr>
        <w:pStyle w:val="999"/>
        <w:ind w:firstLine="480"/>
        <w:spacing w:line="360" w:lineRule="auto"/>
        <w:rPr>
          <w:rFonts w:ascii="宋体" w:hAnsi="宋体" w:eastAsia="宋体" w:cs="Times New Roman"/>
          <w:bCs/>
          <w:sz w:val="24"/>
          <w:szCs w:val="24"/>
          <w:lang w:eastAsia="zh-CN"/>
        </w:rPr>
      </w:pPr>
      <w:r>
        <w:rPr>
          <w:rFonts w:ascii="宋体" w:hAnsi="宋体" w:eastAsia="宋体" w:cs="Times New Roman"/>
          <w:bCs/>
          <w:sz w:val="24"/>
          <w:szCs w:val="24"/>
          <w:lang w:eastAsia="zh-CN"/>
        </w:rPr>
      </w:r>
      <w:r/>
    </w:p>
    <w:tbl>
      <w:tblPr>
        <w:tblW w:w="9215"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430"/>
        <w:gridCol w:w="1751"/>
        <w:gridCol w:w="1368"/>
        <w:gridCol w:w="1368"/>
        <w:gridCol w:w="1369"/>
        <w:gridCol w:w="1369"/>
      </w:tblGrid>
      <w:tr>
        <w:trPr>
          <w:trHeight w:val="1155"/>
        </w:trPr>
        <w:tc>
          <w:tcPr>
            <w:tcW w:w="560" w:type="dxa"/>
            <w:vAlign w:val="center"/>
            <w:textDirection w:val="lrTb"/>
            <w:noWrap w:val="false"/>
          </w:tcPr>
          <w:p>
            <w:pPr>
              <w:pStyle w:val="999"/>
              <w:jc w:val="center"/>
              <w:spacing w:line="240" w:lineRule="exact"/>
              <w:rPr>
                <w:rFonts w:ascii="Times New Roman" w:hAnsi="Times New Roman" w:cs="Times New Roman"/>
                <w:b/>
                <w:bCs/>
                <w:sz w:val="21"/>
                <w:szCs w:val="21"/>
              </w:rPr>
            </w:pPr>
            <w:r>
              <w:rPr>
                <w:rFonts w:ascii="Times New Roman" w:hAnsi="Times New Roman" w:cs="Times New Roman"/>
                <w:b/>
                <w:bCs/>
                <w:sz w:val="21"/>
                <w:szCs w:val="21"/>
              </w:rPr>
              <w:t xml:space="preserve">序号</w:t>
            </w:r>
            <w:r>
              <w:rPr>
                <w:rFonts w:ascii="Times New Roman" w:hAnsi="Times New Roman" w:cs="Times New Roman"/>
                <w:b/>
                <w:bCs/>
                <w:sz w:val="21"/>
                <w:szCs w:val="21"/>
              </w:rPr>
            </w:r>
            <w:r/>
          </w:p>
        </w:tc>
        <w:tc>
          <w:tcPr>
            <w:tcW w:w="1430" w:type="dxa"/>
            <w:vAlign w:val="center"/>
            <w:textDirection w:val="lrTb"/>
            <w:noWrap w:val="false"/>
          </w:tcPr>
          <w:p>
            <w:pPr>
              <w:pStyle w:val="999"/>
              <w:jc w:val="center"/>
              <w:spacing w:line="240" w:lineRule="exact"/>
              <w:rPr>
                <w:rFonts w:ascii="Times New Roman" w:hAnsi="Times New Roman" w:cs="Times New Roman"/>
                <w:b/>
                <w:bCs/>
                <w:sz w:val="21"/>
                <w:szCs w:val="21"/>
                <w:lang w:val="zh-CN"/>
              </w:rPr>
            </w:pPr>
            <w:r>
              <w:rPr>
                <w:rFonts w:ascii="Times New Roman" w:hAnsi="Times New Roman" w:cs="Times New Roman"/>
                <w:b/>
                <w:bCs/>
                <w:sz w:val="21"/>
                <w:szCs w:val="21"/>
              </w:rPr>
              <w:t xml:space="preserve">分包承担</w:t>
            </w:r>
            <w:r>
              <w:rPr>
                <w:rFonts w:ascii="Times New Roman" w:hAnsi="Times New Roman" w:cs="Times New Roman"/>
                <w:b/>
                <w:bCs/>
                <w:sz w:val="21"/>
                <w:szCs w:val="21"/>
                <w:lang w:val="zh-CN"/>
              </w:rPr>
            </w:r>
            <w:r/>
          </w:p>
          <w:p>
            <w:pPr>
              <w:pStyle w:val="999"/>
              <w:jc w:val="center"/>
              <w:spacing w:line="240" w:lineRule="exact"/>
              <w:rPr>
                <w:rFonts w:ascii="Times New Roman" w:hAnsi="Times New Roman" w:cs="Times New Roman"/>
                <w:b/>
                <w:bCs/>
                <w:sz w:val="21"/>
                <w:szCs w:val="21"/>
              </w:rPr>
            </w:pPr>
            <w:r>
              <w:rPr>
                <w:rFonts w:ascii="Times New Roman" w:hAnsi="Times New Roman" w:cs="Times New Roman"/>
                <w:b/>
                <w:bCs/>
                <w:sz w:val="21"/>
                <w:szCs w:val="21"/>
              </w:rPr>
              <w:t xml:space="preserve">主体名称</w:t>
            </w:r>
            <w:r>
              <w:rPr>
                <w:rFonts w:ascii="Times New Roman" w:hAnsi="Times New Roman" w:cs="Times New Roman"/>
                <w:b/>
                <w:bCs/>
                <w:sz w:val="21"/>
                <w:szCs w:val="21"/>
              </w:rPr>
            </w:r>
            <w:r/>
          </w:p>
        </w:tc>
        <w:tc>
          <w:tcPr>
            <w:tcW w:w="1751" w:type="dxa"/>
            <w:vAlign w:val="center"/>
            <w:textDirection w:val="lrTb"/>
            <w:noWrap w:val="false"/>
          </w:tcPr>
          <w:p>
            <w:pPr>
              <w:pStyle w:val="999"/>
              <w:jc w:val="center"/>
              <w:spacing w:line="240" w:lineRule="exact"/>
              <w:rPr>
                <w:rFonts w:ascii="Times New Roman" w:hAnsi="Times New Roman" w:cs="Times New Roman"/>
                <w:b/>
                <w:bCs/>
                <w:sz w:val="21"/>
                <w:szCs w:val="21"/>
                <w:lang w:val="zh-CN" w:eastAsia="zh-CN"/>
              </w:rPr>
            </w:pPr>
            <w:r>
              <w:rPr>
                <w:rFonts w:ascii="Times New Roman" w:hAnsi="Times New Roman" w:cs="Times New Roman"/>
                <w:b/>
                <w:bCs/>
                <w:sz w:val="21"/>
                <w:szCs w:val="21"/>
                <w:lang w:eastAsia="zh-CN"/>
              </w:rPr>
              <w:t xml:space="preserve">分包承担</w:t>
            </w:r>
            <w:r>
              <w:rPr>
                <w:rFonts w:ascii="Times New Roman" w:hAnsi="Times New Roman" w:cs="Times New Roman"/>
                <w:b/>
                <w:bCs/>
                <w:sz w:val="21"/>
                <w:szCs w:val="21"/>
                <w:lang w:val="zh-CN" w:eastAsia="zh-CN"/>
              </w:rPr>
            </w:r>
            <w:r/>
          </w:p>
          <w:p>
            <w:pPr>
              <w:pStyle w:val="999"/>
              <w:jc w:val="center"/>
              <w:spacing w:line="240" w:lineRule="exact"/>
              <w:rPr>
                <w:rFonts w:ascii="Times New Roman" w:hAnsi="Times New Roman" w:cs="Times New Roman"/>
                <w:b/>
                <w:bCs/>
                <w:sz w:val="21"/>
                <w:szCs w:val="21"/>
                <w:lang w:val="zh-CN" w:eastAsia="zh-CN"/>
              </w:rPr>
            </w:pPr>
            <w:r>
              <w:rPr>
                <w:rFonts w:ascii="Times New Roman" w:hAnsi="Times New Roman" w:cs="Times New Roman"/>
                <w:b/>
                <w:bCs/>
                <w:sz w:val="21"/>
                <w:szCs w:val="21"/>
                <w:lang w:eastAsia="zh-CN"/>
              </w:rPr>
              <w:t xml:space="preserve">主体类型</w:t>
            </w:r>
            <w:r>
              <w:rPr>
                <w:rFonts w:ascii="Times New Roman" w:hAnsi="Times New Roman" w:cs="Times New Roman"/>
                <w:b/>
                <w:bCs/>
                <w:sz w:val="21"/>
                <w:szCs w:val="21"/>
                <w:lang w:val="zh-CN" w:eastAsia="zh-CN"/>
              </w:rPr>
            </w:r>
            <w:r/>
          </w:p>
          <w:p>
            <w:pPr>
              <w:pStyle w:val="999"/>
              <w:jc w:val="center"/>
              <w:spacing w:line="240" w:lineRule="exact"/>
              <w:rPr>
                <w:rFonts w:ascii="Times New Roman" w:hAnsi="Times New Roman" w:cs="Times New Roman"/>
                <w:b/>
                <w:bCs/>
                <w:sz w:val="21"/>
                <w:szCs w:val="21"/>
                <w:lang w:eastAsia="zh-CN"/>
              </w:rPr>
            </w:pPr>
            <w:r>
              <w:rPr>
                <w:rFonts w:ascii="Times New Roman" w:hAnsi="Times New Roman" w:cs="Times New Roman"/>
                <w:b/>
                <w:bCs/>
                <w:sz w:val="21"/>
                <w:szCs w:val="21"/>
                <w:lang w:eastAsia="zh-CN"/>
              </w:rPr>
              <w:t xml:space="preserve">（选择）</w:t>
            </w:r>
            <w:r>
              <w:rPr>
                <w:rFonts w:ascii="Times New Roman" w:hAnsi="Times New Roman" w:cs="Times New Roman"/>
                <w:b/>
                <w:bCs/>
                <w:sz w:val="21"/>
                <w:szCs w:val="21"/>
                <w:lang w:eastAsia="zh-CN"/>
              </w:rPr>
            </w:r>
            <w:r/>
          </w:p>
        </w:tc>
        <w:tc>
          <w:tcPr>
            <w:tcW w:w="1368" w:type="dxa"/>
            <w:vAlign w:val="center"/>
            <w:textDirection w:val="lrTb"/>
            <w:noWrap w:val="false"/>
          </w:tcPr>
          <w:p>
            <w:pPr>
              <w:pStyle w:val="999"/>
              <w:jc w:val="center"/>
              <w:spacing w:line="240" w:lineRule="exact"/>
              <w:rPr>
                <w:rFonts w:hint="eastAsia" w:ascii="Times New Roman" w:hAnsi="Times New Roman" w:eastAsia="宋体" w:cs="Times New Roman"/>
                <w:b/>
                <w:bCs/>
                <w:sz w:val="21"/>
                <w:szCs w:val="21"/>
                <w:lang w:val="en-US" w:eastAsia="zh-CN"/>
              </w:rPr>
            </w:pPr>
            <w:r>
              <w:rPr>
                <w:rFonts w:hint="eastAsia" w:cs="Times New Roman"/>
                <w:b/>
                <w:bCs/>
                <w:sz w:val="21"/>
                <w:szCs w:val="21"/>
                <w:lang w:val="en-US" w:eastAsia="zh-CN"/>
              </w:rPr>
              <w:t xml:space="preserve">资质等级</w:t>
            </w:r>
            <w:r>
              <w:rPr>
                <w:rFonts w:hint="eastAsia" w:ascii="Times New Roman" w:hAnsi="Times New Roman" w:eastAsia="宋体" w:cs="Times New Roman"/>
                <w:b/>
                <w:bCs/>
                <w:sz w:val="21"/>
                <w:szCs w:val="21"/>
                <w:lang w:val="en-US" w:eastAsia="zh-CN"/>
              </w:rPr>
            </w:r>
            <w:r/>
          </w:p>
        </w:tc>
        <w:tc>
          <w:tcPr>
            <w:tcW w:w="1368" w:type="dxa"/>
            <w:vAlign w:val="center"/>
            <w:textDirection w:val="lrTb"/>
            <w:noWrap w:val="false"/>
          </w:tcPr>
          <w:p>
            <w:pPr>
              <w:pStyle w:val="999"/>
              <w:jc w:val="center"/>
              <w:spacing w:line="240" w:lineRule="exact"/>
              <w:rPr>
                <w:rFonts w:ascii="Times New Roman" w:hAnsi="Times New Roman" w:cs="Times New Roman"/>
                <w:b/>
                <w:bCs/>
                <w:sz w:val="21"/>
                <w:szCs w:val="21"/>
                <w:lang w:val="zh-CN"/>
              </w:rPr>
            </w:pPr>
            <w:r>
              <w:rPr>
                <w:rFonts w:ascii="Times New Roman" w:hAnsi="Times New Roman" w:cs="Times New Roman"/>
                <w:b/>
                <w:bCs/>
                <w:sz w:val="21"/>
                <w:szCs w:val="21"/>
              </w:rPr>
              <w:t xml:space="preserve">拟分包</w:t>
            </w:r>
            <w:r>
              <w:rPr>
                <w:rFonts w:ascii="Times New Roman" w:hAnsi="Times New Roman" w:cs="Times New Roman"/>
                <w:b/>
                <w:bCs/>
                <w:sz w:val="21"/>
                <w:szCs w:val="21"/>
                <w:lang w:val="zh-CN"/>
              </w:rPr>
            </w:r>
            <w:r/>
          </w:p>
          <w:p>
            <w:pPr>
              <w:pStyle w:val="999"/>
              <w:jc w:val="center"/>
              <w:spacing w:line="240" w:lineRule="exact"/>
              <w:rPr>
                <w:rFonts w:ascii="Times New Roman" w:hAnsi="Times New Roman" w:cs="Times New Roman"/>
                <w:b/>
                <w:bCs/>
                <w:sz w:val="21"/>
                <w:szCs w:val="21"/>
              </w:rPr>
            </w:pPr>
            <w:r>
              <w:rPr>
                <w:rFonts w:ascii="Times New Roman" w:hAnsi="Times New Roman" w:cs="Times New Roman"/>
                <w:b/>
                <w:bCs/>
                <w:sz w:val="21"/>
                <w:szCs w:val="21"/>
              </w:rPr>
              <w:t xml:space="preserve">内容</w:t>
            </w:r>
            <w:r>
              <w:rPr>
                <w:rFonts w:ascii="Times New Roman" w:hAnsi="Times New Roman" w:cs="Times New Roman"/>
                <w:b/>
                <w:bCs/>
                <w:sz w:val="21"/>
                <w:szCs w:val="21"/>
              </w:rPr>
            </w:r>
            <w:r/>
          </w:p>
        </w:tc>
        <w:tc>
          <w:tcPr>
            <w:tcW w:w="1369" w:type="dxa"/>
            <w:vAlign w:val="center"/>
            <w:textDirection w:val="lrTb"/>
            <w:noWrap w:val="false"/>
          </w:tcPr>
          <w:p>
            <w:pPr>
              <w:pStyle w:val="999"/>
              <w:jc w:val="center"/>
              <w:spacing w:line="240" w:lineRule="exact"/>
              <w:rPr>
                <w:rFonts w:ascii="Times New Roman" w:hAnsi="Times New Roman" w:cs="Times New Roman"/>
                <w:b/>
                <w:bCs/>
                <w:sz w:val="21"/>
                <w:szCs w:val="21"/>
                <w:lang w:val="zh-CN" w:eastAsia="zh-CN"/>
              </w:rPr>
            </w:pPr>
            <w:r>
              <w:rPr>
                <w:rFonts w:ascii="Times New Roman" w:hAnsi="Times New Roman" w:cs="Times New Roman"/>
                <w:b/>
                <w:bCs/>
                <w:sz w:val="21"/>
                <w:szCs w:val="21"/>
                <w:lang w:eastAsia="zh-CN"/>
              </w:rPr>
              <w:t xml:space="preserve">占</w:t>
            </w:r>
            <w:r>
              <w:rPr>
                <w:rFonts w:ascii="Times New Roman" w:hAnsi="Times New Roman" w:cs="Times New Roman"/>
                <w:b/>
                <w:bCs/>
                <w:sz w:val="21"/>
                <w:szCs w:val="21"/>
                <w:lang w:val="zh-CN" w:eastAsia="zh-CN"/>
              </w:rPr>
            </w:r>
            <w:r/>
          </w:p>
          <w:p>
            <w:pPr>
              <w:pStyle w:val="999"/>
              <w:jc w:val="center"/>
              <w:spacing w:line="240" w:lineRule="exact"/>
              <w:rPr>
                <w:rFonts w:ascii="Times New Roman" w:hAnsi="Times New Roman" w:cs="Times New Roman"/>
                <w:b/>
                <w:bCs/>
                <w:sz w:val="21"/>
                <w:szCs w:val="21"/>
                <w:lang w:val="zh-CN" w:eastAsia="zh-CN"/>
              </w:rPr>
            </w:pPr>
            <w:r>
              <w:rPr>
                <w:rFonts w:hint="eastAsia" w:cs="Times New Roman"/>
                <w:b/>
                <w:bCs/>
                <w:sz w:val="21"/>
                <w:szCs w:val="21"/>
                <w:lang w:val="en-US" w:eastAsia="zh-CN"/>
              </w:rPr>
              <w:t xml:space="preserve">项目预算</w:t>
            </w:r>
            <w:r>
              <w:rPr>
                <w:rFonts w:ascii="Times New Roman" w:hAnsi="Times New Roman" w:cs="Times New Roman"/>
                <w:b/>
                <w:bCs/>
                <w:sz w:val="21"/>
                <w:szCs w:val="21"/>
                <w:lang w:eastAsia="zh-CN"/>
              </w:rPr>
              <w:t xml:space="preserve">的</w:t>
            </w:r>
            <w:r>
              <w:rPr>
                <w:rFonts w:ascii="Times New Roman" w:hAnsi="Times New Roman" w:cs="Times New Roman"/>
                <w:b/>
                <w:bCs/>
                <w:sz w:val="21"/>
                <w:szCs w:val="21"/>
                <w:lang w:val="zh-CN" w:eastAsia="zh-CN"/>
              </w:rPr>
            </w:r>
            <w:r/>
          </w:p>
          <w:p>
            <w:pPr>
              <w:pStyle w:val="999"/>
              <w:jc w:val="center"/>
              <w:spacing w:line="240" w:lineRule="exact"/>
              <w:rPr>
                <w:rFonts w:ascii="Times New Roman" w:hAnsi="Times New Roman" w:cs="Times New Roman"/>
                <w:b/>
                <w:bCs/>
                <w:sz w:val="21"/>
                <w:szCs w:val="21"/>
                <w:lang w:eastAsia="zh-CN"/>
              </w:rPr>
            </w:pPr>
            <w:r>
              <w:rPr>
                <w:rFonts w:ascii="Times New Roman" w:hAnsi="Times New Roman" w:cs="Times New Roman"/>
                <w:b/>
                <w:bCs/>
                <w:sz w:val="21"/>
                <w:szCs w:val="21"/>
                <w:lang w:eastAsia="zh-CN"/>
              </w:rPr>
              <w:t xml:space="preserve">比例（%）</w:t>
            </w:r>
            <w:r>
              <w:rPr>
                <w:rFonts w:ascii="Times New Roman" w:hAnsi="Times New Roman" w:cs="Times New Roman"/>
                <w:b/>
                <w:bCs/>
                <w:sz w:val="21"/>
                <w:szCs w:val="21"/>
                <w:lang w:eastAsia="zh-CN"/>
              </w:rPr>
            </w:r>
            <w:r/>
          </w:p>
        </w:tc>
        <w:tc>
          <w:tcPr>
            <w:tcW w:w="1369" w:type="dxa"/>
            <w:vAlign w:val="center"/>
            <w:textDirection w:val="lrTb"/>
            <w:noWrap w:val="false"/>
          </w:tcPr>
          <w:p>
            <w:pPr>
              <w:pStyle w:val="999"/>
              <w:jc w:val="center"/>
              <w:spacing w:line="240" w:lineRule="exact"/>
              <w:rPr>
                <w:rFonts w:ascii="Times New Roman" w:hAnsi="Times New Roman" w:cs="Times New Roman"/>
                <w:b/>
                <w:bCs/>
                <w:sz w:val="21"/>
                <w:szCs w:val="21"/>
              </w:rPr>
            </w:pPr>
            <w:r>
              <w:rPr>
                <w:rFonts w:ascii="Times New Roman" w:hAnsi="Times New Roman" w:cs="Times New Roman"/>
                <w:b/>
                <w:bCs/>
                <w:sz w:val="21"/>
                <w:szCs w:val="21"/>
              </w:rPr>
              <w:t xml:space="preserve">备注</w:t>
            </w:r>
            <w:r>
              <w:rPr>
                <w:rFonts w:ascii="Times New Roman" w:hAnsi="Times New Roman" w:cs="Times New Roman"/>
                <w:b/>
                <w:bCs/>
                <w:sz w:val="21"/>
                <w:szCs w:val="21"/>
              </w:rPr>
            </w:r>
            <w:r/>
          </w:p>
        </w:tc>
      </w:tr>
      <w:tr>
        <w:trPr>
          <w:trHeight w:val="1617"/>
        </w:trPr>
        <w:tc>
          <w:tcPr>
            <w:tcW w:w="560" w:type="dxa"/>
            <w:vAlign w:val="center"/>
            <w:textDirection w:val="lrTb"/>
            <w:noWrap w:val="false"/>
          </w:tcPr>
          <w:p>
            <w:pPr>
              <w:pStyle w:val="999"/>
              <w:jc w:val="center"/>
              <w:rPr>
                <w:rFonts w:ascii="Times New Roman" w:hAnsi="Times New Roman" w:cs="Times New Roman"/>
                <w:sz w:val="21"/>
                <w:szCs w:val="21"/>
                <w:lang w:bidi="ar"/>
              </w:rPr>
            </w:pPr>
            <w:r>
              <w:rPr>
                <w:rFonts w:ascii="Times New Roman" w:hAnsi="Times New Roman" w:cs="Times New Roman"/>
                <w:sz w:val="21"/>
                <w:szCs w:val="21"/>
                <w:lang w:bidi="ar"/>
              </w:rPr>
              <w:t xml:space="preserve">1</w:t>
            </w:r>
            <w:r>
              <w:rPr>
                <w:rFonts w:ascii="Times New Roman" w:hAnsi="Times New Roman" w:cs="Times New Roman"/>
                <w:sz w:val="21"/>
                <w:szCs w:val="21"/>
                <w:lang w:bidi="ar"/>
              </w:rPr>
            </w:r>
            <w:r/>
          </w:p>
        </w:tc>
        <w:tc>
          <w:tcPr>
            <w:tcW w:w="1430"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751" w:type="dxa"/>
            <w:vAlign w:val="center"/>
            <w:textDirection w:val="lrTb"/>
            <w:noWrap w:val="false"/>
          </w:tcPr>
          <w:p>
            <w:pPr>
              <w:pStyle w:val="999"/>
              <w:spacing w:line="240" w:lineRule="exact"/>
              <w:rPr>
                <w:rFonts w:ascii="Times New Roman" w:hAnsi="Times New Roman" w:cs="Times New Roman"/>
                <w:sz w:val="21"/>
                <w:szCs w:val="21"/>
                <w:lang w:eastAsia="zh-CN"/>
              </w:rPr>
            </w:pPr>
            <w:r>
              <w:rPr>
                <w:rFonts w:ascii="Times New Roman" w:hAnsi="Times New Roman" w:cs="Times New Roman"/>
                <w:sz w:val="21"/>
                <w:szCs w:val="21"/>
                <w:lang w:eastAsia="zh-CN"/>
              </w:rPr>
              <w:t xml:space="preserve">□中型企业 </w:t>
            </w:r>
            <w:r>
              <w:rPr>
                <w:rFonts w:ascii="Times New Roman" w:hAnsi="Times New Roman" w:cs="Times New Roman"/>
                <w:sz w:val="21"/>
                <w:szCs w:val="21"/>
                <w:lang w:eastAsia="zh-CN"/>
              </w:rPr>
            </w:r>
            <w:r/>
          </w:p>
          <w:p>
            <w:pPr>
              <w:pStyle w:val="999"/>
              <w:spacing w:line="240" w:lineRule="exact"/>
              <w:rPr>
                <w:rFonts w:ascii="Times New Roman" w:hAnsi="Times New Roman" w:cs="Times New Roman"/>
                <w:sz w:val="21"/>
                <w:szCs w:val="21"/>
                <w:lang w:eastAsia="zh-CN"/>
              </w:rPr>
            </w:pPr>
            <w:r>
              <w:rPr>
                <w:rFonts w:ascii="Times New Roman" w:hAnsi="Times New Roman" w:cs="Times New Roman"/>
                <w:sz w:val="21"/>
                <w:szCs w:val="21"/>
                <w:lang w:eastAsia="zh-CN"/>
              </w:rPr>
              <w:t xml:space="preserve">□小型企业 </w:t>
            </w:r>
            <w:r>
              <w:rPr>
                <w:rFonts w:ascii="Times New Roman" w:hAnsi="Times New Roman" w:cs="Times New Roman"/>
                <w:sz w:val="21"/>
                <w:szCs w:val="21"/>
                <w:lang w:eastAsia="zh-CN"/>
              </w:rPr>
            </w:r>
            <w:r/>
          </w:p>
          <w:p>
            <w:pPr>
              <w:pStyle w:val="999"/>
              <w:spacing w:line="240" w:lineRule="exact"/>
              <w:rPr>
                <w:rFonts w:ascii="Times New Roman" w:hAnsi="Times New Roman" w:cs="Times New Roman"/>
                <w:sz w:val="21"/>
                <w:szCs w:val="21"/>
              </w:rPr>
            </w:pPr>
            <w:r>
              <w:rPr>
                <w:rFonts w:ascii="Times New Roman" w:hAnsi="Times New Roman" w:cs="Times New Roman"/>
                <w:sz w:val="21"/>
                <w:szCs w:val="21"/>
              </w:rPr>
              <w:t xml:space="preserve">□微型企业</w:t>
            </w:r>
            <w:r>
              <w:rPr>
                <w:rFonts w:ascii="Times New Roman" w:hAnsi="Times New Roman" w:cs="Times New Roman"/>
                <w:sz w:val="21"/>
                <w:szCs w:val="21"/>
              </w:rPr>
            </w:r>
            <w:r/>
          </w:p>
          <w:p>
            <w:pPr>
              <w:pStyle w:val="999"/>
              <w:spacing w:line="240" w:lineRule="exact"/>
              <w:rPr>
                <w:rFonts w:ascii="Times New Roman" w:hAnsi="Times New Roman" w:cs="Times New Roman"/>
                <w:sz w:val="21"/>
                <w:szCs w:val="21"/>
                <w:lang w:bidi="ar"/>
              </w:rPr>
            </w:pPr>
            <w:r>
              <w:rPr>
                <w:rFonts w:ascii="Times New Roman" w:hAnsi="Times New Roman" w:cs="Times New Roman"/>
                <w:sz w:val="21"/>
                <w:szCs w:val="21"/>
              </w:rPr>
              <w:t xml:space="preserve">□其他 </w:t>
            </w:r>
            <w:r>
              <w:rPr>
                <w:rFonts w:ascii="Times New Roman" w:hAnsi="Times New Roman" w:cs="Times New Roman"/>
                <w:sz w:val="21"/>
                <w:szCs w:val="21"/>
                <w:lang w:bidi="ar"/>
              </w:rPr>
            </w:r>
            <w:r/>
          </w:p>
        </w:tc>
        <w:tc>
          <w:tcPr>
            <w:tcW w:w="1368"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368"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369"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369"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r>
      <w:tr>
        <w:trPr>
          <w:trHeight w:val="1617"/>
        </w:trPr>
        <w:tc>
          <w:tcPr>
            <w:tcW w:w="560" w:type="dxa"/>
            <w:vAlign w:val="center"/>
            <w:textDirection w:val="lrTb"/>
            <w:noWrap w:val="false"/>
          </w:tcPr>
          <w:p>
            <w:pPr>
              <w:pStyle w:val="999"/>
              <w:jc w:val="center"/>
              <w:rPr>
                <w:rFonts w:ascii="Times New Roman" w:hAnsi="Times New Roman" w:cs="Times New Roman"/>
                <w:sz w:val="21"/>
                <w:szCs w:val="21"/>
                <w:lang w:val="en-US" w:eastAsia="zh-CN" w:bidi="ar"/>
              </w:rPr>
            </w:pPr>
            <w:r>
              <w:rPr>
                <w:rFonts w:hint="eastAsia" w:cs="Times New Roman"/>
                <w:sz w:val="21"/>
                <w:szCs w:val="21"/>
                <w:lang w:val="en-US" w:eastAsia="zh-CN" w:bidi="ar"/>
              </w:rPr>
              <w:t xml:space="preserve">2</w:t>
            </w:r>
            <w:r>
              <w:rPr>
                <w:rFonts w:ascii="Times New Roman" w:hAnsi="Times New Roman" w:cs="Times New Roman"/>
                <w:sz w:val="21"/>
                <w:szCs w:val="21"/>
                <w:lang w:val="en-US" w:eastAsia="zh-CN" w:bidi="ar"/>
              </w:rPr>
            </w:r>
            <w:r/>
          </w:p>
        </w:tc>
        <w:tc>
          <w:tcPr>
            <w:tcW w:w="1430" w:type="dxa"/>
            <w:vAlign w:val="center"/>
            <w:textDirection w:val="lrTb"/>
            <w:noWrap w:val="false"/>
          </w:tcPr>
          <w:p>
            <w:pPr>
              <w:pStyle w:val="999"/>
              <w:rPr>
                <w:rFonts w:ascii="Times New Roman" w:hAnsi="Times New Roman" w:cs="Times New Roman"/>
                <w:sz w:val="21"/>
                <w:szCs w:val="21"/>
                <w:lang w:val="en-US" w:eastAsia="zh-CN" w:bidi="ar"/>
              </w:rPr>
            </w:pPr>
            <w:r>
              <w:rPr>
                <w:rFonts w:ascii="Times New Roman" w:hAnsi="Times New Roman" w:cs="Times New Roman"/>
                <w:sz w:val="21"/>
                <w:szCs w:val="21"/>
                <w:lang w:val="en-US" w:eastAsia="zh-CN" w:bidi="ar"/>
              </w:rPr>
            </w:r>
            <w:r/>
          </w:p>
        </w:tc>
        <w:tc>
          <w:tcPr>
            <w:tcW w:w="1751" w:type="dxa"/>
            <w:vAlign w:val="center"/>
            <w:textDirection w:val="lrTb"/>
            <w:noWrap w:val="false"/>
          </w:tcPr>
          <w:p>
            <w:pPr>
              <w:pStyle w:val="999"/>
              <w:spacing w:line="240" w:lineRule="exact"/>
              <w:rPr>
                <w:rFonts w:ascii="Times New Roman" w:hAnsi="Times New Roman" w:cs="Times New Roman"/>
                <w:sz w:val="21"/>
                <w:szCs w:val="21"/>
                <w:lang w:eastAsia="zh-CN"/>
              </w:rPr>
            </w:pPr>
            <w:r>
              <w:rPr>
                <w:rFonts w:ascii="Times New Roman" w:hAnsi="Times New Roman" w:cs="Times New Roman"/>
                <w:sz w:val="21"/>
                <w:szCs w:val="21"/>
                <w:lang w:eastAsia="zh-CN"/>
              </w:rPr>
              <w:t xml:space="preserve">□中型企业 </w:t>
            </w:r>
            <w:r>
              <w:rPr>
                <w:rFonts w:ascii="Times New Roman" w:hAnsi="Times New Roman" w:cs="Times New Roman"/>
                <w:sz w:val="21"/>
                <w:szCs w:val="21"/>
                <w:lang w:eastAsia="zh-CN"/>
              </w:rPr>
            </w:r>
            <w:r/>
          </w:p>
          <w:p>
            <w:pPr>
              <w:pStyle w:val="999"/>
              <w:spacing w:line="240" w:lineRule="exact"/>
              <w:rPr>
                <w:rFonts w:ascii="Times New Roman" w:hAnsi="Times New Roman" w:cs="Times New Roman"/>
                <w:sz w:val="21"/>
                <w:szCs w:val="21"/>
                <w:lang w:eastAsia="zh-CN"/>
              </w:rPr>
            </w:pPr>
            <w:r>
              <w:rPr>
                <w:rFonts w:ascii="Times New Roman" w:hAnsi="Times New Roman" w:cs="Times New Roman"/>
                <w:sz w:val="21"/>
                <w:szCs w:val="21"/>
                <w:lang w:eastAsia="zh-CN"/>
              </w:rPr>
              <w:t xml:space="preserve">□小型企业 </w:t>
            </w:r>
            <w:r>
              <w:rPr>
                <w:rFonts w:ascii="Times New Roman" w:hAnsi="Times New Roman" w:cs="Times New Roman"/>
                <w:sz w:val="21"/>
                <w:szCs w:val="21"/>
                <w:lang w:eastAsia="zh-CN"/>
              </w:rPr>
            </w:r>
            <w:r/>
          </w:p>
          <w:p>
            <w:pPr>
              <w:pStyle w:val="999"/>
              <w:spacing w:line="240" w:lineRule="exact"/>
              <w:rPr>
                <w:rFonts w:ascii="Times New Roman" w:hAnsi="Times New Roman" w:cs="Times New Roman"/>
                <w:sz w:val="21"/>
                <w:szCs w:val="21"/>
              </w:rPr>
            </w:pPr>
            <w:r>
              <w:rPr>
                <w:rFonts w:ascii="Times New Roman" w:hAnsi="Times New Roman" w:cs="Times New Roman"/>
                <w:sz w:val="21"/>
                <w:szCs w:val="21"/>
              </w:rPr>
              <w:t xml:space="preserve">□微型企业</w:t>
            </w:r>
            <w:r>
              <w:rPr>
                <w:rFonts w:ascii="Times New Roman" w:hAnsi="Times New Roman" w:cs="Times New Roman"/>
                <w:sz w:val="21"/>
                <w:szCs w:val="21"/>
              </w:rPr>
            </w:r>
            <w:r/>
          </w:p>
          <w:p>
            <w:pPr>
              <w:pStyle w:val="999"/>
              <w:spacing w:line="240" w:lineRule="exact"/>
              <w:rPr>
                <w:rFonts w:ascii="Times New Roman" w:hAnsi="Times New Roman" w:cs="Times New Roman"/>
                <w:sz w:val="21"/>
                <w:szCs w:val="21"/>
                <w:lang w:val="en-US" w:eastAsia="zh-CN" w:bidi="ar"/>
              </w:rPr>
            </w:pPr>
            <w:r>
              <w:rPr>
                <w:rFonts w:ascii="Times New Roman" w:hAnsi="Times New Roman" w:cs="Times New Roman"/>
                <w:sz w:val="21"/>
                <w:szCs w:val="21"/>
              </w:rPr>
              <w:t xml:space="preserve">□其他 </w:t>
            </w:r>
            <w:r>
              <w:rPr>
                <w:rFonts w:ascii="Times New Roman" w:hAnsi="Times New Roman" w:cs="Times New Roman"/>
                <w:sz w:val="21"/>
                <w:szCs w:val="21"/>
                <w:lang w:val="en-US" w:eastAsia="zh-CN" w:bidi="ar"/>
              </w:rPr>
            </w:r>
            <w:r/>
          </w:p>
        </w:tc>
        <w:tc>
          <w:tcPr>
            <w:tcW w:w="1368"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368"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369"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369"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r>
      <w:tr>
        <w:trPr>
          <w:trHeight w:val="1627"/>
        </w:trPr>
        <w:tc>
          <w:tcPr>
            <w:tcW w:w="560" w:type="dxa"/>
            <w:vAlign w:val="center"/>
            <w:textDirection w:val="lrTb"/>
            <w:noWrap w:val="false"/>
          </w:tcPr>
          <w:p>
            <w:pPr>
              <w:pStyle w:val="999"/>
              <w:jc w:val="center"/>
              <w:rPr>
                <w:rFonts w:hint="eastAsia" w:ascii="Times New Roman" w:hAnsi="Times New Roman" w:eastAsia="宋体" w:cs="Times New Roman"/>
                <w:sz w:val="21"/>
                <w:szCs w:val="21"/>
                <w:lang w:val="en-US" w:eastAsia="zh-CN" w:bidi="ar"/>
              </w:rPr>
            </w:pPr>
            <w:r>
              <w:rPr>
                <w:rFonts w:hint="eastAsia" w:cs="Times New Roman"/>
                <w:sz w:val="21"/>
                <w:szCs w:val="21"/>
                <w:lang w:val="en-US" w:eastAsia="zh-CN" w:bidi="ar"/>
              </w:rPr>
              <w:t xml:space="preserve">3</w:t>
            </w:r>
            <w:r>
              <w:rPr>
                <w:rFonts w:hint="eastAsia" w:ascii="Times New Roman" w:hAnsi="Times New Roman" w:eastAsia="宋体" w:cs="Times New Roman"/>
                <w:sz w:val="21"/>
                <w:szCs w:val="21"/>
                <w:lang w:val="en-US" w:eastAsia="zh-CN" w:bidi="ar"/>
              </w:rPr>
            </w:r>
            <w:r/>
          </w:p>
        </w:tc>
        <w:tc>
          <w:tcPr>
            <w:tcW w:w="1430" w:type="dxa"/>
            <w:vAlign w:val="center"/>
            <w:textDirection w:val="lrTb"/>
            <w:noWrap w:val="false"/>
          </w:tcPr>
          <w:p>
            <w:pPr>
              <w:pStyle w:val="999"/>
              <w:rPr>
                <w:rFonts w:ascii="Times New Roman" w:hAnsi="Times New Roman" w:cs="Times New Roman"/>
                <w:sz w:val="21"/>
                <w:szCs w:val="21"/>
                <w:lang w:bidi="ar"/>
              </w:rPr>
            </w:pPr>
            <w:r>
              <w:rPr>
                <w:rFonts w:hint="eastAsia"/>
                <w:lang w:bidi="ar"/>
              </w:rPr>
              <w:t xml:space="preserve">......</w:t>
            </w:r>
            <w:r>
              <w:rPr>
                <w:rFonts w:ascii="Times New Roman" w:hAnsi="Times New Roman" w:cs="Times New Roman"/>
                <w:sz w:val="21"/>
                <w:szCs w:val="21"/>
                <w:lang w:bidi="ar"/>
              </w:rPr>
            </w:r>
            <w:r/>
          </w:p>
        </w:tc>
        <w:tc>
          <w:tcPr>
            <w:tcW w:w="1751" w:type="dxa"/>
            <w:vAlign w:val="center"/>
            <w:textDirection w:val="lrTb"/>
            <w:noWrap w:val="false"/>
          </w:tcPr>
          <w:p>
            <w:pPr>
              <w:pStyle w:val="999"/>
              <w:spacing w:line="240" w:lineRule="exact"/>
              <w:rPr>
                <w:rFonts w:ascii="Times New Roman" w:hAnsi="Times New Roman" w:cs="Times New Roman"/>
                <w:sz w:val="21"/>
                <w:szCs w:val="21"/>
              </w:rPr>
            </w:pPr>
            <w:r>
              <w:rPr>
                <w:rFonts w:ascii="Times New Roman" w:hAnsi="Times New Roman" w:cs="Times New Roman"/>
                <w:sz w:val="21"/>
                <w:szCs w:val="21"/>
              </w:rPr>
            </w:r>
            <w:r/>
          </w:p>
        </w:tc>
        <w:tc>
          <w:tcPr>
            <w:tcW w:w="1368"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368"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369"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c>
          <w:tcPr>
            <w:tcW w:w="1369" w:type="dxa"/>
            <w:vAlign w:val="center"/>
            <w:textDirection w:val="lrTb"/>
            <w:noWrap w:val="false"/>
          </w:tcPr>
          <w:p>
            <w:pPr>
              <w:pStyle w:val="999"/>
              <w:rPr>
                <w:rFonts w:ascii="Times New Roman" w:hAnsi="Times New Roman" w:cs="Times New Roman"/>
                <w:sz w:val="21"/>
                <w:szCs w:val="21"/>
                <w:lang w:bidi="ar"/>
              </w:rPr>
            </w:pPr>
            <w:r>
              <w:rPr>
                <w:rFonts w:ascii="Times New Roman" w:hAnsi="Times New Roman" w:cs="Times New Roman"/>
                <w:sz w:val="21"/>
                <w:szCs w:val="21"/>
                <w:lang w:bidi="ar"/>
              </w:rPr>
            </w:r>
            <w:r/>
          </w:p>
        </w:tc>
      </w:tr>
    </w:tbl>
    <w:p>
      <w:pPr>
        <w:pStyle w:val="999"/>
        <w:ind w:firstLine="480"/>
        <w:spacing w:line="360" w:lineRule="auto"/>
        <w:rPr>
          <w:rFonts w:ascii="宋体" w:hAnsi="宋体" w:eastAsia="宋体" w:cs="Times New Roman"/>
          <w:bCs/>
          <w:sz w:val="24"/>
          <w:szCs w:val="24"/>
          <w:lang w:eastAsia="zh-CN"/>
        </w:rPr>
      </w:pPr>
      <w:r>
        <w:rPr>
          <w:rFonts w:ascii="宋体" w:hAnsi="宋体" w:eastAsia="宋体" w:cs="Times New Roman"/>
          <w:bCs/>
          <w:sz w:val="24"/>
          <w:szCs w:val="24"/>
          <w:lang w:eastAsia="zh-CN"/>
        </w:rPr>
        <w:t xml:space="preserve">4.......</w:t>
      </w:r>
      <w:r>
        <w:rPr>
          <w:rFonts w:ascii="宋体" w:hAnsi="宋体" w:eastAsia="宋体" w:cs="Times New Roman"/>
          <w:bCs/>
          <w:sz w:val="24"/>
          <w:szCs w:val="24"/>
          <w:lang w:eastAsia="zh-CN"/>
        </w:rPr>
      </w:r>
      <w:r/>
    </w:p>
    <w:p>
      <w:pPr>
        <w:pStyle w:val="999"/>
        <w:ind w:firstLine="480"/>
        <w:spacing w:line="360" w:lineRule="auto"/>
        <w:rPr>
          <w:rFonts w:ascii="宋体" w:hAnsi="宋体" w:eastAsia="宋体" w:cs="Times New Roman"/>
          <w:bCs/>
          <w:sz w:val="24"/>
          <w:szCs w:val="24"/>
          <w:lang w:eastAsia="zh-CN"/>
        </w:rPr>
      </w:pPr>
      <w:r>
        <w:rPr>
          <w:rFonts w:ascii="宋体" w:hAnsi="宋体" w:eastAsia="宋体" w:cs="Times New Roman"/>
          <w:bCs/>
          <w:sz w:val="24"/>
          <w:szCs w:val="24"/>
          <w:lang w:eastAsia="zh-CN"/>
        </w:rPr>
        <w:t xml:space="preserve">乙方承诺将在上述情况下与采购人签订分包合同。 </w:t>
      </w:r>
      <w:r>
        <w:rPr>
          <w:rFonts w:ascii="宋体" w:hAnsi="宋体" w:eastAsia="宋体" w:cs="Times New Roman"/>
          <w:bCs/>
          <w:sz w:val="24"/>
          <w:szCs w:val="24"/>
          <w:lang w:eastAsia="zh-CN"/>
        </w:rPr>
      </w:r>
      <w:r/>
    </w:p>
    <w:p>
      <w:pPr>
        <w:pStyle w:val="999"/>
        <w:ind w:firstLine="480"/>
        <w:spacing w:line="360" w:lineRule="auto"/>
        <w:rPr>
          <w:rFonts w:ascii="宋体" w:hAnsi="宋体" w:eastAsia="宋体" w:cs="Times New Roman"/>
          <w:bCs/>
          <w:sz w:val="24"/>
          <w:szCs w:val="24"/>
          <w:lang w:eastAsia="zh-CN"/>
        </w:rPr>
      </w:pPr>
      <w:r>
        <w:rPr>
          <w:rFonts w:ascii="宋体" w:hAnsi="宋体" w:eastAsia="宋体" w:cs="Times New Roman"/>
          <w:bCs/>
          <w:sz w:val="24"/>
          <w:szCs w:val="24"/>
          <w:lang w:eastAsia="zh-CN"/>
        </w:rPr>
        <w:t xml:space="preserve">本协议自各方盖章之日起生效，如采购人未在该项目（采购包）中标，本协议自动终止。 </w:t>
      </w:r>
      <w:r>
        <w:rPr>
          <w:rFonts w:ascii="宋体" w:hAnsi="宋体" w:eastAsia="宋体" w:cs="Times New Roman"/>
          <w:bCs/>
          <w:sz w:val="24"/>
          <w:szCs w:val="24"/>
          <w:lang w:eastAsia="zh-CN"/>
        </w:rPr>
      </w:r>
      <w:r/>
    </w:p>
    <w:p>
      <w:pPr>
        <w:pStyle w:val="999"/>
        <w:ind w:firstLine="480"/>
        <w:spacing w:line="360" w:lineRule="auto"/>
        <w:rPr>
          <w:rFonts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甲方</w:t>
      </w:r>
      <w:r>
        <w:rPr>
          <w:rFonts w:ascii="宋体" w:hAnsi="宋体" w:eastAsia="宋体" w:cs="Times New Roman"/>
          <w:bCs/>
          <w:sz w:val="24"/>
          <w:szCs w:val="24"/>
          <w:lang w:eastAsia="zh-CN"/>
        </w:rPr>
        <w:t xml:space="preserve">（盖章）：_________                乙方（盖章）：_________ </w:t>
      </w:r>
      <w:r>
        <w:rPr>
          <w:rFonts w:ascii="宋体" w:hAnsi="宋体" w:eastAsia="宋体" w:cs="Times New Roman"/>
          <w:bCs/>
          <w:sz w:val="24"/>
          <w:szCs w:val="24"/>
          <w:lang w:eastAsia="zh-CN"/>
        </w:rPr>
      </w:r>
      <w:r/>
    </w:p>
    <w:p>
      <w:pPr>
        <w:pStyle w:val="999"/>
        <w:ind w:firstLine="480"/>
        <w:jc w:val="right"/>
        <w:spacing w:line="360" w:lineRule="auto"/>
        <w:rPr>
          <w:rFonts w:ascii="宋体" w:hAnsi="宋体" w:eastAsia="宋体" w:cs="Times New Roman"/>
          <w:bCs/>
          <w:sz w:val="24"/>
          <w:szCs w:val="24"/>
          <w:lang w:eastAsia="zh-CN"/>
        </w:rPr>
      </w:pPr>
      <w:r>
        <w:rPr>
          <w:rFonts w:ascii="宋体" w:hAnsi="宋体" w:eastAsia="宋体" w:cs="Times New Roman"/>
          <w:bCs/>
          <w:sz w:val="24"/>
          <w:szCs w:val="24"/>
          <w:lang w:eastAsia="zh-CN"/>
        </w:rPr>
        <w:t xml:space="preserve">日期：_____年______月______日 </w:t>
      </w:r>
      <w:r>
        <w:rPr>
          <w:rFonts w:ascii="宋体" w:hAnsi="宋体" w:eastAsia="宋体" w:cs="Times New Roman"/>
          <w:bCs/>
          <w:sz w:val="24"/>
          <w:szCs w:val="24"/>
          <w:lang w:eastAsia="zh-CN"/>
        </w:rPr>
      </w:r>
      <w:r/>
    </w:p>
    <w:p>
      <w:pPr>
        <w:pStyle w:val="999"/>
        <w:jc w:val="center"/>
        <w:spacing w:line="360" w:lineRule="auto"/>
        <w:rPr>
          <w:rFonts w:hint="eastAsia" w:ascii="黑体" w:eastAsia="黑体"/>
          <w:bCs/>
          <w:color w:val="000000"/>
          <w:sz w:val="28"/>
          <w:szCs w:val="28"/>
        </w:rPr>
      </w:pPr>
      <w:r>
        <w:rPr>
          <w:rFonts w:hint="eastAsia"/>
        </w:rPr>
        <w:br w:type="page" w:clear="all"/>
      </w:r>
      <w:r>
        <w:rPr>
          <w:rFonts w:hint="eastAsia" w:ascii="黑体" w:eastAsia="黑体"/>
          <w:bCs/>
          <w:color w:val="000000"/>
          <w:sz w:val="28"/>
          <w:szCs w:val="28"/>
        </w:rPr>
        <w:t xml:space="preserve">关于符合本国产品标准的声明函</w:t>
      </w:r>
      <w:r>
        <w:rPr>
          <w:rFonts w:hint="eastAsia" w:ascii="黑体" w:eastAsia="黑体"/>
          <w:bCs/>
          <w:color w:val="000000"/>
          <w:sz w:val="28"/>
          <w:szCs w:val="28"/>
        </w:rPr>
      </w:r>
      <w:r/>
    </w:p>
    <w:p>
      <w:pPr>
        <w:pStyle w:val="999"/>
        <w:ind w:firstLine="420"/>
        <w:spacing w:line="360" w:lineRule="auto"/>
        <w:rPr>
          <w:color w:val="000000"/>
        </w:rPr>
      </w:pPr>
      <w:r>
        <w:rPr>
          <w:color w:val="000000"/>
        </w:rPr>
        <w:t xml:space="preserve"> </w:t>
      </w:r>
      <w:r>
        <w:rPr>
          <w:color w:val="000000"/>
        </w:rPr>
      </w:r>
      <w:r/>
    </w:p>
    <w:p>
      <w:pPr>
        <w:pStyle w:val="99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rPr>
      </w:r>
      <w:r/>
    </w:p>
    <w:p>
      <w:pPr>
        <w:pStyle w:val="99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1.（产品名称1）</w:t>
      </w:r>
      <w:r>
        <w:rPr>
          <w:rFonts w:hint="eastAsia" w:ascii="宋体" w:hAnsi="宋体"/>
          <w:bCs/>
          <w:color w:val="000000"/>
          <w:sz w:val="24"/>
          <w:szCs w:val="24"/>
          <w:vertAlign w:val="superscript"/>
        </w:rPr>
        <w:t xml:space="preserve">1</w:t>
      </w:r>
      <w:r>
        <w:rPr>
          <w:rFonts w:hint="eastAsia" w:ascii="宋体" w:hAnsi="宋体"/>
          <w:bCs/>
          <w:color w:val="000000"/>
          <w:sz w:val="24"/>
          <w:szCs w:val="24"/>
        </w:rPr>
        <w:t xml:space="preserve">，生产厂为（厂名）</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，厂址为（生产厂址）。（</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3</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4</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5</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99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2.（产品名称2），生产厂为（厂名），厂址为（生产厂址）。（</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999"/>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r>
      <w:r/>
    </w:p>
    <w:p>
      <w:pPr>
        <w:pStyle w:val="99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本公司（单位）对上述声明内容的真实性负责。如有虚假，愿承担相应法律责任。</w:t>
      </w:r>
      <w:r>
        <w:rPr>
          <w:rFonts w:hint="eastAsia" w:ascii="宋体" w:hAnsi="宋体"/>
          <w:bCs/>
          <w:color w:val="000000"/>
          <w:sz w:val="24"/>
          <w:szCs w:val="24"/>
        </w:rPr>
      </w:r>
      <w:r/>
    </w:p>
    <w:p>
      <w:pPr>
        <w:pStyle w:val="999"/>
        <w:ind w:firstLine="480"/>
        <w:spacing w:line="360" w:lineRule="auto"/>
        <w:rPr>
          <w:rFonts w:ascii="宋体" w:hAnsi="宋体"/>
          <w:bCs/>
          <w:color w:val="000000"/>
          <w:sz w:val="24"/>
          <w:szCs w:val="24"/>
        </w:rPr>
      </w:pPr>
      <w:r>
        <w:rPr>
          <w:rFonts w:ascii="宋体" w:hAnsi="宋体"/>
          <w:bCs/>
          <w:color w:val="000000"/>
          <w:sz w:val="24"/>
          <w:szCs w:val="24"/>
        </w:rPr>
        <w:t xml:space="preserve"> </w:t>
      </w:r>
      <w:r>
        <w:rPr>
          <w:rFonts w:ascii="宋体" w:hAnsi="宋体"/>
          <w:bCs/>
          <w:color w:val="000000"/>
          <w:sz w:val="24"/>
          <w:szCs w:val="24"/>
        </w:rPr>
      </w:r>
      <w:r/>
    </w:p>
    <w:p>
      <w:pPr>
        <w:pStyle w:val="999"/>
        <w:ind w:firstLine="480"/>
        <w:jc w:val="right"/>
        <w:spacing w:line="360" w:lineRule="auto"/>
        <w:rPr>
          <w:rFonts w:ascii="宋体" w:hAnsi="宋体"/>
          <w:bCs/>
          <w:color w:val="000000"/>
          <w:sz w:val="24"/>
          <w:szCs w:val="24"/>
        </w:rPr>
      </w:pPr>
      <w:r>
        <w:rPr>
          <w:rFonts w:hint="eastAsia" w:ascii="宋体" w:hAnsi="宋体"/>
          <w:bCs/>
          <w:color w:val="000000"/>
          <w:sz w:val="24"/>
          <w:szCs w:val="24"/>
        </w:rPr>
        <w:t xml:space="preserve">公司（单位）名称（盖章）：          </w:t>
      </w:r>
      <w:r>
        <w:rPr>
          <w:rFonts w:ascii="宋体" w:hAnsi="宋体"/>
          <w:bCs/>
          <w:color w:val="000000"/>
          <w:sz w:val="24"/>
          <w:szCs w:val="24"/>
        </w:rPr>
      </w:r>
      <w:r/>
    </w:p>
    <w:p>
      <w:pPr>
        <w:pStyle w:val="999"/>
        <w:ind w:firstLine="480"/>
        <w:jc w:val="right"/>
        <w:spacing w:line="360" w:lineRule="auto"/>
        <w:rPr>
          <w:rFonts w:hint="eastAsia" w:ascii="宋体" w:hAnsi="宋体"/>
          <w:bCs/>
          <w:color w:val="000000"/>
          <w:sz w:val="24"/>
          <w:szCs w:val="24"/>
        </w:rPr>
      </w:pPr>
      <w:r>
        <w:rPr>
          <w:rFonts w:hint="eastAsia" w:ascii="宋体" w:hAnsi="宋体"/>
          <w:bCs/>
          <w:color w:val="000000"/>
          <w:sz w:val="24"/>
          <w:szCs w:val="24"/>
        </w:rPr>
        <w:t xml:space="preserve">日期：　</w:t>
      </w:r>
      <w:r>
        <w:rPr>
          <w:rFonts w:ascii="宋体" w:hAnsi="宋体"/>
          <w:bCs/>
          <w:color w:val="000000"/>
          <w:sz w:val="24"/>
          <w:szCs w:val="24"/>
        </w:rPr>
        <w:t xml:space="preserve">     </w:t>
      </w:r>
      <w:r>
        <w:rPr>
          <w:rFonts w:hint="eastAsia" w:ascii="宋体" w:hAnsi="宋体"/>
          <w:bCs/>
          <w:color w:val="000000"/>
          <w:sz w:val="24"/>
          <w:szCs w:val="24"/>
        </w:rPr>
        <w:t xml:space="preserve">年　</w:t>
      </w:r>
      <w:r>
        <w:rPr>
          <w:rFonts w:ascii="宋体" w:hAnsi="宋体"/>
          <w:bCs/>
          <w:color w:val="000000"/>
          <w:sz w:val="24"/>
          <w:szCs w:val="24"/>
        </w:rPr>
        <w:t xml:space="preserve">  </w:t>
      </w:r>
      <w:r>
        <w:rPr>
          <w:rFonts w:hint="eastAsia" w:ascii="宋体" w:hAnsi="宋体"/>
          <w:bCs/>
          <w:color w:val="000000"/>
          <w:sz w:val="24"/>
          <w:szCs w:val="24"/>
        </w:rPr>
        <w:t xml:space="preserve">月　</w:t>
      </w:r>
      <w:r>
        <w:rPr>
          <w:rFonts w:ascii="宋体" w:hAnsi="宋体"/>
          <w:bCs/>
          <w:color w:val="000000"/>
          <w:sz w:val="24"/>
          <w:szCs w:val="24"/>
        </w:rPr>
        <w:t xml:space="preserve">  </w:t>
      </w:r>
      <w:r>
        <w:rPr>
          <w:rFonts w:hint="eastAsia" w:ascii="宋体" w:hAnsi="宋体"/>
          <w:bCs/>
          <w:color w:val="000000"/>
          <w:sz w:val="24"/>
          <w:szCs w:val="24"/>
        </w:rPr>
        <w:t xml:space="preserve">日          </w:t>
      </w:r>
      <w:r>
        <w:rPr>
          <w:rFonts w:hint="eastAsia" w:ascii="宋体" w:hAnsi="宋体"/>
          <w:bCs/>
          <w:color w:val="000000"/>
          <w:sz w:val="24"/>
          <w:szCs w:val="24"/>
        </w:rPr>
      </w:r>
      <w:r/>
    </w:p>
    <w:p>
      <w:pPr>
        <w:pStyle w:val="999"/>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rPr>
          <w:rFonts w:hint="eastAsia" w:ascii="inherit" w:hAnsi="inherit" w:eastAsia="仿宋" w:cs="宋体"/>
          <w:color w:val="000000"/>
          <w:sz w:val="28"/>
          <w:szCs w:val="28"/>
        </w:rPr>
      </w:r>
      <w:r/>
    </w:p>
    <w:p>
      <w:pPr>
        <w:pStyle w:val="999"/>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1.产品如有型号，请在“产品名称”栏一并填写。</w:t>
      </w:r>
      <w:r>
        <w:rPr>
          <w:rFonts w:hint="eastAsia" w:ascii="宋体" w:hAnsi="宋体" w:cs="宋体"/>
          <w:color w:val="000000"/>
          <w:sz w:val="18"/>
          <w:szCs w:val="18"/>
        </w:rPr>
      </w:r>
      <w:r/>
    </w:p>
    <w:p>
      <w:pPr>
        <w:pStyle w:val="999"/>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2.生产厂名与厂址应与生产厂营业执照载明的相关信息保持一致。</w:t>
      </w:r>
      <w:r>
        <w:rPr>
          <w:rFonts w:hint="eastAsia" w:ascii="宋体" w:hAnsi="宋体" w:cs="宋体"/>
          <w:color w:val="000000"/>
          <w:sz w:val="18"/>
          <w:szCs w:val="18"/>
        </w:rPr>
      </w:r>
      <w:r/>
    </w:p>
    <w:p>
      <w:pPr>
        <w:pStyle w:val="999"/>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3.该产品的中国境内生产的组件成本占比相关要求实施前，“规定比例”栏可不填，下同。</w:t>
      </w:r>
      <w:r>
        <w:rPr>
          <w:rFonts w:hint="eastAsia" w:ascii="宋体" w:hAnsi="宋体" w:cs="宋体"/>
          <w:color w:val="000000"/>
          <w:sz w:val="18"/>
          <w:szCs w:val="18"/>
        </w:rPr>
      </w:r>
      <w:r/>
    </w:p>
    <w:p>
      <w:pPr>
        <w:pStyle w:val="999"/>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4.该产品的关键组件要求实施前，“关键组件”栏可不填，下同。</w:t>
      </w:r>
      <w:r>
        <w:rPr>
          <w:rFonts w:hint="eastAsia" w:ascii="宋体" w:hAnsi="宋体" w:cs="宋体"/>
          <w:color w:val="000000"/>
          <w:sz w:val="18"/>
          <w:szCs w:val="18"/>
        </w:rPr>
      </w:r>
      <w:r/>
    </w:p>
    <w:p>
      <w:pPr>
        <w:pStyle w:val="999"/>
        <w:ind w:firstLine="482"/>
        <w:jc w:val="left"/>
        <w:spacing w:line="360" w:lineRule="auto"/>
        <w:shd w:val="clear" w:color="auto" w:fill="ffffff"/>
        <w:widowControl/>
        <w:rPr>
          <w:rFonts w:ascii="宋体" w:hAnsi="宋体"/>
          <w:color w:val="000000"/>
          <w:sz w:val="18"/>
          <w:szCs w:val="18"/>
        </w:rPr>
      </w:pPr>
      <w:r>
        <w:rPr>
          <w:rFonts w:ascii="宋体" w:hAnsi="宋体" w:cs="宋体"/>
          <w:color w:val="000000"/>
          <w:sz w:val="18"/>
          <w:szCs w:val="18"/>
        </w:rPr>
        <w:t xml:space="preserve">5.该产品的关键工序要求实施前，“关键工序”栏可不填，下同。</w:t>
      </w:r>
      <w:r>
        <w:rPr>
          <w:rFonts w:ascii="宋体" w:hAnsi="宋体"/>
          <w:color w:val="000000"/>
          <w:sz w:val="18"/>
          <w:szCs w:val="18"/>
        </w:rPr>
      </w:r>
      <w:r/>
    </w:p>
    <w:p>
      <w:pPr>
        <w:pStyle w:val="999"/>
        <w:ind w:firstLine="482"/>
        <w:jc w:val="left"/>
        <w:spacing w:line="360" w:lineRule="auto"/>
        <w:shd w:val="clear" w:color="auto" w:fill="ffffff"/>
        <w:widowControl/>
        <w:rPr>
          <w:rFonts w:hint="eastAsia" w:ascii="宋体" w:hAnsi="宋体" w:cs="宋体"/>
          <w:b/>
          <w:color w:val="000000"/>
          <w:sz w:val="18"/>
          <w:szCs w:val="18"/>
        </w:rPr>
      </w:pPr>
      <w:r>
        <w:rPr>
          <w:rFonts w:hint="eastAsia" w:ascii="宋体" w:hAnsi="宋体" w:cs="宋体"/>
          <w:b/>
          <w:color w:val="000000"/>
          <w:sz w:val="18"/>
          <w:szCs w:val="18"/>
        </w:rPr>
        <w:t xml:space="preserve">注：划删除线的地方无需填写。</w:t>
      </w:r>
      <w:r>
        <w:rPr>
          <w:rFonts w:hint="eastAsia" w:ascii="宋体" w:hAnsi="宋体" w:cs="宋体"/>
          <w:b/>
          <w:color w:val="000000"/>
          <w:sz w:val="18"/>
          <w:szCs w:val="18"/>
        </w:rPr>
      </w:r>
      <w:r/>
    </w:p>
    <w:p>
      <w:pPr>
        <w:pStyle w:val="999"/>
        <w:ind w:firstLine="480"/>
        <w:spacing w:line="360" w:lineRule="auto"/>
        <w:rPr>
          <w:rFonts w:ascii="宋体" w:hAnsi="宋体"/>
          <w:bCs/>
          <w:color w:val="ff0000"/>
          <w:sz w:val="24"/>
          <w:szCs w:val="24"/>
        </w:rPr>
      </w:pPr>
      <w:r>
        <w:rPr>
          <w:rFonts w:ascii="宋体" w:hAnsi="宋体"/>
          <w:bCs/>
          <w:color w:val="ff0000"/>
          <w:sz w:val="24"/>
          <w:szCs w:val="24"/>
        </w:rPr>
      </w:r>
      <w:r/>
    </w:p>
    <w:p>
      <w:pPr>
        <w:pStyle w:val="999"/>
        <w:ind w:firstLine="420"/>
        <w:spacing w:line="360" w:lineRule="auto"/>
      </w:pPr>
      <w:r/>
      <w:r/>
    </w:p>
    <w:p>
      <w:pPr>
        <w:pStyle w:val="999"/>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999"/>
        <w:ind w:firstLine="482"/>
        <w:spacing w:line="440" w:lineRule="exact"/>
        <w:rPr>
          <w:rFonts w:ascii="Arial" w:hAnsi="Arial"/>
          <w:b/>
          <w:sz w:val="24"/>
        </w:rPr>
      </w:pPr>
      <w:r>
        <w:rPr>
          <w:rFonts w:ascii="Arial" w:hAnsi="Arial"/>
          <w:b/>
          <w:sz w:val="24"/>
        </w:rPr>
      </w:r>
      <w:r/>
    </w:p>
    <w:p>
      <w:pPr>
        <w:pStyle w:val="999"/>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99"/>
        <w:jc w:val="center"/>
        <w:rPr>
          <w:rFonts w:ascii="黑体" w:eastAsia="黑体"/>
          <w:bCs/>
          <w:color w:val="000000"/>
          <w:sz w:val="28"/>
          <w:szCs w:val="28"/>
        </w:rPr>
      </w:pPr>
      <w:r>
        <w:rPr>
          <w:rFonts w:ascii="黑体" w:eastAsia="黑体"/>
          <w:bCs/>
          <w:color w:val="000000"/>
          <w:sz w:val="28"/>
          <w:szCs w:val="28"/>
        </w:rPr>
      </w:r>
      <w:r/>
    </w:p>
    <w:p>
      <w:pPr>
        <w:pStyle w:val="99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9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99"/>
        <w:ind w:firstLine="480"/>
        <w:spacing w:line="580" w:lineRule="exact"/>
        <w:rPr>
          <w:rFonts w:ascii="宋体" w:hAnsi="宋体"/>
          <w:bCs/>
          <w:color w:val="000000"/>
          <w:sz w:val="24"/>
          <w:szCs w:val="24"/>
        </w:rPr>
      </w:pPr>
      <w:r>
        <w:rPr>
          <w:rFonts w:ascii="宋体" w:hAnsi="宋体"/>
          <w:bCs/>
          <w:color w:val="000000"/>
          <w:sz w:val="24"/>
          <w:szCs w:val="24"/>
        </w:rPr>
      </w:r>
      <w:r/>
    </w:p>
    <w:p>
      <w:pPr>
        <w:pStyle w:val="999"/>
        <w:ind w:firstLine="480"/>
        <w:spacing w:line="580" w:lineRule="exact"/>
        <w:rPr>
          <w:rFonts w:ascii="宋体" w:hAnsi="宋体"/>
          <w:bCs/>
          <w:color w:val="000000"/>
          <w:sz w:val="24"/>
          <w:szCs w:val="24"/>
        </w:rPr>
      </w:pPr>
      <w:r>
        <w:rPr>
          <w:rFonts w:ascii="宋体" w:hAnsi="宋体"/>
          <w:bCs/>
          <w:color w:val="000000"/>
          <w:sz w:val="24"/>
          <w:szCs w:val="24"/>
        </w:rPr>
      </w:r>
      <w:r/>
    </w:p>
    <w:p>
      <w:pPr>
        <w:pStyle w:val="999"/>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99"/>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99"/>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r>
        <w:rPr>
          <w:rFonts w:hint="eastAsia"/>
          <w:b/>
          <w:sz w:val="30"/>
          <w:szCs w:val="30"/>
        </w:rPr>
      </w:r>
      <w:r/>
      <w:r>
        <w:rPr>
          <w:rFonts w:hint="eastAsia"/>
          <w:b/>
          <w:sz w:val="28"/>
          <w:szCs w:val="28"/>
        </w:rPr>
      </w:r>
    </w:p>
    <w:p>
      <w:pPr>
        <w:pStyle w:val="999"/>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99"/>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99"/>
        <w:ind w:firstLine="480"/>
        <w:spacing w:line="400" w:lineRule="exact"/>
        <w:rPr>
          <w:rFonts w:ascii="宋体"/>
          <w:bCs/>
          <w:color w:val="000000"/>
          <w:sz w:val="24"/>
          <w:szCs w:val="24"/>
        </w:rPr>
      </w:pPr>
      <w:r>
        <w:rPr>
          <w:rFonts w:ascii="宋体"/>
          <w:bCs/>
          <w:color w:val="000000"/>
          <w:sz w:val="24"/>
          <w:szCs w:val="24"/>
        </w:rPr>
      </w:r>
      <w:r/>
    </w:p>
    <w:p>
      <w:pPr>
        <w:pStyle w:val="999"/>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JSZC-320200-JZCG-G2026-0010</w:t>
      </w:r>
      <w:r>
        <w:rPr>
          <w:rFonts w:hint="eastAsia" w:ascii="宋体" w:hAnsi="宋体"/>
          <w:bCs/>
          <w:color w:val="000000"/>
          <w:sz w:val="24"/>
          <w:szCs w:val="24"/>
        </w:rPr>
        <w:t xml:space="preserve">招标</w:t>
      </w:r>
      <w:r>
        <w:rPr>
          <w:rFonts w:hint="eastAsia" w:ascii="宋体" w:hAnsi="宋体"/>
          <w:bCs/>
          <w:color w:val="000000"/>
          <w:sz w:val="24"/>
          <w:szCs w:val="24"/>
        </w:rPr>
        <w:t xml:space="preserve">文件，经仔细阅读和研究，我方决定参加此项目的投标。</w:t>
      </w:r>
      <w:r>
        <w:rPr>
          <w:rFonts w:ascii="宋体"/>
          <w:bCs/>
          <w:color w:val="000000"/>
          <w:sz w:val="24"/>
          <w:szCs w:val="24"/>
        </w:rPr>
      </w:r>
      <w:r/>
    </w:p>
    <w:p>
      <w:pPr>
        <w:pStyle w:val="999"/>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99"/>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73"/>
          <w:bCs/>
          <w:color w:val="000000"/>
        </w:rPr>
      </w:pPr>
      <w:r>
        <w:rPr>
          <w:rFonts w:hint="eastAsia" w:ascii="宋体" w:hAnsi="宋体"/>
          <w:bCs/>
          <w:color w:val="000000"/>
          <w:sz w:val="24"/>
          <w:szCs w:val="24"/>
        </w:rPr>
        <w:t xml:space="preserve">我方愿意提供无锡市公共资源交易中心在招标文件中要求的文件、资料。</w:t>
      </w:r>
      <w:r>
        <w:rPr>
          <w:rStyle w:val="1073"/>
          <w:bCs/>
          <w:color w:val="000000"/>
        </w:rPr>
      </w:r>
      <w:r/>
    </w:p>
    <w:p>
      <w:pPr>
        <w:pStyle w:val="999"/>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99"/>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99"/>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99"/>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99"/>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99"/>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99"/>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99"/>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99"/>
        <w:ind w:firstLine="720"/>
        <w:spacing w:line="400" w:lineRule="exact"/>
        <w:rPr>
          <w:rFonts w:ascii="宋体"/>
          <w:bCs/>
          <w:color w:val="000000"/>
          <w:sz w:val="24"/>
          <w:szCs w:val="24"/>
        </w:rPr>
      </w:pPr>
      <w:r>
        <w:rPr>
          <w:rFonts w:ascii="宋体"/>
          <w:bCs/>
          <w:color w:val="000000"/>
          <w:sz w:val="24"/>
          <w:szCs w:val="24"/>
        </w:rPr>
      </w:r>
      <w:r/>
    </w:p>
    <w:p>
      <w:pPr>
        <w:pStyle w:val="999"/>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99"/>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999"/>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999"/>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999"/>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999"/>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JSZC-320200-JZCG-G2026-0010</w:t>
      </w:r>
      <w:r>
        <w:rPr>
          <w:rFonts w:hint="eastAsia" w:ascii="宋体" w:hAnsi="宋体"/>
          <w:color w:val="000000"/>
          <w:sz w:val="24"/>
          <w:szCs w:val="24"/>
        </w:rPr>
        <w:t xml:space="preserve">在此承诺：</w:t>
      </w:r>
      <w:r>
        <w:rPr>
          <w:rFonts w:ascii="宋体" w:hAnsi="宋体"/>
          <w:color w:val="000000"/>
          <w:sz w:val="24"/>
          <w:szCs w:val="24"/>
        </w:rPr>
      </w:r>
      <w:r/>
    </w:p>
    <w:p>
      <w:pPr>
        <w:pStyle w:val="999"/>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999"/>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999"/>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99"/>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99"/>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999"/>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999"/>
        <w:ind w:firstLine="480"/>
        <w:spacing w:line="480" w:lineRule="auto"/>
        <w:rPr>
          <w:rFonts w:hint="eastAsia" w:ascii="宋体"/>
          <w:bCs/>
          <w:color w:val="ff0000"/>
          <w:sz w:val="24"/>
          <w:szCs w:val="24"/>
        </w:rPr>
      </w:pPr>
      <w:r>
        <w:rPr>
          <w:rFonts w:hint="eastAsia" w:ascii="宋体"/>
          <w:bCs/>
          <w:color w:val="ff0000"/>
          <w:sz w:val="24"/>
          <w:szCs w:val="24"/>
        </w:rPr>
      </w:r>
      <w:r/>
    </w:p>
    <w:p>
      <w:pPr>
        <w:pStyle w:val="999"/>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99"/>
        <w:ind w:firstLine="480"/>
        <w:spacing w:line="480" w:lineRule="auto"/>
        <w:rPr>
          <w:rFonts w:hint="eastAsia" w:ascii="宋体"/>
          <w:bCs/>
          <w:color w:val="ff0000"/>
          <w:sz w:val="24"/>
          <w:szCs w:val="24"/>
        </w:rPr>
      </w:pPr>
      <w:r>
        <w:rPr>
          <w:rFonts w:hint="eastAsia" w:ascii="宋体"/>
          <w:bCs/>
          <w:color w:val="ff0000"/>
          <w:sz w:val="24"/>
          <w:szCs w:val="24"/>
        </w:rPr>
      </w:r>
      <w:r/>
    </w:p>
    <w:p>
      <w:pPr>
        <w:pStyle w:val="999"/>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99"/>
        <w:ind w:firstLine="5400"/>
        <w:spacing w:line="480" w:lineRule="auto"/>
        <w:rPr>
          <w:rFonts w:ascii="宋体" w:hAnsi="宋体"/>
          <w:bCs/>
          <w:sz w:val="24"/>
          <w:szCs w:val="24"/>
        </w:rPr>
      </w:pPr>
      <w:r>
        <w:rPr>
          <w:rFonts w:ascii="宋体" w:hAnsi="宋体"/>
          <w:bCs/>
          <w:sz w:val="24"/>
          <w:szCs w:val="24"/>
        </w:rPr>
      </w:r>
      <w:r/>
    </w:p>
    <w:p>
      <w:pPr>
        <w:pStyle w:val="999"/>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99"/>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999"/>
        <w:ind w:firstLine="482"/>
        <w:spacing w:line="440" w:lineRule="exact"/>
        <w:rPr>
          <w:rFonts w:hint="eastAsia" w:ascii="Arial" w:hAnsi="Arial"/>
          <w:b/>
          <w:sz w:val="24"/>
        </w:rPr>
      </w:pPr>
      <w:r>
        <w:rPr>
          <w:rFonts w:hint="eastAsia" w:ascii="Arial" w:hAnsi="Arial"/>
          <w:b/>
          <w:sz w:val="24"/>
        </w:rPr>
      </w:r>
      <w:r/>
    </w:p>
    <w:p>
      <w:pPr>
        <w:pStyle w:val="999"/>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99"/>
        <w:jc w:val="center"/>
        <w:rPr>
          <w:rFonts w:ascii="黑体" w:eastAsia="黑体"/>
          <w:bCs/>
          <w:color w:val="000000"/>
          <w:sz w:val="28"/>
          <w:szCs w:val="28"/>
        </w:rPr>
        <w:outlineLvl w:val="0"/>
      </w:pPr>
      <w:r>
        <w:rPr>
          <w:rFonts w:ascii="黑体" w:eastAsia="黑体"/>
          <w:bCs/>
          <w:color w:val="000000"/>
          <w:sz w:val="28"/>
          <w:szCs w:val="28"/>
        </w:rPr>
      </w:r>
      <w:r/>
    </w:p>
    <w:p>
      <w:pPr>
        <w:pStyle w:val="999"/>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JSZC-320200-JZCG-G2026-0010</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99"/>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99"/>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112"/>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无锡市“一网统管”城市运行管理平台（扩续建2025）</w:t>
            </w:r>
            <w:r>
              <w:rPr>
                <w:rFonts w:hint="eastAsia" w:hAnsi="宋体" w:eastAsia="宋体"/>
                <w:bCs/>
                <w:color w:val="000000"/>
                <w:szCs w:val="24"/>
                <w:lang w:eastAsia="zh-CN"/>
              </w:rPr>
            </w:r>
            <w:r/>
          </w:p>
        </w:tc>
        <w:tc>
          <w:tcPr>
            <w:tcW w:w="3188" w:type="dxa"/>
            <w:vAlign w:val="center"/>
            <w:textDirection w:val="lrTb"/>
            <w:noWrap w:val="false"/>
          </w:tcPr>
          <w:p>
            <w:pPr>
              <w:pStyle w:val="1112"/>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99"/>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999"/>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999"/>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99"/>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99"/>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999"/>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999"/>
        <w:spacing w:line="360" w:lineRule="auto"/>
        <w:rPr>
          <w:rFonts w:hint="eastAsia"/>
          <w:b/>
          <w:sz w:val="30"/>
          <w:szCs w:val="30"/>
        </w:rPr>
      </w:pPr>
      <w:r>
        <w:rPr>
          <w:rFonts w:hint="eastAsia"/>
          <w:b/>
          <w:sz w:val="30"/>
          <w:szCs w:val="30"/>
        </w:rPr>
      </w:r>
      <w:r/>
    </w:p>
    <w:p>
      <w:pPr>
        <w:pStyle w:val="999"/>
        <w:jc w:val="center"/>
        <w:spacing w:line="400" w:lineRule="exact"/>
        <w:rPr>
          <w:rFonts w:ascii="黑体" w:eastAsia="黑体"/>
          <w:bCs/>
          <w:color w:val="000000"/>
          <w:sz w:val="28"/>
          <w:szCs w:val="28"/>
        </w:rPr>
        <w:outlineLvl w:val="0"/>
      </w:pPr>
      <w:r/>
      <w:bookmarkEnd w:id="203"/>
      <w:r/>
      <w:bookmarkEnd w:id="204"/>
      <w:r/>
      <w:bookmarkEnd w:id="205"/>
      <w:r/>
      <w:bookmarkStart w:id="208"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999"/>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JSZC-320200-JZCG-G2026-0010</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999"/>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99"/>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999"/>
              <w:jc w:val="center"/>
              <w:spacing w:before="5"/>
              <w:rPr>
                <w:rFonts w:hint="eastAsia"/>
                <w:color w:val="000000"/>
                <w:sz w:val="18"/>
              </w:rPr>
            </w:pPr>
            <w:r>
              <w:rPr>
                <w:rFonts w:hint="eastAsia"/>
                <w:color w:val="000000"/>
                <w:sz w:val="18"/>
              </w:rPr>
              <w:t xml:space="preserve">服务内容</w:t>
            </w:r>
            <w:r>
              <w:rPr>
                <w:rFonts w:hint="eastAsia"/>
                <w:color w:val="000000"/>
                <w:sz w:val="18"/>
              </w:rPr>
            </w:r>
            <w:r/>
          </w:p>
        </w:tc>
        <w:tc>
          <w:tcPr>
            <w:tcW w:w="1276" w:type="dxa"/>
            <w:vAlign w:val="center"/>
            <w:textDirection w:val="lrTb"/>
            <w:noWrap w:val="false"/>
          </w:tcPr>
          <w:p>
            <w:pPr>
              <w:pStyle w:val="999"/>
              <w:jc w:val="center"/>
              <w:spacing w:before="5"/>
              <w:rPr>
                <w:rFonts w:hint="eastAsia"/>
                <w:color w:val="000000"/>
                <w:sz w:val="18"/>
              </w:rPr>
            </w:pPr>
            <w:r>
              <w:rPr>
                <w:rFonts w:hint="eastAsia"/>
                <w:color w:val="000000"/>
                <w:sz w:val="18"/>
              </w:rPr>
              <w:t xml:space="preserve">数量</w:t>
            </w:r>
            <w:r>
              <w:rPr>
                <w:rFonts w:hint="eastAsia"/>
                <w:color w:val="000000"/>
                <w:sz w:val="18"/>
              </w:rPr>
            </w:r>
            <w:r/>
          </w:p>
        </w:tc>
        <w:tc>
          <w:tcPr>
            <w:tcMar>
              <w:left w:w="15" w:type="dxa"/>
              <w:top w:w="15" w:type="dxa"/>
              <w:right w:w="15" w:type="dxa"/>
              <w:bottom w:w="0" w:type="dxa"/>
            </w:tcMar>
            <w:tcW w:w="992" w:type="dxa"/>
            <w:vAlign w:val="center"/>
            <w:textDirection w:val="lrTb"/>
            <w:noWrap/>
          </w:tcPr>
          <w:p>
            <w:pPr>
              <w:pStyle w:val="999"/>
              <w:jc w:val="center"/>
              <w:spacing w:before="5"/>
              <w:rPr>
                <w:rFonts w:hint="eastAsia"/>
                <w:color w:val="000000"/>
                <w:sz w:val="18"/>
              </w:rPr>
            </w:pPr>
            <w:r>
              <w:rPr>
                <w:rFonts w:hint="eastAsia"/>
                <w:color w:val="000000"/>
                <w:sz w:val="18"/>
              </w:rPr>
              <w:t xml:space="preserve">单位</w:t>
            </w:r>
            <w:r>
              <w:rPr>
                <w:rFonts w:hint="eastAsia"/>
                <w:color w:val="000000"/>
                <w:sz w:val="18"/>
              </w:rPr>
            </w:r>
            <w:r/>
          </w:p>
        </w:tc>
        <w:tc>
          <w:tcPr>
            <w:tcW w:w="709" w:type="dxa"/>
            <w:vAlign w:val="center"/>
            <w:textDirection w:val="lrTb"/>
            <w:noWrap w:val="false"/>
          </w:tcPr>
          <w:p>
            <w:pPr>
              <w:pStyle w:val="999"/>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999"/>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1048"/>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99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9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99"/>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999"/>
              <w:jc w:val="center"/>
              <w:rPr>
                <w:rFonts w:ascii="黑体" w:hAnsi="宋体" w:eastAsia="黑体"/>
                <w:b/>
                <w:bCs/>
                <w:color w:val="000000"/>
                <w:sz w:val="24"/>
                <w:szCs w:val="24"/>
              </w:rPr>
            </w:pPr>
            <w:r>
              <w:rPr>
                <w:rFonts w:hint="eastAsia" w:ascii="宋体"/>
                <w:color w:val="000000"/>
              </w:rPr>
              <w:t xml:space="preserve">......</w:t>
            </w:r>
            <w:r>
              <w:rPr>
                <w:rFonts w:ascii="黑体" w:hAnsi="宋体" w:eastAsia="黑体"/>
                <w:b/>
                <w:bCs/>
                <w:color w:val="000000"/>
                <w:sz w:val="24"/>
                <w:szCs w:val="24"/>
              </w:rPr>
            </w:r>
            <w:r/>
          </w:p>
        </w:tc>
        <w:tc>
          <w:tcPr>
            <w:tcW w:w="1276"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9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999"/>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99"/>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999"/>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999"/>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999"/>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999"/>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999"/>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999"/>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999"/>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99"/>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1048"/>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1048"/>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1048"/>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999"/>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9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9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99"/>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999"/>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1048"/>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999"/>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9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9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9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999"/>
              <w:jc w:val="left"/>
              <w:spacing w:line="288" w:lineRule="auto"/>
              <w:rPr>
                <w:rFonts w:hint="eastAsia" w:ascii="楷体" w:hAnsi="楷体" w:eastAsia="楷体"/>
                <w:bCs/>
                <w:color w:val="000000"/>
                <w:sz w:val="28"/>
                <w:szCs w:val="28"/>
              </w:rPr>
            </w:pPr>
            <w:r>
              <w:rPr>
                <w:rFonts w:hint="eastAsia" w:ascii="楷体" w:hAnsi="楷体" w:eastAsia="楷体"/>
                <w:bCs/>
                <w:color w:val="000000"/>
                <w:sz w:val="28"/>
                <w:szCs w:val="28"/>
              </w:rPr>
              <w:t xml:space="preserve">投标人承诺：</w:t>
            </w:r>
            <w:r>
              <w:rPr>
                <w:rFonts w:hint="eastAsia" w:ascii="楷体" w:hAnsi="楷体" w:eastAsia="楷体"/>
                <w:bCs/>
                <w:color w:val="000000"/>
                <w:sz w:val="28"/>
                <w:szCs w:val="28"/>
              </w:rPr>
            </w:r>
            <w:r/>
          </w:p>
          <w:p>
            <w:pPr>
              <w:pStyle w:val="999"/>
              <w:jc w:val="left"/>
              <w:spacing w:line="288" w:lineRule="auto"/>
              <w:rPr>
                <w:rFonts w:ascii="楷体" w:hAnsi="楷体" w:eastAsia="楷体"/>
                <w:b/>
                <w:bCs/>
                <w:color w:val="0000ff"/>
                <w:sz w:val="28"/>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rPr>
                <w:rFonts w:ascii="楷体" w:hAnsi="楷体" w:eastAsia="楷体"/>
                <w:b/>
                <w:bCs/>
                <w:color w:val="0000ff"/>
                <w:sz w:val="28"/>
                <w:szCs w:val="28"/>
              </w:rPr>
            </w:r>
            <w:r/>
          </w:p>
        </w:tc>
      </w:tr>
    </w:tbl>
    <w:p>
      <w:pPr>
        <w:pStyle w:val="999"/>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99"/>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hint="eastAsia" w:ascii="宋体" w:hAnsi="宋体"/>
          <w:bCs/>
          <w:color w:val="000000"/>
          <w:lang w:val="en-US" w:eastAsia="zh-CN"/>
        </w:rPr>
        <w:t xml:space="preserve">1</w:t>
      </w:r>
      <w:r>
        <w:rPr>
          <w:rFonts w:hint="eastAsia" w:ascii="宋体" w:hAnsi="宋体"/>
          <w:bCs/>
          <w:color w:val="000000"/>
        </w:rPr>
        <w:t xml:space="preserve">）投标人应当根据“采购需求”的内容在上表中详细填写。</w:t>
      </w:r>
      <w:r>
        <w:rPr>
          <w:rFonts w:ascii="宋体"/>
          <w:bCs/>
          <w:color w:val="000000"/>
        </w:rPr>
      </w:r>
      <w:r/>
    </w:p>
    <w:p>
      <w:pPr>
        <w:pStyle w:val="999"/>
        <w:ind w:firstLine="315"/>
        <w:spacing w:line="400" w:lineRule="exact"/>
        <w:rPr>
          <w:rFonts w:hint="eastAsia" w:ascii="宋体" w:hAnsi="宋体"/>
          <w:bCs/>
          <w:color w:val="000000"/>
        </w:rPr>
        <w:outlineLvl w:val="0"/>
      </w:pPr>
      <w:r>
        <w:rPr>
          <w:rFonts w:hint="eastAsia" w:ascii="宋体" w:hAnsi="宋体"/>
          <w:bCs/>
          <w:color w:val="000000"/>
        </w:rPr>
        <w:t xml:space="preserve">（</w:t>
      </w:r>
      <w:r>
        <w:rPr>
          <w:rFonts w:hint="eastAsia" w:ascii="宋体" w:hAnsi="宋体"/>
          <w:bCs/>
          <w:color w:val="000000"/>
          <w:lang w:val="en-US" w:eastAsia="zh-CN"/>
        </w:rPr>
        <w:t xml:space="preserve">2</w:t>
      </w:r>
      <w:r>
        <w:rPr>
          <w:rFonts w:hint="eastAsia" w:ascii="宋体" w:hAnsi="宋体"/>
          <w:bCs/>
          <w:color w:val="000000"/>
        </w:rPr>
        <w:t xml:space="preserve">）表格不够可自行延长。</w:t>
      </w:r>
      <w:r>
        <w:rPr>
          <w:rFonts w:hint="eastAsia" w:ascii="宋体" w:hAnsi="宋体"/>
          <w:bCs/>
          <w:color w:val="000000"/>
        </w:rPr>
      </w:r>
      <w:r/>
    </w:p>
    <w:p>
      <w:pPr>
        <w:pStyle w:val="999"/>
        <w:ind w:firstLine="315"/>
        <w:spacing w:line="400" w:lineRule="exact"/>
        <w:rPr>
          <w:rFonts w:hint="eastAsia" w:ascii="宋体" w:hAnsi="宋体"/>
          <w:bCs/>
          <w:color w:val="000000"/>
        </w:rPr>
        <w:outlineLvl w:val="0"/>
      </w:pPr>
      <w:r>
        <w:rPr>
          <w:rFonts w:hint="eastAsia" w:ascii="宋体" w:hAnsi="宋体"/>
          <w:bCs/>
          <w:color w:val="000000"/>
        </w:rPr>
        <w:t xml:space="preserve">（</w:t>
      </w:r>
      <w:r>
        <w:rPr>
          <w:rFonts w:hint="eastAsia" w:ascii="宋体" w:hAnsi="宋体"/>
          <w:bCs/>
          <w:color w:val="000000"/>
          <w:lang w:val="en-US" w:eastAsia="zh-CN"/>
        </w:rPr>
        <w:t xml:space="preserve">3</w:t>
      </w:r>
      <w:r>
        <w:rPr>
          <w:rFonts w:hint="eastAsia" w:ascii="宋体" w:hAnsi="宋体"/>
          <w:bCs/>
          <w:color w:val="000000"/>
        </w:rPr>
        <w:t xml:space="preserve">）</w:t>
      </w:r>
      <w:r>
        <w:rPr>
          <w:rFonts w:hint="eastAsia" w:ascii="宋体" w:hAnsi="宋体"/>
          <w:bCs/>
          <w:color w:val="000000"/>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rPr>
      </w:r>
      <w:r/>
    </w:p>
    <w:p>
      <w:pPr>
        <w:pStyle w:val="999"/>
        <w:ind w:firstLine="315"/>
        <w:spacing w:line="400" w:lineRule="exact"/>
        <w:rPr>
          <w:rFonts w:hint="eastAsia" w:ascii="宋体" w:hAnsi="宋体"/>
          <w:bCs/>
          <w:color w:val="000000"/>
        </w:rPr>
        <w:outlineLvl w:val="0"/>
      </w:pPr>
      <w:r>
        <w:rPr>
          <w:rFonts w:hint="eastAsia" w:ascii="宋体" w:hAnsi="宋体"/>
          <w:bCs/>
          <w:color w:val="000000"/>
          <w:u w:val="single"/>
        </w:rPr>
        <w:t xml:space="preserve">特别注意！！“符合本国产品标准的产品成本之和”是指本项目或采购包中符合本国产品标准的</w:t>
      </w:r>
      <w:r>
        <w:rPr>
          <w:rFonts w:hint="eastAsia" w:ascii="宋体" w:hAnsi="宋体"/>
          <w:b/>
          <w:bCs/>
          <w:color w:val="000000"/>
          <w:u w:val="single"/>
        </w:rPr>
        <w:t xml:space="preserve">货物成本之和</w:t>
      </w:r>
      <w:r>
        <w:rPr>
          <w:rFonts w:hint="eastAsia" w:ascii="宋体" w:hAnsi="宋体"/>
          <w:bCs/>
          <w:color w:val="000000"/>
          <w:u w:val="single"/>
        </w:rPr>
        <w:t xml:space="preserve">；“全部产品成本之和”是指货物或服务项目（或者采购包）中包含的</w:t>
      </w:r>
      <w:r>
        <w:rPr>
          <w:rFonts w:hint="eastAsia" w:ascii="宋体" w:hAnsi="宋体"/>
          <w:b/>
          <w:bCs/>
          <w:color w:val="000000"/>
          <w:u w:val="single"/>
        </w:rPr>
        <w:t xml:space="preserve">全部货物、服务产品的成本之和</w:t>
      </w:r>
      <w:r>
        <w:rPr>
          <w:rFonts w:hint="eastAsia" w:ascii="宋体" w:hAnsi="宋体"/>
          <w:bCs/>
          <w:color w:val="000000"/>
          <w:u w:val="single"/>
        </w:rPr>
        <w:t xml:space="preserve">。</w:t>
      </w:r>
      <w:r>
        <w:rPr>
          <w:rFonts w:hint="eastAsia" w:ascii="宋体" w:hAnsi="宋体"/>
          <w:bCs/>
          <w:color w:val="000000"/>
        </w:rPr>
      </w:r>
      <w:r/>
    </w:p>
    <w:p>
      <w:pPr>
        <w:pStyle w:val="999"/>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999"/>
        <w:ind w:firstLine="490"/>
        <w:jc w:val="center"/>
        <w:rPr>
          <w:rFonts w:ascii="黑体" w:eastAsia="黑体"/>
          <w:bCs/>
          <w:color w:val="000000"/>
          <w:sz w:val="28"/>
          <w:szCs w:val="28"/>
        </w:rPr>
        <w:outlineLvl w:val="0"/>
      </w:pPr>
      <w:r>
        <w:rPr>
          <w:rFonts w:ascii="黑体" w:eastAsia="黑体"/>
          <w:bCs/>
          <w:color w:val="000000"/>
          <w:sz w:val="28"/>
          <w:szCs w:val="28"/>
        </w:rPr>
      </w:r>
      <w:r/>
    </w:p>
    <w:p>
      <w:pPr>
        <w:pStyle w:val="999"/>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9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9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99"/>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w:t>
      </w:r>
      <w:r>
        <w:rPr>
          <w:rFonts w:hint="eastAsia" w:ascii="黑体" w:eastAsia="黑体"/>
          <w:bCs/>
          <w:color w:val="000000"/>
          <w:sz w:val="24"/>
          <w:szCs w:val="24"/>
          <w:lang w:eastAsia="zh-CN"/>
        </w:rPr>
        <w:t xml:space="preserve">JSZC-320200-JZCG-G2026-0010</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99"/>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9"/>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9"/>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99"/>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9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9"/>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99"/>
              <w:jc w:val="center"/>
              <w:rPr>
                <w:rFonts w:ascii="宋体"/>
                <w:bCs/>
                <w:color w:val="000000"/>
              </w:rPr>
            </w:pPr>
            <w:r>
              <w:rPr>
                <w:rFonts w:ascii="宋体"/>
                <w:bCs/>
                <w:color w:val="000000"/>
              </w:rPr>
            </w:r>
            <w:r/>
          </w:p>
        </w:tc>
      </w:tr>
    </w:tbl>
    <w:p>
      <w:pPr>
        <w:pStyle w:val="999"/>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99"/>
        <w:rPr>
          <w:rFonts w:ascii="宋体"/>
          <w:bCs/>
          <w:color w:val="000000"/>
          <w:sz w:val="30"/>
        </w:rPr>
      </w:pPr>
      <w:r>
        <w:rPr>
          <w:rFonts w:ascii="宋体"/>
          <w:bCs/>
          <w:color w:val="000000"/>
          <w:sz w:val="30"/>
        </w:rPr>
      </w:r>
      <w:r/>
    </w:p>
    <w:p>
      <w:pPr>
        <w:pStyle w:val="999"/>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99"/>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99"/>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8"/>
      <w:r/>
      <w:bookmarkStart w:id="209" w:name="_Hlt26671374"/>
      <w:r/>
      <w:bookmarkEnd w:id="209"/>
      <w:r/>
      <w:bookmarkStart w:id="210" w:name="_Hlt26955066"/>
      <w:r/>
      <w:bookmarkEnd w:id="210"/>
      <w:r/>
      <w:bookmarkStart w:id="211" w:name="_格式2__法定代表人授权书"/>
      <w:r/>
      <w:bookmarkEnd w:id="211"/>
      <w:r/>
      <w:bookmarkStart w:id="212" w:name="_Hlt26609389"/>
      <w:r/>
      <w:bookmarkEnd w:id="212"/>
      <w:r>
        <w:rPr>
          <w:rFonts w:hint="eastAsia" w:ascii="宋体" w:hAnsi="宋体"/>
          <w:bCs/>
          <w:color w:val="000000"/>
          <w:sz w:val="24"/>
          <w:szCs w:val="24"/>
        </w:rPr>
      </w:r>
      <w:r/>
    </w:p>
    <w:p>
      <w:pPr>
        <w:pStyle w:val="999"/>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999"/>
        <w:ind w:firstLine="420"/>
        <w:rPr>
          <w:rFonts w:ascii="宋体" w:hAnsi="宋体"/>
          <w:bCs/>
          <w:color w:val="000000"/>
          <w:sz w:val="24"/>
          <w:szCs w:val="24"/>
        </w:rPr>
        <w:outlineLvl w:val="0"/>
      </w:pPr>
      <w:r>
        <w:rPr>
          <w:rFonts w:ascii="宋体" w:hAnsi="宋体"/>
          <w:bCs/>
          <w:color w:val="000000"/>
          <w:sz w:val="24"/>
          <w:szCs w:val="24"/>
        </w:rPr>
      </w:r>
      <w:r/>
    </w:p>
    <w:p>
      <w:pPr>
        <w:pStyle w:val="999"/>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999"/>
        <w:spacing w:line="400" w:lineRule="exact"/>
        <w:rPr>
          <w:rFonts w:ascii="黑体" w:eastAsia="黑体"/>
          <w:bCs/>
          <w:color w:val="000000"/>
          <w:sz w:val="28"/>
          <w:szCs w:val="28"/>
        </w:rPr>
      </w:pPr>
      <w:r>
        <w:rPr>
          <w:rFonts w:ascii="黑体" w:eastAsia="黑体"/>
          <w:bCs/>
          <w:color w:val="000000"/>
          <w:sz w:val="28"/>
          <w:szCs w:val="28"/>
        </w:rPr>
      </w:r>
      <w:r/>
    </w:p>
    <w:p>
      <w:pPr>
        <w:pStyle w:val="999"/>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999"/>
        <w:jc w:val="center"/>
        <w:spacing w:line="400" w:lineRule="exact"/>
        <w:rPr>
          <w:rFonts w:ascii="黑体" w:eastAsia="黑体"/>
          <w:bCs/>
          <w:color w:val="000000"/>
          <w:sz w:val="28"/>
          <w:szCs w:val="28"/>
        </w:rPr>
      </w:pPr>
      <w:r>
        <w:rPr>
          <w:rFonts w:ascii="黑体" w:eastAsia="黑体"/>
          <w:bCs/>
          <w:color w:val="000000"/>
          <w:sz w:val="28"/>
          <w:szCs w:val="28"/>
        </w:rPr>
      </w:r>
      <w:r/>
    </w:p>
    <w:p>
      <w:pPr>
        <w:pStyle w:val="999"/>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JSZC-320200-JZCG-G2026-0010</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99"/>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99"/>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99"/>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99"/>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99"/>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99"/>
              <w:rPr>
                <w:rFonts w:ascii="黑体" w:eastAsia="黑体"/>
                <w:bCs/>
                <w:color w:val="000000"/>
                <w:sz w:val="24"/>
                <w:szCs w:val="24"/>
              </w:rPr>
              <w:outlineLvl w:val="0"/>
            </w:pPr>
            <w:r>
              <w:rPr>
                <w:rFonts w:ascii="黑体" w:eastAsia="黑体"/>
                <w:bCs/>
                <w:color w:val="000000"/>
                <w:sz w:val="24"/>
                <w:szCs w:val="24"/>
              </w:rPr>
            </w:r>
            <w:r/>
          </w:p>
        </w:tc>
      </w:tr>
    </w:tbl>
    <w:p>
      <w:pPr>
        <w:pStyle w:val="999"/>
        <w:rPr>
          <w:b/>
          <w:bCs/>
          <w:sz w:val="24"/>
          <w:szCs w:val="24"/>
        </w:rPr>
      </w:pPr>
      <w:r>
        <w:rPr>
          <w:rFonts w:hint="eastAsia" w:ascii="黑体" w:eastAsia="黑体"/>
          <w:bCs/>
          <w:sz w:val="24"/>
          <w:szCs w:val="24"/>
        </w:rPr>
        <w:t xml:space="preserve">投标人名称（盖章）</w:t>
      </w:r>
      <w:r>
        <w:rPr>
          <w:b/>
          <w:bCs/>
          <w:sz w:val="24"/>
          <w:szCs w:val="24"/>
        </w:rPr>
      </w:r>
      <w:r/>
    </w:p>
    <w:p>
      <w:pPr>
        <w:pStyle w:val="999"/>
        <w:rPr>
          <w:rFonts w:hint="eastAsia" w:ascii="宋体" w:hAnsi="宋体"/>
          <w:bCs/>
          <w:color w:val="000000"/>
        </w:rPr>
      </w:pPr>
      <w:r>
        <w:rPr>
          <w:rFonts w:hint="eastAsia" w:ascii="宋体" w:hAnsi="宋体"/>
          <w:bCs/>
          <w:color w:val="000000"/>
        </w:rPr>
      </w:r>
      <w:r/>
    </w:p>
    <w:p>
      <w:pPr>
        <w:pStyle w:val="999"/>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99"/>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99"/>
        <w:rPr>
          <w:rFonts w:hint="eastAsia"/>
          <w:b/>
          <w:color w:val="0000ff"/>
          <w:sz w:val="28"/>
          <w:szCs w:val="28"/>
        </w:rPr>
        <w:outlineLvl w:val="0"/>
      </w:pPr>
      <w:r>
        <w:rPr>
          <w:rFonts w:hint="eastAsia"/>
          <w:b/>
          <w:color w:val="0000ff"/>
          <w:sz w:val="28"/>
          <w:szCs w:val="28"/>
        </w:rPr>
      </w:r>
      <w:r/>
    </w:p>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仿宋">
    <w:panose1 w:val="02010609060101010101"/>
  </w:font>
  <w:font w:name="方正楷体_GB2312">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7143" w:leader="none"/>
        <w:tab w:val="right" w:pos="14287"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6"/>
                            <w:tabs>
                              <w:tab w:val="clear" w:pos="4153" w:leader="none"/>
                              <w:tab w:val="clear" w:pos="8306" w:leader="none"/>
                            </w:tabs>
                            <w:rPr>
                              <w:rFonts w:ascii="Times New Roman" w:hAnsi="Times New Roman" w:eastAsia="方正楷体_GB2312" w:cs="Times New Roman"/>
                            </w:rPr>
                          </w:pPr>
                          <w:r>
                            <w:rPr>
                              <w:rFonts w:ascii="Times New Roman" w:hAnsi="Times New Roman" w:eastAsia="方正楷体_GB2312" w:cs="Times New Roman"/>
                            </w:rPr>
                            <w:fldChar w:fldCharType="begin"/>
                          </w:r>
                          <w:r>
                            <w:rPr>
                              <w:rFonts w:ascii="Times New Roman" w:hAnsi="Times New Roman" w:eastAsia="方正楷体_GB2312" w:cs="Times New Roman"/>
                            </w:rPr>
                            <w:instrText xml:space="preserve"> PAGE  \* MERGEFORMAT </w:instrText>
                          </w:r>
                          <w:r>
                            <w:rPr>
                              <w:rFonts w:ascii="Times New Roman" w:hAnsi="Times New Roman" w:eastAsia="方正楷体_GB2312" w:cs="Times New Roman"/>
                            </w:rPr>
                            <w:fldChar w:fldCharType="separate"/>
                          </w:r>
                          <w:r>
                            <w:rPr>
                              <w:rFonts w:ascii="Times New Roman" w:hAnsi="Times New Roman" w:eastAsia="方正楷体_GB2312" w:cs="Times New Roman"/>
                            </w:rPr>
                            <w:t xml:space="preserve">3</w:t>
                          </w:r>
                          <w:r>
                            <w:rPr>
                              <w:rFonts w:ascii="Times New Roman" w:hAnsi="Times New Roman" w:eastAsia="方正楷体_GB2312" w:cs="Times New Roman"/>
                            </w:rPr>
                            <w:fldChar w:fldCharType="end"/>
                          </w:r>
                          <w:r>
                            <w:rPr>
                              <w:rFonts w:ascii="Times New Roman" w:hAnsi="Times New Roman" w:eastAsia="方正楷体_GB2312" w:cs="Times New Roman"/>
                            </w:rPr>
                          </w:r>
                          <w:r/>
                        </w:p>
                        <w:p>
                          <w:pPr>
                            <w:pStyle w:val="9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6"/>
                      <w:tabs>
                        <w:tab w:val="clear" w:pos="4153" w:leader="none"/>
                        <w:tab w:val="clear" w:pos="8306" w:leader="none"/>
                      </w:tabs>
                      <w:rPr>
                        <w:rFonts w:ascii="Times New Roman" w:hAnsi="Times New Roman" w:eastAsia="方正楷体_GB2312" w:cs="Times New Roman"/>
                      </w:rPr>
                    </w:pPr>
                    <w:r>
                      <w:rPr>
                        <w:rFonts w:ascii="Times New Roman" w:hAnsi="Times New Roman" w:eastAsia="方正楷体_GB2312" w:cs="Times New Roman"/>
                      </w:rPr>
                      <w:fldChar w:fldCharType="begin"/>
                    </w:r>
                    <w:r>
                      <w:rPr>
                        <w:rFonts w:ascii="Times New Roman" w:hAnsi="Times New Roman" w:eastAsia="方正楷体_GB2312" w:cs="Times New Roman"/>
                      </w:rPr>
                      <w:instrText xml:space="preserve"> PAGE  \* MERGEFORMAT </w:instrText>
                    </w:r>
                    <w:r>
                      <w:rPr>
                        <w:rFonts w:ascii="Times New Roman" w:hAnsi="Times New Roman" w:eastAsia="方正楷体_GB2312" w:cs="Times New Roman"/>
                      </w:rPr>
                      <w:fldChar w:fldCharType="separate"/>
                    </w:r>
                    <w:r>
                      <w:rPr>
                        <w:rFonts w:ascii="Times New Roman" w:hAnsi="Times New Roman" w:eastAsia="方正楷体_GB2312" w:cs="Times New Roman"/>
                      </w:rPr>
                      <w:t xml:space="preserve">3</w:t>
                    </w:r>
                    <w:r>
                      <w:rPr>
                        <w:rFonts w:ascii="Times New Roman" w:hAnsi="Times New Roman" w:eastAsia="方正楷体_GB2312" w:cs="Times New Roman"/>
                      </w:rPr>
                      <w:fldChar w:fldCharType="end"/>
                    </w:r>
                    <w:r>
                      <w:rPr>
                        <w:rFonts w:ascii="Times New Roman" w:hAnsi="Times New Roman" w:eastAsia="方正楷体_GB2312" w:cs="Times New Roman"/>
                      </w:rPr>
                    </w:r>
                    <w:r/>
                  </w:p>
                  <w:p>
                    <w:pPr>
                      <w:pStyle w:val="9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rPr>
                              <w:rStyle w:val="1071"/>
                              <w:rFonts w:ascii="宋体" w:hAnsi="宋体"/>
                            </w:rPr>
                          </w:pPr>
                          <w:r>
                            <w:rPr>
                              <w:rFonts w:ascii="宋体" w:hAnsi="宋体"/>
                            </w:rPr>
                            <w:fldChar w:fldCharType="begin"/>
                          </w:r>
                          <w:r>
                            <w:rPr>
                              <w:rStyle w:val="1071"/>
                              <w:rFonts w:ascii="宋体" w:hAnsi="宋体"/>
                            </w:rPr>
                            <w:instrText xml:space="preserve">PAGE  </w:instrText>
                          </w:r>
                          <w:r>
                            <w:rPr>
                              <w:rFonts w:ascii="宋体" w:hAnsi="宋体"/>
                            </w:rPr>
                            <w:fldChar w:fldCharType="separate"/>
                          </w:r>
                          <w:r>
                            <w:rPr>
                              <w:rStyle w:val="1071"/>
                              <w:rFonts w:ascii="宋体" w:hAnsi="宋体"/>
                            </w:rPr>
                            <w:t xml:space="preserve">７６</w:t>
                          </w:r>
                          <w:r>
                            <w:rPr>
                              <w:rFonts w:ascii="宋体" w:hAnsi="宋体"/>
                            </w:rPr>
                            <w:fldChar w:fldCharType="end"/>
                          </w:r>
                          <w:r>
                            <w:rPr>
                              <w:rStyle w:val="1071"/>
                              <w:rFonts w:ascii="宋体" w:hAnsi="宋体"/>
                            </w:rPr>
                          </w:r>
                          <w:r/>
                        </w:p>
                        <w:p>
                          <w:pPr>
                            <w:pStyle w:val="9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rPr>
                        <w:rStyle w:val="1071"/>
                        <w:rFonts w:ascii="宋体" w:hAnsi="宋体"/>
                      </w:rPr>
                    </w:pPr>
                    <w:r>
                      <w:rPr>
                        <w:rFonts w:ascii="宋体" w:hAnsi="宋体"/>
                      </w:rPr>
                      <w:fldChar w:fldCharType="begin"/>
                    </w:r>
                    <w:r>
                      <w:rPr>
                        <w:rStyle w:val="1071"/>
                        <w:rFonts w:ascii="宋体" w:hAnsi="宋体"/>
                      </w:rPr>
                      <w:instrText xml:space="preserve">PAGE  </w:instrText>
                    </w:r>
                    <w:r>
                      <w:rPr>
                        <w:rFonts w:ascii="宋体" w:hAnsi="宋体"/>
                      </w:rPr>
                      <w:fldChar w:fldCharType="separate"/>
                    </w:r>
                    <w:r>
                      <w:rPr>
                        <w:rStyle w:val="1071"/>
                        <w:rFonts w:ascii="宋体" w:hAnsi="宋体"/>
                      </w:rPr>
                      <w:t xml:space="preserve">７６</w:t>
                    </w:r>
                    <w:r>
                      <w:rPr>
                        <w:rFonts w:ascii="宋体" w:hAnsi="宋体"/>
                      </w:rPr>
                      <w:fldChar w:fldCharType="end"/>
                    </w:r>
                    <w:r>
                      <w:rPr>
                        <w:rStyle w:val="1071"/>
                        <w:rFonts w:ascii="宋体" w:hAnsi="宋体"/>
                      </w:rPr>
                    </w:r>
                    <w:r/>
                  </w:p>
                  <w:p>
                    <w:pPr>
                      <w:pStyle w:val="999"/>
                    </w:pPr>
                    <w:r/>
                    <w:r/>
                  </w:p>
                </w:txbxContent>
              </v:textbox>
            </v:shape>
          </w:pict>
        </mc:Fallback>
      </mc:AlternateContent>
    </w:r>
    <w:r>
      <w:rPr>
        <w:sz w:val="20"/>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1"/>
      </w:rPr>
      <w:framePr w:wrap="around" w:vAnchor="text" w:hAnchor="margin" w:xAlign="center" w:y="1"/>
    </w:pPr>
    <w:r>
      <w:fldChar w:fldCharType="begin"/>
    </w:r>
    <w:r>
      <w:rPr>
        <w:rStyle w:val="1071"/>
      </w:rPr>
      <w:instrText xml:space="preserve">PAGE  </w:instrText>
    </w:r>
    <w:r>
      <w:fldChar w:fldCharType="separate"/>
    </w:r>
    <w:r>
      <w:rPr>
        <w:rStyle w:val="1071"/>
      </w:rPr>
      <w:t xml:space="preserve">1</w:t>
    </w:r>
    <w:r>
      <w:fldChar w:fldCharType="end"/>
    </w:r>
    <w:r>
      <w:rPr>
        <w:rStyle w:val="1071"/>
      </w:rPr>
    </w:r>
    <w:r/>
  </w:p>
  <w:p>
    <w:pPr>
      <w:pStyle w:val="104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99"/>
        <w:ind w:left="1080" w:hanging="1080"/>
        <w:tabs>
          <w:tab w:val="num" w:pos="1080" w:leader="none"/>
        </w:tabs>
      </w:pPr>
      <w:rPr>
        <w:rFonts w:hint="eastAsia" w:cs="Times New Roman"/>
      </w:rPr>
    </w:lvl>
    <w:lvl w:ilvl="1">
      <w:start w:val="1"/>
      <w:numFmt w:val="decimal"/>
      <w:isLgl w:val="false"/>
      <w:suff w:val="tab"/>
      <w:lvlText w:val="%2."/>
      <w:lvlJc w:val="left"/>
      <w:pPr>
        <w:pStyle w:val="99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99"/>
        <w:ind w:left="1260" w:hanging="420"/>
        <w:tabs>
          <w:tab w:val="num" w:pos="1260" w:leader="none"/>
        </w:tabs>
      </w:pPr>
      <w:rPr>
        <w:rFonts w:cs="Times New Roman"/>
      </w:rPr>
    </w:lvl>
    <w:lvl w:ilvl="3">
      <w:start w:val="1"/>
      <w:numFmt w:val="decimal"/>
      <w:isLgl w:val="false"/>
      <w:suff w:val="tab"/>
      <w:lvlText w:val="%4."/>
      <w:lvlJc w:val="left"/>
      <w:pPr>
        <w:pStyle w:val="999"/>
        <w:ind w:left="1680" w:hanging="420"/>
        <w:tabs>
          <w:tab w:val="num" w:pos="1680" w:leader="none"/>
        </w:tabs>
      </w:pPr>
      <w:rPr>
        <w:rFonts w:cs="Times New Roman"/>
      </w:rPr>
    </w:lvl>
    <w:lvl w:ilvl="4">
      <w:start w:val="1"/>
      <w:numFmt w:val="lowerLetter"/>
      <w:isLgl w:val="false"/>
      <w:suff w:val="tab"/>
      <w:lvlText w:val="%5)"/>
      <w:lvlJc w:val="left"/>
      <w:pPr>
        <w:pStyle w:val="999"/>
        <w:ind w:left="2100" w:hanging="420"/>
        <w:tabs>
          <w:tab w:val="num" w:pos="2100" w:leader="none"/>
        </w:tabs>
      </w:pPr>
      <w:rPr>
        <w:rFonts w:cs="Times New Roman"/>
      </w:rPr>
    </w:lvl>
    <w:lvl w:ilvl="5">
      <w:start w:val="1"/>
      <w:numFmt w:val="lowerRoman"/>
      <w:isLgl w:val="false"/>
      <w:suff w:val="tab"/>
      <w:lvlText w:val="%6."/>
      <w:lvlJc w:val="right"/>
      <w:pPr>
        <w:pStyle w:val="999"/>
        <w:ind w:left="2520" w:hanging="420"/>
        <w:tabs>
          <w:tab w:val="num" w:pos="2520" w:leader="none"/>
        </w:tabs>
      </w:pPr>
      <w:rPr>
        <w:rFonts w:cs="Times New Roman"/>
      </w:rPr>
    </w:lvl>
    <w:lvl w:ilvl="6">
      <w:start w:val="1"/>
      <w:numFmt w:val="decimal"/>
      <w:isLgl w:val="false"/>
      <w:suff w:val="tab"/>
      <w:lvlText w:val="%7."/>
      <w:lvlJc w:val="left"/>
      <w:pPr>
        <w:pStyle w:val="999"/>
        <w:ind w:left="2940" w:hanging="420"/>
        <w:tabs>
          <w:tab w:val="num" w:pos="2940" w:leader="none"/>
        </w:tabs>
      </w:pPr>
      <w:rPr>
        <w:rFonts w:cs="Times New Roman"/>
      </w:rPr>
    </w:lvl>
    <w:lvl w:ilvl="7">
      <w:start w:val="1"/>
      <w:numFmt w:val="lowerLetter"/>
      <w:isLgl w:val="false"/>
      <w:suff w:val="tab"/>
      <w:lvlText w:val="%8)"/>
      <w:lvlJc w:val="left"/>
      <w:pPr>
        <w:pStyle w:val="999"/>
        <w:ind w:left="3360" w:hanging="420"/>
        <w:tabs>
          <w:tab w:val="num" w:pos="3360" w:leader="none"/>
        </w:tabs>
      </w:pPr>
      <w:rPr>
        <w:rFonts w:cs="Times New Roman"/>
      </w:rPr>
    </w:lvl>
    <w:lvl w:ilvl="8">
      <w:start w:val="1"/>
      <w:numFmt w:val="lowerRoman"/>
      <w:isLgl w:val="false"/>
      <w:suff w:val="tab"/>
      <w:lvlText w:val="%9."/>
      <w:lvlJc w:val="right"/>
      <w:pPr>
        <w:pStyle w:val="999"/>
        <w:ind w:left="3780" w:hanging="420"/>
        <w:tabs>
          <w:tab w:val="num" w:pos="3780" w:leader="none"/>
        </w:tabs>
      </w:pPr>
      <w:rPr>
        <w:rFonts w:cs="Times New Roman"/>
      </w:rPr>
    </w:lvl>
  </w:abstractNum>
  <w:abstractNum w:abstractNumId="3">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78"/>
      <w:isLgl w:val="false"/>
      <w:suff w:val="tab"/>
      <w:lvlText w:val="附录%1."/>
      <w:lvlJc w:val="left"/>
      <w:pPr>
        <w:pStyle w:val="9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999"/>
        <w:ind w:left="1080" w:hanging="1080"/>
        <w:tabs>
          <w:tab w:val="num" w:pos="1080" w:leader="none"/>
        </w:tabs>
      </w:pPr>
      <w:rPr>
        <w:rFonts w:hint="eastAsia" w:cs="Times New Roman"/>
      </w:rPr>
    </w:lvl>
    <w:lvl w:ilvl="1">
      <w:start w:val="1"/>
      <w:numFmt w:val="decimal"/>
      <w:isLgl w:val="false"/>
      <w:suff w:val="tab"/>
      <w:lvlText w:val="%2."/>
      <w:lvlJc w:val="left"/>
      <w:pPr>
        <w:pStyle w:val="99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99"/>
        <w:ind w:left="1260" w:hanging="420"/>
        <w:tabs>
          <w:tab w:val="num" w:pos="1260" w:leader="none"/>
        </w:tabs>
      </w:pPr>
      <w:rPr>
        <w:rFonts w:cs="Times New Roman"/>
      </w:rPr>
    </w:lvl>
    <w:lvl w:ilvl="3">
      <w:start w:val="1"/>
      <w:numFmt w:val="decimal"/>
      <w:isLgl w:val="false"/>
      <w:suff w:val="tab"/>
      <w:lvlText w:val="%4."/>
      <w:lvlJc w:val="left"/>
      <w:pPr>
        <w:pStyle w:val="999"/>
        <w:ind w:left="1680" w:hanging="420"/>
        <w:tabs>
          <w:tab w:val="num" w:pos="1680" w:leader="none"/>
        </w:tabs>
      </w:pPr>
      <w:rPr>
        <w:rFonts w:cs="Times New Roman"/>
      </w:rPr>
    </w:lvl>
    <w:lvl w:ilvl="4">
      <w:start w:val="1"/>
      <w:numFmt w:val="lowerLetter"/>
      <w:isLgl w:val="false"/>
      <w:suff w:val="tab"/>
      <w:lvlText w:val="%5)"/>
      <w:lvlJc w:val="left"/>
      <w:pPr>
        <w:pStyle w:val="999"/>
        <w:ind w:left="2100" w:hanging="420"/>
        <w:tabs>
          <w:tab w:val="num" w:pos="2100" w:leader="none"/>
        </w:tabs>
      </w:pPr>
      <w:rPr>
        <w:rFonts w:cs="Times New Roman"/>
      </w:rPr>
    </w:lvl>
    <w:lvl w:ilvl="5">
      <w:start w:val="1"/>
      <w:numFmt w:val="lowerRoman"/>
      <w:isLgl w:val="false"/>
      <w:suff w:val="tab"/>
      <w:lvlText w:val="%6."/>
      <w:lvlJc w:val="right"/>
      <w:pPr>
        <w:pStyle w:val="999"/>
        <w:ind w:left="2520" w:hanging="420"/>
        <w:tabs>
          <w:tab w:val="num" w:pos="2520" w:leader="none"/>
        </w:tabs>
      </w:pPr>
      <w:rPr>
        <w:rFonts w:cs="Times New Roman"/>
      </w:rPr>
    </w:lvl>
    <w:lvl w:ilvl="6">
      <w:start w:val="1"/>
      <w:numFmt w:val="decimal"/>
      <w:isLgl w:val="false"/>
      <w:suff w:val="tab"/>
      <w:lvlText w:val="%7."/>
      <w:lvlJc w:val="left"/>
      <w:pPr>
        <w:pStyle w:val="999"/>
        <w:ind w:left="2940" w:hanging="420"/>
        <w:tabs>
          <w:tab w:val="num" w:pos="2940" w:leader="none"/>
        </w:tabs>
      </w:pPr>
      <w:rPr>
        <w:rFonts w:cs="Times New Roman"/>
      </w:rPr>
    </w:lvl>
    <w:lvl w:ilvl="7">
      <w:start w:val="1"/>
      <w:numFmt w:val="lowerLetter"/>
      <w:isLgl w:val="false"/>
      <w:suff w:val="tab"/>
      <w:lvlText w:val="%8)"/>
      <w:lvlJc w:val="left"/>
      <w:pPr>
        <w:pStyle w:val="999"/>
        <w:ind w:left="3360" w:hanging="420"/>
        <w:tabs>
          <w:tab w:val="num" w:pos="3360" w:leader="none"/>
        </w:tabs>
      </w:pPr>
      <w:rPr>
        <w:rFonts w:cs="Times New Roman"/>
      </w:rPr>
    </w:lvl>
    <w:lvl w:ilvl="8">
      <w:start w:val="1"/>
      <w:numFmt w:val="lowerRoman"/>
      <w:isLgl w:val="false"/>
      <w:suff w:val="tab"/>
      <w:lvlText w:val="%9."/>
      <w:lvlJc w:val="right"/>
      <w:pPr>
        <w:pStyle w:val="999"/>
        <w:ind w:left="3780" w:hanging="420"/>
        <w:tabs>
          <w:tab w:val="num" w:pos="3780" w:leader="none"/>
        </w:tabs>
      </w:pPr>
      <w:rPr>
        <w:rFonts w:cs="Times New Roman"/>
      </w:rPr>
    </w:lvl>
  </w:abstractNum>
  <w:abstractNum w:abstractNumId="7">
    <w:multiLevelType w:val="hybridMultilevel"/>
    <w:lvl w:ilvl="0">
      <w:start w:val="1"/>
      <w:numFmt w:val="decimal"/>
      <w:isLgl w:val="false"/>
      <w:suff w:val="tab"/>
      <w:lvlText w:val="%1."/>
      <w:lvlJc w:val="left"/>
      <w:pPr>
        <w:pStyle w:val="999"/>
        <w:ind w:left="510" w:hanging="360"/>
        <w:tabs>
          <w:tab w:val="num" w:pos="510" w:leader="none"/>
        </w:tabs>
      </w:pPr>
      <w:rPr>
        <w:rFonts w:hint="eastAsia" w:cs="Times New Roman"/>
      </w:rPr>
    </w:lvl>
    <w:lvl w:ilvl="1">
      <w:start w:val="1"/>
      <w:numFmt w:val="decimal"/>
      <w:isLgl w:val="false"/>
      <w:suff w:val="tab"/>
      <w:lvlText w:val="%2．"/>
      <w:lvlJc w:val="left"/>
      <w:pPr>
        <w:pStyle w:val="999"/>
        <w:ind w:left="1290" w:hanging="720"/>
        <w:tabs>
          <w:tab w:val="num" w:pos="1290" w:leader="none"/>
        </w:tabs>
      </w:pPr>
      <w:rPr>
        <w:rFonts w:hint="eastAsia" w:cs="Times New Roman"/>
      </w:rPr>
    </w:lvl>
    <w:lvl w:ilvl="2">
      <w:start w:val="3"/>
      <w:numFmt w:val="decimal"/>
      <w:isLgl w:val="false"/>
      <w:suff w:val="tab"/>
      <w:lvlText w:val="（%3）"/>
      <w:lvlJc w:val="left"/>
      <w:pPr>
        <w:pStyle w:val="999"/>
        <w:ind w:left="1140" w:hanging="720"/>
        <w:tabs>
          <w:tab w:val="num" w:pos="1140" w:leader="none"/>
        </w:tabs>
      </w:pPr>
      <w:rPr>
        <w:rFonts w:hint="eastAsia" w:cs="Times New Roman"/>
      </w:rPr>
    </w:lvl>
    <w:lvl w:ilvl="3">
      <w:start w:val="1"/>
      <w:numFmt w:val="decimal"/>
      <w:isLgl w:val="false"/>
      <w:suff w:val="tab"/>
      <w:lvlText w:val="（%4）"/>
      <w:lvlJc w:val="left"/>
      <w:pPr>
        <w:pStyle w:val="999"/>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999"/>
        <w:ind w:left="2250" w:hanging="420"/>
      </w:pPr>
      <w:rPr>
        <w:rFonts w:hint="eastAsia"/>
        <w:b/>
        <w:lang w:val="en-US"/>
      </w:rPr>
    </w:lvl>
    <w:lvl w:ilvl="5">
      <w:start w:val="10"/>
      <w:numFmt w:val="japaneseCounting"/>
      <w:isLgl w:val="false"/>
      <w:suff w:val="tab"/>
      <w:lvlText w:val="（%6）"/>
      <w:lvlJc w:val="left"/>
      <w:pPr>
        <w:pStyle w:val="999"/>
        <w:ind w:left="2970" w:hanging="720"/>
      </w:pPr>
      <w:rPr>
        <w:rFonts w:hint="eastAsia" w:cs="Times New Roman"/>
      </w:rPr>
    </w:lvl>
    <w:lvl w:ilvl="6">
      <w:start w:val="1"/>
      <w:numFmt w:val="decimal"/>
      <w:isLgl w:val="false"/>
      <w:suff w:val="tab"/>
      <w:lvlText w:val="（%7）"/>
      <w:lvlJc w:val="left"/>
      <w:pPr>
        <w:pStyle w:val="999"/>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999"/>
        <w:ind w:left="3510" w:hanging="420"/>
        <w:tabs>
          <w:tab w:val="num" w:pos="3510" w:leader="none"/>
        </w:tabs>
      </w:pPr>
      <w:rPr>
        <w:rFonts w:hint="eastAsia" w:cs="Times New Roman"/>
      </w:rPr>
    </w:lvl>
    <w:lvl w:ilvl="8">
      <w:start w:val="1"/>
      <w:numFmt w:val="lowerRoman"/>
      <w:isLgl w:val="false"/>
      <w:suff w:val="tab"/>
      <w:lvlText w:val="%9."/>
      <w:lvlJc w:val="right"/>
      <w:pPr>
        <w:pStyle w:val="999"/>
        <w:ind w:left="3930" w:hanging="420"/>
        <w:tabs>
          <w:tab w:val="num" w:pos="3930" w:leader="none"/>
        </w:tabs>
      </w:pPr>
      <w:rPr>
        <w:rFonts w:hint="eastAsia" w:cs="Times New Roman"/>
      </w:rPr>
    </w:lvl>
  </w:abstractNum>
  <w:abstractNum w:abstractNumId="8">
    <w:multiLevelType w:val="hybridMultilevel"/>
    <w:lvl w:ilvl="0">
      <w:start w:val="1"/>
      <w:numFmt w:val="decimal"/>
      <w:pStyle w:val="1095"/>
      <w:isLgl w:val="false"/>
      <w:suff w:val="tab"/>
      <w:lvlText w:val="%1."/>
      <w:lvlJc w:val="left"/>
      <w:pPr>
        <w:pStyle w:val="999"/>
        <w:ind w:left="709" w:hanging="709"/>
        <w:tabs>
          <w:tab w:val="num" w:pos="709" w:leader="none"/>
        </w:tabs>
      </w:pPr>
      <w:rPr>
        <w:rFonts w:hint="eastAsia"/>
      </w:rPr>
    </w:lvl>
    <w:lvl w:ilvl="1">
      <w:start w:val="1"/>
      <w:numFmt w:val="decimal"/>
      <w:isLgl w:val="false"/>
      <w:suff w:val="tab"/>
      <w:lvlText w:val="%1.%2"/>
      <w:lvlJc w:val="left"/>
      <w:pPr>
        <w:pStyle w:val="999"/>
        <w:ind w:left="709" w:hanging="709"/>
        <w:tabs>
          <w:tab w:val="num" w:pos="709" w:leader="none"/>
        </w:tabs>
      </w:pPr>
      <w:rPr>
        <w:rFonts w:hint="eastAsia"/>
      </w:rPr>
    </w:lvl>
    <w:lvl w:ilvl="2">
      <w:start w:val="1"/>
      <w:numFmt w:val="decimal"/>
      <w:isLgl w:val="false"/>
      <w:suff w:val="tab"/>
      <w:lvlText w:val="%1.%2.%3."/>
      <w:lvlJc w:val="left"/>
      <w:pPr>
        <w:pStyle w:val="999"/>
        <w:ind w:left="425" w:hanging="425"/>
        <w:tabs>
          <w:tab w:val="num" w:pos="425" w:leader="none"/>
        </w:tabs>
      </w:pPr>
      <w:rPr>
        <w:rFonts w:hint="eastAsia"/>
      </w:rPr>
    </w:lvl>
    <w:lvl w:ilvl="3">
      <w:start w:val="1"/>
      <w:numFmt w:val="decimal"/>
      <w:isLgl w:val="false"/>
      <w:suff w:val="tab"/>
      <w:lvlText w:val="%1.%2.%3.%4."/>
      <w:lvlJc w:val="left"/>
      <w:pPr>
        <w:pStyle w:val="999"/>
        <w:ind w:left="851" w:hanging="851"/>
        <w:tabs>
          <w:tab w:val="num" w:pos="851" w:leader="none"/>
        </w:tabs>
      </w:pPr>
      <w:rPr>
        <w:rFonts w:hint="eastAsia"/>
      </w:rPr>
    </w:lvl>
    <w:lvl w:ilvl="4">
      <w:start w:val="1"/>
      <w:numFmt w:val="decimal"/>
      <w:isLgl w:val="false"/>
      <w:suff w:val="tab"/>
      <w:lvlText w:val="%1.%2.%3.%4.%5."/>
      <w:lvlJc w:val="left"/>
      <w:pPr>
        <w:pStyle w:val="999"/>
        <w:ind w:left="992" w:hanging="992"/>
        <w:tabs>
          <w:tab w:val="num" w:pos="992" w:leader="none"/>
        </w:tabs>
      </w:pPr>
      <w:rPr>
        <w:rFonts w:hint="eastAsia"/>
      </w:rPr>
    </w:lvl>
    <w:lvl w:ilvl="5">
      <w:start w:val="1"/>
      <w:numFmt w:val="decimal"/>
      <w:isLgl w:val="false"/>
      <w:suff w:val="tab"/>
      <w:lvlText w:val="%1.%2.%3.%4.%5.%6."/>
      <w:lvlJc w:val="left"/>
      <w:pPr>
        <w:pStyle w:val="999"/>
        <w:ind w:left="1134" w:hanging="1134"/>
        <w:tabs>
          <w:tab w:val="num" w:pos="1134" w:leader="none"/>
        </w:tabs>
      </w:pPr>
      <w:rPr>
        <w:rFonts w:hint="eastAsia"/>
      </w:rPr>
    </w:lvl>
    <w:lvl w:ilvl="6">
      <w:start w:val="1"/>
      <w:numFmt w:val="decimal"/>
      <w:isLgl w:val="false"/>
      <w:suff w:val="tab"/>
      <w:lvlText w:val="%1.%2.%3.%4.%5.%6.%7."/>
      <w:lvlJc w:val="left"/>
      <w:pPr>
        <w:pStyle w:val="999"/>
        <w:ind w:left="1276" w:hanging="1276"/>
        <w:tabs>
          <w:tab w:val="num" w:pos="1276" w:leader="none"/>
        </w:tabs>
      </w:pPr>
      <w:rPr>
        <w:rFonts w:hint="eastAsia"/>
      </w:rPr>
    </w:lvl>
    <w:lvl w:ilvl="7">
      <w:start w:val="1"/>
      <w:numFmt w:val="decimal"/>
      <w:isLgl w:val="false"/>
      <w:suff w:val="tab"/>
      <w:lvlText w:val="%1.%2.%3.%4.%5.%6.%7.%8."/>
      <w:lvlJc w:val="left"/>
      <w:pPr>
        <w:pStyle w:val="999"/>
        <w:ind w:left="1418" w:hanging="1418"/>
        <w:tabs>
          <w:tab w:val="num" w:pos="1418" w:leader="none"/>
        </w:tabs>
      </w:pPr>
      <w:rPr>
        <w:rFonts w:hint="eastAsia"/>
      </w:rPr>
    </w:lvl>
    <w:lvl w:ilvl="8">
      <w:start w:val="1"/>
      <w:numFmt w:val="decimal"/>
      <w:isLgl w:val="false"/>
      <w:suff w:val="tab"/>
      <w:lvlText w:val="%1.%2.%3.%4.%5.%6.%7.%8.%9."/>
      <w:lvlJc w:val="left"/>
      <w:pPr>
        <w:pStyle w:val="999"/>
        <w:ind w:left="1559" w:hanging="1559"/>
        <w:tabs>
          <w:tab w:val="num" w:pos="1559" w:leader="none"/>
        </w:tabs>
      </w:pPr>
      <w:rPr>
        <w:rFonts w:hint="eastAsia"/>
      </w:rPr>
    </w:lvl>
  </w:abstractNum>
  <w:abstractNum w:abstractNumId="9">
    <w:multiLevelType w:val="hybridMultilevel"/>
    <w:lvl w:ilvl="0">
      <w:start w:val="1"/>
      <w:numFmt w:val="bullet"/>
      <w:isLgl w:val="false"/>
      <w:suff w:val="tab"/>
      <w:lvlText w:val=""/>
      <w:lvlJc w:val="left"/>
      <w:pPr>
        <w:pStyle w:val="999"/>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99"/>
        <w:ind w:left="0" w:firstLine="0"/>
      </w:pPr>
      <w:rPr>
        <w:rFonts w:hint="eastAsia"/>
      </w:rPr>
    </w:lvl>
    <w:lvl w:ilvl="1">
      <w:start w:val="1"/>
      <w:numFmt w:val="decimal"/>
      <w:isLgl w:val="false"/>
      <w:suff w:val="nothing"/>
      <w:lvlText w:val="%2、"/>
      <w:lvlJc w:val="left"/>
      <w:pPr>
        <w:pStyle w:val="999"/>
        <w:ind w:left="0" w:firstLine="0"/>
      </w:pPr>
      <w:rPr>
        <w:rFonts w:hint="eastAsia"/>
      </w:rPr>
    </w:lvl>
    <w:lvl w:ilvl="2">
      <w:start w:val="1"/>
      <w:numFmt w:val="decimal"/>
      <w:isLgl w:val="false"/>
      <w:suff w:val="nothing"/>
      <w:lvlText w:val="%2.%3 "/>
      <w:lvlJc w:val="left"/>
      <w:pPr>
        <w:pStyle w:val="999"/>
        <w:ind w:left="0" w:firstLine="0"/>
      </w:pPr>
      <w:rPr>
        <w:rFonts w:hint="eastAsia"/>
      </w:rPr>
    </w:lvl>
    <w:lvl w:ilvl="3">
      <w:start w:val="1"/>
      <w:numFmt w:val="decimal"/>
      <w:isLgl w:val="false"/>
      <w:suff w:val="nothing"/>
      <w:lvlText w:val="%2.%3.%4 "/>
      <w:lvlJc w:val="left"/>
      <w:pPr>
        <w:pStyle w:val="999"/>
        <w:ind w:left="0" w:firstLine="0"/>
      </w:pPr>
      <w:rPr>
        <w:rFonts w:hint="eastAsia"/>
      </w:rPr>
    </w:lvl>
    <w:lvl w:ilvl="4">
      <w:start w:val="1"/>
      <w:numFmt w:val="decimal"/>
      <w:isLgl w:val="false"/>
      <w:suff w:val="nothing"/>
      <w:lvlText w:val="%2.%3.%4.%5 "/>
      <w:lvlJc w:val="left"/>
      <w:pPr>
        <w:pStyle w:val="999"/>
        <w:ind w:left="0" w:firstLine="0"/>
      </w:pPr>
      <w:rPr>
        <w:rFonts w:hint="eastAsia"/>
      </w:rPr>
    </w:lvl>
    <w:lvl w:ilvl="5">
      <w:start w:val="1"/>
      <w:numFmt w:val="decimal"/>
      <w:pStyle w:val="1005"/>
      <w:isLgl w:val="false"/>
      <w:suff w:val="nothing"/>
      <w:lvlText w:val=""/>
      <w:lvlJc w:val="left"/>
      <w:pPr>
        <w:pStyle w:val="999"/>
        <w:ind w:left="0" w:firstLine="0"/>
      </w:pPr>
      <w:rPr>
        <w:rFonts w:hint="eastAsia"/>
      </w:rPr>
    </w:lvl>
    <w:lvl w:ilvl="6">
      <w:start w:val="1"/>
      <w:numFmt w:val="decimal"/>
      <w:pStyle w:val="1006"/>
      <w:isLgl w:val="false"/>
      <w:suff w:val="nothing"/>
      <w:lvlText w:val=""/>
      <w:lvlJc w:val="left"/>
      <w:pPr>
        <w:pStyle w:val="999"/>
        <w:ind w:left="0" w:firstLine="0"/>
      </w:pPr>
      <w:rPr>
        <w:rFonts w:hint="eastAsia"/>
      </w:rPr>
    </w:lvl>
    <w:lvl w:ilvl="7">
      <w:start w:val="1"/>
      <w:numFmt w:val="decimal"/>
      <w:pStyle w:val="1007"/>
      <w:isLgl w:val="false"/>
      <w:suff w:val="nothing"/>
      <w:lvlText w:val=""/>
      <w:lvlJc w:val="left"/>
      <w:pPr>
        <w:pStyle w:val="999"/>
        <w:ind w:left="0" w:firstLine="0"/>
      </w:pPr>
      <w:rPr>
        <w:rFonts w:hint="eastAsia"/>
      </w:rPr>
    </w:lvl>
    <w:lvl w:ilvl="8">
      <w:start w:val="1"/>
      <w:numFmt w:val="decimal"/>
      <w:pStyle w:val="1008"/>
      <w:isLgl w:val="false"/>
      <w:suff w:val="nothing"/>
      <w:lvlText w:val=""/>
      <w:lvlJc w:val="left"/>
      <w:pPr>
        <w:pStyle w:val="999"/>
        <w:ind w:left="0" w:firstLine="0"/>
      </w:pPr>
      <w:rPr>
        <w:rFonts w:hint="eastAsia"/>
      </w:rPr>
    </w:lvl>
  </w:abstractNum>
  <w:abstractNum w:abstractNumId="11">
    <w:multiLevelType w:val="hybridMultilevel"/>
    <w:lvl w:ilvl="0">
      <w:start w:val="1"/>
      <w:numFmt w:val="japaneseCounting"/>
      <w:isLgl w:val="false"/>
      <w:suff w:val="tab"/>
      <w:lvlText w:val="%1、"/>
      <w:lvlJc w:val="left"/>
      <w:pPr>
        <w:pStyle w:val="99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99"/>
        <w:ind w:left="840" w:hanging="420"/>
        <w:tabs>
          <w:tab w:val="num" w:pos="840" w:leader="none"/>
        </w:tabs>
      </w:pPr>
      <w:rPr>
        <w:rFonts w:cs="Times New Roman"/>
      </w:rPr>
    </w:lvl>
    <w:lvl w:ilvl="2">
      <w:start w:val="10"/>
      <w:numFmt w:val="decimal"/>
      <w:isLgl w:val="false"/>
      <w:suff w:val="tab"/>
      <w:lvlText w:val="%3."/>
      <w:lvlJc w:val="left"/>
      <w:pPr>
        <w:pStyle w:val="999"/>
        <w:ind w:left="1200" w:hanging="360"/>
        <w:tabs>
          <w:tab w:val="num" w:pos="1200" w:leader="none"/>
        </w:tabs>
      </w:pPr>
      <w:rPr>
        <w:rFonts w:cs="Times New Roman"/>
      </w:rPr>
    </w:lvl>
    <w:lvl w:ilvl="3">
      <w:start w:val="1"/>
      <w:numFmt w:val="decimal"/>
      <w:isLgl w:val="false"/>
      <w:suff w:val="tab"/>
      <w:lvlText w:val="%4."/>
      <w:lvlJc w:val="left"/>
      <w:pPr>
        <w:pStyle w:val="999"/>
        <w:ind w:left="1680" w:hanging="420"/>
        <w:tabs>
          <w:tab w:val="num" w:pos="1680" w:leader="none"/>
        </w:tabs>
      </w:pPr>
      <w:rPr>
        <w:rFonts w:cs="Times New Roman"/>
      </w:rPr>
    </w:lvl>
    <w:lvl w:ilvl="4">
      <w:start w:val="1"/>
      <w:numFmt w:val="lowerLetter"/>
      <w:isLgl w:val="false"/>
      <w:suff w:val="tab"/>
      <w:lvlText w:val="%5)"/>
      <w:lvlJc w:val="left"/>
      <w:pPr>
        <w:pStyle w:val="999"/>
        <w:ind w:left="2100" w:hanging="420"/>
        <w:tabs>
          <w:tab w:val="num" w:pos="2100" w:leader="none"/>
        </w:tabs>
      </w:pPr>
      <w:rPr>
        <w:rFonts w:cs="Times New Roman"/>
      </w:rPr>
    </w:lvl>
    <w:lvl w:ilvl="5">
      <w:start w:val="1"/>
      <w:numFmt w:val="lowerRoman"/>
      <w:isLgl w:val="false"/>
      <w:suff w:val="tab"/>
      <w:lvlText w:val="%6."/>
      <w:lvlJc w:val="right"/>
      <w:pPr>
        <w:pStyle w:val="999"/>
        <w:ind w:left="2520" w:hanging="420"/>
        <w:tabs>
          <w:tab w:val="num" w:pos="2520" w:leader="none"/>
        </w:tabs>
      </w:pPr>
      <w:rPr>
        <w:rFonts w:cs="Times New Roman"/>
      </w:rPr>
    </w:lvl>
    <w:lvl w:ilvl="6">
      <w:start w:val="1"/>
      <w:numFmt w:val="decimal"/>
      <w:isLgl w:val="false"/>
      <w:suff w:val="tab"/>
      <w:lvlText w:val="%7."/>
      <w:lvlJc w:val="left"/>
      <w:pPr>
        <w:pStyle w:val="999"/>
        <w:ind w:left="2940" w:hanging="420"/>
        <w:tabs>
          <w:tab w:val="num" w:pos="2940" w:leader="none"/>
        </w:tabs>
      </w:pPr>
      <w:rPr>
        <w:rFonts w:cs="Times New Roman"/>
      </w:rPr>
    </w:lvl>
    <w:lvl w:ilvl="7">
      <w:start w:val="1"/>
      <w:numFmt w:val="lowerLetter"/>
      <w:isLgl w:val="false"/>
      <w:suff w:val="tab"/>
      <w:lvlText w:val="%8)"/>
      <w:lvlJc w:val="left"/>
      <w:pPr>
        <w:pStyle w:val="999"/>
        <w:ind w:left="3360" w:hanging="420"/>
        <w:tabs>
          <w:tab w:val="num" w:pos="3360" w:leader="none"/>
        </w:tabs>
      </w:pPr>
      <w:rPr>
        <w:rFonts w:cs="Times New Roman"/>
      </w:rPr>
    </w:lvl>
    <w:lvl w:ilvl="8">
      <w:start w:val="1"/>
      <w:numFmt w:val="lowerRoman"/>
      <w:isLgl w:val="false"/>
      <w:suff w:val="tab"/>
      <w:lvlText w:val="%9."/>
      <w:lvlJc w:val="right"/>
      <w:pPr>
        <w:pStyle w:val="999"/>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99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8"/>
  </w:num>
  <w:num w:numId="4">
    <w:abstractNumId w:val="13"/>
  </w:num>
  <w:num w:numId="5">
    <w:abstractNumId w:val="14"/>
  </w:num>
  <w:num w:numId="6">
    <w:abstractNumId w:val="3"/>
  </w:num>
  <w:num w:numId="7">
    <w:abstractNumId w:val="1"/>
  </w:num>
  <w:num w:numId="8">
    <w:abstractNumId w:val="6"/>
  </w:num>
  <w:num w:numId="9">
    <w:abstractNumId w:val="2"/>
  </w:num>
  <w:num w:numId="10">
    <w:abstractNumId w:val="7"/>
  </w:num>
  <w:num w:numId="11">
    <w:abstractNumId w:val="4"/>
  </w:num>
  <w:num w:numId="12">
    <w:abstractNumId w:val="12"/>
  </w:num>
  <w:num w:numId="13">
    <w:abstractNumId w:val="0"/>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name w:val="Heading 1"/>
    <w:basedOn w:val="999"/>
    <w:next w:val="999"/>
    <w:link w:val="822"/>
    <w:uiPriority w:val="9"/>
    <w:qFormat/>
    <w:pPr>
      <w:keepLines/>
      <w:keepNext/>
      <w:spacing w:before="480" w:after="200"/>
      <w:outlineLvl w:val="0"/>
    </w:pPr>
    <w:rPr>
      <w:rFonts w:ascii="Arial" w:hAnsi="Arial" w:eastAsia="Arial" w:cs="Arial"/>
      <w:sz w:val="40"/>
      <w:szCs w:val="40"/>
    </w:rPr>
  </w:style>
  <w:style w:type="character" w:styleId="822">
    <w:name w:val="Heading 1 Char"/>
    <w:link w:val="821"/>
    <w:uiPriority w:val="9"/>
    <w:rPr>
      <w:rFonts w:ascii="Arial" w:hAnsi="Arial" w:eastAsia="Arial" w:cs="Arial"/>
      <w:sz w:val="40"/>
      <w:szCs w:val="40"/>
    </w:rPr>
  </w:style>
  <w:style w:type="paragraph" w:styleId="823">
    <w:name w:val="Heading 2"/>
    <w:basedOn w:val="999"/>
    <w:next w:val="999"/>
    <w:link w:val="824"/>
    <w:uiPriority w:val="9"/>
    <w:unhideWhenUsed/>
    <w:qFormat/>
    <w:pPr>
      <w:keepLines/>
      <w:keepNext/>
      <w:spacing w:before="360" w:after="200"/>
      <w:outlineLvl w:val="1"/>
    </w:pPr>
    <w:rPr>
      <w:rFonts w:ascii="Arial" w:hAnsi="Arial" w:eastAsia="Arial" w:cs="Arial"/>
      <w:sz w:val="34"/>
    </w:rPr>
  </w:style>
  <w:style w:type="character" w:styleId="824">
    <w:name w:val="Heading 2 Char"/>
    <w:link w:val="823"/>
    <w:uiPriority w:val="9"/>
    <w:rPr>
      <w:rFonts w:ascii="Arial" w:hAnsi="Arial" w:eastAsia="Arial" w:cs="Arial"/>
      <w:sz w:val="34"/>
    </w:rPr>
  </w:style>
  <w:style w:type="paragraph" w:styleId="825">
    <w:name w:val="Heading 3"/>
    <w:basedOn w:val="999"/>
    <w:next w:val="999"/>
    <w:link w:val="826"/>
    <w:uiPriority w:val="9"/>
    <w:unhideWhenUsed/>
    <w:qFormat/>
    <w:pPr>
      <w:keepLines/>
      <w:keepNext/>
      <w:spacing w:before="320" w:after="200"/>
      <w:outlineLvl w:val="2"/>
    </w:pPr>
    <w:rPr>
      <w:rFonts w:ascii="Arial" w:hAnsi="Arial" w:eastAsia="Arial" w:cs="Arial"/>
      <w:sz w:val="30"/>
      <w:szCs w:val="30"/>
    </w:rPr>
  </w:style>
  <w:style w:type="character" w:styleId="826">
    <w:name w:val="Heading 3 Char"/>
    <w:link w:val="825"/>
    <w:uiPriority w:val="9"/>
    <w:rPr>
      <w:rFonts w:ascii="Arial" w:hAnsi="Arial" w:eastAsia="Arial" w:cs="Arial"/>
      <w:sz w:val="30"/>
      <w:szCs w:val="30"/>
    </w:rPr>
  </w:style>
  <w:style w:type="paragraph" w:styleId="827">
    <w:name w:val="Heading 4"/>
    <w:basedOn w:val="999"/>
    <w:next w:val="999"/>
    <w:link w:val="828"/>
    <w:uiPriority w:val="9"/>
    <w:unhideWhenUsed/>
    <w:qFormat/>
    <w:pPr>
      <w:keepLines/>
      <w:keepNext/>
      <w:spacing w:before="320" w:after="200"/>
      <w:outlineLvl w:val="3"/>
    </w:pPr>
    <w:rPr>
      <w:rFonts w:ascii="Arial" w:hAnsi="Arial" w:eastAsia="Arial" w:cs="Arial"/>
      <w:b/>
      <w:bCs/>
      <w:sz w:val="26"/>
      <w:szCs w:val="26"/>
    </w:rPr>
  </w:style>
  <w:style w:type="character" w:styleId="828">
    <w:name w:val="Heading 4 Char"/>
    <w:link w:val="827"/>
    <w:uiPriority w:val="9"/>
    <w:rPr>
      <w:rFonts w:ascii="Arial" w:hAnsi="Arial" w:eastAsia="Arial" w:cs="Arial"/>
      <w:b/>
      <w:bCs/>
      <w:sz w:val="26"/>
      <w:szCs w:val="26"/>
    </w:rPr>
  </w:style>
  <w:style w:type="paragraph" w:styleId="829">
    <w:name w:val="Heading 5"/>
    <w:basedOn w:val="999"/>
    <w:next w:val="999"/>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link w:val="829"/>
    <w:uiPriority w:val="9"/>
    <w:rPr>
      <w:rFonts w:ascii="Arial" w:hAnsi="Arial" w:eastAsia="Arial" w:cs="Arial"/>
      <w:b/>
      <w:bCs/>
      <w:sz w:val="24"/>
      <w:szCs w:val="24"/>
    </w:rPr>
  </w:style>
  <w:style w:type="paragraph" w:styleId="831">
    <w:name w:val="Heading 6"/>
    <w:basedOn w:val="999"/>
    <w:next w:val="999"/>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link w:val="831"/>
    <w:uiPriority w:val="9"/>
    <w:rPr>
      <w:rFonts w:ascii="Arial" w:hAnsi="Arial" w:eastAsia="Arial" w:cs="Arial"/>
      <w:b/>
      <w:bCs/>
      <w:sz w:val="22"/>
      <w:szCs w:val="22"/>
    </w:rPr>
  </w:style>
  <w:style w:type="paragraph" w:styleId="833">
    <w:name w:val="Heading 7"/>
    <w:basedOn w:val="999"/>
    <w:next w:val="999"/>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link w:val="833"/>
    <w:uiPriority w:val="9"/>
    <w:rPr>
      <w:rFonts w:ascii="Arial" w:hAnsi="Arial" w:eastAsia="Arial" w:cs="Arial"/>
      <w:b/>
      <w:bCs/>
      <w:i/>
      <w:iCs/>
      <w:sz w:val="22"/>
      <w:szCs w:val="22"/>
    </w:rPr>
  </w:style>
  <w:style w:type="paragraph" w:styleId="835">
    <w:name w:val="Heading 8"/>
    <w:basedOn w:val="999"/>
    <w:next w:val="999"/>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link w:val="835"/>
    <w:uiPriority w:val="9"/>
    <w:rPr>
      <w:rFonts w:ascii="Arial" w:hAnsi="Arial" w:eastAsia="Arial" w:cs="Arial"/>
      <w:i/>
      <w:iCs/>
      <w:sz w:val="22"/>
      <w:szCs w:val="22"/>
    </w:rPr>
  </w:style>
  <w:style w:type="paragraph" w:styleId="837">
    <w:name w:val="Heading 9"/>
    <w:basedOn w:val="999"/>
    <w:next w:val="999"/>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link w:val="837"/>
    <w:uiPriority w:val="9"/>
    <w:rPr>
      <w:rFonts w:ascii="Arial" w:hAnsi="Arial" w:eastAsia="Arial" w:cs="Arial"/>
      <w:i/>
      <w:iCs/>
      <w:sz w:val="21"/>
      <w:szCs w:val="21"/>
    </w:rPr>
  </w:style>
  <w:style w:type="paragraph" w:styleId="839">
    <w:name w:val="List Paragraph"/>
    <w:basedOn w:val="999"/>
    <w:uiPriority w:val="34"/>
    <w:qFormat/>
    <w:pPr>
      <w:contextualSpacing/>
      <w:ind w:left="720"/>
    </w:pPr>
  </w:style>
  <w:style w:type="paragraph" w:styleId="840">
    <w:name w:val="No Spacing"/>
    <w:uiPriority w:val="1"/>
    <w:qFormat/>
    <w:pPr>
      <w:spacing w:before="0" w:after="0" w:line="240" w:lineRule="auto"/>
    </w:pPr>
  </w:style>
  <w:style w:type="paragraph" w:styleId="841">
    <w:name w:val="Title"/>
    <w:basedOn w:val="999"/>
    <w:next w:val="999"/>
    <w:link w:val="842"/>
    <w:uiPriority w:val="10"/>
    <w:qFormat/>
    <w:pPr>
      <w:contextualSpacing/>
      <w:spacing w:before="300" w:after="200"/>
    </w:pPr>
    <w:rPr>
      <w:sz w:val="48"/>
      <w:szCs w:val="48"/>
    </w:rPr>
  </w:style>
  <w:style w:type="character" w:styleId="842">
    <w:name w:val="Title Char"/>
    <w:link w:val="841"/>
    <w:uiPriority w:val="10"/>
    <w:rPr>
      <w:sz w:val="48"/>
      <w:szCs w:val="48"/>
    </w:rPr>
  </w:style>
  <w:style w:type="paragraph" w:styleId="843">
    <w:name w:val="Subtitle"/>
    <w:basedOn w:val="999"/>
    <w:next w:val="999"/>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999"/>
    <w:next w:val="999"/>
    <w:link w:val="846"/>
    <w:uiPriority w:val="29"/>
    <w:qFormat/>
    <w:pPr>
      <w:ind w:left="720" w:right="720"/>
    </w:pPr>
    <w:rPr>
      <w:i/>
    </w:rPr>
  </w:style>
  <w:style w:type="character" w:styleId="846">
    <w:name w:val="Quote Char"/>
    <w:link w:val="845"/>
    <w:uiPriority w:val="29"/>
    <w:rPr>
      <w:i/>
    </w:rPr>
  </w:style>
  <w:style w:type="paragraph" w:styleId="847">
    <w:name w:val="Intense Quote"/>
    <w:basedOn w:val="999"/>
    <w:next w:val="999"/>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999"/>
    <w:link w:val="850"/>
    <w:uiPriority w:val="99"/>
    <w:unhideWhenUsed/>
    <w:pPr>
      <w:spacing w:after="0" w:line="240" w:lineRule="auto"/>
      <w:tabs>
        <w:tab w:val="center" w:pos="7143" w:leader="none"/>
        <w:tab w:val="right" w:pos="14287" w:leader="none"/>
      </w:tabs>
    </w:pPr>
  </w:style>
  <w:style w:type="character" w:styleId="850">
    <w:name w:val="Header Char"/>
    <w:link w:val="849"/>
    <w:uiPriority w:val="99"/>
  </w:style>
  <w:style w:type="paragraph" w:styleId="851">
    <w:name w:val="Footer"/>
    <w:basedOn w:val="999"/>
    <w:link w:val="854"/>
    <w:uiPriority w:val="99"/>
    <w:unhideWhenUsed/>
    <w:pPr>
      <w:spacing w:after="0" w:line="240" w:lineRule="auto"/>
      <w:tabs>
        <w:tab w:val="center" w:pos="7143" w:leader="none"/>
        <w:tab w:val="right" w:pos="14287" w:leader="none"/>
      </w:tabs>
    </w:pPr>
  </w:style>
  <w:style w:type="character" w:styleId="852">
    <w:name w:val="Footer Char"/>
    <w:link w:val="851"/>
    <w:uiPriority w:val="99"/>
  </w:style>
  <w:style w:type="paragraph" w:styleId="853">
    <w:name w:val="Caption"/>
    <w:basedOn w:val="999"/>
    <w:next w:val="999"/>
    <w:uiPriority w:val="35"/>
    <w:semiHidden/>
    <w:unhideWhenUsed/>
    <w:qFormat/>
    <w:pPr>
      <w:spacing w:line="276" w:lineRule="auto"/>
    </w:pPr>
    <w:rPr>
      <w:b/>
      <w:bCs/>
      <w:color w:val="4f81bd" w:themeColor="accent1"/>
      <w:sz w:val="18"/>
      <w:szCs w:val="18"/>
    </w:rPr>
  </w:style>
  <w:style w:type="character" w:styleId="854">
    <w:name w:val="Caption Char"/>
    <w:basedOn w:val="853"/>
    <w:link w:val="851"/>
    <w:uiPriority w:val="99"/>
  </w:style>
  <w:style w:type="table" w:styleId="8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Hyperlink"/>
    <w:uiPriority w:val="99"/>
    <w:unhideWhenUsed/>
    <w:rPr>
      <w:color w:val="0000ff" w:themeColor="hyperlink"/>
      <w:u w:val="single"/>
    </w:rPr>
  </w:style>
  <w:style w:type="paragraph" w:styleId="982">
    <w:name w:val="footnote text"/>
    <w:basedOn w:val="999"/>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uiPriority w:val="99"/>
    <w:unhideWhenUsed/>
    <w:rPr>
      <w:vertAlign w:val="superscript"/>
    </w:rPr>
  </w:style>
  <w:style w:type="paragraph" w:styleId="985">
    <w:name w:val="endnote text"/>
    <w:basedOn w:val="999"/>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uiPriority w:val="99"/>
    <w:semiHidden/>
    <w:unhideWhenUsed/>
    <w:rPr>
      <w:vertAlign w:val="superscript"/>
    </w:rPr>
  </w:style>
  <w:style w:type="paragraph" w:styleId="988">
    <w:name w:val="toc 1"/>
    <w:basedOn w:val="999"/>
    <w:next w:val="999"/>
    <w:uiPriority w:val="39"/>
    <w:unhideWhenUsed/>
    <w:pPr>
      <w:ind w:left="0" w:right="0" w:firstLine="0"/>
      <w:spacing w:after="57"/>
    </w:pPr>
  </w:style>
  <w:style w:type="paragraph" w:styleId="989">
    <w:name w:val="toc 2"/>
    <w:basedOn w:val="999"/>
    <w:next w:val="999"/>
    <w:uiPriority w:val="39"/>
    <w:unhideWhenUsed/>
    <w:pPr>
      <w:ind w:left="283" w:right="0" w:firstLine="0"/>
      <w:spacing w:after="57"/>
    </w:pPr>
  </w:style>
  <w:style w:type="paragraph" w:styleId="990">
    <w:name w:val="toc 3"/>
    <w:basedOn w:val="999"/>
    <w:next w:val="999"/>
    <w:uiPriority w:val="39"/>
    <w:unhideWhenUsed/>
    <w:pPr>
      <w:ind w:left="567" w:right="0" w:firstLine="0"/>
      <w:spacing w:after="57"/>
    </w:pPr>
  </w:style>
  <w:style w:type="paragraph" w:styleId="991">
    <w:name w:val="toc 4"/>
    <w:basedOn w:val="999"/>
    <w:next w:val="999"/>
    <w:uiPriority w:val="39"/>
    <w:unhideWhenUsed/>
    <w:pPr>
      <w:ind w:left="850" w:right="0" w:firstLine="0"/>
      <w:spacing w:after="57"/>
    </w:pPr>
  </w:style>
  <w:style w:type="paragraph" w:styleId="992">
    <w:name w:val="toc 5"/>
    <w:basedOn w:val="999"/>
    <w:next w:val="999"/>
    <w:uiPriority w:val="39"/>
    <w:unhideWhenUsed/>
    <w:pPr>
      <w:ind w:left="1134" w:right="0" w:firstLine="0"/>
      <w:spacing w:after="57"/>
    </w:pPr>
  </w:style>
  <w:style w:type="paragraph" w:styleId="993">
    <w:name w:val="toc 6"/>
    <w:basedOn w:val="999"/>
    <w:next w:val="999"/>
    <w:uiPriority w:val="39"/>
    <w:unhideWhenUsed/>
    <w:pPr>
      <w:ind w:left="1417" w:right="0" w:firstLine="0"/>
      <w:spacing w:after="57"/>
    </w:pPr>
  </w:style>
  <w:style w:type="paragraph" w:styleId="994">
    <w:name w:val="toc 7"/>
    <w:basedOn w:val="999"/>
    <w:next w:val="999"/>
    <w:uiPriority w:val="39"/>
    <w:unhideWhenUsed/>
    <w:pPr>
      <w:ind w:left="1701" w:right="0" w:firstLine="0"/>
      <w:spacing w:after="57"/>
    </w:pPr>
  </w:style>
  <w:style w:type="paragraph" w:styleId="995">
    <w:name w:val="toc 8"/>
    <w:basedOn w:val="999"/>
    <w:next w:val="999"/>
    <w:uiPriority w:val="39"/>
    <w:unhideWhenUsed/>
    <w:pPr>
      <w:ind w:left="1984" w:right="0" w:firstLine="0"/>
      <w:spacing w:after="57"/>
    </w:pPr>
  </w:style>
  <w:style w:type="paragraph" w:styleId="996">
    <w:name w:val="toc 9"/>
    <w:basedOn w:val="999"/>
    <w:next w:val="999"/>
    <w:uiPriority w:val="39"/>
    <w:unhideWhenUsed/>
    <w:pPr>
      <w:ind w:left="2268" w:right="0" w:firstLine="0"/>
      <w:spacing w:after="57"/>
    </w:p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999"/>
    <w:link w:val="999"/>
    <w:qFormat/>
    <w:pPr>
      <w:jc w:val="both"/>
      <w:widowControl w:val="off"/>
    </w:pPr>
    <w:rPr>
      <w:rFonts w:ascii="Times New Roman" w:hAnsi="Times New Roman"/>
      <w:sz w:val="21"/>
      <w:szCs w:val="21"/>
      <w:lang w:val="en-US" w:eastAsia="zh-CN" w:bidi="ar-SA"/>
    </w:rPr>
  </w:style>
  <w:style w:type="paragraph" w:styleId="1000">
    <w:name w:val="标题 1"/>
    <w:basedOn w:val="999"/>
    <w:next w:val="999"/>
    <w:link w:val="1011"/>
    <w:qFormat/>
    <w:pPr>
      <w:jc w:val="center"/>
      <w:keepNext/>
      <w:outlineLvl w:val="0"/>
    </w:pPr>
    <w:rPr>
      <w:rFonts w:ascii="楷体_GB2312" w:eastAsia="楷体_GB2312"/>
      <w:sz w:val="28"/>
      <w:szCs w:val="28"/>
    </w:rPr>
  </w:style>
  <w:style w:type="paragraph" w:styleId="1001">
    <w:name w:val="标题 2"/>
    <w:basedOn w:val="999"/>
    <w:next w:val="999"/>
    <w:link w:val="1012"/>
    <w:qFormat/>
    <w:pPr>
      <w:jc w:val="center"/>
      <w:keepLines/>
      <w:keepNext/>
      <w:spacing w:before="260" w:after="260" w:line="416" w:lineRule="auto"/>
      <w:outlineLvl w:val="1"/>
    </w:pPr>
    <w:rPr>
      <w:rFonts w:ascii="Arial" w:hAnsi="Arial" w:eastAsia="幼圆"/>
      <w:b/>
      <w:bCs/>
      <w:sz w:val="44"/>
      <w:szCs w:val="44"/>
    </w:rPr>
  </w:style>
  <w:style w:type="paragraph" w:styleId="1002">
    <w:name w:val="标题 3"/>
    <w:basedOn w:val="999"/>
    <w:next w:val="999"/>
    <w:link w:val="1013"/>
    <w:qFormat/>
    <w:pPr>
      <w:keepLines/>
      <w:keepNext/>
      <w:spacing w:before="260" w:after="260" w:line="416" w:lineRule="auto"/>
      <w:outlineLvl w:val="2"/>
    </w:pPr>
    <w:rPr>
      <w:b/>
      <w:bCs/>
      <w:sz w:val="32"/>
      <w:szCs w:val="32"/>
    </w:rPr>
  </w:style>
  <w:style w:type="paragraph" w:styleId="1003">
    <w:name w:val="标题 4"/>
    <w:basedOn w:val="999"/>
    <w:next w:val="999"/>
    <w:link w:val="1014"/>
    <w:qFormat/>
    <w:pPr>
      <w:keepLines/>
      <w:keepNext/>
      <w:spacing w:before="280" w:after="290" w:line="376" w:lineRule="auto"/>
      <w:outlineLvl w:val="3"/>
    </w:pPr>
    <w:rPr>
      <w:rFonts w:ascii="Arial" w:hAnsi="Arial" w:eastAsia="黑体"/>
      <w:b/>
      <w:bCs/>
      <w:sz w:val="28"/>
      <w:szCs w:val="28"/>
    </w:rPr>
  </w:style>
  <w:style w:type="paragraph" w:styleId="1004">
    <w:name w:val="标题 5"/>
    <w:basedOn w:val="999"/>
    <w:next w:val="999"/>
    <w:link w:val="1015"/>
    <w:qFormat/>
    <w:pPr>
      <w:keepNext/>
      <w:outlineLvl w:val="4"/>
    </w:pPr>
    <w:rPr>
      <w:rFonts w:ascii="宋体"/>
      <w:color w:val="000000"/>
      <w:sz w:val="28"/>
      <w:szCs w:val="28"/>
    </w:rPr>
  </w:style>
  <w:style w:type="paragraph" w:styleId="1005">
    <w:name w:val="标题 6"/>
    <w:basedOn w:val="999"/>
    <w:next w:val="999"/>
    <w:link w:val="1016"/>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6">
    <w:name w:val="标题 7"/>
    <w:basedOn w:val="999"/>
    <w:next w:val="999"/>
    <w:link w:val="1017"/>
    <w:qFormat/>
    <w:pPr>
      <w:numPr>
        <w:ilvl w:val="6"/>
        <w:numId w:val="1"/>
      </w:numPr>
      <w:keepLines/>
      <w:keepNext/>
      <w:spacing w:before="240" w:after="64" w:line="320" w:lineRule="auto"/>
      <w:outlineLvl w:val="6"/>
    </w:pPr>
    <w:rPr>
      <w:b/>
      <w:bCs/>
      <w:sz w:val="24"/>
      <w:szCs w:val="24"/>
    </w:rPr>
  </w:style>
  <w:style w:type="paragraph" w:styleId="1007">
    <w:name w:val="标题 8"/>
    <w:basedOn w:val="999"/>
    <w:next w:val="999"/>
    <w:link w:val="1018"/>
    <w:qFormat/>
    <w:pPr>
      <w:numPr>
        <w:ilvl w:val="7"/>
        <w:numId w:val="1"/>
      </w:numPr>
      <w:keepLines/>
      <w:keepNext/>
      <w:spacing w:before="240" w:after="64" w:line="320" w:lineRule="auto"/>
      <w:outlineLvl w:val="7"/>
    </w:pPr>
    <w:rPr>
      <w:rFonts w:ascii="Arial" w:hAnsi="Arial" w:eastAsia="黑体"/>
      <w:sz w:val="24"/>
      <w:szCs w:val="24"/>
    </w:rPr>
  </w:style>
  <w:style w:type="paragraph" w:styleId="1008">
    <w:name w:val="标题 9"/>
    <w:basedOn w:val="999"/>
    <w:next w:val="999"/>
    <w:link w:val="1019"/>
    <w:qFormat/>
    <w:pPr>
      <w:numPr>
        <w:ilvl w:val="8"/>
        <w:numId w:val="1"/>
      </w:numPr>
      <w:keepLines/>
      <w:keepNext/>
      <w:spacing w:before="240" w:after="64" w:line="320" w:lineRule="auto"/>
      <w:outlineLvl w:val="8"/>
    </w:pPr>
    <w:rPr>
      <w:rFonts w:ascii="Arial" w:hAnsi="Arial" w:eastAsia="黑体"/>
      <w:sz w:val="20"/>
    </w:rPr>
  </w:style>
  <w:style w:type="character" w:styleId="1009">
    <w:name w:val="默认段落字体"/>
    <w:next w:val="1009"/>
    <w:link w:val="999"/>
    <w:uiPriority w:val="1"/>
    <w:unhideWhenUsed/>
  </w:style>
  <w:style w:type="table" w:styleId="1010">
    <w:name w:val="普通表格"/>
    <w:next w:val="1010"/>
    <w:link w:val="999"/>
    <w:uiPriority w:val="99"/>
    <w:unhideWhenUsed/>
    <w:tblPr/>
  </w:style>
  <w:style w:type="character" w:styleId="1011">
    <w:name w:val="标题 1 Char"/>
    <w:next w:val="1011"/>
    <w:link w:val="1000"/>
    <w:rPr>
      <w:rFonts w:ascii="楷体_GB2312" w:hAnsi="Times New Roman" w:eastAsia="楷体_GB2312" w:cs="Times New Roman"/>
      <w:sz w:val="28"/>
      <w:szCs w:val="28"/>
    </w:rPr>
  </w:style>
  <w:style w:type="character" w:styleId="1012">
    <w:name w:val="标题 2 Char"/>
    <w:next w:val="1012"/>
    <w:link w:val="1001"/>
    <w:rPr>
      <w:rFonts w:ascii="Arial" w:hAnsi="Arial" w:eastAsia="幼圆" w:cs="Arial"/>
      <w:b/>
      <w:bCs/>
      <w:sz w:val="44"/>
      <w:szCs w:val="44"/>
    </w:rPr>
  </w:style>
  <w:style w:type="character" w:styleId="1013">
    <w:name w:val="标题 3 Char"/>
    <w:next w:val="1013"/>
    <w:link w:val="1002"/>
    <w:rPr>
      <w:rFonts w:ascii="Times New Roman" w:hAnsi="Times New Roman" w:eastAsia="宋体" w:cs="Times New Roman"/>
      <w:b/>
      <w:bCs/>
      <w:sz w:val="32"/>
      <w:szCs w:val="32"/>
    </w:rPr>
  </w:style>
  <w:style w:type="character" w:styleId="1014">
    <w:name w:val="标题 4 Char"/>
    <w:next w:val="1014"/>
    <w:link w:val="1003"/>
    <w:rPr>
      <w:rFonts w:ascii="Arial" w:hAnsi="Arial" w:eastAsia="黑体" w:cs="Arial"/>
      <w:b/>
      <w:bCs/>
      <w:sz w:val="28"/>
      <w:szCs w:val="28"/>
    </w:rPr>
  </w:style>
  <w:style w:type="character" w:styleId="1015">
    <w:name w:val="标题 5 Char"/>
    <w:next w:val="1015"/>
    <w:link w:val="1004"/>
    <w:rPr>
      <w:rFonts w:ascii="宋体" w:hAnsi="Times New Roman" w:eastAsia="宋体" w:cs="Times New Roman"/>
      <w:color w:val="000000"/>
      <w:sz w:val="28"/>
      <w:szCs w:val="28"/>
    </w:rPr>
  </w:style>
  <w:style w:type="character" w:styleId="1016">
    <w:name w:val="标题 6 Char"/>
    <w:next w:val="1016"/>
    <w:link w:val="1005"/>
    <w:rPr>
      <w:rFonts w:ascii="Arial" w:hAnsi="Arial" w:eastAsia="黑体" w:cs="Times New Roman"/>
      <w:b/>
      <w:bCs/>
      <w:sz w:val="24"/>
      <w:szCs w:val="24"/>
    </w:rPr>
  </w:style>
  <w:style w:type="character" w:styleId="1017">
    <w:name w:val="标题 7 Char"/>
    <w:next w:val="1017"/>
    <w:link w:val="1006"/>
    <w:rPr>
      <w:rFonts w:ascii="Times New Roman" w:hAnsi="Times New Roman" w:eastAsia="宋体" w:cs="Times New Roman"/>
      <w:b/>
      <w:bCs/>
      <w:sz w:val="24"/>
      <w:szCs w:val="24"/>
    </w:rPr>
  </w:style>
  <w:style w:type="character" w:styleId="1018">
    <w:name w:val="标题 8 Char"/>
    <w:next w:val="1018"/>
    <w:link w:val="1007"/>
    <w:rPr>
      <w:rFonts w:ascii="Arial" w:hAnsi="Arial" w:eastAsia="黑体" w:cs="Times New Roman"/>
      <w:sz w:val="24"/>
      <w:szCs w:val="24"/>
    </w:rPr>
  </w:style>
  <w:style w:type="character" w:styleId="1019">
    <w:name w:val="标题 9 Char"/>
    <w:next w:val="1019"/>
    <w:link w:val="1008"/>
    <w:rPr>
      <w:rFonts w:ascii="Arial" w:hAnsi="Arial" w:eastAsia="黑体" w:cs="Times New Roman"/>
      <w:szCs w:val="21"/>
    </w:rPr>
  </w:style>
  <w:style w:type="paragraph" w:styleId="1020">
    <w:name w:val="列表 3"/>
    <w:basedOn w:val="999"/>
    <w:next w:val="1020"/>
    <w:link w:val="999"/>
    <w:pPr>
      <w:ind w:left="100" w:hanging="200"/>
    </w:pPr>
  </w:style>
  <w:style w:type="paragraph" w:styleId="1021">
    <w:name w:val="目录 7"/>
    <w:basedOn w:val="999"/>
    <w:next w:val="999"/>
    <w:link w:val="999"/>
    <w:semiHidden/>
    <w:pPr>
      <w:ind w:left="1260"/>
      <w:jc w:val="left"/>
    </w:pPr>
  </w:style>
  <w:style w:type="paragraph" w:styleId="1022">
    <w:name w:val="正文缩进"/>
    <w:basedOn w:val="999"/>
    <w:next w:val="1022"/>
    <w:link w:val="1023"/>
    <w:pPr>
      <w:ind w:firstLine="420"/>
    </w:pPr>
    <w:rPr>
      <w:sz w:val="20"/>
    </w:rPr>
  </w:style>
  <w:style w:type="character" w:styleId="1023">
    <w:name w:val="正文缩进 Char"/>
    <w:next w:val="1023"/>
    <w:link w:val="1022"/>
    <w:rPr>
      <w:rFonts w:ascii="Times New Roman" w:hAnsi="Times New Roman" w:eastAsia="宋体" w:cs="Times New Roman"/>
      <w:szCs w:val="21"/>
    </w:rPr>
  </w:style>
  <w:style w:type="paragraph" w:styleId="1024">
    <w:name w:val="文档结构图"/>
    <w:basedOn w:val="999"/>
    <w:next w:val="1024"/>
    <w:link w:val="1025"/>
    <w:semiHidden/>
    <w:pPr>
      <w:shd w:val="clear" w:color="auto" w:fill="000080"/>
    </w:pPr>
    <w:rPr>
      <w:sz w:val="20"/>
    </w:rPr>
  </w:style>
  <w:style w:type="character" w:styleId="1025">
    <w:name w:val="文档结构图 Char"/>
    <w:next w:val="1025"/>
    <w:link w:val="1024"/>
    <w:semiHidden/>
    <w:rPr>
      <w:rFonts w:ascii="Times New Roman" w:hAnsi="Times New Roman" w:eastAsia="宋体" w:cs="Times New Roman"/>
      <w:szCs w:val="21"/>
      <w:shd w:val="clear" w:color="auto" w:fill="000080"/>
    </w:rPr>
  </w:style>
  <w:style w:type="paragraph" w:styleId="1026">
    <w:name w:val="批注文字"/>
    <w:basedOn w:val="999"/>
    <w:next w:val="1026"/>
    <w:link w:val="1027"/>
    <w:semiHidden/>
    <w:pPr>
      <w:jc w:val="left"/>
    </w:pPr>
    <w:rPr>
      <w:sz w:val="20"/>
    </w:rPr>
  </w:style>
  <w:style w:type="character" w:styleId="1027">
    <w:name w:val="批注文字 Char"/>
    <w:next w:val="1027"/>
    <w:link w:val="1026"/>
    <w:semiHidden/>
    <w:rPr>
      <w:rFonts w:ascii="Times New Roman" w:hAnsi="Times New Roman" w:eastAsia="宋体" w:cs="Times New Roman"/>
      <w:szCs w:val="21"/>
    </w:rPr>
  </w:style>
  <w:style w:type="paragraph" w:styleId="1028">
    <w:name w:val="正文文本 3"/>
    <w:basedOn w:val="999"/>
    <w:next w:val="1028"/>
    <w:link w:val="1029"/>
    <w:rPr>
      <w:rFonts w:ascii="仿宋_GB2312" w:hAnsi="Arial" w:eastAsia="仿宋_GB2312"/>
      <w:sz w:val="32"/>
      <w:szCs w:val="32"/>
    </w:rPr>
  </w:style>
  <w:style w:type="character" w:styleId="1029">
    <w:name w:val="正文文本 3 Char"/>
    <w:next w:val="1029"/>
    <w:link w:val="1028"/>
    <w:rPr>
      <w:rFonts w:ascii="仿宋_GB2312" w:hAnsi="Arial" w:eastAsia="仿宋_GB2312" w:cs="Times New Roman"/>
      <w:sz w:val="32"/>
      <w:szCs w:val="32"/>
    </w:rPr>
  </w:style>
  <w:style w:type="paragraph" w:styleId="1030">
    <w:name w:val="正文文本"/>
    <w:basedOn w:val="999"/>
    <w:next w:val="999"/>
    <w:link w:val="1031"/>
    <w:rPr>
      <w:rFonts w:ascii="楷体_GB2312" w:hAnsi="Arial" w:eastAsia="楷体_GB2312"/>
      <w:sz w:val="28"/>
      <w:szCs w:val="28"/>
    </w:rPr>
  </w:style>
  <w:style w:type="character" w:styleId="1031">
    <w:name w:val="正文文本 Char"/>
    <w:next w:val="1031"/>
    <w:link w:val="1030"/>
    <w:rPr>
      <w:rFonts w:ascii="楷体_GB2312" w:hAnsi="Arial" w:eastAsia="楷体_GB2312" w:cs="Times New Roman"/>
      <w:sz w:val="28"/>
      <w:szCs w:val="28"/>
    </w:rPr>
  </w:style>
  <w:style w:type="paragraph" w:styleId="1032">
    <w:name w:val="正文文本缩进"/>
    <w:basedOn w:val="999"/>
    <w:next w:val="1032"/>
    <w:link w:val="1033"/>
    <w:pPr>
      <w:ind w:firstLine="645"/>
    </w:pPr>
    <w:rPr>
      <w:rFonts w:ascii="楷体_GB2312" w:eastAsia="楷体_GB2312"/>
      <w:sz w:val="32"/>
      <w:szCs w:val="32"/>
    </w:rPr>
  </w:style>
  <w:style w:type="character" w:styleId="1033">
    <w:name w:val="正文文本缩进 Char"/>
    <w:next w:val="1033"/>
    <w:link w:val="1032"/>
    <w:rPr>
      <w:rFonts w:ascii="楷体_GB2312" w:hAnsi="Times New Roman" w:eastAsia="楷体_GB2312" w:cs="Times New Roman"/>
      <w:sz w:val="32"/>
      <w:szCs w:val="32"/>
    </w:rPr>
  </w:style>
  <w:style w:type="paragraph" w:styleId="1034">
    <w:name w:val="列表 2"/>
    <w:basedOn w:val="999"/>
    <w:next w:val="1034"/>
    <w:link w:val="999"/>
    <w:pPr>
      <w:ind w:left="100" w:hanging="200"/>
    </w:pPr>
  </w:style>
  <w:style w:type="paragraph" w:styleId="1035">
    <w:name w:val="目录 5"/>
    <w:basedOn w:val="999"/>
    <w:next w:val="999"/>
    <w:link w:val="999"/>
    <w:semiHidden/>
    <w:pPr>
      <w:ind w:left="840"/>
      <w:jc w:val="left"/>
    </w:pPr>
  </w:style>
  <w:style w:type="paragraph" w:styleId="1036">
    <w:name w:val="目录 3"/>
    <w:basedOn w:val="999"/>
    <w:next w:val="999"/>
    <w:link w:val="999"/>
    <w:semiHidden/>
    <w:pPr>
      <w:ind w:left="420"/>
      <w:jc w:val="left"/>
    </w:pPr>
    <w:rPr>
      <w:i/>
      <w:iCs/>
      <w:szCs w:val="24"/>
    </w:rPr>
  </w:style>
  <w:style w:type="paragraph" w:styleId="1037">
    <w:name w:val="纯文本"/>
    <w:basedOn w:val="999"/>
    <w:next w:val="1037"/>
    <w:link w:val="1038"/>
    <w:rPr>
      <w:rFonts w:ascii="宋体" w:hAnsi="Courier New"/>
      <w:sz w:val="20"/>
    </w:rPr>
  </w:style>
  <w:style w:type="character" w:styleId="1038">
    <w:name w:val="纯文本 Char"/>
    <w:next w:val="1038"/>
    <w:link w:val="1037"/>
    <w:rPr>
      <w:rFonts w:ascii="宋体" w:hAnsi="Courier New" w:eastAsia="宋体" w:cs="Courier New"/>
      <w:szCs w:val="21"/>
    </w:rPr>
  </w:style>
  <w:style w:type="paragraph" w:styleId="1039">
    <w:name w:val="目录 8"/>
    <w:basedOn w:val="999"/>
    <w:next w:val="999"/>
    <w:link w:val="999"/>
    <w:semiHidden/>
    <w:pPr>
      <w:ind w:left="1470"/>
      <w:jc w:val="left"/>
    </w:pPr>
  </w:style>
  <w:style w:type="paragraph" w:styleId="1040">
    <w:name w:val="日期"/>
    <w:basedOn w:val="999"/>
    <w:next w:val="999"/>
    <w:link w:val="1041"/>
    <w:rPr>
      <w:sz w:val="24"/>
      <w:szCs w:val="24"/>
    </w:rPr>
  </w:style>
  <w:style w:type="character" w:styleId="1041">
    <w:name w:val="日期 Char"/>
    <w:next w:val="1041"/>
    <w:link w:val="1040"/>
    <w:rPr>
      <w:rFonts w:ascii="Times New Roman" w:hAnsi="Times New Roman" w:eastAsia="宋体" w:cs="Times New Roman"/>
      <w:sz w:val="24"/>
      <w:szCs w:val="24"/>
    </w:rPr>
  </w:style>
  <w:style w:type="paragraph" w:styleId="1042">
    <w:name w:val="正文文本缩进 2"/>
    <w:basedOn w:val="999"/>
    <w:next w:val="1042"/>
    <w:link w:val="1043"/>
    <w:pPr>
      <w:ind w:left="630" w:firstLine="645"/>
    </w:pPr>
    <w:rPr>
      <w:rFonts w:ascii="Arial" w:hAnsi="Arial" w:eastAsia="仿宋_GB2312"/>
      <w:sz w:val="32"/>
      <w:szCs w:val="32"/>
    </w:rPr>
  </w:style>
  <w:style w:type="character" w:styleId="1043">
    <w:name w:val="正文文本缩进 2 Char"/>
    <w:next w:val="1043"/>
    <w:link w:val="1042"/>
    <w:rPr>
      <w:rFonts w:ascii="Arial" w:hAnsi="Arial" w:eastAsia="仿宋_GB2312" w:cs="Arial"/>
      <w:sz w:val="32"/>
      <w:szCs w:val="32"/>
    </w:rPr>
  </w:style>
  <w:style w:type="paragraph" w:styleId="1044">
    <w:name w:val="批注框文本"/>
    <w:basedOn w:val="999"/>
    <w:next w:val="1044"/>
    <w:link w:val="1045"/>
    <w:semiHidden/>
    <w:rPr>
      <w:sz w:val="18"/>
      <w:szCs w:val="18"/>
    </w:rPr>
  </w:style>
  <w:style w:type="character" w:styleId="1045">
    <w:name w:val="批注框文本 Char"/>
    <w:next w:val="1045"/>
    <w:link w:val="1044"/>
    <w:semiHidden/>
    <w:rPr>
      <w:rFonts w:ascii="Times New Roman" w:hAnsi="Times New Roman" w:eastAsia="宋体" w:cs="Times New Roman"/>
      <w:sz w:val="18"/>
      <w:szCs w:val="18"/>
    </w:rPr>
  </w:style>
  <w:style w:type="paragraph" w:styleId="1046">
    <w:name w:val="页脚"/>
    <w:basedOn w:val="999"/>
    <w:next w:val="1046"/>
    <w:link w:val="1047"/>
    <w:pPr>
      <w:jc w:val="left"/>
      <w:tabs>
        <w:tab w:val="center" w:pos="4153" w:leader="none"/>
        <w:tab w:val="right" w:pos="8306" w:leader="none"/>
      </w:tabs>
    </w:pPr>
    <w:rPr>
      <w:sz w:val="18"/>
      <w:szCs w:val="18"/>
    </w:rPr>
  </w:style>
  <w:style w:type="character" w:styleId="1047">
    <w:name w:val="页脚 Char"/>
    <w:next w:val="1047"/>
    <w:link w:val="1046"/>
    <w:rPr>
      <w:rFonts w:ascii="Times New Roman" w:hAnsi="Times New Roman" w:eastAsia="宋体" w:cs="Times New Roman"/>
      <w:sz w:val="18"/>
      <w:szCs w:val="18"/>
    </w:rPr>
  </w:style>
  <w:style w:type="paragraph" w:styleId="1048">
    <w:name w:val="页眉"/>
    <w:basedOn w:val="999"/>
    <w:next w:val="1048"/>
    <w:link w:val="1049"/>
    <w:uiPriority w:val="99"/>
    <w:qFormat/>
    <w:pPr>
      <w:jc w:val="center"/>
      <w:tabs>
        <w:tab w:val="center" w:pos="4153" w:leader="none"/>
        <w:tab w:val="right" w:pos="8306" w:leader="none"/>
      </w:tabs>
      <w:pBdr>
        <w:bottom w:val="single" w:color="000000" w:sz="6" w:space="1"/>
      </w:pBdr>
    </w:pPr>
    <w:rPr>
      <w:sz w:val="18"/>
      <w:szCs w:val="18"/>
    </w:rPr>
  </w:style>
  <w:style w:type="character" w:styleId="1049">
    <w:name w:val="页眉 Char"/>
    <w:next w:val="1049"/>
    <w:link w:val="1048"/>
    <w:uiPriority w:val="99"/>
    <w:qFormat/>
    <w:rPr>
      <w:rFonts w:ascii="Times New Roman" w:hAnsi="Times New Roman" w:eastAsia="宋体" w:cs="Times New Roman"/>
      <w:sz w:val="18"/>
      <w:szCs w:val="18"/>
    </w:rPr>
  </w:style>
  <w:style w:type="paragraph" w:styleId="1050">
    <w:name w:val="目录 1"/>
    <w:basedOn w:val="999"/>
    <w:next w:val="999"/>
    <w:link w:val="999"/>
    <w:semiHidden/>
    <w:pPr>
      <w:jc w:val="left"/>
      <w:spacing w:before="120" w:after="120" w:line="400" w:lineRule="exact"/>
      <w:tabs>
        <w:tab w:val="right" w:pos="8720" w:leader="dot"/>
      </w:tabs>
    </w:pPr>
    <w:rPr>
      <w:rFonts w:ascii="宋体" w:hAnsi="宋体"/>
      <w:caps/>
      <w:sz w:val="24"/>
      <w:szCs w:val="24"/>
    </w:rPr>
  </w:style>
  <w:style w:type="paragraph" w:styleId="1051">
    <w:name w:val="目录 4"/>
    <w:basedOn w:val="999"/>
    <w:next w:val="999"/>
    <w:link w:val="999"/>
    <w:semiHidden/>
    <w:pPr>
      <w:ind w:left="630"/>
      <w:jc w:val="left"/>
    </w:pPr>
  </w:style>
  <w:style w:type="paragraph" w:styleId="1052">
    <w:name w:val="列表"/>
    <w:basedOn w:val="999"/>
    <w:next w:val="1052"/>
    <w:link w:val="999"/>
    <w:pPr>
      <w:ind w:left="200" w:hanging="200"/>
    </w:pPr>
  </w:style>
  <w:style w:type="paragraph" w:styleId="1053">
    <w:name w:val="目录 6"/>
    <w:basedOn w:val="999"/>
    <w:next w:val="999"/>
    <w:link w:val="999"/>
    <w:semiHidden/>
    <w:pPr>
      <w:ind w:left="1050"/>
      <w:jc w:val="left"/>
    </w:pPr>
  </w:style>
  <w:style w:type="paragraph" w:styleId="1054">
    <w:name w:val="正文文本缩进 3"/>
    <w:basedOn w:val="999"/>
    <w:next w:val="1054"/>
    <w:link w:val="1055"/>
    <w:pPr>
      <w:ind w:left="645" w:firstLine="645"/>
    </w:pPr>
    <w:rPr>
      <w:rFonts w:ascii="Arial" w:hAnsi="Arial" w:eastAsia="仿宋_GB2312"/>
      <w:color w:val="ffff00"/>
      <w:sz w:val="32"/>
      <w:szCs w:val="32"/>
    </w:rPr>
  </w:style>
  <w:style w:type="character" w:styleId="1055">
    <w:name w:val="正文文本缩进 3 Char"/>
    <w:next w:val="1055"/>
    <w:link w:val="1054"/>
    <w:rPr>
      <w:rFonts w:ascii="Arial" w:hAnsi="Arial" w:eastAsia="仿宋_GB2312" w:cs="Arial"/>
      <w:color w:val="ffff00"/>
      <w:sz w:val="32"/>
      <w:szCs w:val="32"/>
    </w:rPr>
  </w:style>
  <w:style w:type="paragraph" w:styleId="1056">
    <w:name w:val="图表目录"/>
    <w:basedOn w:val="999"/>
    <w:next w:val="999"/>
    <w:link w:val="999"/>
    <w:semiHidden/>
    <w:pPr>
      <w:ind w:left="840" w:hanging="420"/>
    </w:pPr>
  </w:style>
  <w:style w:type="paragraph" w:styleId="1057">
    <w:name w:val="目录 2"/>
    <w:basedOn w:val="999"/>
    <w:next w:val="999"/>
    <w:link w:val="999"/>
    <w:semiHidden/>
    <w:pPr>
      <w:ind w:left="210"/>
      <w:jc w:val="left"/>
    </w:pPr>
    <w:rPr>
      <w:smallCaps/>
      <w:szCs w:val="24"/>
    </w:rPr>
  </w:style>
  <w:style w:type="paragraph" w:styleId="1058">
    <w:name w:val="目录 9"/>
    <w:basedOn w:val="999"/>
    <w:next w:val="999"/>
    <w:link w:val="999"/>
    <w:semiHidden/>
    <w:pPr>
      <w:ind w:left="1680"/>
      <w:jc w:val="left"/>
    </w:pPr>
  </w:style>
  <w:style w:type="paragraph" w:styleId="1059">
    <w:name w:val="正文文本 2"/>
    <w:basedOn w:val="999"/>
    <w:next w:val="1059"/>
    <w:link w:val="1060"/>
    <w:pPr>
      <w:jc w:val="center"/>
      <w:widowControl/>
    </w:pPr>
    <w:rPr>
      <w:rFonts w:ascii="楷体_GB2312" w:eastAsia="楷体_GB2312"/>
      <w:sz w:val="28"/>
      <w:szCs w:val="28"/>
    </w:rPr>
  </w:style>
  <w:style w:type="character" w:styleId="1060">
    <w:name w:val="正文文本 2 Char"/>
    <w:next w:val="1060"/>
    <w:link w:val="1059"/>
    <w:rPr>
      <w:rFonts w:ascii="楷体_GB2312" w:hAnsi="Times New Roman" w:eastAsia="楷体_GB2312" w:cs="Times New Roman"/>
      <w:sz w:val="28"/>
      <w:szCs w:val="28"/>
    </w:rPr>
  </w:style>
  <w:style w:type="paragraph" w:styleId="1061">
    <w:name w:val="普通(网站)"/>
    <w:basedOn w:val="999"/>
    <w:next w:val="1061"/>
    <w:link w:val="999"/>
    <w:uiPriority w:val="99"/>
    <w:pPr>
      <w:jc w:val="left"/>
      <w:spacing w:before="100" w:beforeAutospacing="1" w:after="100" w:afterAutospacing="1"/>
      <w:widowControl/>
    </w:pPr>
    <w:rPr>
      <w:rFonts w:ascii="宋体" w:hAnsi="宋体" w:cs="宋体"/>
      <w:sz w:val="24"/>
      <w:szCs w:val="24"/>
    </w:rPr>
  </w:style>
  <w:style w:type="paragraph" w:styleId="1062">
    <w:name w:val="索引 1"/>
    <w:basedOn w:val="999"/>
    <w:next w:val="999"/>
    <w:link w:val="999"/>
    <w:semiHidden/>
    <w:pPr>
      <w:spacing w:line="240" w:lineRule="atLeast"/>
    </w:pPr>
    <w:rPr>
      <w:b/>
      <w:bCs/>
    </w:rPr>
  </w:style>
  <w:style w:type="paragraph" w:styleId="1063">
    <w:name w:val="批注主题"/>
    <w:basedOn w:val="1026"/>
    <w:next w:val="1026"/>
    <w:link w:val="1064"/>
    <w:semiHidden/>
    <w:rPr>
      <w:b/>
      <w:bCs/>
    </w:rPr>
  </w:style>
  <w:style w:type="character" w:styleId="1064">
    <w:name w:val="批注主题 Char"/>
    <w:next w:val="1064"/>
    <w:link w:val="1063"/>
    <w:semiHidden/>
    <w:rPr>
      <w:rFonts w:ascii="Times New Roman" w:hAnsi="Times New Roman" w:eastAsia="宋体" w:cs="Times New Roman"/>
      <w:b/>
      <w:bCs/>
      <w:szCs w:val="21"/>
    </w:rPr>
  </w:style>
  <w:style w:type="paragraph" w:styleId="1065">
    <w:name w:val="正文首行缩进"/>
    <w:basedOn w:val="999"/>
    <w:next w:val="1065"/>
    <w:link w:val="1066"/>
    <w:pPr>
      <w:ind w:firstLine="200"/>
      <w:spacing w:line="360" w:lineRule="auto"/>
    </w:pPr>
    <w:rPr>
      <w:rFonts w:ascii="仿宋_GB2312" w:eastAsia="仿宋_GB2312"/>
      <w:sz w:val="30"/>
      <w:szCs w:val="30"/>
    </w:rPr>
  </w:style>
  <w:style w:type="character" w:styleId="1066">
    <w:name w:val="正文首行缩进 Char"/>
    <w:next w:val="1066"/>
    <w:link w:val="1065"/>
    <w:rPr>
      <w:rFonts w:ascii="仿宋_GB2312" w:hAnsi="Times New Roman" w:eastAsia="仿宋_GB2312" w:cs="Times New Roman"/>
      <w:sz w:val="30"/>
      <w:szCs w:val="30"/>
    </w:rPr>
  </w:style>
  <w:style w:type="paragraph" w:styleId="1067">
    <w:name w:val="正文首行缩进 2"/>
    <w:basedOn w:val="1032"/>
    <w:next w:val="1067"/>
    <w:link w:val="1068"/>
    <w:pPr>
      <w:ind w:firstLine="420"/>
      <w:spacing w:line="360" w:lineRule="auto"/>
    </w:pPr>
    <w:rPr>
      <w:rFonts w:ascii="宋体" w:hAnsi="宋体" w:eastAsia="宋体"/>
      <w:szCs w:val="20"/>
    </w:rPr>
  </w:style>
  <w:style w:type="character" w:styleId="1068">
    <w:name w:val="正文首行缩进 2 Char"/>
    <w:next w:val="1068"/>
    <w:link w:val="1067"/>
    <w:rPr>
      <w:rFonts w:ascii="宋体" w:hAnsi="宋体" w:eastAsia="宋体" w:cs="Times New Roman"/>
      <w:sz w:val="32"/>
      <w:szCs w:val="20"/>
    </w:rPr>
  </w:style>
  <w:style w:type="table" w:styleId="1069">
    <w:name w:val="网格型"/>
    <w:basedOn w:val="1010"/>
    <w:next w:val="1069"/>
    <w:link w:val="999"/>
    <w:pPr>
      <w:jc w:val="both"/>
      <w:widowControl w:val="off"/>
    </w:pPr>
    <w:rPr>
      <w:rFonts w:ascii="Times New Roman" w:hAnsi="Times New Roman" w:eastAsia="宋体" w:cs="Times New Roman"/>
      <w:sz w:val="20"/>
      <w:szCs w:val="20"/>
    </w:rPr>
    <w:tblPr/>
  </w:style>
  <w:style w:type="character" w:styleId="1070">
    <w:name w:val="要点"/>
    <w:next w:val="1070"/>
    <w:link w:val="999"/>
    <w:qFormat/>
    <w:rPr>
      <w:b/>
      <w:bCs/>
    </w:rPr>
  </w:style>
  <w:style w:type="character" w:styleId="1071">
    <w:name w:val="页码"/>
    <w:next w:val="1071"/>
    <w:link w:val="999"/>
  </w:style>
  <w:style w:type="character" w:styleId="1072">
    <w:name w:val="已访问的超链接"/>
    <w:next w:val="1072"/>
    <w:link w:val="999"/>
    <w:rPr>
      <w:color w:val="800080"/>
      <w:u w:val="single"/>
    </w:rPr>
  </w:style>
  <w:style w:type="character" w:styleId="1073">
    <w:name w:val="HTML 打字机"/>
    <w:next w:val="1073"/>
    <w:link w:val="999"/>
    <w:uiPriority w:val="99"/>
    <w:rPr>
      <w:rFonts w:ascii="宋体" w:hAnsi="宋体" w:eastAsia="宋体" w:cs="宋体"/>
      <w:sz w:val="24"/>
      <w:szCs w:val="24"/>
    </w:rPr>
  </w:style>
  <w:style w:type="character" w:styleId="1074">
    <w:name w:val="超链接"/>
    <w:next w:val="1074"/>
    <w:link w:val="999"/>
    <w:rPr>
      <w:color w:val="0000ff"/>
      <w:u w:val="single"/>
    </w:rPr>
  </w:style>
  <w:style w:type="character" w:styleId="1075">
    <w:name w:val="批注引用"/>
    <w:next w:val="1075"/>
    <w:link w:val="999"/>
    <w:semiHidden/>
    <w:rPr>
      <w:sz w:val="21"/>
      <w:szCs w:val="21"/>
    </w:rPr>
  </w:style>
  <w:style w:type="character" w:styleId="1076">
    <w:name w:val="font5 Char"/>
    <w:next w:val="1076"/>
    <w:link w:val="999"/>
    <w:rPr>
      <w:rFonts w:ascii="宋体" w:hAnsi="宋体" w:eastAsia="宋体"/>
      <w:sz w:val="28"/>
      <w:szCs w:val="28"/>
      <w:lang w:val="en-US" w:eastAsia="zh-CN" w:bidi="ar-SA"/>
    </w:rPr>
  </w:style>
  <w:style w:type="character" w:styleId="1077">
    <w:name w:val="二级目录 Char"/>
    <w:next w:val="1077"/>
    <w:link w:val="1078"/>
    <w:rPr>
      <w:b/>
      <w:sz w:val="30"/>
      <w:szCs w:val="28"/>
      <w:lang w:val="en-US" w:eastAsia="zh-CN" w:bidi="ar-SA"/>
    </w:rPr>
  </w:style>
  <w:style w:type="paragraph" w:styleId="1078">
    <w:name w:val="二级目录"/>
    <w:next w:val="999"/>
    <w:link w:val="1077"/>
    <w:pPr>
      <w:numPr>
        <w:ilvl w:val="0"/>
        <w:numId w:val="2"/>
      </w:numPr>
      <w:tabs>
        <w:tab w:val="left" w:pos="907" w:leader="none"/>
        <w:tab w:val="left" w:pos="1145" w:leader="none"/>
      </w:tabs>
      <w:outlineLvl w:val="1"/>
    </w:pPr>
    <w:rPr>
      <w:b/>
      <w:sz w:val="30"/>
      <w:szCs w:val="28"/>
      <w:lang w:val="en-US" w:eastAsia="zh-CN" w:bidi="ar-SA"/>
    </w:rPr>
  </w:style>
  <w:style w:type="character" w:styleId="1079">
    <w:name w:val="列出段落 Char,Bullet List Char,numbered Char,FooterText Char,List Paragraph1 Char,Paragraphe de liste1 Char"/>
    <w:next w:val="1079"/>
    <w:link w:val="1080"/>
    <w:rPr>
      <w:rFonts w:ascii="Calibri" w:hAnsi="Calibri"/>
      <w:sz w:val="24"/>
      <w:szCs w:val="24"/>
      <w:lang w:eastAsia="en-US" w:bidi="en-US"/>
    </w:rPr>
  </w:style>
  <w:style w:type="paragraph" w:styleId="1080">
    <w:name w:val="列出段落1"/>
    <w:basedOn w:val="999"/>
    <w:next w:val="1080"/>
    <w:link w:val="1079"/>
    <w:qFormat/>
    <w:pPr>
      <w:contextualSpacing/>
      <w:ind w:left="720"/>
      <w:jc w:val="left"/>
      <w:widowControl/>
    </w:pPr>
    <w:rPr>
      <w:rFonts w:ascii="Calibri" w:hAnsi="Calibri"/>
      <w:sz w:val="24"/>
      <w:szCs w:val="24"/>
      <w:lang w:eastAsia="en-US" w:bidi="en-US"/>
    </w:rPr>
  </w:style>
  <w:style w:type="paragraph" w:styleId="1081">
    <w:name w:val="Body Text(ch)"/>
    <w:basedOn w:val="999"/>
    <w:next w:val="1030"/>
    <w:link w:val="999"/>
    <w:pPr>
      <w:spacing w:after="120"/>
    </w:pPr>
    <w:rPr>
      <w:rFonts w:ascii="宋体" w:hAnsi="Arial"/>
      <w:bCs/>
      <w:iCs/>
      <w:szCs w:val="24"/>
    </w:rPr>
  </w:style>
  <w:style w:type="paragraph" w:styleId="1082">
    <w:name w:val="xl27"/>
    <w:basedOn w:val="999"/>
    <w:next w:val="1082"/>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name w:val="xl26"/>
    <w:basedOn w:val="999"/>
    <w:next w:val="1083"/>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4">
    <w:name w:val="Char"/>
    <w:basedOn w:val="999"/>
    <w:next w:val="1084"/>
    <w:link w:val="999"/>
    <w:pPr>
      <w:ind w:firstLine="200"/>
      <w:tabs>
        <w:tab w:val="left" w:pos="360" w:leader="none"/>
      </w:tabs>
    </w:pPr>
    <w:rPr>
      <w:sz w:val="28"/>
      <w:szCs w:val="30"/>
    </w:rPr>
  </w:style>
  <w:style w:type="paragraph" w:styleId="1085">
    <w:name w:val=" Char"/>
    <w:basedOn w:val="1024"/>
    <w:next w:val="1085"/>
    <w:link w:val="999"/>
    <w:rPr>
      <w:rFonts w:ascii="Tahoma" w:hAnsi="Tahoma"/>
      <w:sz w:val="24"/>
      <w:szCs w:val="24"/>
    </w:rPr>
  </w:style>
  <w:style w:type="paragraph" w:styleId="1086">
    <w:name w:val="普通正文"/>
    <w:basedOn w:val="999"/>
    <w:next w:val="1086"/>
    <w:link w:val="999"/>
    <w:pPr>
      <w:ind w:firstLine="480"/>
      <w:jc w:val="left"/>
      <w:spacing w:before="120" w:after="120" w:line="360" w:lineRule="auto"/>
    </w:pPr>
    <w:rPr>
      <w:rFonts w:ascii="Arial" w:hAnsi="Arial"/>
      <w:sz w:val="24"/>
      <w:szCs w:val="24"/>
    </w:rPr>
  </w:style>
  <w:style w:type="paragraph" w:styleId="1087">
    <w:name w:val="table_lines"/>
    <w:basedOn w:val="999"/>
    <w:next w:val="1087"/>
    <w:link w:val="999"/>
    <w:pPr>
      <w:jc w:val="left"/>
      <w:widowControl/>
    </w:pPr>
    <w:rPr>
      <w:sz w:val="20"/>
      <w:szCs w:val="20"/>
      <w:lang w:val="de-DE" w:eastAsia="de-DE"/>
    </w:rPr>
  </w:style>
  <w:style w:type="paragraph" w:styleId="1088">
    <w:name w:val="附录1"/>
    <w:next w:val="1088"/>
    <w:link w:val="99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89">
    <w:name w:val="font7"/>
    <w:basedOn w:val="999"/>
    <w:next w:val="1089"/>
    <w:link w:val="999"/>
    <w:pPr>
      <w:jc w:val="left"/>
      <w:spacing w:before="100" w:beforeAutospacing="1" w:after="100" w:afterAutospacing="1"/>
      <w:widowControl/>
    </w:pPr>
    <w:rPr>
      <w:rFonts w:hint="eastAsia" w:ascii="宋体" w:hAnsi="宋体"/>
      <w:sz w:val="18"/>
      <w:szCs w:val="18"/>
    </w:rPr>
  </w:style>
  <w:style w:type="paragraph" w:styleId="1090">
    <w:name w:val=" Char Char Char Char"/>
    <w:basedOn w:val="1024"/>
    <w:next w:val="1090"/>
    <w:link w:val="999"/>
    <w:pPr>
      <w:spacing w:line="360" w:lineRule="auto"/>
    </w:pPr>
    <w:rPr>
      <w:rFonts w:ascii="Tahoma" w:hAnsi="Tahoma"/>
      <w:sz w:val="24"/>
      <w:szCs w:val="24"/>
    </w:rPr>
  </w:style>
  <w:style w:type="paragraph" w:styleId="1091">
    <w:name w:val="列出段落"/>
    <w:basedOn w:val="999"/>
    <w:next w:val="1091"/>
    <w:link w:val="999"/>
    <w:uiPriority w:val="99"/>
    <w:qFormat/>
    <w:pPr>
      <w:contextualSpacing/>
      <w:ind w:left="720"/>
      <w:jc w:val="left"/>
      <w:widowControl/>
    </w:pPr>
    <w:rPr>
      <w:rFonts w:ascii="Calibri" w:hAnsi="Calibri"/>
      <w:sz w:val="24"/>
      <w:szCs w:val="24"/>
      <w:lang w:eastAsia="en-US" w:bidi="en-US"/>
    </w:rPr>
  </w:style>
  <w:style w:type="paragraph" w:styleId="1092">
    <w:name w:val="4"/>
    <w:basedOn w:val="999"/>
    <w:next w:val="1054"/>
    <w:link w:val="999"/>
    <w:pPr>
      <w:ind w:firstLine="420"/>
      <w:spacing w:line="360" w:lineRule="auto"/>
    </w:pPr>
    <w:rPr>
      <w:color w:val="ff0000"/>
      <w:sz w:val="24"/>
      <w:szCs w:val="24"/>
    </w:rPr>
  </w:style>
  <w:style w:type="paragraph" w:styleId="1093">
    <w:name w:val="普通 (Web)"/>
    <w:basedOn w:val="999"/>
    <w:next w:val="1093"/>
    <w:link w:val="999"/>
    <w:pPr>
      <w:jc w:val="left"/>
      <w:spacing w:before="100" w:beforeAutospacing="1" w:after="100" w:afterAutospacing="1"/>
      <w:widowControl/>
    </w:pPr>
    <w:rPr>
      <w:rFonts w:ascii="宋体" w:hAnsi="宋体"/>
      <w:sz w:val="24"/>
      <w:szCs w:val="24"/>
    </w:rPr>
  </w:style>
  <w:style w:type="paragraph" w:styleId="1094">
    <w:name w:val=" Char Char Char Char Char Char Char Char Char Char"/>
    <w:basedOn w:val="999"/>
    <w:next w:val="1094"/>
    <w:link w:val="999"/>
    <w:pPr>
      <w:spacing w:line="360" w:lineRule="auto"/>
    </w:pPr>
    <w:rPr>
      <w:sz w:val="24"/>
      <w:szCs w:val="20"/>
    </w:rPr>
  </w:style>
  <w:style w:type="paragraph" w:styleId="1095">
    <w:name w:val="样式1"/>
    <w:basedOn w:val="999"/>
    <w:next w:val="1095"/>
    <w:link w:val="999"/>
    <w:pPr>
      <w:numPr>
        <w:ilvl w:val="0"/>
        <w:numId w:val="3"/>
      </w:numPr>
      <w:tabs>
        <w:tab w:val="left" w:pos="709" w:leader="none"/>
      </w:tabs>
    </w:pPr>
    <w:rPr>
      <w:rFonts w:ascii="宋体" w:hAnsi="宋体"/>
    </w:rPr>
  </w:style>
  <w:style w:type="paragraph" w:styleId="1096">
    <w:name w:val="font6"/>
    <w:basedOn w:val="999"/>
    <w:next w:val="1096"/>
    <w:link w:val="999"/>
    <w:pPr>
      <w:jc w:val="left"/>
      <w:spacing w:before="100" w:beforeAutospacing="1" w:after="100" w:afterAutospacing="1"/>
      <w:widowControl/>
    </w:pPr>
    <w:rPr>
      <w:rFonts w:hint="eastAsia" w:ascii="宋体" w:hAnsi="宋体"/>
      <w:sz w:val="28"/>
      <w:szCs w:val="28"/>
      <w:u w:val="single"/>
    </w:rPr>
  </w:style>
  <w:style w:type="paragraph" w:styleId="1097">
    <w:name w:val="xl25"/>
    <w:basedOn w:val="999"/>
    <w:next w:val="1097"/>
    <w:link w:val="9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8">
    <w:name w:val="图标"/>
    <w:basedOn w:val="999"/>
    <w:next w:val="999"/>
    <w:link w:val="99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9">
    <w:name w:val="标题3"/>
    <w:basedOn w:val="999"/>
    <w:next w:val="999"/>
    <w:link w:val="999"/>
    <w:pPr>
      <w:ind w:firstLine="624"/>
      <w:spacing w:line="590" w:lineRule="atLeast"/>
    </w:pPr>
    <w:rPr>
      <w:rFonts w:ascii="方正黑体_GBK" w:eastAsia="方正黑体_GBK"/>
      <w:sz w:val="32"/>
      <w:szCs w:val="32"/>
    </w:rPr>
  </w:style>
  <w:style w:type="paragraph" w:styleId="1100">
    <w:name w:val="xl24"/>
    <w:basedOn w:val="999"/>
    <w:next w:val="1100"/>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1">
    <w:name w:val="xl29"/>
    <w:basedOn w:val="999"/>
    <w:next w:val="1101"/>
    <w:link w:val="99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2">
    <w:name w:val="Char Char Char Char Char Char Char Char"/>
    <w:basedOn w:val="999"/>
    <w:next w:val="1102"/>
    <w:link w:val="999"/>
    <w:pPr>
      <w:jc w:val="left"/>
      <w:spacing w:after="160" w:line="240" w:lineRule="exact"/>
      <w:widowControl/>
    </w:pPr>
    <w:rPr>
      <w:rFonts w:ascii="Verdana" w:hAnsi="Verdana"/>
      <w:sz w:val="20"/>
      <w:szCs w:val="20"/>
      <w:lang w:eastAsia="en-US"/>
    </w:rPr>
  </w:style>
  <w:style w:type="paragraph" w:styleId="1103">
    <w:name w:val="xl28"/>
    <w:basedOn w:val="999"/>
    <w:next w:val="1103"/>
    <w:link w:val="9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4">
    <w:name w:val=" Char Char Char Char Char Char Char Char"/>
    <w:basedOn w:val="999"/>
    <w:next w:val="1104"/>
    <w:link w:val="999"/>
    <w:pPr>
      <w:jc w:val="left"/>
      <w:spacing w:after="160" w:line="240" w:lineRule="exact"/>
      <w:widowControl/>
    </w:pPr>
    <w:rPr>
      <w:rFonts w:ascii="Verdana" w:hAnsi="Verdana"/>
      <w:sz w:val="20"/>
      <w:szCs w:val="20"/>
      <w:lang w:eastAsia="en-US"/>
    </w:rPr>
  </w:style>
  <w:style w:type="paragraph" w:styleId="1105">
    <w:name w:val="xl30"/>
    <w:basedOn w:val="999"/>
    <w:next w:val="1105"/>
    <w:link w:val="999"/>
    <w:pPr>
      <w:jc w:val="center"/>
      <w:spacing w:before="100" w:beforeAutospacing="1" w:after="100" w:afterAutospacing="1"/>
      <w:widowControl/>
    </w:pPr>
    <w:rPr>
      <w:rFonts w:ascii="宋体" w:hAnsi="宋体"/>
      <w:b/>
      <w:bCs/>
      <w:sz w:val="36"/>
      <w:szCs w:val="36"/>
    </w:rPr>
  </w:style>
  <w:style w:type="paragraph" w:styleId="1106">
    <w:name w:val="Char Char Char Char"/>
    <w:basedOn w:val="1024"/>
    <w:next w:val="1106"/>
    <w:link w:val="999"/>
    <w:pPr>
      <w:spacing w:line="360" w:lineRule="auto"/>
    </w:pPr>
    <w:rPr>
      <w:rFonts w:ascii="Tahoma" w:hAnsi="Tahoma"/>
      <w:sz w:val="24"/>
      <w:szCs w:val="24"/>
    </w:rPr>
  </w:style>
  <w:style w:type="paragraph" w:styleId="1107">
    <w:name w:val="table_1stline"/>
    <w:basedOn w:val="999"/>
    <w:next w:val="1107"/>
    <w:link w:val="999"/>
    <w:pPr>
      <w:jc w:val="left"/>
      <w:spacing w:before="120"/>
      <w:widowControl/>
    </w:pPr>
    <w:rPr>
      <w:bCs/>
      <w:sz w:val="20"/>
      <w:szCs w:val="20"/>
      <w:lang w:val="de-DE" w:eastAsia="de-DE"/>
    </w:rPr>
  </w:style>
  <w:style w:type="paragraph" w:styleId="1108">
    <w:name w:val="font5"/>
    <w:basedOn w:val="999"/>
    <w:next w:val="1108"/>
    <w:link w:val="999"/>
    <w:pPr>
      <w:jc w:val="left"/>
      <w:spacing w:before="100" w:beforeAutospacing="1" w:after="100" w:afterAutospacing="1"/>
      <w:widowControl/>
    </w:pPr>
    <w:rPr>
      <w:rFonts w:hint="eastAsia" w:ascii="宋体" w:hAnsi="宋体"/>
      <w:sz w:val="28"/>
      <w:szCs w:val="28"/>
    </w:rPr>
  </w:style>
  <w:style w:type="paragraph" w:styleId="1109">
    <w:name w:val="标题1"/>
    <w:basedOn w:val="999"/>
    <w:next w:val="999"/>
    <w:link w:val="999"/>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0">
    <w:name w:val="修订"/>
    <w:next w:val="1110"/>
    <w:link w:val="999"/>
    <w:uiPriority w:val="99"/>
    <w:semiHidden/>
    <w:rPr>
      <w:rFonts w:ascii="Times New Roman" w:hAnsi="Times New Roman"/>
      <w:sz w:val="21"/>
      <w:szCs w:val="21"/>
      <w:lang w:val="en-US" w:eastAsia="zh-CN" w:bidi="ar-SA"/>
    </w:rPr>
  </w:style>
  <w:style w:type="paragraph" w:styleId="1111">
    <w:name w:val="无间隔"/>
    <w:next w:val="1111"/>
    <w:link w:val="999"/>
    <w:uiPriority w:val="99"/>
    <w:qFormat/>
    <w:pPr>
      <w:jc w:val="both"/>
      <w:widowControl w:val="off"/>
    </w:pPr>
    <w:rPr>
      <w:rFonts w:ascii="Times New Roman" w:hAnsi="Times New Roman"/>
      <w:sz w:val="21"/>
      <w:szCs w:val="21"/>
      <w:lang w:val="en-US" w:eastAsia="zh-CN" w:bidi="ar-SA"/>
    </w:rPr>
  </w:style>
  <w:style w:type="paragraph" w:styleId="1112">
    <w:name w:val="普通文字"/>
    <w:basedOn w:val="999"/>
    <w:next w:val="999"/>
    <w:link w:val="999"/>
    <w:uiPriority w:val="99"/>
    <w:rPr>
      <w:rFonts w:ascii="宋体" w:hAnsi="Times New Roman" w:eastAsia="宋体" w:cs="Times New Roman"/>
      <w:sz w:val="24"/>
      <w:szCs w:val="20"/>
      <w:u w:val="none"/>
    </w:rPr>
  </w:style>
  <w:style w:type="paragraph" w:styleId="1113">
    <w:name w:val="目录 111"/>
    <w:basedOn w:val="999"/>
    <w:next w:val="999"/>
    <w:link w:val="999"/>
    <w:uiPriority w:val="39"/>
    <w:unhideWhenUsed/>
    <w:qFormat/>
    <w:pPr>
      <w:jc w:val="left"/>
      <w:spacing w:after="100" w:line="259" w:lineRule="auto"/>
      <w:widowControl/>
    </w:pPr>
    <w:rPr>
      <w:rFonts w:ascii="Calibri" w:hAnsi="Calibri" w:eastAsia="宋体"/>
      <w:sz w:val="22"/>
      <w:szCs w:val="22"/>
    </w:rPr>
  </w:style>
  <w:style w:type="character" w:styleId="1114" w:default="1">
    <w:name w:val="Default Paragraph Font"/>
    <w:uiPriority w:val="1"/>
    <w:semiHidden/>
    <w:unhideWhenUsed/>
  </w:style>
  <w:style w:type="numbering" w:styleId="1115" w:default="1">
    <w:name w:val="No List"/>
    <w:uiPriority w:val="99"/>
    <w:semiHidden/>
    <w:unhideWhenUsed/>
  </w:style>
  <w:style w:type="table" w:styleId="1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59</cp:revision>
  <dcterms:created xsi:type="dcterms:W3CDTF">2023-03-16T02:16:00Z</dcterms:created>
  <dcterms:modified xsi:type="dcterms:W3CDTF">2026-04-03T06:11:51Z</dcterms:modified>
</cp:coreProperties>
</file>