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E71" w:rsidRDefault="00555FCB">
      <w:pPr>
        <w:spacing w:line="360" w:lineRule="auto"/>
        <w:jc w:val="center"/>
        <w:rPr>
          <w:rFonts w:ascii="宋体" w:eastAsia="宋体" w:hAnsi="宋体"/>
          <w:b/>
          <w:szCs w:val="28"/>
        </w:rPr>
      </w:pPr>
      <w:r>
        <w:rPr>
          <w:rFonts w:ascii="宋体" w:eastAsia="宋体" w:hAnsi="宋体" w:hint="eastAsia"/>
          <w:b/>
          <w:sz w:val="30"/>
          <w:szCs w:val="30"/>
        </w:rPr>
        <w:t>苏州工业园区绿化养护</w:t>
      </w:r>
      <w:r>
        <w:rPr>
          <w:rFonts w:ascii="宋体" w:eastAsia="宋体" w:hAnsi="宋体" w:hint="eastAsia"/>
          <w:b/>
          <w:szCs w:val="28"/>
        </w:rPr>
        <w:t>作业车辆及设备要求</w:t>
      </w:r>
    </w:p>
    <w:p w:rsidR="006A2E71" w:rsidRDefault="00555FCB">
      <w:pPr>
        <w:spacing w:line="520" w:lineRule="exact"/>
        <w:ind w:firstLineChars="200" w:firstLine="422"/>
        <w:rPr>
          <w:rFonts w:ascii="宋体" w:eastAsia="宋体" w:hAnsi="宋体" w:cs="宋体"/>
          <w:b/>
          <w:bCs/>
          <w:sz w:val="21"/>
          <w:szCs w:val="21"/>
        </w:rPr>
      </w:pPr>
      <w:r>
        <w:rPr>
          <w:rFonts w:ascii="宋体" w:eastAsia="宋体" w:hAnsi="宋体" w:cs="宋体" w:hint="eastAsia"/>
          <w:b/>
          <w:bCs/>
          <w:sz w:val="21"/>
          <w:szCs w:val="21"/>
        </w:rPr>
        <w:t>一、车辆配备要求及标准（</w:t>
      </w:r>
      <w:r w:rsidRPr="006D4650">
        <w:rPr>
          <w:rFonts w:ascii="宋体" w:eastAsia="宋体" w:hAnsi="宋体" w:cs="宋体" w:hint="eastAsia"/>
          <w:b/>
          <w:bCs/>
          <w:color w:val="FF0000"/>
          <w:sz w:val="21"/>
          <w:szCs w:val="21"/>
        </w:rPr>
        <w:t>详见</w:t>
      </w:r>
      <w:r w:rsidR="006D4650" w:rsidRPr="006D4650">
        <w:rPr>
          <w:rFonts w:ascii="宋体" w:eastAsia="宋体" w:hAnsi="宋体" w:cs="宋体" w:hint="eastAsia"/>
          <w:b/>
          <w:bCs/>
          <w:color w:val="FF0000"/>
          <w:sz w:val="21"/>
          <w:szCs w:val="21"/>
        </w:rPr>
        <w:t>作业车辆及设施设备图集</w:t>
      </w:r>
      <w:r>
        <w:rPr>
          <w:rFonts w:ascii="宋体" w:eastAsia="宋体" w:hAnsi="宋体" w:cs="宋体" w:hint="eastAsia"/>
          <w:b/>
          <w:bCs/>
          <w:sz w:val="21"/>
          <w:szCs w:val="21"/>
        </w:rPr>
        <w:t>）</w:t>
      </w:r>
    </w:p>
    <w:p w:rsidR="006A2E71" w:rsidRDefault="00555FCB" w:rsidP="00A37A76">
      <w:pPr>
        <w:tabs>
          <w:tab w:val="left" w:pos="6453"/>
        </w:tabs>
        <w:adjustRightInd w:val="0"/>
        <w:snapToGrid w:val="0"/>
        <w:spacing w:line="520" w:lineRule="exact"/>
        <w:ind w:firstLineChars="200" w:firstLine="420"/>
        <w:rPr>
          <w:rFonts w:ascii="宋体" w:eastAsia="宋体" w:hAnsi="宋体" w:cs="宋体"/>
          <w:sz w:val="21"/>
          <w:szCs w:val="21"/>
          <w:highlight w:val="cyan"/>
        </w:rPr>
      </w:pPr>
      <w:r>
        <w:rPr>
          <w:rFonts w:ascii="宋体" w:eastAsia="宋体" w:hAnsi="宋体" w:cs="宋体" w:hint="eastAsia"/>
          <w:sz w:val="21"/>
          <w:szCs w:val="21"/>
          <w:highlight w:val="cyan"/>
        </w:rPr>
        <w:t>车辆注册时间必须为2021年6月1日后。</w:t>
      </w:r>
    </w:p>
    <w:p w:rsidR="006A2E71" w:rsidRDefault="00555FCB">
      <w:pPr>
        <w:spacing w:line="520" w:lineRule="exact"/>
        <w:ind w:firstLineChars="200" w:firstLine="422"/>
        <w:rPr>
          <w:rFonts w:ascii="宋体" w:eastAsia="宋体" w:hAnsi="宋体" w:cs="宋体"/>
          <w:b/>
          <w:bCs/>
          <w:sz w:val="21"/>
          <w:szCs w:val="21"/>
        </w:rPr>
      </w:pPr>
      <w:r>
        <w:rPr>
          <w:rFonts w:ascii="宋体" w:eastAsia="宋体" w:hAnsi="宋体" w:cs="宋体" w:hint="eastAsia"/>
          <w:b/>
          <w:bCs/>
          <w:sz w:val="21"/>
          <w:szCs w:val="21"/>
        </w:rPr>
        <w:t>二、车辆使用要求</w:t>
      </w:r>
    </w:p>
    <w:p w:rsidR="006A2E71" w:rsidRDefault="00555FCB">
      <w:pPr>
        <w:tabs>
          <w:tab w:val="left" w:pos="6453"/>
        </w:tabs>
        <w:adjustRightInd w:val="0"/>
        <w:snapToGrid w:val="0"/>
        <w:spacing w:line="520" w:lineRule="exact"/>
        <w:ind w:firstLineChars="200" w:firstLine="420"/>
        <w:rPr>
          <w:rFonts w:ascii="宋体" w:eastAsia="宋体" w:hAnsi="宋体"/>
          <w:sz w:val="21"/>
          <w:szCs w:val="21"/>
          <w:highlight w:val="cyan"/>
        </w:rPr>
      </w:pPr>
      <w:r>
        <w:rPr>
          <w:rFonts w:ascii="宋体" w:eastAsia="宋体" w:hAnsi="宋体" w:cs="宋体" w:hint="eastAsia"/>
          <w:sz w:val="21"/>
          <w:szCs w:val="21"/>
          <w:highlight w:val="cyan"/>
        </w:rPr>
        <w:t>中标单位配备的专业作业车辆配置数量须满足该项目实际养护要求和</w:t>
      </w:r>
      <w:r w:rsidR="006D4650" w:rsidRPr="006D4650">
        <w:rPr>
          <w:rFonts w:ascii="宋体" w:eastAsia="宋体" w:hAnsi="宋体" w:cs="宋体" w:hint="eastAsia"/>
          <w:color w:val="FF0000"/>
          <w:sz w:val="21"/>
          <w:szCs w:val="21"/>
        </w:rPr>
        <w:t>招标实质响应要求</w:t>
      </w:r>
      <w:r>
        <w:rPr>
          <w:rFonts w:ascii="宋体" w:eastAsia="宋体" w:hAnsi="宋体" w:cs="宋体" w:hint="eastAsia"/>
          <w:sz w:val="21"/>
          <w:szCs w:val="21"/>
          <w:highlight w:val="cyan"/>
        </w:rPr>
        <w:t>，</w:t>
      </w:r>
      <w:r>
        <w:rPr>
          <w:rFonts w:ascii="宋体" w:eastAsia="宋体" w:hAnsi="宋体" w:cs="楷体_GB2312" w:hint="eastAsia"/>
          <w:sz w:val="21"/>
          <w:szCs w:val="21"/>
          <w:highlight w:val="cyan"/>
        </w:rPr>
        <w:t>且投入车辆均为该项目（标段）专用专业车辆，不得用于其他标段或其他项目，</w:t>
      </w:r>
      <w:r>
        <w:rPr>
          <w:rFonts w:ascii="宋体" w:eastAsia="宋体" w:hAnsi="宋体" w:hint="eastAsia"/>
          <w:sz w:val="21"/>
          <w:szCs w:val="21"/>
          <w:highlight w:val="cyan"/>
        </w:rPr>
        <w:t>如发现专用车辆用于其它项目的，或在检查过程中有车辆不到位情况的，或未经业主同意擅自更换车辆的按照考核条款进行违约扣款（详见其他考核条款）；</w:t>
      </w:r>
      <w:r>
        <w:rPr>
          <w:rFonts w:ascii="宋体" w:eastAsia="宋体" w:hAnsi="宋体" w:cs="宋体" w:hint="eastAsia"/>
          <w:sz w:val="21"/>
          <w:szCs w:val="21"/>
          <w:highlight w:val="cyan"/>
        </w:rPr>
        <w:t>具体各车辆配置数量可以参照附表要求，中标后配置方案报业主批准核验。因特殊情况如需增加的（费用包干），中标人应无条件服从。</w:t>
      </w:r>
      <w:r>
        <w:rPr>
          <w:rFonts w:ascii="宋体" w:eastAsia="宋体" w:hAnsi="宋体" w:hint="eastAsia"/>
          <w:sz w:val="21"/>
          <w:szCs w:val="21"/>
          <w:highlight w:val="cyan"/>
        </w:rPr>
        <w:t>中标单位应做好车辆的维护保养工作，在出车前做好各项检查，若专用车辆出现故障，中标人应及时维修或采用临时提供备用车辆来进行工作，若经维修后仍无法满足合同要求的，中标人应及时进行更换，并报请业主同意。中标人拒绝更换或更换不及时的，将按照考核条款进行违约扣款。</w:t>
      </w:r>
    </w:p>
    <w:p w:rsidR="006A2E71" w:rsidRDefault="00555FCB">
      <w:pPr>
        <w:tabs>
          <w:tab w:val="left" w:pos="6453"/>
        </w:tabs>
        <w:adjustRightInd w:val="0"/>
        <w:snapToGrid w:val="0"/>
        <w:spacing w:line="520" w:lineRule="exact"/>
        <w:ind w:firstLineChars="200" w:firstLine="420"/>
        <w:rPr>
          <w:rFonts w:ascii="宋体" w:eastAsia="宋体" w:hAnsi="宋体"/>
          <w:sz w:val="21"/>
          <w:szCs w:val="21"/>
          <w:highlight w:val="cyan"/>
        </w:rPr>
      </w:pPr>
      <w:r>
        <w:rPr>
          <w:rFonts w:ascii="宋体" w:eastAsia="宋体" w:hAnsi="宋体" w:hint="eastAsia"/>
          <w:sz w:val="21"/>
          <w:szCs w:val="21"/>
          <w:highlight w:val="cyan"/>
        </w:rPr>
        <w:t>所有标段要求配备的作业车辆须统一设计标准及喷涂标识LOGO，标段号，并加标段名称，具体车辆</w:t>
      </w:r>
      <w:r>
        <w:rPr>
          <w:rFonts w:ascii="宋体" w:eastAsia="宋体" w:hAnsi="宋体"/>
          <w:sz w:val="21"/>
          <w:szCs w:val="21"/>
          <w:highlight w:val="cyan"/>
        </w:rPr>
        <w:t>车身图案中标后报</w:t>
      </w:r>
      <w:r>
        <w:rPr>
          <w:rFonts w:ascii="宋体" w:eastAsia="宋体" w:hAnsi="宋体" w:hint="eastAsia"/>
          <w:sz w:val="21"/>
          <w:szCs w:val="21"/>
          <w:highlight w:val="cyan"/>
        </w:rPr>
        <w:t>业主</w:t>
      </w:r>
      <w:r>
        <w:rPr>
          <w:rFonts w:ascii="宋体" w:eastAsia="宋体" w:hAnsi="宋体"/>
          <w:sz w:val="21"/>
          <w:szCs w:val="21"/>
          <w:highlight w:val="cyan"/>
        </w:rPr>
        <w:t>批准后</w:t>
      </w:r>
      <w:r>
        <w:rPr>
          <w:rFonts w:ascii="宋体" w:eastAsia="宋体" w:hAnsi="宋体" w:hint="eastAsia"/>
          <w:sz w:val="21"/>
          <w:szCs w:val="21"/>
          <w:highlight w:val="cyan"/>
        </w:rPr>
        <w:t>30天内完成</w:t>
      </w:r>
      <w:r>
        <w:rPr>
          <w:rFonts w:ascii="宋体" w:eastAsia="宋体" w:hAnsi="宋体"/>
          <w:sz w:val="21"/>
          <w:szCs w:val="21"/>
          <w:highlight w:val="cyan"/>
        </w:rPr>
        <w:t>喷涂</w:t>
      </w:r>
      <w:r>
        <w:rPr>
          <w:rFonts w:ascii="宋体" w:eastAsia="宋体" w:hAnsi="宋体" w:hint="eastAsia"/>
          <w:sz w:val="21"/>
          <w:szCs w:val="21"/>
          <w:highlight w:val="cyan"/>
        </w:rPr>
        <w:t>；作业车辆须保持车容车貌整洁，水车须配备led警示标志置于车尾；所有标段作业车辆（水车、卡车）须统一安装能轨迹在线查看、历史轨迹查询回溯等功能的车辆监测设备一套，其安装及使用费用在养护报价中平衡，并与信息化平台实现数据对接，</w:t>
      </w:r>
      <w:r>
        <w:rPr>
          <w:rFonts w:ascii="宋体" w:eastAsia="宋体" w:hAnsi="宋体"/>
          <w:sz w:val="21"/>
          <w:szCs w:val="21"/>
          <w:highlight w:val="cyan"/>
        </w:rPr>
        <w:t>确保数据</w:t>
      </w:r>
      <w:r>
        <w:rPr>
          <w:rFonts w:ascii="宋体" w:eastAsia="宋体" w:hAnsi="宋体" w:hint="eastAsia"/>
          <w:sz w:val="21"/>
          <w:szCs w:val="21"/>
          <w:highlight w:val="cyan"/>
        </w:rPr>
        <w:t>齐全</w:t>
      </w:r>
      <w:r>
        <w:rPr>
          <w:rFonts w:ascii="宋体" w:eastAsia="宋体" w:hAnsi="宋体"/>
          <w:sz w:val="21"/>
          <w:szCs w:val="21"/>
          <w:highlight w:val="cyan"/>
        </w:rPr>
        <w:t>、实时、准确、安全</w:t>
      </w:r>
      <w:r>
        <w:rPr>
          <w:rFonts w:ascii="宋体" w:eastAsia="宋体" w:hAnsi="宋体" w:hint="eastAsia"/>
          <w:sz w:val="21"/>
          <w:szCs w:val="21"/>
          <w:highlight w:val="cyan"/>
        </w:rPr>
        <w:t>；清运卡车须按照业主要求安装FD卡，进出入绿化垃圾（绿化废弃物）处理厂须服从业主安排。</w:t>
      </w:r>
    </w:p>
    <w:p w:rsidR="006A2E71" w:rsidRDefault="00555FCB">
      <w:pPr>
        <w:spacing w:line="520" w:lineRule="exact"/>
        <w:ind w:firstLineChars="200" w:firstLine="422"/>
        <w:rPr>
          <w:rFonts w:ascii="宋体" w:eastAsia="宋体" w:hAnsi="宋体" w:cs="宋体"/>
          <w:b/>
          <w:bCs/>
          <w:sz w:val="21"/>
          <w:szCs w:val="21"/>
        </w:rPr>
      </w:pPr>
      <w:r>
        <w:rPr>
          <w:rFonts w:ascii="宋体" w:eastAsia="宋体" w:hAnsi="宋体" w:cs="宋体" w:hint="eastAsia"/>
          <w:b/>
          <w:bCs/>
          <w:sz w:val="21"/>
          <w:szCs w:val="21"/>
        </w:rPr>
        <w:t>三、车辆停置要求</w:t>
      </w:r>
    </w:p>
    <w:p w:rsidR="006A2E71" w:rsidRDefault="00555FCB">
      <w:pPr>
        <w:spacing w:line="360" w:lineRule="auto"/>
        <w:ind w:firstLineChars="200" w:firstLine="420"/>
        <w:rPr>
          <w:rFonts w:ascii="宋体" w:eastAsia="宋体" w:hAnsi="宋体"/>
          <w:sz w:val="21"/>
          <w:szCs w:val="21"/>
        </w:rPr>
      </w:pPr>
      <w:r>
        <w:rPr>
          <w:rFonts w:ascii="宋体" w:eastAsia="宋体" w:hAnsi="宋体" w:hint="eastAsia"/>
          <w:sz w:val="21"/>
          <w:szCs w:val="21"/>
        </w:rPr>
        <w:t>1.所有作业车辆规范停放，并上报业主单位具体停放的地点、时间，业主会每月进行现场查验，对于未按要求停放的，将纳入考核。</w:t>
      </w:r>
    </w:p>
    <w:p w:rsidR="006A2E71" w:rsidRDefault="00555FCB">
      <w:pPr>
        <w:spacing w:line="360" w:lineRule="auto"/>
        <w:ind w:firstLineChars="200" w:firstLine="420"/>
        <w:rPr>
          <w:rFonts w:ascii="宋体" w:eastAsia="宋体" w:hAnsi="宋体"/>
          <w:sz w:val="21"/>
          <w:szCs w:val="21"/>
        </w:rPr>
      </w:pPr>
      <w:r>
        <w:rPr>
          <w:rFonts w:ascii="宋体" w:eastAsia="宋体" w:hAnsi="宋体" w:hint="eastAsia"/>
          <w:sz w:val="21"/>
          <w:szCs w:val="21"/>
        </w:rPr>
        <w:t>2.机械化作业车辆在规定的作业时间内不得提前驶回停置地点。</w:t>
      </w:r>
    </w:p>
    <w:p w:rsidR="006A2E71" w:rsidRDefault="00555FCB">
      <w:pPr>
        <w:spacing w:line="360" w:lineRule="auto"/>
        <w:ind w:firstLineChars="200" w:firstLine="420"/>
        <w:rPr>
          <w:rFonts w:ascii="宋体" w:eastAsia="宋体" w:hAnsi="宋体"/>
          <w:sz w:val="21"/>
          <w:szCs w:val="21"/>
        </w:rPr>
      </w:pPr>
      <w:r>
        <w:rPr>
          <w:rFonts w:ascii="宋体" w:eastAsia="宋体" w:hAnsi="宋体" w:hint="eastAsia"/>
          <w:sz w:val="21"/>
          <w:szCs w:val="21"/>
        </w:rPr>
        <w:t>3.车辆因维修保养等原因不能停回规定地点的需提前报备。</w:t>
      </w:r>
    </w:p>
    <w:p w:rsidR="006A2E71" w:rsidRDefault="00555FCB">
      <w:pPr>
        <w:spacing w:line="360" w:lineRule="auto"/>
        <w:ind w:firstLineChars="200" w:firstLine="420"/>
        <w:rPr>
          <w:rFonts w:ascii="宋体" w:eastAsia="宋体" w:hAnsi="宋体"/>
          <w:sz w:val="21"/>
          <w:szCs w:val="21"/>
        </w:rPr>
      </w:pPr>
      <w:r>
        <w:rPr>
          <w:rFonts w:ascii="宋体" w:eastAsia="宋体" w:hAnsi="宋体" w:hint="eastAsia"/>
          <w:sz w:val="21"/>
          <w:szCs w:val="21"/>
        </w:rPr>
        <w:t>4、电动作业车辆停靠点的充电桩须设置规范，充电相关事项须满足厂家规定，充电点须固定、规范，确保安全。</w:t>
      </w:r>
    </w:p>
    <w:p w:rsidR="006A2E71" w:rsidRDefault="00555FCB">
      <w:pPr>
        <w:spacing w:line="520" w:lineRule="exact"/>
        <w:ind w:firstLineChars="200" w:firstLine="422"/>
        <w:rPr>
          <w:rFonts w:ascii="宋体" w:eastAsia="宋体" w:hAnsi="宋体" w:cs="宋体"/>
          <w:b/>
          <w:bCs/>
          <w:sz w:val="21"/>
          <w:szCs w:val="21"/>
        </w:rPr>
      </w:pPr>
      <w:r>
        <w:rPr>
          <w:rFonts w:ascii="宋体" w:eastAsia="宋体" w:hAnsi="宋体" w:cs="宋体" w:hint="eastAsia"/>
          <w:b/>
          <w:bCs/>
          <w:sz w:val="21"/>
          <w:szCs w:val="21"/>
        </w:rPr>
        <w:lastRenderedPageBreak/>
        <w:t>四、设施设备配备要求及标准（详见附表2）</w:t>
      </w:r>
    </w:p>
    <w:p w:rsidR="006A2E71" w:rsidRDefault="00555FCB">
      <w:pPr>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1、养护设备要求：所有设施设备要求为</w:t>
      </w:r>
      <w:r>
        <w:rPr>
          <w:rFonts w:ascii="宋体" w:eastAsia="宋体" w:hAnsi="宋体" w:cs="宋体" w:hint="eastAsia"/>
          <w:sz w:val="21"/>
          <w:szCs w:val="21"/>
          <w:highlight w:val="cyan"/>
        </w:rPr>
        <w:t>2024年1月</w:t>
      </w:r>
      <w:r>
        <w:rPr>
          <w:rFonts w:ascii="宋体" w:eastAsia="宋体" w:hAnsi="宋体" w:cs="宋体"/>
          <w:sz w:val="21"/>
          <w:szCs w:val="21"/>
          <w:highlight w:val="cyan"/>
        </w:rPr>
        <w:t>1</w:t>
      </w:r>
      <w:r>
        <w:rPr>
          <w:rFonts w:ascii="宋体" w:eastAsia="宋体" w:hAnsi="宋体" w:cs="宋体" w:hint="eastAsia"/>
          <w:sz w:val="21"/>
          <w:szCs w:val="21"/>
          <w:highlight w:val="cyan"/>
        </w:rPr>
        <w:t>日</w:t>
      </w:r>
      <w:r>
        <w:rPr>
          <w:rFonts w:ascii="宋体" w:eastAsia="宋体" w:hAnsi="宋体" w:cs="宋体" w:hint="eastAsia"/>
          <w:sz w:val="21"/>
          <w:szCs w:val="21"/>
        </w:rPr>
        <w:t>（含）后首次购买，不得使用老、破、旧设备，不使用破损漏水的水管，新购置设备均满足日常养护需求，中标后配置方案报业主批准核验，如需增加的（费用包干），中标人应无条件服从。具体</w:t>
      </w:r>
      <w:r>
        <w:rPr>
          <w:rFonts w:ascii="宋体" w:eastAsia="宋体" w:hAnsi="宋体" w:cs="宋体" w:hint="eastAsia"/>
          <w:bCs/>
          <w:sz w:val="21"/>
          <w:szCs w:val="21"/>
        </w:rPr>
        <w:t>设施设备配置如下：</w:t>
      </w:r>
      <w:r>
        <w:rPr>
          <w:rFonts w:ascii="宋体" w:eastAsia="宋体" w:hAnsi="宋体" w:cs="宋体" w:hint="eastAsia"/>
          <w:bCs/>
          <w:kern w:val="0"/>
          <w:sz w:val="21"/>
          <w:szCs w:val="21"/>
        </w:rPr>
        <w:t>乘骑式草坪修剪机、手推式草坪修剪机、电动高杆锯、背带式吹风机、单手电锯、电动扶树器、电动深耕施肥机、电动绿篱机、水泵、</w:t>
      </w:r>
      <w:r>
        <w:rPr>
          <w:rFonts w:ascii="宋体" w:eastAsia="宋体" w:hAnsi="宋体" w:cs="宋体" w:hint="eastAsia"/>
          <w:bCs/>
          <w:sz w:val="21"/>
          <w:szCs w:val="21"/>
        </w:rPr>
        <w:t>自动化绿篱修剪</w:t>
      </w:r>
      <w:r>
        <w:rPr>
          <w:rFonts w:ascii="宋体" w:eastAsia="宋体" w:hAnsi="宋体" w:cs="宋体" w:hint="eastAsia"/>
          <w:sz w:val="21"/>
          <w:szCs w:val="21"/>
        </w:rPr>
        <w:t>车（绿篱修剪车配备了高速旋转的刀片，可以快速地修剪绿篱，使其保持整齐的形状和高度。这种机械修剪方式比传统的手工修剪更加高效，节省了大量的人力和时间）、作业对讲机、交通安全锥桶、绿化养护作业安全提示牌、高空作业安全带、巡视无人机。为提升作业效率和保障城市环境，优先使用电动工具；为方便工人作业，电动高杆锯、电动绿篱机、电动割草机优先配备背负式型号，如配备其他类型电动及非电动设备须经过业主同意，</w:t>
      </w:r>
      <w:r>
        <w:rPr>
          <w:rFonts w:ascii="宋体" w:eastAsia="宋体" w:hAnsi="宋体" w:hint="eastAsia"/>
          <w:sz w:val="21"/>
          <w:szCs w:val="21"/>
        </w:rPr>
        <w:t>所有车辆</w:t>
      </w:r>
      <w:r>
        <w:rPr>
          <w:rFonts w:ascii="宋体" w:eastAsia="宋体" w:hAnsi="宋体"/>
          <w:sz w:val="21"/>
          <w:szCs w:val="21"/>
        </w:rPr>
        <w:t>设备的存放和使用均需</w:t>
      </w:r>
      <w:r>
        <w:rPr>
          <w:rFonts w:ascii="宋体" w:eastAsia="宋体" w:hAnsi="宋体" w:hint="eastAsia"/>
          <w:sz w:val="21"/>
          <w:szCs w:val="21"/>
        </w:rPr>
        <w:t>按照</w:t>
      </w:r>
      <w:r>
        <w:rPr>
          <w:rFonts w:ascii="宋体" w:eastAsia="宋体" w:hAnsi="宋体"/>
          <w:sz w:val="21"/>
          <w:szCs w:val="21"/>
        </w:rPr>
        <w:t>安全管理</w:t>
      </w:r>
      <w:r>
        <w:rPr>
          <w:rFonts w:ascii="宋体" w:eastAsia="宋体" w:hAnsi="宋体" w:hint="eastAsia"/>
          <w:sz w:val="21"/>
          <w:szCs w:val="21"/>
        </w:rPr>
        <w:t>规范</w:t>
      </w:r>
      <w:r>
        <w:rPr>
          <w:rFonts w:ascii="宋体" w:eastAsia="宋体" w:hAnsi="宋体"/>
          <w:sz w:val="21"/>
          <w:szCs w:val="21"/>
        </w:rPr>
        <w:t>落实,</w:t>
      </w:r>
      <w:r>
        <w:rPr>
          <w:rFonts w:ascii="宋体" w:eastAsia="宋体" w:hAnsi="宋体" w:hint="eastAsia"/>
          <w:sz w:val="21"/>
          <w:szCs w:val="21"/>
        </w:rPr>
        <w:t>充电场所</w:t>
      </w:r>
      <w:r>
        <w:rPr>
          <w:rFonts w:ascii="宋体" w:eastAsia="宋体" w:hAnsi="宋体"/>
          <w:sz w:val="21"/>
          <w:szCs w:val="21"/>
        </w:rPr>
        <w:t>须配备消防设施。</w:t>
      </w:r>
      <w:r>
        <w:rPr>
          <w:rFonts w:ascii="宋体" w:eastAsia="宋体" w:hAnsi="宋体" w:cs="宋体" w:hint="eastAsia"/>
          <w:sz w:val="21"/>
          <w:szCs w:val="21"/>
        </w:rPr>
        <w:t>所配备设施设备无法满足日常养护要求时，中标单位须服从业主要求增加相应设施设备。</w:t>
      </w:r>
    </w:p>
    <w:p w:rsidR="006A2E71" w:rsidRDefault="00555FCB">
      <w:pPr>
        <w:spacing w:line="360" w:lineRule="auto"/>
        <w:ind w:firstLineChars="200" w:firstLine="420"/>
        <w:rPr>
          <w:rFonts w:ascii="宋体" w:eastAsia="宋体" w:hAnsi="宋体" w:cs="宋体"/>
          <w:sz w:val="21"/>
          <w:szCs w:val="21"/>
          <w:highlight w:val="cyan"/>
        </w:rPr>
      </w:pPr>
      <w:r>
        <w:rPr>
          <w:rFonts w:ascii="宋体" w:eastAsia="宋体" w:hAnsi="宋体" w:cs="宋体" w:hint="eastAsia"/>
          <w:sz w:val="21"/>
          <w:szCs w:val="21"/>
          <w:highlight w:val="cyan"/>
        </w:rPr>
        <w:t>2、非机动车使用要求：养护进场后统一购置三轮车（规范管理）用于日常养护设备、垃圾等短驳运输，纳入考核，除要求配置的作业车辆外，养护作业范围内不得随意停放工人自有车辆等，车辆管理要求符合《苏州工业园区市政养护作业及运输工具容貌保洁管理暂行办法》，</w:t>
      </w:r>
      <w:r>
        <w:rPr>
          <w:rFonts w:ascii="宋体" w:eastAsia="宋体" w:hAnsi="宋体" w:hint="eastAsia"/>
          <w:sz w:val="21"/>
          <w:szCs w:val="21"/>
          <w:highlight w:val="cyan"/>
        </w:rPr>
        <w:t>所有车辆</w:t>
      </w:r>
      <w:r>
        <w:rPr>
          <w:rFonts w:ascii="宋体" w:eastAsia="宋体" w:hAnsi="宋体"/>
          <w:sz w:val="21"/>
          <w:szCs w:val="21"/>
          <w:highlight w:val="cyan"/>
        </w:rPr>
        <w:t>的存放和使用均需</w:t>
      </w:r>
      <w:r>
        <w:rPr>
          <w:rFonts w:ascii="宋体" w:eastAsia="宋体" w:hAnsi="宋体" w:hint="eastAsia"/>
          <w:sz w:val="21"/>
          <w:szCs w:val="21"/>
          <w:highlight w:val="cyan"/>
        </w:rPr>
        <w:t>按照</w:t>
      </w:r>
      <w:r>
        <w:rPr>
          <w:rFonts w:ascii="宋体" w:eastAsia="宋体" w:hAnsi="宋体"/>
          <w:sz w:val="21"/>
          <w:szCs w:val="21"/>
          <w:highlight w:val="cyan"/>
        </w:rPr>
        <w:t>安全管理</w:t>
      </w:r>
      <w:r>
        <w:rPr>
          <w:rFonts w:ascii="宋体" w:eastAsia="宋体" w:hAnsi="宋体" w:hint="eastAsia"/>
          <w:sz w:val="21"/>
          <w:szCs w:val="21"/>
          <w:highlight w:val="cyan"/>
        </w:rPr>
        <w:t>规范</w:t>
      </w:r>
      <w:r>
        <w:rPr>
          <w:rFonts w:ascii="宋体" w:eastAsia="宋体" w:hAnsi="宋体"/>
          <w:sz w:val="21"/>
          <w:szCs w:val="21"/>
          <w:highlight w:val="cyan"/>
        </w:rPr>
        <w:t>落实,</w:t>
      </w:r>
      <w:r>
        <w:rPr>
          <w:rFonts w:ascii="宋体" w:eastAsia="宋体" w:hAnsi="宋体" w:hint="eastAsia"/>
          <w:sz w:val="21"/>
          <w:szCs w:val="21"/>
          <w:highlight w:val="cyan"/>
        </w:rPr>
        <w:t>充电场所</w:t>
      </w:r>
      <w:r>
        <w:rPr>
          <w:rFonts w:ascii="宋体" w:eastAsia="宋体" w:hAnsi="宋体"/>
          <w:sz w:val="21"/>
          <w:szCs w:val="21"/>
          <w:highlight w:val="cyan"/>
        </w:rPr>
        <w:t>须配备消防设施。</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3、工人服装要求:所有服装为作业人员一组合套（春秋套装2套、冬季套装2套、夏装套装2套、雨衣套装1套、工作帽套装1套、棉马甲2套、反光安全马甲2套、反光背带1套、河道作业时应符合临水作业的相关要求，配备救生衣等），</w:t>
      </w:r>
    </w:p>
    <w:p w:rsidR="006A2E71" w:rsidRDefault="00555FCB">
      <w:pPr>
        <w:spacing w:line="520" w:lineRule="exact"/>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春秋套装：</w:t>
      </w:r>
      <w:r>
        <w:rPr>
          <w:rFonts w:ascii="Segoe UI" w:eastAsia="Segoe UI" w:hAnsi="Segoe UI" w:cs="Segoe UI"/>
          <w:color w:val="FF0000"/>
          <w:sz w:val="24"/>
          <w:szCs w:val="24"/>
          <w:shd w:val="clear" w:color="auto" w:fill="FFFFFF"/>
        </w:rPr>
        <w:t>春秋季天气温和，多风易扬尘，服装需兼顾透气、耐磨和基础防护</w:t>
      </w:r>
      <w:r>
        <w:rPr>
          <w:rFonts w:ascii="Segoe UI" w:eastAsia="宋体" w:hAnsi="Segoe UI" w:cs="Segoe UI" w:hint="eastAsia"/>
          <w:color w:val="FF0000"/>
          <w:sz w:val="24"/>
          <w:szCs w:val="24"/>
          <w:shd w:val="clear" w:color="auto" w:fill="FFFFFF"/>
        </w:rPr>
        <w:t>，主要面料为</w:t>
      </w:r>
      <w:r>
        <w:rPr>
          <w:rFonts w:ascii="宋体" w:eastAsia="宋体" w:hAnsi="宋体" w:cs="宋体" w:hint="eastAsia"/>
          <w:color w:val="FF0000"/>
          <w:sz w:val="21"/>
          <w:szCs w:val="21"/>
        </w:rPr>
        <w:t>65% 聚酯纤维 + 35% 棉混纺帆布</w:t>
      </w:r>
      <w:r>
        <w:rPr>
          <w:rFonts w:ascii="宋体" w:eastAsia="宋体" w:hAnsi="宋体" w:cs="宋体"/>
          <w:color w:val="FF0000"/>
          <w:sz w:val="21"/>
          <w:szCs w:val="21"/>
        </w:rPr>
        <w:t>（或涤棉加厚纱卡）</w:t>
      </w:r>
      <w:r>
        <w:rPr>
          <w:rFonts w:ascii="宋体" w:eastAsia="宋体" w:hAnsi="宋体" w:cs="宋体" w:hint="eastAsia"/>
          <w:color w:val="FF0000"/>
          <w:sz w:val="21"/>
          <w:szCs w:val="21"/>
        </w:rPr>
        <w:t>。</w:t>
      </w:r>
    </w:p>
    <w:p w:rsidR="006A2E71" w:rsidRDefault="00555FCB">
      <w:pPr>
        <w:spacing w:line="520" w:lineRule="exact"/>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冬季套装：冬季需防寒保暖、防风防水，同时不影响肢体活动，主要面料为100% 聚酯纤维牛津布</w:t>
      </w:r>
      <w:r>
        <w:rPr>
          <w:rFonts w:ascii="宋体" w:eastAsia="宋体" w:hAnsi="宋体" w:cs="宋体"/>
          <w:color w:val="FF0000"/>
          <w:sz w:val="21"/>
          <w:szCs w:val="21"/>
        </w:rPr>
        <w:t>（加 PU 防水涂层）</w:t>
      </w:r>
      <w:r>
        <w:rPr>
          <w:rFonts w:ascii="宋体" w:eastAsia="宋体" w:hAnsi="宋体" w:cs="宋体" w:hint="eastAsia"/>
          <w:color w:val="FF0000"/>
          <w:sz w:val="21"/>
          <w:szCs w:val="21"/>
        </w:rPr>
        <w:t>，羊羔绒 / 摇粒绒复合填充。</w:t>
      </w:r>
    </w:p>
    <w:p w:rsidR="006A2E71" w:rsidRDefault="00555FCB">
      <w:pPr>
        <w:spacing w:line="520" w:lineRule="exact"/>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夏季套装：夏季高温多汗，服装核心是</w:t>
      </w:r>
      <w:r>
        <w:rPr>
          <w:rFonts w:ascii="宋体" w:eastAsia="宋体" w:hAnsi="宋体" w:cs="宋体"/>
          <w:color w:val="FF0000"/>
          <w:sz w:val="21"/>
          <w:szCs w:val="21"/>
        </w:rPr>
        <w:t>透气、速干、防晒、轻便</w:t>
      </w:r>
      <w:r>
        <w:rPr>
          <w:rFonts w:ascii="宋体" w:eastAsia="宋体" w:hAnsi="宋体" w:cs="宋体" w:hint="eastAsia"/>
          <w:color w:val="FF0000"/>
          <w:sz w:val="21"/>
          <w:szCs w:val="21"/>
        </w:rPr>
        <w:t>，主要面料为100% 聚</w:t>
      </w:r>
      <w:r>
        <w:rPr>
          <w:rFonts w:ascii="宋体" w:eastAsia="宋体" w:hAnsi="宋体" w:cs="宋体" w:hint="eastAsia"/>
          <w:color w:val="FF0000"/>
          <w:sz w:val="21"/>
          <w:szCs w:val="21"/>
        </w:rPr>
        <w:lastRenderedPageBreak/>
        <w:t>酯纤维速干网眼布</w:t>
      </w:r>
      <w:r>
        <w:rPr>
          <w:rFonts w:ascii="宋体" w:eastAsia="宋体" w:hAnsi="宋体" w:cs="宋体"/>
          <w:color w:val="FF0000"/>
          <w:sz w:val="21"/>
          <w:szCs w:val="21"/>
        </w:rPr>
        <w:t>（或涤氨弹力面料）</w:t>
      </w:r>
      <w:r>
        <w:rPr>
          <w:rFonts w:ascii="宋体" w:eastAsia="宋体" w:hAnsi="宋体" w:cs="宋体" w:hint="eastAsia"/>
          <w:color w:val="FF0000"/>
          <w:sz w:val="21"/>
          <w:szCs w:val="21"/>
        </w:rPr>
        <w:t>。</w:t>
      </w:r>
    </w:p>
    <w:p w:rsidR="006A2E71" w:rsidRDefault="00555FCB">
      <w:pPr>
        <w:spacing w:line="520" w:lineRule="exact"/>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服装发放时间为：进场核验期间各发放一组合套，第二年下半年再各发放一组合套，如有不足，须按实际情况增补发放，老旧服装及时回收。</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以上服装要求均纳入考核；每标段所有作业人员，人均36个月至少配置二组合套，全部为全新服装，制作服装根据工人身材大致合体，合同结束回收服装。所有服装上身须缝制能够插胸卡的透明卡袋，根据业主要求喷涂编码，方便区分标段，所有服装上身须缝制左右肩扣配套安全小闪灯的肩夹使用，服装上装、下装、帽子、背心等都须印有反光条，均须符合相关质量标准，业主有权委托第三方抽检，抽检费用由中标人承担；若抽检不符合质量标准，无条件更换。</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4、乙方需在夏季高温期间，为其聘用的作业人员发放防暑降温用品。如有因防暑降温用品发放问题导致的劳务纠纷均由乙方负责并承担相应责任。</w:t>
      </w:r>
    </w:p>
    <w:p w:rsidR="006A2E71" w:rsidRDefault="00555FCB">
      <w:pPr>
        <w:spacing w:line="520" w:lineRule="exact"/>
        <w:ind w:firstLineChars="200" w:firstLine="422"/>
        <w:rPr>
          <w:rFonts w:ascii="宋体" w:eastAsia="宋体" w:hAnsi="宋体"/>
          <w:sz w:val="21"/>
          <w:szCs w:val="21"/>
        </w:rPr>
      </w:pPr>
      <w:r>
        <w:rPr>
          <w:rFonts w:ascii="宋体" w:eastAsia="宋体" w:hAnsi="宋体" w:cs="宋体" w:hint="eastAsia"/>
          <w:b/>
          <w:bCs/>
          <w:sz w:val="21"/>
          <w:szCs w:val="21"/>
        </w:rPr>
        <w:t>五、办公场所与基地入驻</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hint="eastAsia"/>
          <w:sz w:val="21"/>
          <w:szCs w:val="21"/>
        </w:rPr>
        <w:t>1、办公场所要求：养护进场30天内在本标段范围就近承租房屋作为本标段养护项目部工作场所。</w:t>
      </w:r>
      <w:r>
        <w:rPr>
          <w:rFonts w:ascii="宋体" w:eastAsia="宋体" w:hAnsi="宋体" w:hint="eastAsia"/>
          <w:sz w:val="21"/>
          <w:szCs w:val="21"/>
          <w:highlight w:val="cyan"/>
        </w:rPr>
        <w:t>项目经理须24小时在岗，</w:t>
      </w:r>
      <w:r>
        <w:rPr>
          <w:rFonts w:ascii="宋体" w:eastAsia="宋体" w:hAnsi="宋体" w:hint="eastAsia"/>
          <w:sz w:val="21"/>
          <w:szCs w:val="21"/>
        </w:rPr>
        <w:t>以满足现场快速响应的需求；符合一般办公条件，报业主批准，业主管理人员核查确认，配置相应办公用品，并有场地堆放日常使用器</w:t>
      </w:r>
      <w:r>
        <w:rPr>
          <w:rFonts w:ascii="宋体" w:eastAsia="宋体" w:hAnsi="宋体" w:cs="宋体" w:hint="eastAsia"/>
          <w:sz w:val="21"/>
          <w:szCs w:val="21"/>
        </w:rPr>
        <w:t>具。</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2、基地入驻要求：为便于内外部及时联系，可使用业主的后方基地，有条件的与属地管理部门共同合署办公。关于后方基地物业服务费、水电费的收取与缴纳要求：</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基地入驻实行有偿使用的原则。入驻单位申请使用的办公及配套用房（含前后微空地）、物料堆放场地、车辆停放场地等面积之和全部纳入该单位申请使用面积，按规定分担业主外聘物业单位所需费用。</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结合发包方现有基地的实际使用情况以及下一轮基地物业标招标技术要求测算，收费标准暂定为：按市政服务集团的最新要求规定执行。</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a.对入驻单位自行建设的基地按11元/平米·月收取使用费；</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b.对由发包方出资建设的基地按13元/平米·月收取使用费（按1.2系数调节）。</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水电等使用费按照单独设表的读数*相应单价单独结算，由集团代收代缴。</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2.发包方财务部门配合专业管理部门开展管养基地入驻单位物业服务费、水电费的收缴</w:t>
      </w:r>
      <w:r>
        <w:rPr>
          <w:rFonts w:ascii="宋体" w:eastAsia="宋体" w:hAnsi="宋体" w:cs="宋体" w:hint="eastAsia"/>
          <w:sz w:val="21"/>
          <w:szCs w:val="21"/>
        </w:rPr>
        <w:lastRenderedPageBreak/>
        <w:t>工作。具体由属地管理部门基地监管员按照财务管理制度的要求分别填写《开具发票申请表》和《开具收据申请表》提交至计划财务部，并通知缴款单位缴款。</w:t>
      </w:r>
    </w:p>
    <w:p w:rsidR="006A2E71" w:rsidRDefault="00555FCB">
      <w:pPr>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与属地管理方合署办公物业服务费、水电费参照以上原则收取。</w:t>
      </w:r>
    </w:p>
    <w:p w:rsidR="006A2E71" w:rsidRDefault="00555FCB">
      <w:pPr>
        <w:spacing w:line="520" w:lineRule="exact"/>
        <w:ind w:firstLineChars="200" w:firstLine="420"/>
        <w:rPr>
          <w:rFonts w:ascii="宋体" w:eastAsia="宋体" w:hAnsi="宋体"/>
          <w:sz w:val="21"/>
          <w:szCs w:val="21"/>
        </w:rPr>
      </w:pPr>
      <w:r>
        <w:rPr>
          <w:rFonts w:ascii="宋体" w:eastAsia="宋体" w:hAnsi="宋体" w:cs="宋体" w:hint="eastAsia"/>
          <w:sz w:val="21"/>
          <w:szCs w:val="21"/>
        </w:rPr>
        <w:t>3、休息亭使用要求：如需使用休息亭的，应做好以下要求：保护亭子内外的设施设备、做到亭子内部及周边</w:t>
      </w:r>
      <w:r>
        <w:rPr>
          <w:rFonts w:ascii="宋体" w:eastAsia="宋体" w:hAnsi="宋体" w:hint="eastAsia"/>
          <w:sz w:val="21"/>
          <w:szCs w:val="21"/>
        </w:rPr>
        <w:t>环境清洁；安全使用过程中严禁堆放危险物品、使用电器及其他设备，做好安全防范措施，并须按国家标准配备灭火器。</w:t>
      </w:r>
    </w:p>
    <w:p w:rsidR="006A2E71" w:rsidRDefault="006A2E71"/>
    <w:p w:rsidR="006A2E71" w:rsidRDefault="00555FCB">
      <w:pPr>
        <w:spacing w:line="520" w:lineRule="exact"/>
        <w:ind w:firstLineChars="200" w:firstLine="602"/>
        <w:jc w:val="center"/>
        <w:rPr>
          <w:rFonts w:ascii="宋体" w:eastAsia="宋体" w:hAnsi="宋体" w:cs="宋体"/>
          <w:b/>
          <w:bCs/>
          <w:sz w:val="21"/>
          <w:szCs w:val="21"/>
        </w:rPr>
      </w:pPr>
      <w:r>
        <w:rPr>
          <w:rFonts w:ascii="宋体" w:eastAsia="宋体" w:hAnsi="宋体" w:hint="eastAsia"/>
          <w:b/>
          <w:sz w:val="30"/>
          <w:szCs w:val="30"/>
        </w:rPr>
        <w:t>苏州工业园区绿化养护作业车辆及设备核验要求</w:t>
      </w:r>
    </w:p>
    <w:p w:rsidR="006A2E71" w:rsidRDefault="00555FCB">
      <w:pPr>
        <w:numPr>
          <w:ilvl w:val="0"/>
          <w:numId w:val="1"/>
        </w:numPr>
        <w:tabs>
          <w:tab w:val="left" w:pos="6453"/>
        </w:tabs>
        <w:adjustRightInd w:val="0"/>
        <w:snapToGrid w:val="0"/>
        <w:spacing w:line="520" w:lineRule="exact"/>
        <w:ind w:firstLineChars="200" w:firstLine="422"/>
        <w:rPr>
          <w:rFonts w:ascii="宋体" w:eastAsia="宋体" w:hAnsi="宋体" w:cs="宋体"/>
          <w:b/>
          <w:bCs/>
          <w:sz w:val="21"/>
          <w:szCs w:val="21"/>
        </w:rPr>
      </w:pPr>
      <w:r>
        <w:rPr>
          <w:rFonts w:ascii="宋体" w:eastAsia="宋体" w:hAnsi="宋体" w:cs="宋体" w:hint="eastAsia"/>
          <w:b/>
          <w:bCs/>
          <w:sz w:val="21"/>
          <w:szCs w:val="21"/>
        </w:rPr>
        <w:t>人员、设施设备核验要求</w:t>
      </w:r>
    </w:p>
    <w:p w:rsidR="006A2E71" w:rsidRDefault="00555FCB">
      <w:pPr>
        <w:tabs>
          <w:tab w:val="left" w:pos="6453"/>
        </w:tabs>
        <w:adjustRightInd w:val="0"/>
        <w:snapToGrid w:val="0"/>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在中标通知书或业主书面通知发出后30天内，中标单位应按照招标文件要求将人员、设施设备配备到位，业主组织中标单位项目经理对中标单位投入本项目的项目组成员及年轻化工人、设备、工具、保险、服装、办公场所、园区绿化信息化等平台开通使用等的到位情况与相关证明文件进行现场核验，由业主出具进场核验报告。</w:t>
      </w:r>
      <w:r w:rsidR="00A37A76" w:rsidRPr="00A37A76">
        <w:rPr>
          <w:rFonts w:ascii="宋体" w:eastAsia="宋体" w:hAnsi="宋体" w:cs="宋体" w:hint="eastAsia"/>
          <w:sz w:val="21"/>
          <w:szCs w:val="21"/>
          <w:highlight w:val="yellow"/>
        </w:rPr>
        <w:t>逾期扣款标准详见合同条款</w:t>
      </w:r>
      <w:r>
        <w:rPr>
          <w:rFonts w:ascii="宋体" w:eastAsia="宋体" w:hAnsi="宋体" w:cs="宋体" w:hint="eastAsia"/>
          <w:sz w:val="21"/>
          <w:szCs w:val="21"/>
        </w:rPr>
        <w:t>（不兑现承诺在进场后计量扣除）。</w:t>
      </w:r>
    </w:p>
    <w:p w:rsidR="006A2E71" w:rsidRDefault="00555FCB">
      <w:pPr>
        <w:numPr>
          <w:ilvl w:val="0"/>
          <w:numId w:val="1"/>
        </w:numPr>
        <w:tabs>
          <w:tab w:val="left" w:pos="6453"/>
        </w:tabs>
        <w:adjustRightInd w:val="0"/>
        <w:snapToGrid w:val="0"/>
        <w:spacing w:line="520" w:lineRule="exact"/>
        <w:ind w:firstLineChars="200" w:firstLine="422"/>
        <w:rPr>
          <w:rFonts w:ascii="宋体" w:eastAsia="宋体" w:hAnsi="宋体" w:cs="宋体"/>
          <w:b/>
          <w:bCs/>
          <w:sz w:val="21"/>
          <w:szCs w:val="21"/>
        </w:rPr>
      </w:pPr>
      <w:r>
        <w:rPr>
          <w:rFonts w:ascii="宋体" w:eastAsia="宋体" w:hAnsi="宋体" w:cs="宋体" w:hint="eastAsia"/>
          <w:b/>
          <w:bCs/>
          <w:sz w:val="21"/>
          <w:szCs w:val="21"/>
        </w:rPr>
        <w:t>车辆核验要求</w:t>
      </w:r>
    </w:p>
    <w:p w:rsidR="006A2E71" w:rsidRDefault="00555FCB">
      <w:pPr>
        <w:tabs>
          <w:tab w:val="left" w:pos="6453"/>
        </w:tabs>
        <w:adjustRightInd w:val="0"/>
        <w:snapToGrid w:val="0"/>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在中标通知书或业主书面通知发出后60天内，中标单位应按照招标文件要求将车辆配备到位，业主组织中标单位项目经理对中标单位投入本项目的车辆到位情况与相关证明文件进行现场核验，由业主出具进场核验报告。</w:t>
      </w:r>
      <w:r w:rsidR="00A37A76" w:rsidRPr="00A37A76">
        <w:rPr>
          <w:rFonts w:ascii="宋体" w:eastAsia="宋体" w:hAnsi="宋体" w:cs="宋体" w:hint="eastAsia"/>
          <w:sz w:val="21"/>
          <w:szCs w:val="21"/>
          <w:highlight w:val="yellow"/>
        </w:rPr>
        <w:t>逾期扣款标准详见合同条款</w:t>
      </w:r>
      <w:r>
        <w:rPr>
          <w:rFonts w:ascii="宋体" w:eastAsia="宋体" w:hAnsi="宋体" w:cs="宋体" w:hint="eastAsia"/>
          <w:sz w:val="21"/>
          <w:szCs w:val="21"/>
        </w:rPr>
        <w:t>（不兑现承诺在进场后计量扣除）。</w:t>
      </w:r>
    </w:p>
    <w:p w:rsidR="006A2E71" w:rsidRDefault="00555FCB">
      <w:pPr>
        <w:numPr>
          <w:ilvl w:val="0"/>
          <w:numId w:val="1"/>
        </w:numPr>
        <w:tabs>
          <w:tab w:val="left" w:pos="6453"/>
        </w:tabs>
        <w:adjustRightInd w:val="0"/>
        <w:snapToGrid w:val="0"/>
        <w:spacing w:line="520" w:lineRule="exact"/>
        <w:ind w:firstLineChars="200" w:firstLine="422"/>
        <w:rPr>
          <w:rFonts w:ascii="宋体" w:eastAsia="宋体" w:hAnsi="宋体" w:cs="宋体"/>
          <w:b/>
          <w:bCs/>
          <w:sz w:val="21"/>
          <w:szCs w:val="21"/>
        </w:rPr>
      </w:pPr>
      <w:r>
        <w:rPr>
          <w:rFonts w:ascii="宋体" w:eastAsia="宋体" w:hAnsi="宋体" w:cs="宋体" w:hint="eastAsia"/>
          <w:b/>
          <w:bCs/>
          <w:sz w:val="21"/>
          <w:szCs w:val="21"/>
        </w:rPr>
        <w:t>其他要求</w:t>
      </w:r>
    </w:p>
    <w:p w:rsidR="006A2E71" w:rsidRDefault="00555FCB">
      <w:pPr>
        <w:tabs>
          <w:tab w:val="left" w:pos="6453"/>
        </w:tabs>
        <w:adjustRightInd w:val="0"/>
        <w:snapToGrid w:val="0"/>
        <w:spacing w:line="520" w:lineRule="exact"/>
        <w:ind w:firstLineChars="200" w:firstLine="420"/>
        <w:rPr>
          <w:rFonts w:ascii="宋体" w:eastAsia="宋体" w:hAnsi="宋体" w:cs="宋体"/>
          <w:sz w:val="21"/>
          <w:szCs w:val="21"/>
        </w:rPr>
      </w:pPr>
      <w:r>
        <w:rPr>
          <w:rFonts w:ascii="宋体" w:eastAsia="宋体" w:hAnsi="宋体" w:cs="宋体" w:hint="eastAsia"/>
          <w:sz w:val="21"/>
          <w:szCs w:val="21"/>
        </w:rPr>
        <w:t>现场核验符合招标文件要求的，由业主出具“合格”的进场核验报告并明确进场日期。整改期限届满，如经业主现场核验仍不符合招标文件要求，业主有权与中标单位解除合同（投标报价包括完成该标段所有服务管理内容所需的人工、机械设备、福利、社保、工具器具、垃圾清运、耗材、通讯、服装、胸卡、办公设备、保险、劳保、防疫、高温费、防暑降温物品费用、信息化费用、维护、技术支持与培训及相关劳务支出等工作所发生的全部费用以及投标人企业管理费、利润、各种税金和政策性文件规定及合同包含的所有风险、责任等各项应有费用）。</w:t>
      </w:r>
    </w:p>
    <w:p w:rsidR="006A2E71" w:rsidRDefault="00555FCB">
      <w:pPr>
        <w:tabs>
          <w:tab w:val="left" w:pos="6453"/>
        </w:tabs>
        <w:adjustRightInd w:val="0"/>
        <w:snapToGrid w:val="0"/>
        <w:spacing w:line="520" w:lineRule="exact"/>
        <w:ind w:firstLineChars="200" w:firstLine="420"/>
        <w:rPr>
          <w:rFonts w:ascii="宋体" w:eastAsia="宋体" w:hAnsi="宋体" w:cs="宋体"/>
          <w:sz w:val="21"/>
          <w:szCs w:val="21"/>
          <w:highlight w:val="cyan"/>
        </w:rPr>
      </w:pPr>
      <w:r>
        <w:rPr>
          <w:rFonts w:ascii="宋体" w:eastAsia="宋体" w:hAnsi="宋体" w:hint="eastAsia"/>
          <w:sz w:val="21"/>
          <w:szCs w:val="21"/>
          <w:highlight w:val="cyan"/>
        </w:rPr>
        <w:lastRenderedPageBreak/>
        <w:t>招标文件要求设备是最低配置要求，按照项目实际运行需要甲方有权要求增配设备，承包单位须无条件增配，相关费用成本在投标报价中综合考虑，不再增加。</w:t>
      </w:r>
    </w:p>
    <w:p w:rsidR="006A2E71" w:rsidRDefault="00555FCB">
      <w:pPr>
        <w:snapToGrid w:val="0"/>
        <w:spacing w:line="480" w:lineRule="exact"/>
        <w:rPr>
          <w:rFonts w:ascii="仿宋_GB2312" w:eastAsia="仿宋_GB2312" w:hAnsi="宋体"/>
          <w:b/>
          <w:szCs w:val="28"/>
        </w:rPr>
      </w:pPr>
      <w:r>
        <w:rPr>
          <w:rFonts w:ascii="仿宋_GB2312" w:eastAsia="仿宋_GB2312" w:hAnsi="宋体" w:hint="eastAsia"/>
          <w:b/>
          <w:szCs w:val="28"/>
        </w:rPr>
        <w:t>作业车辆及设施设备图集</w:t>
      </w:r>
    </w:p>
    <w:p w:rsidR="006A2E71" w:rsidRDefault="00555FCB">
      <w:pPr>
        <w:snapToGrid w:val="0"/>
        <w:spacing w:line="480" w:lineRule="exact"/>
        <w:rPr>
          <w:rFonts w:ascii="仿宋_GB2312" w:eastAsia="仿宋_GB2312" w:hAnsi="宋体"/>
          <w:b/>
          <w:szCs w:val="28"/>
        </w:rPr>
      </w:pPr>
      <w:r>
        <w:rPr>
          <w:rFonts w:ascii="仿宋_GB2312" w:eastAsia="仿宋_GB2312" w:hAnsi="宋体" w:hint="eastAsia"/>
          <w:b/>
          <w:szCs w:val="28"/>
        </w:rPr>
        <w:t>以下表格内字体加粗的内容为实质响应要求，投标单位必须满足。</w:t>
      </w:r>
    </w:p>
    <w:p w:rsidR="006A2E71" w:rsidRDefault="00555FCB">
      <w:pPr>
        <w:snapToGrid w:val="0"/>
        <w:spacing w:line="480" w:lineRule="exact"/>
        <w:ind w:firstLineChars="196" w:firstLine="472"/>
        <w:rPr>
          <w:rFonts w:ascii="仿宋_GB2312" w:eastAsia="仿宋_GB2312" w:hAnsi="宋体"/>
          <w:b/>
          <w:sz w:val="24"/>
        </w:rPr>
      </w:pPr>
      <w:r>
        <w:rPr>
          <w:rFonts w:ascii="仿宋_GB2312" w:eastAsia="仿宋_GB2312" w:hAnsi="宋体" w:hint="eastAsia"/>
          <w:b/>
          <w:sz w:val="24"/>
        </w:rPr>
        <w:t>一、作业车辆</w:t>
      </w:r>
    </w:p>
    <w:tbl>
      <w:tblPr>
        <w:tblW w:w="9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8"/>
        <w:gridCol w:w="3113"/>
        <w:gridCol w:w="5239"/>
      </w:tblGrid>
      <w:tr w:rsidR="006A2E71">
        <w:trPr>
          <w:trHeight w:val="137"/>
          <w:jc w:val="center"/>
        </w:trPr>
        <w:tc>
          <w:tcPr>
            <w:tcW w:w="898" w:type="dxa"/>
            <w:vAlign w:val="center"/>
          </w:tcPr>
          <w:p w:rsidR="006A2E71" w:rsidRDefault="00555FCB">
            <w:pPr>
              <w:jc w:val="center"/>
              <w:rPr>
                <w:rFonts w:ascii="仿宋_GB2312" w:eastAsia="仿宋_GB2312" w:hAnsi="宋体"/>
                <w:b/>
                <w:sz w:val="24"/>
              </w:rPr>
            </w:pPr>
            <w:r>
              <w:rPr>
                <w:rFonts w:ascii="仿宋_GB2312" w:eastAsia="仿宋_GB2312" w:hAnsi="宋体" w:hint="eastAsia"/>
                <w:b/>
                <w:sz w:val="24"/>
              </w:rPr>
              <w:t>序号</w:t>
            </w:r>
          </w:p>
        </w:tc>
        <w:tc>
          <w:tcPr>
            <w:tcW w:w="3113" w:type="dxa"/>
            <w:vAlign w:val="center"/>
          </w:tcPr>
          <w:p w:rsidR="006A2E71" w:rsidRDefault="00555FCB">
            <w:pPr>
              <w:jc w:val="center"/>
              <w:rPr>
                <w:rFonts w:ascii="仿宋_GB2312" w:eastAsia="仿宋_GB2312" w:hAnsi="宋体"/>
                <w:b/>
                <w:sz w:val="24"/>
              </w:rPr>
            </w:pPr>
            <w:r>
              <w:rPr>
                <w:rFonts w:ascii="仿宋_GB2312" w:eastAsia="仿宋_GB2312" w:hAnsi="Arial" w:cs="Arial" w:hint="eastAsia"/>
                <w:b/>
                <w:sz w:val="24"/>
                <w:szCs w:val="24"/>
              </w:rPr>
              <w:t>车辆名称及要求</w:t>
            </w:r>
          </w:p>
        </w:tc>
        <w:tc>
          <w:tcPr>
            <w:tcW w:w="5239" w:type="dxa"/>
            <w:vAlign w:val="center"/>
          </w:tcPr>
          <w:p w:rsidR="006A2E71" w:rsidRDefault="006D4650">
            <w:pPr>
              <w:ind w:rightChars="-24" w:right="-67"/>
              <w:jc w:val="center"/>
              <w:rPr>
                <w:rFonts w:ascii="仿宋_GB2312" w:eastAsia="仿宋_GB2312" w:hAnsi="宋体"/>
                <w:b/>
                <w:sz w:val="24"/>
              </w:rPr>
            </w:pPr>
            <w:r>
              <w:rPr>
                <w:rFonts w:ascii="仿宋_GB2312" w:eastAsia="仿宋_GB2312" w:hAnsi="宋体" w:hint="eastAsia"/>
                <w:b/>
                <w:sz w:val="24"/>
              </w:rPr>
              <w:t>示意</w:t>
            </w:r>
            <w:r w:rsidR="00555FCB">
              <w:rPr>
                <w:rFonts w:ascii="仿宋_GB2312" w:eastAsia="仿宋_GB2312" w:hAnsi="宋体" w:hint="eastAsia"/>
                <w:b/>
                <w:sz w:val="24"/>
              </w:rPr>
              <w:t>图片</w:t>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1</w:t>
            </w:r>
          </w:p>
        </w:tc>
        <w:tc>
          <w:tcPr>
            <w:tcW w:w="3113" w:type="dxa"/>
            <w:vAlign w:val="center"/>
          </w:tcPr>
          <w:p w:rsidR="006A2E71" w:rsidRDefault="00555FCB">
            <w:pPr>
              <w:jc w:val="center"/>
              <w:rPr>
                <w:rFonts w:ascii="仿宋_GB2312" w:eastAsia="宋体" w:hAnsi="Arial" w:cs="Arial"/>
                <w:sz w:val="24"/>
                <w:szCs w:val="24"/>
              </w:rPr>
            </w:pPr>
            <w:r>
              <w:rPr>
                <w:rFonts w:ascii="仿宋_GB2312" w:eastAsia="仿宋_GB2312" w:hAnsi="Arial" w:cs="Arial" w:hint="eastAsia"/>
                <w:b/>
                <w:bCs/>
                <w:sz w:val="24"/>
                <w:szCs w:val="24"/>
              </w:rPr>
              <w:t>轻型非载货专项作业车（登高作业设备）：</w:t>
            </w:r>
            <w:r>
              <w:rPr>
                <w:rFonts w:ascii="宋体" w:eastAsia="宋体" w:hAnsi="宋体" w:cs="宋体" w:hint="eastAsia"/>
                <w:b/>
                <w:bCs/>
                <w:sz w:val="21"/>
                <w:szCs w:val="21"/>
              </w:rPr>
              <w:t>总质量≥4.4吨，</w:t>
            </w:r>
            <w:r w:rsidRPr="00961E89">
              <w:rPr>
                <w:rFonts w:ascii="宋体" w:eastAsia="宋体" w:hAnsi="宋体" w:cs="宋体" w:hint="eastAsia"/>
                <w:bCs/>
                <w:sz w:val="21"/>
                <w:szCs w:val="21"/>
              </w:rPr>
              <w:t>最大工作平台高度12m以上</w:t>
            </w:r>
            <w:r w:rsidRPr="00961E89">
              <w:rPr>
                <w:rFonts w:ascii="宋体" w:eastAsia="宋体" w:hAnsi="宋体" w:cs="宋体" w:hint="eastAsia"/>
                <w:sz w:val="21"/>
                <w:szCs w:val="21"/>
              </w:rPr>
              <w:t>，工作斗额定载荷不低于</w:t>
            </w:r>
            <w:r>
              <w:rPr>
                <w:rFonts w:ascii="宋体" w:eastAsia="宋体" w:hAnsi="宋体" w:cs="宋体" w:hint="eastAsia"/>
                <w:sz w:val="21"/>
                <w:szCs w:val="21"/>
              </w:rPr>
              <w:t>200kg，工作斗可旋转360度，满足作业需要。</w:t>
            </w:r>
          </w:p>
        </w:tc>
        <w:tc>
          <w:tcPr>
            <w:tcW w:w="5239" w:type="dxa"/>
            <w:vAlign w:val="center"/>
          </w:tcPr>
          <w:p w:rsidR="006A2E71" w:rsidRDefault="00555FCB">
            <w:pPr>
              <w:widowControl/>
              <w:jc w:val="center"/>
              <w:rPr>
                <w:rFonts w:ascii="仿宋_GB2312" w:eastAsia="方正仿宋_GB2312" w:hAnsi="宋体" w:cs="宋体"/>
                <w:sz w:val="24"/>
                <w:szCs w:val="24"/>
              </w:rPr>
            </w:pPr>
            <w:r>
              <w:rPr>
                <w:rFonts w:ascii="仿宋_GB2312" w:eastAsia="方正仿宋_GB2312" w:hAnsi="宋体" w:cs="宋体" w:hint="eastAsia"/>
                <w:noProof/>
                <w:sz w:val="24"/>
                <w:szCs w:val="24"/>
              </w:rPr>
              <w:drawing>
                <wp:inline distT="0" distB="0" distL="114300" distR="114300">
                  <wp:extent cx="3183890" cy="2021840"/>
                  <wp:effectExtent l="0" t="0" r="16510" b="16510"/>
                  <wp:docPr id="4" name="图片 4" descr="11fb9ef4-e8e8-42a5-bae3-0b02d995d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fb9ef4-e8e8-42a5-bae3-0b02d995d3d6"/>
                          <pic:cNvPicPr>
                            <a:picLocks noChangeAspect="1"/>
                          </pic:cNvPicPr>
                        </pic:nvPicPr>
                        <pic:blipFill>
                          <a:blip r:embed="rId7"/>
                          <a:stretch>
                            <a:fillRect/>
                          </a:stretch>
                        </pic:blipFill>
                        <pic:spPr>
                          <a:xfrm>
                            <a:off x="0" y="0"/>
                            <a:ext cx="3183890" cy="2021840"/>
                          </a:xfrm>
                          <a:prstGeom prst="rect">
                            <a:avLst/>
                          </a:prstGeom>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2</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重型罐式货车（新型水车）：</w:t>
            </w:r>
            <w:r>
              <w:rPr>
                <w:rFonts w:ascii="宋体" w:eastAsia="宋体" w:hAnsi="宋体" w:cs="宋体" w:hint="eastAsia"/>
                <w:b/>
                <w:bCs/>
                <w:sz w:val="21"/>
                <w:szCs w:val="21"/>
              </w:rPr>
              <w:t>总质量≥16吨；</w:t>
            </w:r>
            <w:r w:rsidRPr="00961E89">
              <w:rPr>
                <w:rFonts w:ascii="宋体" w:eastAsia="宋体" w:hAnsi="宋体" w:cs="宋体" w:hint="eastAsia"/>
                <w:bCs/>
                <w:sz w:val="21"/>
                <w:szCs w:val="21"/>
              </w:rPr>
              <w:t>罐体总容量≥9m³</w:t>
            </w:r>
            <w:r w:rsidRPr="00961E89">
              <w:rPr>
                <w:rFonts w:ascii="宋体" w:eastAsia="宋体" w:hAnsi="宋体" w:cs="宋体" w:hint="eastAsia"/>
                <w:sz w:val="21"/>
                <w:szCs w:val="21"/>
              </w:rPr>
              <w:t>；水</w:t>
            </w:r>
            <w:r>
              <w:rPr>
                <w:rFonts w:ascii="宋体" w:eastAsia="宋体" w:hAnsi="宋体" w:cs="宋体" w:hint="eastAsia"/>
                <w:sz w:val="21"/>
                <w:szCs w:val="21"/>
              </w:rPr>
              <w:t>罐两侧各装配不少于6个可气动控制调整角度的花洒或鸭嘴喷头；控制方式为驾驶室和车身电控；浇灌水流量大于1600L/min；水泵为液压驱动，水泵转速控制不受车速影响，车辆配备PTO定速方式的恒速装置。</w:t>
            </w:r>
          </w:p>
        </w:tc>
        <w:tc>
          <w:tcPr>
            <w:tcW w:w="5239" w:type="dxa"/>
            <w:vAlign w:val="center"/>
          </w:tcPr>
          <w:p w:rsidR="006A2E71" w:rsidRDefault="00555FCB">
            <w:pPr>
              <w:widowControl/>
              <w:jc w:val="center"/>
              <w:rPr>
                <w:rFonts w:ascii="仿宋_GB2312" w:eastAsia="仿宋_GB2312"/>
              </w:rPr>
            </w:pPr>
            <w:r>
              <w:rPr>
                <w:noProof/>
              </w:rPr>
              <w:drawing>
                <wp:inline distT="0" distB="0" distL="0" distR="0">
                  <wp:extent cx="3010535" cy="2258060"/>
                  <wp:effectExtent l="0" t="0" r="18415" b="8890"/>
                  <wp:docPr id="15" name="图片 15" descr="C:\Users\Administrator\Documents\WeChat Files\wxid_6mp0byln3ztn21\FileStorage\Temp\dff82e3e0ebd8da9d7a6137938f3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ocuments\WeChat Files\wxid_6mp0byln3ztn21\FileStorage\Temp\dff82e3e0ebd8da9d7a6137938f381d.jpg"/>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10535" cy="2258060"/>
                          </a:xfrm>
                          <a:prstGeom prst="rect">
                            <a:avLst/>
                          </a:prstGeom>
                          <a:noFill/>
                          <a:ln>
                            <a:noFill/>
                          </a:ln>
                        </pic:spPr>
                      </pic:pic>
                    </a:graphicData>
                  </a:graphic>
                </wp:inline>
              </w:drawing>
            </w:r>
            <w:r>
              <w:rPr>
                <w:noProof/>
              </w:rPr>
              <w:drawing>
                <wp:inline distT="0" distB="0" distL="0" distR="0">
                  <wp:extent cx="3009900" cy="2257425"/>
                  <wp:effectExtent l="0" t="0" r="0" b="9525"/>
                  <wp:docPr id="6" name="图片 6" descr="C:\Users\Administrator\Documents\WeChat Files\wxid_6mp0byln3ztn21\FileStorage\Temp\fc69644d542aa053fe686128fdc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6mp0byln3ztn21\FileStorage\Temp\fc69644d542aa053fe686128fdc6059.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9900" cy="2257425"/>
                          </a:xfrm>
                          <a:prstGeom prst="rect">
                            <a:avLst/>
                          </a:prstGeom>
                          <a:noFill/>
                          <a:ln>
                            <a:noFill/>
                          </a:ln>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lastRenderedPageBreak/>
              <w:t>3</w:t>
            </w:r>
          </w:p>
        </w:tc>
        <w:tc>
          <w:tcPr>
            <w:tcW w:w="3113" w:type="dxa"/>
            <w:vAlign w:val="center"/>
          </w:tcPr>
          <w:p w:rsidR="006A2E71" w:rsidRDefault="00555FCB">
            <w:pPr>
              <w:jc w:val="center"/>
              <w:rPr>
                <w:rFonts w:ascii="仿宋_GB2312" w:eastAsia="仿宋_GB2312" w:hAnsi="Arial" w:cs="Arial"/>
                <w:b/>
                <w:bCs/>
                <w:sz w:val="24"/>
                <w:szCs w:val="24"/>
              </w:rPr>
            </w:pPr>
            <w:r>
              <w:rPr>
                <w:rFonts w:ascii="仿宋_GB2312" w:eastAsia="仿宋_GB2312" w:hAnsi="Arial" w:cs="Arial" w:hint="eastAsia"/>
                <w:b/>
                <w:bCs/>
                <w:sz w:val="24"/>
                <w:szCs w:val="24"/>
              </w:rPr>
              <w:t>中型载货专项作业车（普通水车）</w:t>
            </w:r>
            <w:r>
              <w:rPr>
                <w:rFonts w:ascii="宋体" w:eastAsia="宋体" w:hAnsi="宋体" w:cs="宋体" w:hint="eastAsia"/>
                <w:sz w:val="21"/>
                <w:szCs w:val="21"/>
              </w:rPr>
              <w:t>：</w:t>
            </w:r>
            <w:r>
              <w:rPr>
                <w:rFonts w:ascii="宋体" w:eastAsia="宋体" w:hAnsi="宋体" w:cs="宋体" w:hint="eastAsia"/>
                <w:b/>
                <w:bCs/>
                <w:sz w:val="21"/>
                <w:szCs w:val="21"/>
              </w:rPr>
              <w:t>总质量≥11吨</w:t>
            </w:r>
          </w:p>
        </w:tc>
        <w:tc>
          <w:tcPr>
            <w:tcW w:w="5239" w:type="dxa"/>
            <w:vAlign w:val="center"/>
          </w:tcPr>
          <w:p w:rsidR="006A2E71" w:rsidRDefault="00555FCB">
            <w:pPr>
              <w:pStyle w:val="a7"/>
              <w:widowControl/>
            </w:pPr>
            <w:r>
              <w:rPr>
                <w:noProof/>
              </w:rPr>
              <w:drawing>
                <wp:inline distT="0" distB="0" distL="114300" distR="114300">
                  <wp:extent cx="3172460" cy="2324100"/>
                  <wp:effectExtent l="0" t="0" r="8890" b="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0"/>
                          <a:stretch>
                            <a:fillRect/>
                          </a:stretch>
                        </pic:blipFill>
                        <pic:spPr>
                          <a:xfrm>
                            <a:off x="0" y="0"/>
                            <a:ext cx="3172460" cy="2324100"/>
                          </a:xfrm>
                          <a:prstGeom prst="rect">
                            <a:avLst/>
                          </a:prstGeom>
                          <a:noFill/>
                          <a:ln w="9525">
                            <a:noFill/>
                          </a:ln>
                        </pic:spPr>
                      </pic:pic>
                    </a:graphicData>
                  </a:graphic>
                </wp:inline>
              </w:drawing>
            </w:r>
          </w:p>
          <w:p w:rsidR="006A2E71" w:rsidRDefault="006A2E71">
            <w:pPr>
              <w:widowControl/>
              <w:jc w:val="center"/>
            </w:pP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4</w:t>
            </w:r>
          </w:p>
        </w:tc>
        <w:tc>
          <w:tcPr>
            <w:tcW w:w="3113" w:type="dxa"/>
            <w:vAlign w:val="center"/>
          </w:tcPr>
          <w:p w:rsidR="006A2E71" w:rsidRDefault="00555FCB">
            <w:pPr>
              <w:adjustRightInd w:val="0"/>
              <w:snapToGrid w:val="0"/>
              <w:spacing w:line="520" w:lineRule="exact"/>
              <w:ind w:firstLineChars="200" w:firstLine="482"/>
              <w:rPr>
                <w:rFonts w:ascii="宋体" w:eastAsia="宋体" w:hAnsi="宋体" w:cs="宋体"/>
                <w:b/>
                <w:bCs/>
                <w:sz w:val="21"/>
                <w:szCs w:val="21"/>
                <w:u w:val="single"/>
              </w:rPr>
            </w:pPr>
            <w:r>
              <w:rPr>
                <w:rFonts w:ascii="仿宋_GB2312" w:eastAsia="仿宋_GB2312" w:hAnsi="Arial" w:cs="Arial" w:hint="eastAsia"/>
                <w:b/>
                <w:bCs/>
                <w:sz w:val="24"/>
                <w:szCs w:val="24"/>
              </w:rPr>
              <w:t>重型厢式/栏板货车（清运卡车）：</w:t>
            </w:r>
            <w:r>
              <w:rPr>
                <w:rFonts w:ascii="宋体" w:eastAsia="宋体" w:hAnsi="宋体" w:cs="宋体" w:hint="eastAsia"/>
                <w:b/>
                <w:bCs/>
                <w:sz w:val="21"/>
                <w:szCs w:val="21"/>
              </w:rPr>
              <w:t>实际载重量：≥1.6吨</w:t>
            </w:r>
            <w:r>
              <w:rPr>
                <w:rFonts w:ascii="宋体" w:eastAsia="宋体" w:hAnsi="宋体" w:cs="宋体" w:hint="eastAsia"/>
                <w:sz w:val="21"/>
                <w:szCs w:val="21"/>
              </w:rPr>
              <w:t>，白色，每个标至少配备一辆（图片仅供参考）。</w:t>
            </w:r>
          </w:p>
          <w:p w:rsidR="006A2E71" w:rsidRDefault="006A2E71">
            <w:pPr>
              <w:jc w:val="center"/>
              <w:rPr>
                <w:rFonts w:ascii="仿宋_GB2312" w:eastAsia="仿宋_GB2312" w:hAnsi="Arial" w:cs="Arial"/>
                <w:sz w:val="24"/>
                <w:szCs w:val="24"/>
              </w:rPr>
            </w:pPr>
          </w:p>
        </w:tc>
        <w:tc>
          <w:tcPr>
            <w:tcW w:w="5239" w:type="dxa"/>
            <w:vAlign w:val="center"/>
          </w:tcPr>
          <w:p w:rsidR="006A2E71" w:rsidRDefault="00555FCB">
            <w:pPr>
              <w:widowControl/>
              <w:jc w:val="center"/>
              <w:rPr>
                <w:rFonts w:ascii="仿宋_GB2312" w:eastAsia="仿宋_GB2312" w:hAnsi="宋体"/>
                <w:sz w:val="24"/>
                <w:szCs w:val="24"/>
              </w:rPr>
            </w:pPr>
            <w:r>
              <w:rPr>
                <w:rFonts w:ascii="仿宋_GB2312" w:eastAsia="仿宋_GB2312" w:hAnsi="宋体" w:hint="eastAsia"/>
                <w:noProof/>
                <w:sz w:val="24"/>
                <w:szCs w:val="24"/>
              </w:rPr>
              <w:drawing>
                <wp:inline distT="0" distB="0" distL="114300" distR="114300">
                  <wp:extent cx="3186430" cy="2046605"/>
                  <wp:effectExtent l="0" t="0" r="13970" b="10795"/>
                  <wp:docPr id="5" name="图片 5" descr="95dc8879-a77a-4640-aee6-68aa19b62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dc8879-a77a-4640-aee6-68aa19b62c47"/>
                          <pic:cNvPicPr>
                            <a:picLocks noChangeAspect="1"/>
                          </pic:cNvPicPr>
                        </pic:nvPicPr>
                        <pic:blipFill>
                          <a:blip r:embed="rId11"/>
                          <a:stretch>
                            <a:fillRect/>
                          </a:stretch>
                        </pic:blipFill>
                        <pic:spPr>
                          <a:xfrm>
                            <a:off x="0" y="0"/>
                            <a:ext cx="3186430" cy="2046605"/>
                          </a:xfrm>
                          <a:prstGeom prst="rect">
                            <a:avLst/>
                          </a:prstGeom>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5</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小型普通客车（巡视车）：</w:t>
            </w:r>
            <w:r>
              <w:rPr>
                <w:rFonts w:ascii="宋体" w:eastAsia="宋体" w:hAnsi="宋体" w:cs="宋体" w:hint="eastAsia"/>
                <w:sz w:val="21"/>
                <w:szCs w:val="21"/>
              </w:rPr>
              <w:t>车辆类型为轻型普通货车或轿车。</w:t>
            </w:r>
          </w:p>
        </w:tc>
        <w:tc>
          <w:tcPr>
            <w:tcW w:w="5239" w:type="dxa"/>
            <w:vAlign w:val="center"/>
          </w:tcPr>
          <w:p w:rsidR="006A2E71" w:rsidRDefault="00555FCB">
            <w:pPr>
              <w:widowControl/>
              <w:jc w:val="center"/>
              <w:rPr>
                <w:rFonts w:ascii="仿宋_GB2312" w:eastAsia="仿宋_GB2312" w:hAnsi="宋体" w:cs="宋体"/>
                <w:sz w:val="24"/>
                <w:szCs w:val="24"/>
              </w:rPr>
            </w:pPr>
            <w:r>
              <w:rPr>
                <w:rFonts w:ascii="方正仿宋_GB2312" w:eastAsia="方正仿宋_GB2312" w:hAnsi="方正仿宋_GB2312" w:cs="方正仿宋_GB2312" w:hint="eastAsia"/>
                <w:noProof/>
                <w:kern w:val="0"/>
                <w:szCs w:val="24"/>
              </w:rPr>
              <w:drawing>
                <wp:inline distT="0" distB="0" distL="114300" distR="114300">
                  <wp:extent cx="1962150" cy="2588260"/>
                  <wp:effectExtent l="0" t="0" r="0" b="2540"/>
                  <wp:docPr id="14" name="图片 1" descr="{2IQ_{0%ZO%Y$O76FW0Q1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2IQ_{0%ZO%Y$O76FW0Q1WR"/>
                          <pic:cNvPicPr>
                            <a:picLocks noChangeAspect="1"/>
                          </pic:cNvPicPr>
                        </pic:nvPicPr>
                        <pic:blipFill>
                          <a:blip r:embed="rId12"/>
                          <a:stretch>
                            <a:fillRect/>
                          </a:stretch>
                        </pic:blipFill>
                        <pic:spPr>
                          <a:xfrm>
                            <a:off x="0" y="0"/>
                            <a:ext cx="1962150" cy="2588260"/>
                          </a:xfrm>
                          <a:prstGeom prst="rect">
                            <a:avLst/>
                          </a:prstGeom>
                          <a:noFill/>
                          <a:ln>
                            <a:noFill/>
                          </a:ln>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lastRenderedPageBreak/>
              <w:t>6</w:t>
            </w:r>
          </w:p>
        </w:tc>
        <w:tc>
          <w:tcPr>
            <w:tcW w:w="3113" w:type="dxa"/>
            <w:vAlign w:val="center"/>
          </w:tcPr>
          <w:p w:rsidR="006A2E71" w:rsidRPr="00961E89" w:rsidRDefault="00555FCB">
            <w:pPr>
              <w:jc w:val="center"/>
              <w:rPr>
                <w:rFonts w:ascii="宋体" w:eastAsia="宋体" w:hAnsi="宋体" w:cs="宋体"/>
                <w:sz w:val="21"/>
                <w:szCs w:val="21"/>
              </w:rPr>
            </w:pPr>
            <w:r>
              <w:rPr>
                <w:rFonts w:ascii="仿宋_GB2312" w:eastAsia="仿宋_GB2312" w:hAnsi="Arial" w:cs="Arial" w:hint="eastAsia"/>
                <w:b/>
                <w:bCs/>
                <w:sz w:val="24"/>
                <w:szCs w:val="24"/>
              </w:rPr>
              <w:t>轻型专门用途货车（防撞车）：</w:t>
            </w:r>
            <w:r>
              <w:rPr>
                <w:rFonts w:ascii="宋体" w:eastAsia="宋体" w:hAnsi="宋体" w:cs="宋体" w:hint="eastAsia"/>
                <w:sz w:val="21"/>
                <w:szCs w:val="21"/>
              </w:rPr>
              <w:t>采用重载皮卡底盘：</w:t>
            </w:r>
            <w:r w:rsidRPr="00BA1565">
              <w:rPr>
                <w:rFonts w:ascii="宋体" w:eastAsia="宋体" w:hAnsi="宋体" w:cs="宋体" w:hint="eastAsia"/>
                <w:b/>
                <w:sz w:val="21"/>
                <w:szCs w:val="21"/>
              </w:rPr>
              <w:t>总质量≥2800kg</w:t>
            </w:r>
            <w:r>
              <w:rPr>
                <w:rFonts w:ascii="宋体" w:eastAsia="宋体" w:hAnsi="宋体" w:cs="宋体" w:hint="eastAsia"/>
                <w:sz w:val="21"/>
                <w:szCs w:val="21"/>
              </w:rPr>
              <w:t>、发动机排量≥2.0T、功率≥120KW、 扭矩≥380N.m。采用知名品牌防撞垫、</w:t>
            </w:r>
            <w:r w:rsidRPr="00961E89">
              <w:rPr>
                <w:rFonts w:ascii="宋体" w:eastAsia="宋体" w:hAnsi="宋体" w:cs="宋体" w:hint="eastAsia"/>
                <w:bCs/>
                <w:sz w:val="21"/>
                <w:szCs w:val="21"/>
              </w:rPr>
              <w:t>防撞缓冲等级≥2000kg-70km/h。</w:t>
            </w:r>
          </w:p>
          <w:p w:rsidR="006A2E71" w:rsidRDefault="006A2E71">
            <w:pPr>
              <w:tabs>
                <w:tab w:val="left" w:pos="6453"/>
              </w:tabs>
              <w:adjustRightInd w:val="0"/>
              <w:snapToGrid w:val="0"/>
              <w:spacing w:line="520" w:lineRule="exact"/>
              <w:ind w:firstLineChars="200" w:firstLine="420"/>
              <w:rPr>
                <w:rFonts w:ascii="宋体" w:eastAsia="宋体" w:hAnsi="宋体" w:cs="宋体"/>
                <w:sz w:val="21"/>
                <w:szCs w:val="21"/>
              </w:rPr>
            </w:pPr>
          </w:p>
          <w:p w:rsidR="006A2E71" w:rsidRDefault="006A2E71">
            <w:pPr>
              <w:jc w:val="center"/>
              <w:rPr>
                <w:rFonts w:ascii="仿宋_GB2312" w:eastAsia="仿宋_GB2312" w:hAnsi="Arial" w:cs="Arial"/>
                <w:sz w:val="24"/>
                <w:szCs w:val="24"/>
              </w:rPr>
            </w:pPr>
          </w:p>
        </w:tc>
        <w:tc>
          <w:tcPr>
            <w:tcW w:w="5239" w:type="dxa"/>
            <w:vAlign w:val="center"/>
          </w:tcPr>
          <w:p w:rsidR="006A2E71" w:rsidRDefault="00555FCB">
            <w:pPr>
              <w:widowControl/>
              <w:jc w:val="center"/>
              <w:rPr>
                <w:rFonts w:ascii="仿宋_GB2312" w:eastAsia="仿宋_GB2312"/>
              </w:rPr>
            </w:pPr>
            <w:r>
              <w:rPr>
                <w:rFonts w:ascii="仿宋_GB2312" w:eastAsia="仿宋_GB2312" w:hint="eastAsia"/>
                <w:noProof/>
              </w:rPr>
              <w:drawing>
                <wp:inline distT="0" distB="0" distL="114300" distR="114300">
                  <wp:extent cx="2925445" cy="2195195"/>
                  <wp:effectExtent l="0" t="0" r="8255" b="14605"/>
                  <wp:docPr id="12" name="图片 12" descr="e7c2d7c2c2d77d373b352db51671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7c2d7c2c2d77d373b352db516711c5"/>
                          <pic:cNvPicPr>
                            <a:picLocks noChangeAspect="1"/>
                          </pic:cNvPicPr>
                        </pic:nvPicPr>
                        <pic:blipFill>
                          <a:blip r:embed="rId13"/>
                          <a:stretch>
                            <a:fillRect/>
                          </a:stretch>
                        </pic:blipFill>
                        <pic:spPr>
                          <a:xfrm>
                            <a:off x="0" y="0"/>
                            <a:ext cx="2925445" cy="2195195"/>
                          </a:xfrm>
                          <a:prstGeom prst="rect">
                            <a:avLst/>
                          </a:prstGeom>
                        </pic:spPr>
                      </pic:pic>
                    </a:graphicData>
                  </a:graphic>
                </wp:inline>
              </w:drawing>
            </w:r>
          </w:p>
        </w:tc>
      </w:tr>
    </w:tbl>
    <w:p w:rsidR="006A2E71" w:rsidRDefault="006A2E71">
      <w:pPr>
        <w:snapToGrid w:val="0"/>
        <w:spacing w:line="480" w:lineRule="exact"/>
        <w:rPr>
          <w:rFonts w:ascii="仿宋_GB2312" w:eastAsia="仿宋_GB2312" w:hAnsi="宋体"/>
          <w:b/>
          <w:sz w:val="24"/>
        </w:rPr>
      </w:pPr>
    </w:p>
    <w:p w:rsidR="006A2E71" w:rsidRDefault="006A2E71">
      <w:pPr>
        <w:snapToGrid w:val="0"/>
        <w:spacing w:line="480" w:lineRule="exact"/>
        <w:rPr>
          <w:rFonts w:ascii="仿宋_GB2312" w:eastAsia="仿宋_GB2312" w:hAnsi="宋体"/>
          <w:b/>
          <w:sz w:val="24"/>
        </w:rPr>
      </w:pPr>
    </w:p>
    <w:p w:rsidR="006A2E71" w:rsidRDefault="006A2E71">
      <w:pPr>
        <w:snapToGrid w:val="0"/>
        <w:spacing w:line="480" w:lineRule="exact"/>
        <w:rPr>
          <w:rFonts w:ascii="仿宋_GB2312" w:eastAsia="仿宋_GB2312" w:hAnsi="宋体"/>
          <w:b/>
          <w:sz w:val="24"/>
        </w:rPr>
      </w:pPr>
    </w:p>
    <w:p w:rsidR="006A2E71" w:rsidRDefault="006A2E71">
      <w:pPr>
        <w:snapToGrid w:val="0"/>
        <w:spacing w:line="480" w:lineRule="exact"/>
        <w:rPr>
          <w:rFonts w:ascii="仿宋_GB2312" w:eastAsia="仿宋_GB2312" w:hAnsi="宋体"/>
          <w:b/>
          <w:sz w:val="24"/>
        </w:rPr>
      </w:pPr>
    </w:p>
    <w:p w:rsidR="006A2E71" w:rsidRDefault="006A2E71">
      <w:pPr>
        <w:snapToGrid w:val="0"/>
        <w:spacing w:line="480" w:lineRule="exact"/>
        <w:rPr>
          <w:rFonts w:ascii="仿宋_GB2312" w:eastAsia="仿宋_GB2312" w:hAnsi="宋体"/>
          <w:b/>
          <w:sz w:val="24"/>
        </w:rPr>
      </w:pPr>
    </w:p>
    <w:p w:rsidR="006A2E71" w:rsidRDefault="00555FCB">
      <w:pPr>
        <w:snapToGrid w:val="0"/>
        <w:spacing w:line="480" w:lineRule="exact"/>
        <w:ind w:firstLineChars="196" w:firstLine="472"/>
        <w:rPr>
          <w:rFonts w:ascii="仿宋_GB2312" w:eastAsia="仿宋_GB2312" w:hAnsi="宋体"/>
          <w:b/>
          <w:sz w:val="24"/>
        </w:rPr>
      </w:pPr>
      <w:r>
        <w:rPr>
          <w:rFonts w:ascii="仿宋_GB2312" w:eastAsia="仿宋_GB2312" w:hAnsi="宋体" w:hint="eastAsia"/>
          <w:b/>
          <w:sz w:val="24"/>
        </w:rPr>
        <w:t>二、设施设备</w:t>
      </w:r>
    </w:p>
    <w:tbl>
      <w:tblPr>
        <w:tblW w:w="9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8"/>
        <w:gridCol w:w="3113"/>
        <w:gridCol w:w="5239"/>
      </w:tblGrid>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7</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乘骑式草坪修剪机：</w:t>
            </w:r>
            <w:r>
              <w:rPr>
                <w:rFonts w:ascii="宋体" w:eastAsia="宋体" w:hAnsi="宋体" w:cs="Arial" w:hint="eastAsia"/>
                <w:bCs/>
                <w:sz w:val="21"/>
                <w:szCs w:val="21"/>
              </w:rPr>
              <w:t>双缸发动机，刀片宽度为≥42英寸，剪草高度可调范围在2.5-10厘米，后排草袋容量≥360升。</w:t>
            </w:r>
          </w:p>
        </w:tc>
        <w:tc>
          <w:tcPr>
            <w:tcW w:w="5239" w:type="dxa"/>
            <w:vAlign w:val="center"/>
          </w:tcPr>
          <w:p w:rsidR="006A2E71" w:rsidRDefault="00555FCB">
            <w:pPr>
              <w:widowControl/>
              <w:jc w:val="center"/>
              <w:rPr>
                <w:rFonts w:ascii="仿宋_GB2312" w:eastAsia="仿宋_GB2312"/>
              </w:rPr>
            </w:pPr>
            <w:r>
              <w:rPr>
                <w:rFonts w:ascii="方正仿宋_GB2312" w:eastAsia="方正仿宋_GB2312" w:hAnsi="方正仿宋_GB2312" w:cs="方正仿宋_GB2312" w:hint="eastAsia"/>
                <w:noProof/>
                <w:kern w:val="0"/>
                <w:szCs w:val="24"/>
              </w:rPr>
              <w:drawing>
                <wp:inline distT="0" distB="0" distL="114300" distR="114300">
                  <wp:extent cx="2579370" cy="1610360"/>
                  <wp:effectExtent l="0" t="0" r="11430" b="8890"/>
                  <wp:docPr id="17" name="图片 4" descr="$ZDY@LFQNQ$DH%H1DU@V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ZDY@LFQNQ$DH%H1DU@VVGT"/>
                          <pic:cNvPicPr>
                            <a:picLocks noChangeAspect="1"/>
                          </pic:cNvPicPr>
                        </pic:nvPicPr>
                        <pic:blipFill>
                          <a:blip r:embed="rId14"/>
                          <a:stretch>
                            <a:fillRect/>
                          </a:stretch>
                        </pic:blipFill>
                        <pic:spPr>
                          <a:xfrm>
                            <a:off x="0" y="0"/>
                            <a:ext cx="2579370" cy="1610360"/>
                          </a:xfrm>
                          <a:prstGeom prst="rect">
                            <a:avLst/>
                          </a:prstGeom>
                          <a:noFill/>
                          <a:ln>
                            <a:noFill/>
                          </a:ln>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8</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手推式草坪修剪机：</w:t>
            </w:r>
            <w:r>
              <w:rPr>
                <w:rFonts w:asciiTheme="minorEastAsia" w:eastAsiaTheme="minorEastAsia" w:hAnsiTheme="minorEastAsia" w:cstheme="minorEastAsia" w:hint="eastAsia"/>
                <w:sz w:val="21"/>
                <w:szCs w:val="21"/>
              </w:rPr>
              <w:t>自走式，剪草高度可调范围在2-8厘米。</w:t>
            </w:r>
          </w:p>
        </w:tc>
        <w:tc>
          <w:tcPr>
            <w:tcW w:w="5239" w:type="dxa"/>
            <w:vAlign w:val="center"/>
          </w:tcPr>
          <w:p w:rsidR="006A2E71" w:rsidRDefault="00555FCB">
            <w:pPr>
              <w:widowControl/>
              <w:jc w:val="center"/>
              <w:rPr>
                <w:rFonts w:ascii="仿宋_GB2312" w:eastAsia="仿宋_GB2312"/>
              </w:rPr>
            </w:pPr>
            <w:r>
              <w:rPr>
                <w:rFonts w:ascii="方正仿宋_GB2312" w:eastAsia="方正仿宋_GB2312" w:hAnsi="方正仿宋_GB2312" w:cs="方正仿宋_GB2312" w:hint="eastAsia"/>
                <w:noProof/>
                <w:kern w:val="0"/>
                <w:szCs w:val="24"/>
              </w:rPr>
              <w:drawing>
                <wp:inline distT="0" distB="0" distL="114300" distR="114300">
                  <wp:extent cx="1276985" cy="1832610"/>
                  <wp:effectExtent l="0" t="0" r="18415" b="15240"/>
                  <wp:docPr id="18" name="图片 5" descr="QQ图片2016033115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QQ图片20160331154333"/>
                          <pic:cNvPicPr>
                            <a:picLocks noChangeAspect="1"/>
                          </pic:cNvPicPr>
                        </pic:nvPicPr>
                        <pic:blipFill>
                          <a:blip r:embed="rId15"/>
                          <a:stretch>
                            <a:fillRect/>
                          </a:stretch>
                        </pic:blipFill>
                        <pic:spPr>
                          <a:xfrm>
                            <a:off x="0" y="0"/>
                            <a:ext cx="1276985" cy="1832610"/>
                          </a:xfrm>
                          <a:prstGeom prst="rect">
                            <a:avLst/>
                          </a:prstGeom>
                          <a:noFill/>
                          <a:ln>
                            <a:noFill/>
                          </a:ln>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lastRenderedPageBreak/>
              <w:t>9</w:t>
            </w:r>
          </w:p>
        </w:tc>
        <w:tc>
          <w:tcPr>
            <w:tcW w:w="3113" w:type="dxa"/>
            <w:vAlign w:val="center"/>
          </w:tcPr>
          <w:p w:rsidR="006A2E71" w:rsidRDefault="00555FCB">
            <w:pPr>
              <w:jc w:val="center"/>
              <w:rPr>
                <w:rFonts w:ascii="仿宋_GB2312" w:eastAsia="宋体" w:hAnsi="Arial" w:cs="Arial"/>
                <w:b/>
                <w:bCs/>
                <w:sz w:val="24"/>
                <w:szCs w:val="24"/>
              </w:rPr>
            </w:pPr>
            <w:r>
              <w:rPr>
                <w:rFonts w:ascii="仿宋_GB2312" w:eastAsia="仿宋_GB2312" w:hAnsi="Arial" w:cs="Arial" w:hint="eastAsia"/>
                <w:b/>
                <w:bCs/>
                <w:sz w:val="24"/>
                <w:szCs w:val="24"/>
              </w:rPr>
              <w:t>电动深耕施肥机：</w:t>
            </w:r>
            <w:r>
              <w:rPr>
                <w:rFonts w:asciiTheme="minorEastAsia" w:eastAsiaTheme="minorEastAsia" w:hAnsiTheme="minorEastAsia" w:cstheme="minorEastAsia" w:hint="eastAsia"/>
                <w:sz w:val="21"/>
                <w:szCs w:val="21"/>
              </w:rPr>
              <w:t>手扶轮式，窄机身，适配树池、窄绿带，匹配乔木30-60cm深耕层、灌木20-40cm深耕层。</w:t>
            </w:r>
          </w:p>
        </w:tc>
        <w:tc>
          <w:tcPr>
            <w:tcW w:w="5239" w:type="dxa"/>
            <w:vAlign w:val="center"/>
          </w:tcPr>
          <w:p w:rsidR="006A2E71" w:rsidRDefault="00555FCB">
            <w:pPr>
              <w:jc w:val="center"/>
            </w:pPr>
            <w:r>
              <w:rPr>
                <w:rFonts w:hint="eastAsia"/>
                <w:noProof/>
              </w:rPr>
              <w:drawing>
                <wp:inline distT="0" distB="0" distL="114300" distR="114300">
                  <wp:extent cx="3180715" cy="2269490"/>
                  <wp:effectExtent l="0" t="0" r="635" b="16510"/>
                  <wp:docPr id="10" name="图片 10" descr="11295e2d-ff8f-4c22-8ddd-78ec85e8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295e2d-ff8f-4c22-8ddd-78ec85e89769"/>
                          <pic:cNvPicPr>
                            <a:picLocks noChangeAspect="1"/>
                          </pic:cNvPicPr>
                        </pic:nvPicPr>
                        <pic:blipFill>
                          <a:blip r:embed="rId16"/>
                          <a:stretch>
                            <a:fillRect/>
                          </a:stretch>
                        </pic:blipFill>
                        <pic:spPr>
                          <a:xfrm>
                            <a:off x="0" y="0"/>
                            <a:ext cx="3180715" cy="2269490"/>
                          </a:xfrm>
                          <a:prstGeom prst="rect">
                            <a:avLst/>
                          </a:prstGeom>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10</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电动高杆锯：</w:t>
            </w:r>
            <w:r>
              <w:rPr>
                <w:rFonts w:asciiTheme="minorEastAsia" w:eastAsiaTheme="minorEastAsia" w:hAnsiTheme="minorEastAsia" w:cstheme="minorEastAsia" w:hint="eastAsia"/>
                <w:sz w:val="21"/>
                <w:szCs w:val="21"/>
              </w:rPr>
              <w:t>采用电动驱动，转速为≥5000转/分钟‌。</w:t>
            </w:r>
          </w:p>
        </w:tc>
        <w:tc>
          <w:tcPr>
            <w:tcW w:w="5239" w:type="dxa"/>
            <w:vAlign w:val="center"/>
          </w:tcPr>
          <w:p w:rsidR="006A2E71" w:rsidRDefault="00555FCB">
            <w:pPr>
              <w:widowControl/>
              <w:jc w:val="center"/>
              <w:rPr>
                <w:rFonts w:ascii="仿宋_GB2312" w:eastAsia="仿宋_GB2312"/>
              </w:rPr>
            </w:pPr>
            <w:r>
              <w:rPr>
                <w:rFonts w:ascii="方正仿宋_GB2312" w:eastAsia="方正仿宋_GB2312" w:hAnsi="方正仿宋_GB2312" w:cs="方正仿宋_GB2312" w:hint="eastAsia"/>
                <w:noProof/>
                <w:szCs w:val="24"/>
              </w:rPr>
              <w:drawing>
                <wp:inline distT="0" distB="0" distL="114300" distR="114300">
                  <wp:extent cx="2171700" cy="1958340"/>
                  <wp:effectExtent l="0" t="0" r="0" b="38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7"/>
                          <a:stretch>
                            <a:fillRect/>
                          </a:stretch>
                        </pic:blipFill>
                        <pic:spPr>
                          <a:xfrm>
                            <a:off x="0" y="0"/>
                            <a:ext cx="2171700" cy="1958340"/>
                          </a:xfrm>
                          <a:prstGeom prst="rect">
                            <a:avLst/>
                          </a:prstGeom>
                          <a:noFill/>
                          <a:ln>
                            <a:noFill/>
                          </a:ln>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11</w:t>
            </w:r>
          </w:p>
        </w:tc>
        <w:tc>
          <w:tcPr>
            <w:tcW w:w="3113" w:type="dxa"/>
            <w:vAlign w:val="center"/>
          </w:tcPr>
          <w:p w:rsidR="006A2E71" w:rsidRDefault="00555FCB">
            <w:pPr>
              <w:jc w:val="center"/>
              <w:rPr>
                <w:rFonts w:ascii="仿宋_GB2312" w:eastAsia="仿宋_GB2312" w:hAnsi="Arial" w:cs="Arial"/>
                <w:b/>
                <w:bCs/>
                <w:sz w:val="24"/>
                <w:szCs w:val="24"/>
              </w:rPr>
            </w:pPr>
            <w:r>
              <w:rPr>
                <w:rFonts w:ascii="仿宋_GB2312" w:eastAsia="仿宋_GB2312" w:hAnsi="Arial" w:cs="Arial" w:hint="eastAsia"/>
                <w:b/>
                <w:bCs/>
                <w:sz w:val="24"/>
                <w:szCs w:val="24"/>
              </w:rPr>
              <w:t>单手电锯：</w:t>
            </w:r>
            <w:r>
              <w:rPr>
                <w:rFonts w:asciiTheme="minorEastAsia" w:eastAsiaTheme="minorEastAsia" w:hAnsiTheme="minorEastAsia" w:cstheme="minorEastAsia" w:hint="eastAsia"/>
                <w:sz w:val="21"/>
                <w:szCs w:val="21"/>
              </w:rPr>
              <w:t>采用无刷电机技术，提供多种电池容量与电压选择，包括4.0Ah、6.0Ah、7.5Ah等锂电池选项，并搭配6寸或8寸链条。</w:t>
            </w:r>
          </w:p>
        </w:tc>
        <w:tc>
          <w:tcPr>
            <w:tcW w:w="5239" w:type="dxa"/>
            <w:vAlign w:val="center"/>
          </w:tcPr>
          <w:p w:rsidR="006A2E71" w:rsidRDefault="00555FCB">
            <w:pPr>
              <w:widowControl/>
              <w:jc w:val="center"/>
              <w:rPr>
                <w:rFonts w:ascii="方正仿宋_GB2312" w:eastAsia="方正仿宋_GB2312" w:hAnsi="方正仿宋_GB2312" w:cs="方正仿宋_GB2312"/>
                <w:szCs w:val="24"/>
              </w:rPr>
            </w:pPr>
            <w:r>
              <w:rPr>
                <w:rFonts w:ascii="方正仿宋_GB2312" w:eastAsia="方正仿宋_GB2312" w:hAnsi="方正仿宋_GB2312" w:cs="方正仿宋_GB2312" w:hint="eastAsia"/>
                <w:noProof/>
                <w:szCs w:val="24"/>
              </w:rPr>
              <w:drawing>
                <wp:inline distT="0" distB="0" distL="114300" distR="114300">
                  <wp:extent cx="3184525" cy="3274695"/>
                  <wp:effectExtent l="0" t="0" r="15875" b="1905"/>
                  <wp:docPr id="13" name="图片 13" descr="94bbcd08-b719-4b35-bb6c-5a34444d7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4bbcd08-b719-4b35-bb6c-5a34444d74c8"/>
                          <pic:cNvPicPr>
                            <a:picLocks noChangeAspect="1"/>
                          </pic:cNvPicPr>
                        </pic:nvPicPr>
                        <pic:blipFill>
                          <a:blip r:embed="rId18"/>
                          <a:stretch>
                            <a:fillRect/>
                          </a:stretch>
                        </pic:blipFill>
                        <pic:spPr>
                          <a:xfrm>
                            <a:off x="0" y="0"/>
                            <a:ext cx="3184525" cy="3274695"/>
                          </a:xfrm>
                          <a:prstGeom prst="rect">
                            <a:avLst/>
                          </a:prstGeom>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lastRenderedPageBreak/>
              <w:t>12</w:t>
            </w:r>
          </w:p>
        </w:tc>
        <w:tc>
          <w:tcPr>
            <w:tcW w:w="3113" w:type="dxa"/>
            <w:vAlign w:val="center"/>
          </w:tcPr>
          <w:p w:rsidR="006A2E71" w:rsidRDefault="00555FCB">
            <w:pPr>
              <w:jc w:val="center"/>
              <w:rPr>
                <w:rFonts w:ascii="仿宋_GB2312" w:eastAsia="仿宋_GB2312" w:hAnsi="Arial" w:cs="Arial"/>
                <w:b/>
                <w:bCs/>
                <w:sz w:val="24"/>
                <w:szCs w:val="24"/>
              </w:rPr>
            </w:pPr>
            <w:r>
              <w:rPr>
                <w:rFonts w:ascii="仿宋_GB2312" w:eastAsia="仿宋_GB2312" w:hAnsi="Arial" w:cs="Arial" w:hint="eastAsia"/>
                <w:b/>
                <w:bCs/>
                <w:sz w:val="24"/>
                <w:szCs w:val="24"/>
              </w:rPr>
              <w:t>电动扶树器：</w:t>
            </w:r>
            <w:r>
              <w:rPr>
                <w:rFonts w:asciiTheme="minorEastAsia" w:eastAsiaTheme="minorEastAsia" w:hAnsiTheme="minorEastAsia" w:cstheme="minorEastAsia" w:hint="eastAsia"/>
                <w:sz w:val="21"/>
                <w:szCs w:val="21"/>
              </w:rPr>
              <w:t>扶正行程300mm-800mm（顶推/提拉可调，满足树木歪斜角度补偿）；最大扶正力5T-8T（额定承重。</w:t>
            </w:r>
          </w:p>
        </w:tc>
        <w:tc>
          <w:tcPr>
            <w:tcW w:w="5239" w:type="dxa"/>
            <w:vAlign w:val="center"/>
          </w:tcPr>
          <w:p w:rsidR="006A2E71" w:rsidRDefault="00555FCB">
            <w:pPr>
              <w:widowControl/>
              <w:jc w:val="center"/>
              <w:rPr>
                <w:rFonts w:ascii="方正仿宋_GB2312" w:eastAsia="方正仿宋_GB2312" w:hAnsi="方正仿宋_GB2312" w:cs="方正仿宋_GB2312"/>
                <w:szCs w:val="24"/>
              </w:rPr>
            </w:pPr>
            <w:r>
              <w:rPr>
                <w:rFonts w:ascii="方正仿宋_GB2312" w:eastAsia="方正仿宋_GB2312" w:hAnsi="方正仿宋_GB2312" w:cs="方正仿宋_GB2312" w:hint="eastAsia"/>
                <w:noProof/>
                <w:szCs w:val="24"/>
              </w:rPr>
              <w:drawing>
                <wp:inline distT="0" distB="0" distL="114300" distR="114300">
                  <wp:extent cx="3188970" cy="2332355"/>
                  <wp:effectExtent l="0" t="0" r="11430" b="10795"/>
                  <wp:docPr id="11" name="图片 11" descr="2d3b91e7-fbac-4e6c-b6c4-02a04b406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d3b91e7-fbac-4e6c-b6c4-02a04b40626d"/>
                          <pic:cNvPicPr>
                            <a:picLocks noChangeAspect="1"/>
                          </pic:cNvPicPr>
                        </pic:nvPicPr>
                        <pic:blipFill>
                          <a:blip r:embed="rId19"/>
                          <a:stretch>
                            <a:fillRect/>
                          </a:stretch>
                        </pic:blipFill>
                        <pic:spPr>
                          <a:xfrm>
                            <a:off x="0" y="0"/>
                            <a:ext cx="3188970" cy="2332355"/>
                          </a:xfrm>
                          <a:prstGeom prst="rect">
                            <a:avLst/>
                          </a:prstGeom>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13</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背带式吹风机：</w:t>
            </w:r>
            <w:r>
              <w:rPr>
                <w:rFonts w:asciiTheme="minorEastAsia" w:eastAsiaTheme="minorEastAsia" w:hAnsiTheme="minorEastAsia" w:cstheme="minorEastAsia" w:hint="eastAsia"/>
                <w:sz w:val="21"/>
                <w:szCs w:val="21"/>
              </w:rPr>
              <w:t>功率≥3千瓦，最大风速在≥80米/秒以上。</w:t>
            </w:r>
          </w:p>
        </w:tc>
        <w:tc>
          <w:tcPr>
            <w:tcW w:w="5239" w:type="dxa"/>
            <w:vAlign w:val="center"/>
          </w:tcPr>
          <w:p w:rsidR="006A2E71" w:rsidRDefault="00555FCB">
            <w:pPr>
              <w:widowControl/>
              <w:jc w:val="center"/>
              <w:rPr>
                <w:rFonts w:ascii="仿宋_GB2312" w:eastAsia="仿宋_GB2312"/>
              </w:rPr>
            </w:pPr>
            <w:r>
              <w:rPr>
                <w:rFonts w:ascii="方正仿宋_GB2312" w:eastAsia="方正仿宋_GB2312" w:hAnsi="方正仿宋_GB2312" w:cs="方正仿宋_GB2312" w:hint="eastAsia"/>
                <w:noProof/>
                <w:szCs w:val="24"/>
              </w:rPr>
              <w:drawing>
                <wp:inline distT="0" distB="0" distL="114300" distR="114300">
                  <wp:extent cx="2095500" cy="1945005"/>
                  <wp:effectExtent l="0" t="0" r="0" b="1714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0"/>
                          <a:stretch>
                            <a:fillRect/>
                          </a:stretch>
                        </pic:blipFill>
                        <pic:spPr>
                          <a:xfrm>
                            <a:off x="0" y="0"/>
                            <a:ext cx="2095500" cy="1945005"/>
                          </a:xfrm>
                          <a:prstGeom prst="rect">
                            <a:avLst/>
                          </a:prstGeom>
                          <a:noFill/>
                          <a:ln>
                            <a:noFill/>
                          </a:ln>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14</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电动绿篱机：</w:t>
            </w:r>
            <w:r>
              <w:rPr>
                <w:rFonts w:asciiTheme="minorEastAsia" w:eastAsiaTheme="minorEastAsia" w:hAnsiTheme="minorEastAsia" w:cstheme="minorEastAsia" w:hint="eastAsia"/>
                <w:sz w:val="21"/>
                <w:szCs w:val="21"/>
              </w:rPr>
              <w:t>切割转速为3000rpm，电机效率为400W，切割长度为60cm。</w:t>
            </w:r>
          </w:p>
        </w:tc>
        <w:tc>
          <w:tcPr>
            <w:tcW w:w="5239" w:type="dxa"/>
            <w:vAlign w:val="center"/>
          </w:tcPr>
          <w:p w:rsidR="006A2E71" w:rsidRDefault="00555FCB">
            <w:pPr>
              <w:widowControl/>
              <w:jc w:val="center"/>
              <w:rPr>
                <w:rFonts w:ascii="仿宋_GB2312" w:eastAsia="仿宋_GB2312"/>
              </w:rPr>
            </w:pPr>
            <w:r>
              <w:rPr>
                <w:rFonts w:ascii="方正仿宋_GB2312" w:eastAsia="方正仿宋_GB2312" w:hAnsi="方正仿宋_GB2312" w:cs="方正仿宋_GB2312" w:hint="eastAsia"/>
                <w:noProof/>
                <w:kern w:val="0"/>
                <w:szCs w:val="24"/>
              </w:rPr>
              <w:drawing>
                <wp:inline distT="0" distB="0" distL="114300" distR="114300">
                  <wp:extent cx="2329180" cy="2033905"/>
                  <wp:effectExtent l="0" t="0" r="13970" b="4445"/>
                  <wp:docPr id="22" name="图片 9" descr="电动绿篱机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电动绿篱机 拷贝"/>
                          <pic:cNvPicPr>
                            <a:picLocks noChangeAspect="1"/>
                          </pic:cNvPicPr>
                        </pic:nvPicPr>
                        <pic:blipFill>
                          <a:blip r:embed="rId21"/>
                          <a:srcRect r="14188"/>
                          <a:stretch>
                            <a:fillRect/>
                          </a:stretch>
                        </pic:blipFill>
                        <pic:spPr>
                          <a:xfrm>
                            <a:off x="0" y="0"/>
                            <a:ext cx="2329180" cy="2033905"/>
                          </a:xfrm>
                          <a:prstGeom prst="rect">
                            <a:avLst/>
                          </a:prstGeom>
                          <a:noFill/>
                          <a:ln>
                            <a:noFill/>
                          </a:ln>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15</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水泵：3寸，</w:t>
            </w:r>
            <w:r>
              <w:rPr>
                <w:rFonts w:ascii="宋体" w:eastAsia="宋体" w:hAnsi="宋体" w:cs="Arial" w:hint="eastAsia"/>
                <w:bCs/>
                <w:sz w:val="21"/>
                <w:szCs w:val="21"/>
              </w:rPr>
              <w:t>流量不低于5</w:t>
            </w:r>
            <w:r>
              <w:rPr>
                <w:rFonts w:ascii="宋体" w:eastAsia="宋体" w:hAnsi="宋体" w:cs="Arial"/>
                <w:bCs/>
                <w:sz w:val="21"/>
                <w:szCs w:val="21"/>
              </w:rPr>
              <w:t>0</w:t>
            </w:r>
            <w:r>
              <w:rPr>
                <w:rFonts w:ascii="宋体" w:eastAsia="宋体" w:hAnsi="宋体" w:cs="Arial" w:hint="eastAsia"/>
                <w:bCs/>
                <w:sz w:val="21"/>
                <w:szCs w:val="21"/>
              </w:rPr>
              <w:t>0升</w:t>
            </w:r>
            <w:r>
              <w:rPr>
                <w:rFonts w:ascii="宋体" w:eastAsia="宋体" w:hAnsi="宋体" w:cs="Arial"/>
                <w:bCs/>
                <w:sz w:val="21"/>
                <w:szCs w:val="21"/>
              </w:rPr>
              <w:t>/</w:t>
            </w:r>
            <w:r>
              <w:rPr>
                <w:rFonts w:ascii="宋体" w:eastAsia="宋体" w:hAnsi="宋体" w:cs="Arial" w:hint="eastAsia"/>
                <w:bCs/>
                <w:sz w:val="21"/>
                <w:szCs w:val="21"/>
              </w:rPr>
              <w:t>分钟。</w:t>
            </w:r>
          </w:p>
        </w:tc>
        <w:tc>
          <w:tcPr>
            <w:tcW w:w="5239" w:type="dxa"/>
            <w:vAlign w:val="center"/>
          </w:tcPr>
          <w:p w:rsidR="006A2E71" w:rsidRDefault="00555FCB">
            <w:pPr>
              <w:widowControl/>
              <w:jc w:val="center"/>
              <w:rPr>
                <w:rFonts w:ascii="仿宋_GB2312" w:eastAsia="仿宋_GB2312"/>
              </w:rPr>
            </w:pPr>
            <w:r>
              <w:rPr>
                <w:rFonts w:ascii="仿宋_GB2312" w:eastAsia="仿宋_GB2312" w:hint="eastAsia"/>
                <w:noProof/>
              </w:rPr>
              <w:drawing>
                <wp:inline distT="0" distB="0" distL="114300" distR="114300">
                  <wp:extent cx="2016760" cy="1743710"/>
                  <wp:effectExtent l="0" t="0" r="2540" b="8890"/>
                  <wp:docPr id="26" name="图片 26" descr="170841433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8414339768"/>
                          <pic:cNvPicPr>
                            <a:picLocks noChangeAspect="1"/>
                          </pic:cNvPicPr>
                        </pic:nvPicPr>
                        <pic:blipFill>
                          <a:blip r:embed="rId22"/>
                          <a:stretch>
                            <a:fillRect/>
                          </a:stretch>
                        </pic:blipFill>
                        <pic:spPr>
                          <a:xfrm>
                            <a:off x="0" y="0"/>
                            <a:ext cx="2016760" cy="1743710"/>
                          </a:xfrm>
                          <a:prstGeom prst="rect">
                            <a:avLst/>
                          </a:prstGeom>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lastRenderedPageBreak/>
              <w:t>16</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自动化绿篱修剪车：</w:t>
            </w:r>
            <w:r>
              <w:rPr>
                <w:rFonts w:asciiTheme="minorEastAsia" w:eastAsiaTheme="minorEastAsia" w:hAnsiTheme="minorEastAsia" w:cstheme="minorEastAsia" w:hint="eastAsia"/>
                <w:sz w:val="21"/>
                <w:szCs w:val="21"/>
              </w:rPr>
              <w:t>修剪作业时能自动避障，水平、平面、立面修剪距离约2.2m、1.8m、3.0m。</w:t>
            </w:r>
          </w:p>
        </w:tc>
        <w:tc>
          <w:tcPr>
            <w:tcW w:w="5239" w:type="dxa"/>
            <w:vAlign w:val="center"/>
          </w:tcPr>
          <w:p w:rsidR="006A2E71" w:rsidRDefault="00555FCB">
            <w:pPr>
              <w:widowControl/>
              <w:jc w:val="center"/>
              <w:rPr>
                <w:rFonts w:ascii="仿宋_GB2312" w:eastAsia="仿宋_GB2312"/>
              </w:rPr>
            </w:pPr>
            <w:r>
              <w:rPr>
                <w:rFonts w:ascii="仿宋_GB2312" w:eastAsia="仿宋_GB2312" w:hint="eastAsia"/>
                <w:noProof/>
              </w:rPr>
              <w:drawing>
                <wp:inline distT="0" distB="0" distL="114300" distR="114300">
                  <wp:extent cx="3185160" cy="2387600"/>
                  <wp:effectExtent l="0" t="0" r="15240" b="12700"/>
                  <wp:docPr id="7" name="图片 1" descr="7cad2b20e706032e6f0224b620e6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7cad2b20e706032e6f0224b620e6b38"/>
                          <pic:cNvPicPr>
                            <a:picLocks noChangeAspect="1"/>
                          </pic:cNvPicPr>
                        </pic:nvPicPr>
                        <pic:blipFill>
                          <a:blip r:embed="rId23"/>
                          <a:stretch>
                            <a:fillRect/>
                          </a:stretch>
                        </pic:blipFill>
                        <pic:spPr>
                          <a:xfrm>
                            <a:off x="0" y="0"/>
                            <a:ext cx="3185160" cy="2387600"/>
                          </a:xfrm>
                          <a:prstGeom prst="rect">
                            <a:avLst/>
                          </a:prstGeom>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17</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作业对讲机：</w:t>
            </w:r>
            <w:r>
              <w:rPr>
                <w:rFonts w:ascii="宋体" w:eastAsia="宋体" w:hAnsi="宋体" w:cs="Arial" w:hint="eastAsia"/>
                <w:sz w:val="21"/>
                <w:szCs w:val="21"/>
              </w:rPr>
              <w:t>手持式，基于公共通信网络的对讲设备，标段内项目组成员、各班组长需每人配备一部。</w:t>
            </w:r>
          </w:p>
        </w:tc>
        <w:tc>
          <w:tcPr>
            <w:tcW w:w="5239" w:type="dxa"/>
            <w:vAlign w:val="center"/>
          </w:tcPr>
          <w:p w:rsidR="006A2E71" w:rsidRDefault="00555FCB">
            <w:pPr>
              <w:widowControl/>
              <w:jc w:val="center"/>
              <w:rPr>
                <w:rFonts w:ascii="仿宋_GB2312" w:eastAsia="仿宋_GB2312"/>
              </w:rPr>
            </w:pPr>
            <w:r>
              <w:rPr>
                <w:rFonts w:ascii="仿宋_GB2312" w:eastAsia="仿宋_GB2312" w:hint="eastAsia"/>
                <w:noProof/>
              </w:rPr>
              <w:drawing>
                <wp:inline distT="0" distB="0" distL="114300" distR="114300">
                  <wp:extent cx="1934210" cy="2230755"/>
                  <wp:effectExtent l="0" t="0" r="8890" b="17145"/>
                  <wp:docPr id="32" name="图片 32" descr="170841489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08414892580"/>
                          <pic:cNvPicPr>
                            <a:picLocks noChangeAspect="1"/>
                          </pic:cNvPicPr>
                        </pic:nvPicPr>
                        <pic:blipFill>
                          <a:blip r:embed="rId24"/>
                          <a:stretch>
                            <a:fillRect/>
                          </a:stretch>
                        </pic:blipFill>
                        <pic:spPr>
                          <a:xfrm>
                            <a:off x="0" y="0"/>
                            <a:ext cx="1934210" cy="2230755"/>
                          </a:xfrm>
                          <a:prstGeom prst="rect">
                            <a:avLst/>
                          </a:prstGeom>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18</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其他设施设备：</w:t>
            </w:r>
            <w:r>
              <w:rPr>
                <w:rFonts w:ascii="宋体" w:eastAsia="宋体" w:hAnsi="宋体" w:cs="Arial" w:hint="eastAsia"/>
                <w:sz w:val="21"/>
                <w:szCs w:val="21"/>
              </w:rPr>
              <w:t>交通安全锥桶、绿化养护作业安全提示牌、高空作业安全带、口罩、护目镜三轮车等</w:t>
            </w:r>
          </w:p>
        </w:tc>
        <w:tc>
          <w:tcPr>
            <w:tcW w:w="5239" w:type="dxa"/>
            <w:vAlign w:val="center"/>
          </w:tcPr>
          <w:p w:rsidR="006A2E71" w:rsidRDefault="00555FCB">
            <w:pPr>
              <w:widowControl/>
              <w:jc w:val="center"/>
              <w:rPr>
                <w:rFonts w:ascii="仿宋_GB2312" w:eastAsia="方正仿宋_GB2312"/>
              </w:rPr>
            </w:pPr>
            <w:r>
              <w:rPr>
                <w:rFonts w:ascii="方正仿宋_GB2312" w:eastAsia="方正仿宋_GB2312" w:hAnsi="方正仿宋_GB2312" w:cs="方正仿宋_GB2312" w:hint="eastAsia"/>
                <w:noProof/>
                <w:szCs w:val="24"/>
              </w:rPr>
              <w:drawing>
                <wp:inline distT="0" distB="0" distL="114300" distR="114300">
                  <wp:extent cx="1541780" cy="1156335"/>
                  <wp:effectExtent l="0" t="0" r="1270" b="5715"/>
                  <wp:docPr id="27" name="图片 12" descr="mmexport167109485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mmexport1671094859160"/>
                          <pic:cNvPicPr>
                            <a:picLocks noChangeAspect="1"/>
                          </pic:cNvPicPr>
                        </pic:nvPicPr>
                        <pic:blipFill>
                          <a:blip r:embed="rId25"/>
                          <a:stretch>
                            <a:fillRect/>
                          </a:stretch>
                        </pic:blipFill>
                        <pic:spPr>
                          <a:xfrm>
                            <a:off x="0" y="0"/>
                            <a:ext cx="1541780" cy="1156335"/>
                          </a:xfrm>
                          <a:prstGeom prst="rect">
                            <a:avLst/>
                          </a:prstGeom>
                          <a:noFill/>
                          <a:ln>
                            <a:noFill/>
                          </a:ln>
                        </pic:spPr>
                      </pic:pic>
                    </a:graphicData>
                  </a:graphic>
                </wp:inline>
              </w:drawing>
            </w:r>
            <w:r>
              <w:rPr>
                <w:rFonts w:ascii="方正仿宋_GB2312" w:eastAsia="方正仿宋_GB2312" w:hAnsi="方正仿宋_GB2312" w:cs="方正仿宋_GB2312" w:hint="eastAsia"/>
                <w:noProof/>
                <w:kern w:val="0"/>
                <w:szCs w:val="24"/>
              </w:rPr>
              <w:drawing>
                <wp:inline distT="0" distB="0" distL="114300" distR="114300">
                  <wp:extent cx="1215390" cy="1123315"/>
                  <wp:effectExtent l="0" t="0" r="3810" b="635"/>
                  <wp:docPr id="28" name="图片 13" descr="C:\Users\admin\AppData\Local\Temp\15657748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C:\Users\admin\AppData\Local\Temp\1565774865(1).png"/>
                          <pic:cNvPicPr>
                            <a:picLocks noChangeAspect="1"/>
                          </pic:cNvPicPr>
                        </pic:nvPicPr>
                        <pic:blipFill>
                          <a:blip r:embed="rId26"/>
                          <a:stretch>
                            <a:fillRect/>
                          </a:stretch>
                        </pic:blipFill>
                        <pic:spPr>
                          <a:xfrm>
                            <a:off x="0" y="0"/>
                            <a:ext cx="1215390" cy="1123315"/>
                          </a:xfrm>
                          <a:prstGeom prst="rect">
                            <a:avLst/>
                          </a:prstGeom>
                          <a:noFill/>
                          <a:ln>
                            <a:noFill/>
                          </a:ln>
                        </pic:spPr>
                      </pic:pic>
                    </a:graphicData>
                  </a:graphic>
                </wp:inline>
              </w:drawing>
            </w:r>
          </w:p>
        </w:tc>
      </w:tr>
      <w:tr w:rsidR="006A2E71">
        <w:trPr>
          <w:trHeight w:val="137"/>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lastRenderedPageBreak/>
              <w:t>19</w:t>
            </w:r>
          </w:p>
        </w:tc>
        <w:tc>
          <w:tcPr>
            <w:tcW w:w="3113" w:type="dxa"/>
            <w:vAlign w:val="center"/>
          </w:tcPr>
          <w:p w:rsidR="006A2E71" w:rsidRDefault="00555FCB">
            <w:pPr>
              <w:spacing w:line="360" w:lineRule="auto"/>
              <w:ind w:firstLineChars="200" w:firstLine="482"/>
              <w:rPr>
                <w:rFonts w:ascii="宋体" w:eastAsia="宋体" w:hAnsi="宋体"/>
                <w:sz w:val="21"/>
                <w:szCs w:val="21"/>
              </w:rPr>
            </w:pPr>
            <w:r>
              <w:rPr>
                <w:rFonts w:ascii="仿宋_GB2312" w:eastAsia="仿宋_GB2312" w:hAnsi="Arial" w:cs="Arial" w:hint="eastAsia"/>
                <w:b/>
                <w:bCs/>
                <w:sz w:val="24"/>
                <w:szCs w:val="24"/>
              </w:rPr>
              <w:t>工人服装：</w:t>
            </w:r>
            <w:r>
              <w:rPr>
                <w:rFonts w:ascii="宋体" w:eastAsia="宋体" w:hAnsi="宋体" w:hint="eastAsia"/>
                <w:sz w:val="21"/>
                <w:szCs w:val="21"/>
              </w:rPr>
              <w:t>所有服装为作业人员一组合套（春秋套装2套、冬季套装2套、夏装套装2套、雨衣套装1套、工作帽套装1套、棉马甲2套、反光安全马甲2套、反光背带1套、河道作业时应符合临水作业的相关要求，配备救生衣等）</w:t>
            </w:r>
          </w:p>
          <w:p w:rsidR="006A2E71" w:rsidRDefault="00555FCB">
            <w:pPr>
              <w:spacing w:line="520" w:lineRule="exact"/>
              <w:rPr>
                <w:rFonts w:ascii="宋体" w:eastAsia="宋体" w:hAnsi="宋体" w:cs="宋体"/>
                <w:color w:val="FF0000"/>
                <w:sz w:val="21"/>
                <w:szCs w:val="21"/>
              </w:rPr>
            </w:pPr>
            <w:r>
              <w:rPr>
                <w:rFonts w:ascii="宋体" w:eastAsia="宋体" w:hAnsi="宋体" w:cs="宋体" w:hint="eastAsia"/>
                <w:color w:val="FF0000"/>
                <w:sz w:val="21"/>
                <w:szCs w:val="21"/>
              </w:rPr>
              <w:t>春秋套装：</w:t>
            </w:r>
            <w:r>
              <w:rPr>
                <w:rFonts w:ascii="Segoe UI" w:eastAsia="宋体" w:hAnsi="Segoe UI" w:cs="Segoe UI" w:hint="eastAsia"/>
                <w:color w:val="FF0000"/>
                <w:sz w:val="24"/>
                <w:szCs w:val="24"/>
                <w:shd w:val="clear" w:color="auto" w:fill="FFFFFF"/>
              </w:rPr>
              <w:t>主要面料为</w:t>
            </w:r>
            <w:r>
              <w:rPr>
                <w:rFonts w:ascii="宋体" w:eastAsia="宋体" w:hAnsi="宋体" w:cs="宋体" w:hint="eastAsia"/>
                <w:color w:val="FF0000"/>
                <w:sz w:val="21"/>
                <w:szCs w:val="21"/>
              </w:rPr>
              <w:t>65% 聚酯纤维 + 35% 棉混纺帆布</w:t>
            </w:r>
            <w:r>
              <w:rPr>
                <w:rFonts w:ascii="宋体" w:eastAsia="宋体" w:hAnsi="宋体" w:cs="宋体"/>
                <w:color w:val="FF0000"/>
                <w:sz w:val="21"/>
                <w:szCs w:val="21"/>
              </w:rPr>
              <w:t>（或涤棉加厚纱卡）</w:t>
            </w:r>
            <w:r>
              <w:rPr>
                <w:rFonts w:ascii="宋体" w:eastAsia="宋体" w:hAnsi="宋体" w:cs="宋体" w:hint="eastAsia"/>
                <w:color w:val="FF0000"/>
                <w:sz w:val="21"/>
                <w:szCs w:val="21"/>
              </w:rPr>
              <w:t>。</w:t>
            </w:r>
          </w:p>
          <w:p w:rsidR="006A2E71" w:rsidRDefault="00555FCB">
            <w:pPr>
              <w:spacing w:line="520" w:lineRule="exact"/>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冬季套装：主要面料为100% 聚酯纤维牛津布</w:t>
            </w:r>
            <w:r>
              <w:rPr>
                <w:rFonts w:ascii="宋体" w:eastAsia="宋体" w:hAnsi="宋体" w:cs="宋体"/>
                <w:color w:val="FF0000"/>
                <w:sz w:val="21"/>
                <w:szCs w:val="21"/>
              </w:rPr>
              <w:t>（加 PU 防水涂层）</w:t>
            </w:r>
            <w:r>
              <w:rPr>
                <w:rFonts w:ascii="宋体" w:eastAsia="宋体" w:hAnsi="宋体" w:cs="宋体" w:hint="eastAsia"/>
                <w:color w:val="FF0000"/>
                <w:sz w:val="21"/>
                <w:szCs w:val="21"/>
              </w:rPr>
              <w:t>，羊羔绒 / 摇粒绒复合填充。</w:t>
            </w:r>
          </w:p>
          <w:p w:rsidR="006A2E71" w:rsidRDefault="00555FCB">
            <w:pPr>
              <w:spacing w:line="520" w:lineRule="exact"/>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夏季套装：主要面料为100% 聚酯纤维速干网眼布</w:t>
            </w:r>
            <w:r>
              <w:rPr>
                <w:rFonts w:ascii="宋体" w:eastAsia="宋体" w:hAnsi="宋体" w:cs="宋体"/>
                <w:color w:val="FF0000"/>
                <w:sz w:val="21"/>
                <w:szCs w:val="21"/>
              </w:rPr>
              <w:t>（或涤氨弹力面料）</w:t>
            </w:r>
            <w:r>
              <w:rPr>
                <w:rFonts w:ascii="宋体" w:eastAsia="宋体" w:hAnsi="宋体" w:cs="宋体" w:hint="eastAsia"/>
                <w:color w:val="FF0000"/>
                <w:sz w:val="21"/>
                <w:szCs w:val="21"/>
              </w:rPr>
              <w:t>。</w:t>
            </w:r>
          </w:p>
          <w:p w:rsidR="006A2E71" w:rsidRDefault="00555FCB">
            <w:pPr>
              <w:spacing w:line="520" w:lineRule="exact"/>
              <w:ind w:firstLineChars="200" w:firstLine="420"/>
              <w:rPr>
                <w:rFonts w:ascii="宋体" w:eastAsia="宋体" w:hAnsi="宋体"/>
                <w:sz w:val="21"/>
                <w:szCs w:val="21"/>
              </w:rPr>
            </w:pPr>
            <w:r>
              <w:rPr>
                <w:rFonts w:ascii="宋体" w:eastAsia="宋体" w:hAnsi="宋体" w:cs="宋体" w:hint="eastAsia"/>
                <w:color w:val="FF0000"/>
                <w:sz w:val="21"/>
                <w:szCs w:val="21"/>
              </w:rPr>
              <w:t>服装发放时间为：进场核验期间各发放一套，第二年下半年再各发放一套。</w:t>
            </w:r>
          </w:p>
          <w:p w:rsidR="006A2E71" w:rsidRDefault="00555FCB">
            <w:pPr>
              <w:spacing w:line="360" w:lineRule="auto"/>
              <w:ind w:firstLineChars="200" w:firstLine="420"/>
              <w:rPr>
                <w:rFonts w:ascii="宋体" w:eastAsia="宋体" w:hAnsi="宋体"/>
                <w:sz w:val="21"/>
                <w:szCs w:val="21"/>
              </w:rPr>
            </w:pPr>
            <w:r>
              <w:rPr>
                <w:rFonts w:ascii="宋体" w:eastAsia="宋体" w:hAnsi="宋体" w:hint="eastAsia"/>
                <w:sz w:val="21"/>
                <w:szCs w:val="21"/>
              </w:rPr>
              <w:t>要求所有服装上身须缝制能够插胸卡的透明卡袋，所有服装上身须缝制左右肩扣配套安全小闪灯的肩夹使用。</w:t>
            </w:r>
          </w:p>
          <w:p w:rsidR="006A2E71" w:rsidRDefault="00555FCB">
            <w:pPr>
              <w:spacing w:line="360" w:lineRule="auto"/>
              <w:ind w:firstLineChars="200" w:firstLine="420"/>
              <w:rPr>
                <w:rFonts w:ascii="宋体" w:eastAsia="宋体" w:hAnsi="宋体"/>
                <w:sz w:val="21"/>
                <w:szCs w:val="21"/>
              </w:rPr>
            </w:pPr>
            <w:r>
              <w:rPr>
                <w:rFonts w:ascii="宋体" w:eastAsia="宋体" w:hAnsi="宋体" w:hint="eastAsia"/>
                <w:sz w:val="21"/>
                <w:szCs w:val="21"/>
              </w:rPr>
              <w:lastRenderedPageBreak/>
              <w:t>要求所有服装上装、下装、帽子、背心等都须印有反光条。</w:t>
            </w:r>
          </w:p>
          <w:p w:rsidR="006A2E71" w:rsidRDefault="006A2E71">
            <w:pPr>
              <w:jc w:val="center"/>
              <w:rPr>
                <w:rFonts w:ascii="仿宋_GB2312" w:eastAsia="仿宋_GB2312" w:hAnsi="Arial" w:cs="Arial"/>
                <w:sz w:val="24"/>
                <w:szCs w:val="24"/>
              </w:rPr>
            </w:pPr>
          </w:p>
        </w:tc>
        <w:tc>
          <w:tcPr>
            <w:tcW w:w="5239" w:type="dxa"/>
            <w:vAlign w:val="center"/>
          </w:tcPr>
          <w:p w:rsidR="006A2E71" w:rsidRDefault="00555FCB">
            <w:pPr>
              <w:widowControl/>
              <w:jc w:val="center"/>
              <w:rPr>
                <w:rFonts w:ascii="仿宋_GB2312" w:eastAsia="方正仿宋_GB2312"/>
              </w:rPr>
            </w:pPr>
            <w:r>
              <w:rPr>
                <w:rFonts w:ascii="仿宋_GB2312" w:eastAsia="方正仿宋_GB2312" w:hint="eastAsia"/>
                <w:noProof/>
              </w:rPr>
              <w:lastRenderedPageBreak/>
              <w:drawing>
                <wp:inline distT="0" distB="0" distL="114300" distR="114300">
                  <wp:extent cx="3161665" cy="4215765"/>
                  <wp:effectExtent l="0" t="0" r="635" b="13335"/>
                  <wp:docPr id="8" name="图片 8" descr="微信图片_2026-01-14_124731_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6-01-14_124731_648"/>
                          <pic:cNvPicPr>
                            <a:picLocks noChangeAspect="1"/>
                          </pic:cNvPicPr>
                        </pic:nvPicPr>
                        <pic:blipFill>
                          <a:blip r:embed="rId27"/>
                          <a:stretch>
                            <a:fillRect/>
                          </a:stretch>
                        </pic:blipFill>
                        <pic:spPr>
                          <a:xfrm>
                            <a:off x="0" y="0"/>
                            <a:ext cx="3161665" cy="4215765"/>
                          </a:xfrm>
                          <a:prstGeom prst="rect">
                            <a:avLst/>
                          </a:prstGeom>
                        </pic:spPr>
                      </pic:pic>
                    </a:graphicData>
                  </a:graphic>
                </wp:inline>
              </w:drawing>
            </w:r>
          </w:p>
          <w:p w:rsidR="006A2E71" w:rsidRDefault="00555FCB">
            <w:pPr>
              <w:widowControl/>
              <w:jc w:val="center"/>
              <w:rPr>
                <w:rFonts w:ascii="仿宋_GB2312" w:eastAsia="方正仿宋_GB2312"/>
              </w:rPr>
            </w:pPr>
            <w:r>
              <w:rPr>
                <w:rFonts w:ascii="仿宋_GB2312" w:eastAsia="方正仿宋_GB2312" w:hint="eastAsia"/>
                <w:noProof/>
              </w:rPr>
              <w:drawing>
                <wp:inline distT="0" distB="0" distL="114300" distR="114300">
                  <wp:extent cx="3160395" cy="4213860"/>
                  <wp:effectExtent l="0" t="0" r="1905" b="15240"/>
                  <wp:docPr id="23" name="图片 23" descr="微信图片_2026-01-14_124741_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6-01-14_124741_774"/>
                          <pic:cNvPicPr>
                            <a:picLocks noChangeAspect="1"/>
                          </pic:cNvPicPr>
                        </pic:nvPicPr>
                        <pic:blipFill>
                          <a:blip r:embed="rId28"/>
                          <a:stretch>
                            <a:fillRect/>
                          </a:stretch>
                        </pic:blipFill>
                        <pic:spPr>
                          <a:xfrm>
                            <a:off x="0" y="0"/>
                            <a:ext cx="3160395" cy="4213860"/>
                          </a:xfrm>
                          <a:prstGeom prst="rect">
                            <a:avLst/>
                          </a:prstGeom>
                        </pic:spPr>
                      </pic:pic>
                    </a:graphicData>
                  </a:graphic>
                </wp:inline>
              </w:drawing>
            </w:r>
          </w:p>
        </w:tc>
      </w:tr>
      <w:tr w:rsidR="006A2E71">
        <w:trPr>
          <w:trHeight w:val="3810"/>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lastRenderedPageBreak/>
              <w:t>20</w:t>
            </w:r>
          </w:p>
        </w:tc>
        <w:tc>
          <w:tcPr>
            <w:tcW w:w="3113"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b/>
                <w:bCs/>
                <w:sz w:val="24"/>
                <w:szCs w:val="24"/>
              </w:rPr>
              <w:t>作业无人机</w:t>
            </w:r>
            <w:r>
              <w:rPr>
                <w:rFonts w:ascii="仿宋_GB2312" w:eastAsia="仿宋_GB2312" w:hAnsi="Arial" w:cs="Arial" w:hint="eastAsia"/>
                <w:sz w:val="24"/>
                <w:szCs w:val="24"/>
              </w:rPr>
              <w:t>：</w:t>
            </w:r>
            <w:r>
              <w:rPr>
                <w:rFonts w:ascii="宋体" w:eastAsia="宋体" w:hAnsi="宋体" w:cs="Arial" w:hint="eastAsia"/>
                <w:sz w:val="21"/>
                <w:szCs w:val="21"/>
              </w:rPr>
              <w:t>吊运载重</w:t>
            </w:r>
            <w:r>
              <w:rPr>
                <w:rFonts w:asciiTheme="minorEastAsia" w:eastAsiaTheme="minorEastAsia" w:hAnsiTheme="minorEastAsia" w:cstheme="minorEastAsia" w:hint="eastAsia"/>
                <w:sz w:val="21"/>
                <w:szCs w:val="21"/>
              </w:rPr>
              <w:t>≥</w:t>
            </w:r>
            <w:r>
              <w:rPr>
                <w:rFonts w:ascii="宋体" w:eastAsia="宋体" w:hAnsi="宋体" w:cs="Arial" w:hint="eastAsia"/>
                <w:sz w:val="21"/>
                <w:szCs w:val="21"/>
              </w:rPr>
              <w:t>85kg，撒播容量</w:t>
            </w:r>
            <w:r>
              <w:rPr>
                <w:rFonts w:asciiTheme="minorEastAsia" w:eastAsiaTheme="minorEastAsia" w:hAnsiTheme="minorEastAsia" w:cstheme="minorEastAsia" w:hint="eastAsia"/>
                <w:sz w:val="21"/>
                <w:szCs w:val="21"/>
              </w:rPr>
              <w:t>≥</w:t>
            </w:r>
            <w:r>
              <w:rPr>
                <w:rFonts w:ascii="宋体" w:eastAsia="宋体" w:hAnsi="宋体" w:cs="Arial" w:hint="eastAsia"/>
                <w:sz w:val="21"/>
                <w:szCs w:val="21"/>
              </w:rPr>
              <w:t>120L，激光雷达+AI全向避障、AR辅助。</w:t>
            </w:r>
          </w:p>
        </w:tc>
        <w:tc>
          <w:tcPr>
            <w:tcW w:w="5239" w:type="dxa"/>
            <w:vAlign w:val="center"/>
          </w:tcPr>
          <w:p w:rsidR="006A2E71" w:rsidRDefault="00555FCB">
            <w:pPr>
              <w:widowControl/>
              <w:jc w:val="left"/>
            </w:pPr>
            <w:r>
              <w:rPr>
                <w:rFonts w:ascii="宋体" w:eastAsia="宋体" w:hAnsi="宋体" w:cs="宋体"/>
                <w:noProof/>
                <w:sz w:val="24"/>
                <w:szCs w:val="24"/>
              </w:rPr>
              <w:drawing>
                <wp:inline distT="0" distB="0" distL="114300" distR="114300">
                  <wp:extent cx="3183255" cy="1790700"/>
                  <wp:effectExtent l="0" t="0" r="17145"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29" cstate="print"/>
                          <a:stretch>
                            <a:fillRect/>
                          </a:stretch>
                        </pic:blipFill>
                        <pic:spPr>
                          <a:xfrm>
                            <a:off x="0" y="0"/>
                            <a:ext cx="3183255" cy="1790700"/>
                          </a:xfrm>
                          <a:prstGeom prst="rect">
                            <a:avLst/>
                          </a:prstGeom>
                          <a:noFill/>
                          <a:ln w="9525">
                            <a:noFill/>
                          </a:ln>
                        </pic:spPr>
                      </pic:pic>
                    </a:graphicData>
                  </a:graphic>
                </wp:inline>
              </w:drawing>
            </w:r>
          </w:p>
          <w:p w:rsidR="006A2E71" w:rsidRDefault="006A2E71">
            <w:pPr>
              <w:widowControl/>
              <w:jc w:val="center"/>
              <w:rPr>
                <w:rFonts w:ascii="方正仿宋_GB2312" w:eastAsia="方正仿宋_GB2312" w:hAnsi="方正仿宋_GB2312" w:cs="方正仿宋_GB2312"/>
                <w:kern w:val="0"/>
                <w:szCs w:val="24"/>
              </w:rPr>
            </w:pPr>
          </w:p>
        </w:tc>
      </w:tr>
      <w:tr w:rsidR="006A2E71">
        <w:trPr>
          <w:trHeight w:val="3810"/>
          <w:jc w:val="center"/>
        </w:trPr>
        <w:tc>
          <w:tcPr>
            <w:tcW w:w="898" w:type="dxa"/>
            <w:vAlign w:val="center"/>
          </w:tcPr>
          <w:p w:rsidR="006A2E71" w:rsidRDefault="00555FCB">
            <w:pPr>
              <w:jc w:val="center"/>
              <w:rPr>
                <w:rFonts w:ascii="仿宋_GB2312" w:eastAsia="仿宋_GB2312" w:hAnsi="Arial" w:cs="Arial"/>
                <w:sz w:val="24"/>
                <w:szCs w:val="24"/>
              </w:rPr>
            </w:pPr>
            <w:r>
              <w:rPr>
                <w:rFonts w:ascii="仿宋_GB2312" w:eastAsia="仿宋_GB2312" w:hAnsi="Arial" w:cs="Arial" w:hint="eastAsia"/>
                <w:sz w:val="24"/>
                <w:szCs w:val="24"/>
              </w:rPr>
              <w:t>21</w:t>
            </w:r>
          </w:p>
        </w:tc>
        <w:tc>
          <w:tcPr>
            <w:tcW w:w="3113" w:type="dxa"/>
            <w:vAlign w:val="center"/>
          </w:tcPr>
          <w:p w:rsidR="006A2E71" w:rsidRDefault="00555FCB">
            <w:pPr>
              <w:jc w:val="left"/>
              <w:rPr>
                <w:rFonts w:ascii="仿宋_GB2312" w:eastAsia="仿宋_GB2312" w:hAnsi="宋体"/>
                <w:b/>
                <w:bCs/>
                <w:sz w:val="24"/>
                <w:szCs w:val="28"/>
                <w:highlight w:val="cyan"/>
              </w:rPr>
            </w:pPr>
            <w:r>
              <w:rPr>
                <w:rFonts w:ascii="仿宋_GB2312" w:eastAsia="仿宋_GB2312" w:hAnsi="宋体" w:hint="eastAsia"/>
                <w:b/>
                <w:bCs/>
                <w:sz w:val="24"/>
                <w:szCs w:val="28"/>
                <w:highlight w:val="cyan"/>
              </w:rPr>
              <w:t>警示标志：</w:t>
            </w:r>
          </w:p>
          <w:p w:rsidR="006A2E71" w:rsidRDefault="00555FCB">
            <w:pPr>
              <w:jc w:val="left"/>
              <w:rPr>
                <w:rFonts w:ascii="仿宋_GB2312" w:eastAsia="仿宋_GB2312" w:hAnsi="宋体"/>
                <w:sz w:val="24"/>
                <w:szCs w:val="28"/>
                <w:highlight w:val="cyan"/>
              </w:rPr>
            </w:pPr>
            <w:r>
              <w:rPr>
                <w:rFonts w:ascii="仿宋_GB2312" w:eastAsia="仿宋_GB2312" w:hAnsi="宋体" w:hint="eastAsia"/>
                <w:sz w:val="24"/>
                <w:szCs w:val="28"/>
                <w:highlight w:val="cyan"/>
              </w:rPr>
              <w:t>1、两侧40*40*1.2镀锌管立柱，立柱内侧面激光切缝3MM*600MM，将3MM厚镀锌板插入切缝约40MM与管壁紧密贴合，在管内壁隐藏焊接固定，内部焊接完成后立柱顶部焊接封口板，板材下端与管壁点焊，立柱底部焊接预埋底板。</w:t>
            </w:r>
          </w:p>
          <w:p w:rsidR="006A2E71" w:rsidRDefault="00555FCB">
            <w:pPr>
              <w:jc w:val="left"/>
              <w:rPr>
                <w:rFonts w:ascii="仿宋_GB2312" w:eastAsia="仿宋_GB2312" w:hAnsi="Arial" w:cs="Arial"/>
                <w:b/>
                <w:bCs/>
                <w:sz w:val="24"/>
                <w:szCs w:val="24"/>
              </w:rPr>
            </w:pPr>
            <w:r>
              <w:rPr>
                <w:rFonts w:ascii="仿宋_GB2312" w:eastAsia="仿宋_GB2312" w:hAnsi="宋体" w:hint="eastAsia"/>
                <w:sz w:val="24"/>
                <w:szCs w:val="28"/>
                <w:highlight w:val="cyan"/>
              </w:rPr>
              <w:t>2、两端立柱总高度1800MM，地面以上指示牌净高度</w:t>
            </w:r>
            <w:r>
              <w:rPr>
                <w:rFonts w:ascii="仿宋_GB2312" w:eastAsia="仿宋_GB2312" w:hAnsi="宋体" w:hint="eastAsia"/>
                <w:color w:val="FF0000"/>
                <w:sz w:val="24"/>
                <w:szCs w:val="28"/>
              </w:rPr>
              <w:t>1400MM至1500MM，每根立柱混凝土基础尺寸不小于200×200×300mm（300为深度）。3、银色镀锌管和镀锌板:表面前处理使用纳米陶化喷淋工艺，彻底清除表面油污杂质，生成纳米级陶瓷转化膜，使后期粉末附着力更强+静电粉末喷涂。</w:t>
            </w:r>
          </w:p>
        </w:tc>
        <w:tc>
          <w:tcPr>
            <w:tcW w:w="5239" w:type="dxa"/>
            <w:vAlign w:val="center"/>
          </w:tcPr>
          <w:p w:rsidR="006A2E71" w:rsidRDefault="00555FCB">
            <w:pPr>
              <w:widowControl/>
              <w:jc w:val="center"/>
              <w:rPr>
                <w:rFonts w:ascii="方正仿宋_GB2312" w:eastAsia="方正仿宋_GB2312" w:hAnsi="方正仿宋_GB2312" w:cs="方正仿宋_GB2312"/>
                <w:kern w:val="0"/>
                <w:szCs w:val="24"/>
              </w:rPr>
            </w:pPr>
            <w:r>
              <w:rPr>
                <w:rFonts w:ascii="方正仿宋_GB2312" w:eastAsia="方正仿宋_GB2312" w:hAnsi="方正仿宋_GB2312" w:cs="方正仿宋_GB2312" w:hint="eastAsia"/>
                <w:noProof/>
                <w:kern w:val="0"/>
                <w:szCs w:val="24"/>
              </w:rPr>
              <w:drawing>
                <wp:inline distT="0" distB="0" distL="114300" distR="114300">
                  <wp:extent cx="3188335" cy="2824480"/>
                  <wp:effectExtent l="0" t="0" r="12065" b="13970"/>
                  <wp:docPr id="2" name="图片 2" descr="7a2a99d8-27dd-4e94-bd54-60b9c075b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a2a99d8-27dd-4e94-bd54-60b9c075b33b"/>
                          <pic:cNvPicPr>
                            <a:picLocks noChangeAspect="1"/>
                          </pic:cNvPicPr>
                        </pic:nvPicPr>
                        <pic:blipFill>
                          <a:blip r:embed="rId30"/>
                          <a:stretch>
                            <a:fillRect/>
                          </a:stretch>
                        </pic:blipFill>
                        <pic:spPr>
                          <a:xfrm>
                            <a:off x="0" y="0"/>
                            <a:ext cx="3188335" cy="2824480"/>
                          </a:xfrm>
                          <a:prstGeom prst="rect">
                            <a:avLst/>
                          </a:prstGeom>
                        </pic:spPr>
                      </pic:pic>
                    </a:graphicData>
                  </a:graphic>
                </wp:inline>
              </w:drawing>
            </w:r>
            <w:r>
              <w:rPr>
                <w:rFonts w:ascii="方正仿宋_GB2312" w:eastAsia="方正仿宋_GB2312" w:hAnsi="方正仿宋_GB2312" w:cs="方正仿宋_GB2312" w:hint="eastAsia"/>
                <w:noProof/>
                <w:kern w:val="0"/>
                <w:szCs w:val="24"/>
              </w:rPr>
              <w:drawing>
                <wp:inline distT="0" distB="0" distL="114300" distR="114300">
                  <wp:extent cx="3181350" cy="2316480"/>
                  <wp:effectExtent l="0" t="0" r="0" b="7620"/>
                  <wp:docPr id="1" name="图片 1" descr="161fc1bd-af6a-4272-9c76-a7789709b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fc1bd-af6a-4272-9c76-a7789709b58c"/>
                          <pic:cNvPicPr>
                            <a:picLocks noChangeAspect="1"/>
                          </pic:cNvPicPr>
                        </pic:nvPicPr>
                        <pic:blipFill>
                          <a:blip r:embed="rId31"/>
                          <a:stretch>
                            <a:fillRect/>
                          </a:stretch>
                        </pic:blipFill>
                        <pic:spPr>
                          <a:xfrm>
                            <a:off x="0" y="0"/>
                            <a:ext cx="3181350" cy="2316480"/>
                          </a:xfrm>
                          <a:prstGeom prst="rect">
                            <a:avLst/>
                          </a:prstGeom>
                        </pic:spPr>
                      </pic:pic>
                    </a:graphicData>
                  </a:graphic>
                </wp:inline>
              </w:drawing>
            </w:r>
          </w:p>
          <w:p w:rsidR="006A2E71" w:rsidRDefault="00555FCB">
            <w:pPr>
              <w:widowControl/>
              <w:jc w:val="center"/>
              <w:rPr>
                <w:rFonts w:ascii="方正仿宋_GB2312" w:eastAsia="方正仿宋_GB2312" w:hAnsi="方正仿宋_GB2312" w:cs="方正仿宋_GB2312"/>
                <w:kern w:val="0"/>
                <w:szCs w:val="24"/>
              </w:rPr>
            </w:pPr>
            <w:r>
              <w:rPr>
                <w:rFonts w:ascii="方正仿宋_GB2312" w:eastAsia="方正仿宋_GB2312" w:hAnsi="方正仿宋_GB2312" w:cs="方正仿宋_GB2312" w:hint="eastAsia"/>
                <w:noProof/>
                <w:kern w:val="0"/>
                <w:szCs w:val="24"/>
              </w:rPr>
              <w:lastRenderedPageBreak/>
              <w:drawing>
                <wp:inline distT="0" distB="0" distL="114300" distR="114300">
                  <wp:extent cx="3160395" cy="1961928"/>
                  <wp:effectExtent l="19050" t="0" r="1905" b="0"/>
                  <wp:docPr id="3" name="图片 3" descr="2772fb3c-7246-4e55-88db-1ffe06b17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72fb3c-7246-4e55-88db-1ffe06b179e7"/>
                          <pic:cNvPicPr>
                            <a:picLocks noChangeAspect="1"/>
                          </pic:cNvPicPr>
                        </pic:nvPicPr>
                        <pic:blipFill>
                          <a:blip r:embed="rId32"/>
                          <a:stretch>
                            <a:fillRect/>
                          </a:stretch>
                        </pic:blipFill>
                        <pic:spPr>
                          <a:xfrm>
                            <a:off x="0" y="0"/>
                            <a:ext cx="3175825" cy="1971507"/>
                          </a:xfrm>
                          <a:prstGeom prst="rect">
                            <a:avLst/>
                          </a:prstGeom>
                        </pic:spPr>
                      </pic:pic>
                    </a:graphicData>
                  </a:graphic>
                </wp:inline>
              </w:drawing>
            </w:r>
          </w:p>
        </w:tc>
      </w:tr>
    </w:tbl>
    <w:p w:rsidR="006A2E71" w:rsidRDefault="006A2E71">
      <w:pPr>
        <w:snapToGrid w:val="0"/>
        <w:spacing w:line="480" w:lineRule="exact"/>
        <w:rPr>
          <w:rFonts w:ascii="仿宋_GB2312" w:eastAsia="仿宋_GB2312" w:hAnsi="宋体"/>
          <w:b/>
          <w:sz w:val="24"/>
        </w:rPr>
      </w:pPr>
    </w:p>
    <w:p w:rsidR="006A2E71" w:rsidRDefault="006A2E71"/>
    <w:sectPr w:rsidR="006A2E71" w:rsidSect="006A2E71">
      <w:pgSz w:w="11906" w:h="16838"/>
      <w:pgMar w:top="1440" w:right="1800" w:bottom="1440" w:left="1800" w:header="851" w:footer="992"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939" w:rsidRDefault="004B4939" w:rsidP="00961E89">
      <w:r>
        <w:separator/>
      </w:r>
    </w:p>
  </w:endnote>
  <w:endnote w:type="continuationSeparator" w:id="1">
    <w:p w:rsidR="004B4939" w:rsidRDefault="004B4939" w:rsidP="00961E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Segoe UI">
    <w:panose1 w:val="020B0502040204020203"/>
    <w:charset w:val="00"/>
    <w:family w:val="swiss"/>
    <w:pitch w:val="variable"/>
    <w:sig w:usb0="E4002EFF" w:usb1="C000E47F"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方正仿宋_GB2312">
    <w:altName w:val="微软雅黑"/>
    <w:charset w:val="86"/>
    <w:family w:val="auto"/>
    <w:pitch w:val="default"/>
    <w:sig w:usb0="00000000" w:usb1="00000000" w:usb2="00000012"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939" w:rsidRDefault="004B4939" w:rsidP="00961E89">
      <w:r>
        <w:separator/>
      </w:r>
    </w:p>
  </w:footnote>
  <w:footnote w:type="continuationSeparator" w:id="1">
    <w:p w:rsidR="004B4939" w:rsidRDefault="004B4939" w:rsidP="00961E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8A1A7"/>
    <w:multiLevelType w:val="singleLevel"/>
    <w:tmpl w:val="2E58A1A7"/>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40"/>
  <w:drawingGridVerticalSpacing w:val="381"/>
  <w:noPunctuationKerning/>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
  <w:docVars>
    <w:docVar w:name="commondata" w:val="eyJoZGlkIjoiNzY3NjAzZDQ3ZWUzNGI0YTA5NWI3NTU1MzUwZGNhMzEifQ=="/>
  </w:docVars>
  <w:rsids>
    <w:rsidRoot w:val="60E1440D"/>
    <w:rsid w:val="00022FD4"/>
    <w:rsid w:val="00027653"/>
    <w:rsid w:val="000C4FF4"/>
    <w:rsid w:val="000F3AD2"/>
    <w:rsid w:val="0015718D"/>
    <w:rsid w:val="002832C5"/>
    <w:rsid w:val="0047296F"/>
    <w:rsid w:val="004B4939"/>
    <w:rsid w:val="004E30C0"/>
    <w:rsid w:val="004F3FC0"/>
    <w:rsid w:val="005328DA"/>
    <w:rsid w:val="00544715"/>
    <w:rsid w:val="00555FCB"/>
    <w:rsid w:val="00566FED"/>
    <w:rsid w:val="00624784"/>
    <w:rsid w:val="006865DD"/>
    <w:rsid w:val="006A2E71"/>
    <w:rsid w:val="006A7029"/>
    <w:rsid w:val="006D1D2B"/>
    <w:rsid w:val="006D3E2E"/>
    <w:rsid w:val="006D4650"/>
    <w:rsid w:val="006E092D"/>
    <w:rsid w:val="00772871"/>
    <w:rsid w:val="00892D62"/>
    <w:rsid w:val="00893B5E"/>
    <w:rsid w:val="008D313A"/>
    <w:rsid w:val="008E1DFF"/>
    <w:rsid w:val="00961E89"/>
    <w:rsid w:val="009D3037"/>
    <w:rsid w:val="00A22037"/>
    <w:rsid w:val="00A37A76"/>
    <w:rsid w:val="00AF580F"/>
    <w:rsid w:val="00B210C0"/>
    <w:rsid w:val="00BA1565"/>
    <w:rsid w:val="00BD108A"/>
    <w:rsid w:val="00C2232E"/>
    <w:rsid w:val="00C865B2"/>
    <w:rsid w:val="00D74CF1"/>
    <w:rsid w:val="00E91CC3"/>
    <w:rsid w:val="00F03E39"/>
    <w:rsid w:val="01B14493"/>
    <w:rsid w:val="03127926"/>
    <w:rsid w:val="04133E9F"/>
    <w:rsid w:val="056D353A"/>
    <w:rsid w:val="06257970"/>
    <w:rsid w:val="06AD6F44"/>
    <w:rsid w:val="06CC0F7C"/>
    <w:rsid w:val="071C229E"/>
    <w:rsid w:val="08A45A5C"/>
    <w:rsid w:val="09EF451D"/>
    <w:rsid w:val="0A2B7333"/>
    <w:rsid w:val="0AB232ED"/>
    <w:rsid w:val="0C0B4441"/>
    <w:rsid w:val="0D7F205C"/>
    <w:rsid w:val="0DD90EA3"/>
    <w:rsid w:val="0EB33851"/>
    <w:rsid w:val="0F9B0CA3"/>
    <w:rsid w:val="0F9F2542"/>
    <w:rsid w:val="0FD50659"/>
    <w:rsid w:val="103317BA"/>
    <w:rsid w:val="105531E6"/>
    <w:rsid w:val="14C77501"/>
    <w:rsid w:val="158741A4"/>
    <w:rsid w:val="17B4667F"/>
    <w:rsid w:val="184E2D57"/>
    <w:rsid w:val="187A44DB"/>
    <w:rsid w:val="1A8077F0"/>
    <w:rsid w:val="1A8F0467"/>
    <w:rsid w:val="1C0A3439"/>
    <w:rsid w:val="1CAF1B22"/>
    <w:rsid w:val="1D3A0813"/>
    <w:rsid w:val="1E6A51FE"/>
    <w:rsid w:val="1E7D45CD"/>
    <w:rsid w:val="1F933B4A"/>
    <w:rsid w:val="200F101E"/>
    <w:rsid w:val="220B1CB9"/>
    <w:rsid w:val="231F7AA4"/>
    <w:rsid w:val="23921209"/>
    <w:rsid w:val="23A6613D"/>
    <w:rsid w:val="241A61E3"/>
    <w:rsid w:val="241E2177"/>
    <w:rsid w:val="24EA5A27"/>
    <w:rsid w:val="25792133"/>
    <w:rsid w:val="2587304C"/>
    <w:rsid w:val="258B5F51"/>
    <w:rsid w:val="25C50AFA"/>
    <w:rsid w:val="25E96156"/>
    <w:rsid w:val="261750D0"/>
    <w:rsid w:val="262C5FE6"/>
    <w:rsid w:val="26961B08"/>
    <w:rsid w:val="27532138"/>
    <w:rsid w:val="27D03788"/>
    <w:rsid w:val="282C4DE2"/>
    <w:rsid w:val="29B62B95"/>
    <w:rsid w:val="2AD3499C"/>
    <w:rsid w:val="2B585F6F"/>
    <w:rsid w:val="2BEE2991"/>
    <w:rsid w:val="2C152411"/>
    <w:rsid w:val="2CA9202C"/>
    <w:rsid w:val="2D9F2967"/>
    <w:rsid w:val="2EBF00B3"/>
    <w:rsid w:val="2ED27DE6"/>
    <w:rsid w:val="2EF20488"/>
    <w:rsid w:val="2FD626B1"/>
    <w:rsid w:val="30B0199F"/>
    <w:rsid w:val="31365CB3"/>
    <w:rsid w:val="31B965A7"/>
    <w:rsid w:val="33276CA3"/>
    <w:rsid w:val="33515DA6"/>
    <w:rsid w:val="349E076A"/>
    <w:rsid w:val="35E01800"/>
    <w:rsid w:val="360D5333"/>
    <w:rsid w:val="36A7079C"/>
    <w:rsid w:val="36AD2EE7"/>
    <w:rsid w:val="377D335B"/>
    <w:rsid w:val="37DA7D0B"/>
    <w:rsid w:val="38F44D38"/>
    <w:rsid w:val="392E030F"/>
    <w:rsid w:val="3B037579"/>
    <w:rsid w:val="3CB23005"/>
    <w:rsid w:val="3DBC7C53"/>
    <w:rsid w:val="3E212D8B"/>
    <w:rsid w:val="3F077D4B"/>
    <w:rsid w:val="40343568"/>
    <w:rsid w:val="40C228AE"/>
    <w:rsid w:val="40F07927"/>
    <w:rsid w:val="4105404B"/>
    <w:rsid w:val="414447B0"/>
    <w:rsid w:val="41F83BB0"/>
    <w:rsid w:val="42B31989"/>
    <w:rsid w:val="43B9111D"/>
    <w:rsid w:val="44861304"/>
    <w:rsid w:val="44AE24C3"/>
    <w:rsid w:val="45476634"/>
    <w:rsid w:val="482A6164"/>
    <w:rsid w:val="483F158F"/>
    <w:rsid w:val="49160006"/>
    <w:rsid w:val="4A634A1E"/>
    <w:rsid w:val="4A7C5EA7"/>
    <w:rsid w:val="4A963F66"/>
    <w:rsid w:val="4A9C6866"/>
    <w:rsid w:val="4E3E1419"/>
    <w:rsid w:val="4EF456FF"/>
    <w:rsid w:val="4EF474AD"/>
    <w:rsid w:val="517B4A64"/>
    <w:rsid w:val="51AB50F9"/>
    <w:rsid w:val="53F3203D"/>
    <w:rsid w:val="54311B3C"/>
    <w:rsid w:val="54836970"/>
    <w:rsid w:val="550D0E15"/>
    <w:rsid w:val="56D55E16"/>
    <w:rsid w:val="570F38FB"/>
    <w:rsid w:val="57D442B7"/>
    <w:rsid w:val="5AD1347A"/>
    <w:rsid w:val="5BC26FB5"/>
    <w:rsid w:val="5BFD3E45"/>
    <w:rsid w:val="5EE835DA"/>
    <w:rsid w:val="60E1440D"/>
    <w:rsid w:val="610F68A9"/>
    <w:rsid w:val="61736957"/>
    <w:rsid w:val="61892C44"/>
    <w:rsid w:val="6265238F"/>
    <w:rsid w:val="628F156F"/>
    <w:rsid w:val="631B2C2D"/>
    <w:rsid w:val="64980165"/>
    <w:rsid w:val="64DE058B"/>
    <w:rsid w:val="65CB0B10"/>
    <w:rsid w:val="67B04B9E"/>
    <w:rsid w:val="6917406C"/>
    <w:rsid w:val="6CE15938"/>
    <w:rsid w:val="6DFF6E54"/>
    <w:rsid w:val="6EB41E01"/>
    <w:rsid w:val="6EF77A99"/>
    <w:rsid w:val="6FF173C5"/>
    <w:rsid w:val="70CB30DF"/>
    <w:rsid w:val="70FC24C5"/>
    <w:rsid w:val="71CC6B8D"/>
    <w:rsid w:val="72367553"/>
    <w:rsid w:val="730B6054"/>
    <w:rsid w:val="74EE11FE"/>
    <w:rsid w:val="75043561"/>
    <w:rsid w:val="754D4760"/>
    <w:rsid w:val="77BD5FB9"/>
    <w:rsid w:val="77C62AF7"/>
    <w:rsid w:val="79621333"/>
    <w:rsid w:val="7A986B78"/>
    <w:rsid w:val="7B7B5475"/>
    <w:rsid w:val="7C4371FA"/>
    <w:rsid w:val="7C531CD1"/>
    <w:rsid w:val="7D3A11C8"/>
    <w:rsid w:val="7E9B5B5A"/>
    <w:rsid w:val="7F6732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2E71"/>
    <w:pPr>
      <w:widowControl w:val="0"/>
      <w:jc w:val="both"/>
    </w:pPr>
    <w:rPr>
      <w:rFonts w:eastAsia="楷体_GB2312"/>
      <w:kern w:val="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6A2E71"/>
    <w:pPr>
      <w:jc w:val="left"/>
    </w:pPr>
  </w:style>
  <w:style w:type="paragraph" w:styleId="a4">
    <w:name w:val="Balloon Text"/>
    <w:basedOn w:val="a"/>
    <w:link w:val="Char"/>
    <w:qFormat/>
    <w:rsid w:val="006A2E71"/>
    <w:rPr>
      <w:sz w:val="18"/>
      <w:szCs w:val="18"/>
    </w:rPr>
  </w:style>
  <w:style w:type="paragraph" w:styleId="a5">
    <w:name w:val="footer"/>
    <w:basedOn w:val="a"/>
    <w:link w:val="Char0"/>
    <w:qFormat/>
    <w:rsid w:val="006A2E71"/>
    <w:pPr>
      <w:tabs>
        <w:tab w:val="center" w:pos="4153"/>
        <w:tab w:val="right" w:pos="8306"/>
      </w:tabs>
      <w:snapToGrid w:val="0"/>
      <w:jc w:val="left"/>
    </w:pPr>
    <w:rPr>
      <w:sz w:val="18"/>
      <w:szCs w:val="18"/>
    </w:rPr>
  </w:style>
  <w:style w:type="paragraph" w:styleId="a6">
    <w:name w:val="header"/>
    <w:basedOn w:val="a"/>
    <w:link w:val="Char1"/>
    <w:qFormat/>
    <w:rsid w:val="006A2E71"/>
    <w:pPr>
      <w:pBdr>
        <w:bottom w:val="single" w:sz="6" w:space="1" w:color="auto"/>
      </w:pBdr>
      <w:tabs>
        <w:tab w:val="center" w:pos="4153"/>
        <w:tab w:val="right" w:pos="8306"/>
      </w:tabs>
      <w:snapToGrid w:val="0"/>
      <w:jc w:val="center"/>
    </w:pPr>
    <w:rPr>
      <w:sz w:val="18"/>
      <w:szCs w:val="18"/>
    </w:rPr>
  </w:style>
  <w:style w:type="paragraph" w:styleId="a7">
    <w:name w:val="Normal (Web)"/>
    <w:basedOn w:val="a"/>
    <w:rsid w:val="006A2E71"/>
    <w:pPr>
      <w:spacing w:beforeAutospacing="1" w:afterAutospacing="1"/>
      <w:jc w:val="left"/>
    </w:pPr>
    <w:rPr>
      <w:kern w:val="0"/>
      <w:sz w:val="24"/>
    </w:rPr>
  </w:style>
  <w:style w:type="character" w:styleId="a8">
    <w:name w:val="Strong"/>
    <w:basedOn w:val="a0"/>
    <w:uiPriority w:val="22"/>
    <w:qFormat/>
    <w:rsid w:val="006A2E71"/>
    <w:rPr>
      <w:b/>
      <w:bCs/>
    </w:rPr>
  </w:style>
  <w:style w:type="character" w:customStyle="1" w:styleId="Char1">
    <w:name w:val="页眉 Char"/>
    <w:basedOn w:val="a0"/>
    <w:link w:val="a6"/>
    <w:qFormat/>
    <w:rsid w:val="006A2E71"/>
    <w:rPr>
      <w:rFonts w:ascii="Times New Roman" w:eastAsia="楷体_GB2312" w:hAnsi="Times New Roman" w:cs="Times New Roman"/>
      <w:kern w:val="2"/>
      <w:sz w:val="18"/>
      <w:szCs w:val="18"/>
    </w:rPr>
  </w:style>
  <w:style w:type="character" w:customStyle="1" w:styleId="Char0">
    <w:name w:val="页脚 Char"/>
    <w:basedOn w:val="a0"/>
    <w:link w:val="a5"/>
    <w:qFormat/>
    <w:rsid w:val="006A2E71"/>
    <w:rPr>
      <w:rFonts w:ascii="Times New Roman" w:eastAsia="楷体_GB2312" w:hAnsi="Times New Roman" w:cs="Times New Roman"/>
      <w:kern w:val="2"/>
      <w:sz w:val="18"/>
      <w:szCs w:val="18"/>
    </w:rPr>
  </w:style>
  <w:style w:type="character" w:customStyle="1" w:styleId="Char">
    <w:name w:val="批注框文本 Char"/>
    <w:basedOn w:val="a0"/>
    <w:link w:val="a4"/>
    <w:qFormat/>
    <w:rsid w:val="006A2E71"/>
    <w:rPr>
      <w:rFonts w:ascii="Times New Roman" w:eastAsia="楷体_GB2312"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13</Pages>
  <Words>784</Words>
  <Characters>4475</Characters>
  <Application>Microsoft Office Word</Application>
  <DocSecurity>0</DocSecurity>
  <Lines>37</Lines>
  <Paragraphs>10</Paragraphs>
  <ScaleCrop>false</ScaleCrop>
  <Company/>
  <LinksUpToDate>false</LinksUpToDate>
  <CharactersWithSpaces>5249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朱敏铭</dc:creator>
  <cp:lastModifiedBy>蒋美蓉</cp:lastModifiedBy>
  <cp:revision>11</cp:revision>
  <cp:lastPrinted>2025-04-27T01:20:00Z</cp:lastPrinted>
  <dcterms:created xsi:type="dcterms:W3CDTF">2025-02-14T01:18:00Z</dcterms:created>
  <dcterms:modified xsi:type="dcterms:W3CDTF">2026-03-16T09:27:00Z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2249755EC1F645EBB42F6ADD343D5179_11</vt:lpwstr>
  </property>
  <property fmtid="{D5CDD505-2E9C-101B-9397-08002B2CF9AE}" pid="4" name="KSOTemplateDocerSaveRecord">
    <vt:lpwstr>eyJoZGlkIjoiMmQzNzAwYmNlNTM0ZmExYmQ1YThjOTkzOWVjODE5OGUiLCJ1c2VySWQiOiI0MzYxODQ2OTcifQ==</vt:lpwstr>
  </property>
</Properties>
</file>