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rPr>
          <w:rFonts w:ascii="宋体" w:hAnsi="宋体"/>
          <w:b/>
          <w:sz w:val="72"/>
          <w:szCs w:val="20"/>
        </w:rPr>
      </w:pPr>
      <w:r/>
      <w:bookmarkStart w:id="0" w:name="_Toc371025703"/>
      <w:r>
        <w:rPr>
          <w:rFonts w:ascii="宋体" w:hAnsi="宋体"/>
          <w:b/>
          <w:sz w:val="72"/>
          <w:szCs w:val="20"/>
        </w:rPr>
      </w:r>
      <w:r/>
    </w:p>
    <w:p>
      <w:pPr>
        <w:pStyle w:val="851"/>
        <w:jc w:val="center"/>
        <w:rPr>
          <w:rFonts w:ascii="宋体" w:hAnsi="宋体"/>
          <w:b/>
          <w:sz w:val="72"/>
          <w:szCs w:val="20"/>
        </w:rPr>
      </w:pP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苏州市高新区政府采购</w:t>
      </w:r>
      <w:r>
        <w:rPr>
          <w:rFonts w:ascii="宋体" w:hAnsi="宋体"/>
          <w:b/>
          <w:sz w:val="72"/>
          <w:szCs w:val="20"/>
        </w:rPr>
      </w:r>
      <w:r/>
    </w:p>
    <w:p>
      <w:pPr>
        <w:pStyle w:val="851"/>
        <w:jc w:val="center"/>
        <w:rPr>
          <w:rFonts w:ascii="宋体" w:hAnsi="宋体"/>
          <w:b/>
          <w:sz w:val="72"/>
          <w:szCs w:val="20"/>
        </w:rPr>
      </w:pPr>
      <w:r>
        <w:rPr>
          <w:rFonts w:hint="eastAsia" w:ascii="宋体" w:hAnsi="宋体"/>
          <w:b/>
          <w:sz w:val="72"/>
          <w:szCs w:val="20"/>
        </w:rPr>
        <w:t xml:space="preserve">招标文件</w:t>
      </w:r>
      <w:r>
        <w:rPr>
          <w:rFonts w:ascii="宋体" w:hAnsi="宋体"/>
          <w:b/>
          <w:sz w:val="72"/>
          <w:szCs w:val="20"/>
        </w:rPr>
      </w:r>
      <w:r/>
    </w:p>
    <w:p>
      <w:pPr>
        <w:pStyle w:val="851"/>
        <w:jc w:val="center"/>
        <w:spacing w:line="360" w:lineRule="auto"/>
        <w:rPr>
          <w:b/>
          <w:szCs w:val="21"/>
        </w:rPr>
      </w:pPr>
      <w:r>
        <w:rPr>
          <w:b/>
          <w:szCs w:val="21"/>
        </w:rPr>
      </w:r>
      <w:r/>
    </w:p>
    <w:p>
      <w:pPr>
        <w:pStyle w:val="851"/>
        <w:jc w:val="center"/>
        <w:spacing w:line="360" w:lineRule="auto"/>
        <w:rPr>
          <w:b/>
          <w:szCs w:val="21"/>
        </w:rPr>
      </w:pPr>
      <w:r>
        <w:rPr>
          <w:b/>
          <w:szCs w:val="21"/>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rFonts w:hint="eastAsia"/>
          <w:b/>
          <w:bCs/>
          <w:sz w:val="32"/>
        </w:rPr>
      </w:pPr>
      <w:r>
        <w:rPr>
          <w:rFonts w:hint="eastAsia"/>
          <w:b/>
          <w:bCs/>
          <w:sz w:val="32"/>
        </w:rPr>
      </w:r>
      <w:r/>
    </w:p>
    <w:p>
      <w:pPr>
        <w:pStyle w:val="851"/>
        <w:ind w:firstLine="1134"/>
        <w:spacing w:line="360" w:lineRule="auto"/>
        <w:rPr>
          <w:b/>
          <w:bCs/>
          <w:sz w:val="32"/>
        </w:rPr>
      </w:pPr>
      <w:r>
        <w:rPr>
          <w:rFonts w:hint="eastAsia"/>
          <w:b/>
          <w:bCs/>
          <w:sz w:val="32"/>
        </w:rPr>
        <w:t xml:space="preserve">招标编号：JSZC-320505-SZJN-G2026-0001</w:t>
      </w:r>
      <w:r>
        <w:rPr>
          <w:b/>
          <w:bCs/>
          <w:sz w:val="32"/>
        </w:rPr>
      </w:r>
      <w:r/>
    </w:p>
    <w:p>
      <w:pPr>
        <w:pStyle w:val="851"/>
        <w:ind w:firstLine="1134"/>
        <w:spacing w:line="360" w:lineRule="auto"/>
        <w:rPr>
          <w:b/>
          <w:bCs/>
          <w:sz w:val="32"/>
        </w:rPr>
      </w:pPr>
      <w:r>
        <w:rPr>
          <w:rFonts w:hint="eastAsia"/>
          <w:b/>
          <w:bCs/>
          <w:sz w:val="32"/>
        </w:rPr>
        <w:t xml:space="preserve">招标项目：</w:t>
      </w:r>
      <w:bookmarkStart w:id="1" w:name="OLE_LINK181"/>
      <w:r/>
      <w:bookmarkStart w:id="2" w:name="OLE_LINK6"/>
      <w:r>
        <w:rPr>
          <w:rFonts w:hint="eastAsia"/>
          <w:b/>
          <w:bCs/>
          <w:sz w:val="32"/>
        </w:rPr>
        <w:t xml:space="preserve">通安镇部分智能化维保服</w:t>
      </w:r>
      <w:bookmarkEnd w:id="1"/>
      <w:r>
        <w:rPr>
          <w:rFonts w:hint="eastAsia"/>
          <w:b/>
          <w:bCs/>
          <w:sz w:val="32"/>
        </w:rPr>
        <w:t xml:space="preserve">务</w:t>
      </w:r>
      <w:bookmarkEnd w:id="2"/>
      <w:r>
        <w:rPr>
          <w:b/>
          <w:bCs/>
          <w:sz w:val="32"/>
        </w:rPr>
      </w:r>
      <w:r/>
    </w:p>
    <w:p>
      <w:pPr>
        <w:pStyle w:val="851"/>
        <w:ind w:firstLine="1134"/>
        <w:spacing w:line="360" w:lineRule="auto"/>
        <w:rPr>
          <w:b/>
          <w:bCs/>
          <w:sz w:val="32"/>
        </w:rPr>
      </w:pPr>
      <w:r>
        <w:rPr>
          <w:rFonts w:hint="eastAsia"/>
          <w:b/>
          <w:bCs/>
          <w:sz w:val="32"/>
        </w:rPr>
        <w:t xml:space="preserve">项目类别：服务类</w:t>
      </w:r>
      <w:r>
        <w:rPr>
          <w:b/>
          <w:bCs/>
          <w:sz w:val="32"/>
        </w:rPr>
      </w:r>
      <w:r/>
    </w:p>
    <w:p>
      <w:pPr>
        <w:pStyle w:val="851"/>
        <w:ind w:firstLine="1134"/>
        <w:spacing w:line="360" w:lineRule="auto"/>
        <w:rPr>
          <w:b/>
          <w:bCs/>
          <w:sz w:val="32"/>
        </w:rPr>
      </w:pPr>
      <w:r>
        <w:rPr>
          <w:rFonts w:hint="eastAsia"/>
          <w:b/>
          <w:bCs/>
          <w:sz w:val="32"/>
        </w:rPr>
        <w:t xml:space="preserve">招标单位：</w:t>
      </w:r>
      <w:bookmarkStart w:id="3" w:name="OLE_LINK182"/>
      <w:r>
        <w:rPr>
          <w:rFonts w:hint="eastAsia"/>
          <w:b/>
          <w:bCs/>
          <w:sz w:val="32"/>
        </w:rPr>
        <w:t xml:space="preserve">苏州高新区（虎丘区）通安镇人民政府</w:t>
      </w:r>
      <w:bookmarkEnd w:id="3"/>
      <w:r>
        <w:rPr>
          <w:b/>
          <w:bCs/>
          <w:sz w:val="32"/>
        </w:rPr>
      </w:r>
      <w:r/>
    </w:p>
    <w:p>
      <w:pPr>
        <w:pStyle w:val="851"/>
        <w:ind w:firstLine="787"/>
        <w:spacing w:line="360" w:lineRule="auto"/>
        <w:rPr>
          <w:b/>
          <w:bCs/>
          <w:sz w:val="32"/>
        </w:rPr>
      </w:pPr>
      <w:r>
        <w:rPr>
          <w:b/>
          <w:bCs/>
          <w:sz w:val="32"/>
        </w:rPr>
      </w:r>
      <w:r/>
    </w:p>
    <w:p>
      <w:pPr>
        <w:pStyle w:val="851"/>
        <w:ind w:firstLine="661"/>
        <w:spacing w:line="360" w:lineRule="auto"/>
        <w:rPr>
          <w:szCs w:val="21"/>
        </w:rPr>
      </w:pPr>
      <w:r>
        <w:rPr>
          <w:szCs w:val="21"/>
        </w:rPr>
      </w:r>
      <w:r/>
    </w:p>
    <w:p>
      <w:pPr>
        <w:pStyle w:val="851"/>
        <w:jc w:val="left"/>
        <w:spacing w:line="360" w:lineRule="auto"/>
        <w:rPr>
          <w:szCs w:val="21"/>
        </w:rPr>
      </w:pPr>
      <w:r>
        <w:rPr>
          <w:szCs w:val="21"/>
        </w:rPr>
      </w:r>
      <w:r/>
    </w:p>
    <w:p>
      <w:pPr>
        <w:pStyle w:val="851"/>
        <w:jc w:val="left"/>
        <w:spacing w:line="360" w:lineRule="auto"/>
        <w:rPr>
          <w:szCs w:val="21"/>
        </w:rPr>
      </w:pPr>
      <w:r>
        <w:rPr>
          <w:szCs w:val="21"/>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b/>
          <w:sz w:val="32"/>
        </w:rPr>
      </w:r>
      <w:r/>
    </w:p>
    <w:p>
      <w:pPr>
        <w:pStyle w:val="851"/>
        <w:jc w:val="center"/>
        <w:spacing w:line="360" w:lineRule="auto"/>
        <w:rPr>
          <w:b/>
          <w:sz w:val="32"/>
        </w:rPr>
      </w:pPr>
      <w:r>
        <w:rPr>
          <w:rFonts w:hint="eastAsia"/>
          <w:b/>
          <w:sz w:val="32"/>
        </w:rPr>
        <w:t xml:space="preserve">苏州久诺招投标咨询服务有限公司</w:t>
      </w:r>
      <w:r>
        <w:rPr>
          <w:b/>
          <w:sz w:val="32"/>
        </w:rPr>
      </w:r>
      <w:r/>
    </w:p>
    <w:p>
      <w:pPr>
        <w:pStyle w:val="851"/>
        <w:jc w:val="center"/>
        <w:spacing w:line="360" w:lineRule="auto"/>
        <w:rPr>
          <w:b/>
          <w:sz w:val="32"/>
        </w:rPr>
      </w:pPr>
      <w:r>
        <w:rPr>
          <w:rFonts w:hint="eastAsia"/>
          <w:b/>
          <w:sz w:val="32"/>
        </w:rPr>
        <w:t xml:space="preserve">二〇二六年四月</w:t>
      </w:r>
      <w:r>
        <w:rPr>
          <w:b/>
          <w:sz w:val="32"/>
        </w:rPr>
      </w:r>
      <w:r/>
    </w:p>
    <w:p>
      <w:pPr>
        <w:pStyle w:val="851"/>
        <w:jc w:val="center"/>
        <w:spacing w:line="360" w:lineRule="auto"/>
        <w:rPr>
          <w:b/>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sz w:val="36"/>
          <w:szCs w:val="36"/>
        </w:rPr>
      </w:r>
      <w:r/>
    </w:p>
    <w:p>
      <w:pPr>
        <w:pStyle w:val="851"/>
        <w:jc w:val="center"/>
        <w:spacing w:line="360" w:lineRule="auto"/>
        <w:rPr>
          <w:b/>
          <w:sz w:val="36"/>
          <w:szCs w:val="36"/>
        </w:rPr>
      </w:pPr>
      <w:r>
        <w:rPr>
          <w:rFonts w:hint="eastAsia"/>
          <w:b/>
          <w:sz w:val="36"/>
          <w:szCs w:val="36"/>
        </w:rPr>
        <w:t xml:space="preserve">前附表</w:t>
      </w:r>
      <w:r>
        <w:rPr>
          <w:b/>
          <w:sz w:val="36"/>
          <w:szCs w:val="36"/>
        </w:rPr>
      </w:r>
      <w:r/>
    </w:p>
    <w:p>
      <w:pPr>
        <w:pStyle w:val="851"/>
      </w:pPr>
      <w:r/>
      <w:r/>
    </w:p>
    <w:tbl>
      <w:tblPr>
        <w:tblW w:w="100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5"/>
        <w:gridCol w:w="759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内               容</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JSZC-320505-SZJN-G2026-0001</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通安镇部分智能化维保服务</w:t>
            </w:r>
            <w:r>
              <w:rPr>
                <w:rFonts w:ascii="宋体" w:hAnsi="宋体"/>
                <w:sz w:val="24"/>
                <w:szCs w:val="24"/>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tabs>
                <w:tab w:val="left" w:pos="252" w:leader="none"/>
              </w:tabs>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采购代理机构</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名称及地址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lang w:val="zh-CN"/>
              </w:rPr>
            </w:pPr>
            <w:r>
              <w:rPr>
                <w:rFonts w:hint="eastAsia" w:ascii="宋体" w:hAnsi="宋体"/>
                <w:sz w:val="24"/>
                <w:szCs w:val="24"/>
                <w:lang w:val="zh-CN"/>
              </w:rPr>
              <w:t xml:space="preserve">名称：苏州久诺招投标咨询服务有限公司</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地址：苏州市高新区狮山路金狮大厦1楼103室</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联系人：张伟</w:t>
            </w:r>
            <w:r>
              <w:rPr>
                <w:rFonts w:ascii="宋体" w:hAnsi="宋体"/>
                <w:sz w:val="24"/>
                <w:szCs w:val="24"/>
                <w:lang w:val="zh-CN"/>
              </w:rPr>
            </w:r>
            <w:r/>
          </w:p>
          <w:p>
            <w:pPr>
              <w:pStyle w:val="851"/>
              <w:jc w:val="left"/>
              <w:spacing w:line="440" w:lineRule="exact"/>
              <w:rPr>
                <w:rFonts w:ascii="宋体" w:hAnsi="宋体"/>
                <w:sz w:val="24"/>
                <w:szCs w:val="24"/>
                <w:lang w:val="zh-CN"/>
              </w:rPr>
            </w:pPr>
            <w:r>
              <w:rPr>
                <w:rFonts w:hint="eastAsia" w:ascii="宋体" w:hAnsi="宋体"/>
                <w:sz w:val="24"/>
                <w:szCs w:val="24"/>
                <w:lang w:val="zh-CN"/>
              </w:rPr>
              <w:t xml:space="preserve">联系电话：</w:t>
            </w:r>
            <w:r>
              <w:rPr>
                <w:rFonts w:ascii="宋体" w:hAnsi="宋体"/>
                <w:sz w:val="24"/>
                <w:szCs w:val="24"/>
                <w:lang w:val="zh-CN"/>
              </w:rPr>
              <w:t xml:space="preserve">0512-63274291</w:t>
            </w:r>
            <w:r>
              <w:rPr>
                <w:rFonts w:ascii="宋体" w:hAnsi="宋体"/>
                <w:sz w:val="24"/>
                <w:szCs w:val="24"/>
                <w:lang w:val="zh-CN"/>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名称：苏州高新区（虎丘区）通安镇人民政府</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通安镇通浒路88号</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联系人：</w:t>
            </w:r>
            <w:bookmarkStart w:id="4" w:name="OLE_LINK7"/>
            <w:r/>
            <w:bookmarkStart w:id="5" w:name="OLE_LINK8"/>
            <w:r>
              <w:rPr>
                <w:rFonts w:ascii="宋体" w:hAnsi="宋体"/>
                <w:sz w:val="24"/>
                <w:szCs w:val="24"/>
              </w:rPr>
              <w:t xml:space="preserve">陶蕾</w:t>
            </w:r>
            <w:r>
              <w:rPr>
                <w:rFonts w:hint="eastAsia" w:ascii="宋体" w:hAnsi="宋体"/>
                <w:sz w:val="24"/>
                <w:szCs w:val="24"/>
              </w:rPr>
              <w:t xml:space="preserve">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联系电话：</w:t>
            </w:r>
            <w:bookmarkEnd w:id="4"/>
            <w:r/>
            <w:bookmarkEnd w:id="5"/>
            <w:r>
              <w:rPr>
                <w:rFonts w:ascii="宋体" w:hAnsi="宋体"/>
                <w:sz w:val="24"/>
                <w:szCs w:val="24"/>
              </w:rPr>
              <w:t xml:space="preserve">0512-66060082</w:t>
            </w:r>
            <w:r>
              <w:rPr>
                <w:rFonts w:hint="eastAsia" w:ascii="宋体" w:hAnsi="宋体"/>
                <w:sz w:val="24"/>
                <w:szCs w:val="24"/>
              </w:rPr>
              <w:t xml:space="preserve"> </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标书组成</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详见招标文件第二章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cs="宋体"/>
                <w:sz w:val="24"/>
                <w:szCs w:val="24"/>
              </w:rPr>
            </w:pPr>
            <w:r>
              <w:rPr>
                <w:rFonts w:hint="eastAsia" w:ascii="宋体" w:hAnsi="宋体"/>
                <w:sz w:val="24"/>
                <w:szCs w:val="24"/>
              </w:rPr>
              <w:t xml:space="preserve">投标保证金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本项目不收取投标保证金</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投标有效期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九十天（日历日）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获取招标文件</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自公告发布之日起5个工作日</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投标文件网上</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提交截止时间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2026年0</w:t>
            </w:r>
            <w:r>
              <w:rPr>
                <w:rFonts w:hint="eastAsia" w:ascii="宋体" w:hAnsi="宋体"/>
                <w:sz w:val="24"/>
                <w:szCs w:val="24"/>
              </w:rPr>
              <w:t xml:space="preserve">5</w:t>
            </w:r>
            <w:r>
              <w:rPr>
                <w:rFonts w:hint="eastAsia" w:ascii="宋体" w:hAnsi="宋体"/>
                <w:sz w:val="24"/>
                <w:szCs w:val="24"/>
              </w:rPr>
              <w:t xml:space="preserve">月</w:t>
            </w:r>
            <w:r>
              <w:rPr>
                <w:rFonts w:hint="eastAsia" w:ascii="宋体" w:hAnsi="宋体"/>
                <w:sz w:val="24"/>
                <w:szCs w:val="24"/>
              </w:rPr>
              <w:t xml:space="preserve">11</w:t>
            </w:r>
            <w:r>
              <w:rPr>
                <w:rFonts w:hint="eastAsia" w:ascii="宋体" w:hAnsi="宋体"/>
                <w:sz w:val="24"/>
                <w:szCs w:val="24"/>
              </w:rPr>
              <w:t xml:space="preserve">日</w:t>
            </w:r>
            <w:r>
              <w:rPr>
                <w:rFonts w:hint="eastAsia" w:ascii="宋体" w:hAnsi="宋体"/>
                <w:sz w:val="24"/>
                <w:szCs w:val="24"/>
              </w:rPr>
              <w:t xml:space="preserve">13</w:t>
            </w:r>
            <w:r>
              <w:rPr>
                <w:rFonts w:hint="eastAsia" w:ascii="宋体" w:hAnsi="宋体"/>
                <w:sz w:val="24"/>
                <w:szCs w:val="24"/>
              </w:rPr>
              <w:t xml:space="preserve">点30分（北京时间） </w:t>
            </w:r>
            <w:r>
              <w:rPr>
                <w:rFonts w:ascii="宋体" w:hAnsi="宋体"/>
                <w:sz w:val="24"/>
                <w:szCs w:val="24"/>
              </w:rPr>
            </w:r>
            <w:r/>
          </w:p>
          <w:p>
            <w:pPr>
              <w:pStyle w:val="851"/>
              <w:jc w:val="left"/>
              <w:spacing w:line="440" w:lineRule="exact"/>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开标时间</w:t>
            </w:r>
            <w:r>
              <w:rPr>
                <w:rFonts w:ascii="宋体" w:hAnsi="宋体"/>
                <w:sz w:val="24"/>
                <w:szCs w:val="24"/>
              </w:rPr>
            </w:r>
            <w:r/>
          </w:p>
          <w:p>
            <w:pPr>
              <w:pStyle w:val="851"/>
              <w:jc w:val="center"/>
              <w:spacing w:line="440" w:lineRule="exact"/>
              <w:rPr>
                <w:rFonts w:ascii="宋体" w:hAnsi="宋体"/>
                <w:sz w:val="24"/>
                <w:szCs w:val="24"/>
              </w:rPr>
            </w:pPr>
            <w:r>
              <w:rPr>
                <w:rFonts w:hint="eastAsia" w:ascii="宋体" w:hAnsi="宋体"/>
                <w:sz w:val="24"/>
                <w:szCs w:val="24"/>
              </w:rPr>
              <w:t xml:space="preserve">开标地点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cs="宋体"/>
                <w:sz w:val="24"/>
                <w:szCs w:val="24"/>
              </w:rPr>
            </w:pPr>
            <w:r>
              <w:rPr>
                <w:rFonts w:hint="eastAsia" w:ascii="宋体" w:hAnsi="宋体" w:cs="宋体"/>
                <w:sz w:val="24"/>
                <w:szCs w:val="24"/>
              </w:rPr>
              <w:t xml:space="preserve">2026年0</w:t>
            </w:r>
            <w:r>
              <w:rPr>
                <w:rFonts w:hint="eastAsia" w:ascii="宋体" w:hAnsi="宋体" w:cs="宋体"/>
                <w:sz w:val="24"/>
                <w:szCs w:val="24"/>
              </w:rPr>
              <w:t xml:space="preserve">5</w:t>
            </w:r>
            <w:r>
              <w:rPr>
                <w:rFonts w:hint="eastAsia" w:ascii="宋体" w:hAnsi="宋体" w:cs="宋体"/>
                <w:sz w:val="24"/>
                <w:szCs w:val="24"/>
              </w:rPr>
              <w:t xml:space="preserve">月</w:t>
            </w:r>
            <w:r>
              <w:rPr>
                <w:rFonts w:hint="eastAsia" w:ascii="宋体" w:hAnsi="宋体" w:cs="宋体"/>
                <w:sz w:val="24"/>
                <w:szCs w:val="24"/>
              </w:rPr>
              <w:t xml:space="preserve">11</w:t>
            </w:r>
            <w:r>
              <w:rPr>
                <w:rFonts w:hint="eastAsia" w:ascii="宋体" w:hAnsi="宋体" w:cs="宋体"/>
                <w:sz w:val="24"/>
                <w:szCs w:val="24"/>
              </w:rPr>
              <w:t xml:space="preserve">日</w:t>
            </w:r>
            <w:r>
              <w:rPr>
                <w:rFonts w:hint="eastAsia" w:ascii="宋体" w:hAnsi="宋体" w:cs="宋体"/>
                <w:sz w:val="24"/>
                <w:szCs w:val="24"/>
              </w:rPr>
              <w:t xml:space="preserve">13</w:t>
            </w:r>
            <w:r>
              <w:rPr>
                <w:rFonts w:hint="eastAsia" w:ascii="宋体" w:hAnsi="宋体" w:cs="宋体"/>
                <w:sz w:val="24"/>
                <w:szCs w:val="24"/>
              </w:rPr>
              <w:t xml:space="preserve">点30分（北京时间）</w:t>
            </w:r>
            <w:r>
              <w:rPr>
                <w:rFonts w:ascii="宋体" w:hAnsi="宋体" w:cs="宋体"/>
                <w:sz w:val="24"/>
                <w:szCs w:val="24"/>
              </w:rPr>
            </w:r>
            <w:r/>
          </w:p>
          <w:p>
            <w:pPr>
              <w:pStyle w:val="851"/>
              <w:jc w:val="left"/>
              <w:spacing w:line="440" w:lineRule="exact"/>
              <w:rPr>
                <w:rFonts w:ascii="宋体" w:hAnsi="宋体" w:cs="宋体"/>
                <w:sz w:val="24"/>
                <w:szCs w:val="24"/>
              </w:rPr>
            </w:pPr>
            <w:r>
              <w:rPr>
                <w:rFonts w:hint="eastAsia" w:ascii="宋体" w:hAnsi="宋体" w:cs="宋体"/>
                <w:sz w:val="24"/>
                <w:szCs w:val="24"/>
              </w:rPr>
              <w:t xml:space="preserve">“苏采云”系统（网址：http://jszfcg.jsczt.cn/）</w:t>
            </w:r>
            <w:r>
              <w:rPr>
                <w:rFonts w:ascii="宋体" w:hAnsi="宋体" w:cs="宋体"/>
                <w:sz w:val="24"/>
                <w:szCs w:val="24"/>
              </w:rPr>
            </w:r>
            <w:r/>
          </w:p>
          <w:p>
            <w:pPr>
              <w:pStyle w:val="851"/>
              <w:jc w:val="left"/>
              <w:spacing w:line="440" w:lineRule="exact"/>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312" w:lineRule="auto"/>
              <w:rPr>
                <w:rFonts w:ascii="宋体" w:hAnsi="宋体"/>
                <w:sz w:val="24"/>
                <w:szCs w:val="24"/>
              </w:rPr>
            </w:pPr>
            <w:r>
              <w:rPr>
                <w:rFonts w:hint="eastAsia" w:ascii="宋体" w:hAnsi="宋体"/>
                <w:sz w:val="24"/>
                <w:szCs w:val="24"/>
              </w:rPr>
              <w:t xml:space="preserve">评标时间</w:t>
            </w:r>
            <w:r>
              <w:rPr>
                <w:rFonts w:ascii="宋体" w:hAnsi="宋体"/>
                <w:sz w:val="24"/>
                <w:szCs w:val="24"/>
              </w:rPr>
            </w:r>
            <w:r/>
          </w:p>
          <w:p>
            <w:pPr>
              <w:pStyle w:val="851"/>
              <w:jc w:val="center"/>
              <w:spacing w:line="312" w:lineRule="auto"/>
              <w:rPr>
                <w:rFonts w:ascii="宋体" w:hAnsi="宋体"/>
                <w:sz w:val="24"/>
                <w:szCs w:val="24"/>
              </w:rPr>
            </w:pPr>
            <w:r>
              <w:rPr>
                <w:rFonts w:hint="eastAsia" w:ascii="宋体" w:hAnsi="宋体"/>
                <w:sz w:val="24"/>
                <w:szCs w:val="24"/>
              </w:rPr>
              <w:t xml:space="preserve">评标地点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cs="Arial"/>
                <w:sz w:val="24"/>
                <w:szCs w:val="24"/>
              </w:rPr>
            </w:pPr>
            <w:r>
              <w:rPr>
                <w:rFonts w:hint="eastAsia" w:ascii="宋体" w:hAnsi="宋体" w:cs="Arial"/>
                <w:sz w:val="24"/>
                <w:szCs w:val="24"/>
              </w:rPr>
              <w:t xml:space="preserve">2026年0</w:t>
            </w:r>
            <w:r>
              <w:rPr>
                <w:rFonts w:hint="eastAsia" w:ascii="宋体" w:hAnsi="宋体" w:cs="Arial"/>
                <w:sz w:val="24"/>
                <w:szCs w:val="24"/>
              </w:rPr>
              <w:t xml:space="preserve">5</w:t>
            </w:r>
            <w:r>
              <w:rPr>
                <w:rFonts w:hint="eastAsia" w:ascii="宋体" w:hAnsi="宋体" w:cs="Arial"/>
                <w:sz w:val="24"/>
                <w:szCs w:val="24"/>
              </w:rPr>
              <w:t xml:space="preserve">月</w:t>
            </w:r>
            <w:r>
              <w:rPr>
                <w:rFonts w:hint="eastAsia" w:ascii="宋体" w:hAnsi="宋体" w:cs="Arial"/>
                <w:sz w:val="24"/>
                <w:szCs w:val="24"/>
              </w:rPr>
              <w:t xml:space="preserve">11</w:t>
            </w:r>
            <w:r>
              <w:rPr>
                <w:rFonts w:hint="eastAsia" w:ascii="宋体" w:hAnsi="宋体" w:cs="Arial"/>
                <w:sz w:val="24"/>
                <w:szCs w:val="24"/>
              </w:rPr>
              <w:t xml:space="preserve">日</w:t>
            </w:r>
            <w:r>
              <w:rPr>
                <w:rFonts w:hint="eastAsia" w:ascii="宋体" w:hAnsi="宋体" w:cs="Arial"/>
                <w:sz w:val="24"/>
                <w:szCs w:val="24"/>
              </w:rPr>
              <w:t xml:space="preserve">13</w:t>
            </w:r>
            <w:r>
              <w:rPr>
                <w:rFonts w:hint="eastAsia" w:ascii="宋体" w:hAnsi="宋体" w:cs="Arial"/>
                <w:sz w:val="24"/>
                <w:szCs w:val="24"/>
              </w:rPr>
              <w:t xml:space="preserve">点30分（北京时间）</w:t>
            </w:r>
            <w:r>
              <w:rPr>
                <w:rFonts w:ascii="宋体" w:hAnsi="宋体" w:cs="Arial"/>
                <w:sz w:val="24"/>
                <w:szCs w:val="24"/>
              </w:rPr>
            </w:r>
            <w:r/>
          </w:p>
          <w:p>
            <w:pPr>
              <w:pStyle w:val="851"/>
              <w:jc w:val="left"/>
              <w:spacing w:line="440" w:lineRule="exact"/>
              <w:rPr>
                <w:rFonts w:ascii="宋体" w:hAnsi="宋体" w:cs="宋体"/>
                <w:sz w:val="24"/>
                <w:szCs w:val="24"/>
              </w:rPr>
            </w:pPr>
            <w:r>
              <w:rPr>
                <w:rFonts w:hint="eastAsia" w:ascii="宋体" w:hAnsi="宋体" w:cs="Arial"/>
                <w:sz w:val="24"/>
                <w:szCs w:val="24"/>
              </w:rPr>
              <w:t xml:space="preserve">苏州市市辖区【狮山科技馆】不见面开标室（虚拟开标室） </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投标文件份数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投标报价本位币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人民币</w:t>
            </w:r>
            <w:r>
              <w:rPr>
                <w:rFonts w:hint="eastAsia"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履约保证金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中标通知书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1169"/>
              <w:ind w:firstLine="0"/>
              <w:spacing w:line="440" w:lineRule="exact"/>
              <w:rPr>
                <w:sz w:val="24"/>
                <w:szCs w:val="24"/>
                <w:lang w:eastAsia="zh-CN"/>
              </w:rPr>
            </w:pPr>
            <w:r>
              <w:rPr>
                <w:rFonts w:hint="eastAsia"/>
                <w:sz w:val="24"/>
                <w:szCs w:val="24"/>
                <w:lang w:eastAsia="zh-CN"/>
              </w:rPr>
              <w:t xml:space="preserve">确定出中标人后，采购代理机构在法定时间内向中标人发出中标通知书。中标通知书将成为合同的组成部分。</w:t>
            </w:r>
            <w:r>
              <w:rPr>
                <w:sz w:val="24"/>
                <w:szCs w:val="24"/>
                <w:lang w:eastAsia="zh-CN"/>
              </w:rPr>
            </w:r>
            <w:r/>
          </w:p>
          <w:p>
            <w:pPr>
              <w:pStyle w:val="1169"/>
              <w:ind w:firstLine="0"/>
              <w:spacing w:line="440" w:lineRule="exact"/>
              <w:rPr>
                <w:sz w:val="24"/>
                <w:szCs w:val="24"/>
                <w:lang w:eastAsia="zh-CN"/>
              </w:rPr>
            </w:pPr>
            <w:r>
              <w:rPr>
                <w:rFonts w:hint="eastAsia"/>
                <w:b/>
                <w:sz w:val="24"/>
                <w:szCs w:val="24"/>
                <w:lang w:eastAsia="zh-CN"/>
              </w:rPr>
              <w:t xml:space="preserve">请中标人在中标结果公告届满之日起30日内,使用CA证书登录“苏采云”系统及时下载中标通知书。</w:t>
            </w:r>
            <w:r>
              <w:rPr>
                <w:sz w:val="24"/>
                <w:szCs w:val="24"/>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导致废标因素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出现下列情形之一的，为废标：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（一）符合专业条件的投标人或者对招标文件作实质响应的投标人不足三家的；（二）出现影响采购公正的违法、违规行为的；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（三）投标人的报价均超过了采购预算，采购人不能支付的； </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（四）因重大变故，采购任务取消的。</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5" w:type="dxa"/>
            <w:vAlign w:val="center"/>
            <w:textDirection w:val="lrTb"/>
            <w:noWrap/>
          </w:tcPr>
          <w:p>
            <w:pPr>
              <w:pStyle w:val="851"/>
              <w:jc w:val="center"/>
              <w:spacing w:line="440" w:lineRule="exact"/>
              <w:rPr>
                <w:rFonts w:ascii="宋体" w:hAnsi="宋体"/>
                <w:sz w:val="24"/>
                <w:szCs w:val="24"/>
              </w:rPr>
            </w:pPr>
            <w:r>
              <w:rPr>
                <w:rFonts w:hint="eastAsia" w:ascii="宋体" w:hAnsi="宋体"/>
                <w:sz w:val="24"/>
                <w:szCs w:val="24"/>
              </w:rPr>
              <w:t xml:space="preserve">导致无效标因素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tcPr>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（四）投标文件含有采购人不能接受的附加条件的；</w:t>
            </w:r>
            <w:r>
              <w:rPr>
                <w:rFonts w:ascii="宋体" w:hAnsi="宋体"/>
                <w:sz w:val="24"/>
                <w:szCs w:val="24"/>
              </w:rPr>
            </w:r>
            <w:r/>
          </w:p>
          <w:p>
            <w:pPr>
              <w:pStyle w:val="851"/>
              <w:jc w:val="left"/>
              <w:spacing w:line="440" w:lineRule="exact"/>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rPr>
                <w:rFonts w:ascii="宋体" w:hAnsi="宋体"/>
                <w:sz w:val="24"/>
                <w:szCs w:val="24"/>
              </w:rPr>
            </w:r>
            <w:r/>
          </w:p>
        </w:tc>
      </w:tr>
    </w:tbl>
    <w:p>
      <w:pPr>
        <w:pStyle w:val="1098"/>
        <w:ind w:firstLine="0"/>
        <w:jc w:val="center"/>
        <w:spacing w:line="360" w:lineRule="auto"/>
        <w:rPr>
          <w:rFonts w:ascii="宋体" w:hAnsi="宋体" w:eastAsia="宋体" w:cs="宋体"/>
          <w:b/>
          <w:sz w:val="52"/>
          <w:lang w:eastAsia="zh-CN"/>
        </w:rPr>
      </w:pPr>
      <w:r>
        <w:rPr>
          <w:rFonts w:ascii="宋体" w:hAnsi="宋体" w:eastAsia="宋体" w:cs="宋体"/>
          <w:b/>
          <w:sz w:val="52"/>
          <w:lang w:eastAsia="zh-CN"/>
        </w:rPr>
      </w:r>
      <w:r/>
    </w:p>
    <w:p>
      <w:pPr>
        <w:pStyle w:val="1098"/>
        <w:ind w:firstLine="0"/>
        <w:jc w:val="center"/>
        <w:spacing w:line="360" w:lineRule="auto"/>
        <w:rPr>
          <w:rFonts w:ascii="宋体" w:hAnsi="宋体" w:eastAsia="宋体" w:cs="宋体"/>
          <w:b/>
          <w:sz w:val="52"/>
          <w:lang w:eastAsia="zh-CN"/>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b/>
          <w:sz w:val="52"/>
          <w:lang w:eastAsia="zh-CN"/>
        </w:rPr>
      </w:r>
      <w:r/>
    </w:p>
    <w:p>
      <w:pPr>
        <w:pStyle w:val="851"/>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51"/>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rPr>
          <w:rFonts w:ascii="宋体" w:hAnsi="宋体"/>
          <w:b/>
          <w:sz w:val="52"/>
          <w:szCs w:val="52"/>
        </w:rPr>
      </w:r>
      <w:r/>
    </w:p>
    <w:p>
      <w:pPr>
        <w:pStyle w:val="851"/>
        <w:jc w:val="center"/>
        <w:tabs>
          <w:tab w:val="left" w:pos="315" w:leader="none"/>
          <w:tab w:val="center" w:pos="4153" w:leader="none"/>
        </w:tabs>
        <w:rPr>
          <w:rFonts w:ascii="宋体" w:hAnsi="宋体"/>
          <w:b/>
          <w:sz w:val="52"/>
          <w:szCs w:val="52"/>
        </w:rPr>
      </w:pPr>
      <w:r>
        <w:rPr>
          <w:rFonts w:ascii="宋体" w:hAnsi="宋体"/>
          <w:b/>
          <w:sz w:val="52"/>
          <w:szCs w:val="52"/>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第一章  </w:t>
      </w:r>
      <w:bookmarkStart w:id="6" w:name="_Hlk156918814"/>
      <w:r>
        <w:rPr>
          <w:rFonts w:hint="eastAsia" w:eastAsia="宋体"/>
          <w:color w:val="000000"/>
          <w:sz w:val="36"/>
          <w:lang w:eastAsia="zh-CN"/>
        </w:rPr>
        <w:t xml:space="preserve">投标邀请函</w:t>
      </w:r>
      <w:bookmarkEnd w:id="6"/>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第二章  投标人须知</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第三章  投标文件格式</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第四章  招标书</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第五章  合同文本</w:t>
      </w:r>
      <w:r>
        <w:rPr>
          <w:rFonts w:eastAsia="宋体"/>
          <w:color w:val="000000"/>
          <w:sz w:val="36"/>
          <w:lang w:eastAsia="zh-CN"/>
        </w:rPr>
      </w:r>
      <w:r/>
    </w:p>
    <w:p>
      <w:pPr>
        <w:pStyle w:val="1120"/>
        <w:ind w:firstLine="720"/>
        <w:spacing w:after="312" w:line="480" w:lineRule="auto"/>
        <w:tabs>
          <w:tab w:val="right" w:pos="8302" w:leader="dot"/>
        </w:tabs>
        <w:rPr>
          <w:rFonts w:eastAsia="宋体"/>
          <w:color w:val="000000"/>
          <w:sz w:val="36"/>
          <w:lang w:eastAsia="zh-CN"/>
        </w:rPr>
      </w:pPr>
      <w:r>
        <w:rPr>
          <w:rFonts w:hint="eastAsia" w:eastAsia="宋体"/>
          <w:color w:val="000000"/>
          <w:sz w:val="36"/>
          <w:lang w:eastAsia="zh-CN"/>
        </w:rPr>
        <w:t xml:space="preserve">第六章  评标办法及评分标准</w:t>
      </w:r>
      <w:r>
        <w:rPr>
          <w:rFonts w:eastAsia="宋体"/>
          <w:color w:val="000000"/>
          <w:sz w:val="36"/>
          <w:lang w:eastAsia="zh-CN"/>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rFonts w:ascii="宋体" w:hAnsi="宋体"/>
          <w:b/>
          <w:bCs/>
          <w:caps/>
          <w:sz w:val="36"/>
          <w:szCs w:val="36"/>
        </w:rPr>
      </w:pPr>
      <w:r>
        <w:rPr>
          <w:rFonts w:ascii="宋体" w:hAnsi="宋体"/>
          <w:b/>
          <w:bCs/>
          <w:caps/>
          <w:sz w:val="36"/>
          <w:szCs w:val="36"/>
        </w:rPr>
      </w:r>
      <w:r/>
    </w:p>
    <w:p>
      <w:pPr>
        <w:pStyle w:val="851"/>
        <w:jc w:val="center"/>
        <w:spacing w:after="156" w:line="360" w:lineRule="auto"/>
        <w:rPr>
          <w:b/>
          <w:bCs/>
          <w:caps/>
          <w:sz w:val="36"/>
          <w:szCs w:val="36"/>
        </w:rPr>
      </w:pPr>
      <w:r>
        <w:rPr>
          <w:b/>
          <w:bCs/>
          <w:caps/>
          <w:sz w:val="36"/>
          <w:szCs w:val="36"/>
        </w:rPr>
      </w:r>
      <w:r/>
    </w:p>
    <w:p>
      <w:pPr>
        <w:pStyle w:val="851"/>
        <w:jc w:val="center"/>
        <w:spacing w:after="156" w:line="360" w:lineRule="auto"/>
        <w:rPr>
          <w:b/>
          <w:bCs/>
          <w:caps/>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sz w:val="36"/>
          <w:szCs w:val="36"/>
        </w:rPr>
      </w:r>
      <w:r/>
    </w:p>
    <w:p>
      <w:pPr>
        <w:pStyle w:val="851"/>
        <w:jc w:val="center"/>
        <w:spacing w:after="156" w:line="360" w:lineRule="auto"/>
        <w:rPr>
          <w:sz w:val="36"/>
          <w:szCs w:val="36"/>
        </w:rPr>
      </w:pPr>
      <w:r/>
      <w:bookmarkStart w:id="7" w:name="OLE_LINK10"/>
      <w:r/>
      <w:bookmarkStart w:id="8" w:name="OLE_LINK9"/>
      <w:r>
        <w:rPr>
          <w:rFonts w:hint="eastAsia"/>
          <w:b/>
          <w:bCs/>
          <w:caps/>
          <w:sz w:val="36"/>
          <w:szCs w:val="36"/>
        </w:rPr>
        <w:t xml:space="preserve">第一章</w:t>
      </w:r>
      <w:bookmarkEnd w:id="0"/>
      <w:r>
        <w:rPr>
          <w:rFonts w:hint="eastAsia"/>
          <w:b/>
          <w:bCs/>
          <w:sz w:val="36"/>
          <w:szCs w:val="36"/>
        </w:rPr>
        <w:t xml:space="preserve">投标邀请函</w:t>
      </w:r>
      <w:r>
        <w:rPr>
          <w:sz w:val="36"/>
          <w:szCs w:val="36"/>
        </w:rPr>
      </w:r>
      <w:r/>
    </w:p>
    <w:p>
      <w:pPr>
        <w:pStyle w:val="851"/>
        <w:ind w:firstLine="422"/>
        <w:spacing w:line="360" w:lineRule="auto"/>
        <w:rPr>
          <w:rFonts w:ascii="宋体" w:hAnsi="宋体"/>
          <w:b/>
          <w:sz w:val="24"/>
          <w:szCs w:val="24"/>
        </w:rPr>
      </w:pPr>
      <w:r>
        <w:rPr>
          <w:rFonts w:hint="eastAsia" w:ascii="宋体" w:hAnsi="宋体"/>
          <w:b/>
          <w:sz w:val="24"/>
          <w:szCs w:val="24"/>
        </w:rPr>
        <w:t xml:space="preserve">项目概况：</w:t>
      </w:r>
      <w:r>
        <w:rPr>
          <w:rFonts w:hint="eastAsia" w:ascii="宋体" w:hAnsi="宋体"/>
          <w:b/>
          <w:sz w:val="24"/>
          <w:szCs w:val="24"/>
          <w:u w:val="single"/>
        </w:rPr>
        <w:t xml:space="preserve">通安镇部分智能化维保服务</w:t>
      </w:r>
      <w:r>
        <w:rPr>
          <w:rFonts w:hint="eastAsia" w:ascii="宋体" w:hAnsi="宋体"/>
          <w:b/>
          <w:sz w:val="24"/>
          <w:szCs w:val="24"/>
        </w:rPr>
        <w:t xml:space="preserve">招标项目的潜在投标人应在</w:t>
      </w:r>
      <w:r>
        <w:rPr>
          <w:rFonts w:hint="eastAsia" w:ascii="宋体" w:hAnsi="宋体"/>
          <w:b/>
          <w:sz w:val="24"/>
          <w:szCs w:val="24"/>
          <w:u w:val="single"/>
        </w:rPr>
        <w:t xml:space="preserve"> </w:t>
      </w:r>
      <w:r>
        <w:rPr>
          <w:rFonts w:hint="eastAsia" w:ascii="宋体" w:hAnsi="宋体"/>
          <w:b/>
          <w:sz w:val="24"/>
          <w:szCs w:val="24"/>
          <w:u w:val="single"/>
        </w:rPr>
        <w:t xml:space="preserve">苏</w:t>
      </w:r>
      <w:r>
        <w:rPr>
          <w:rFonts w:hint="eastAsia" w:ascii="宋体" w:hAnsi="宋体"/>
          <w:b/>
          <w:sz w:val="24"/>
          <w:szCs w:val="24"/>
          <w:u w:val="single"/>
        </w:rPr>
        <w:t xml:space="preserve">采</w:t>
      </w:r>
      <w:r>
        <w:rPr>
          <w:rFonts w:hint="eastAsia" w:ascii="宋体" w:hAnsi="宋体"/>
          <w:b/>
          <w:sz w:val="24"/>
          <w:szCs w:val="24"/>
          <w:u w:val="single"/>
        </w:rPr>
        <w:t xml:space="preserve">云</w:t>
      </w:r>
      <w:r>
        <w:rPr>
          <w:rFonts w:hint="eastAsia" w:ascii="宋体" w:hAnsi="宋体"/>
          <w:b/>
          <w:sz w:val="24"/>
          <w:szCs w:val="24"/>
          <w:u w:val="single"/>
        </w:rPr>
        <w:t xml:space="preserve">系统</w:t>
      </w:r>
      <w:r>
        <w:rPr>
          <w:rFonts w:hint="eastAsia" w:ascii="宋体" w:hAnsi="宋体"/>
          <w:b/>
          <w:sz w:val="24"/>
          <w:szCs w:val="24"/>
          <w:u w:val="single"/>
        </w:rPr>
        <w:t xml:space="preserve"> </w:t>
      </w:r>
      <w:r>
        <w:rPr>
          <w:rFonts w:hint="eastAsia" w:ascii="宋体" w:hAnsi="宋体"/>
          <w:b/>
          <w:sz w:val="24"/>
          <w:szCs w:val="24"/>
        </w:rPr>
        <w:t xml:space="preserve">获取招标文件，并于</w:t>
      </w:r>
      <w:r>
        <w:rPr>
          <w:rFonts w:hint="eastAsia" w:ascii="宋体" w:hAnsi="宋体"/>
          <w:b/>
          <w:sz w:val="24"/>
          <w:szCs w:val="24"/>
          <w:u w:val="single"/>
        </w:rPr>
        <w:t xml:space="preserve">2026年0</w:t>
      </w:r>
      <w:r>
        <w:rPr>
          <w:rFonts w:hint="eastAsia" w:ascii="宋体" w:hAnsi="宋体"/>
          <w:b/>
          <w:sz w:val="24"/>
          <w:szCs w:val="24"/>
          <w:u w:val="single"/>
        </w:rPr>
        <w:t xml:space="preserve">5</w:t>
      </w:r>
      <w:r>
        <w:rPr>
          <w:rFonts w:hint="eastAsia" w:ascii="宋体" w:hAnsi="宋体"/>
          <w:b/>
          <w:sz w:val="24"/>
          <w:szCs w:val="24"/>
          <w:u w:val="single"/>
        </w:rPr>
        <w:t xml:space="preserve">月</w:t>
      </w:r>
      <w:r>
        <w:rPr>
          <w:rFonts w:hint="eastAsia" w:ascii="宋体" w:hAnsi="宋体"/>
          <w:b/>
          <w:sz w:val="24"/>
          <w:szCs w:val="24"/>
          <w:u w:val="single"/>
        </w:rPr>
        <w:t xml:space="preserve">11</w:t>
      </w:r>
      <w:r>
        <w:rPr>
          <w:rFonts w:hint="eastAsia" w:ascii="宋体" w:hAnsi="宋体"/>
          <w:b/>
          <w:sz w:val="24"/>
          <w:szCs w:val="24"/>
          <w:u w:val="single"/>
        </w:rPr>
        <w:t xml:space="preserve">日</w:t>
      </w:r>
      <w:r>
        <w:rPr>
          <w:rFonts w:hint="eastAsia" w:ascii="宋体" w:hAnsi="宋体"/>
          <w:b/>
          <w:sz w:val="24"/>
          <w:szCs w:val="24"/>
          <w:u w:val="single"/>
        </w:rPr>
        <w:t xml:space="preserve">13</w:t>
      </w:r>
      <w:r>
        <w:rPr>
          <w:rFonts w:hint="eastAsia" w:ascii="宋体" w:hAnsi="宋体"/>
          <w:b/>
          <w:sz w:val="24"/>
          <w:szCs w:val="24"/>
          <w:u w:val="single"/>
        </w:rPr>
        <w:t xml:space="preserve">点30分（北京时间）</w:t>
      </w:r>
      <w:r>
        <w:rPr>
          <w:rFonts w:hint="eastAsia" w:ascii="宋体" w:hAnsi="宋体"/>
          <w:b/>
          <w:sz w:val="24"/>
          <w:szCs w:val="24"/>
        </w:rPr>
        <w:t xml:space="preserve">前递交投标文件。</w:t>
      </w:r>
      <w:r>
        <w:rPr>
          <w:rFonts w:ascii="宋体" w:hAnsi="宋体"/>
          <w:b/>
          <w:sz w:val="24"/>
          <w:szCs w:val="24"/>
        </w:rPr>
      </w:r>
      <w:r/>
    </w:p>
    <w:p>
      <w:pPr>
        <w:pStyle w:val="851"/>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r>
        <w:rPr>
          <w:rFonts w:ascii="宋体" w:hAnsi="宋体" w:cs="宋体"/>
          <w:b/>
          <w:bCs/>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项目编号：JSZC-320505-SZJN-G2026-0001</w:t>
      </w:r>
      <w:r>
        <w:rPr>
          <w:rFonts w:ascii="宋体" w:hAnsi="宋体" w:cs="宋体"/>
          <w:sz w:val="24"/>
          <w:szCs w:val="24"/>
        </w:rPr>
      </w:r>
      <w:r/>
    </w:p>
    <w:p>
      <w:pPr>
        <w:pStyle w:val="851"/>
        <w:ind w:firstLine="420"/>
        <w:spacing w:line="360" w:lineRule="auto"/>
        <w:rPr>
          <w:rFonts w:ascii="宋体" w:hAnsi="宋体" w:cs="宋体"/>
          <w:sz w:val="24"/>
          <w:szCs w:val="24"/>
        </w:rPr>
        <w:outlineLvl w:val="0"/>
      </w:pPr>
      <w:r>
        <w:rPr>
          <w:rFonts w:hint="eastAsia" w:ascii="宋体" w:hAnsi="宋体" w:cs="宋体"/>
          <w:sz w:val="24"/>
          <w:szCs w:val="24"/>
        </w:rPr>
        <w:t xml:space="preserve">项目名称：通安镇部分智能化维保服务</w:t>
      </w:r>
      <w:r>
        <w:rPr>
          <w:rFonts w:ascii="宋体" w:hAnsi="宋体" w:cs="宋体"/>
          <w:sz w:val="24"/>
          <w:szCs w:val="24"/>
        </w:rPr>
      </w:r>
      <w:r/>
    </w:p>
    <w:p>
      <w:pPr>
        <w:pStyle w:val="851"/>
        <w:ind w:firstLine="420"/>
        <w:jc w:val="left"/>
        <w:spacing w:line="360" w:lineRule="auto"/>
        <w:rPr>
          <w:rFonts w:ascii="宋体" w:hAnsi="宋体" w:cs="宋体"/>
          <w:sz w:val="24"/>
          <w:szCs w:val="24"/>
        </w:rPr>
      </w:pPr>
      <w:r>
        <w:rPr>
          <w:rFonts w:hint="eastAsia" w:ascii="宋体" w:hAnsi="宋体" w:cs="宋体"/>
          <w:sz w:val="24"/>
          <w:szCs w:val="24"/>
        </w:rPr>
        <w:t xml:space="preserve">预算金额：人民币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w:t>
      </w:r>
      <w:r>
        <w:rPr>
          <w:rFonts w:hint="eastAsia" w:ascii="宋体" w:hAnsi="宋体" w:cs="宋体"/>
          <w:sz w:val="24"/>
          <w:szCs w:val="24"/>
        </w:rPr>
        <w:t xml:space="preserve">（含大件维修更换固定费用30万元，大件更换最终费用按实际更换费用进行结算）。</w:t>
      </w:r>
      <w:r>
        <w:rPr>
          <w:rFonts w:ascii="宋体" w:hAnsi="宋体" w:cs="宋体"/>
          <w:sz w:val="24"/>
          <w:szCs w:val="24"/>
        </w:rPr>
      </w:r>
      <w:r/>
    </w:p>
    <w:p>
      <w:pPr>
        <w:pStyle w:val="851"/>
        <w:numPr>
          <w:ilvl w:val="0"/>
          <w:numId w:val="6"/>
        </w:numPr>
        <w:jc w:val="left"/>
        <w:spacing w:line="360" w:lineRule="auto"/>
        <w:rPr>
          <w:rFonts w:ascii="宋体" w:hAnsi="宋体" w:cs="宋体"/>
          <w:b/>
          <w:bCs/>
          <w:sz w:val="24"/>
          <w:szCs w:val="24"/>
        </w:rPr>
      </w:pPr>
      <w:r>
        <w:rPr>
          <w:rFonts w:hint="eastAsia" w:ascii="宋体" w:hAnsi="宋体" w:cs="宋体"/>
          <w:b/>
          <w:bCs/>
          <w:sz w:val="24"/>
          <w:szCs w:val="24"/>
        </w:rPr>
        <w:t xml:space="preserve">采购需求：</w:t>
      </w:r>
      <w:r>
        <w:rPr>
          <w:rFonts w:ascii="宋体" w:hAnsi="宋体" w:cs="宋体"/>
          <w:b/>
          <w:bCs/>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根据对通安镇部分智能化设备现场的实际踏勘，结合需求单位要求，分析了本项目实施中的主要内容，并制定了相应的对策措施。</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服务内容如下：</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1、视频信号线路、摄像机供电线路的检测、故障排除、隐患排查；</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2、所有接口、线路接口的焊点的检测、视频头的更换等；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3、监控系统前端摄像机的维护、位置调整、设备维修及更换、故障排除等；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4、监控主机设备检测、设备除尘、系统维护、设备维护、系统扩容、故障排除等；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5、矩阵、监视器图像画面的切换、轮巡等；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6、监控软件检测、软件升级、软件维护、数据备份、故障排除等。</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7、所有设备包含升级、维修、更换等费用。</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8、派遣专业技术人员驻场进行日常服务，排除系统故障，保障整个系统的正常运行。</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9、政府举行重大事件和重大活动，配合技术支持和现场保障服务。</w:t>
      </w:r>
      <w:r>
        <w:rPr>
          <w:rFonts w:ascii="宋体" w:hAnsi="宋体" w:cs="宋体"/>
          <w:sz w:val="24"/>
          <w:szCs w:val="24"/>
        </w:rPr>
      </w:r>
      <w:r/>
    </w:p>
    <w:p>
      <w:pPr>
        <w:pStyle w:val="851"/>
        <w:ind w:firstLine="547"/>
        <w:spacing w:line="360" w:lineRule="auto"/>
        <w:tabs>
          <w:tab w:val="left" w:pos="0" w:leader="none"/>
        </w:tabs>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合同履行</w:t>
      </w:r>
      <w:r>
        <w:rPr>
          <w:rFonts w:hint="eastAsia" w:ascii="宋体" w:hAnsi="宋体" w:cs="宋体"/>
          <w:sz w:val="24"/>
          <w:szCs w:val="24"/>
        </w:rPr>
        <w:t xml:space="preserve">期限：三年</w:t>
      </w:r>
      <w:r>
        <w:rPr>
          <w:rFonts w:hint="eastAsia" w:ascii="宋体" w:hAnsi="宋体" w:cs="宋体"/>
          <w:sz w:val="24"/>
          <w:szCs w:val="24"/>
        </w:rPr>
        <w:t xml:space="preserve">。</w:t>
      </w:r>
      <w:r>
        <w:rPr>
          <w:rFonts w:ascii="宋体" w:hAnsi="宋体" w:cs="宋体"/>
          <w:sz w:val="24"/>
          <w:szCs w:val="24"/>
        </w:rPr>
      </w:r>
      <w:r/>
    </w:p>
    <w:p>
      <w:pPr>
        <w:pStyle w:val="851"/>
        <w:ind w:firstLine="547"/>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人员配备及要求：要求外包维保单位配备人员12名，</w:t>
      </w:r>
      <w:r>
        <w:rPr>
          <w:rFonts w:hint="eastAsia" w:ascii="宋体" w:hAnsi="宋体" w:cs="宋体"/>
          <w:sz w:val="24"/>
          <w:szCs w:val="24"/>
        </w:rPr>
        <w:t xml:space="preserve">具体</w:t>
      </w:r>
      <w:r>
        <w:rPr>
          <w:rFonts w:hint="eastAsia" w:ascii="宋体" w:hAnsi="宋体" w:cs="宋体"/>
          <w:sz w:val="24"/>
          <w:szCs w:val="24"/>
        </w:rPr>
        <w:t xml:space="preserve">要求</w:t>
      </w:r>
      <w:r>
        <w:rPr>
          <w:rFonts w:hint="eastAsia" w:ascii="宋体" w:hAnsi="宋体" w:cs="宋体"/>
          <w:sz w:val="24"/>
          <w:szCs w:val="24"/>
        </w:rPr>
        <w:t xml:space="preserve">详见招标文件。</w:t>
      </w:r>
      <w:r/>
    </w:p>
    <w:p>
      <w:pPr>
        <w:pStyle w:val="851"/>
        <w:ind w:firstLine="547"/>
        <w:spacing w:line="360" w:lineRule="auto"/>
        <w:tabs>
          <w:tab w:val="left" w:pos="0" w:leader="none"/>
        </w:tabs>
        <w:rPr>
          <w:rFonts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rPr>
        <w:t xml:space="preserve">智能化设备维修和保养服务范围</w:t>
      </w:r>
      <w:r>
        <w:rPr>
          <w:rFonts w:hint="eastAsia" w:ascii="宋体" w:hAnsi="宋体" w:cs="宋体"/>
          <w:sz w:val="24"/>
          <w:szCs w:val="24"/>
        </w:rPr>
        <w:t xml:space="preserve">具体要求详见招标文件。</w:t>
      </w:r>
      <w:r>
        <w:rPr>
          <w:rFonts w:ascii="宋体" w:hAnsi="宋体" w:cs="宋体"/>
          <w:sz w:val="24"/>
          <w:szCs w:val="24"/>
        </w:rPr>
      </w:r>
      <w:r/>
    </w:p>
    <w:p>
      <w:pPr>
        <w:pStyle w:val="851"/>
        <w:spacing w:line="360" w:lineRule="auto"/>
        <w:rPr>
          <w:rFonts w:ascii="宋体" w:hAnsi="宋体" w:cs="宋体"/>
          <w:b/>
          <w:sz w:val="24"/>
          <w:szCs w:val="24"/>
        </w:rPr>
      </w:pPr>
      <w:r>
        <w:rPr>
          <w:rFonts w:hint="eastAsia" w:ascii="宋体" w:hAnsi="宋体" w:cs="宋体"/>
          <w:b/>
          <w:sz w:val="24"/>
          <w:szCs w:val="24"/>
        </w:rPr>
        <w:t xml:space="preserve">三、申请人的资格要求：</w:t>
      </w:r>
      <w:r>
        <w:rPr>
          <w:rFonts w:ascii="宋体" w:hAnsi="宋体" w:cs="宋体"/>
          <w:b/>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1.满足《中华人民共和国政府采购法》第二十二条规定:</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（1）具有独立承担民事责任的能力；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（2）具有良好的商业信誉和健全的财务会计制度；</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（3）具有履行合同所必须的设备和专业技术能力；</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（4）有依法缴纳税收和社会保障资金的良好记录；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（5）参加政府采购活动前三年内,在经营活动中没有重大违法记录；</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（6）符合法律、行政法规规定的其他条件；</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注：单位负责人为同一人或者存在直接控股、管理关系的不同供应商，不得参加同一合同项下的政府采购活动。</w:t>
      </w:r>
      <w:r>
        <w:rPr>
          <w:rFonts w:cs="宋体"/>
          <w:bCs/>
          <w:szCs w:val="24"/>
        </w:rPr>
      </w:r>
      <w:r/>
    </w:p>
    <w:p>
      <w:pPr>
        <w:pStyle w:val="856"/>
        <w:spacing w:line="360" w:lineRule="auto"/>
        <w:rPr>
          <w:rFonts w:eastAsia="宋体"/>
          <w:bCs/>
          <w:szCs w:val="24"/>
          <w:lang w:eastAsia="zh-CN"/>
        </w:rPr>
      </w:pPr>
      <w:r>
        <w:rPr>
          <w:rFonts w:hint="eastAsia" w:eastAsia="宋体"/>
          <w:bCs/>
          <w:szCs w:val="24"/>
          <w:lang w:eastAsia="zh-CN"/>
        </w:rPr>
        <w:t xml:space="preserve">2.落实政府采购政策需满足的资格要求：</w:t>
      </w:r>
      <w:r>
        <w:rPr>
          <w:rFonts w:eastAsia="宋体"/>
          <w:bCs/>
          <w:szCs w:val="24"/>
          <w:lang w:eastAsia="zh-CN"/>
        </w:rPr>
      </w:r>
      <w:r/>
    </w:p>
    <w:p>
      <w:pPr>
        <w:pStyle w:val="1129"/>
        <w:ind w:firstLine="420"/>
        <w:jc w:val="both"/>
        <w:spacing w:before="0" w:beforeAutospacing="0" w:after="0" w:afterAutospacing="0" w:line="360" w:lineRule="auto"/>
        <w:widowControl/>
        <w:rPr>
          <w:rFonts w:cs="宋体"/>
          <w:bCs/>
          <w:szCs w:val="24"/>
        </w:rPr>
      </w:pPr>
      <w:r/>
      <w:bookmarkStart w:id="9" w:name="OLE_LINK184"/>
      <w:r>
        <w:rPr>
          <w:rFonts w:hint="eastAsia" w:cs="宋体"/>
          <w:bCs/>
          <w:szCs w:val="24"/>
        </w:rPr>
        <w:t xml:space="preserve">（1）本项目不专门面向中小企业采购，本项目所属行业为其他未列明</w:t>
      </w:r>
      <w:r>
        <w:rPr>
          <w:rFonts w:cs="宋体"/>
          <w:bCs/>
          <w:szCs w:val="24"/>
        </w:rPr>
        <w:t xml:space="preserve">行业</w:t>
      </w:r>
      <w:r>
        <w:rPr>
          <w:rFonts w:hint="eastAsia" w:cs="宋体"/>
          <w:bCs/>
          <w:szCs w:val="24"/>
        </w:rPr>
        <w:t xml:space="preserve">。</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cs="宋体"/>
          <w:bCs/>
          <w:szCs w:val="24"/>
        </w:rPr>
      </w:r>
      <w:r/>
    </w:p>
    <w:p>
      <w:pPr>
        <w:pStyle w:val="851"/>
        <w:ind w:firstLine="420"/>
        <w:spacing w:line="360" w:lineRule="auto"/>
        <w:rPr>
          <w:rFonts w:ascii="宋体" w:hAnsi="宋体" w:cs="宋体"/>
          <w:bCs/>
          <w:sz w:val="24"/>
          <w:szCs w:val="24"/>
        </w:rPr>
      </w:pPr>
      <w:r/>
      <w:bookmarkEnd w:id="9"/>
      <w:r>
        <w:rPr>
          <w:rFonts w:hint="eastAsia" w:ascii="宋体" w:hAnsi="宋体" w:cs="宋体"/>
          <w:bCs/>
          <w:sz w:val="24"/>
          <w:szCs w:val="24"/>
        </w:rPr>
        <w:t xml:space="preserve">3.本项目的特定资格要求：</w:t>
      </w:r>
      <w:r>
        <w:rPr>
          <w:rFonts w:ascii="宋体" w:hAnsi="宋体" w:cs="宋体"/>
          <w:bCs/>
          <w:sz w:val="24"/>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（1）未被“信用中国”网站（WWW.creditchina.gov.cn）或“中国政府采购网”网站（www.ccgp.gov.cn）列入失信被执行人、重大税收违法案件当事人名单、政府采购严重失信行。</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（2）本项目不接受联合体投标。</w:t>
      </w:r>
      <w:r>
        <w:rPr>
          <w:rFonts w:cs="宋体"/>
          <w:bCs/>
          <w:szCs w:val="24"/>
        </w:rPr>
      </w:r>
      <w:r/>
    </w:p>
    <w:p>
      <w:pPr>
        <w:pStyle w:val="1129"/>
        <w:ind w:firstLine="420"/>
        <w:jc w:val="both"/>
        <w:spacing w:before="0" w:beforeAutospacing="0" w:after="0" w:afterAutospacing="0" w:line="360" w:lineRule="auto"/>
        <w:widowControl/>
        <w:rPr>
          <w:rFonts w:cs="宋体"/>
          <w:bCs/>
          <w:szCs w:val="24"/>
        </w:rPr>
      </w:pPr>
      <w:r>
        <w:rPr>
          <w:rFonts w:hint="eastAsia" w:cs="宋体"/>
          <w:bCs/>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cs="宋体"/>
          <w:bCs/>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四、报名及采购文件获取信息：</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1.时间：自公告发布之日起5个工作日</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2.地点：苏州市政府采购网自行下载</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3.方式：</w:t>
      </w:r>
      <w:r>
        <w:rPr>
          <w:rFonts w:cs="宋体"/>
          <w:szCs w:val="24"/>
        </w:rPr>
      </w:r>
      <w:r/>
    </w:p>
    <w:p>
      <w:pPr>
        <w:pStyle w:val="1129"/>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（1）CA证书办理</w:t>
      </w:r>
      <w:r>
        <w:rPr>
          <w:rFonts w:cs="宋体"/>
          <w:szCs w:val="24"/>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color w:val="000000"/>
          <w:sz w:val="24"/>
          <w:szCs w:val="24"/>
        </w:rPr>
        <w:t xml:space="preserve">（2）</w:t>
      </w:r>
      <w:r>
        <w:rPr>
          <w:rFonts w:hint="eastAsia" w:ascii="宋体" w:hAnsi="宋体" w:cs="宋体"/>
          <w:bCs/>
          <w:sz w:val="24"/>
          <w:szCs w:val="24"/>
          <w:lang w:val="en-US"/>
        </w:rPr>
        <w:t xml:space="preserve">参与采购活动</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（3）电子投标准备</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CA技术咨询电话：400-608-6099；</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电子签章技术咨询服务电话：15380932027、15371015030 、13675197356、13675197221</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“苏采云”平台技术咨询电话： 0519-86722802、13914088964、18261002950</w:t>
      </w:r>
      <w:r>
        <w:rPr>
          <w:rFonts w:ascii="宋体" w:hAnsi="宋体" w:cs="宋体"/>
          <w:bCs/>
          <w:sz w:val="24"/>
          <w:szCs w:val="24"/>
          <w:lang w:val="en-US"/>
        </w:rPr>
      </w:r>
      <w:r/>
    </w:p>
    <w:p>
      <w:pPr>
        <w:pStyle w:val="858"/>
        <w:ind w:firstLine="420"/>
        <w:spacing w:after="0" w:line="360" w:lineRule="auto"/>
        <w:rPr>
          <w:rFonts w:ascii="宋体" w:hAnsi="宋体" w:cs="宋体"/>
          <w:bCs/>
          <w:sz w:val="24"/>
          <w:szCs w:val="24"/>
          <w:lang w:val="en-US"/>
        </w:rPr>
      </w:pPr>
      <w:r>
        <w:rPr>
          <w:rFonts w:hint="eastAsia" w:ascii="宋体" w:hAnsi="宋体" w:cs="宋体"/>
          <w:bCs/>
          <w:sz w:val="24"/>
          <w:szCs w:val="24"/>
          <w:lang w:val="en-US"/>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bCs/>
          <w:sz w:val="24"/>
          <w:szCs w:val="24"/>
          <w:lang w:val="en-US"/>
        </w:rPr>
      </w:r>
      <w:r/>
    </w:p>
    <w:p>
      <w:pPr>
        <w:pStyle w:val="858"/>
        <w:ind w:firstLine="420"/>
        <w:spacing w:after="0" w:line="360" w:lineRule="auto"/>
        <w:rPr>
          <w:rFonts w:ascii="宋体" w:hAnsi="宋体" w:cs="宋体"/>
          <w:b/>
          <w:bCs/>
          <w:color w:val="000000"/>
          <w:sz w:val="24"/>
          <w:szCs w:val="24"/>
        </w:rPr>
      </w:pPr>
      <w:r>
        <w:rPr>
          <w:rFonts w:hint="eastAsia" w:ascii="宋体" w:hAnsi="宋体" w:cs="宋体"/>
          <w:bCs/>
          <w:sz w:val="24"/>
          <w:szCs w:val="24"/>
          <w:lang w:val="en-US"/>
        </w:rPr>
        <w:t xml:space="preserve">（五）线上参加开标（开启）会方式：供应商登录“苏采云”系统在平台首页点击“开标大厅”，进入江苏省政府采购一体化不见面开标（采购）大厅，在今日项目列表，点击项目，进入不见面开标</w:t>
      </w:r>
      <w:r>
        <w:rPr>
          <w:rFonts w:hint="eastAsia" w:ascii="宋体" w:hAnsi="宋体" w:cs="宋体"/>
          <w:color w:val="000000"/>
          <w:sz w:val="24"/>
          <w:szCs w:val="24"/>
        </w:rPr>
        <w:t xml:space="preserve">系统。</w:t>
      </w:r>
      <w:r>
        <w:rPr>
          <w:rFonts w:hint="eastAsia" w:ascii="宋体" w:hAnsi="宋体" w:cs="宋体"/>
          <w:b/>
          <w:bCs/>
          <w:color w:val="000000"/>
          <w:sz w:val="24"/>
          <w:szCs w:val="24"/>
        </w:rPr>
        <w:t xml:space="preserve">本项目为不见面项目，开启阶段供应商在【供应商解密】环节必须使用CA证书解密电子响应文件，如在系统规定的解密时间（响应文件提交截止时间后 30 分钟)内未能完成解密的视为放弃参与本项目。</w:t>
      </w:r>
      <w:r>
        <w:rPr>
          <w:rFonts w:ascii="宋体" w:hAnsi="宋体" w:cs="宋体"/>
          <w:b/>
          <w:bCs/>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请供应商确保电脑、系统及其他设备（视频输入输出设备等）无误，且开启直至项目结束始终保持系统在线状态。</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（六）本公告同时在中国政府采购网、江苏政府采购网、苏州市政府采购网发布。</w:t>
      </w:r>
      <w:r>
        <w:rPr>
          <w:rFonts w:ascii="宋体" w:hAnsi="宋体" w:cs="宋体"/>
          <w:color w:val="000000"/>
          <w:sz w:val="24"/>
          <w:szCs w:val="24"/>
        </w:rPr>
      </w:r>
      <w:r/>
    </w:p>
    <w:p>
      <w:pPr>
        <w:pStyle w:val="858"/>
        <w:ind w:firstLine="420"/>
        <w:spacing w:after="0" w:line="360" w:lineRule="auto"/>
        <w:rPr>
          <w:rFonts w:ascii="宋体" w:hAnsi="宋体" w:cs="宋体"/>
          <w:color w:val="000000"/>
          <w:sz w:val="24"/>
          <w:szCs w:val="24"/>
        </w:rPr>
      </w:pPr>
      <w:r>
        <w:rPr>
          <w:rFonts w:hint="eastAsia" w:ascii="宋体" w:hAnsi="宋体" w:cs="宋体"/>
          <w:color w:val="000000"/>
          <w:sz w:val="24"/>
          <w:szCs w:val="24"/>
        </w:rPr>
        <w:t xml:space="preserve">（七）政府采购监督电话：0512-68751335。</w:t>
      </w:r>
      <w:r>
        <w:rPr>
          <w:rFonts w:ascii="宋体" w:hAnsi="宋体" w:cs="宋体"/>
          <w:color w:val="000000"/>
          <w:sz w:val="24"/>
          <w:szCs w:val="24"/>
        </w:rPr>
      </w:r>
      <w:r/>
    </w:p>
    <w:p>
      <w:pPr>
        <w:pStyle w:val="851"/>
        <w:ind w:firstLine="420"/>
        <w:spacing w:line="360" w:lineRule="auto"/>
        <w:rPr>
          <w:rFonts w:ascii="宋体" w:hAnsi="宋体" w:cs="宋体"/>
          <w:sz w:val="24"/>
          <w:szCs w:val="24"/>
        </w:rPr>
      </w:pPr>
      <w:r>
        <w:rPr>
          <w:rFonts w:hint="eastAsia" w:ascii="宋体" w:hAnsi="宋体" w:cs="宋体"/>
          <w:color w:val="000000"/>
          <w:sz w:val="24"/>
          <w:szCs w:val="24"/>
        </w:rPr>
        <w:t xml:space="preserve">（八）本项目获取采购文件截止日期之后仍可以下载采购文件，但截止日期之后下载的采购文件，视为非有效方式且不作为供应商权益受到损害的证明材料和依据。</w:t>
      </w:r>
      <w:r>
        <w:rPr>
          <w:rFonts w:ascii="宋体" w:hAnsi="宋体" w:cs="宋体"/>
          <w:sz w:val="24"/>
          <w:szCs w:val="24"/>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五、提交投标文件截止时间、开标时间和地点</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1.提交投标文件截止时间：2026年0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11</w:t>
      </w:r>
      <w:r>
        <w:rPr>
          <w:rFonts w:hint="eastAsia" w:cs="宋体"/>
          <w:szCs w:val="24"/>
          <w:shd w:val="clear" w:color="auto" w:fill="ffffff"/>
        </w:rPr>
        <w:t xml:space="preserve">日</w:t>
      </w:r>
      <w:r>
        <w:rPr>
          <w:rFonts w:hint="eastAsia" w:cs="宋体"/>
          <w:szCs w:val="24"/>
          <w:shd w:val="clear" w:color="auto" w:fill="ffffff"/>
        </w:rPr>
        <w:t xml:space="preserve">13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2.开标时间：2026年0</w:t>
      </w:r>
      <w:r>
        <w:rPr>
          <w:rFonts w:hint="eastAsia" w:cs="宋体"/>
          <w:szCs w:val="24"/>
          <w:shd w:val="clear" w:color="auto" w:fill="ffffff"/>
        </w:rPr>
        <w:t xml:space="preserve">5</w:t>
      </w:r>
      <w:r>
        <w:rPr>
          <w:rFonts w:hint="eastAsia" w:cs="宋体"/>
          <w:szCs w:val="24"/>
          <w:shd w:val="clear" w:color="auto" w:fill="ffffff"/>
        </w:rPr>
        <w:t xml:space="preserve">月</w:t>
      </w:r>
      <w:r>
        <w:rPr>
          <w:rFonts w:hint="eastAsia" w:cs="宋体"/>
          <w:szCs w:val="24"/>
          <w:shd w:val="clear" w:color="auto" w:fill="ffffff"/>
        </w:rPr>
        <w:t xml:space="preserve">11</w:t>
      </w:r>
      <w:r>
        <w:rPr>
          <w:rFonts w:hint="eastAsia" w:cs="宋体"/>
          <w:szCs w:val="24"/>
          <w:shd w:val="clear" w:color="auto" w:fill="ffffff"/>
        </w:rPr>
        <w:t xml:space="preserve">日</w:t>
      </w:r>
      <w:r>
        <w:rPr>
          <w:rFonts w:hint="eastAsia" w:cs="宋体"/>
          <w:szCs w:val="24"/>
          <w:shd w:val="clear" w:color="auto" w:fill="ffffff"/>
        </w:rPr>
        <w:t xml:space="preserve">13</w:t>
      </w:r>
      <w:r>
        <w:rPr>
          <w:rFonts w:hint="eastAsia" w:cs="宋体"/>
          <w:szCs w:val="24"/>
          <w:shd w:val="clear" w:color="auto" w:fill="ffffff"/>
        </w:rPr>
        <w:t xml:space="preserve">点30分（北京时间）；</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3.开标地点：“苏采云”系统（网址：http://jszfcg.jsczt.cn/）</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cs="宋体"/>
          <w:szCs w:val="24"/>
          <w:shd w:val="clear" w:color="auto" w:fill="ffffff"/>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请供应商确保电脑、系统及其他设备（视频输入输出设备等）无误，且开标直至项目结束始终保持系统在线状态。</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六、公告期限</w:t>
      </w:r>
      <w:r>
        <w:rPr>
          <w:rFonts w:cs="宋体"/>
          <w:b/>
          <w:szCs w:val="24"/>
        </w:rPr>
      </w:r>
      <w:r/>
    </w:p>
    <w:p>
      <w:pPr>
        <w:pStyle w:val="1129"/>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自本公告发布之日起 5个工作日。</w:t>
      </w:r>
      <w:r>
        <w:rPr>
          <w:rFonts w:cs="宋体"/>
          <w:szCs w:val="24"/>
          <w:shd w:val="clear" w:color="auto" w:fill="ffffff"/>
        </w:rPr>
      </w:r>
      <w:r/>
    </w:p>
    <w:p>
      <w:pPr>
        <w:pStyle w:val="1129"/>
        <w:jc w:val="both"/>
        <w:spacing w:before="0" w:beforeAutospacing="0" w:after="0" w:afterAutospacing="0" w:line="360" w:lineRule="auto"/>
        <w:widowControl/>
        <w:rPr>
          <w:rFonts w:cs="宋体"/>
          <w:b/>
          <w:szCs w:val="24"/>
        </w:rPr>
      </w:pPr>
      <w:r>
        <w:rPr>
          <w:rFonts w:hint="eastAsia" w:cs="宋体"/>
          <w:b/>
          <w:szCs w:val="24"/>
        </w:rPr>
        <w:t xml:space="preserve">七、其他补充事宜</w:t>
      </w:r>
      <w:r>
        <w:rPr>
          <w:rFonts w:cs="宋体"/>
          <w:b/>
          <w:szCs w:val="24"/>
        </w:rPr>
      </w:r>
      <w:r/>
    </w:p>
    <w:p>
      <w:pPr>
        <w:pStyle w:val="851"/>
        <w:ind w:firstLine="420"/>
        <w:jc w:val="left"/>
        <w:spacing w:line="360" w:lineRule="auto"/>
        <w:widowControl/>
        <w:rPr>
          <w:rFonts w:ascii="宋体" w:hAnsi="宋体" w:cs="宋体"/>
          <w:sz w:val="24"/>
          <w:szCs w:val="24"/>
          <w:shd w:val="clear" w:color="auto" w:fill="ffffff"/>
        </w:rPr>
      </w:pPr>
      <w:r/>
      <w:bookmarkStart w:id="10" w:name="_Toc3539362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1.本次采购的有关信息在以下网站上发布：中国政府采购网、 江苏政府采购网、苏州市政府采购网；</w:t>
      </w:r>
      <w:r>
        <w:rPr>
          <w:rFonts w:ascii="宋体" w:hAnsi="宋体" w:cs="宋体"/>
          <w:sz w:val="24"/>
          <w:szCs w:val="24"/>
          <w:shd w:val="clear" w:color="auto" w:fill="ffffff"/>
        </w:rPr>
      </w:r>
      <w:r/>
    </w:p>
    <w:p>
      <w:pPr>
        <w:pStyle w:val="851"/>
        <w:ind w:firstLine="480"/>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2.有关该采购项目的澄清、修正及中标等信息亦在以上网站发布，请随时关注。</w:t>
      </w:r>
      <w:r>
        <w:rPr>
          <w:rFonts w:ascii="宋体" w:hAnsi="宋体" w:cs="宋体"/>
          <w:sz w:val="24"/>
          <w:szCs w:val="24"/>
          <w:shd w:val="clear" w:color="auto" w:fill="ffffff"/>
        </w:rPr>
      </w:r>
      <w:r/>
    </w:p>
    <w:p>
      <w:pPr>
        <w:pStyle w:val="851"/>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fldChar w:fldCharType="end"/>
      </w:r>
      <w:bookmarkEnd w:id="10"/>
      <w:r/>
      <w:bookmarkStart w:id="11" w:name="_Toc3539379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end"/>
      </w:r>
      <w:bookmarkEnd w:id="11"/>
      <w:r/>
      <w:bookmarkStart w:id="12" w:name="_Toc35393627"/>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12"/>
      <w:r>
        <w:rPr>
          <w:rFonts w:hint="eastAsia" w:ascii="宋体" w:hAnsi="宋体" w:cs="宋体"/>
          <w:sz w:val="24"/>
          <w:szCs w:val="24"/>
          <w:shd w:val="clear" w:color="auto" w:fill="ffffff"/>
        </w:rPr>
        <w:fldChar w:fldCharType="end"/>
      </w:r>
      <w:r>
        <w:rPr>
          <w:rFonts w:ascii="宋体" w:hAnsi="宋体" w:cs="宋体"/>
          <w:sz w:val="24"/>
          <w:szCs w:val="24"/>
          <w:shd w:val="clear" w:color="auto" w:fill="ffffff"/>
        </w:rPr>
      </w:r>
      <w:r/>
    </w:p>
    <w:p>
      <w:pPr>
        <w:pStyle w:val="851"/>
        <w:jc w:val="left"/>
        <w:spacing w:line="360" w:lineRule="auto"/>
        <w:rPr>
          <w:rFonts w:ascii="宋体" w:hAnsi="宋体"/>
          <w:sz w:val="24"/>
          <w:szCs w:val="24"/>
        </w:rPr>
      </w:pPr>
      <w:r>
        <w:rPr>
          <w:rFonts w:hint="eastAsia" w:ascii="宋体" w:hAnsi="宋体" w:cs="宋体"/>
          <w:b/>
          <w:sz w:val="24"/>
          <w:szCs w:val="24"/>
        </w:rPr>
        <w:t xml:space="preserve">八、对本次招标提出询问，请按以下方式联系：</w:t>
      </w:r>
      <w:r>
        <w:rPr>
          <w:rFonts w:ascii="宋体" w:hAnsi="宋体"/>
          <w:sz w:val="24"/>
          <w:szCs w:val="24"/>
        </w:rPr>
      </w:r>
      <w:r/>
    </w:p>
    <w:p>
      <w:pPr>
        <w:pStyle w:val="851"/>
        <w:jc w:val="left"/>
        <w:spacing w:line="360" w:lineRule="auto"/>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   称：苏州高新区（虎丘区）通安镇人民政府</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通安镇通浒路88号</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t xml:space="preserve">陶蕾</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0512-66060082</w:t>
      </w:r>
      <w:r>
        <w:rPr>
          <w:rFonts w:hint="eastAsia" w:ascii="宋体" w:hAnsi="宋体" w:cs="宋体"/>
          <w:sz w:val="24"/>
          <w:szCs w:val="24"/>
        </w:rPr>
        <w:t xml:space="preserve">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名称：苏州久诺招投标咨询服务有限公司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地址：苏州市高新区狮山路金狮大厦1楼103室</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0512-63274291 </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项目联系人：张伟</w:t>
      </w:r>
      <w:r>
        <w:rPr>
          <w:rFonts w:ascii="宋体" w:hAnsi="宋体" w:cs="宋体"/>
          <w:sz w:val="24"/>
          <w:szCs w:val="24"/>
        </w:rPr>
      </w:r>
      <w:r/>
    </w:p>
    <w:p>
      <w:pPr>
        <w:pStyle w:val="851"/>
        <w:jc w:val="left"/>
        <w:spacing w:line="360" w:lineRule="auto"/>
        <w:widowControl/>
        <w:rPr>
          <w:rFonts w:ascii="宋体" w:hAnsi="宋体" w:cs="宋体"/>
          <w:sz w:val="24"/>
          <w:szCs w:val="24"/>
        </w:rPr>
      </w:pPr>
      <w:r>
        <w:rPr>
          <w:rFonts w:hint="eastAsia" w:ascii="宋体" w:hAnsi="宋体" w:cs="宋体"/>
          <w:sz w:val="24"/>
          <w:szCs w:val="24"/>
        </w:rPr>
        <w:t xml:space="preserve">电话： </w:t>
      </w:r>
      <w:r>
        <w:rPr>
          <w:rFonts w:ascii="宋体" w:hAnsi="宋体" w:cs="宋体"/>
          <w:sz w:val="24"/>
          <w:szCs w:val="24"/>
        </w:rPr>
        <w:t xml:space="preserve">0512-63274291  </w:t>
      </w:r>
      <w:r>
        <w:rPr>
          <w:rFonts w:ascii="宋体" w:hAnsi="宋体" w:cs="宋体"/>
          <w:sz w:val="24"/>
          <w:szCs w:val="24"/>
        </w:rPr>
      </w:r>
      <w:r/>
    </w:p>
    <w:p>
      <w:pPr>
        <w:pStyle w:val="851"/>
        <w:ind w:firstLine="422"/>
        <w:spacing w:line="360" w:lineRule="auto"/>
        <w:rPr>
          <w:rFonts w:ascii="宋体" w:hAnsi="宋体"/>
          <w:b/>
          <w:sz w:val="24"/>
          <w:szCs w:val="24"/>
        </w:rPr>
      </w:pPr>
      <w:r>
        <w:rPr>
          <w:rFonts w:ascii="宋体" w:hAnsi="宋体"/>
          <w:b/>
          <w:sz w:val="24"/>
          <w:szCs w:val="24"/>
        </w:rPr>
      </w:r>
      <w:r/>
    </w:p>
    <w:p>
      <w:pPr>
        <w:pStyle w:val="851"/>
        <w:rPr>
          <w:rFonts w:ascii="宋体" w:hAnsi="宋体"/>
          <w:sz w:val="24"/>
          <w:szCs w:val="24"/>
        </w:rPr>
      </w:pPr>
      <w:r>
        <w:rPr>
          <w:rFonts w:ascii="宋体" w:hAnsi="宋体"/>
          <w:sz w:val="24"/>
          <w:szCs w:val="24"/>
        </w:rPr>
      </w:r>
      <w:r/>
    </w:p>
    <w:p>
      <w:pPr>
        <w:pStyle w:val="851"/>
        <w:jc w:val="left"/>
        <w:widowControl/>
        <w:rPr>
          <w:b/>
          <w:bCs/>
          <w:sz w:val="36"/>
          <w:szCs w:val="36"/>
        </w:rPr>
      </w:pPr>
      <w:r>
        <w:rPr>
          <w:b/>
          <w:bCs/>
          <w:sz w:val="36"/>
          <w:szCs w:val="36"/>
        </w:rPr>
        <w:br w:type="page" w:clear="all"/>
      </w:r>
      <w:r>
        <w:rPr>
          <w:b/>
          <w:bCs/>
          <w:sz w:val="36"/>
          <w:szCs w:val="36"/>
        </w:rPr>
      </w:r>
      <w:r/>
    </w:p>
    <w:p>
      <w:pPr>
        <w:pStyle w:val="851"/>
        <w:jc w:val="center"/>
        <w:spacing w:line="360" w:lineRule="auto"/>
        <w:rPr>
          <w:b/>
          <w:bCs/>
          <w:sz w:val="36"/>
          <w:szCs w:val="36"/>
        </w:rPr>
      </w:pPr>
      <w:r/>
      <w:bookmarkEnd w:id="7"/>
      <w:r/>
      <w:bookmarkEnd w:id="8"/>
      <w:r>
        <w:rPr>
          <w:rFonts w:hint="eastAsia"/>
          <w:b/>
          <w:bCs/>
          <w:sz w:val="36"/>
          <w:szCs w:val="36"/>
        </w:rPr>
        <w:t xml:space="preserve">第二章</w:t>
      </w:r>
      <w:r>
        <w:rPr>
          <w:rFonts w:hint="eastAsia"/>
          <w:b/>
          <w:bCs/>
          <w:caps/>
          <w:sz w:val="36"/>
          <w:szCs w:val="36"/>
        </w:rPr>
        <w:t xml:space="preserve"> 投标人须知</w:t>
      </w:r>
      <w:r>
        <w:rPr>
          <w:b/>
          <w:bCs/>
          <w:sz w:val="36"/>
          <w:szCs w:val="36"/>
        </w:rPr>
      </w:r>
      <w:r/>
    </w:p>
    <w:p>
      <w:pPr>
        <w:pStyle w:val="1098"/>
        <w:ind w:firstLine="422"/>
        <w:spacing w:line="360" w:lineRule="auto"/>
        <w:rPr>
          <w:rFonts w:ascii="宋体" w:hAnsi="宋体" w:eastAsia="宋体"/>
          <w:b/>
          <w:szCs w:val="24"/>
          <w:lang w:eastAsia="zh-CN"/>
        </w:rPr>
      </w:pPr>
      <w:r/>
      <w:bookmarkStart w:id="13" w:name="_Toc20132"/>
      <w:r/>
      <w:bookmarkStart w:id="14" w:name="_Toc13437"/>
      <w:r>
        <w:rPr>
          <w:rFonts w:hint="eastAsia" w:ascii="宋体" w:hAnsi="宋体" w:eastAsia="宋体"/>
          <w:b/>
          <w:szCs w:val="24"/>
          <w:lang w:eastAsia="zh-CN"/>
        </w:rPr>
        <w:t xml:space="preserve">一、说明和释义</w:t>
      </w:r>
      <w:bookmarkEnd w:id="13"/>
      <w:r/>
      <w:bookmarkEnd w:id="14"/>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bookmarkStart w:id="15" w:name="_Toc9408"/>
      <w:r>
        <w:rPr>
          <w:rFonts w:hint="eastAsia" w:ascii="宋体" w:hAnsi="宋体" w:eastAsia="宋体"/>
          <w:b/>
          <w:szCs w:val="24"/>
          <w:lang w:eastAsia="zh-CN"/>
        </w:rPr>
        <w:t xml:space="preserve">1.说明</w:t>
      </w:r>
      <w:bookmarkEnd w:id="15"/>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1.1本招标文件仅适用苏州久诺招投标咨询服务有限公司组织的招标活动。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1.2本次招标活动及因本次招标产生的合同受中国法律制约和保护。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1.3本招标文件的解释权属苏州久诺招投标咨询服务有限公司。</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bookmarkStart w:id="16" w:name="_Toc27555"/>
      <w:r>
        <w:rPr>
          <w:rFonts w:hint="eastAsia" w:ascii="宋体" w:hAnsi="宋体" w:eastAsia="宋体"/>
          <w:b/>
          <w:szCs w:val="24"/>
          <w:lang w:eastAsia="zh-CN"/>
        </w:rPr>
        <w:t xml:space="preserve">2.词语释义</w:t>
      </w:r>
      <w:bookmarkEnd w:id="16"/>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 采购人：指依法进行政府采购的国家机关、事业单位、团体组织。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2.2采购代理机构：指依法接受采购人委托，从事货物、工程和服务等政府采购业务的采购代理机构。本项目的采购代理机构是苏州久诺招投标咨询服务有限公司。</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2.3 投标人：指投标招标、参加投标竞争的法人、其他组织或自然人。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2.4 投标：投标人根据采购人或采购代理机构发布的招标文件，编制投标文件并按规定投标的行为。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2.6甲方（采购人）：指招标文件中载明的，依法进行政府采购的国家机关、事业单位、团体组织。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2.7乙方（供应商）：合同中规定的向采购人提供货物和服务的法人或其他组织和自然人。</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2.8天：日历日。</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2.9时间：除特别说明，均指北京时间。</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2.10知识产权:指专利权、商标权、著作权等无形财产专有权的统称。</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2.11交货地点:合同中明确约定的乙方提交的货物和服务最终到达地点。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2.12合同价款:根据合同规定,乙方在正确地履行合同义务后甲方应支付乙方的价款。</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2.14不可抗力：不能预见、不能避免并且不能克服的客观情况。</w:t>
      </w:r>
      <w:r>
        <w:rPr>
          <w:rFonts w:ascii="宋体" w:hAnsi="宋体" w:eastAsia="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2.15实质性投标：满足有关本次采购标的、数量、质量、价款或者报酬、履行期限、履行地点和方式、违约责任和解决争议方法等要求。</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2.16进口产品：指通过中国海关报关验放进入中国境内且产自境外的产品。</w:t>
      </w:r>
      <w:r>
        <w:rPr>
          <w:rFonts w:ascii="宋体" w:hAnsi="宋体"/>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2.17书面形式：指书面文字、合同书、信件和传真等可以有形地表现所载内容的形式。</w:t>
      </w:r>
      <w:bookmarkStart w:id="17" w:name="_Toc14976"/>
      <w:r/>
      <w:bookmarkStart w:id="18" w:name="_Toc13350"/>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二、投标人</w:t>
      </w:r>
      <w:bookmarkEnd w:id="17"/>
      <w:r/>
      <w:bookmarkEnd w:id="18"/>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3.合格投标人的资格条件：</w:t>
      </w:r>
      <w:r>
        <w:rPr>
          <w:rFonts w:ascii="宋体" w:hAnsi="宋体" w:eastAsia="宋体"/>
          <w:b/>
          <w:szCs w:val="24"/>
          <w:lang w:eastAsia="zh-CN"/>
        </w:rPr>
      </w:r>
      <w:r/>
    </w:p>
    <w:p>
      <w:pPr>
        <w:pStyle w:val="851"/>
        <w:ind w:firstLine="420"/>
        <w:spacing w:line="360" w:lineRule="auto"/>
        <w:rPr>
          <w:rFonts w:ascii="宋体" w:hAnsi="宋体"/>
          <w:sz w:val="24"/>
          <w:szCs w:val="24"/>
        </w:rPr>
      </w:pPr>
      <w:r>
        <w:rPr>
          <w:rFonts w:hint="eastAsia" w:ascii="宋体" w:hAnsi="宋体"/>
          <w:sz w:val="24"/>
          <w:szCs w:val="24"/>
        </w:rPr>
        <w:t xml:space="preserve">3.1满足《中华人民共和国政府采购法》第二十二条规定，投标人应当具备下列条件：</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（1）具有独立承担民事责任的能力；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（4）有依法缴纳税收和社会保障资金的良好记录；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（6）法律、行政法规规定的其他条件。</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3.2落实政府采购政策需满足的资格要求：见第一章</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3.3本项目的特定资格要求：见第一章</w:t>
      </w:r>
      <w:r>
        <w:rPr>
          <w:rFonts w:ascii="宋体" w:hAnsi="宋体"/>
          <w:sz w:val="24"/>
          <w:szCs w:val="24"/>
        </w:rPr>
      </w:r>
      <w:r/>
    </w:p>
    <w:p>
      <w:pPr>
        <w:pStyle w:val="851"/>
        <w:ind w:firstLine="422"/>
        <w:spacing w:line="360" w:lineRule="auto"/>
        <w:rPr>
          <w:rFonts w:ascii="宋体" w:hAnsi="宋体"/>
          <w:b/>
          <w:bCs/>
          <w:sz w:val="24"/>
          <w:szCs w:val="24"/>
        </w:rPr>
      </w:pPr>
      <w:r>
        <w:rPr>
          <w:rFonts w:hint="eastAsia" w:ascii="宋体" w:hAnsi="宋体"/>
          <w:b/>
          <w:bCs/>
          <w:sz w:val="24"/>
          <w:szCs w:val="24"/>
        </w:rPr>
        <w:t xml:space="preserve">4.投标人代表</w:t>
      </w:r>
      <w:r>
        <w:rPr>
          <w:rFonts w:ascii="宋体" w:hAnsi="宋体"/>
          <w:b/>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4.1指授权全权代表投标人参加投标活动并签署投标文件的人，如果投标人代表不是法人代表，须持有《法定代表人授权委托书》（详见统一格式）。</w:t>
      </w:r>
      <w:r>
        <w:rPr>
          <w:rFonts w:ascii="宋体" w:hAnsi="宋体"/>
          <w:sz w:val="24"/>
          <w:szCs w:val="24"/>
        </w:rPr>
      </w:r>
      <w:r/>
    </w:p>
    <w:p>
      <w:pPr>
        <w:pStyle w:val="1098"/>
        <w:ind w:firstLine="422"/>
        <w:spacing w:line="360" w:lineRule="auto"/>
        <w:rPr>
          <w:rFonts w:ascii="宋体" w:hAnsi="宋体" w:eastAsia="宋体"/>
          <w:b/>
          <w:bCs/>
          <w:szCs w:val="24"/>
          <w:lang w:eastAsia="zh-CN"/>
        </w:rPr>
      </w:pPr>
      <w:r>
        <w:rPr>
          <w:rFonts w:hint="eastAsia" w:ascii="宋体" w:hAnsi="宋体" w:eastAsia="宋体"/>
          <w:b/>
          <w:bCs/>
          <w:szCs w:val="24"/>
          <w:lang w:eastAsia="zh-CN"/>
        </w:rPr>
        <w:t xml:space="preserve">5.投标费用</w:t>
      </w:r>
      <w:r>
        <w:rPr>
          <w:rFonts w:ascii="宋体" w:hAnsi="宋体" w:eastAsia="宋体"/>
          <w:b/>
          <w:bCs/>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5.1无论投标过程中的做法和结果如何，投标人自行承担所有与参加投标有关的全部费用。</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5.2本次招标活动采购人和采购代理机构不收取标书工本费。</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6.联合投标及转包、分包</w:t>
      </w:r>
      <w:r>
        <w:rPr>
          <w:rFonts w:ascii="宋体" w:hAnsi="宋体" w:eastAsia="宋体" w:cs="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6.1本项目不接受联合体投标。</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6.2本项目不接受转包、</w:t>
      </w:r>
      <w:r>
        <w:rPr>
          <w:rFonts w:hint="eastAsia" w:ascii="宋体" w:hAnsi="宋体" w:eastAsia="宋体"/>
          <w:szCs w:val="24"/>
          <w:lang w:eastAsia="zh-CN"/>
        </w:rPr>
        <w:t xml:space="preserve">允许</w:t>
      </w:r>
      <w:r>
        <w:rPr>
          <w:rFonts w:hint="eastAsia" w:ascii="宋体" w:hAnsi="宋体" w:eastAsia="宋体"/>
          <w:szCs w:val="24"/>
          <w:lang w:eastAsia="zh-CN"/>
        </w:rPr>
        <w:t xml:space="preserve">分包。</w:t>
      </w:r>
      <w:bookmarkStart w:id="19" w:name="_Toc5764"/>
      <w:r/>
      <w:bookmarkStart w:id="20" w:name="_Toc31958"/>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6.3本项目不接受进口产品。</w:t>
      </w:r>
      <w:r>
        <w:rPr>
          <w:rFonts w:ascii="宋体" w:hAnsi="宋体" w:eastAsia="宋体"/>
          <w:szCs w:val="24"/>
          <w:lang w:eastAsia="zh-CN"/>
        </w:rPr>
      </w:r>
      <w:r/>
    </w:p>
    <w:p>
      <w:pPr>
        <w:pStyle w:val="1098"/>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三、招标文件的说明</w:t>
      </w:r>
      <w:bookmarkEnd w:id="19"/>
      <w:r/>
      <w:bookmarkEnd w:id="20"/>
      <w:r>
        <w:rPr>
          <w:rFonts w:ascii="宋体" w:hAnsi="宋体" w:eastAsia="宋体" w:cs="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7.招标文件</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8.招标文件的澄清和修改</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8.4招标文件的澄清、修改、补充等内容均以苏州市政府采购网上发布的内容为准。</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9.勘察现场（不涉及此条的忽略）</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9.1根据自身投标需要，投标人可对有关现场和周围环境进行勘察，以获取编制投标文件和签署合同所需的信息。勘察现场所发生的费用由投标人自己承担。</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9.3经采购人允许，投标人可为勘察目的进入采购人的项目现场，但投标人不得因此使采购人承担有关的责任和蒙受损失。投标人应承担勘察现场的责任和风险。</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10.投标质疑</w:t>
      </w:r>
      <w:r>
        <w:rPr>
          <w:rFonts w:ascii="宋体" w:hAnsi="宋体"/>
          <w:b/>
          <w:sz w:val="24"/>
          <w:szCs w:val="24"/>
        </w:rPr>
      </w:r>
      <w:r/>
    </w:p>
    <w:p>
      <w:pPr>
        <w:pStyle w:val="1098"/>
        <w:spacing w:line="360" w:lineRule="auto"/>
        <w:rPr>
          <w:rFonts w:ascii="宋体" w:hAnsi="宋体" w:eastAsia="宋体"/>
          <w:szCs w:val="24"/>
          <w:lang w:eastAsia="zh-CN"/>
        </w:rPr>
      </w:pPr>
      <w:r/>
      <w:bookmarkStart w:id="21" w:name="_Toc19463"/>
      <w:r/>
      <w:bookmarkStart w:id="22" w:name="_Toc16745"/>
      <w:r>
        <w:rPr>
          <w:rFonts w:hint="eastAsia" w:ascii="宋体" w:hAnsi="宋体" w:eastAsia="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10.2本次招标文件要求供应商在法定质疑期内一次性提出针对同一采购程序环节的质疑，否则不予受理。</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10.3供应商提出质疑应当提交质疑函和必要的证明材料，质疑函应当包括下列内容：</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（1）供应商的姓名或者名称（以提供的营业执照副本复印件为准）、地址、邮编、联系人及联系电话；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（2）质疑项目的名称、编号；</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（3）具体、明确的质疑事项和与质疑事项相关的请求；</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（4）事实依据；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（5）必要的法律依据；</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（6）提出质疑的日期。</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lang w:eastAsia="zh-CN"/>
        </w:rPr>
        <w:t xml:space="preserve">授权委托书</w:t>
      </w:r>
      <w:r>
        <w:rPr>
          <w:rFonts w:hint="eastAsia" w:ascii="宋体" w:hAnsi="宋体" w:eastAsia="宋体"/>
          <w:szCs w:val="24"/>
          <w:lang w:eastAsia="zh-CN"/>
        </w:rPr>
        <w:t xml:space="preserve">上应当载明代理人的姓名或者名称、代理事项、具体权限、期限和相关事项。</w:t>
      </w:r>
      <w:r>
        <w:rPr>
          <w:rFonts w:ascii="宋体" w:hAnsi="宋体" w:eastAsia="宋体"/>
          <w:szCs w:val="24"/>
          <w:lang w:eastAsia="zh-CN"/>
        </w:rPr>
      </w:r>
      <w:r/>
    </w:p>
    <w:p>
      <w:pPr>
        <w:pStyle w:val="1098"/>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1098"/>
        <w:spacing w:line="360" w:lineRule="auto"/>
        <w:rPr>
          <w:rFonts w:ascii="宋体" w:hAnsi="宋体" w:eastAsia="宋体"/>
          <w:b/>
          <w:szCs w:val="24"/>
          <w:lang w:eastAsia="zh-CN"/>
        </w:rPr>
      </w:pPr>
      <w:r>
        <w:rPr>
          <w:rFonts w:hint="eastAsia" w:ascii="宋体" w:hAnsi="宋体" w:eastAsia="宋体"/>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lang w:eastAsia="zh-CN"/>
        </w:rPr>
        <w:t xml:space="preserve">《投标供应商确认函》</w:t>
      </w:r>
      <w:r>
        <w:rPr>
          <w:rFonts w:hint="eastAsia" w:ascii="宋体" w:hAnsi="宋体" w:eastAsia="宋体"/>
          <w:szCs w:val="24"/>
          <w:lang w:eastAsia="zh-CN"/>
        </w:rPr>
        <w:t xml:space="preserve">）与质疑函一起递交，否则不予受理。</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10.5接收质疑函的方式：书面形式（当场送达或邮寄方式）。</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质疑联系人：张伟</w:t>
      </w:r>
      <w:r>
        <w:rPr>
          <w:rFonts w:ascii="宋体" w:hAnsi="宋体" w:eastAsia="宋体"/>
          <w:szCs w:val="24"/>
          <w:lang w:eastAsia="zh-CN"/>
        </w:rPr>
        <w:tab/>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联系电话：</w:t>
      </w:r>
      <w:r>
        <w:rPr>
          <w:rFonts w:ascii="宋体" w:hAnsi="宋体" w:eastAsia="宋体"/>
          <w:szCs w:val="24"/>
          <w:lang w:eastAsia="zh-CN"/>
        </w:rPr>
        <w:t xml:space="preserve">0512-63274291</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现场递交地址: 苏州市高新区狮山路金狮大厦1楼103室</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邮寄收取地址: 苏州市高新区狮山路金狮大厦1楼103室</w:t>
      </w:r>
      <w:r>
        <w:rPr>
          <w:rFonts w:ascii="宋体" w:hAnsi="宋体" w:eastAsia="宋体"/>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四、投标文件说明</w:t>
      </w:r>
      <w:bookmarkEnd w:id="21"/>
      <w:r/>
      <w:bookmarkEnd w:id="22"/>
      <w:r>
        <w:rPr>
          <w:rFonts w:ascii="宋体" w:hAnsi="宋体" w:eastAsia="宋体"/>
          <w:b/>
          <w:szCs w:val="24"/>
          <w:lang w:eastAsia="zh-CN"/>
        </w:rPr>
      </w:r>
      <w:r/>
    </w:p>
    <w:p>
      <w:pPr>
        <w:pStyle w:val="1098"/>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11.提示与要求</w:t>
      </w:r>
      <w:r>
        <w:rPr>
          <w:rFonts w:ascii="宋体" w:hAnsi="宋体" w:eastAsia="宋体"/>
          <w:b/>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11.1投标人应仔细阅读招标文件的所有内容，应当按照招标文件的要求编制投标文件，并保证所提供全部资料的真实性，以使其投标对招标文件作出实质性投标，否则，其投标可能被拒绝。</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11.2无论是否递交投标文件，投标人都应将招标文件及以后的所有通知、文件等视为保密文件。</w:t>
      </w:r>
      <w:r>
        <w:rPr>
          <w:rFonts w:ascii="宋体" w:hAnsi="宋体" w:eastAsia="宋体"/>
          <w:szCs w:val="24"/>
          <w:lang w:eastAsia="zh-CN"/>
        </w:rPr>
      </w:r>
      <w:r/>
    </w:p>
    <w:p>
      <w:pPr>
        <w:pStyle w:val="1098"/>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12.投标文件计量单位和使用文字</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12.1投标文件中所使用的计量单位，除招标文件中有特殊要求外，均应使用中华人民共和国法定计量单位。</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eastAsia="宋体"/>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13. 知识产权</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4"/>
          <w:szCs w:val="24"/>
        </w:rPr>
      </w:r>
      <w:r/>
    </w:p>
    <w:p>
      <w:pPr>
        <w:pStyle w:val="851"/>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14.投标文件的组成</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14.1投标文件</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14.1.1封面</w:t>
      </w:r>
      <w:r>
        <w:rPr>
          <w:rFonts w:ascii="宋体" w:hAnsi="宋体"/>
          <w:b/>
          <w:sz w:val="24"/>
          <w:szCs w:val="24"/>
        </w:rPr>
      </w:r>
      <w:r/>
    </w:p>
    <w:p>
      <w:pPr>
        <w:pStyle w:val="851"/>
        <w:ind w:firstLine="422"/>
        <w:spacing w:line="360" w:lineRule="auto"/>
        <w:rPr>
          <w:rFonts w:ascii="宋体" w:hAnsi="宋体"/>
          <w:sz w:val="24"/>
          <w:szCs w:val="24"/>
        </w:rPr>
      </w:pPr>
      <w:r>
        <w:rPr>
          <w:rFonts w:hint="eastAsia" w:ascii="宋体" w:hAnsi="宋体"/>
          <w:b/>
          <w:sz w:val="24"/>
          <w:szCs w:val="24"/>
        </w:rPr>
        <w:t xml:space="preserve">14.1.2开标一览表</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14.1.3公开分项报价</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14.1.4资格审查文件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14.1.4.1关于资格文件的声明函（格式见第三章）；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14.1.4.2投标人基本情况表（格式见第三章）；</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14.1.4.3投标人法定代表人身份证复印件；</w:t>
      </w:r>
      <w:r>
        <w:rPr>
          <w:rFonts w:ascii="宋体" w:hAnsi="宋体" w:eastAsia="宋体"/>
          <w:szCs w:val="24"/>
          <w:lang w:eastAsia="zh-CN"/>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14.1.4.4法定代表人授权委托书（如有授权，格式见第三章）；</w:t>
      </w:r>
      <w:r>
        <w:rPr>
          <w:rFonts w:ascii="宋体" w:hAnsi="宋体" w:eastAsia="宋体"/>
          <w:szCs w:val="24"/>
          <w:lang w:eastAsia="zh-CN"/>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14.1.4.5投标人授权代理人身份证复印件（如有授权）；</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14.1.4.6合格投标人资格证明材料：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（1）具有独立承担民事责任的能力证明。包括法人或者其他组织的营业执照等证明文件，自然人的身份证明；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（2）具有良好的商业信誉和健全的财务会计制度证明（法人应提供最近一期经会计师事务所审计的财务报告，其他组织、自然人及成立未满一年的法人应提供银行出具的资信证明）；</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（3）具备履行合同所必需的设备和专业技术能力的证明材料或承诺；</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（5）参加政府采购活动前三年内在经营活动中没有重大违法记录的书面声明函。</w:t>
      </w:r>
      <w:r>
        <w:rPr>
          <w:rFonts w:ascii="宋体" w:hAnsi="宋体"/>
          <w:bCs/>
          <w:sz w:val="24"/>
          <w:szCs w:val="24"/>
        </w:rPr>
      </w:r>
      <w:r/>
    </w:p>
    <w:p>
      <w:pPr>
        <w:pStyle w:val="851"/>
        <w:ind w:firstLine="420"/>
        <w:spacing w:line="360" w:lineRule="auto"/>
        <w:rPr>
          <w:rFonts w:ascii="宋体" w:hAnsi="宋体"/>
          <w:bCs/>
          <w:sz w:val="24"/>
          <w:szCs w:val="24"/>
        </w:rPr>
      </w:pPr>
      <w:r>
        <w:rPr>
          <w:rFonts w:hint="eastAsia" w:ascii="宋体" w:hAnsi="宋体"/>
          <w:bCs/>
          <w:sz w:val="24"/>
          <w:szCs w:val="24"/>
        </w:rPr>
        <w:t xml:space="preserve">（6）本项目的特定资格要求证明文件。（如有）</w:t>
      </w:r>
      <w:r>
        <w:rPr>
          <w:rFonts w:ascii="宋体" w:hAnsi="宋体"/>
          <w:bCs/>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14.1.4.7其它有关资格证明文件：</w:t>
      </w:r>
      <w:r>
        <w:rPr>
          <w:rFonts w:ascii="宋体" w:hAnsi="宋体"/>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14.1.5符合性审查文件</w:t>
      </w:r>
      <w:r>
        <w:rPr>
          <w:rFonts w:ascii="宋体" w:hAnsi="宋体"/>
          <w:b/>
          <w:sz w:val="24"/>
          <w:szCs w:val="24"/>
        </w:rPr>
      </w:r>
      <w:r/>
    </w:p>
    <w:p>
      <w:pPr>
        <w:pStyle w:val="1098"/>
        <w:spacing w:line="360" w:lineRule="auto"/>
        <w:rPr>
          <w:rFonts w:ascii="宋体" w:hAnsi="宋体" w:eastAsia="宋体"/>
          <w:szCs w:val="24"/>
          <w:lang w:eastAsia="zh-CN"/>
        </w:rPr>
      </w:pPr>
      <w:r>
        <w:rPr>
          <w:rFonts w:hint="eastAsia" w:ascii="宋体" w:hAnsi="宋体" w:eastAsia="宋体"/>
          <w:szCs w:val="24"/>
          <w:lang w:eastAsia="zh-CN"/>
        </w:rPr>
        <w:t xml:space="preserve">14.1.5.1投标函（格式见第三章）；</w:t>
      </w:r>
      <w:r>
        <w:rPr>
          <w:rFonts w:ascii="宋体" w:hAnsi="宋体" w:eastAsia="宋体"/>
          <w:szCs w:val="24"/>
          <w:lang w:eastAsia="zh-CN"/>
        </w:rPr>
      </w:r>
      <w:r/>
    </w:p>
    <w:p>
      <w:pPr>
        <w:pStyle w:val="851"/>
        <w:ind w:firstLine="408"/>
        <w:spacing w:line="360" w:lineRule="auto"/>
        <w:rPr>
          <w:rFonts w:ascii="宋体" w:hAnsi="宋体"/>
          <w:sz w:val="24"/>
          <w:szCs w:val="24"/>
        </w:rPr>
      </w:pPr>
      <w:r>
        <w:rPr>
          <w:rFonts w:hint="eastAsia" w:ascii="宋体" w:hAnsi="宋体"/>
          <w:sz w:val="24"/>
          <w:szCs w:val="24"/>
        </w:rPr>
        <w:t xml:space="preserve">14.1.5.2偏离表（格式见第三章）；</w:t>
      </w:r>
      <w:r>
        <w:rPr>
          <w:rFonts w:ascii="宋体" w:hAnsi="宋体"/>
          <w:sz w:val="24"/>
          <w:szCs w:val="24"/>
        </w:rPr>
      </w:r>
      <w:r/>
    </w:p>
    <w:p>
      <w:pPr>
        <w:pStyle w:val="851"/>
        <w:ind w:firstLine="408"/>
        <w:spacing w:line="360" w:lineRule="auto"/>
        <w:rPr>
          <w:rFonts w:ascii="宋体" w:hAnsi="宋体"/>
          <w:sz w:val="24"/>
          <w:szCs w:val="24"/>
        </w:rPr>
      </w:pPr>
      <w:r>
        <w:rPr>
          <w:rFonts w:hint="eastAsia" w:ascii="宋体" w:hAnsi="宋体"/>
          <w:sz w:val="24"/>
          <w:szCs w:val="24"/>
        </w:rPr>
        <w:t xml:space="preserve">14.1.5.3项目服务人员配置表（格式见第三章）；</w:t>
      </w:r>
      <w:r>
        <w:rPr>
          <w:rFonts w:ascii="宋体" w:hAnsi="宋体"/>
          <w:sz w:val="24"/>
          <w:szCs w:val="24"/>
        </w:rPr>
      </w:r>
      <w:r/>
    </w:p>
    <w:p>
      <w:pPr>
        <w:pStyle w:val="851"/>
        <w:ind w:firstLine="408"/>
        <w:spacing w:line="360" w:lineRule="auto"/>
        <w:rPr>
          <w:rFonts w:ascii="宋体" w:hAnsi="宋体"/>
          <w:b/>
          <w:sz w:val="24"/>
          <w:szCs w:val="24"/>
        </w:rPr>
      </w:pPr>
      <w:r>
        <w:rPr>
          <w:rFonts w:hint="eastAsia" w:ascii="宋体" w:hAnsi="宋体"/>
          <w:sz w:val="24"/>
          <w:szCs w:val="24"/>
        </w:rPr>
        <w:t xml:space="preserve">14.1.5.4其他有关符合性证明的文件；</w:t>
      </w:r>
      <w:r>
        <w:rPr>
          <w:rFonts w:ascii="宋体" w:hAnsi="宋体"/>
          <w:b/>
          <w:sz w:val="24"/>
          <w:szCs w:val="24"/>
        </w:rPr>
      </w:r>
      <w:r/>
    </w:p>
    <w:p>
      <w:pPr>
        <w:pStyle w:val="851"/>
        <w:ind w:firstLine="408"/>
        <w:spacing w:line="360" w:lineRule="auto"/>
        <w:rPr>
          <w:rFonts w:ascii="宋体" w:hAnsi="宋体"/>
          <w:b/>
          <w:sz w:val="24"/>
          <w:szCs w:val="24"/>
        </w:rPr>
      </w:pPr>
      <w:r>
        <w:rPr>
          <w:rFonts w:hint="eastAsia" w:ascii="宋体" w:hAnsi="宋体"/>
          <w:b/>
          <w:sz w:val="24"/>
          <w:szCs w:val="24"/>
        </w:rPr>
        <w:t xml:space="preserve">14.1.6综合评审文件</w:t>
      </w:r>
      <w:r>
        <w:rPr>
          <w:rFonts w:ascii="宋体" w:hAnsi="宋体"/>
          <w:b/>
          <w:sz w:val="24"/>
          <w:szCs w:val="24"/>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14.1.6.1方案比较；</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14.1.6.2项目团队人员配备；</w:t>
      </w:r>
      <w:r>
        <w:rPr>
          <w:rFonts w:ascii="宋体" w:hAnsi="宋体"/>
          <w:b/>
          <w:bCs/>
          <w:sz w:val="24"/>
          <w:szCs w:val="24"/>
          <w:lang w:val="zh-CN"/>
        </w:rPr>
      </w:r>
      <w:r/>
    </w:p>
    <w:p>
      <w:pPr>
        <w:pStyle w:val="851"/>
        <w:ind w:firstLine="408"/>
        <w:spacing w:line="360" w:lineRule="auto"/>
        <w:rPr>
          <w:rFonts w:ascii="宋体" w:hAnsi="宋体"/>
          <w:b/>
          <w:bCs/>
          <w:sz w:val="24"/>
          <w:szCs w:val="24"/>
          <w:lang w:val="zh-CN"/>
        </w:rPr>
      </w:pPr>
      <w:r>
        <w:rPr>
          <w:rFonts w:hint="eastAsia" w:ascii="宋体" w:hAnsi="宋体"/>
          <w:sz w:val="24"/>
          <w:szCs w:val="24"/>
          <w:lang w:val="zh-CN"/>
        </w:rPr>
        <w:t xml:space="preserve">14.1.6.3投标单位综合实力；</w:t>
      </w:r>
      <w:r>
        <w:rPr>
          <w:rFonts w:ascii="宋体" w:hAnsi="宋体"/>
          <w:b/>
          <w:bCs/>
          <w:sz w:val="24"/>
          <w:szCs w:val="24"/>
          <w:lang w:val="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14.1.7《中小企业声明函》或《残疾人福利性单位声明函》或由省级以上监狱管理局、戒毒管理局（含新疆生产建设兵团）出具的属于监狱企业的证明文件（如有）；</w:t>
      </w:r>
      <w:r>
        <w:rPr>
          <w:rFonts w:ascii="宋体" w:hAnsi="宋体" w:cs="宋体"/>
          <w:sz w:val="24"/>
          <w:szCs w:val="24"/>
        </w:rPr>
      </w:r>
      <w:r/>
    </w:p>
    <w:p>
      <w:pPr>
        <w:pStyle w:val="851"/>
        <w:ind w:firstLine="408"/>
        <w:spacing w:line="360" w:lineRule="auto"/>
        <w:rPr>
          <w:rFonts w:ascii="宋体" w:hAnsi="宋体"/>
          <w:sz w:val="24"/>
          <w:szCs w:val="24"/>
          <w:lang w:val="zh-CN"/>
        </w:rPr>
      </w:pPr>
      <w:r>
        <w:rPr>
          <w:rFonts w:hint="eastAsia" w:ascii="宋体" w:hAnsi="宋体"/>
          <w:sz w:val="24"/>
          <w:szCs w:val="24"/>
        </w:rPr>
        <w:t xml:space="preserve">14.1.8对属于《节能产品政府采购品目清单》政府强制采购产品的，需提供该产品有效期内的认证等相关证明材料（如有）；</w:t>
      </w:r>
      <w:r>
        <w:rPr>
          <w:rFonts w:ascii="宋体" w:hAnsi="宋体"/>
          <w:sz w:val="24"/>
          <w:szCs w:val="24"/>
          <w:lang w:val="zh-CN"/>
        </w:rPr>
      </w:r>
      <w:r/>
    </w:p>
    <w:p>
      <w:pPr>
        <w:pStyle w:val="851"/>
        <w:ind w:firstLine="408"/>
        <w:spacing w:line="360" w:lineRule="auto"/>
        <w:rPr>
          <w:rFonts w:ascii="宋体" w:hAnsi="宋体" w:cs="宋体"/>
          <w:sz w:val="24"/>
          <w:szCs w:val="24"/>
        </w:rPr>
      </w:pPr>
      <w:r>
        <w:rPr>
          <w:rFonts w:hint="eastAsia" w:ascii="宋体" w:hAnsi="宋体"/>
          <w:sz w:val="24"/>
          <w:szCs w:val="24"/>
        </w:rPr>
        <w:t xml:space="preserve">14.1.9其他可以证明投标人资质、服务质量的证书、文件等相关资料。</w:t>
      </w:r>
      <w:r>
        <w:rPr>
          <w:rFonts w:ascii="宋体" w:hAnsi="宋体" w:cs="宋体"/>
          <w:sz w:val="24"/>
          <w:szCs w:val="24"/>
        </w:rPr>
      </w:r>
      <w:r/>
    </w:p>
    <w:p>
      <w:pPr>
        <w:pStyle w:val="1169"/>
        <w:ind w:firstLine="430"/>
        <w:spacing w:line="360" w:lineRule="auto"/>
        <w:rPr>
          <w:b/>
          <w:bCs/>
          <w:sz w:val="24"/>
          <w:szCs w:val="24"/>
          <w:lang w:eastAsia="zh-CN"/>
        </w:rPr>
      </w:pPr>
      <w:r>
        <w:rPr>
          <w:rFonts w:hint="eastAsia"/>
          <w:b/>
          <w:bCs/>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rPr>
          <w:b/>
          <w:bCs/>
          <w:sz w:val="24"/>
          <w:szCs w:val="24"/>
          <w:lang w:eastAsia="zh-CN"/>
        </w:rPr>
      </w:r>
      <w:r/>
    </w:p>
    <w:p>
      <w:pPr>
        <w:pStyle w:val="1169"/>
        <w:ind w:firstLine="430"/>
        <w:spacing w:line="360" w:lineRule="auto"/>
        <w:rPr>
          <w:b/>
          <w:bCs/>
          <w:sz w:val="24"/>
          <w:szCs w:val="24"/>
          <w:lang w:eastAsia="zh-CN"/>
        </w:rPr>
      </w:pPr>
      <w:r>
        <w:rPr>
          <w:rFonts w:hint="eastAsia"/>
          <w:b/>
          <w:bCs/>
          <w:sz w:val="24"/>
          <w:szCs w:val="24"/>
          <w:lang w:eastAsia="zh-CN"/>
        </w:rPr>
        <w:t xml:space="preserve">（2）以上14.1.5.1-14.1.5.4为符合性审查须提供的资料，投标人必须提供并加盖电子公章。否则，投标文件将被认定为未实质性响应。</w:t>
      </w:r>
      <w:r>
        <w:rPr>
          <w:b/>
          <w:bCs/>
          <w:sz w:val="24"/>
          <w:szCs w:val="24"/>
          <w:lang w:eastAsia="zh-CN"/>
        </w:rPr>
      </w:r>
      <w:r/>
    </w:p>
    <w:p>
      <w:pPr>
        <w:pStyle w:val="1169"/>
        <w:ind w:firstLine="430"/>
        <w:spacing w:line="360" w:lineRule="auto"/>
        <w:rPr>
          <w:rFonts w:cs="Times New Roman"/>
          <w:sz w:val="24"/>
          <w:szCs w:val="24"/>
          <w:lang w:eastAsia="zh-CN"/>
        </w:rPr>
      </w:pPr>
      <w:r>
        <w:rPr>
          <w:rFonts w:hint="eastAsia"/>
          <w:b/>
          <w:sz w:val="24"/>
          <w:szCs w:val="24"/>
          <w:lang w:eastAsia="zh-CN"/>
        </w:rPr>
        <w:t xml:space="preserve">（3）“14.1.4-14.1.9”中不得出现投标总报价。</w:t>
      </w:r>
      <w:r>
        <w:rPr>
          <w:rFonts w:hint="eastAsia"/>
          <w:sz w:val="24"/>
          <w:szCs w:val="24"/>
          <w:lang w:eastAsia="zh-CN"/>
        </w:rPr>
        <w:t xml:space="preserve">投标人所提交的资料的完整与否，将直接影响投标人的评分。</w:t>
      </w:r>
      <w:r>
        <w:rPr>
          <w:rFonts w:cs="Times New Roman"/>
          <w:sz w:val="24"/>
          <w:szCs w:val="24"/>
          <w:lang w:eastAsia="zh-CN"/>
        </w:rPr>
      </w:r>
      <w:r/>
    </w:p>
    <w:p>
      <w:pPr>
        <w:pStyle w:val="1169"/>
        <w:ind w:firstLine="430"/>
        <w:spacing w:line="360" w:lineRule="auto"/>
        <w:rPr>
          <w:b/>
          <w:bCs/>
          <w:sz w:val="24"/>
          <w:szCs w:val="24"/>
          <w:lang w:eastAsia="zh-CN"/>
        </w:rPr>
      </w:pPr>
      <w:r>
        <w:rPr>
          <w:rFonts w:hint="eastAsia"/>
          <w:b/>
          <w:sz w:val="24"/>
          <w:szCs w:val="24"/>
          <w:lang w:eastAsia="zh-CN"/>
        </w:rPr>
        <w:t xml:space="preserve">（4）制作电子投标文件时必须与投标文件制作软件目录一一对应，将相关资料上传至相应模块。</w:t>
      </w:r>
      <w:r>
        <w:rPr>
          <w:b/>
          <w:bCs/>
          <w:sz w:val="24"/>
          <w:szCs w:val="24"/>
          <w:lang w:eastAsia="zh-CN"/>
        </w:rPr>
      </w:r>
      <w:r/>
    </w:p>
    <w:p>
      <w:pPr>
        <w:pStyle w:val="1169"/>
        <w:ind w:firstLine="430"/>
        <w:spacing w:line="360" w:lineRule="auto"/>
        <w:rPr>
          <w:rFonts w:cs="Times New Roman"/>
          <w:b/>
          <w:sz w:val="24"/>
          <w:szCs w:val="24"/>
          <w:lang w:eastAsia="zh-CN"/>
        </w:rPr>
      </w:pPr>
      <w:r>
        <w:rPr>
          <w:rFonts w:hint="eastAsia"/>
          <w:b/>
          <w:sz w:val="24"/>
          <w:szCs w:val="24"/>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rPr>
          <w:rFonts w:cs="Times New Roman"/>
          <w:b/>
          <w:sz w:val="24"/>
          <w:szCs w:val="24"/>
          <w:lang w:eastAsia="zh-CN"/>
        </w:rPr>
      </w:r>
      <w:r/>
    </w:p>
    <w:p>
      <w:pPr>
        <w:pStyle w:val="851"/>
        <w:ind w:firstLine="422"/>
        <w:spacing w:line="360" w:lineRule="auto"/>
        <w:rPr>
          <w:rFonts w:ascii="宋体" w:hAnsi="宋体"/>
          <w:b/>
          <w:sz w:val="24"/>
          <w:szCs w:val="24"/>
        </w:rPr>
      </w:pPr>
      <w:r>
        <w:rPr>
          <w:rFonts w:hint="eastAsia" w:ascii="宋体" w:hAnsi="宋体"/>
          <w:b/>
          <w:sz w:val="24"/>
          <w:szCs w:val="24"/>
        </w:rPr>
        <w:t xml:space="preserve">15.投标文件编制要求</w:t>
      </w:r>
      <w:r>
        <w:rPr>
          <w:rFonts w:ascii="宋体" w:hAnsi="宋体"/>
          <w:b/>
          <w:sz w:val="24"/>
          <w:szCs w:val="24"/>
        </w:rPr>
      </w:r>
      <w:r/>
    </w:p>
    <w:p>
      <w:pPr>
        <w:pStyle w:val="851"/>
        <w:ind w:firstLine="422"/>
        <w:spacing w:line="360" w:lineRule="auto"/>
        <w:rPr>
          <w:rFonts w:ascii="宋体" w:hAnsi="宋体"/>
          <w:b/>
          <w:sz w:val="24"/>
          <w:szCs w:val="24"/>
        </w:rPr>
      </w:pPr>
      <w:r>
        <w:rPr>
          <w:rFonts w:hint="eastAsia" w:ascii="宋体" w:hAnsi="宋体"/>
          <w:b/>
          <w:sz w:val="24"/>
          <w:szCs w:val="24"/>
        </w:rPr>
        <w:t xml:space="preserve">15.1投标文件按统一格式、顺序编写。</w:t>
      </w:r>
      <w:r>
        <w:rPr>
          <w:rFonts w:ascii="宋体" w:hAnsi="宋体"/>
          <w:b/>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15.2《开标一览表》为在开标仪式上唱标的内容，要求按格式填写，统一规范，不得自行增减内容。</w:t>
      </w:r>
      <w:r>
        <w:rPr>
          <w:rFonts w:ascii="宋体" w:hAnsi="宋体"/>
          <w:sz w:val="24"/>
          <w:szCs w:val="24"/>
        </w:rPr>
      </w:r>
      <w:r/>
    </w:p>
    <w:p>
      <w:pPr>
        <w:pStyle w:val="1169"/>
        <w:ind w:firstLine="422"/>
        <w:spacing w:line="360" w:lineRule="auto"/>
        <w:rPr>
          <w:b/>
          <w:sz w:val="24"/>
          <w:szCs w:val="24"/>
          <w:lang w:eastAsia="zh-CN"/>
        </w:rPr>
      </w:pPr>
      <w:r>
        <w:rPr>
          <w:rFonts w:hint="eastAsia"/>
          <w:b/>
          <w:sz w:val="24"/>
          <w:szCs w:val="24"/>
          <w:lang w:eastAsia="zh-CN"/>
        </w:rPr>
        <w:t xml:space="preserve">16.投标报价（编制）要求的说明</w:t>
      </w:r>
      <w:r>
        <w:rPr>
          <w:b/>
          <w:sz w:val="24"/>
          <w:szCs w:val="24"/>
          <w:lang w:eastAsia="zh-CN"/>
        </w:rPr>
      </w:r>
      <w:r/>
    </w:p>
    <w:p>
      <w:pPr>
        <w:pStyle w:val="851"/>
        <w:ind w:firstLine="420"/>
        <w:spacing w:line="360" w:lineRule="auto"/>
        <w:rPr>
          <w:rFonts w:ascii="宋体" w:hAnsi="宋体" w:cs="宋体"/>
          <w:sz w:val="24"/>
          <w:szCs w:val="24"/>
        </w:rPr>
      </w:pPr>
      <w:r>
        <w:rPr>
          <w:rFonts w:hint="eastAsia" w:ascii="宋体" w:hAnsi="宋体"/>
          <w:sz w:val="24"/>
          <w:szCs w:val="24"/>
        </w:rPr>
        <w:t xml:space="preserve">16.1除非合同中另有规定，投标人对《开标一览表》中的报价</w:t>
      </w:r>
      <w:r>
        <w:rPr>
          <w:rFonts w:hint="eastAsia" w:ascii="宋体" w:hAnsi="宋体"/>
          <w:sz w:val="24"/>
          <w:szCs w:val="24"/>
          <w:lang w:val="zh-CN"/>
        </w:rPr>
        <w:t xml:space="preserve">应综合考量</w:t>
      </w:r>
      <w:r>
        <w:rPr>
          <w:rFonts w:hint="eastAsia" w:ascii="宋体" w:hAnsi="宋体"/>
          <w:sz w:val="24"/>
          <w:szCs w:val="24"/>
        </w:rPr>
        <w:t xml:space="preserve">完成本次服务项目所需的服务成本、经营成本、法定税费和管理企业的利润、保险及合同包含的所有风险、责任等各项应有费用。</w:t>
      </w:r>
      <w:r>
        <w:rPr>
          <w:rFonts w:hint="eastAsia" w:ascii="宋体" w:hAnsi="宋体"/>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4"/>
          <w:szCs w:val="24"/>
        </w:rPr>
        <w:t xml:space="preserve">。</w:t>
      </w:r>
      <w:r>
        <w:rPr>
          <w:rFonts w:ascii="宋体" w:hAnsi="宋体" w:cs="宋体"/>
          <w:sz w:val="24"/>
          <w:szCs w:val="24"/>
        </w:rPr>
      </w:r>
      <w:r/>
    </w:p>
    <w:p>
      <w:pPr>
        <w:pStyle w:val="1169"/>
        <w:ind w:firstLine="420"/>
        <w:spacing w:line="360" w:lineRule="auto"/>
        <w:rPr>
          <w:sz w:val="24"/>
          <w:szCs w:val="24"/>
          <w:lang w:eastAsia="zh-CN"/>
        </w:rPr>
      </w:pPr>
      <w:r>
        <w:rPr>
          <w:rFonts w:hint="eastAsia"/>
          <w:sz w:val="24"/>
          <w:szCs w:val="24"/>
          <w:lang w:eastAsia="zh-CN"/>
        </w:rPr>
        <w:t xml:space="preserve">16.2投标人应按《公开分项报价》要求的内容填写，并由其法定代表人或授权代理人签署。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16.3投标人应对招标文件内所要采购的全部内容进行报价，只投其中部分内容者，其标书将被拒绝（如为多标段项目，则上述提到的全部内容是指所投标段对应采购的全部内容）。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16.4一项投标内容只允许一个报价，招标人不接受任何有选择性的投标报价。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16.5投标文件报价采用人民币表示，除非合同的特殊条款另有规定。</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16.6最低的报价或最</w:t>
      </w:r>
      <w:r>
        <w:rPr>
          <w:rFonts w:hint="eastAsia"/>
          <w:sz w:val="24"/>
          <w:szCs w:val="24"/>
          <w:lang w:val="en-US" w:eastAsia="zh-CN"/>
        </w:rPr>
        <w:t xml:space="preserve">高</w:t>
      </w:r>
      <w:r>
        <w:rPr>
          <w:rFonts w:hint="eastAsia"/>
          <w:sz w:val="24"/>
          <w:szCs w:val="24"/>
          <w:lang w:eastAsia="zh-CN"/>
        </w:rPr>
        <w:t xml:space="preserve">的</w:t>
      </w:r>
      <w:r>
        <w:rPr>
          <w:rFonts w:hint="eastAsia"/>
          <w:sz w:val="24"/>
          <w:szCs w:val="24"/>
          <w:lang w:val="en-US" w:eastAsia="zh-CN"/>
        </w:rPr>
        <w:t xml:space="preserve">优惠</w:t>
      </w:r>
      <w:r>
        <w:rPr>
          <w:rFonts w:hint="eastAsia"/>
          <w:sz w:val="24"/>
          <w:szCs w:val="24"/>
          <w:lang w:eastAsia="zh-CN"/>
        </w:rPr>
        <w:t xml:space="preserve">率不能作为中标的保证。</w:t>
      </w:r>
      <w:r>
        <w:rPr>
          <w:sz w:val="24"/>
          <w:szCs w:val="24"/>
          <w:lang w:eastAsia="zh-CN"/>
        </w:rPr>
      </w:r>
      <w:r/>
    </w:p>
    <w:p>
      <w:pPr>
        <w:pStyle w:val="1169"/>
        <w:ind w:firstLine="422"/>
        <w:spacing w:line="360" w:lineRule="auto"/>
        <w:rPr>
          <w:b/>
          <w:sz w:val="24"/>
          <w:szCs w:val="24"/>
          <w:lang w:val="en-US" w:eastAsia="zh-CN"/>
        </w:rPr>
      </w:pPr>
      <w:r>
        <w:rPr>
          <w:rFonts w:hint="eastAsia"/>
          <w:b/>
          <w:sz w:val="24"/>
          <w:szCs w:val="24"/>
          <w:lang w:eastAsia="zh-CN"/>
        </w:rPr>
        <w:t xml:space="preserve">17.投标保证金：</w:t>
      </w:r>
      <w:r>
        <w:rPr>
          <w:rFonts w:hint="eastAsia"/>
          <w:b/>
          <w:sz w:val="24"/>
          <w:szCs w:val="24"/>
          <w:lang w:val="en-US" w:eastAsia="zh-CN"/>
        </w:rPr>
        <w:t xml:space="preserve">本项目不收取投标保证金。</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18.投标文件的有效期</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18.1自提交投标文件截止之日起90天内，投标文件中承诺的投标有效期应当不少于招标文件中载明的投标有效期。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18.2在特殊情况下，采购人、采购代理机构可与投标人协商延长投标书的有效期。这种要求和答复都应以书面形式进行。同意延长有效期的投标人不能修改投标文件。</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19.投标文件的制作、签署、上传</w:t>
      </w:r>
      <w:r>
        <w:rPr>
          <w:b/>
          <w:sz w:val="24"/>
          <w:szCs w:val="24"/>
          <w:lang w:eastAsia="zh-CN"/>
        </w:rPr>
      </w:r>
      <w:r/>
    </w:p>
    <w:p>
      <w:pPr>
        <w:pStyle w:val="1169"/>
        <w:ind w:firstLine="428"/>
        <w:spacing w:line="360" w:lineRule="auto"/>
        <w:rPr>
          <w:rFonts w:cs="Times New Roman"/>
          <w:b/>
          <w:sz w:val="24"/>
          <w:szCs w:val="24"/>
          <w:lang w:val="en-US" w:eastAsia="zh-CN"/>
        </w:rPr>
      </w:pPr>
      <w:r>
        <w:rPr>
          <w:rFonts w:hint="eastAsia"/>
          <w:sz w:val="24"/>
          <w:szCs w:val="24"/>
          <w:lang w:eastAsia="zh-CN"/>
        </w:rPr>
        <w:t xml:space="preserve">19.1本项目采用电子招投标形式，请供应商按照</w:t>
      </w:r>
      <w:r>
        <w:rPr>
          <w:rFonts w:hint="eastAsia"/>
          <w:b/>
          <w:sz w:val="24"/>
          <w:szCs w:val="24"/>
          <w:lang w:eastAsia="zh-CN"/>
        </w:rPr>
        <w:t xml:space="preserve">《苏采云系统供应商操作手册》</w:t>
      </w:r>
      <w:r>
        <w:rPr>
          <w:rFonts w:hint="eastAsia"/>
          <w:sz w:val="24"/>
          <w:szCs w:val="24"/>
          <w:lang w:eastAsia="zh-CN"/>
        </w:rPr>
        <w:t xml:space="preserve">进行制作、上传电子投标文件。</w:t>
      </w:r>
      <w:r>
        <w:rPr>
          <w:rFonts w:cs="Times New Roman"/>
          <w:b/>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19.2制作电子投标文件时，应按照招标文件要求加盖投标人电子公章。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19.3</w:t>
      </w:r>
      <w:r>
        <w:rPr>
          <w:rFonts w:hint="eastAsia"/>
          <w:b/>
          <w:sz w:val="24"/>
          <w:szCs w:val="24"/>
          <w:lang w:eastAsia="zh-CN"/>
        </w:rPr>
        <w:t xml:space="preserve">电子投标文件制作完成后请于投标文件网上提交截止时间前成功上传至“苏采云”系统，否则视为放弃参加该采购项目。</w:t>
      </w:r>
      <w:bookmarkStart w:id="23" w:name="_Toc31150"/>
      <w:r/>
      <w:bookmarkStart w:id="24" w:name="_Toc25608"/>
      <w:r>
        <w:rPr>
          <w:rFonts w:hint="eastAsia"/>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五、投标文件的递交、补充、修改和撤回</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20.投标文件的递交</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20.1投标人应当在在投标截止时间前制作并上传电子投标文件。</w:t>
      </w:r>
      <w:r>
        <w:rPr>
          <w:sz w:val="24"/>
          <w:szCs w:val="24"/>
          <w:lang w:eastAsia="zh-CN"/>
        </w:rPr>
      </w:r>
      <w:r/>
    </w:p>
    <w:p>
      <w:pPr>
        <w:pStyle w:val="1098"/>
        <w:spacing w:line="360" w:lineRule="auto"/>
        <w:rPr>
          <w:rFonts w:ascii="宋体" w:hAnsi="宋体" w:eastAsia="宋体" w:cs="宋体"/>
          <w:b/>
          <w:szCs w:val="24"/>
          <w:lang w:eastAsia="zh-CN"/>
        </w:rPr>
      </w:pPr>
      <w:r>
        <w:rPr>
          <w:rFonts w:hint="eastAsia" w:ascii="宋体" w:hAnsi="宋体" w:eastAsia="宋体"/>
          <w:szCs w:val="24"/>
          <w:lang w:eastAsia="zh-CN"/>
        </w:rPr>
        <w:t xml:space="preserve">20.2投标人通过</w:t>
      </w:r>
      <w:r>
        <w:rPr>
          <w:rFonts w:hint="eastAsia" w:ascii="宋体" w:hAnsi="宋体" w:eastAsia="宋体"/>
          <w:b/>
          <w:szCs w:val="24"/>
          <w:lang w:eastAsia="zh-CN"/>
        </w:rPr>
        <w:t xml:space="preserve">“苏采云”系统不见面开标大厅在线参与开标活动。（具体操作详见《苏采云系统供应商操作手册》，网址链接https://czju.suzhou.gov.cn/zfcg/html/content/20231220161910031.shtml）</w:t>
      </w:r>
      <w:r>
        <w:rPr>
          <w:rFonts w:ascii="宋体" w:hAnsi="宋体" w:eastAsia="宋体" w:cs="宋体"/>
          <w:b/>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21.投标截止时间</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21.1投标人应当在招标文件要求投标文件网上提交截止时间前，将投标文件完成提交（上传）。逾期提交（上传）的投标文件，采购人和采购代理机构拒绝接收。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21.3在投标截止时间止成功解密的投标文件少于三份，采购代理机构有权宣布本次招标失败。</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22.投标文件的补充、修改和撤回</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22.2投标人在投标文件网上提交截止时间前，可以撤回其电子投标文件，具体操作方法见《苏采云系统供应商操作手册》。</w:t>
      </w:r>
      <w:bookmarkStart w:id="25" w:name="_Toc29371"/>
      <w:r/>
      <w:bookmarkStart w:id="26" w:name="_Toc22837"/>
      <w:r>
        <w:rPr>
          <w:rFonts w:hint="eastAsia"/>
          <w:sz w:val="24"/>
          <w:szCs w:val="24"/>
          <w:lang w:eastAsia="zh-CN"/>
        </w:rPr>
        <w:t xml:space="preserve">投标人撤回电子投标文件，则认为其不再参与本项目投标活动。在投标截止时间至招标文件中规定的投标有效期满之间的这段时间内，投标人不得撤回其投标。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六、开标和评标</w:t>
      </w:r>
      <w:bookmarkEnd w:id="25"/>
      <w:r/>
      <w:bookmarkEnd w:id="26"/>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23.开标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23.1开标由采购代理机构</w:t>
      </w:r>
      <w:r>
        <w:rPr>
          <w:rFonts w:hint="eastAsia"/>
          <w:sz w:val="24"/>
          <w:szCs w:val="24"/>
          <w:lang w:val="en-US" w:eastAsia="zh-CN"/>
        </w:rPr>
        <w:t xml:space="preserve">在线</w:t>
      </w:r>
      <w:r>
        <w:rPr>
          <w:rFonts w:hint="eastAsia"/>
          <w:sz w:val="24"/>
          <w:szCs w:val="24"/>
          <w:lang w:eastAsia="zh-CN"/>
        </w:rPr>
        <w:t xml:space="preserve">主持，邀请投标人</w:t>
      </w:r>
      <w:r>
        <w:rPr>
          <w:rFonts w:hint="eastAsia"/>
          <w:sz w:val="24"/>
          <w:szCs w:val="24"/>
          <w:lang w:val="en-US" w:eastAsia="zh-CN"/>
        </w:rPr>
        <w:t xml:space="preserve">在线</w:t>
      </w:r>
      <w:r>
        <w:rPr>
          <w:rFonts w:hint="eastAsia"/>
          <w:sz w:val="24"/>
          <w:szCs w:val="24"/>
          <w:lang w:eastAsia="zh-CN"/>
        </w:rPr>
        <w:t xml:space="preserve">参加。投标人应当按照《苏采云系统供应商操作手册》规定，</w:t>
      </w:r>
      <w:r>
        <w:rPr>
          <w:rFonts w:hint="eastAsia"/>
          <w:b/>
          <w:sz w:val="24"/>
          <w:szCs w:val="24"/>
          <w:lang w:eastAsia="zh-CN"/>
        </w:rPr>
        <w:t xml:space="preserve">参加开标活动和在“苏采云”系统规定的时间内对投标文件进行解密</w:t>
      </w:r>
      <w:r>
        <w:rPr>
          <w:rFonts w:hint="eastAsia"/>
          <w:sz w:val="24"/>
          <w:szCs w:val="24"/>
          <w:lang w:eastAsia="zh-CN"/>
        </w:rPr>
        <w:t xml:space="preserve">。评标委员会成员不得参加开标活动。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23.2开标时，由采购代理机构</w:t>
      </w:r>
      <w:r>
        <w:rPr>
          <w:rFonts w:hint="eastAsia"/>
          <w:sz w:val="24"/>
          <w:szCs w:val="24"/>
          <w:lang w:val="en-US" w:eastAsia="zh-CN"/>
        </w:rPr>
        <w:t xml:space="preserve">通过“苏采云”系统在线</w:t>
      </w:r>
      <w:r>
        <w:rPr>
          <w:rFonts w:hint="eastAsia"/>
          <w:sz w:val="24"/>
          <w:szCs w:val="24"/>
          <w:lang w:eastAsia="zh-CN"/>
        </w:rPr>
        <w:t xml:space="preserve">宣布投标人名称、投标价格和招标文件规定的需要宣布的其他内容。</w:t>
      </w:r>
      <w:r>
        <w:rPr>
          <w:rFonts w:hint="eastAsia"/>
          <w:sz w:val="24"/>
          <w:szCs w:val="24"/>
          <w:lang w:val="en-US" w:eastAsia="zh-CN"/>
        </w:rPr>
        <w:t xml:space="preserve">投标人在不见面开标系统中确认投标价格，如</w:t>
      </w:r>
      <w:r>
        <w:rPr>
          <w:rFonts w:hint="eastAsia"/>
          <w:sz w:val="24"/>
          <w:szCs w:val="24"/>
          <w:lang w:eastAsia="zh-CN"/>
        </w:rPr>
        <w:t xml:space="preserve">投标人未</w:t>
      </w:r>
      <w:r>
        <w:rPr>
          <w:rFonts w:hint="eastAsia"/>
          <w:sz w:val="24"/>
          <w:szCs w:val="24"/>
          <w:lang w:val="en-US" w:eastAsia="zh-CN"/>
        </w:rPr>
        <w:t xml:space="preserve">在线</w:t>
      </w:r>
      <w:r>
        <w:rPr>
          <w:rFonts w:hint="eastAsia"/>
          <w:sz w:val="24"/>
          <w:szCs w:val="24"/>
          <w:lang w:eastAsia="zh-CN"/>
        </w:rPr>
        <w:t xml:space="preserve">参加开标</w:t>
      </w:r>
      <w:r>
        <w:rPr>
          <w:rFonts w:hint="eastAsia"/>
          <w:sz w:val="24"/>
          <w:szCs w:val="24"/>
          <w:lang w:val="en-US" w:eastAsia="zh-CN"/>
        </w:rPr>
        <w:t xml:space="preserve">或未在规定时间内确认价格</w:t>
      </w:r>
      <w:r>
        <w:rPr>
          <w:rFonts w:hint="eastAsia"/>
          <w:sz w:val="24"/>
          <w:szCs w:val="24"/>
          <w:lang w:eastAsia="zh-CN"/>
        </w:rPr>
        <w:t xml:space="preserve">的，视同认可开标结果。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23.3资格审查</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23.3.1公开招标采购项目开标结束后，采购人应当依法对投标人的资格进行审查，未通过资格审查的视为无效投标。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23.3.2.1查询时间：投标文件递交截止时间。</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23.3.2.2查询渠道</w:t>
      </w:r>
      <w:r>
        <w:rPr>
          <w:rFonts w:hint="eastAsia"/>
          <w:b/>
          <w:sz w:val="24"/>
          <w:szCs w:val="24"/>
          <w:lang w:eastAsia="zh-CN"/>
        </w:rPr>
        <w:t xml:space="preserve">：</w:t>
      </w:r>
      <w:r>
        <w:rPr>
          <w:rFonts w:hint="eastAsia"/>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b/>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24.评标委员会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24.1评标委员会负责具体评标事务，并独立履行下列职责：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24.1.1审查、评价投标文件是否符合招标文件的商务、技术等实质性要求；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24.1.2要求投标人对投标文件有关事项作出澄清或者说明；</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24.1.3对投标文件进行比较和评价；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24.1.4确定中标候选人名单，以及根据采购人委托直接确定中标人；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24.1.5向采购人、采购代理机构或者有关部门报告评标中发现的违法行为。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24.2评标委员会成员应当履行下列义务：</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24.2.1遵纪守法，客观、公正、廉洁地履行职责；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24.2.2按照招标文件规定的评标办法和评标标准进行评标，对评审意见承担个人责任；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24.2.3对评标过程和结果，以及投标人的商业秘密保密；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24.2.4评标委员会根据全体评标成员签字的原始评标记录和评标结果编写评标报告。评标报告应当包括以下内容： </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（一）招标公告刊登的媒体名称、开标日期和地点；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（二）投标人名单和评标委员会成员名单；</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（三）评标方法和标准；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（四）开标记录和评标情况及说明，包括无效投标人名单及原因；</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（五）评标结果，确定的中标候选人名单或者经采购人委托直接确定的中标人；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（六）其他需要说明的情况，包括评标过程中投标人根据评标委员会要求进行的澄清、说明或者补正，评标委员会成员的更换等。</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24.2.5配合相关部门的投诉处理工作；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24.2.6配合采购人和采购代理机构答复投标人提出的质疑。</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25.评标内容的保密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25.1公开开标后，直到宣布授予中标合同为止，凡属于审查、澄清、评价和比较投标的所有资料，有关授予合同的信息都不应向投标人或与评标无关的其他人泄露。</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25.2在投标文件的审查、澄清、评价和比较以及授予合同的过程中，投标人对采购人、采购代理机构和评标委员会成员施加影响的任何行为，都将取消其中标资格。</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26.对投标文件初审</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26.1评标委员会应当对符合资格的投标人的投标文件进行符合性审查，以确定其是否满足招标文件的实质性要求。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投标文件有下列情况之一者评标委员会有权将其拒绝：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26.1.1投标人的投标文件未按照本须知规定制作的；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26.1.2未按本须知规定提交资格文件；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26.1.3与招标文件有重大偏离；</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26.1.4投标人拒绝修正错误；</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26.1.5投标人的报价是选择性的；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26.1.6投标人的报价只投了部分内容；</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26.1.7投标人的投标文件出现了评标委员会认为不应当雷同的情况；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26.1.8其他被评委会认定无效的情况。</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26.3投标文件报价出现前后不一致的，除招标文件另有规定外，按照下列规定修正：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（一）投标文件中开标一览表（报价表）内容与投标文件中相应内容不一致的，以开标一览表（报价表）为准；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（二）大写金额和小写金额不一致的，以大写金额为准；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（三）单价金额小数点或者百分比有明显错位的，以开标一览表的总价为准，并修改单价；</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（四）总价金额与按单价汇总金额不一致的，以单价金额计算结果为准。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27.投标的澄清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27.1对于投标文件中含义不明确、同类问题表述不一致或者有明显文字和计算错误的内容，评标委员会应当以书面形式要求投标人作出必要的澄清、说明或者补正。</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27.2投标人的澄清、说明或者补正应当采用书面形式，并加盖</w:t>
      </w:r>
      <w:r>
        <w:rPr>
          <w:rFonts w:hint="eastAsia"/>
          <w:sz w:val="24"/>
          <w:szCs w:val="24"/>
          <w:lang w:val="en-US" w:eastAsia="zh-CN"/>
        </w:rPr>
        <w:t xml:space="preserve">其单位电子</w:t>
      </w:r>
      <w:r>
        <w:rPr>
          <w:rFonts w:hint="eastAsia"/>
          <w:sz w:val="24"/>
          <w:szCs w:val="24"/>
          <w:lang w:eastAsia="zh-CN"/>
        </w:rPr>
        <w:t xml:space="preserve">公章。投标人的澄清、说明或者补正不得超出投标文件的范围或者改变投标文件的实质性内容。</w:t>
      </w:r>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sz w:val="24"/>
          <w:szCs w:val="24"/>
          <w:lang w:eastAsia="zh-CN"/>
        </w:rPr>
        <w:t xml:space="preserve">(</w:t>
      </w:r>
      <w:r>
        <w:rPr>
          <w:rFonts w:hint="eastAsia"/>
          <w:b/>
          <w:sz w:val="24"/>
          <w:szCs w:val="24"/>
          <w:lang w:eastAsia="zh-CN"/>
        </w:rPr>
        <w:t xml:space="preserve">此处规定时间的计算以系统中的倒计时间为准，</w:t>
      </w:r>
      <w:r>
        <w:rPr>
          <w:rFonts w:hint="eastAsia"/>
          <w:sz w:val="24"/>
          <w:szCs w:val="24"/>
          <w:lang w:eastAsia="zh-CN"/>
        </w:rPr>
        <w:t xml:space="preserve">供应商应随时保持系统在线，如因供应商自身原因未在规定时间内提交澄清确认资料的，导致的不利后果由供应商自行承担。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28.投标无效</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28.1投标人存在下列情况之一的，投标无效: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）投标文件未按招标文件要求签署、盖章的；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）不具备招标文件中规定的资格要求的；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）报价超过招标文件中规定的预算金额或者最高限价的；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）投标文件含有采购人不能接受的附加条件的；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（五）法律、法规和招标文件规定的其他无效情形。</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28.2投标人应当遵循公平竞争的原则，不得恶意串通，不得妨碍其他投标人的竞争行为，不得损害采购人或者其他投标人的合法权益。</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在评标过程中发现投标人有上述情形的，评标委员会应当认定其投标无效，并书面报告本级财政部门。</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28.3有下列情形之一的，视为投标人串通投标，其投标无效：</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（一）不同投标人的投标文件由同一单位或者个人编制；</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（二）不同投标人委托同一单位或者个人办理投标事宜；</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（三）不同投标人的投标文件载明的项目管理成员或者联系人员为同一人；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（四）不同投标人的投标文件异常一致或者投标报价呈规律性差异；</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（五）不同投标人的投标文件相互混装。</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29.废标</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29.1在招标过程中，出现下列情况之一的，应予废标：</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29.1.1符合专业条件的供应商或者对招标文件作实质投标的供应商不足</w:t>
      </w:r>
      <w:r>
        <w:rPr>
          <w:rFonts w:hint="eastAsia"/>
          <w:sz w:val="24"/>
          <w:szCs w:val="24"/>
          <w:lang w:val="en-US" w:eastAsia="zh-CN"/>
        </w:rPr>
        <w:t xml:space="preserve">三</w:t>
      </w:r>
      <w:r>
        <w:rPr>
          <w:rFonts w:hint="eastAsia"/>
          <w:sz w:val="24"/>
          <w:szCs w:val="24"/>
          <w:lang w:eastAsia="zh-CN"/>
        </w:rPr>
        <w:t xml:space="preserve">家的；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29.1.2出现影响采购公正的违法、违规行为的；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29.1.3投标人的报价均超过了采购预算，采购人不能支付的；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28.1.4因重大变故，采购任务取消的；</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29.2废标后，采购人和采购代理机构将把废标的理由通知所有投标人。</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30.投标文件的评价和比较</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30.2最低的投标报价或最高的折扣比例是中标的重要条件，但不是唯一条件。</w:t>
      </w:r>
      <w:bookmarkStart w:id="27" w:name="_Toc19501"/>
      <w:r/>
      <w:bookmarkStart w:id="28" w:name="_Toc18442"/>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七、授予合同</w:t>
      </w:r>
      <w:bookmarkEnd w:id="27"/>
      <w:r/>
      <w:bookmarkEnd w:id="28"/>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31.中标单位的确认</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31.1评标委员会根据投标人资格审查情况，对投标文件进行评价和比较，按照评标办法和标准进行评标，并按采购人的委托向采购人推荐中标人。</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32.合同授予标准</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采购人将把合同授予其投标文件在实质上响应投标招标文件要求且按本须知规定评选出的投标人。确定为中标的投标人必须具有实施本合同的能力和资源。</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33.中标通知书</w:t>
      </w:r>
      <w:r>
        <w:rPr>
          <w:b/>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33.1确定出中标人后，采购代理机构在法定时间内向中标人发出中标通知书。</w:t>
      </w:r>
      <w:r>
        <w:rPr>
          <w:rFonts w:hint="eastAsia"/>
          <w:b/>
          <w:sz w:val="24"/>
          <w:szCs w:val="24"/>
          <w:lang w:eastAsia="zh-CN"/>
        </w:rPr>
        <w:t xml:space="preserve">请中标人在中标结果公告届满之日起30日内,使用CA证书登录“苏采云”系统及时下载中标通知书。</w:t>
      </w:r>
      <w:r>
        <w:rPr>
          <w:rFonts w:hint="eastAsia"/>
          <w:sz w:val="24"/>
          <w:szCs w:val="24"/>
          <w:lang w:eastAsia="zh-CN"/>
        </w:rPr>
        <w:t xml:space="preserve">因系统存储空间有限，自中标结果公告届满之日起30日后，“苏采云”系统不再保证提供下载中标通知书服务,因未及时下载而造成的不利后果由中标人自行承担。</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33.2中标通知书将成为合同的组成部分，对采购人和中标人具有同等法律效力。</w:t>
      </w:r>
      <w:r>
        <w:rPr>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34.3中标通知书发出后，采购人不得违法改变中标结果，中标人无正当理由不得放弃中标。</w:t>
      </w:r>
      <w:r>
        <w:rPr>
          <w:sz w:val="24"/>
          <w:szCs w:val="24"/>
          <w:lang w:eastAsia="zh-CN"/>
        </w:rPr>
      </w:r>
      <w:r/>
    </w:p>
    <w:p>
      <w:pPr>
        <w:pStyle w:val="1169"/>
        <w:ind w:firstLine="422"/>
        <w:spacing w:line="360" w:lineRule="auto"/>
        <w:rPr>
          <w:b/>
          <w:sz w:val="24"/>
          <w:szCs w:val="24"/>
          <w:lang w:eastAsia="zh-CN"/>
        </w:rPr>
      </w:pPr>
      <w:r>
        <w:rPr>
          <w:rFonts w:hint="eastAsia"/>
          <w:b/>
          <w:sz w:val="24"/>
          <w:szCs w:val="24"/>
          <w:lang w:eastAsia="zh-CN"/>
        </w:rPr>
        <w:t xml:space="preserve">34.合同的签订</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sz w:val="24"/>
          <w:szCs w:val="24"/>
          <w:lang w:eastAsia="zh-CN"/>
        </w:rPr>
      </w:r>
      <w:r/>
    </w:p>
    <w:p>
      <w:pPr>
        <w:pStyle w:val="1169"/>
        <w:ind w:firstLine="420"/>
        <w:spacing w:line="360" w:lineRule="auto"/>
        <w:rPr>
          <w:sz w:val="24"/>
          <w:szCs w:val="24"/>
          <w:lang w:val="en-US" w:eastAsia="zh-CN"/>
        </w:rPr>
      </w:pPr>
      <w:r>
        <w:rPr>
          <w:rFonts w:hint="eastAsia"/>
          <w:sz w:val="24"/>
          <w:szCs w:val="24"/>
          <w:lang w:eastAsia="zh-CN"/>
        </w:rPr>
        <w:t xml:space="preserve">34.2 </w:t>
      </w:r>
      <w:r>
        <w:rPr>
          <w:rFonts w:hint="eastAsia"/>
          <w:sz w:val="24"/>
          <w:szCs w:val="24"/>
          <w:lang w:val="en-US" w:eastAsia="zh-CN"/>
        </w:rPr>
        <w:t xml:space="preserve">采购人与中标人所签订的合同不得对招标文件确定的事项和中标人投标文件作实质性修改，采购人不得向中标人提出任何不合理的要求作为签订合同的条件。</w:t>
      </w:r>
      <w:r>
        <w:rPr>
          <w:sz w:val="24"/>
          <w:szCs w:val="24"/>
          <w:lang w:val="en-US" w:eastAsia="zh-CN"/>
        </w:rPr>
      </w:r>
      <w:r/>
    </w:p>
    <w:p>
      <w:pPr>
        <w:pStyle w:val="1169"/>
        <w:ind w:firstLine="420"/>
        <w:spacing w:line="360" w:lineRule="auto"/>
        <w:rPr>
          <w:sz w:val="24"/>
          <w:szCs w:val="24"/>
          <w:lang w:eastAsia="zh-CN"/>
        </w:rPr>
      </w:pPr>
      <w:r>
        <w:rPr>
          <w:rFonts w:hint="eastAsia"/>
          <w:sz w:val="24"/>
          <w:szCs w:val="24"/>
          <w:lang w:eastAsia="zh-CN"/>
        </w:rPr>
        <w:t xml:space="preserve">34.3招标文件、中标人的投标文件及招标过程中有关澄清、承诺文件均应作为合同附件。</w:t>
      </w:r>
      <w:r>
        <w:rPr>
          <w:sz w:val="24"/>
          <w:szCs w:val="24"/>
          <w:lang w:eastAsia="zh-CN"/>
        </w:rPr>
      </w:r>
      <w:r/>
    </w:p>
    <w:p>
      <w:pPr>
        <w:pStyle w:val="1169"/>
        <w:ind w:firstLine="420"/>
        <w:spacing w:line="360" w:lineRule="auto"/>
        <w:rPr>
          <w:b/>
          <w:sz w:val="24"/>
          <w:szCs w:val="24"/>
          <w:lang w:eastAsia="zh-CN"/>
        </w:rPr>
      </w:pPr>
      <w:r>
        <w:rPr>
          <w:rFonts w:hint="eastAsia"/>
          <w:sz w:val="24"/>
          <w:szCs w:val="24"/>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b/>
          <w:sz w:val="24"/>
          <w:szCs w:val="24"/>
          <w:lang w:eastAsia="zh-CN"/>
        </w:rPr>
      </w:r>
      <w:r/>
    </w:p>
    <w:p>
      <w:pPr>
        <w:pStyle w:val="1169"/>
        <w:ind w:firstLine="420"/>
        <w:spacing w:line="360" w:lineRule="auto"/>
        <w:rPr>
          <w:sz w:val="24"/>
          <w:szCs w:val="24"/>
          <w:lang w:eastAsia="zh-CN"/>
        </w:rPr>
      </w:pPr>
      <w:r>
        <w:rPr>
          <w:rFonts w:hint="eastAsia"/>
          <w:sz w:val="24"/>
          <w:szCs w:val="24"/>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9" w:name="_Toc8186"/>
      <w:r/>
      <w:bookmarkStart w:id="30" w:name="_Toc21029"/>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八、其他事项</w:t>
      </w:r>
      <w:bookmarkEnd w:id="29"/>
      <w:r/>
      <w:bookmarkEnd w:id="30"/>
      <w:r>
        <w:rPr>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35.代理服务费：</w:t>
      </w:r>
      <w:r>
        <w:rPr>
          <w:sz w:val="24"/>
          <w:szCs w:val="24"/>
          <w:lang w:eastAsia="zh-CN"/>
        </w:rPr>
      </w:r>
      <w:r/>
    </w:p>
    <w:p>
      <w:pPr>
        <w:pStyle w:val="1169"/>
        <w:ind w:firstLine="420"/>
        <w:spacing w:line="360" w:lineRule="auto"/>
        <w:rPr>
          <w:bCs/>
          <w:sz w:val="24"/>
          <w:szCs w:val="24"/>
          <w:lang w:val="en-US" w:eastAsia="zh-CN"/>
        </w:rPr>
      </w:pPr>
      <w:r>
        <w:rPr>
          <w:rFonts w:hint="eastAsia"/>
          <w:bCs/>
          <w:sz w:val="24"/>
          <w:szCs w:val="24"/>
          <w:lang w:val="en-US" w:eastAsia="zh-CN"/>
        </w:rPr>
        <w:t xml:space="preserve">收费标准：按照预算金额的如下比例进行计算：即100万元以内1.5%、100～500万元以1.1%、500~1000万元以0.8%，差额定率累进法计算并支付成交服务费。</w:t>
      </w:r>
      <w:r>
        <w:rPr>
          <w:bCs/>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帐户名：苏州久诺招投标咨询服务有限公司</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帐  号：</w:t>
      </w:r>
      <w:r>
        <w:rPr>
          <w:b/>
          <w:sz w:val="24"/>
          <w:szCs w:val="24"/>
          <w:lang w:val="en-US" w:eastAsia="zh-CN"/>
        </w:rPr>
        <w:t xml:space="preserve">1102022009000702673</w:t>
      </w:r>
      <w:r>
        <w:rPr>
          <w:b/>
          <w:sz w:val="24"/>
          <w:szCs w:val="24"/>
          <w:lang w:val="en-US" w:eastAsia="zh-CN"/>
        </w:rPr>
      </w:r>
      <w:r/>
    </w:p>
    <w:p>
      <w:pPr>
        <w:pStyle w:val="1169"/>
        <w:ind w:firstLine="422"/>
        <w:spacing w:line="360" w:lineRule="auto"/>
        <w:rPr>
          <w:b/>
          <w:sz w:val="24"/>
          <w:szCs w:val="24"/>
          <w:lang w:val="en-US" w:eastAsia="zh-CN"/>
        </w:rPr>
      </w:pPr>
      <w:r>
        <w:rPr>
          <w:rFonts w:hint="eastAsia"/>
          <w:b/>
          <w:sz w:val="24"/>
          <w:szCs w:val="24"/>
          <w:lang w:val="en-US" w:eastAsia="zh-CN"/>
        </w:rPr>
        <w:t xml:space="preserve">开户行：中国工商银行股份有限公司</w:t>
      </w:r>
      <w:r>
        <w:rPr>
          <w:b/>
          <w:sz w:val="24"/>
          <w:szCs w:val="24"/>
          <w:lang w:val="en-US" w:eastAsia="zh-CN"/>
        </w:rPr>
      </w:r>
      <w:r/>
    </w:p>
    <w:p>
      <w:pPr>
        <w:pStyle w:val="1169"/>
        <w:ind w:firstLine="422"/>
        <w:spacing w:line="360" w:lineRule="auto"/>
        <w:rPr>
          <w:b/>
          <w:sz w:val="24"/>
          <w:szCs w:val="24"/>
          <w:lang w:eastAsia="zh-CN"/>
        </w:rPr>
      </w:pPr>
      <w:r>
        <w:rPr>
          <w:rFonts w:hint="eastAsia"/>
          <w:b/>
          <w:sz w:val="24"/>
          <w:szCs w:val="24"/>
          <w:lang w:eastAsia="zh-CN"/>
        </w:rPr>
        <w:t xml:space="preserve">36.有关监督部门将对招投标全过程进行监督。</w:t>
      </w:r>
      <w:r>
        <w:rPr>
          <w:b/>
          <w:sz w:val="24"/>
          <w:szCs w:val="24"/>
          <w:lang w:eastAsia="zh-CN"/>
        </w:rPr>
      </w:r>
      <w:r/>
    </w:p>
    <w:p>
      <w:pPr>
        <w:pStyle w:val="1169"/>
        <w:ind w:firstLine="422"/>
        <w:spacing w:line="360" w:lineRule="auto"/>
        <w:rPr>
          <w:sz w:val="24"/>
          <w:szCs w:val="24"/>
          <w:lang w:eastAsia="zh-CN"/>
        </w:rPr>
      </w:pPr>
      <w:r>
        <w:rPr>
          <w:rFonts w:hint="eastAsia"/>
          <w:b/>
          <w:sz w:val="24"/>
          <w:szCs w:val="24"/>
          <w:lang w:eastAsia="zh-CN"/>
        </w:rPr>
        <w:t xml:space="preserve">37.未尽事宜：</w:t>
      </w:r>
      <w:r>
        <w:rPr>
          <w:rFonts w:hint="eastAsia"/>
          <w:sz w:val="24"/>
          <w:szCs w:val="24"/>
          <w:lang w:eastAsia="zh-CN"/>
        </w:rPr>
        <w:t xml:space="preserve">按《中华人民共和国政府采购法》及其他有关的法律法规的规定执行。</w:t>
      </w:r>
      <w:r>
        <w:rPr>
          <w:sz w:val="24"/>
          <w:szCs w:val="24"/>
          <w:lang w:eastAsia="zh-CN"/>
        </w:rPr>
      </w:r>
      <w:r/>
    </w:p>
    <w:p>
      <w:pPr>
        <w:pStyle w:val="1129"/>
        <w:spacing w:before="75" w:beforeAutospacing="0" w:after="75" w:afterAutospacing="0"/>
        <w:widowControl/>
        <w:rPr>
          <w:rFonts w:ascii="Times New Roman" w:hAnsi="Times New Roman"/>
          <w:b/>
          <w:bCs/>
          <w:caps/>
          <w:sz w:val="36"/>
          <w:szCs w:val="36"/>
        </w:rPr>
      </w:pPr>
      <w:r>
        <w:rPr>
          <w:rFonts w:ascii="Times New Roman" w:hAnsi="Times New Roman"/>
          <w:b/>
          <w:bCs/>
          <w:caps/>
          <w:sz w:val="36"/>
          <w:szCs w:val="36"/>
        </w:rPr>
      </w:r>
      <w:r/>
    </w:p>
    <w:p>
      <w:pPr>
        <w:pStyle w:val="1110"/>
        <w:ind w:left="99"/>
        <w:spacing w:line="360" w:lineRule="auto"/>
      </w:pPr>
      <w:r>
        <w:rPr>
          <w:rFonts w:eastAsia="宋体" w:cs="宋体"/>
          <w:b/>
          <w:bCs/>
          <w:sz w:val="21"/>
          <w:szCs w:val="21"/>
        </w:rPr>
        <w:br w:type="page" w:clear="all"/>
      </w:r>
      <w:r/>
    </w:p>
    <w:p>
      <w:pPr>
        <w:pStyle w:val="1076"/>
        <w:ind w:firstLine="990"/>
        <w:rPr>
          <w:rFonts w:ascii="宋体" w:hAnsi="宋体" w:cs="宋体"/>
          <w:sz w:val="44"/>
          <w:szCs w:val="44"/>
          <w:lang w:eastAsia="zh-CN"/>
        </w:rPr>
      </w:pPr>
      <w:r>
        <w:rPr>
          <w:rFonts w:hint="eastAsia" w:ascii="宋体" w:hAnsi="宋体" w:cs="宋体"/>
          <w:sz w:val="44"/>
          <w:szCs w:val="44"/>
          <w:lang w:eastAsia="zh-CN"/>
        </w:rPr>
        <w:t xml:space="preserve">第三章  投标文件格式</w:t>
      </w:r>
      <w:r>
        <w:rPr>
          <w:rFonts w:ascii="宋体" w:hAnsi="宋体" w:cs="宋体"/>
          <w:sz w:val="44"/>
          <w:szCs w:val="44"/>
          <w:lang w:eastAsia="zh-CN"/>
        </w:rPr>
      </w:r>
      <w:r/>
    </w:p>
    <w:p>
      <w:pPr>
        <w:pStyle w:val="1098"/>
        <w:ind w:firstLine="0"/>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说明：</w:t>
      </w:r>
      <w:r>
        <w:rPr>
          <w:rFonts w:ascii="宋体" w:hAnsi="宋体" w:eastAsia="宋体" w:cs="宋体"/>
          <w:b/>
          <w:sz w:val="21"/>
          <w:szCs w:val="21"/>
          <w:lang w:eastAsia="zh-CN"/>
        </w:rPr>
      </w:r>
      <w:r/>
    </w:p>
    <w:p>
      <w:pPr>
        <w:pStyle w:val="1098"/>
        <w:ind w:firstLine="422"/>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对本章所有的投标书格式 ，投标方可根据自身情况进行补充和修改，但补充和修改不得造成与本格式内容有实质性的违背。</w:t>
      </w:r>
      <w:r>
        <w:rPr>
          <w:rFonts w:ascii="宋体" w:hAnsi="宋体" w:eastAsia="宋体" w:cs="宋体"/>
          <w:b/>
          <w:sz w:val="21"/>
          <w:szCs w:val="21"/>
          <w:lang w:eastAsia="zh-CN"/>
        </w:rPr>
      </w:r>
      <w:r/>
    </w:p>
    <w:p>
      <w:pPr>
        <w:pStyle w:val="851"/>
        <w:spacing w:line="360" w:lineRule="auto"/>
        <w:rPr>
          <w:rFonts w:ascii="宋体" w:hAnsi="宋体"/>
          <w:sz w:val="24"/>
          <w:szCs w:val="24"/>
        </w:rPr>
      </w:pPr>
      <w:r>
        <w:rPr>
          <w:rFonts w:hint="eastAsia"/>
          <w:b/>
          <w:bCs/>
          <w:szCs w:val="21"/>
          <w:lang w:val="zh-CN"/>
        </w:rPr>
        <w:br w:type="page" w:clear="all"/>
      </w:r>
      <w:r>
        <w:rPr>
          <w:rFonts w:hint="eastAsia" w:ascii="宋体" w:hAnsi="宋体"/>
          <w:b/>
          <w:bCs/>
          <w:sz w:val="24"/>
          <w:szCs w:val="24"/>
          <w:lang w:val="zh-CN"/>
        </w:rPr>
        <w:t xml:space="preserve">格式1、投标函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投标函</w:t>
      </w:r>
      <w:r>
        <w:rPr>
          <w:rFonts w:ascii="宋体" w:hAnsi="宋体"/>
          <w:b/>
          <w:sz w:val="24"/>
          <w:szCs w:val="24"/>
        </w:rPr>
      </w:r>
      <w:r/>
    </w:p>
    <w:p>
      <w:pPr>
        <w:pStyle w:val="862"/>
        <w:spacing w:line="360" w:lineRule="auto"/>
        <w:rPr>
          <w:rFonts w:hAnsi="宋体" w:eastAsia="宋体"/>
          <w:sz w:val="24"/>
          <w:szCs w:val="24"/>
          <w:lang w:eastAsia="zh-CN"/>
        </w:rPr>
      </w:pPr>
      <w:r>
        <w:rPr>
          <w:rFonts w:hAnsi="宋体" w:eastAsia="宋体"/>
          <w:sz w:val="24"/>
          <w:szCs w:val="24"/>
          <w:lang w:eastAsia="zh-CN"/>
        </w:rPr>
        <w:t xml:space="preserve">苏州久诺招投标咨询服务有限公司 ：</w:t>
      </w:r>
      <w:r>
        <w:rPr>
          <w:rFonts w:hAnsi="宋体" w:eastAsia="宋体"/>
          <w:sz w:val="24"/>
          <w:szCs w:val="24"/>
          <w:lang w:eastAsia="zh-CN"/>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    我们收到贵公司</w:t>
      </w:r>
      <w:r>
        <w:rPr>
          <w:rFonts w:hAnsi="宋体" w:eastAsia="宋体" w:cs="宋体"/>
          <w:color w:val="000000"/>
          <w:sz w:val="24"/>
          <w:szCs w:val="24"/>
          <w:u w:val="single"/>
        </w:rPr>
        <w:t xml:space="preserve">     </w:t>
      </w:r>
      <w:r>
        <w:rPr>
          <w:rFonts w:hAnsi="宋体" w:eastAsia="宋体" w:cs="宋体"/>
          <w:color w:val="000000"/>
          <w:sz w:val="24"/>
          <w:szCs w:val="24"/>
        </w:rPr>
        <w:t xml:space="preserve">号招标文件，经仔细阅读和研究，我们决定参加投标。</w:t>
      </w:r>
      <w:r>
        <w:rPr>
          <w:rFonts w:hAnsi="宋体" w:eastAsia="宋体" w:cs="宋体"/>
          <w:color w:val="000000"/>
          <w:sz w:val="24"/>
          <w:szCs w:val="24"/>
        </w:rPr>
      </w:r>
      <w:r/>
    </w:p>
    <w:p>
      <w:pPr>
        <w:pStyle w:val="1202"/>
        <w:numPr>
          <w:ilvl w:val="0"/>
          <w:numId w:val="7"/>
        </w:numPr>
        <w:spacing w:line="360" w:lineRule="auto"/>
        <w:rPr>
          <w:rFonts w:hAnsi="宋体" w:eastAsia="宋体" w:cs="宋体"/>
          <w:color w:val="000000"/>
          <w:sz w:val="24"/>
          <w:szCs w:val="24"/>
        </w:rPr>
      </w:pPr>
      <w:r>
        <w:rPr>
          <w:rFonts w:hAnsi="宋体" w:eastAsia="宋体" w:cs="宋体"/>
          <w:color w:val="000000"/>
          <w:sz w:val="24"/>
          <w:szCs w:val="24"/>
        </w:rPr>
        <w:t xml:space="preserve">我们愿意按照招标文件的一切要求，完成该项目的全部内容。</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2、如果我们的投标书被接受，我们将严格履行招标文件中规定的每一项要求，按期、按质、按量履行合同的义务。</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3、我们已详细审查全部招标文件，包括补充文件(如果有的话)，无任何异议。</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4、我们同意按招标文件中的规定，本投标书的有效期限为开标后</w:t>
      </w:r>
      <w:r>
        <w:rPr>
          <w:rFonts w:hAnsi="宋体" w:eastAsia="宋体" w:cs="宋体"/>
          <w:color w:val="000000"/>
          <w:sz w:val="24"/>
          <w:szCs w:val="24"/>
          <w:u w:val="single"/>
        </w:rPr>
        <w:t xml:space="preserve">90</w:t>
      </w:r>
      <w:r>
        <w:rPr>
          <w:rFonts w:hAnsi="宋体" w:eastAsia="宋体" w:cs="宋体"/>
          <w:color w:val="000000"/>
          <w:sz w:val="24"/>
          <w:szCs w:val="24"/>
        </w:rPr>
        <w:t xml:space="preserve">天。</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5、我们愿意提供采购单位在招标文件中要求的所有资料。</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6、我们认为你们有权决定中标者，还认为你们有权接受或拒绝所有的投标者。</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7、我们愿意遵守招标公告及招标文件中所列的收费标准。</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8、我们承诺该项投标在开标后的全过程中保持有效，不作任何更改和变动。</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9、如果我方中标，我方愿意按招标文件的规定支付中标服务费及履约保证金。</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10、我们承诺我公司符合招标文件投标人须知中“合格投标人的一般条件、特殊条件”的要求，若与真实情况不符，本公司愿意承担由此而产生的一切后果。</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11、综合说明：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（1）伴随服务及配合措施；</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（2）要求甲方提供的配合；</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（3）对招标文件有不同意见的偏离说明；</w:t>
      </w:r>
      <w:r>
        <w:rPr>
          <w:rFonts w:hAnsi="宋体" w:eastAsia="宋体" w:cs="宋体"/>
          <w:color w:val="000000"/>
          <w:sz w:val="24"/>
          <w:szCs w:val="24"/>
        </w:rPr>
      </w:r>
      <w:r/>
    </w:p>
    <w:p>
      <w:pPr>
        <w:pStyle w:val="1202"/>
        <w:ind w:firstLine="420"/>
        <w:spacing w:line="360" w:lineRule="auto"/>
        <w:rPr>
          <w:rFonts w:hAnsi="宋体" w:eastAsia="宋体" w:cs="宋体"/>
          <w:color w:val="000000"/>
          <w:sz w:val="24"/>
          <w:szCs w:val="24"/>
        </w:rPr>
      </w:pPr>
      <w:r>
        <w:rPr>
          <w:rFonts w:hAnsi="宋体" w:eastAsia="宋体" w:cs="宋体"/>
          <w:color w:val="000000"/>
          <w:sz w:val="24"/>
          <w:szCs w:val="24"/>
        </w:rPr>
        <w:t xml:space="preserve">（4）其它说明。</w:t>
      </w:r>
      <w:r>
        <w:rPr>
          <w:rFonts w:hAnsi="宋体" w:eastAsia="宋体" w:cs="宋体"/>
          <w:color w:val="000000"/>
          <w:sz w:val="24"/>
          <w:szCs w:val="24"/>
        </w:rPr>
      </w:r>
      <w:r/>
    </w:p>
    <w:p>
      <w:pPr>
        <w:pStyle w:val="1202"/>
        <w:spacing w:line="360" w:lineRule="auto"/>
        <w:rPr>
          <w:rFonts w:hAnsi="宋体" w:eastAsia="宋体" w:cs="宋体"/>
          <w:color w:val="000000"/>
          <w:sz w:val="24"/>
          <w:szCs w:val="24"/>
        </w:rPr>
      </w:pPr>
      <w:r>
        <w:rPr>
          <w:rFonts w:hAnsi="宋体" w:eastAsia="宋体" w:cs="宋体"/>
          <w:color w:val="000000"/>
          <w:sz w:val="24"/>
          <w:szCs w:val="24"/>
        </w:rPr>
        <w:t xml:space="preserve">所有有关标书的函电，请按下列地址联系：</w:t>
      </w:r>
      <w:r>
        <w:rPr>
          <w:rFonts w:hAnsi="宋体" w:eastAsia="宋体" w:cs="宋体"/>
          <w:color w:val="000000"/>
          <w:sz w:val="24"/>
          <w:szCs w:val="24"/>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单    位： 联 系 人：</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地    址： 邮政编码：</w:t>
      </w:r>
      <w:r>
        <w:rPr>
          <w:rFonts w:hAnsi="宋体" w:eastAsia="宋体"/>
          <w:sz w:val="24"/>
          <w:szCs w:val="24"/>
          <w:u w:val="single"/>
          <w:lang w:eastAsia="zh-CN"/>
        </w:rPr>
      </w:r>
      <w:r/>
    </w:p>
    <w:p>
      <w:pPr>
        <w:pStyle w:val="862"/>
        <w:ind w:firstLine="420"/>
        <w:spacing w:line="360" w:lineRule="auto"/>
        <w:rPr>
          <w:rFonts w:hAnsi="宋体" w:eastAsia="宋体"/>
          <w:sz w:val="24"/>
          <w:szCs w:val="24"/>
          <w:u w:val="single"/>
          <w:lang w:eastAsia="zh-CN"/>
        </w:rPr>
      </w:pPr>
      <w:r>
        <w:rPr>
          <w:rFonts w:hAnsi="宋体" w:eastAsia="宋体"/>
          <w:sz w:val="24"/>
          <w:szCs w:val="24"/>
          <w:lang w:eastAsia="zh-CN"/>
        </w:rPr>
        <w:t xml:space="preserve">联系电话： 传    真：</w:t>
      </w:r>
      <w:r>
        <w:rPr>
          <w:rFonts w:hAnsi="宋体" w:eastAsia="宋体"/>
          <w:sz w:val="24"/>
          <w:szCs w:val="24"/>
          <w:u w:val="single"/>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投标人：（签章）</w:t>
      </w:r>
      <w:r>
        <w:rPr>
          <w:rFonts w:hAnsi="宋体" w:eastAsia="宋体"/>
          <w:sz w:val="24"/>
          <w:szCs w:val="24"/>
          <w:lang w:eastAsia="zh-CN"/>
        </w:rPr>
      </w:r>
      <w:r/>
    </w:p>
    <w:p>
      <w:pPr>
        <w:pStyle w:val="862"/>
        <w:ind w:firstLine="425"/>
        <w:spacing w:line="360" w:lineRule="auto"/>
        <w:rPr>
          <w:rFonts w:hAnsi="宋体" w:eastAsia="宋体"/>
          <w:sz w:val="24"/>
          <w:szCs w:val="24"/>
          <w:lang w:eastAsia="zh-CN"/>
        </w:rPr>
      </w:pPr>
      <w:r>
        <w:rPr>
          <w:rFonts w:hAnsi="宋体" w:eastAsia="宋体"/>
          <w:sz w:val="24"/>
          <w:szCs w:val="24"/>
          <w:lang w:eastAsia="zh-CN"/>
        </w:rPr>
        <w:t xml:space="preserve">单位法定代表人或授权委托人：（签字或签章）    年     月     日</w:t>
      </w:r>
      <w:r>
        <w:rPr>
          <w:rFonts w:hAnsi="宋体" w:eastAsia="宋体"/>
          <w:sz w:val="24"/>
          <w:szCs w:val="24"/>
          <w:lang w:eastAsia="zh-CN"/>
        </w:rPr>
      </w:r>
      <w:r/>
    </w:p>
    <w:p>
      <w:pPr>
        <w:pStyle w:val="851"/>
        <w:jc w:val="left"/>
        <w:widowControl/>
        <w:rPr>
          <w:rFonts w:ascii="宋体" w:hAnsi="宋体"/>
          <w:b/>
          <w:sz w:val="24"/>
          <w:szCs w:val="24"/>
          <w:lang w:val="zh-CN"/>
        </w:rPr>
      </w:pPr>
      <w:r>
        <w:rPr>
          <w:rFonts w:ascii="宋体" w:hAnsi="宋体"/>
          <w:b/>
          <w:sz w:val="24"/>
          <w:szCs w:val="24"/>
          <w:lang w:val="zh-CN"/>
        </w:rPr>
        <w:br w:type="page" w:clear="all"/>
      </w:r>
      <w:r>
        <w:rPr>
          <w:rFonts w:ascii="宋体" w:hAnsi="宋体"/>
          <w:b/>
          <w:sz w:val="24"/>
          <w:szCs w:val="24"/>
          <w:lang w:val="zh-CN"/>
        </w:rPr>
      </w:r>
      <w:r/>
    </w:p>
    <w:p>
      <w:pPr>
        <w:pStyle w:val="851"/>
        <w:jc w:val="left"/>
        <w:spacing w:line="360" w:lineRule="auto"/>
        <w:rPr>
          <w:rFonts w:ascii="宋体" w:hAnsi="宋体"/>
          <w:b/>
          <w:sz w:val="24"/>
          <w:szCs w:val="24"/>
          <w:lang w:val="zh-CN"/>
        </w:rPr>
      </w:pPr>
      <w:r>
        <w:rPr>
          <w:rFonts w:ascii="宋体" w:hAnsi="宋体"/>
          <w:b/>
          <w:sz w:val="24"/>
          <w:szCs w:val="24"/>
          <w:lang w:val="zh-CN"/>
        </w:rPr>
      </w:r>
      <w:r/>
    </w:p>
    <w:p>
      <w:pPr>
        <w:pStyle w:val="851"/>
        <w:jc w:val="left"/>
        <w:spacing w:line="360" w:lineRule="auto"/>
        <w:rPr>
          <w:rFonts w:ascii="宋体" w:hAnsi="宋体"/>
          <w:b/>
          <w:sz w:val="24"/>
          <w:szCs w:val="24"/>
          <w:lang w:val="zh-CN"/>
        </w:rPr>
      </w:pPr>
      <w:r>
        <w:rPr>
          <w:rFonts w:hint="eastAsia" w:ascii="宋体" w:hAnsi="宋体"/>
          <w:b/>
          <w:sz w:val="24"/>
          <w:szCs w:val="24"/>
          <w:lang w:val="zh-CN"/>
        </w:rPr>
        <w:t xml:space="preserve">格式</w:t>
      </w:r>
      <w:r>
        <w:rPr>
          <w:rFonts w:hint="eastAsia" w:ascii="宋体" w:hAnsi="宋体"/>
          <w:b/>
          <w:sz w:val="24"/>
          <w:szCs w:val="24"/>
        </w:rPr>
        <w:t xml:space="preserve">2、法人授权书</w:t>
      </w:r>
      <w:r>
        <w:rPr>
          <w:rFonts w:ascii="宋体" w:hAnsi="宋体"/>
          <w:b/>
          <w:sz w:val="24"/>
          <w:szCs w:val="24"/>
          <w:lang w:val="zh-CN"/>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法人授权委托书</w:t>
      </w:r>
      <w:r>
        <w:rPr>
          <w:rFonts w:ascii="宋体" w:hAnsi="宋体"/>
          <w:b/>
          <w:sz w:val="24"/>
          <w:szCs w:val="24"/>
          <w:lang w:val="zh-CN"/>
        </w:rPr>
      </w:r>
      <w:r/>
    </w:p>
    <w:p>
      <w:pPr>
        <w:pStyle w:val="1098"/>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本授权委托书声明：  我 （姓名）系（投标人名称）的法定代表人，现授权委托（姓名）为我公司代理人，以本公司的名义参加苏州久诺招投标咨询服务有限公司组织实施的编号为号公开招标的招投标活动。代理人在开标、评标、合同谈判过程中所签署的一切文件和处理与这有关的一切事务，我均予以承认。</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sz w:val="24"/>
          <w:szCs w:val="24"/>
        </w:rPr>
      </w:r>
      <w:r/>
    </w:p>
    <w:p>
      <w:pPr>
        <w:pStyle w:val="851"/>
        <w:ind w:firstLine="425"/>
        <w:spacing w:line="360" w:lineRule="auto"/>
        <w:rPr>
          <w:rFonts w:ascii="宋体" w:hAnsi="宋体"/>
          <w:sz w:val="24"/>
          <w:szCs w:val="24"/>
        </w:rPr>
      </w:pPr>
      <w:r>
        <w:rPr>
          <w:rFonts w:hint="eastAsia" w:ascii="宋体" w:hAnsi="宋体"/>
          <w:sz w:val="24"/>
          <w:szCs w:val="24"/>
          <w:lang w:val="zh-CN"/>
        </w:rPr>
        <w:t xml:space="preserve">代理人无转委托权。特此委托。</w:t>
      </w:r>
      <w:r>
        <w:rPr>
          <w:rFonts w:ascii="宋体" w:hAnsi="宋体"/>
          <w:sz w:val="24"/>
          <w:szCs w:val="24"/>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投标人：（公章）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法定代表人：（签字或签章）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授权委托人：（签字或签章）</w:t>
      </w: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right"/>
        <w:spacing w:line="360" w:lineRule="auto"/>
        <w:rPr>
          <w:rFonts w:ascii="宋体" w:hAnsi="宋体" w:eastAsia="宋体" w:cs="宋体"/>
          <w:szCs w:val="24"/>
          <w:lang w:eastAsia="zh-CN"/>
        </w:rPr>
      </w:pPr>
      <w:r>
        <w:rPr>
          <w:rFonts w:ascii="宋体" w:hAnsi="宋体" w:eastAsia="宋体" w:cs="宋体"/>
          <w:szCs w:val="24"/>
          <w:lang w:eastAsia="zh-CN"/>
        </w:rPr>
      </w:r>
      <w:r/>
    </w:p>
    <w:p>
      <w:pPr>
        <w:pStyle w:val="1098"/>
        <w:jc w:val="center"/>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                                       年    月    日</w:t>
      </w:r>
      <w:r>
        <w:rPr>
          <w:rFonts w:ascii="宋体" w:hAnsi="宋体" w:eastAsia="宋体" w:cs="宋体"/>
          <w:szCs w:val="24"/>
          <w:lang w:eastAsia="zh-CN"/>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lang w:val="zh-CN"/>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3</w:t>
      </w:r>
      <w:r>
        <w:rPr>
          <w:rFonts w:hint="eastAsia" w:ascii="宋体" w:hAnsi="宋体"/>
          <w:b/>
          <w:bCs/>
          <w:sz w:val="24"/>
          <w:szCs w:val="24"/>
          <w:lang w:val="zh-CN"/>
        </w:rPr>
        <w:t xml:space="preserve">、开标一览表</w:t>
      </w:r>
      <w:r>
        <w:rPr>
          <w:rFonts w:ascii="宋体" w:hAnsi="宋体"/>
          <w:sz w:val="24"/>
          <w:szCs w:val="24"/>
          <w:lang w:val="zh-CN"/>
        </w:rPr>
      </w:r>
      <w:r/>
    </w:p>
    <w:p>
      <w:pPr>
        <w:pStyle w:val="1188"/>
        <w:jc w:val="center"/>
        <w:rPr>
          <w:rFonts w:hAnsi="宋体"/>
          <w:szCs w:val="24"/>
          <w:lang w:eastAsia="zh-CN"/>
        </w:rPr>
      </w:pPr>
      <w:r>
        <w:rPr>
          <w:rFonts w:hAnsi="宋体"/>
          <w:szCs w:val="24"/>
          <w:lang w:eastAsia="zh-CN"/>
        </w:rPr>
      </w:r>
      <w:r/>
    </w:p>
    <w:p>
      <w:pPr>
        <w:pStyle w:val="1188"/>
        <w:jc w:val="center"/>
        <w:rPr>
          <w:rFonts w:hAnsi="宋体"/>
          <w:b/>
          <w:bCs/>
          <w:szCs w:val="24"/>
          <w:lang w:eastAsia="zh-CN"/>
        </w:rPr>
      </w:pPr>
      <w:r>
        <w:rPr>
          <w:rFonts w:hint="eastAsia" w:hAnsi="宋体"/>
          <w:b/>
          <w:bCs/>
          <w:szCs w:val="24"/>
          <w:lang w:eastAsia="zh-CN"/>
        </w:rPr>
        <w:t xml:space="preserve">开标一览表</w:t>
      </w:r>
      <w:r>
        <w:rPr>
          <w:rFonts w:hAnsi="宋体"/>
          <w:b/>
          <w:bCs/>
          <w:szCs w:val="24"/>
          <w:lang w:eastAsia="zh-CN"/>
        </w:rPr>
      </w:r>
      <w:r/>
    </w:p>
    <w:p>
      <w:pPr>
        <w:pStyle w:val="1188"/>
        <w:jc w:val="center"/>
        <w:rPr>
          <w:rFonts w:hAnsi="宋体"/>
          <w:b/>
          <w:bCs/>
          <w:szCs w:val="24"/>
          <w:lang w:eastAsia="zh-CN"/>
        </w:rPr>
      </w:pPr>
      <w:r>
        <w:rPr>
          <w:rFonts w:hAnsi="宋体"/>
          <w:b/>
          <w:bCs/>
          <w:szCs w:val="24"/>
          <w:lang w:eastAsia="zh-CN"/>
        </w:rPr>
      </w:r>
      <w:r/>
    </w:p>
    <w:p>
      <w:pPr>
        <w:pStyle w:val="1098"/>
        <w:ind w:firstLine="0"/>
        <w:jc w:val="both"/>
        <w:spacing w:line="360" w:lineRule="auto"/>
        <w:tabs>
          <w:tab w:val="left" w:pos="7020" w:leader="none"/>
        </w:tabs>
        <w:rPr>
          <w:rFonts w:ascii="宋体" w:hAnsi="宋体" w:eastAsia="宋体" w:cs="宋体"/>
          <w:bCs/>
          <w:szCs w:val="24"/>
          <w:lang w:eastAsia="zh-CN"/>
        </w:rPr>
      </w:pPr>
      <w:r>
        <w:rPr>
          <w:rFonts w:hint="eastAsia" w:ascii="宋体" w:hAnsi="宋体" w:eastAsia="宋体" w:cs="宋体"/>
          <w:bCs/>
          <w:szCs w:val="24"/>
          <w:lang w:eastAsia="zh-CN"/>
        </w:rPr>
        <w:t xml:space="preserve">招标编号：</w:t>
      </w:r>
      <w:r>
        <w:rPr>
          <w:rFonts w:ascii="宋体" w:hAnsi="宋体" w:eastAsia="宋体" w:cs="宋体"/>
          <w:bCs/>
          <w:szCs w:val="24"/>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8"/>
        <w:gridCol w:w="2268"/>
        <w:gridCol w:w="2352"/>
      </w:tblGrid>
      <w:tr>
        <w:trPr>
          <w:trHeight w:val="823"/>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项目名称</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hint="eastAsia" w:ascii="宋体" w:hAnsi="宋体" w:cs="宋体"/>
                <w:bCs/>
                <w:sz w:val="24"/>
                <w:szCs w:val="24"/>
              </w:rPr>
              <w:t xml:space="preserve">投标总价（元）</w:t>
            </w: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合同履行</w:t>
            </w:r>
            <w:r>
              <w:rPr>
                <w:rFonts w:hint="eastAsia" w:ascii="宋体" w:hAnsi="宋体" w:cs="仿宋_GB2312"/>
                <w:sz w:val="24"/>
                <w:szCs w:val="24"/>
              </w:rPr>
              <w:t xml:space="preserve">期限</w:t>
            </w:r>
            <w:r>
              <w:rPr>
                <w:rFonts w:ascii="宋体" w:hAnsi="宋体" w:cs="仿宋_GB2312"/>
                <w:sz w:val="24"/>
                <w:szCs w:val="24"/>
              </w:rPr>
            </w:r>
            <w:r/>
          </w:p>
        </w:tc>
      </w:tr>
      <w:tr>
        <w:trPr>
          <w:trHeight w:val="692"/>
        </w:trPr>
        <w:tc>
          <w:tcPr>
            <w:tcW w:w="3658" w:type="dxa"/>
            <w:vAlign w:val="center"/>
            <w:textDirection w:val="lrTb"/>
            <w:noWrap/>
          </w:tcPr>
          <w:p>
            <w:pPr>
              <w:pStyle w:val="851"/>
              <w:jc w:val="center"/>
              <w:widowControl/>
              <w:rPr>
                <w:rFonts w:ascii="宋体" w:hAnsi="宋体" w:cs="仿宋_GB2312"/>
                <w:sz w:val="24"/>
                <w:szCs w:val="24"/>
              </w:rPr>
            </w:pPr>
            <w:r>
              <w:rPr>
                <w:rFonts w:hint="eastAsia" w:ascii="宋体" w:hAnsi="宋体" w:cs="仿宋_GB2312"/>
                <w:sz w:val="24"/>
                <w:szCs w:val="24"/>
              </w:rPr>
              <w:t xml:space="preserve">通安镇部分智能化维保服务</w:t>
            </w:r>
            <w:r>
              <w:rPr>
                <w:rFonts w:ascii="宋体" w:hAnsi="宋体" w:cs="仿宋_GB2312"/>
                <w:sz w:val="24"/>
                <w:szCs w:val="24"/>
              </w:rPr>
            </w:r>
            <w:r/>
          </w:p>
        </w:tc>
        <w:tc>
          <w:tcPr>
            <w:tcW w:w="2268" w:type="dxa"/>
            <w:vAlign w:val="center"/>
            <w:textDirection w:val="lrTb"/>
            <w:noWrap/>
          </w:tcPr>
          <w:p>
            <w:pPr>
              <w:pStyle w:val="851"/>
              <w:jc w:val="center"/>
              <w:spacing w:before="120" w:after="120"/>
              <w:rPr>
                <w:rFonts w:ascii="宋体" w:hAnsi="宋体" w:cs="仿宋_GB2312"/>
                <w:sz w:val="24"/>
                <w:szCs w:val="24"/>
              </w:rPr>
            </w:pPr>
            <w:r>
              <w:rPr>
                <w:rFonts w:ascii="宋体" w:hAnsi="宋体" w:cs="仿宋_GB2312"/>
                <w:sz w:val="24"/>
                <w:szCs w:val="24"/>
              </w:rPr>
            </w:r>
            <w:r/>
          </w:p>
        </w:tc>
        <w:tc>
          <w:tcPr>
            <w:tcW w:w="2352" w:type="dxa"/>
            <w:vAlign w:val="center"/>
            <w:textDirection w:val="lrTb"/>
            <w:noWrap/>
          </w:tcPr>
          <w:p>
            <w:pPr>
              <w:pStyle w:val="851"/>
              <w:jc w:val="center"/>
              <w:rPr>
                <w:rFonts w:ascii="宋体" w:hAnsi="宋体" w:cs="仿宋_GB2312"/>
                <w:sz w:val="24"/>
                <w:szCs w:val="24"/>
              </w:rPr>
            </w:pPr>
            <w:r>
              <w:rPr>
                <w:rFonts w:hint="eastAsia" w:ascii="宋体" w:hAnsi="宋体" w:cs="仿宋_GB2312"/>
                <w:sz w:val="24"/>
                <w:szCs w:val="24"/>
              </w:rPr>
              <w:t xml:space="preserve">三年</w:t>
            </w:r>
            <w:r>
              <w:rPr>
                <w:rFonts w:ascii="宋体" w:hAnsi="宋体" w:cs="仿宋_GB2312"/>
                <w:sz w:val="24"/>
                <w:szCs w:val="24"/>
              </w:rPr>
            </w:r>
            <w:r/>
          </w:p>
        </w:tc>
      </w:tr>
      <w:tr>
        <w:trPr>
          <w:trHeight w:val="692"/>
        </w:trPr>
        <w:tc>
          <w:tcPr>
            <w:gridSpan w:val="3"/>
            <w:tcW w:w="8278" w:type="dxa"/>
            <w:vAlign w:val="center"/>
            <w:textDirection w:val="lrTb"/>
            <w:noWrap/>
          </w:tcPr>
          <w:p>
            <w:pPr>
              <w:pStyle w:val="1172"/>
              <w:spacing w:line="360" w:lineRule="auto"/>
              <w:rPr>
                <w:rFonts w:hAnsi="宋体" w:cs="仿宋_GB2312"/>
                <w:sz w:val="24"/>
                <w:szCs w:val="24"/>
                <w:lang w:eastAsia="zh-CN"/>
              </w:rPr>
            </w:pPr>
            <w:r>
              <w:rPr>
                <w:rFonts w:hint="eastAsia" w:hAnsi="宋体" w:cs="仿宋_GB2312"/>
                <w:sz w:val="24"/>
                <w:szCs w:val="24"/>
                <w:lang w:eastAsia="zh-CN"/>
              </w:rPr>
              <w:t xml:space="preserve">投标总价（人民币大写）：￥：</w:t>
            </w:r>
            <w:r>
              <w:rPr>
                <w:rFonts w:hAnsi="宋体" w:cs="仿宋_GB2312"/>
                <w:sz w:val="24"/>
                <w:szCs w:val="24"/>
                <w:lang w:eastAsia="zh-CN"/>
              </w:rPr>
            </w:r>
            <w:r/>
          </w:p>
        </w:tc>
      </w:tr>
    </w:tbl>
    <w:p>
      <w:pPr>
        <w:pStyle w:val="851"/>
        <w:ind w:firstLine="480"/>
        <w:spacing w:line="360" w:lineRule="auto"/>
        <w:rPr>
          <w:rFonts w:ascii="宋体" w:hAnsi="宋体" w:cs="宋体"/>
          <w:sz w:val="24"/>
          <w:szCs w:val="24"/>
          <w:lang w:val="zh-CN"/>
        </w:rPr>
      </w:pP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rPr>
          <w:rFonts w:ascii="宋体" w:hAnsi="宋体"/>
          <w:b/>
          <w:bCs/>
          <w:sz w:val="24"/>
          <w:szCs w:val="24"/>
          <w:lang w:val="zh-CN"/>
        </w:rPr>
      </w:pPr>
      <w:r>
        <w:rPr>
          <w:rFonts w:hint="eastAsia" w:ascii="宋体" w:hAnsi="宋体"/>
          <w:b/>
          <w:bCs/>
          <w:sz w:val="24"/>
          <w:szCs w:val="24"/>
          <w:lang w:val="zh-CN"/>
        </w:rPr>
        <w:br w:type="page" w:clear="all"/>
      </w:r>
      <w:r>
        <w:rPr>
          <w:rFonts w:ascii="宋体" w:hAnsi="宋体"/>
          <w:b/>
          <w:bCs/>
          <w:sz w:val="24"/>
          <w:szCs w:val="24"/>
          <w:lang w:val="zh-CN"/>
        </w:rPr>
      </w:r>
      <w:r/>
    </w:p>
    <w:p>
      <w:pPr>
        <w:pStyle w:val="851"/>
        <w:spacing w:line="360" w:lineRule="auto"/>
        <w:rPr>
          <w:rFonts w:ascii="宋体" w:hAnsi="宋体"/>
          <w:b/>
          <w:bCs/>
          <w:sz w:val="24"/>
          <w:szCs w:val="24"/>
        </w:rPr>
      </w:pPr>
      <w:r>
        <w:rPr>
          <w:rFonts w:hint="eastAsia" w:ascii="宋体" w:hAnsi="宋体"/>
          <w:b/>
          <w:bCs/>
          <w:sz w:val="24"/>
          <w:szCs w:val="24"/>
          <w:lang w:val="zh-CN"/>
        </w:rPr>
        <w:t xml:space="preserve">格式</w:t>
      </w:r>
      <w:r>
        <w:rPr>
          <w:rFonts w:hint="eastAsia" w:ascii="宋体" w:hAnsi="宋体"/>
          <w:b/>
          <w:bCs/>
          <w:sz w:val="24"/>
          <w:szCs w:val="24"/>
        </w:rPr>
        <w:t xml:space="preserve">4</w:t>
      </w:r>
      <w:r>
        <w:rPr>
          <w:rFonts w:hint="eastAsia" w:ascii="宋体" w:hAnsi="宋体"/>
          <w:b/>
          <w:bCs/>
          <w:sz w:val="24"/>
          <w:szCs w:val="24"/>
          <w:lang w:val="zh-CN"/>
        </w:rPr>
        <w:t xml:space="preserve">、</w:t>
      </w:r>
      <w:r>
        <w:rPr>
          <w:rFonts w:hint="eastAsia" w:ascii="宋体" w:hAnsi="宋体"/>
          <w:b/>
          <w:bCs/>
          <w:sz w:val="24"/>
          <w:szCs w:val="24"/>
        </w:rPr>
        <w:t xml:space="preserve">报价分析表</w:t>
      </w:r>
      <w:r>
        <w:rPr>
          <w:rFonts w:ascii="宋体" w:hAnsi="宋体"/>
          <w:b/>
          <w:bCs/>
          <w:sz w:val="24"/>
          <w:szCs w:val="24"/>
        </w:rPr>
      </w:r>
      <w:r/>
    </w:p>
    <w:p>
      <w:pPr>
        <w:pStyle w:val="851"/>
        <w:jc w:val="center"/>
        <w:spacing w:line="360" w:lineRule="auto"/>
        <w:rPr>
          <w:rFonts w:ascii="宋体" w:hAnsi="宋体" w:cs="宋体"/>
          <w:b/>
          <w:bCs/>
          <w:sz w:val="24"/>
          <w:szCs w:val="24"/>
          <w:lang w:val="zh-CN"/>
        </w:rPr>
      </w:pPr>
      <w:r>
        <w:rPr>
          <w:rFonts w:hint="eastAsia" w:ascii="宋体" w:hAnsi="宋体" w:cs="宋体"/>
          <w:b/>
          <w:bCs/>
          <w:sz w:val="24"/>
          <w:szCs w:val="24"/>
          <w:lang w:val="zh-CN"/>
        </w:rPr>
        <w:t xml:space="preserve">项目投标报价分析表（</w:t>
      </w:r>
      <w:r>
        <w:rPr>
          <w:rFonts w:hint="eastAsia" w:ascii="宋体" w:hAnsi="宋体" w:cs="宋体"/>
          <w:b/>
          <w:bCs/>
          <w:sz w:val="24"/>
          <w:szCs w:val="24"/>
          <w:lang w:val="zh-CN"/>
        </w:rPr>
        <w:t xml:space="preserve">条目可</w:t>
      </w:r>
      <w:r>
        <w:rPr>
          <w:rFonts w:hint="eastAsia" w:ascii="宋体" w:hAnsi="宋体" w:cs="宋体"/>
          <w:b/>
          <w:bCs/>
          <w:sz w:val="24"/>
          <w:szCs w:val="24"/>
          <w:lang w:val="zh-CN"/>
        </w:rPr>
        <w:t xml:space="preserve">自行报价）</w:t>
      </w:r>
      <w:r>
        <w:rPr>
          <w:rFonts w:ascii="宋体" w:hAnsi="宋体" w:cs="宋体"/>
          <w:b/>
          <w:bCs/>
          <w:sz w:val="24"/>
          <w:szCs w:val="24"/>
          <w:lang w:val="zh-CN"/>
        </w:rPr>
      </w:r>
      <w:r/>
    </w:p>
    <w:p>
      <w:pPr>
        <w:pStyle w:val="851"/>
        <w:spacing w:line="360" w:lineRule="auto"/>
        <w:rPr>
          <w:rFonts w:ascii="宋体" w:hAnsi="宋体" w:cs="宋体"/>
          <w:sz w:val="24"/>
          <w:szCs w:val="24"/>
          <w:lang w:val="zh-CN"/>
        </w:rPr>
      </w:pPr>
      <w:r>
        <w:rPr>
          <w:rFonts w:hint="eastAsia" w:ascii="宋体" w:hAnsi="宋体" w:cs="宋体"/>
          <w:sz w:val="24"/>
          <w:szCs w:val="24"/>
          <w:lang w:val="zh-CN"/>
        </w:rPr>
        <w:t xml:space="preserve">招标编号：项目名称：</w:t>
        <w:tab/>
      </w:r>
      <w:r>
        <w:rPr>
          <w:rFonts w:ascii="宋体" w:hAnsi="宋体" w:cs="宋体"/>
          <w:sz w:val="24"/>
          <w:szCs w:val="24"/>
          <w:lang w:val="zh-CN"/>
        </w:rPr>
      </w:r>
      <w:r/>
    </w:p>
    <w:p>
      <w:pPr>
        <w:pStyle w:val="851"/>
        <w:ind w:right="480"/>
        <w:jc w:val="center"/>
        <w:rPr>
          <w:rFonts w:ascii="宋体" w:hAnsi="宋体"/>
          <w:szCs w:val="21"/>
        </w:rPr>
      </w:pP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b/>
                <w:szCs w:val="21"/>
              </w:rPr>
            </w:pPr>
            <w:r>
              <w:rPr>
                <w:rFonts w:ascii="宋体" w:hAnsi="宋体"/>
                <w:b/>
                <w:szCs w:val="21"/>
              </w:rPr>
              <w:t xml:space="preserve">条目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t xml:space="preserve">价格</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b/>
                <w:szCs w:val="21"/>
              </w:rPr>
            </w:pPr>
            <w:r>
              <w:rPr>
                <w:rFonts w:ascii="宋体" w:hAnsi="宋体"/>
                <w:b/>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人工成本</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易耗品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劳动保险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cs="宋体"/>
                <w:sz w:val="24"/>
                <w:szCs w:val="24"/>
              </w:rPr>
              <w:t xml:space="preserve">大件维修更换固定费用</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30万元整</w:t>
            </w:r>
            <w:r>
              <w:rPr>
                <w:rFonts w:ascii="宋体" w:hAnsi="宋体"/>
                <w:szCs w:val="21"/>
              </w:rPr>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jc w:val="center"/>
              <w:rPr>
                <w:rFonts w:ascii="宋体" w:hAnsi="宋体" w:cs="宋体"/>
                <w:color w:val="000000"/>
                <w:sz w:val="24"/>
                <w:szCs w:val="24"/>
                <w:lang w:bidi="ar"/>
              </w:rPr>
            </w:pPr>
            <w:r>
              <w:rPr>
                <w:rFonts w:hint="eastAsia" w:ascii="宋体" w:hAnsi="宋体" w:cs="宋体"/>
                <w:color w:val="000000"/>
                <w:sz w:val="24"/>
                <w:szCs w:val="24"/>
                <w:lang w:bidi="ar"/>
              </w:rPr>
              <w:t xml:space="preserve">大件更换结算折扣率</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rPr>
                <w:rFonts w:ascii="宋体" w:hAnsi="宋体" w:cs="宋体"/>
                <w:color w:val="000000"/>
                <w:sz w:val="24"/>
                <w:szCs w:val="24"/>
                <w:lang w:bidi="ar"/>
              </w:rPr>
            </w:r>
            <w:r/>
          </w:p>
          <w:p>
            <w:pPr>
              <w:pStyle w:val="851"/>
              <w:jc w:val="center"/>
              <w:rPr>
                <w:rFonts w:ascii="宋体" w:hAnsi="宋体"/>
                <w:b/>
                <w:bCs/>
                <w:szCs w:val="21"/>
                <w:u w:val="single"/>
              </w:rPr>
            </w:pPr>
            <w:r>
              <w:rPr>
                <w:rFonts w:hint="eastAsia" w:ascii="宋体" w:hAnsi="宋体" w:cs="宋体"/>
                <w:b/>
                <w:bCs/>
                <w:color w:val="000000"/>
                <w:sz w:val="24"/>
                <w:szCs w:val="24"/>
                <w:lang w:bidi="ar"/>
              </w:rPr>
              <w:t xml:space="preserve">注：投标单位针对大件更换结算进行折扣率报价，未进行报价的将做无效标处理。</w:t>
            </w:r>
            <w:r>
              <w:rPr>
                <w:rFonts w:ascii="宋体" w:hAnsi="宋体"/>
                <w:b/>
                <w:bCs/>
                <w:szCs w:val="21"/>
                <w:u w:val="single"/>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税金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ascii="宋体" w:hAnsi="宋体"/>
                <w:szCs w:val="21"/>
              </w:rPr>
              <w:t xml:space="preserve">管理费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hint="eastAsia"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1"/>
              <w:jc w:val="center"/>
              <w:rPr>
                <w:rFonts w:ascii="宋体" w:hAnsi="宋体"/>
                <w:szCs w:val="21"/>
              </w:rPr>
            </w:pPr>
            <w:r>
              <w:rPr>
                <w:rFonts w:hint="eastAsia" w:ascii="宋体" w:hAnsi="宋体"/>
                <w:szCs w:val="21"/>
              </w:rPr>
              <w:t xml:space="preserve">......</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51"/>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1"/>
              <w:jc w:val="center"/>
              <w:rPr>
                <w:rFonts w:ascii="宋体" w:hAnsi="宋体"/>
                <w:szCs w:val="21"/>
              </w:rPr>
            </w:pPr>
            <w:r>
              <w:rPr>
                <w:rFonts w:ascii="宋体" w:hAnsi="宋体"/>
                <w:szCs w:val="21"/>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51"/>
              <w:jc w:val="center"/>
              <w:rPr>
                <w:rFonts w:ascii="宋体" w:hAnsi="宋体"/>
                <w:b/>
                <w:szCs w:val="21"/>
              </w:rPr>
            </w:pPr>
            <w:r>
              <w:rPr>
                <w:rFonts w:ascii="宋体" w:hAnsi="宋体"/>
                <w:b/>
                <w:szCs w:val="21"/>
              </w:rPr>
              <w:t xml:space="preserve">合计</w:t>
            </w:r>
            <w:r/>
          </w:p>
        </w:tc>
        <w:tc>
          <w:tcPr>
            <w:gridSpan w:val="6"/>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51"/>
              <w:rPr>
                <w:rFonts w:ascii="宋体" w:hAnsi="宋体"/>
                <w:szCs w:val="21"/>
              </w:rPr>
            </w:pPr>
            <w:r>
              <w:rPr>
                <w:rFonts w:ascii="宋体" w:hAnsi="宋体"/>
                <w:szCs w:val="21"/>
              </w:rPr>
              <w:t xml:space="preserve">大写：人民币</w:t>
            </w:r>
            <w:r/>
          </w:p>
        </w:tc>
      </w:tr>
    </w:tbl>
    <w:p>
      <w:pPr>
        <w:pStyle w:val="851"/>
        <w:ind w:left="1026" w:firstLine="4830"/>
        <w:jc w:val="left"/>
        <w:rPr>
          <w:rFonts w:ascii="宋体" w:hAnsi="宋体"/>
          <w:szCs w:val="21"/>
        </w:rPr>
      </w:pPr>
      <w:r>
        <w:rPr>
          <w:rFonts w:ascii="宋体" w:hAnsi="宋体"/>
          <w:szCs w:val="21"/>
        </w:rPr>
        <w:t xml:space="preserve">投标人（盖章）： </w:t>
      </w:r>
      <w:r/>
    </w:p>
    <w:p>
      <w:pPr>
        <w:pStyle w:val="851"/>
        <w:ind w:left="1026" w:firstLine="4830"/>
        <w:jc w:val="left"/>
        <w:rPr>
          <w:rFonts w:ascii="宋体" w:hAnsi="宋体"/>
          <w:szCs w:val="21"/>
        </w:rPr>
      </w:pPr>
      <w:r>
        <w:rPr>
          <w:rFonts w:ascii="宋体" w:hAnsi="宋体"/>
          <w:szCs w:val="21"/>
        </w:rPr>
        <w:t xml:space="preserve">法定代表人或代理人（签字或盖章）：</w:t>
      </w:r>
      <w:r/>
    </w:p>
    <w:p>
      <w:pPr>
        <w:pStyle w:val="851"/>
        <w:ind w:left="1026" w:firstLine="4830"/>
        <w:jc w:val="left"/>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ascii="宋体" w:hAnsi="宋体"/>
          <w:szCs w:val="21"/>
        </w:rPr>
      </w:r>
      <w:r/>
    </w:p>
    <w:p>
      <w:pPr>
        <w:pStyle w:val="851"/>
        <w:spacing w:line="360" w:lineRule="auto"/>
        <w:rPr>
          <w:rFonts w:ascii="宋体" w:hAnsi="宋体" w:cs="宋体"/>
          <w:sz w:val="24"/>
          <w:szCs w:val="24"/>
        </w:rPr>
      </w:pPr>
      <w:r>
        <w:rPr>
          <w:rFonts w:ascii="宋体" w:hAnsi="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注： </w:t>
      </w:r>
      <w:r>
        <w:rPr>
          <w:rFonts w:hAnsi="宋体" w:eastAsia="宋体" w:cs="宋体"/>
          <w:sz w:val="24"/>
          <w:szCs w:val="24"/>
        </w:rPr>
      </w:r>
      <w:r/>
    </w:p>
    <w:p>
      <w:pPr>
        <w:pStyle w:val="1200"/>
        <w:spacing w:line="360" w:lineRule="auto"/>
        <w:rPr>
          <w:rFonts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lang w:val="zh-CN"/>
        </w:rPr>
        <w:t xml:space="preserve">投标报价分析表</w:t>
      </w:r>
      <w:r>
        <w:rPr>
          <w:rFonts w:hint="eastAsia" w:hAnsi="宋体" w:eastAsia="宋体" w:cs="宋体"/>
          <w:sz w:val="24"/>
          <w:szCs w:val="24"/>
        </w:rPr>
        <w:t xml:space="preserve">”各分项报价合计金额应当与“开标一览表”投标总价相等，如不相等，以“开标一览表”为准。</w:t>
      </w:r>
      <w:r>
        <w:rPr>
          <w:rFonts w:hAnsi="宋体" w:eastAsia="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2、大件维修更换固定费用报价按30万元填入，</w:t>
      </w:r>
      <w:r>
        <w:rPr>
          <w:rFonts w:hint="eastAsia" w:ascii="宋体" w:hAnsi="宋体" w:cs="宋体"/>
          <w:sz w:val="24"/>
          <w:szCs w:val="24"/>
        </w:rPr>
        <w:t xml:space="preserve">同时填入</w:t>
      </w:r>
      <w:r>
        <w:rPr>
          <w:rFonts w:hint="eastAsia" w:ascii="宋体" w:hAnsi="宋体" w:cs="宋体"/>
          <w:color w:val="000000"/>
          <w:sz w:val="24"/>
          <w:szCs w:val="24"/>
          <w:lang w:bidi="ar"/>
        </w:rPr>
        <w:t xml:space="preserve">大件更换结算</w:t>
      </w:r>
      <w:r>
        <w:rPr>
          <w:rFonts w:hint="eastAsia" w:ascii="宋体" w:hAnsi="宋体" w:cs="宋体"/>
          <w:color w:val="000000"/>
          <w:sz w:val="24"/>
          <w:szCs w:val="24"/>
          <w:lang w:bidi="ar"/>
        </w:rPr>
        <w:t xml:space="preserve">统一</w:t>
      </w:r>
      <w:r>
        <w:rPr>
          <w:rFonts w:hint="eastAsia" w:ascii="宋体" w:hAnsi="宋体" w:cs="宋体"/>
          <w:color w:val="000000"/>
          <w:sz w:val="24"/>
          <w:szCs w:val="24"/>
          <w:lang w:bidi="ar"/>
        </w:rPr>
        <w:t xml:space="preserve">折扣率。</w:t>
      </w:r>
      <w:r>
        <w:rPr>
          <w:rFonts w:hint="eastAsia" w:ascii="宋体" w:hAnsi="宋体" w:cs="宋体"/>
          <w:sz w:val="24"/>
          <w:szCs w:val="24"/>
        </w:rPr>
        <w:t xml:space="preserve">最终费用按</w:t>
      </w:r>
      <w:r>
        <w:rPr>
          <w:rFonts w:hint="eastAsia" w:ascii="宋体" w:hAnsi="宋体" w:cs="宋体"/>
          <w:sz w:val="24"/>
          <w:szCs w:val="24"/>
        </w:rPr>
        <w:t xml:space="preserve">结算单价*数量*折扣率</w:t>
      </w:r>
      <w:r>
        <w:rPr>
          <w:rFonts w:hint="eastAsia" w:ascii="宋体" w:hAnsi="宋体" w:cs="宋体"/>
          <w:sz w:val="24"/>
          <w:szCs w:val="24"/>
        </w:rPr>
        <w:t xml:space="preserve">进行结算。</w:t>
      </w:r>
      <w:r>
        <w:rPr>
          <w:rFonts w:ascii="宋体" w:hAnsi="宋体" w:cs="宋体"/>
          <w:sz w:val="24"/>
          <w:szCs w:val="24"/>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rPr>
          <w:rFonts w:ascii="宋体" w:hAnsi="宋体" w:cs="宋体"/>
          <w:sz w:val="24"/>
          <w:szCs w:val="24"/>
          <w:lang w:val="zh-CN"/>
        </w:rPr>
      </w:r>
      <w:r/>
    </w:p>
    <w:p>
      <w:pPr>
        <w:pStyle w:val="851"/>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rPr>
          <w:rFonts w:ascii="宋体" w:hAnsi="宋体" w:cs="宋体"/>
          <w:sz w:val="24"/>
          <w:szCs w:val="24"/>
          <w:lang w:val="zh-CN"/>
        </w:rPr>
      </w:r>
      <w:r/>
    </w:p>
    <w:p>
      <w:pPr>
        <w:pStyle w:val="851"/>
        <w:spacing w:line="360" w:lineRule="auto"/>
        <w:rPr>
          <w:rFonts w:ascii="宋体" w:hAnsi="宋体"/>
          <w:sz w:val="24"/>
          <w:szCs w:val="24"/>
        </w:rPr>
      </w:pPr>
      <w:r>
        <w:rPr>
          <w:rFonts w:hint="eastAsia" w:ascii="宋体" w:hAnsi="宋体"/>
          <w:b/>
          <w:bCs/>
          <w:sz w:val="24"/>
          <w:szCs w:val="24"/>
        </w:rPr>
        <w:t xml:space="preserve">格式 5 服务方案</w:t>
      </w:r>
      <w:r>
        <w:rPr>
          <w:rFonts w:ascii="宋体" w:hAnsi="宋体"/>
          <w:sz w:val="24"/>
          <w:szCs w:val="24"/>
        </w:rPr>
      </w:r>
      <w:r/>
    </w:p>
    <w:p>
      <w:pPr>
        <w:pStyle w:val="1176"/>
        <w:jc w:val="center"/>
        <w:spacing w:before="312"/>
        <w:rPr>
          <w:rFonts w:hAnsi="宋体" w:eastAsia="宋体"/>
          <w:b/>
          <w:sz w:val="24"/>
          <w:szCs w:val="24"/>
          <w:lang w:eastAsia="zh-CN"/>
        </w:rPr>
      </w:pPr>
      <w:r>
        <w:rPr>
          <w:rFonts w:hAnsi="宋体" w:eastAsia="宋体"/>
          <w:b/>
          <w:sz w:val="24"/>
          <w:szCs w:val="24"/>
          <w:lang w:eastAsia="zh-CN"/>
        </w:rPr>
        <w:t xml:space="preserve">服务方案</w:t>
      </w:r>
      <w:r>
        <w:rPr>
          <w:rFonts w:hAnsi="宋体" w:eastAsia="宋体"/>
          <w:b/>
          <w:sz w:val="24"/>
          <w:szCs w:val="24"/>
          <w:lang w:eastAsia="zh-CN"/>
        </w:rPr>
      </w:r>
      <w:r/>
    </w:p>
    <w:tbl>
      <w:tblPr>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vAlign w:val="top"/>
            <w:textDirection w:val="lrTb"/>
            <w:noWrap/>
          </w:tcPr>
          <w:p>
            <w:pPr>
              <w:pStyle w:val="851"/>
              <w:jc w:val="left"/>
              <w:spacing w:line="360" w:lineRule="auto"/>
              <w:tabs>
                <w:tab w:val="left" w:pos="1320" w:leader="none"/>
              </w:tabs>
              <w:rPr>
                <w:rFonts w:ascii="宋体" w:hAnsi="宋体"/>
                <w:sz w:val="24"/>
                <w:szCs w:val="24"/>
              </w:rPr>
            </w:pPr>
            <w:r>
              <w:rPr>
                <w:rFonts w:hint="eastAsia" w:ascii="宋体" w:hAnsi="宋体"/>
                <w:sz w:val="24"/>
                <w:szCs w:val="24"/>
              </w:rPr>
              <w:t xml:space="preserve">提示：</w:t>
            </w:r>
            <w:r>
              <w:rPr>
                <w:rFonts w:ascii="宋体" w:hAnsi="宋体"/>
                <w:sz w:val="24"/>
                <w:szCs w:val="24"/>
              </w:rPr>
            </w:r>
            <w:r/>
          </w:p>
          <w:p>
            <w:pPr>
              <w:pStyle w:val="1204"/>
              <w:rPr>
                <w:rFonts w:hAnsi="宋体" w:eastAsia="宋体"/>
                <w:sz w:val="24"/>
                <w:szCs w:val="24"/>
              </w:rPr>
            </w:pPr>
            <w:r>
              <w:rPr>
                <w:rFonts w:hAnsi="宋体" w:eastAsia="宋体"/>
                <w:sz w:val="24"/>
                <w:szCs w:val="24"/>
              </w:rPr>
              <w:t xml:space="preserve">1、供应商应根据本次采购项目要求，对所投服务进行详细的说明与描述，包括针对本次采购项目特点及具体情况编写</w:t>
            </w:r>
            <w:r>
              <w:rPr>
                <w:rFonts w:hint="eastAsia" w:hAnsi="宋体" w:eastAsia="宋体"/>
                <w:sz w:val="24"/>
                <w:szCs w:val="24"/>
              </w:rPr>
              <w:t xml:space="preserve">中标</w:t>
            </w:r>
            <w:r>
              <w:rPr>
                <w:rFonts w:hAnsi="宋体" w:eastAsia="宋体"/>
                <w:sz w:val="24"/>
                <w:szCs w:val="24"/>
              </w:rPr>
              <w:t xml:space="preserve">后拟采取的实施方案等</w:t>
            </w:r>
            <w:r>
              <w:rPr>
                <w:rFonts w:hint="eastAsia" w:hAnsi="宋体" w:eastAsia="宋体"/>
                <w:sz w:val="24"/>
                <w:szCs w:val="24"/>
              </w:rPr>
              <w:t xml:space="preserve">。</w:t>
            </w:r>
            <w:r>
              <w:rPr>
                <w:rFonts w:hAnsi="宋体" w:eastAsia="宋体"/>
                <w:sz w:val="24"/>
                <w:szCs w:val="24"/>
              </w:rPr>
            </w:r>
            <w:r/>
          </w:p>
          <w:p>
            <w:pPr>
              <w:pStyle w:val="851"/>
              <w:jc w:val="left"/>
              <w:spacing w:line="360" w:lineRule="auto"/>
              <w:rPr>
                <w:rFonts w:ascii="宋体" w:hAnsi="宋体"/>
                <w:sz w:val="24"/>
                <w:szCs w:val="24"/>
              </w:rPr>
            </w:pPr>
            <w:r>
              <w:rPr>
                <w:rFonts w:ascii="宋体" w:hAnsi="宋体"/>
                <w:sz w:val="24"/>
                <w:szCs w:val="24"/>
              </w:rPr>
              <w:t xml:space="preserve">2、供应商可根据自身情况编写，本页不够可另加页附后。</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p>
            <w:pPr>
              <w:pStyle w:val="851"/>
              <w:ind w:left="-27" w:firstLine="247"/>
              <w:jc w:val="left"/>
              <w:spacing w:line="360" w:lineRule="auto"/>
              <w:rPr>
                <w:rFonts w:ascii="宋体" w:hAnsi="宋体"/>
                <w:sz w:val="24"/>
                <w:szCs w:val="24"/>
              </w:rPr>
            </w:pPr>
            <w:r>
              <w:rPr>
                <w:rFonts w:hint="eastAsia" w:ascii="宋体" w:hAnsi="宋体"/>
                <w:sz w:val="24"/>
                <w:szCs w:val="24"/>
              </w:rPr>
              <w:t xml:space="preserve">                             投标人</w:t>
            </w:r>
            <w:r>
              <w:rPr>
                <w:rFonts w:ascii="宋体" w:hAnsi="宋体"/>
                <w:sz w:val="24"/>
                <w:szCs w:val="24"/>
              </w:rPr>
              <w:t xml:space="preserve">（盖章）：</w:t>
            </w:r>
            <w:r>
              <w:rPr>
                <w:rFonts w:ascii="宋体" w:hAnsi="宋体"/>
                <w:sz w:val="24"/>
                <w:szCs w:val="24"/>
              </w:rPr>
            </w:r>
            <w:r/>
          </w:p>
          <w:p>
            <w:pPr>
              <w:pStyle w:val="851"/>
              <w:ind w:left="-27" w:firstLine="247"/>
              <w:jc w:val="left"/>
              <w:spacing w:line="360" w:lineRule="auto"/>
              <w:rPr>
                <w:rFonts w:ascii="宋体" w:hAnsi="宋体"/>
                <w:sz w:val="24"/>
                <w:szCs w:val="24"/>
              </w:rPr>
            </w:pPr>
            <w:r>
              <w:rPr>
                <w:rFonts w:ascii="宋体" w:hAnsi="宋体"/>
                <w:sz w:val="24"/>
                <w:szCs w:val="24"/>
              </w:rPr>
            </w:r>
            <w:r/>
          </w:p>
        </w:tc>
      </w:tr>
    </w:tbl>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sz w:val="24"/>
          <w:szCs w:val="24"/>
          <w:lang w:val="zh-CN" w:eastAsia="zh-CN"/>
        </w:rPr>
      </w:pPr>
      <w:r>
        <w:rPr>
          <w:rFonts w:hAnsi="宋体" w:eastAsia="宋体"/>
          <w:b/>
          <w:bCs/>
          <w:sz w:val="24"/>
          <w:szCs w:val="24"/>
          <w:lang w:val="zh-CN" w:eastAsia="zh-CN"/>
        </w:rPr>
        <w:t xml:space="preserve">格式</w:t>
      </w:r>
      <w:r>
        <w:rPr>
          <w:rFonts w:hAnsi="宋体" w:eastAsia="宋体"/>
          <w:b/>
          <w:bCs/>
          <w:sz w:val="24"/>
          <w:szCs w:val="24"/>
          <w:lang w:eastAsia="zh-CN"/>
        </w:rPr>
        <w:t xml:space="preserve">6</w:t>
      </w:r>
      <w:r>
        <w:rPr>
          <w:rFonts w:hAnsi="宋体" w:eastAsia="宋体"/>
          <w:b/>
          <w:bCs/>
          <w:sz w:val="24"/>
          <w:szCs w:val="24"/>
          <w:lang w:val="zh-CN" w:eastAsia="zh-CN"/>
        </w:rPr>
        <w:t xml:space="preserve">、</w:t>
      </w:r>
      <w:r>
        <w:rPr>
          <w:rFonts w:hAnsi="宋体" w:eastAsia="宋体"/>
          <w:b/>
          <w:sz w:val="24"/>
          <w:szCs w:val="24"/>
          <w:lang w:eastAsia="zh-CN"/>
        </w:rPr>
        <w:t xml:space="preserve">商务条款偏离表</w:t>
      </w:r>
      <w:r>
        <w:rPr>
          <w:rFonts w:hAnsi="宋体" w:eastAsia="宋体"/>
          <w:sz w:val="24"/>
          <w:szCs w:val="24"/>
          <w:lang w:val="zh-CN" w:eastAsia="zh-CN"/>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商务条款偏离表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789"/>
        <w:gridCol w:w="2237"/>
        <w:gridCol w:w="2237"/>
        <w:gridCol w:w="1599"/>
      </w:tblGrid>
      <w:tr>
        <w:trPr/>
        <w:tc>
          <w:tcPr>
            <w:tcW w:w="660"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招标文件条目号</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招标文件的商务条款</w:t>
            </w:r>
            <w:r>
              <w:rPr>
                <w:rFonts w:ascii="宋体" w:hAnsi="宋体" w:cs="宋体"/>
                <w:sz w:val="24"/>
                <w:szCs w:val="24"/>
              </w:rPr>
            </w:r>
            <w:r/>
          </w:p>
        </w:tc>
        <w:tc>
          <w:tcPr>
            <w:tcW w:w="2237"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投标文件的商务条款</w:t>
            </w:r>
            <w:r>
              <w:rPr>
                <w:rFonts w:ascii="宋体" w:hAnsi="宋体" w:cs="宋体"/>
                <w:sz w:val="24"/>
                <w:szCs w:val="24"/>
              </w:rPr>
            </w:r>
            <w:r/>
          </w:p>
        </w:tc>
        <w:tc>
          <w:tcPr>
            <w:tcW w:w="1599" w:type="dxa"/>
            <w:vAlign w:val="top"/>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66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78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22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99"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56"/>
        <w:ind w:firstLine="0"/>
        <w:spacing w:line="360" w:lineRule="auto"/>
        <w:rPr>
          <w:rFonts w:eastAsia="宋体"/>
          <w:szCs w:val="24"/>
          <w:lang w:eastAsia="zh-CN"/>
        </w:rPr>
      </w:pPr>
      <w:r>
        <w:rPr>
          <w:rFonts w:hint="eastAsia" w:eastAsia="宋体"/>
          <w:szCs w:val="24"/>
          <w:lang w:eastAsia="zh-CN"/>
        </w:rPr>
        <w:t xml:space="preserve">日期：</w:t>
      </w:r>
      <w:r>
        <w:rPr>
          <w:rFonts w:eastAsia="宋体"/>
          <w:szCs w:val="24"/>
          <w:lang w:eastAsia="zh-CN"/>
        </w:rPr>
      </w:r>
      <w:r/>
    </w:p>
    <w:p>
      <w:pPr>
        <w:pStyle w:val="851"/>
        <w:pageBreakBefore/>
        <w:spacing w:line="360" w:lineRule="auto"/>
        <w:rPr>
          <w:rFonts w:ascii="宋体" w:hAnsi="宋体" w:cs="宋体"/>
          <w:b/>
          <w:bCs/>
          <w:sz w:val="24"/>
          <w:szCs w:val="24"/>
        </w:rPr>
      </w:pP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w:t>
      </w:r>
      <w:bookmarkStart w:id="31" w:name="_Toc532444344"/>
      <w:r/>
      <w:bookmarkStart w:id="32" w:name="_Toc532444506"/>
      <w:r/>
      <w:bookmarkStart w:id="33" w:name="_Toc532452113"/>
      <w:r/>
      <w:bookmarkStart w:id="34" w:name="_Toc2583142"/>
      <w:r/>
      <w:bookmarkStart w:id="35" w:name="_Toc518926909"/>
      <w:r/>
      <w:bookmarkStart w:id="36" w:name="_Toc7888"/>
      <w:r>
        <w:rPr>
          <w:rFonts w:hint="eastAsia" w:ascii="宋体" w:hAnsi="宋体" w:cs="宋体"/>
          <w:b/>
          <w:bCs/>
          <w:sz w:val="24"/>
          <w:szCs w:val="24"/>
        </w:rPr>
        <w:t xml:space="preserve">服务偏离表</w:t>
      </w:r>
      <w:r>
        <w:rPr>
          <w:rFonts w:ascii="宋体" w:hAnsi="宋体" w:cs="宋体"/>
          <w:b/>
          <w:bCs/>
          <w:sz w:val="24"/>
          <w:szCs w:val="24"/>
        </w:rPr>
      </w:r>
      <w:r/>
    </w:p>
    <w:p>
      <w:pPr>
        <w:pStyle w:val="851"/>
        <w:jc w:val="center"/>
        <w:spacing w:line="360" w:lineRule="auto"/>
        <w:rPr>
          <w:rFonts w:ascii="宋体" w:hAnsi="宋体" w:cs="宋体"/>
          <w:sz w:val="24"/>
          <w:szCs w:val="24"/>
          <w:lang w:val="zh-CN"/>
        </w:rPr>
      </w:pPr>
      <w:r>
        <w:rPr>
          <w:rFonts w:hint="eastAsia" w:ascii="宋体" w:hAnsi="宋体" w:cs="宋体"/>
          <w:b/>
          <w:sz w:val="24"/>
          <w:szCs w:val="24"/>
        </w:rPr>
        <w:t xml:space="preserve">服务偏离表</w:t>
      </w:r>
      <w:r>
        <w:rPr>
          <w:rFonts w:ascii="宋体" w:hAnsi="宋体" w:cs="宋体"/>
          <w:sz w:val="24"/>
          <w:szCs w:val="24"/>
          <w:lang w:val="zh-CN"/>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1510"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34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投标要求</w:t>
            </w:r>
            <w:r>
              <w:rPr>
                <w:rFonts w:ascii="宋体" w:hAnsi="宋体" w:cs="宋体"/>
                <w:sz w:val="24"/>
                <w:szCs w:val="24"/>
              </w:rPr>
            </w:r>
            <w:r/>
          </w:p>
        </w:tc>
        <w:tc>
          <w:tcPr>
            <w:tcW w:w="1584"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偏离/响应</w:t>
            </w:r>
            <w:r>
              <w:rPr>
                <w:rFonts w:ascii="宋体" w:hAnsi="宋体" w:cs="宋体"/>
                <w:sz w:val="24"/>
                <w:szCs w:val="24"/>
              </w:rPr>
            </w:r>
            <w:r/>
          </w:p>
        </w:tc>
        <w:tc>
          <w:tcPr>
            <w:tcW w:w="1637"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r>
        <w:trPr/>
        <w:tc>
          <w:tcPr>
            <w:tcW w:w="77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7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10"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342"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584"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c>
          <w:tcPr>
            <w:tcW w:w="1637" w:type="dxa"/>
            <w:vAlign w:val="top"/>
            <w:textDirection w:val="lrTb"/>
            <w:noWrap/>
          </w:tcPr>
          <w:p>
            <w:pPr>
              <w:pStyle w:val="851"/>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注：1.投标人应对照招标文件技术要求等要求，所投标的物与招标文件的规定有偏离的，应在此表中申明与技术要求条文的偏差和例外。</w:t>
      </w: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投标人：（签章）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日期：</w:t>
      </w:r>
      <w:bookmarkEnd w:id="31"/>
      <w:r/>
      <w:bookmarkEnd w:id="32"/>
      <w:r/>
      <w:bookmarkEnd w:id="33"/>
      <w:r/>
      <w:bookmarkEnd w:id="34"/>
      <w:r/>
      <w:bookmarkEnd w:id="35"/>
      <w:r/>
      <w:bookmarkEnd w:id="36"/>
      <w:r>
        <w:rPr>
          <w:rFonts w:ascii="宋体" w:hAnsi="宋体" w:cs="宋体"/>
          <w:sz w:val="24"/>
          <w:szCs w:val="24"/>
        </w:rPr>
      </w:r>
      <w:r/>
    </w:p>
    <w:p>
      <w:pPr>
        <w:pStyle w:val="1201"/>
        <w:spacing w:line="360" w:lineRule="auto"/>
        <w:rPr>
          <w:rFonts w:hAnsi="宋体" w:eastAsia="宋体" w:cs="宋体"/>
          <w:b/>
          <w:sz w:val="21"/>
          <w:szCs w:val="21"/>
        </w:rPr>
      </w:pPr>
      <w:r>
        <w:rPr>
          <w:rFonts w:hAnsi="宋体" w:eastAsia="宋体" w:cs="宋体"/>
          <w:b/>
          <w:sz w:val="21"/>
          <w:szCs w:val="21"/>
        </w:rPr>
      </w:r>
      <w:r/>
    </w:p>
    <w:p>
      <w:pPr>
        <w:pStyle w:val="851"/>
        <w:keepLines/>
        <w:keepNext/>
        <w:rPr>
          <w:rFonts w:ascii="宋体" w:hAnsi="宋体"/>
          <w:b/>
          <w:sz w:val="24"/>
          <w:szCs w:val="24"/>
        </w:rPr>
        <w:outlineLvl w:val="1"/>
      </w:pPr>
      <w:r>
        <w:rPr>
          <w:rFonts w:hint="eastAsia" w:ascii="宋体" w:hAnsi="宋体" w:cs="宋体"/>
          <w:b/>
          <w:szCs w:val="21"/>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w:t>
      </w:r>
      <w:r>
        <w:rPr>
          <w:rFonts w:ascii="宋体" w:hAnsi="宋体"/>
          <w:b/>
          <w:sz w:val="24"/>
          <w:szCs w:val="24"/>
        </w:rPr>
        <w:t xml:space="preserve">拟投入本项目人员配备一览表</w:t>
      </w:r>
      <w:r>
        <w:rPr>
          <w:rFonts w:ascii="宋体" w:hAnsi="宋体"/>
          <w:b/>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62"/>
        <w:jc w:val="center"/>
        <w:rPr>
          <w:rFonts w:hAnsi="宋体" w:eastAsia="宋体"/>
          <w:b/>
          <w:bCs/>
          <w:sz w:val="24"/>
          <w:szCs w:val="24"/>
          <w:lang w:val="zh-TW" w:eastAsia="zh-TW"/>
        </w:rPr>
      </w:pPr>
      <w:r>
        <w:rPr>
          <w:rFonts w:hAnsi="宋体" w:eastAsia="宋体"/>
          <w:b/>
          <w:bCs/>
          <w:sz w:val="24"/>
          <w:szCs w:val="24"/>
          <w:lang w:val="zh-TW" w:eastAsia="zh-TW"/>
        </w:rPr>
        <w:t xml:space="preserve">项目组人员一览表</w:t>
      </w:r>
      <w:r>
        <w:rPr>
          <w:rFonts w:hAnsi="宋体" w:eastAsia="宋体"/>
          <w:b/>
          <w:bCs/>
          <w:sz w:val="24"/>
          <w:szCs w:val="24"/>
          <w:lang w:val="zh-TW" w:eastAsia="zh-TW"/>
        </w:rPr>
      </w:r>
      <w:r/>
    </w:p>
    <w:p>
      <w:pPr>
        <w:pStyle w:val="862"/>
        <w:ind w:firstLine="480"/>
        <w:jc w:val="center"/>
        <w:rPr>
          <w:rFonts w:hAnsi="宋体" w:eastAsia="宋体"/>
          <w:sz w:val="24"/>
          <w:szCs w:val="24"/>
        </w:rPr>
      </w:pPr>
      <w:r>
        <w:rPr>
          <w:rFonts w:hAnsi="宋体" w:eastAsia="宋体"/>
          <w:sz w:val="24"/>
          <w:szCs w:val="24"/>
        </w:rPr>
      </w:r>
      <w:r/>
    </w:p>
    <w:tbl>
      <w:tblPr>
        <w:tblW w:w="0" w:type="auto"/>
        <w:jc w:val="center"/>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序号</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项目组所任职务</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姓名</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性别</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年龄</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职称</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专业</w:t>
            </w:r>
            <w:r>
              <w:rPr>
                <w:rFonts w:ascii="宋体" w:hAnsi="宋体" w:cs="宋体"/>
                <w:sz w:val="24"/>
                <w:szCs w:val="24"/>
                <w:lang w:val="en-US" w:eastAsia="zh-CN"/>
              </w:rPr>
              <w:t xml:space="preserve">/</w:t>
            </w:r>
            <w:r>
              <w:rPr>
                <w:rFonts w:ascii="宋体" w:hAnsi="宋体" w:cs="宋体"/>
                <w:sz w:val="24"/>
                <w:szCs w:val="24"/>
                <w:lang w:val="zh-TW" w:eastAsia="zh-TW"/>
              </w:rPr>
              <w:t xml:space="preserve">资格</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zh-TW" w:eastAsia="zh-TW"/>
              </w:rPr>
              <w:t xml:space="preserve">从事本工作时间</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66"/>
              <w:jc w:val="center"/>
              <w:rPr>
                <w:rFonts w:ascii="宋体" w:hAnsi="宋体" w:cs="宋体"/>
                <w:sz w:val="24"/>
                <w:szCs w:val="24"/>
                <w:lang w:val="en-US" w:eastAsia="zh-CN"/>
              </w:rPr>
            </w:pPr>
            <w:r>
              <w:rPr>
                <w:rFonts w:ascii="宋体" w:hAnsi="宋体" w:cs="宋体"/>
                <w:sz w:val="24"/>
                <w:szCs w:val="24"/>
                <w:lang w:val="zh-TW" w:eastAsia="zh-TW"/>
              </w:rPr>
              <w:t xml:space="preserve">典型业务</w:t>
            </w:r>
            <w:r>
              <w:rPr>
                <w:rFonts w:ascii="宋体" w:hAnsi="宋体" w:cs="宋体"/>
                <w:sz w:val="24"/>
                <w:szCs w:val="24"/>
                <w:lang w:val="en-US" w:eastAsia="zh-CN"/>
              </w:rPr>
            </w:r>
            <w:r/>
          </w:p>
          <w:p>
            <w:pPr>
              <w:pStyle w:val="866"/>
              <w:jc w:val="center"/>
              <w:rPr>
                <w:rFonts w:ascii="宋体" w:hAnsi="宋体"/>
                <w:sz w:val="24"/>
                <w:szCs w:val="24"/>
                <w:lang w:val="en-US" w:eastAsia="zh-CN"/>
              </w:rPr>
            </w:pPr>
            <w:r>
              <w:rPr>
                <w:rFonts w:ascii="宋体" w:hAnsi="宋体" w:cs="宋体"/>
                <w:sz w:val="24"/>
                <w:szCs w:val="24"/>
                <w:lang w:val="zh-TW" w:eastAsia="zh-TW"/>
              </w:rPr>
              <w:t xml:space="preserve">与技术专长</w:t>
            </w:r>
            <w:r>
              <w:rPr>
                <w:rFonts w:ascii="宋体" w:hAnsi="宋体"/>
                <w:sz w:val="24"/>
                <w:szCs w:val="24"/>
                <w:lang w:val="en-US" w:eastAsia="zh-CN"/>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1</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2</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3</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4</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5</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6</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7</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8</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tcPr>
          <w:p>
            <w:pPr>
              <w:pStyle w:val="866"/>
              <w:jc w:val="center"/>
              <w:rPr>
                <w:rFonts w:ascii="宋体" w:hAnsi="宋体"/>
                <w:sz w:val="24"/>
                <w:szCs w:val="24"/>
                <w:lang w:val="en-US" w:eastAsia="zh-CN"/>
              </w:rPr>
            </w:pPr>
            <w:r>
              <w:rPr>
                <w:rFonts w:ascii="宋体" w:hAnsi="宋体" w:cs="宋体"/>
                <w:sz w:val="24"/>
                <w:szCs w:val="24"/>
                <w:lang w:val="en-US" w:eastAsia="zh-CN"/>
              </w:rPr>
              <w:t xml:space="preserve">9</w:t>
            </w:r>
            <w:r>
              <w:rPr>
                <w:rFonts w:ascii="宋体" w:hAnsi="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top"/>
            <w:textDirection w:val="lrTb"/>
            <w:noWrap/>
          </w:tcPr>
          <w:p>
            <w:pPr>
              <w:pStyle w:val="851"/>
              <w:jc w:val="center"/>
              <w:rPr>
                <w:rFonts w:ascii="宋体" w:hAnsi="宋体"/>
                <w:sz w:val="24"/>
                <w:szCs w:val="24"/>
              </w:rPr>
            </w:pPr>
            <w:r>
              <w:rPr>
                <w:rFonts w:ascii="宋体" w:hAnsi="宋体" w:cs="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tcPr>
          <w:p>
            <w:pPr>
              <w:pStyle w:val="851"/>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top"/>
            <w:textDirection w:val="lrTb"/>
            <w:noWrap/>
          </w:tcPr>
          <w:p>
            <w:pPr>
              <w:pStyle w:val="851"/>
              <w:rPr>
                <w:rFonts w:ascii="宋体" w:hAnsi="宋体"/>
                <w:sz w:val="24"/>
                <w:szCs w:val="24"/>
              </w:rPr>
            </w:pPr>
            <w:r>
              <w:rPr>
                <w:rFonts w:ascii="宋体" w:hAnsi="宋体"/>
                <w:sz w:val="24"/>
                <w:szCs w:val="24"/>
              </w:rPr>
            </w:r>
            <w:r/>
          </w:p>
        </w:tc>
      </w:tr>
    </w:tbl>
    <w:p>
      <w:pPr>
        <w:pStyle w:val="856"/>
        <w:ind w:firstLine="0"/>
        <w:rPr>
          <w:rFonts w:eastAsia="宋体"/>
          <w:szCs w:val="24"/>
        </w:rPr>
        <w:outlineLvl w:val="1"/>
      </w:pPr>
      <w:r>
        <w:rPr>
          <w:rFonts w:eastAsia="宋体"/>
          <w:szCs w:val="24"/>
        </w:rPr>
      </w:r>
      <w:r/>
    </w:p>
    <w:p>
      <w:pPr>
        <w:pStyle w:val="851"/>
        <w:rPr>
          <w:rFonts w:ascii="宋体" w:hAnsi="宋体"/>
          <w:sz w:val="24"/>
          <w:szCs w:val="24"/>
        </w:rPr>
      </w:pPr>
      <w:r>
        <w:rPr>
          <w:rFonts w:ascii="宋体" w:hAnsi="宋体"/>
          <w:sz w:val="24"/>
          <w:szCs w:val="24"/>
        </w:rPr>
      </w:r>
      <w:r/>
    </w:p>
    <w:p>
      <w:pPr>
        <w:pStyle w:val="1144"/>
        <w:ind w:firstLine="420"/>
        <w:rPr>
          <w:rFonts w:hAnsi="宋体"/>
          <w:sz w:val="24"/>
          <w:szCs w:val="24"/>
        </w:rPr>
      </w:pPr>
      <w:r>
        <w:rPr>
          <w:rFonts w:hAnsi="宋体"/>
          <w:sz w:val="24"/>
          <w:szCs w:val="24"/>
        </w:rPr>
      </w:r>
      <w:r/>
    </w:p>
    <w:p>
      <w:pPr>
        <w:pStyle w:val="1197"/>
        <w:ind w:right="420" w:firstLine="6120"/>
        <w:rPr>
          <w:rFonts w:hAnsi="宋体" w:eastAsia="宋体"/>
          <w:sz w:val="24"/>
          <w:szCs w:val="24"/>
        </w:rPr>
      </w:pPr>
      <w:r>
        <w:rPr>
          <w:rFonts w:hAnsi="宋体" w:eastAsia="宋体"/>
          <w:sz w:val="24"/>
          <w:szCs w:val="24"/>
        </w:rPr>
      </w:r>
      <w:r/>
    </w:p>
    <w:p>
      <w:pPr>
        <w:pStyle w:val="1176"/>
        <w:ind w:firstLine="480"/>
        <w:spacing w:line="360" w:lineRule="auto"/>
        <w:rPr>
          <w:rFonts w:hAnsi="宋体" w:eastAsia="宋体"/>
          <w:sz w:val="24"/>
          <w:szCs w:val="24"/>
        </w:rPr>
      </w:pPr>
      <w:r>
        <w:rPr>
          <w:rFonts w:hAnsi="宋体" w:eastAsia="宋体"/>
          <w:sz w:val="24"/>
          <w:szCs w:val="24"/>
        </w:rPr>
        <w:t xml:space="preserve">投标人：（盖章）</w:t>
      </w:r>
      <w:r>
        <w:rPr>
          <w:rFonts w:hAnsi="宋体" w:eastAsia="宋体"/>
          <w:sz w:val="24"/>
          <w:szCs w:val="24"/>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法定代表人或代理人：（签字或盖章）</w:t>
      </w:r>
      <w:r>
        <w:rPr>
          <w:rFonts w:hAnsi="宋体" w:eastAsia="宋体"/>
          <w:sz w:val="24"/>
          <w:szCs w:val="24"/>
          <w:lang w:eastAsia="zh-CN"/>
        </w:rPr>
      </w:r>
      <w:r/>
    </w:p>
    <w:p>
      <w:pPr>
        <w:pStyle w:val="1176"/>
        <w:ind w:firstLine="480"/>
        <w:spacing w:line="360" w:lineRule="auto"/>
        <w:rPr>
          <w:rFonts w:hAnsi="宋体" w:eastAsia="宋体"/>
          <w:sz w:val="24"/>
          <w:szCs w:val="24"/>
          <w:lang w:eastAsia="zh-CN"/>
        </w:rPr>
      </w:pPr>
      <w:r>
        <w:rPr>
          <w:rFonts w:hAnsi="宋体" w:eastAsia="宋体"/>
          <w:sz w:val="24"/>
          <w:szCs w:val="24"/>
          <w:lang w:eastAsia="zh-CN"/>
        </w:rPr>
        <w:t xml:space="preserve">日期：    年    月    日</w:t>
      </w:r>
      <w:r>
        <w:rPr>
          <w:rFonts w:hAnsi="宋体" w:eastAsia="宋体"/>
          <w:sz w:val="24"/>
          <w:szCs w:val="24"/>
          <w:lang w:eastAsia="zh-CN"/>
        </w:rPr>
      </w:r>
      <w:r/>
    </w:p>
    <w:p>
      <w:pPr>
        <w:pStyle w:val="880"/>
        <w:rPr>
          <w:b/>
          <w:bCs/>
          <w:sz w:val="21"/>
          <w:szCs w:val="21"/>
          <w:lang w:val="zh-CN" w:eastAsia="zh-CN"/>
        </w:rPr>
      </w:pPr>
      <w:r>
        <w:rPr>
          <w:rFonts w:hint="eastAsia" w:ascii="宋体" w:hAnsi="宋体" w:eastAsia="宋体"/>
          <w:lang w:eastAsia="zh-CN"/>
        </w:rPr>
        <w:br w:type="page" w:clear="all"/>
      </w:r>
      <w:r>
        <w:rPr>
          <w:b/>
          <w:bCs/>
          <w:sz w:val="21"/>
          <w:szCs w:val="21"/>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80"/>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1079"/>
        <w:spacing w:line="360" w:lineRule="auto"/>
        <w:rPr>
          <w:rFonts w:ascii="宋体" w:hAnsi="宋体" w:cs="宋体"/>
          <w:i w:val="0"/>
          <w:iCs w:val="0"/>
          <w:sz w:val="24"/>
          <w:szCs w:val="24"/>
          <w:lang w:eastAsia="zh-CN"/>
        </w:rPr>
      </w:pPr>
      <w:r>
        <w:rPr>
          <w:rFonts w:hint="eastAsia" w:ascii="宋体" w:hAnsi="宋体" w:cs="宋体"/>
          <w:i w:val="0"/>
          <w:iCs w:val="0"/>
          <w:sz w:val="24"/>
          <w:szCs w:val="24"/>
          <w:lang w:val="zh-CN" w:eastAsia="zh-CN"/>
        </w:rPr>
        <w:t xml:space="preserve">格式</w:t>
      </w:r>
      <w:r>
        <w:rPr>
          <w:rFonts w:hint="eastAsia" w:ascii="宋体" w:hAnsi="宋体" w:cs="宋体"/>
          <w:i w:val="0"/>
          <w:iCs w:val="0"/>
          <w:sz w:val="24"/>
          <w:szCs w:val="24"/>
          <w:lang w:eastAsia="zh-CN"/>
        </w:rPr>
        <w:t xml:space="preserve">9、投标单位类似业绩一览表</w:t>
      </w:r>
      <w:r>
        <w:rPr>
          <w:rFonts w:ascii="宋体" w:hAnsi="宋体" w:cs="宋体"/>
          <w:i w:val="0"/>
          <w:iCs w:val="0"/>
          <w:sz w:val="24"/>
          <w:szCs w:val="24"/>
          <w:lang w:eastAsia="zh-CN"/>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cs="宋体"/>
          <w:b/>
          <w:sz w:val="24"/>
          <w:szCs w:val="24"/>
        </w:rPr>
      </w:pPr>
      <w:r>
        <w:rPr>
          <w:rFonts w:hint="eastAsia" w:ascii="宋体" w:hAnsi="宋体" w:cs="宋体"/>
          <w:b/>
          <w:sz w:val="24"/>
          <w:szCs w:val="24"/>
        </w:rPr>
        <w:t xml:space="preserve">投标单位类似业绩一览表</w:t>
      </w:r>
      <w:r>
        <w:rPr>
          <w:rFonts w:ascii="宋体" w:hAnsi="宋体" w:cs="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合同期</w:t>
            </w: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项目内容</w:t>
            </w: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合同金额（万元）</w:t>
            </w: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r>
        <w:trPr>
          <w:trHeight w:val="567" w:hRule="exact"/>
        </w:trPr>
        <w:tc>
          <w:tcPr>
            <w:tcW w:w="688"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2052"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c>
          <w:tcPr>
            <w:tcW w:w="1336" w:type="dxa"/>
            <w:vAlign w:val="center"/>
            <w:textDirection w:val="lrTb"/>
            <w:noWrap/>
          </w:tcPr>
          <w:p>
            <w:pPr>
              <w:pStyle w:val="851"/>
              <w:jc w:val="center"/>
              <w:spacing w:line="360" w:lineRule="auto"/>
              <w:rPr>
                <w:rFonts w:ascii="宋体" w:hAnsi="宋体" w:cs="宋体"/>
                <w:sz w:val="24"/>
                <w:szCs w:val="24"/>
              </w:rPr>
            </w:pPr>
            <w:r>
              <w:rPr>
                <w:rFonts w:ascii="宋体" w:hAnsi="宋体" w:cs="宋体"/>
                <w:sz w:val="24"/>
                <w:szCs w:val="24"/>
              </w:rPr>
            </w:r>
            <w:r/>
          </w:p>
        </w:tc>
      </w:tr>
    </w:tbl>
    <w:p>
      <w:pPr>
        <w:pStyle w:val="851"/>
        <w:spacing w:line="360" w:lineRule="auto"/>
        <w:rPr>
          <w:rFonts w:ascii="宋体" w:hAnsi="宋体" w:cs="宋体"/>
          <w:sz w:val="24"/>
          <w:szCs w:val="24"/>
        </w:rPr>
      </w:pPr>
      <w:r>
        <w:rPr>
          <w:rFonts w:hint="eastAsia" w:ascii="宋体" w:hAnsi="宋体" w:cs="宋体"/>
          <w:sz w:val="24"/>
          <w:szCs w:val="24"/>
        </w:rPr>
        <w:t xml:space="preserve">注：按招标文件要求附相关证明材料。</w:t>
      </w:r>
      <w:r>
        <w:rPr>
          <w:rFonts w:ascii="宋体" w:hAnsi="宋体" w:cs="宋体"/>
          <w:sz w:val="24"/>
          <w:szCs w:val="24"/>
        </w:rPr>
      </w:r>
      <w:r/>
    </w:p>
    <w:p>
      <w:pPr>
        <w:pStyle w:val="851"/>
        <w:spacing w:line="360" w:lineRule="auto"/>
        <w:rPr>
          <w:rFonts w:ascii="宋体" w:hAnsi="宋体" w:cs="宋体"/>
          <w:sz w:val="24"/>
          <w:szCs w:val="24"/>
        </w:rPr>
      </w:pP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80"/>
        <w:rPr>
          <w:rFonts w:ascii="宋体" w:hAnsi="宋体" w:eastAsia="宋体"/>
          <w:sz w:val="24"/>
          <w:szCs w:val="24"/>
          <w:lang w:eastAsia="zh-CN"/>
        </w:rPr>
      </w:pPr>
      <w:r>
        <w:rPr>
          <w:rFonts w:ascii="宋体" w:hAnsi="宋体" w:eastAsia="宋体"/>
          <w:sz w:val="24"/>
          <w:szCs w:val="24"/>
          <w:lang w:eastAsia="zh-CN"/>
        </w:rPr>
      </w:r>
      <w:r/>
    </w:p>
    <w:p>
      <w:pPr>
        <w:pStyle w:val="851"/>
        <w:spacing w:line="360" w:lineRule="auto"/>
        <w:rPr>
          <w:rFonts w:ascii="宋体" w:hAnsi="宋体"/>
          <w:sz w:val="24"/>
          <w:szCs w:val="24"/>
        </w:rPr>
      </w:pPr>
      <w:r>
        <w:rPr>
          <w:rFonts w:hint="eastAsia" w:ascii="宋体" w:hAnsi="宋体"/>
          <w:b/>
          <w:bCs/>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10</w:t>
      </w:r>
      <w:r>
        <w:rPr>
          <w:rFonts w:hint="eastAsia" w:ascii="宋体" w:hAnsi="宋体"/>
          <w:b/>
          <w:bCs/>
          <w:sz w:val="24"/>
          <w:szCs w:val="24"/>
          <w:lang w:val="zh-CN"/>
        </w:rPr>
        <w:t xml:space="preserve">、</w:t>
      </w:r>
      <w:r>
        <w:rPr>
          <w:rFonts w:hint="eastAsia" w:ascii="宋体" w:hAnsi="宋体"/>
          <w:b/>
          <w:sz w:val="24"/>
          <w:szCs w:val="24"/>
          <w:lang w:val="zh-CN"/>
        </w:rPr>
        <w:t xml:space="preserve">关于资格文件的声明函</w:t>
      </w:r>
      <w:r>
        <w:rPr>
          <w:rFonts w:ascii="宋体" w:hAnsi="宋体"/>
          <w:sz w:val="24"/>
          <w:szCs w:val="24"/>
        </w:rPr>
      </w:r>
      <w:r/>
    </w:p>
    <w:p>
      <w:pPr>
        <w:pStyle w:val="851"/>
        <w:ind w:firstLine="425"/>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lang w:val="zh-CN"/>
        </w:rPr>
      </w:pPr>
      <w:r>
        <w:rPr>
          <w:rFonts w:hint="eastAsia" w:ascii="宋体" w:hAnsi="宋体"/>
          <w:b/>
          <w:sz w:val="24"/>
          <w:szCs w:val="24"/>
          <w:lang w:val="zh-CN"/>
        </w:rPr>
        <w:t xml:space="preserve">关于资格文件的声明函</w:t>
      </w:r>
      <w:r>
        <w:rPr>
          <w:rFonts w:ascii="宋体" w:hAnsi="宋体"/>
          <w:b/>
          <w:sz w:val="24"/>
          <w:szCs w:val="24"/>
          <w:lang w:val="zh-CN"/>
        </w:rPr>
      </w:r>
      <w:r/>
    </w:p>
    <w:p>
      <w:pPr>
        <w:pStyle w:val="851"/>
        <w:ind w:firstLine="425"/>
        <w:jc w:val="center"/>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hint="eastAsia" w:ascii="宋体" w:hAnsi="宋体"/>
          <w:sz w:val="24"/>
          <w:szCs w:val="24"/>
          <w:lang w:val="zh-CN"/>
        </w:rPr>
        <w:t xml:space="preserve">：</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ind w:firstLine="425"/>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1995"/>
        <w:spacing w:line="360" w:lineRule="auto"/>
        <w:rPr>
          <w:rFonts w:ascii="宋体" w:hAnsi="宋体"/>
          <w:sz w:val="24"/>
          <w:szCs w:val="24"/>
          <w:lang w:val="zh-CN"/>
        </w:rPr>
      </w:pPr>
      <w:r>
        <w:rPr>
          <w:rFonts w:ascii="宋体" w:hAnsi="宋体"/>
          <w:sz w:val="24"/>
          <w:szCs w:val="24"/>
          <w:lang w:val="zh-CN"/>
        </w:rPr>
      </w:r>
      <w:r/>
    </w:p>
    <w:p>
      <w:pPr>
        <w:pStyle w:val="851"/>
        <w:spacing w:line="360" w:lineRule="auto"/>
        <w:rPr>
          <w:rFonts w:ascii="宋体" w:hAnsi="宋体"/>
          <w:b/>
          <w:sz w:val="24"/>
          <w:szCs w:val="24"/>
          <w:lang w:val="zh-CN"/>
        </w:rPr>
      </w:pPr>
      <w:r>
        <w:rPr>
          <w:rFonts w:hint="eastAsia" w:ascii="宋体" w:hAnsi="宋体"/>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11</w:t>
      </w:r>
      <w:r>
        <w:rPr>
          <w:rFonts w:hint="eastAsia" w:ascii="宋体" w:hAnsi="宋体"/>
          <w:b/>
          <w:bCs/>
          <w:sz w:val="24"/>
          <w:szCs w:val="24"/>
          <w:lang w:val="zh-CN"/>
        </w:rPr>
        <w:t xml:space="preserve">、</w:t>
      </w:r>
      <w:r>
        <w:rPr>
          <w:rFonts w:hint="eastAsia" w:ascii="宋体" w:hAnsi="宋体"/>
          <w:b/>
          <w:sz w:val="24"/>
          <w:szCs w:val="24"/>
          <w:lang w:val="zh-CN"/>
        </w:rPr>
        <w:t xml:space="preserve">投标人情况表</w:t>
      </w:r>
      <w:r>
        <w:rPr>
          <w:rFonts w:ascii="宋体" w:hAnsi="宋体"/>
          <w:b/>
          <w:sz w:val="24"/>
          <w:szCs w:val="24"/>
          <w:lang w:val="zh-CN"/>
        </w:rPr>
      </w:r>
      <w:r/>
    </w:p>
    <w:p>
      <w:pPr>
        <w:pStyle w:val="851"/>
        <w:spacing w:line="360" w:lineRule="auto"/>
        <w:rPr>
          <w:rFonts w:ascii="宋体" w:hAnsi="宋体"/>
          <w:szCs w:val="21"/>
        </w:rPr>
      </w:pPr>
      <w:r>
        <w:rPr>
          <w:rFonts w:hint="eastAsia" w:ascii="宋体" w:hAnsi="宋体" w:cs="宋体"/>
          <w:szCs w:val="21"/>
          <w:lang w:val="zh-CN"/>
        </w:rPr>
        <w:t xml:space="preserve">投标单位：（公章）</w:t>
      </w:r>
      <w:r>
        <w:rPr>
          <w:rFonts w:ascii="宋体" w:hAnsi="宋体"/>
          <w:szCs w:val="21"/>
        </w:rPr>
      </w:r>
      <w:r/>
    </w:p>
    <w:tbl>
      <w:tblPr>
        <w:tblW w:w="92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法定代表人</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成立日期</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企业地址</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注册资本</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经营范围</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职工人数</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gridSpan w:val="2"/>
            <w:tcW w:w="3566"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其中：有中高级以上职称的人数</w:t>
            </w:r>
            <w:r>
              <w:rPr>
                <w:rFonts w:eastAsia="宋体"/>
                <w:bCs/>
                <w:sz w:val="21"/>
                <w:szCs w:val="21"/>
                <w:shd w:val="clear" w:color="auto" w:fill="ffffff"/>
                <w:lang w:eastAsia="zh-CN"/>
              </w:rPr>
            </w:r>
            <w:r/>
          </w:p>
        </w:tc>
        <w:tc>
          <w:tcPr>
            <w:tcW w:w="10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资产总计</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净资产</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股东权益</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销售收入</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实现利润</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营业面积</w:t>
            </w:r>
            <w:r>
              <w:rPr>
                <w:rFonts w:eastAsia="宋体"/>
                <w:bCs/>
                <w:sz w:val="21"/>
                <w:szCs w:val="21"/>
                <w:shd w:val="clear" w:color="auto" w:fill="ffffff"/>
                <w:lang w:eastAsia="zh-CN"/>
              </w:rPr>
            </w:r>
            <w:r/>
          </w:p>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（含厂房面积）</w:t>
            </w:r>
            <w:r>
              <w:rPr>
                <w:rFonts w:eastAsia="宋体"/>
                <w:bCs/>
                <w:sz w:val="21"/>
                <w:szCs w:val="21"/>
                <w:shd w:val="clear" w:color="auto" w:fill="ffffff"/>
                <w:lang w:eastAsia="zh-CN"/>
              </w:rPr>
            </w:r>
            <w:r/>
          </w:p>
        </w:tc>
        <w:tc>
          <w:tcPr>
            <w:tcW w:w="1720"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w:t>
            </w:r>
            <w:r>
              <w:rPr>
                <w:rFonts w:eastAsia="宋体"/>
                <w:bCs/>
                <w:sz w:val="21"/>
                <w:szCs w:val="21"/>
                <w:shd w:val="clear" w:color="auto" w:fill="ffffff"/>
                <w:lang w:eastAsia="zh-CN"/>
              </w:rPr>
            </w:r>
            <w:r/>
          </w:p>
        </w:tc>
        <w:tc>
          <w:tcPr>
            <w:gridSpan w:val="2"/>
            <w:tcW w:w="2693"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自有面积平方米</w:t>
            </w:r>
            <w:r>
              <w:rPr>
                <w:rFonts w:eastAsia="宋体"/>
                <w:bCs/>
                <w:sz w:val="21"/>
                <w:szCs w:val="21"/>
                <w:shd w:val="clear" w:color="auto" w:fill="ffffff"/>
                <w:lang w:eastAsia="zh-CN"/>
              </w:rPr>
            </w:r>
            <w:r/>
          </w:p>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承租面积平方米</w:t>
            </w: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单位简历及内设机构情况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单位优势及特长</w:t>
            </w:r>
            <w:r>
              <w:rPr>
                <w:rFonts w:eastAsia="宋体"/>
                <w:bCs/>
                <w:sz w:val="21"/>
                <w:szCs w:val="21"/>
                <w:shd w:val="clear" w:color="auto" w:fill="ffffff"/>
                <w:lang w:eastAsia="zh-CN"/>
              </w:rPr>
            </w:r>
            <w:r/>
          </w:p>
        </w:tc>
        <w:tc>
          <w:tcPr>
            <w:gridSpan w:val="4"/>
            <w:tcW w:w="6346" w:type="dxa"/>
            <w:vAlign w:val="center"/>
            <w:textDirection w:val="lrTb"/>
            <w:noWrap/>
          </w:tcPr>
          <w:p>
            <w:pPr>
              <w:pStyle w:val="856"/>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近三年来完成或正在履行的重大合同情况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最近3年内在经营过程中受到何种奖励或处分（包括情况和结果）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年内有无因售假、售劣或是其他原因被消费者投诉或起诉的情况及说明（包括解决方式和结果）</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年内主要负责人有无因经济犯罪被司法机关追究的情况及说明</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获得技术认证的工程师及简介</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rHeight w:val="560"/>
        </w:trPr>
        <w:tc>
          <w:tcPr>
            <w:tcW w:w="2860" w:type="dxa"/>
            <w:vAlign w:val="center"/>
            <w:textDirection w:val="lrTb"/>
            <w:noWrap/>
          </w:tcPr>
          <w:p>
            <w:pPr>
              <w:pStyle w:val="856"/>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其他需要说明的情况</w:t>
            </w:r>
            <w:r>
              <w:rPr>
                <w:rFonts w:eastAsia="宋体"/>
                <w:bCs/>
                <w:sz w:val="21"/>
                <w:szCs w:val="21"/>
                <w:shd w:val="clear" w:color="auto" w:fill="ffffff"/>
                <w:lang w:eastAsia="zh-CN"/>
              </w:rPr>
            </w:r>
            <w:r/>
          </w:p>
        </w:tc>
        <w:tc>
          <w:tcPr>
            <w:gridSpan w:val="4"/>
            <w:tcW w:w="6346" w:type="dxa"/>
            <w:vAlign w:val="center"/>
            <w:textDirection w:val="lrTb"/>
            <w:noWrap/>
          </w:tcPr>
          <w:p>
            <w:pPr>
              <w:pStyle w:val="856"/>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bl>
    <w:p>
      <w:pPr>
        <w:pStyle w:val="851"/>
        <w:spacing w:line="360" w:lineRule="auto"/>
        <w:rPr>
          <w:rFonts w:ascii="宋体" w:hAnsi="宋体" w:cs="宋体"/>
          <w:szCs w:val="21"/>
          <w:lang w:val="zh-CN"/>
        </w:rPr>
      </w:pPr>
      <w:r>
        <w:rPr>
          <w:rFonts w:ascii="宋体" w:hAnsi="宋体" w:cs="宋体"/>
          <w:szCs w:val="21"/>
          <w:lang w:val="zh-CN"/>
        </w:rPr>
      </w:r>
      <w:r/>
    </w:p>
    <w:p>
      <w:pPr>
        <w:pStyle w:val="851"/>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851"/>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r>
      <w:r/>
    </w:p>
    <w:p>
      <w:pPr>
        <w:pStyle w:val="851"/>
        <w:spacing w:line="360" w:lineRule="auto"/>
        <w:rPr>
          <w:rFonts w:ascii="宋体" w:hAnsi="宋体"/>
          <w:sz w:val="24"/>
          <w:szCs w:val="24"/>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12、中小企业声明函</w:t>
      </w:r>
      <w:r>
        <w:rPr>
          <w:rFonts w:ascii="宋体" w:hAnsi="宋体"/>
          <w:sz w:val="24"/>
          <w:szCs w:val="24"/>
        </w:rPr>
      </w:r>
      <w:r/>
    </w:p>
    <w:p>
      <w:pPr>
        <w:pStyle w:val="851"/>
        <w:jc w:val="center"/>
        <w:spacing w:line="360" w:lineRule="auto"/>
        <w:rPr>
          <w:rFonts w:ascii="宋体" w:hAnsi="宋体"/>
          <w:b/>
          <w:sz w:val="24"/>
          <w:szCs w:val="24"/>
        </w:rPr>
      </w:pPr>
      <w:r>
        <w:rPr>
          <w:rFonts w:hint="eastAsia" w:ascii="宋体" w:hAnsi="宋体"/>
          <w:b/>
          <w:sz w:val="24"/>
          <w:szCs w:val="24"/>
          <w:lang w:val="zh-CN"/>
        </w:rPr>
        <w:t xml:space="preserve">中小企业声明函</w:t>
      </w:r>
      <w:r>
        <w:rPr>
          <w:rFonts w:ascii="宋体" w:hAnsi="宋体"/>
          <w:b/>
          <w:sz w:val="24"/>
          <w:szCs w:val="24"/>
        </w:rPr>
      </w:r>
      <w:r/>
    </w:p>
    <w:p>
      <w:pPr>
        <w:pStyle w:val="1195"/>
        <w:spacing w:line="400" w:lineRule="exact"/>
        <w:rPr>
          <w:rFonts w:hAnsi="宋体" w:eastAsia="宋体"/>
          <w:sz w:val="24"/>
          <w:szCs w:val="24"/>
          <w:lang w:val="zh-CN" w:eastAsia="zh-CN"/>
        </w:rPr>
      </w:pPr>
      <w:r>
        <w:rPr>
          <w:rFonts w:hAnsi="宋体" w:eastAsia="宋体"/>
          <w:sz w:val="24"/>
          <w:szCs w:val="24"/>
          <w:lang w:val="zh-CN" w:eastAsia="zh-CN"/>
        </w:rPr>
        <w:t xml:space="preserve">______________________</w:t>
      </w:r>
      <w:r>
        <w:rPr>
          <w:rFonts w:hint="eastAsia" w:hAnsi="宋体" w:eastAsia="宋体"/>
          <w:sz w:val="24"/>
          <w:szCs w:val="24"/>
          <w:lang w:val="zh-CN" w:eastAsia="zh-CN"/>
        </w:rPr>
        <w:t xml:space="preserve">：</w:t>
      </w:r>
      <w:r>
        <w:rPr>
          <w:rFonts w:hAnsi="宋体" w:eastAsia="宋体"/>
          <w:sz w:val="24"/>
          <w:szCs w:val="24"/>
          <w:lang w:val="zh-CN" w:eastAsia="zh-CN"/>
        </w:rPr>
      </w:r>
      <w:r/>
    </w:p>
    <w:p>
      <w:pPr>
        <w:pStyle w:val="1195"/>
        <w:ind w:firstLine="1575"/>
        <w:spacing w:line="400" w:lineRule="exact"/>
        <w:rPr>
          <w:rFonts w:hAnsi="宋体" w:eastAsia="宋体"/>
          <w:sz w:val="24"/>
          <w:szCs w:val="24"/>
          <w:lang w:val="zh-CN" w:eastAsia="zh-CN"/>
        </w:rPr>
      </w:pPr>
      <w:r>
        <w:rPr>
          <w:rFonts w:hAnsi="宋体" w:eastAsia="宋体"/>
          <w:sz w:val="24"/>
          <w:szCs w:val="24"/>
          <w:lang w:val="zh-CN" w:eastAsia="zh-CN"/>
        </w:rPr>
      </w:r>
      <w:r/>
    </w:p>
    <w:p>
      <w:pPr>
        <w:pStyle w:val="851"/>
        <w:ind w:firstLine="42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r>
      <w:r/>
    </w:p>
    <w:p>
      <w:pPr>
        <w:pStyle w:val="851"/>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851"/>
        <w:spacing w:line="360" w:lineRule="auto"/>
        <w:rPr>
          <w:rFonts w:ascii="宋体" w:hAnsi="宋体"/>
          <w:b/>
          <w:bCs/>
          <w:sz w:val="24"/>
          <w:szCs w:val="24"/>
        </w:rPr>
      </w:pPr>
      <w:r>
        <w:rPr>
          <w:rFonts w:ascii="宋体" w:hAnsi="宋体"/>
          <w:b/>
          <w:bCs/>
          <w:sz w:val="24"/>
          <w:szCs w:val="24"/>
        </w:rPr>
      </w:r>
      <w:r/>
    </w:p>
    <w:p>
      <w:pPr>
        <w:pStyle w:val="1098"/>
        <w:ind w:firstLine="0"/>
        <w:jc w:val="both"/>
        <w:rPr>
          <w:rFonts w:ascii="宋体" w:hAnsi="宋体" w:eastAsia="宋体" w:cs="宋体"/>
          <w:szCs w:val="24"/>
          <w:lang w:eastAsia="zh-CN"/>
        </w:rPr>
      </w:pPr>
      <w:r>
        <w:rPr>
          <w:rFonts w:hint="eastAsia" w:ascii="宋体" w:hAnsi="宋体" w:eastAsia="宋体" w:cs="宋体"/>
          <w:b/>
          <w:bCs/>
          <w:szCs w:val="24"/>
          <w:lang w:eastAsia="zh-CN"/>
        </w:rPr>
        <w:br w:type="page" w:clear="all"/>
      </w:r>
      <w:r>
        <w:rPr>
          <w:rFonts w:hint="eastAsia" w:ascii="宋体" w:hAnsi="宋体" w:eastAsia="宋体" w:cs="宋体"/>
          <w:b/>
          <w:bCs/>
          <w:szCs w:val="24"/>
          <w:lang w:eastAsia="zh-CN"/>
        </w:rPr>
        <w:t xml:space="preserve">格式13、残疾人福利性单位声明函</w:t>
      </w:r>
      <w:r>
        <w:rPr>
          <w:rFonts w:ascii="宋体" w:hAnsi="宋体" w:eastAsia="宋体" w:cs="宋体"/>
          <w:szCs w:val="24"/>
          <w:lang w:eastAsia="zh-CN"/>
        </w:rPr>
      </w:r>
      <w:r/>
    </w:p>
    <w:p>
      <w:pPr>
        <w:pStyle w:val="1098"/>
        <w:ind w:firstLine="0"/>
        <w:jc w:val="both"/>
        <w:rPr>
          <w:rFonts w:ascii="宋体" w:hAnsi="宋体" w:eastAsia="宋体" w:cs="宋体"/>
          <w:szCs w:val="24"/>
          <w:lang w:eastAsia="zh-CN"/>
        </w:rPr>
      </w:pPr>
      <w:r>
        <w:rPr>
          <w:rFonts w:ascii="宋体" w:hAnsi="宋体" w:eastAsia="宋体" w:cs="宋体"/>
          <w:szCs w:val="24"/>
          <w:lang w:eastAsia="zh-CN"/>
        </w:rPr>
      </w:r>
      <w:r/>
    </w:p>
    <w:p>
      <w:pPr>
        <w:pStyle w:val="1129"/>
        <w:jc w:val="center"/>
        <w:spacing w:line="360" w:lineRule="auto"/>
        <w:rPr>
          <w:rFonts w:cs="宋体"/>
          <w:szCs w:val="24"/>
        </w:rPr>
      </w:pPr>
      <w:r>
        <w:rPr>
          <w:rFonts w:hint="eastAsia" w:cs="宋体"/>
          <w:b/>
          <w:bCs/>
          <w:szCs w:val="24"/>
        </w:rPr>
        <w:t xml:space="preserve">残疾人福利性单位声明函</w:t>
      </w:r>
      <w:r>
        <w:rPr>
          <w:rFonts w:cs="宋体"/>
          <w:szCs w:val="24"/>
        </w:rPr>
      </w:r>
      <w:r/>
    </w:p>
    <w:p>
      <w:pPr>
        <w:pStyle w:val="1129"/>
        <w:ind w:firstLine="420"/>
        <w:spacing w:line="360" w:lineRule="auto"/>
        <w:rPr>
          <w:rFonts w:cs="宋体"/>
          <w:szCs w:val="24"/>
        </w:rPr>
      </w:pPr>
      <w:r>
        <w:rPr>
          <w:rFonts w:hint="eastAsia"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cs="宋体"/>
          <w:szCs w:val="24"/>
        </w:rPr>
      </w:r>
      <w:r/>
    </w:p>
    <w:p>
      <w:pPr>
        <w:pStyle w:val="1129"/>
        <w:ind w:firstLine="420"/>
        <w:spacing w:line="360" w:lineRule="auto"/>
        <w:rPr>
          <w:rFonts w:cs="宋体"/>
          <w:szCs w:val="24"/>
        </w:rPr>
      </w:pPr>
      <w:r>
        <w:rPr>
          <w:rFonts w:hint="eastAsia" w:cs="宋体"/>
          <w:szCs w:val="24"/>
        </w:rPr>
        <w:t xml:space="preserve">本单位对上述声明的真实性负责。如有虚假，将依法承担相应责任。</w:t>
      </w:r>
      <w:r>
        <w:rPr>
          <w:rFonts w:cs="宋体"/>
          <w:szCs w:val="24"/>
        </w:rPr>
      </w:r>
      <w:r/>
    </w:p>
    <w:p>
      <w:pPr>
        <w:pStyle w:val="1129"/>
        <w:ind w:firstLine="420"/>
        <w:spacing w:line="360" w:lineRule="auto"/>
        <w:rPr>
          <w:rFonts w:cs="宋体"/>
          <w:szCs w:val="24"/>
        </w:rPr>
      </w:pPr>
      <w:r>
        <w:rPr>
          <w:rFonts w:cs="宋体"/>
          <w:szCs w:val="24"/>
        </w:rPr>
      </w:r>
      <w:r/>
    </w:p>
    <w:p>
      <w:pPr>
        <w:pStyle w:val="1129"/>
        <w:ind w:firstLine="420"/>
        <w:spacing w:line="360" w:lineRule="auto"/>
        <w:rPr>
          <w:rFonts w:cs="宋体"/>
          <w:szCs w:val="24"/>
        </w:rPr>
      </w:pPr>
      <w:r>
        <w:rPr>
          <w:rFonts w:cs="宋体"/>
          <w:szCs w:val="24"/>
        </w:rPr>
      </w:r>
      <w:r/>
    </w:p>
    <w:p>
      <w:pPr>
        <w:pStyle w:val="851"/>
        <w:spacing w:line="360" w:lineRule="auto"/>
        <w:rPr>
          <w:rFonts w:ascii="宋体" w:hAnsi="宋体" w:cs="宋体"/>
          <w:sz w:val="24"/>
          <w:szCs w:val="24"/>
        </w:rPr>
      </w:pPr>
      <w:r>
        <w:rPr>
          <w:rFonts w:hint="eastAsia" w:ascii="宋体" w:hAnsi="宋体" w:cs="宋体"/>
          <w:sz w:val="24"/>
          <w:szCs w:val="24"/>
        </w:rPr>
        <w:t xml:space="preserve">投标单位：（签章）</w:t>
      </w:r>
      <w:r>
        <w:rPr>
          <w:rFonts w:ascii="宋体" w:hAnsi="宋体" w:cs="宋体"/>
          <w:sz w:val="24"/>
          <w:szCs w:val="24"/>
        </w:rPr>
      </w:r>
      <w:r/>
    </w:p>
    <w:p>
      <w:pPr>
        <w:pStyle w:val="880"/>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rPr>
          <w:rFonts w:ascii="宋体" w:hAnsi="宋体" w:eastAsia="宋体" w:cs="宋体"/>
          <w:position w:val="0"/>
          <w:sz w:val="24"/>
          <w:szCs w:val="24"/>
          <w:lang w:eastAsia="zh-CN"/>
        </w:rPr>
      </w:r>
      <w:r/>
    </w:p>
    <w:p>
      <w:pPr>
        <w:pStyle w:val="851"/>
        <w:spacing w:line="360" w:lineRule="auto"/>
        <w:rPr>
          <w:rFonts w:ascii="宋体" w:hAnsi="宋体"/>
          <w:b/>
          <w:bCs/>
          <w:sz w:val="24"/>
          <w:szCs w:val="24"/>
        </w:rPr>
      </w:pPr>
      <w:r>
        <w:rPr>
          <w:rFonts w:ascii="宋体" w:hAnsi="宋体"/>
          <w:b/>
          <w:bCs/>
          <w:sz w:val="24"/>
          <w:szCs w:val="24"/>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80"/>
        <w:rPr>
          <w:rFonts w:ascii="宋体" w:hAnsi="宋体" w:eastAsia="宋体"/>
          <w:b/>
          <w:bCs/>
          <w:sz w:val="24"/>
          <w:szCs w:val="24"/>
          <w:lang w:eastAsia="zh-CN"/>
        </w:rPr>
      </w:pPr>
      <w:r>
        <w:rPr>
          <w:rFonts w:ascii="宋体" w:hAnsi="宋体" w:eastAsia="宋体"/>
          <w:b/>
          <w:bCs/>
          <w:sz w:val="24"/>
          <w:szCs w:val="24"/>
          <w:lang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851"/>
        <w:spacing w:line="360" w:lineRule="auto"/>
        <w:rPr>
          <w:rFonts w:ascii="宋体" w:hAnsi="宋体"/>
          <w:sz w:val="24"/>
          <w:szCs w:val="24"/>
        </w:rPr>
      </w:pPr>
      <w:r>
        <w:rPr>
          <w:rFonts w:ascii="宋体" w:hAnsi="宋体"/>
          <w:b/>
          <w:bCs/>
          <w:sz w:val="24"/>
          <w:szCs w:val="24"/>
          <w:lang w:val="zh-CN"/>
        </w:rPr>
        <w:br w:type="page" w:clear="all"/>
      </w:r>
      <w:r>
        <w:rPr>
          <w:rFonts w:hint="eastAsia" w:ascii="宋体" w:hAnsi="宋体"/>
          <w:b/>
          <w:sz w:val="24"/>
          <w:szCs w:val="24"/>
        </w:rPr>
        <w:t xml:space="preserve">格式</w:t>
      </w:r>
      <w:r>
        <w:rPr>
          <w:rFonts w:hint="eastAsia" w:ascii="宋体" w:hAnsi="宋体"/>
          <w:b/>
          <w:bCs/>
          <w:sz w:val="24"/>
          <w:szCs w:val="24"/>
        </w:rPr>
        <w:t xml:space="preserve">14、投标保证承诺书</w:t>
      </w:r>
      <w:r>
        <w:rPr>
          <w:rFonts w:ascii="宋体" w:hAnsi="宋体"/>
          <w:sz w:val="24"/>
          <w:szCs w:val="24"/>
        </w:rPr>
      </w:r>
      <w:r/>
    </w:p>
    <w:p>
      <w:pPr>
        <w:pStyle w:val="851"/>
        <w:spacing w:line="360" w:lineRule="auto"/>
        <w:rPr>
          <w:rFonts w:ascii="宋体" w:hAnsi="宋体"/>
          <w:b/>
          <w:sz w:val="24"/>
          <w:szCs w:val="24"/>
        </w:rPr>
      </w:pPr>
      <w:r>
        <w:rPr>
          <w:rFonts w:ascii="宋体" w:hAnsi="宋体"/>
          <w:b/>
          <w:sz w:val="24"/>
          <w:szCs w:val="24"/>
        </w:rPr>
      </w:r>
      <w:r/>
    </w:p>
    <w:p>
      <w:pPr>
        <w:pStyle w:val="851"/>
        <w:jc w:val="center"/>
        <w:rPr>
          <w:rFonts w:ascii="宋体" w:hAnsi="宋体"/>
          <w:b/>
          <w:sz w:val="24"/>
          <w:szCs w:val="24"/>
        </w:rPr>
      </w:pPr>
      <w:r>
        <w:rPr>
          <w:rFonts w:hint="eastAsia" w:ascii="宋体" w:hAnsi="宋体"/>
          <w:b/>
          <w:sz w:val="24"/>
          <w:szCs w:val="24"/>
        </w:rPr>
        <w:t xml:space="preserve">投标保证承诺书</w:t>
      </w:r>
      <w:r>
        <w:rPr>
          <w:rFonts w:ascii="宋体" w:hAnsi="宋体"/>
          <w:b/>
          <w:sz w:val="24"/>
          <w:szCs w:val="24"/>
        </w:rPr>
      </w:r>
      <w:r/>
    </w:p>
    <w:p>
      <w:pPr>
        <w:pStyle w:val="851"/>
        <w:rPr>
          <w:rFonts w:ascii="宋体" w:hAnsi="宋体"/>
          <w:b/>
          <w:sz w:val="24"/>
          <w:szCs w:val="24"/>
        </w:rPr>
      </w:pPr>
      <w:r>
        <w:rPr>
          <w:rFonts w:ascii="宋体" w:hAnsi="宋体"/>
          <w:b/>
          <w:sz w:val="24"/>
          <w:szCs w:val="24"/>
        </w:rPr>
      </w:r>
      <w:r/>
    </w:p>
    <w:p>
      <w:pPr>
        <w:pStyle w:val="851"/>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：（采购代理机构名称）</w:t>
      </w:r>
      <w:r>
        <w:rPr>
          <w:rFonts w:ascii="宋体" w:hAnsi="宋体"/>
          <w:sz w:val="24"/>
          <w:szCs w:val="24"/>
          <w:u w:val="single"/>
        </w:rPr>
      </w:r>
      <w:r/>
    </w:p>
    <w:p>
      <w:pPr>
        <w:pStyle w:val="851"/>
        <w:ind w:firstLine="420"/>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我（单位/本人，以下统称我单位）自愿参加（项目名称和采购编号）的响应,并做出如下承诺：</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一、除不可抗力外，我单位如果发生以下行为，将在行为发生的10个工作日内，向贵方</w:t>
      </w:r>
      <w:r>
        <w:rPr>
          <w:rFonts w:hint="eastAsia" w:ascii="宋体" w:hAnsi="宋体"/>
          <w:sz w:val="24"/>
          <w:szCs w:val="24"/>
          <w:u w:val="single"/>
        </w:rPr>
        <w:t xml:space="preserve">（或采购人）</w:t>
      </w:r>
      <w:r>
        <w:rPr>
          <w:rFonts w:hint="eastAsia" w:ascii="宋体" w:hAnsi="宋体"/>
          <w:sz w:val="24"/>
          <w:szCs w:val="24"/>
        </w:rPr>
        <w:t xml:space="preserve">支付本采购文件公布的预算金额（或最高限价）的2%作为违约赔偿金（数量不确定的单价采购须约定具体金额）。</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1.自响应截止时间至本项目发布成交公告为止，撤销响应；</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2.中标后不依法与采购人签订合同；</w:t>
      </w:r>
      <w:r>
        <w:rPr>
          <w:rFonts w:ascii="宋体" w:hAnsi="宋体"/>
          <w:sz w:val="24"/>
          <w:szCs w:val="24"/>
        </w:rPr>
      </w:r>
      <w:r/>
    </w:p>
    <w:p>
      <w:pPr>
        <w:pStyle w:val="851"/>
        <w:ind w:firstLine="4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 中标后不按本采购文件规定向贵方缴纳采购代理费。</w:t>
      </w: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二、我单位知晓上述行为的法律后果，承认本承诺书作为贵方（或采购人）要求我单位履行违约赔偿义务的依据作用。</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投标单位：        （签章）</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地址：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电话：                     传真：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电子邮件：                 邮编：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法定代表人或委托代理人(签字或签章)：                                 </w:t>
      </w:r>
      <w:r>
        <w:rPr>
          <w:rFonts w:ascii="宋体" w:hAnsi="宋体"/>
          <w:sz w:val="24"/>
          <w:szCs w:val="24"/>
        </w:rPr>
      </w:r>
      <w:r/>
    </w:p>
    <w:p>
      <w:pPr>
        <w:pStyle w:val="851"/>
        <w:rPr>
          <w:rFonts w:ascii="宋体" w:hAnsi="宋体"/>
          <w:sz w:val="24"/>
          <w:szCs w:val="24"/>
        </w:rPr>
      </w:pPr>
      <w:r>
        <w:rPr>
          <w:rFonts w:ascii="宋体" w:hAnsi="宋体"/>
          <w:sz w:val="24"/>
          <w:szCs w:val="24"/>
        </w:rPr>
      </w:r>
      <w:r/>
    </w:p>
    <w:p>
      <w:pPr>
        <w:pStyle w:val="85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2"/>
        <w:spacing w:line="360" w:lineRule="auto"/>
        <w:rPr>
          <w:rFonts w:hAnsi="宋体" w:eastAsia="宋体"/>
          <w:b/>
          <w:bCs/>
          <w:sz w:val="24"/>
          <w:szCs w:val="24"/>
          <w:lang w:val="zh-CN" w:eastAsia="zh-CN"/>
        </w:rPr>
      </w:pPr>
      <w:r>
        <w:rPr>
          <w:rFonts w:hAnsi="宋体" w:eastAsia="宋体"/>
          <w:b/>
          <w:bCs/>
          <w:sz w:val="24"/>
          <w:szCs w:val="24"/>
          <w:lang w:val="zh-CN" w:eastAsia="zh-CN"/>
        </w:rPr>
      </w:r>
      <w:r/>
    </w:p>
    <w:p>
      <w:pPr>
        <w:pStyle w:val="1144"/>
        <w:ind w:firstLine="0"/>
        <w:rPr>
          <w:rFonts w:hAnsi="宋体" w:cs="宋体"/>
          <w:b/>
          <w:sz w:val="24"/>
          <w:szCs w:val="24"/>
        </w:rPr>
      </w:pPr>
      <w:r>
        <w:rPr>
          <w:rFonts w:hAnsi="宋体"/>
          <w:b/>
          <w:bCs/>
          <w:sz w:val="24"/>
          <w:szCs w:val="24"/>
          <w:lang w:val="zh-CN"/>
        </w:rPr>
        <w:br w:type="page" w:clear="all"/>
      </w:r>
      <w:r>
        <w:rPr>
          <w:rFonts w:hint="eastAsia" w:hAnsi="宋体"/>
          <w:b/>
          <w:sz w:val="24"/>
          <w:szCs w:val="24"/>
        </w:rPr>
        <w:t xml:space="preserve">格式</w:t>
      </w:r>
      <w:r>
        <w:rPr>
          <w:rFonts w:hint="eastAsia" w:hAnsi="宋体"/>
          <w:b/>
          <w:bCs/>
          <w:sz w:val="24"/>
          <w:szCs w:val="24"/>
        </w:rPr>
        <w:t xml:space="preserve">1</w:t>
      </w:r>
      <w:r>
        <w:rPr>
          <w:rFonts w:hAnsi="宋体"/>
          <w:b/>
          <w:bCs/>
          <w:sz w:val="24"/>
          <w:szCs w:val="24"/>
        </w:rPr>
        <w:t xml:space="preserve">5</w:t>
      </w:r>
      <w:r>
        <w:rPr>
          <w:rFonts w:hint="eastAsia" w:hAnsi="宋体"/>
          <w:b/>
          <w:bCs/>
          <w:sz w:val="24"/>
          <w:szCs w:val="24"/>
        </w:rPr>
        <w:t xml:space="preserve">、</w:t>
      </w:r>
      <w:r>
        <w:rPr>
          <w:rFonts w:hint="eastAsia" w:hAnsi="宋体" w:cs="宋体"/>
          <w:b/>
          <w:sz w:val="24"/>
          <w:szCs w:val="24"/>
        </w:rPr>
        <w:t xml:space="preserve">投标人与其他单位存在控股、管理关系情况表</w:t>
      </w:r>
      <w:r>
        <w:rPr>
          <w:rFonts w:hAnsi="宋体" w:cs="宋体"/>
          <w:b/>
          <w:sz w:val="24"/>
          <w:szCs w:val="24"/>
        </w:rPr>
      </w:r>
      <w:r/>
    </w:p>
    <w:p>
      <w:pPr>
        <w:pStyle w:val="851"/>
        <w:jc w:val="center"/>
        <w:spacing w:line="360" w:lineRule="auto"/>
        <w:rPr>
          <w:rFonts w:ascii="宋体" w:hAnsi="宋体"/>
          <w:b/>
          <w:sz w:val="24"/>
          <w:szCs w:val="24"/>
        </w:rPr>
      </w:pPr>
      <w:r>
        <w:rPr>
          <w:rFonts w:ascii="宋体" w:hAnsi="宋体"/>
          <w:b/>
          <w:sz w:val="24"/>
          <w:szCs w:val="24"/>
        </w:rPr>
      </w:r>
      <w:r/>
    </w:p>
    <w:p>
      <w:pPr>
        <w:pStyle w:val="851"/>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rPr>
          <w:rFonts w:ascii="宋体" w:hAnsi="宋体"/>
          <w:b/>
          <w:sz w:val="24"/>
          <w:szCs w:val="24"/>
        </w:rPr>
      </w:r>
      <w:r/>
    </w:p>
    <w:p>
      <w:pPr>
        <w:pStyle w:val="1144"/>
        <w:ind w:firstLine="420"/>
        <w:rPr>
          <w:rFonts w:hAnsi="宋体"/>
        </w:rPr>
      </w:pPr>
      <w:r>
        <w:rPr>
          <w:rFonts w:hAnsi="宋体"/>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gridCol w:w="5122"/>
      </w:tblGrid>
      <w:tr>
        <w:trPr>
          <w:trHeight w:val="637"/>
        </w:trPr>
        <w:tc>
          <w:tcPr>
            <w:tcW w:w="4846" w:type="dxa"/>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与投标人存在控股、管理关系的单位名称</w:t>
            </w:r>
            <w:r>
              <w:rPr>
                <w:rFonts w:ascii="宋体" w:hAnsi="宋体"/>
                <w:b/>
                <w:sz w:val="24"/>
                <w:szCs w:val="24"/>
                <w:shd w:val="clear" w:color="auto" w:fill="ffffff"/>
              </w:rPr>
            </w:r>
            <w:r/>
          </w:p>
        </w:tc>
        <w:tc>
          <w:tcPr>
            <w:tcW w:w="5122" w:type="dxa"/>
            <w:vAlign w:val="center"/>
            <w:textDirection w:val="lrTb"/>
            <w:noWrap/>
          </w:tcPr>
          <w:p>
            <w:pPr>
              <w:pStyle w:val="851"/>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控股、管理关系情况说明</w:t>
            </w:r>
            <w:r>
              <w:rPr>
                <w:rFonts w:ascii="宋体" w:hAnsi="宋体"/>
                <w:b/>
                <w:sz w:val="24"/>
                <w:szCs w:val="24"/>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r>
        <w:trPr>
          <w:trHeight w:val="850"/>
        </w:trPr>
        <w:tc>
          <w:tcPr>
            <w:tcW w:w="4846"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c>
          <w:tcPr>
            <w:tcW w:w="5122" w:type="dxa"/>
            <w:vAlign w:val="center"/>
            <w:textDirection w:val="lrTb"/>
            <w:noWrap/>
          </w:tcPr>
          <w:p>
            <w:pPr>
              <w:pStyle w:val="851"/>
              <w:jc w:val="center"/>
              <w:widowControl/>
              <w:rPr>
                <w:rFonts w:ascii="宋体" w:hAnsi="宋体"/>
                <w:b/>
                <w:szCs w:val="21"/>
                <w:shd w:val="clear" w:color="auto" w:fill="ffffff"/>
              </w:rPr>
            </w:pPr>
            <w:r>
              <w:rPr>
                <w:rFonts w:ascii="宋体" w:hAnsi="宋体"/>
                <w:b/>
                <w:szCs w:val="21"/>
                <w:shd w:val="clear" w:color="auto" w:fill="ffffff"/>
              </w:rPr>
            </w:r>
            <w:r/>
          </w:p>
        </w:tc>
      </w:tr>
    </w:tbl>
    <w:p>
      <w:pPr>
        <w:pStyle w:val="1144"/>
        <w:ind w:firstLine="679"/>
        <w:rPr>
          <w:rFonts w:hAnsi="宋体"/>
          <w:b/>
          <w:sz w:val="24"/>
          <w:szCs w:val="24"/>
          <w:shd w:val="clear" w:color="auto" w:fill="ffffff"/>
        </w:rPr>
      </w:pPr>
      <w:r>
        <w:rPr>
          <w:rFonts w:hint="eastAsia" w:hAnsi="宋体"/>
          <w:b/>
          <w:sz w:val="24"/>
          <w:szCs w:val="24"/>
          <w:shd w:val="clear" w:color="auto" w:fill="ffffff"/>
        </w:rPr>
        <w:t xml:space="preserve">注：投标人须如实填写所有与之有控股、管理关系的情况。</w:t>
      </w:r>
      <w:r>
        <w:rPr>
          <w:rFonts w:hAnsi="宋体"/>
          <w:b/>
          <w:sz w:val="24"/>
          <w:szCs w:val="24"/>
          <w:shd w:val="clear" w:color="auto" w:fill="ffffff"/>
        </w:rPr>
      </w:r>
      <w:r/>
    </w:p>
    <w:p>
      <w:pPr>
        <w:pStyle w:val="851"/>
        <w:rPr>
          <w:rFonts w:ascii="宋体" w:hAnsi="宋体"/>
        </w:rPr>
      </w:pPr>
      <w:r>
        <w:rPr>
          <w:rFonts w:ascii="宋体" w:hAnsi="宋体"/>
        </w:rPr>
      </w:r>
      <w:r/>
    </w:p>
    <w:p>
      <w:pPr>
        <w:pStyle w:val="1144"/>
        <w:ind w:firstLine="420"/>
        <w:rPr>
          <w:rFonts w:hAnsi="宋体"/>
        </w:rPr>
      </w:pPr>
      <w:r>
        <w:rPr>
          <w:rFonts w:hAnsi="宋体"/>
        </w:rPr>
      </w:r>
      <w:r/>
    </w:p>
    <w:p>
      <w:pPr>
        <w:pStyle w:val="851"/>
        <w:rPr>
          <w:rFonts w:ascii="宋体" w:hAnsi="宋体"/>
        </w:rPr>
      </w:pPr>
      <w:r>
        <w:rPr>
          <w:rFonts w:ascii="宋体" w:hAnsi="宋体"/>
        </w:rPr>
      </w:r>
      <w:r/>
    </w:p>
    <w:p>
      <w:pPr>
        <w:pStyle w:val="1176"/>
        <w:ind w:firstLine="480"/>
        <w:spacing w:line="360" w:lineRule="auto"/>
        <w:rPr>
          <w:rFonts w:hAnsi="宋体" w:eastAsia="宋体"/>
          <w:sz w:val="24"/>
          <w:lang w:eastAsia="zh-CN"/>
        </w:rPr>
      </w:pPr>
      <w:r>
        <w:rPr>
          <w:rFonts w:hAnsi="宋体" w:eastAsia="宋体"/>
          <w:sz w:val="24"/>
          <w:lang w:eastAsia="zh-CN"/>
        </w:rPr>
        <w:t xml:space="preserve">投标人：（盖章）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法定代表人或代理人：（签字或盖章）</w:t>
      </w:r>
      <w:r>
        <w:rPr>
          <w:rFonts w:hAnsi="宋体" w:eastAsia="宋体"/>
          <w:sz w:val="24"/>
          <w:lang w:eastAsia="zh-CN"/>
        </w:rPr>
      </w:r>
      <w:r/>
    </w:p>
    <w:p>
      <w:pPr>
        <w:pStyle w:val="1176"/>
        <w:ind w:firstLine="480"/>
        <w:spacing w:line="360" w:lineRule="auto"/>
        <w:rPr>
          <w:rFonts w:hAnsi="宋体" w:eastAsia="宋体"/>
          <w:sz w:val="24"/>
          <w:lang w:eastAsia="zh-CN"/>
        </w:rPr>
      </w:pPr>
      <w:r>
        <w:rPr>
          <w:rFonts w:hAnsi="宋体" w:eastAsia="宋体"/>
          <w:sz w:val="24"/>
          <w:lang w:eastAsia="zh-CN"/>
        </w:rPr>
        <w:t xml:space="preserve">日期：    年    月    日</w:t>
      </w:r>
      <w:r>
        <w:rPr>
          <w:rFonts w:hAnsi="宋体" w:eastAsia="宋体"/>
          <w:sz w:val="24"/>
          <w:lang w:eastAsia="zh-CN"/>
        </w:rPr>
      </w:r>
      <w:r/>
    </w:p>
    <w:p>
      <w:pPr>
        <w:pStyle w:val="1144"/>
        <w:ind w:firstLine="420"/>
        <w:rPr>
          <w:rFonts w:hAnsi="宋体"/>
        </w:rPr>
      </w:pPr>
      <w:r>
        <w:rPr>
          <w:rFonts w:hAnsi="宋体"/>
        </w:rPr>
      </w:r>
      <w:r/>
    </w:p>
    <w:p>
      <w:pPr>
        <w:pStyle w:val="859"/>
        <w:spacing w:line="360" w:lineRule="auto"/>
        <w:rPr>
          <w:rFonts w:ascii="宋体" w:hAnsi="宋体"/>
          <w:b/>
          <w:bCs/>
          <w:sz w:val="24"/>
          <w:szCs w:val="24"/>
        </w:rPr>
      </w:pPr>
      <w:r>
        <w:rPr>
          <w:rFonts w:ascii="宋体" w:hAnsi="宋体"/>
          <w:b/>
          <w:bCs/>
          <w:szCs w:val="24"/>
        </w:rPr>
        <w:br w:type="page" w:clear="all"/>
      </w:r>
      <w:r>
        <w:rPr>
          <w:rFonts w:hint="eastAsia" w:ascii="宋体" w:hAnsi="宋体"/>
          <w:b/>
          <w:sz w:val="24"/>
          <w:szCs w:val="24"/>
        </w:rPr>
        <w:t xml:space="preserve">格式</w:t>
      </w:r>
      <w:r>
        <w:rPr>
          <w:rFonts w:hint="eastAsia" w:ascii="宋体" w:hAnsi="宋体"/>
          <w:b/>
          <w:bCs/>
          <w:sz w:val="24"/>
          <w:szCs w:val="24"/>
        </w:rPr>
        <w:t xml:space="preserve">1</w:t>
      </w:r>
      <w:r>
        <w:rPr>
          <w:rFonts w:ascii="宋体" w:hAnsi="宋体"/>
          <w:b/>
          <w:bCs/>
          <w:sz w:val="24"/>
          <w:szCs w:val="24"/>
        </w:rPr>
        <w:t xml:space="preserve">6</w:t>
      </w:r>
      <w:r>
        <w:rPr>
          <w:rFonts w:hint="eastAsia" w:ascii="宋体" w:hAnsi="宋体"/>
          <w:b/>
          <w:bCs/>
          <w:sz w:val="24"/>
          <w:szCs w:val="24"/>
        </w:rPr>
        <w:t xml:space="preserve">、开票信息</w:t>
      </w:r>
      <w:r>
        <w:rPr>
          <w:rFonts w:ascii="宋体" w:hAnsi="宋体"/>
          <w:b/>
          <w:bCs/>
          <w:sz w:val="24"/>
          <w:szCs w:val="24"/>
        </w:rPr>
      </w:r>
      <w:r/>
    </w:p>
    <w:p>
      <w:pPr>
        <w:pStyle w:val="859"/>
        <w:rPr>
          <w:rFonts w:ascii="宋体" w:hAnsi="宋体"/>
          <w:b/>
          <w:bCs/>
          <w:sz w:val="24"/>
          <w:szCs w:val="24"/>
        </w:rPr>
      </w:pPr>
      <w:r>
        <w:rPr>
          <w:rFonts w:ascii="宋体" w:hAnsi="宋体"/>
          <w:b/>
          <w:bCs/>
          <w:sz w:val="24"/>
          <w:szCs w:val="24"/>
        </w:rPr>
      </w:r>
      <w:r/>
    </w:p>
    <w:p>
      <w:pPr>
        <w:pStyle w:val="851"/>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rPr>
          <w:rFonts w:ascii="宋体" w:hAnsi="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供应商名称</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税号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开户行</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r>
        <w:trPr/>
        <w:tc>
          <w:tcPr>
            <w:tcW w:w="2288" w:type="dxa"/>
            <w:vAlign w:val="top"/>
            <w:textDirection w:val="lrTb"/>
            <w:noWrap/>
          </w:tcPr>
          <w:p>
            <w:pPr>
              <w:pStyle w:val="851"/>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rPr>
            </w:r>
            <w:r/>
          </w:p>
        </w:tc>
        <w:tc>
          <w:tcPr>
            <w:tcW w:w="3990" w:type="dxa"/>
            <w:vAlign w:val="top"/>
            <w:textDirection w:val="lrTb"/>
            <w:noWrap/>
          </w:tcPr>
          <w:p>
            <w:pPr>
              <w:pStyle w:val="851"/>
              <w:rPr>
                <w:rFonts w:ascii="宋体" w:hAnsi="宋体" w:cs="宋体"/>
                <w:sz w:val="24"/>
                <w:szCs w:val="24"/>
              </w:rPr>
            </w:pPr>
            <w:r>
              <w:rPr>
                <w:rFonts w:ascii="宋体" w:hAnsi="宋体" w:cs="宋体"/>
                <w:sz w:val="24"/>
                <w:szCs w:val="24"/>
              </w:rPr>
            </w:r>
            <w:r/>
          </w:p>
        </w:tc>
      </w:tr>
    </w:tbl>
    <w:p>
      <w:pPr>
        <w:pStyle w:val="851"/>
        <w:ind w:firstLine="480"/>
        <w:spacing w:line="360" w:lineRule="auto"/>
        <w:rPr>
          <w:rFonts w:ascii="宋体" w:hAnsi="宋体" w:cs="宋体"/>
          <w:sz w:val="24"/>
          <w:szCs w:val="24"/>
        </w:rPr>
      </w:pPr>
      <w:r>
        <w:rPr>
          <w:rFonts w:ascii="宋体" w:hAnsi="宋体" w:cs="宋体"/>
          <w:sz w:val="24"/>
          <w:szCs w:val="24"/>
        </w:rPr>
      </w:r>
      <w:r/>
    </w:p>
    <w:p>
      <w:pPr>
        <w:pStyle w:val="851"/>
        <w:ind w:firstLine="480"/>
        <w:spacing w:line="360" w:lineRule="auto"/>
        <w:rPr>
          <w:rFonts w:ascii="宋体" w:hAnsi="宋体" w:cs="宋体"/>
          <w:sz w:val="24"/>
          <w:szCs w:val="24"/>
        </w:rPr>
      </w:pPr>
      <w:r>
        <w:rPr>
          <w:rFonts w:hint="eastAsia" w:ascii="宋体" w:hAnsi="宋体" w:cs="宋体"/>
          <w:sz w:val="24"/>
          <w:szCs w:val="24"/>
        </w:rPr>
        <w:t xml:space="preserve">注：（1）供应商中标（成交）后应依照采购文件的规定缴纳采购代理服务费，代理机构依法开具相应发票。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cs="宋体"/>
          <w:sz w:val="24"/>
          <w:szCs w:val="24"/>
        </w:rPr>
      </w:r>
      <w:r/>
    </w:p>
    <w:p>
      <w:pPr>
        <w:pStyle w:val="851"/>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中标（成交）供应商凭已缴纳代理服务费的银行回单至代理机构领取合同。</w:t>
      </w:r>
      <w:r>
        <w:rPr>
          <w:rFonts w:ascii="宋体" w:hAnsi="宋体" w:cs="宋体"/>
          <w:sz w:val="24"/>
          <w:szCs w:val="24"/>
        </w:rPr>
      </w:r>
      <w:r/>
    </w:p>
    <w:p>
      <w:pPr>
        <w:pStyle w:val="862"/>
        <w:spacing w:line="360" w:lineRule="auto"/>
        <w:rPr>
          <w:rFonts w:hAnsi="宋体" w:eastAsia="宋体"/>
          <w:b/>
          <w:bCs/>
          <w:sz w:val="24"/>
          <w:szCs w:val="24"/>
          <w:lang w:eastAsia="zh-CN"/>
        </w:rPr>
      </w:pPr>
      <w:r>
        <w:rPr>
          <w:rFonts w:hAnsi="宋体" w:eastAsia="宋体"/>
          <w:b/>
          <w:bCs/>
          <w:sz w:val="24"/>
          <w:szCs w:val="24"/>
          <w:lang w:eastAsia="zh-CN"/>
        </w:rPr>
      </w:r>
      <w:r/>
    </w:p>
    <w:p>
      <w:pPr>
        <w:pStyle w:val="1112"/>
        <w:ind w:firstLine="0"/>
        <w:jc w:val="center"/>
        <w:spacing w:line="520" w:lineRule="exact"/>
        <w:rPr>
          <w:rFonts w:cs="宋体"/>
          <w:b/>
          <w:bCs/>
          <w:sz w:val="32"/>
          <w:szCs w:val="32"/>
        </w:rPr>
      </w:pPr>
      <w:r>
        <w:br w:type="page" w:clear="all"/>
      </w:r>
      <w:r>
        <w:rPr>
          <w:rFonts w:hint="eastAsia" w:cs="宋体"/>
          <w:b/>
          <w:bCs/>
          <w:sz w:val="32"/>
          <w:szCs w:val="32"/>
        </w:rPr>
        <w:t xml:space="preserve">第四章  招标书</w:t>
      </w:r>
      <w:r>
        <w:rPr>
          <w:rFonts w:cs="宋体"/>
          <w:b/>
          <w:bCs/>
          <w:sz w:val="32"/>
          <w:szCs w:val="32"/>
        </w:rPr>
      </w:r>
      <w:r/>
    </w:p>
    <w:p>
      <w:pPr>
        <w:pStyle w:val="851"/>
        <w:ind w:firstLine="420"/>
        <w:spacing w:line="360" w:lineRule="auto"/>
        <w:rPr>
          <w:rFonts w:ascii="宋体" w:hAnsi="宋体"/>
          <w:sz w:val="24"/>
          <w:szCs w:val="24"/>
        </w:rPr>
      </w:pPr>
      <w:r>
        <w:rPr>
          <w:rFonts w:ascii="宋体" w:hAnsi="宋体"/>
          <w:sz w:val="24"/>
          <w:szCs w:val="24"/>
        </w:rPr>
      </w:r>
      <w:r/>
    </w:p>
    <w:p>
      <w:pPr>
        <w:pStyle w:val="851"/>
        <w:ind w:firstLine="420"/>
        <w:spacing w:line="360" w:lineRule="auto"/>
        <w:rPr>
          <w:rFonts w:ascii="宋体" w:hAnsi="宋体"/>
          <w:sz w:val="24"/>
          <w:szCs w:val="24"/>
        </w:rPr>
      </w:pPr>
      <w:r>
        <w:rPr>
          <w:rFonts w:hint="eastAsia" w:ascii="宋体" w:hAnsi="宋体"/>
          <w:sz w:val="24"/>
          <w:szCs w:val="24"/>
        </w:rPr>
        <w:t xml:space="preserve">苏州久诺招投标咨询服务有限公司受苏州高新区（虎丘区）通安镇人民政府的委托，就其通安镇部分智能化维保服务项目进行国内公开招标, 欢迎有资格的供应商前来参加投标。</w:t>
      </w:r>
      <w:r>
        <w:rPr>
          <w:rFonts w:ascii="宋体" w:hAnsi="宋体"/>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一、</w:t>
      </w:r>
      <w:r>
        <w:rPr>
          <w:rFonts w:hint="eastAsia" w:ascii="宋体" w:hAnsi="宋体"/>
          <w:bCs/>
          <w:sz w:val="24"/>
          <w:szCs w:val="24"/>
          <w:lang w:val="zh-CN"/>
        </w:rPr>
        <w:t xml:space="preserve">招标编号：JSZC-320505-SZJN-G2026-0001</w:t>
      </w:r>
      <w:r>
        <w:rPr>
          <w:rFonts w:ascii="宋体" w:hAnsi="宋体"/>
          <w:bCs/>
          <w:sz w:val="24"/>
          <w:szCs w:val="24"/>
          <w:lang w:val="zh-CN"/>
        </w:rPr>
      </w:r>
      <w:r/>
    </w:p>
    <w:p>
      <w:pPr>
        <w:pStyle w:val="851"/>
        <w:ind w:firstLine="48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采购方式：</w:t>
      </w:r>
      <w:r>
        <w:rPr>
          <w:rFonts w:hint="eastAsia" w:ascii="宋体" w:hAnsi="宋体" w:cs="宋体"/>
          <w:color w:val="000000"/>
          <w:sz w:val="24"/>
          <w:szCs w:val="24"/>
        </w:rPr>
        <w:t xml:space="preserve">公开招标</w:t>
      </w:r>
      <w:r>
        <w:rPr>
          <w:rFonts w:ascii="宋体" w:hAnsi="宋体" w:cs="宋体"/>
          <w:color w:val="000000"/>
          <w:sz w:val="24"/>
          <w:szCs w:val="24"/>
        </w:rPr>
      </w:r>
      <w:r/>
    </w:p>
    <w:p>
      <w:pPr>
        <w:pStyle w:val="851"/>
        <w:spacing w:line="360" w:lineRule="auto"/>
        <w:rPr>
          <w:rFonts w:ascii="宋体" w:hAnsi="宋体"/>
          <w:bCs/>
          <w:sz w:val="24"/>
          <w:szCs w:val="24"/>
          <w:lang w:val="zh-CN"/>
        </w:rPr>
      </w:pPr>
      <w:r>
        <w:rPr>
          <w:rFonts w:hint="eastAsia" w:ascii="宋体" w:hAnsi="宋体"/>
          <w:bCs/>
          <w:sz w:val="24"/>
          <w:szCs w:val="24"/>
        </w:rPr>
        <w:t xml:space="preserve">二、</w:t>
      </w:r>
      <w:r>
        <w:rPr>
          <w:rFonts w:hint="eastAsia" w:ascii="宋体" w:hAnsi="宋体"/>
          <w:bCs/>
          <w:sz w:val="24"/>
          <w:szCs w:val="24"/>
          <w:lang w:val="zh-CN"/>
        </w:rPr>
        <w:t xml:space="preserve">采购项目名称：通安镇部分智能化维保服务</w:t>
      </w:r>
      <w:r>
        <w:rPr>
          <w:rFonts w:ascii="宋体" w:hAnsi="宋体"/>
          <w:bCs/>
          <w:sz w:val="24"/>
          <w:szCs w:val="24"/>
          <w:lang w:val="zh-CN"/>
        </w:rPr>
      </w:r>
      <w:r/>
    </w:p>
    <w:p>
      <w:pPr>
        <w:pStyle w:val="851"/>
        <w:spacing w:line="360" w:lineRule="auto"/>
        <w:rPr>
          <w:rFonts w:ascii="宋体" w:hAnsi="宋体"/>
          <w:b/>
          <w:sz w:val="24"/>
          <w:szCs w:val="24"/>
        </w:rPr>
      </w:pPr>
      <w:r>
        <w:rPr>
          <w:rFonts w:hint="eastAsia" w:ascii="宋体" w:hAnsi="宋体"/>
          <w:b/>
          <w:sz w:val="24"/>
          <w:szCs w:val="24"/>
        </w:rPr>
        <w:t xml:space="preserve">三、采购预算：</w:t>
      </w:r>
      <w:r>
        <w:rPr>
          <w:rFonts w:hint="eastAsia" w:ascii="宋体" w:hAnsi="宋体" w:cs="宋体"/>
          <w:sz w:val="24"/>
          <w:szCs w:val="24"/>
        </w:rPr>
        <w:t xml:space="preserve">人民币</w:t>
      </w:r>
      <w:r>
        <w:rPr>
          <w:rFonts w:hint="eastAsia" w:ascii="宋体" w:hAnsi="宋体" w:cs="宋体"/>
          <w:sz w:val="24"/>
          <w:szCs w:val="24"/>
        </w:rPr>
        <w:t xml:space="preserve">陆佰伍拾伍万</w:t>
      </w:r>
      <w:r>
        <w:rPr>
          <w:rFonts w:hint="eastAsia" w:ascii="宋体" w:hAnsi="宋体" w:cs="宋体"/>
          <w:sz w:val="24"/>
          <w:szCs w:val="24"/>
        </w:rPr>
        <w:t xml:space="preserve">元整（￥</w:t>
      </w:r>
      <w:r>
        <w:rPr>
          <w:rFonts w:hint="eastAsia" w:ascii="宋体" w:hAnsi="宋体" w:cs="宋体"/>
          <w:sz w:val="24"/>
          <w:szCs w:val="24"/>
        </w:rPr>
        <w:t xml:space="preserve">655</w:t>
      </w:r>
      <w:r>
        <w:rPr>
          <w:rFonts w:hint="eastAsia" w:ascii="宋体" w:hAnsi="宋体" w:cs="宋体"/>
          <w:sz w:val="24"/>
          <w:szCs w:val="24"/>
        </w:rPr>
        <w:t xml:space="preserve">0000.00元）（含大件维修</w:t>
      </w:r>
      <w:r>
        <w:rPr>
          <w:rFonts w:hint="eastAsia" w:ascii="宋体" w:hAnsi="宋体" w:cs="宋体"/>
          <w:sz w:val="24"/>
          <w:szCs w:val="24"/>
        </w:rPr>
        <w:t xml:space="preserve">更换固定</w:t>
      </w:r>
      <w:r>
        <w:rPr>
          <w:rFonts w:hint="eastAsia" w:ascii="宋体" w:hAnsi="宋体" w:cs="宋体"/>
          <w:sz w:val="24"/>
          <w:szCs w:val="24"/>
        </w:rPr>
        <w:t xml:space="preserve">费用30万元</w:t>
      </w:r>
      <w:r>
        <w:rPr>
          <w:rFonts w:hint="eastAsia" w:ascii="宋体" w:hAnsi="宋体" w:cs="宋体"/>
          <w:sz w:val="24"/>
          <w:szCs w:val="24"/>
        </w:rPr>
        <w:t xml:space="preserve">，</w:t>
      </w:r>
      <w:r>
        <w:rPr>
          <w:rFonts w:hint="eastAsia" w:ascii="宋体" w:hAnsi="宋体" w:cs="宋体"/>
          <w:sz w:val="24"/>
          <w:szCs w:val="24"/>
        </w:rPr>
        <w:t xml:space="preserve">大件更换</w:t>
      </w:r>
      <w:r>
        <w:rPr>
          <w:rFonts w:hint="eastAsia" w:ascii="宋体" w:hAnsi="宋体" w:cs="宋体"/>
          <w:sz w:val="24"/>
          <w:szCs w:val="24"/>
        </w:rPr>
        <w:t xml:space="preserve">最终费用按实际更换费用进行结算</w:t>
      </w:r>
      <w:r>
        <w:rPr>
          <w:rFonts w:hint="eastAsia" w:ascii="宋体" w:hAnsi="宋体" w:cs="宋体"/>
          <w:sz w:val="24"/>
          <w:szCs w:val="24"/>
        </w:rPr>
        <w:t xml:space="preserve">）</w:t>
      </w:r>
      <w:r>
        <w:rPr>
          <w:rFonts w:ascii="宋体" w:hAnsi="宋体"/>
          <w:b/>
          <w:sz w:val="24"/>
          <w:szCs w:val="24"/>
        </w:rPr>
      </w:r>
      <w:r/>
    </w:p>
    <w:p>
      <w:pPr>
        <w:pStyle w:val="851"/>
        <w:spacing w:line="360" w:lineRule="auto"/>
        <w:rPr>
          <w:rFonts w:ascii="宋体" w:hAnsi="宋体"/>
          <w:b/>
          <w:sz w:val="24"/>
          <w:szCs w:val="24"/>
        </w:rPr>
      </w:pPr>
      <w:r>
        <w:rPr>
          <w:rFonts w:hint="eastAsia" w:ascii="宋体" w:hAnsi="宋体"/>
          <w:b/>
          <w:sz w:val="24"/>
          <w:szCs w:val="24"/>
        </w:rPr>
        <w:t xml:space="preserve">四、采购内容：</w:t>
      </w:r>
      <w:r>
        <w:rPr>
          <w:rFonts w:ascii="宋体" w:hAnsi="宋体"/>
          <w:b/>
          <w:sz w:val="24"/>
          <w:szCs w:val="24"/>
        </w:rPr>
      </w:r>
      <w:r/>
    </w:p>
    <w:p>
      <w:pPr>
        <w:pStyle w:val="871"/>
        <w:jc w:val="left"/>
        <w:spacing w:before="0" w:after="0" w:line="360" w:lineRule="auto"/>
        <w:rPr>
          <w:rFonts w:ascii="宋体" w:hAnsi="宋体"/>
          <w:b/>
          <w:bCs/>
        </w:rPr>
      </w:pPr>
      <w:r/>
      <w:bookmarkStart w:id="37" w:name="_Toc16565"/>
      <w:r>
        <w:rPr>
          <w:rFonts w:hint="eastAsia" w:ascii="宋体" w:hAnsi="宋体"/>
          <w:b/>
          <w:bCs/>
        </w:rPr>
        <w:t xml:space="preserve">4.1维修和保养服务内容</w:t>
      </w:r>
      <w:bookmarkEnd w:id="37"/>
      <w:r>
        <w:rPr>
          <w:rFonts w:ascii="宋体" w:hAnsi="宋体"/>
          <w:b/>
          <w:bCs/>
        </w:rPr>
      </w:r>
      <w:r/>
    </w:p>
    <w:p>
      <w:pPr>
        <w:pStyle w:val="851"/>
        <w:ind w:firstLine="547"/>
        <w:spacing w:line="360" w:lineRule="auto"/>
        <w:rPr>
          <w:rFonts w:ascii="宋体" w:hAnsi="宋体"/>
          <w:sz w:val="24"/>
          <w:szCs w:val="24"/>
        </w:rPr>
      </w:pPr>
      <w:r>
        <w:rPr>
          <w:rFonts w:hint="eastAsia" w:ascii="宋体" w:hAnsi="宋体"/>
          <w:sz w:val="24"/>
          <w:szCs w:val="24"/>
        </w:rPr>
        <w:t xml:space="preserve">根据对通安镇部分智能化设备现场的实际踏勘，结合需求单位要求，分析了本项目实施中的主要内容，并制定了相应的对策措施。</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服务内容如下：</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1、视频信号线路、摄像机供电线路的检测、故障排除、隐患排查；</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2、所有接口、线路接口的焊点的检测、视频头的更换等；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3、监控系统前端摄像机的维护、位置调整、设备维修及更换、故障排除等；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4、监控主机设备检测、设备除尘、系统维护、设备维护、系统扩容、故障排除等；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5、矩阵、监视器图像画面的切换、轮巡等；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6、监控软件检测、软件升级、软件维护、数据备份、故障排除等。</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7、所有设备包含升级、维修、更换等费用。</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8、派遣专业技术人员驻场进行日常服务，排除系统故障，保障整个系统的正常运行。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9、政府举行重大事件和重大活动，配合技术支持和现场保障服务。</w:t>
      </w:r>
      <w:r>
        <w:rPr>
          <w:rFonts w:ascii="宋体" w:hAnsi="宋体"/>
          <w:sz w:val="24"/>
          <w:szCs w:val="24"/>
        </w:rPr>
      </w:r>
      <w:r/>
    </w:p>
    <w:p>
      <w:pPr>
        <w:pStyle w:val="877"/>
        <w:jc w:val="left"/>
        <w:spacing w:before="0" w:after="0" w:line="360" w:lineRule="auto"/>
        <w:rPr>
          <w:rFonts w:ascii="宋体" w:hAnsi="宋体"/>
          <w:b/>
          <w:bCs/>
          <w:sz w:val="24"/>
          <w:szCs w:val="24"/>
        </w:rPr>
      </w:pPr>
      <w:r/>
      <w:bookmarkStart w:id="38" w:name="_Toc16292"/>
      <w:r>
        <w:rPr>
          <w:rFonts w:hint="eastAsia" w:ascii="宋体" w:hAnsi="宋体"/>
          <w:b/>
          <w:bCs/>
          <w:sz w:val="24"/>
          <w:szCs w:val="24"/>
        </w:rPr>
        <w:t xml:space="preserve">4.2实施要求</w:t>
      </w:r>
      <w:bookmarkEnd w:id="38"/>
      <w:r>
        <w:rPr>
          <w:rFonts w:ascii="宋体" w:hAnsi="宋体"/>
          <w:b/>
          <w:bCs/>
          <w:sz w:val="24"/>
          <w:szCs w:val="24"/>
        </w:rPr>
      </w:r>
      <w:r/>
    </w:p>
    <w:p>
      <w:pPr>
        <w:pStyle w:val="851"/>
        <w:ind w:firstLine="547"/>
        <w:spacing w:line="360" w:lineRule="auto"/>
        <w:tabs>
          <w:tab w:val="left" w:pos="0" w:leader="none"/>
        </w:tabs>
        <w:rPr>
          <w:rFonts w:ascii="宋体" w:hAnsi="宋体"/>
          <w:sz w:val="24"/>
          <w:szCs w:val="24"/>
        </w:rPr>
      </w:pPr>
      <w:r>
        <w:rPr>
          <w:rFonts w:hint="eastAsia" w:ascii="宋体" w:hAnsi="宋体"/>
          <w:sz w:val="24"/>
          <w:szCs w:val="24"/>
        </w:rPr>
        <w:t xml:space="preserve">根据通安镇部分智能化安保设备实际情况，特制定如下的实施要求。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本项目需维修和保养的设备型号、数量很多，而且分布在整个辖区，覆盖面比较广，要做好设备的维保是一项艰巨而重要的工作。首先，要对系统的组网方式及系统结构进行详细调研，对专业维保人员进行培训、让每一个维保人员充分了解系统的构造。并将设备进行分类建立设备数据库，对故障率较高的设备制定出设备中标单位案，有针对性的准备备品备件，把复杂繁琐的工作变得条理化、明确化。当某个设备出现故障时，专业技术员可以很快调出这个设备的相关技术参数、性能指标等相关资料，并采取针对性的维护措施，有效的提高设备的维护效率。</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为了做好设备的维保工作，要求配备相应的人力、物力（常用工具、通讯设备、交通工具等），由专人负责日常对系统的监测、维护、服务、管理, 承担起设备的维保服务工作, 以保障整个系统的长期、可靠、有效地运行。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外包服务拟执行标准：</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安保设备系统维保，是系统发挥正常功能的前提保障。依照国家相关规范文件规定的内容，结合用户的设备实际和管理要求，以使整个维保工作系统化、规范化、档案化，使整个系统正常运行，以达到用户实际使用要求。</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应参照以下规范实施：</w:t>
      </w:r>
      <w:r>
        <w:rPr>
          <w:rFonts w:ascii="宋体" w:hAnsi="宋体"/>
          <w:sz w:val="24"/>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w:t>
      </w:r>
      <w:r>
        <w:rPr>
          <w:rFonts w:hint="eastAsia" w:ascii="宋体" w:hAnsi="宋体"/>
          <w:szCs w:val="24"/>
        </w:rPr>
        <w:t xml:space="preserve">50348-2004《安全防范工程技术规范》；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GA/T367-2001 《视频安防监控系统技术要求》；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GA/T367</w:t>
      </w:r>
      <w:r>
        <w:rPr>
          <w:rFonts w:ascii="宋体" w:hAnsi="宋体"/>
          <w:szCs w:val="24"/>
        </w:rPr>
        <w:t xml:space="preserve">-</w:t>
      </w:r>
      <w:r>
        <w:rPr>
          <w:rFonts w:hint="eastAsia" w:ascii="宋体" w:hAnsi="宋体"/>
          <w:szCs w:val="24"/>
        </w:rPr>
        <w:t xml:space="preserve">2001《视频安防监控系统技术要求》；</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ascii="宋体" w:hAnsi="宋体"/>
          <w:szCs w:val="24"/>
        </w:rPr>
        <w:t xml:space="preserve">GB50</w:t>
      </w:r>
      <w:r>
        <w:rPr>
          <w:rFonts w:hint="eastAsia" w:ascii="宋体" w:hAnsi="宋体"/>
          <w:szCs w:val="24"/>
        </w:rPr>
        <w:t xml:space="preserve">1</w:t>
      </w:r>
      <w:r>
        <w:rPr>
          <w:rFonts w:ascii="宋体" w:hAnsi="宋体"/>
          <w:szCs w:val="24"/>
        </w:rPr>
        <w:t xml:space="preserve">98-94</w:t>
      </w:r>
      <w:r>
        <w:rPr>
          <w:rFonts w:hint="eastAsia" w:ascii="宋体" w:hAnsi="宋体"/>
          <w:szCs w:val="24"/>
        </w:rPr>
        <w:t xml:space="preserve">  《民用建筑闭路监视电视系统工程技术规范》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GBJ232</w:t>
      </w:r>
      <w:r>
        <w:rPr>
          <w:rFonts w:ascii="宋体" w:hAnsi="宋体"/>
          <w:szCs w:val="24"/>
        </w:rPr>
        <w:t xml:space="preserve">-</w:t>
      </w:r>
      <w:r>
        <w:rPr>
          <w:rFonts w:hint="eastAsia" w:ascii="宋体" w:hAnsi="宋体"/>
          <w:szCs w:val="24"/>
        </w:rPr>
        <w:t xml:space="preserve">92 《电气装置安装工程施工及验收规范》；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(GB50343-2004)《建筑物电子信息系统防雷技术规范》</w:t>
      </w:r>
      <w:r>
        <w:rPr>
          <w:rFonts w:ascii="宋体" w:hAnsi="宋体"/>
          <w:szCs w:val="24"/>
        </w:rPr>
      </w:r>
      <w:r/>
    </w:p>
    <w:p>
      <w:pPr>
        <w:pStyle w:val="864"/>
        <w:numPr>
          <w:ilvl w:val="0"/>
          <w:numId w:val="8"/>
        </w:numPr>
        <w:ind w:left="638" w:firstLine="98"/>
        <w:jc w:val="left"/>
        <w:spacing w:line="360" w:lineRule="auto"/>
        <w:tabs>
          <w:tab w:val="left" w:pos="993" w:leader="none"/>
          <w:tab w:val="clear" w:pos="1332" w:leader="none"/>
        </w:tabs>
        <w:rPr>
          <w:rFonts w:ascii="宋体" w:hAnsi="宋体"/>
          <w:szCs w:val="24"/>
        </w:rPr>
      </w:pPr>
      <w:r>
        <w:rPr>
          <w:rFonts w:hint="eastAsia" w:ascii="宋体" w:hAnsi="宋体"/>
          <w:szCs w:val="24"/>
        </w:rPr>
        <w:t xml:space="preserve">(GA/T670-2006)《安全防范系统雷电浪涌防护技术要求》</w:t>
      </w:r>
      <w:r>
        <w:rPr>
          <w:rFonts w:ascii="宋体" w:hAnsi="宋体"/>
          <w:szCs w:val="24"/>
        </w:rPr>
      </w:r>
      <w:r/>
    </w:p>
    <w:p>
      <w:pPr>
        <w:pStyle w:val="851"/>
        <w:spacing w:line="360" w:lineRule="auto"/>
        <w:rPr>
          <w:rFonts w:ascii="宋体" w:hAnsi="宋体"/>
          <w:b/>
          <w:bCs/>
          <w:sz w:val="24"/>
          <w:szCs w:val="24"/>
        </w:rPr>
      </w:pPr>
      <w:r>
        <w:rPr>
          <w:rFonts w:hint="eastAsia" w:ascii="宋体" w:hAnsi="宋体"/>
          <w:b/>
          <w:bCs/>
          <w:sz w:val="24"/>
          <w:szCs w:val="24"/>
        </w:rPr>
        <w:t xml:space="preserve">4.3具体要求：</w:t>
      </w:r>
      <w:r>
        <w:rPr>
          <w:rFonts w:ascii="宋体" w:hAnsi="宋体"/>
          <w:b/>
          <w:bCs/>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1、人员配备及要求</w:t>
      </w:r>
      <w:r>
        <w:rPr>
          <w:rFonts w:ascii="宋体" w:hAnsi="宋体"/>
          <w:sz w:val="24"/>
          <w:szCs w:val="24"/>
        </w:rPr>
      </w:r>
      <w:r/>
    </w:p>
    <w:p>
      <w:pPr>
        <w:pStyle w:val="851"/>
        <w:ind w:left="277" w:firstLine="307"/>
        <w:spacing w:line="360" w:lineRule="auto"/>
        <w:rPr>
          <w:rFonts w:ascii="宋体" w:hAnsi="宋体"/>
          <w:sz w:val="24"/>
          <w:szCs w:val="24"/>
        </w:rPr>
      </w:pPr>
      <w:r>
        <w:rPr>
          <w:rFonts w:hint="eastAsia" w:ascii="宋体" w:hAnsi="宋体"/>
          <w:sz w:val="24"/>
          <w:szCs w:val="24"/>
        </w:rPr>
        <w:t xml:space="preserve">要求外包维保单位配备人员12名，要求如下：</w:t>
      </w:r>
      <w:r>
        <w:rPr>
          <w:rFonts w:ascii="宋体" w:hAnsi="宋体"/>
          <w:sz w:val="24"/>
          <w:szCs w:val="24"/>
        </w:rPr>
      </w:r>
      <w:r/>
    </w:p>
    <w:tbl>
      <w:tblPr>
        <w:tblW w:w="9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155"/>
        <w:gridCol w:w="1370"/>
        <w:gridCol w:w="4930"/>
      </w:tblGrid>
      <w:tr>
        <w:trPr>
          <w:trHeight w:val="541"/>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岗位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工作重点</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项目经理</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color w:val="ff0000"/>
                <w:sz w:val="24"/>
                <w:szCs w:val="24"/>
              </w:rPr>
            </w:pPr>
            <w:r>
              <w:rPr>
                <w:rFonts w:hint="eastAsia" w:ascii="宋体" w:hAnsi="宋体"/>
                <w:sz w:val="24"/>
                <w:szCs w:val="24"/>
              </w:rPr>
              <w:t xml:space="preserve">对项目范围内所有的监控、门禁等系统线路情况进行排摸</w:t>
            </w:r>
            <w:r>
              <w:rPr>
                <w:rFonts w:hint="eastAsia" w:ascii="宋体" w:hAnsi="宋体"/>
                <w:color w:val="000000"/>
                <w:sz w:val="24"/>
                <w:szCs w:val="24"/>
              </w:rPr>
              <w:t xml:space="preserve">汇总</w:t>
            </w:r>
            <w:r>
              <w:rPr>
                <w:rFonts w:hint="eastAsia" w:ascii="宋体" w:hAnsi="宋体"/>
                <w:sz w:val="24"/>
                <w:szCs w:val="24"/>
              </w:rPr>
              <w:t xml:space="preserve">，整理绘制详细的线路走线布置图和点位图、</w:t>
            </w:r>
            <w:r>
              <w:rPr>
                <w:rFonts w:hint="eastAsia" w:ascii="宋体" w:hAnsi="宋体"/>
                <w:color w:val="000000"/>
                <w:sz w:val="24"/>
                <w:szCs w:val="24"/>
              </w:rPr>
              <w:t xml:space="preserve">设备品牌型号及损坏情况等资料。对所有巡检、维修记录留档</w:t>
            </w:r>
            <w:r>
              <w:rPr>
                <w:rFonts w:hint="eastAsia" w:ascii="宋体" w:hAnsi="宋体"/>
                <w:sz w:val="24"/>
                <w:szCs w:val="24"/>
              </w:rPr>
              <w:t xml:space="preserve">，整理工作重点定期向公安部门汇报。积极对接公安部门，统筹安排维保工作，及时高效解决故障设备及系统问题。</w:t>
            </w:r>
            <w:r>
              <w:rPr>
                <w:rFonts w:ascii="宋体" w:hAnsi="宋体"/>
                <w:color w:val="ff0000"/>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内场人员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1名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驻点综合指挥室实时观看各个监控视频，日常巡检发现问题并协助项目经理解决，积极配合公安部门监控录像调取，视频回放等工作。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外场人员</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驻点各个机房，每日检查监控、传输、广播、烟感、电缆等设备情况，并做好巡检记录。定期对摄像头保洁、镜头及焦距对准。按公安部门要求完成摄像头角度调整、点位迁移、绿化修剪等工作。</w:t>
            </w:r>
            <w:r>
              <w:rPr>
                <w:rFonts w:ascii="宋体" w:hAnsi="宋体"/>
                <w:sz w:val="24"/>
                <w:szCs w:val="24"/>
              </w:rPr>
            </w:r>
            <w:r/>
          </w:p>
        </w:tc>
      </w:tr>
      <w:tr>
        <w:trPr>
          <w:trHeight w:val="787"/>
        </w:trPr>
        <w:tc>
          <w:tcPr>
            <w:tcW w:w="84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55"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突击队伍</w:t>
            </w:r>
            <w:r>
              <w:rPr>
                <w:rFonts w:ascii="宋体" w:hAnsi="宋体"/>
                <w:sz w:val="24"/>
                <w:szCs w:val="24"/>
              </w:rPr>
            </w:r>
            <w:r/>
          </w:p>
        </w:tc>
        <w:tc>
          <w:tcPr>
            <w:tcW w:w="137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5名</w:t>
            </w:r>
            <w:r>
              <w:rPr>
                <w:rFonts w:ascii="宋体" w:hAnsi="宋体"/>
                <w:sz w:val="24"/>
                <w:szCs w:val="24"/>
              </w:rPr>
            </w:r>
            <w:r/>
          </w:p>
        </w:tc>
        <w:tc>
          <w:tcPr>
            <w:tcW w:w="4930" w:type="dxa"/>
            <w:vAlign w:val="center"/>
            <w:textDirection w:val="lrTb"/>
            <w:noWrap w:val="false"/>
          </w:tcPr>
          <w:p>
            <w:pPr>
              <w:pStyle w:val="851"/>
              <w:spacing w:line="360" w:lineRule="auto"/>
              <w:rPr>
                <w:rFonts w:ascii="宋体" w:hAnsi="宋体"/>
                <w:sz w:val="24"/>
                <w:szCs w:val="24"/>
              </w:rPr>
            </w:pPr>
            <w:r>
              <w:rPr>
                <w:rFonts w:hint="eastAsia" w:ascii="宋体" w:hAnsi="宋体"/>
                <w:sz w:val="24"/>
                <w:szCs w:val="24"/>
              </w:rPr>
              <w:t xml:space="preserve">对重大事件和重大活动，配合技术支持和现场保障服务。</w:t>
            </w:r>
            <w:r>
              <w:rPr>
                <w:rFonts w:ascii="宋体" w:hAnsi="宋体"/>
                <w:sz w:val="24"/>
                <w:szCs w:val="24"/>
              </w:rPr>
            </w:r>
            <w:r/>
          </w:p>
        </w:tc>
      </w:tr>
    </w:tbl>
    <w:p>
      <w:pPr>
        <w:pStyle w:val="851"/>
        <w:ind w:firstLine="547"/>
        <w:spacing w:line="360" w:lineRule="auto"/>
        <w:rPr>
          <w:rFonts w:ascii="宋体" w:hAnsi="宋体"/>
          <w:sz w:val="24"/>
          <w:szCs w:val="24"/>
        </w:rPr>
      </w:pPr>
      <w:r>
        <w:rPr>
          <w:rFonts w:hint="eastAsia" w:ascii="宋体" w:hAnsi="宋体"/>
          <w:sz w:val="24"/>
          <w:szCs w:val="24"/>
        </w:rPr>
        <w:t xml:space="preserve">要求除维保人员工位工作站外，禁止私自操作其他工作站、禁止安装任何软件、禁止拷入/拷出文件操作、禁止非本班值班人员操作值班设备，确保小区和派出所的监控视频及网络做到安全、保密。</w:t>
      </w:r>
      <w:r>
        <w:rPr>
          <w:rFonts w:ascii="宋体" w:hAnsi="宋体"/>
          <w:sz w:val="24"/>
          <w:szCs w:val="24"/>
        </w:rPr>
      </w:r>
      <w:r/>
    </w:p>
    <w:p>
      <w:pPr>
        <w:pStyle w:val="851"/>
        <w:numPr>
          <w:ilvl w:val="0"/>
          <w:numId w:val="9"/>
        </w:numPr>
        <w:ind w:left="420" w:firstLine="187"/>
        <w:spacing w:line="360" w:lineRule="auto"/>
        <w:rPr>
          <w:rFonts w:ascii="宋体" w:hAnsi="宋体"/>
          <w:sz w:val="24"/>
          <w:szCs w:val="24"/>
        </w:rPr>
      </w:pPr>
      <w:r>
        <w:rPr>
          <w:rFonts w:hint="eastAsia" w:ascii="宋体" w:hAnsi="宋体"/>
          <w:sz w:val="24"/>
          <w:szCs w:val="24"/>
        </w:rPr>
        <w:t xml:space="preserve">外包维保单位车辆及设备要求</w:t>
      </w:r>
      <w:r>
        <w:rPr>
          <w:rFonts w:ascii="宋体" w:hAnsi="宋体"/>
          <w:sz w:val="24"/>
          <w:szCs w:val="24"/>
        </w:rPr>
      </w:r>
      <w:r/>
    </w:p>
    <w:p>
      <w:pPr>
        <w:pStyle w:val="851"/>
        <w:ind w:firstLine="640"/>
        <w:spacing w:line="360" w:lineRule="auto"/>
        <w:tabs>
          <w:tab w:val="left" w:pos="840" w:leader="none"/>
        </w:tabs>
        <w:rPr>
          <w:rFonts w:ascii="宋体" w:hAnsi="宋体"/>
          <w:sz w:val="24"/>
          <w:szCs w:val="24"/>
        </w:rPr>
      </w:pPr>
      <w:r>
        <w:rPr>
          <w:rFonts w:hint="eastAsia" w:ascii="宋体" w:hAnsi="宋体"/>
          <w:sz w:val="24"/>
          <w:szCs w:val="24"/>
        </w:rPr>
        <w:t xml:space="preserve">要求维保单位配备巡逻车5辆，工程车1辆；CCTV测试仪、电缆通断测试仪、对讲机、标签打印机、套管式标签打印机、万用表、电络铁、螺丝刀、扳手、尖嘴钳、镊子、验电笔等设备若干。</w:t>
      </w:r>
      <w:r>
        <w:rPr>
          <w:rFonts w:ascii="宋体" w:hAnsi="宋体"/>
          <w:sz w:val="24"/>
          <w:szCs w:val="24"/>
        </w:rPr>
      </w:r>
      <w:r/>
    </w:p>
    <w:p>
      <w:pPr>
        <w:pStyle w:val="851"/>
        <w:ind w:left="420" w:firstLine="187"/>
        <w:spacing w:line="360" w:lineRule="auto"/>
        <w:rPr>
          <w:rFonts w:ascii="宋体" w:hAnsi="宋体"/>
          <w:sz w:val="24"/>
          <w:szCs w:val="24"/>
        </w:rPr>
      </w:pPr>
      <w:r/>
      <w:bookmarkStart w:id="39" w:name="_Toc27679"/>
      <w:r>
        <w:rPr>
          <w:rFonts w:hint="eastAsia" w:ascii="宋体" w:hAnsi="宋体"/>
          <w:sz w:val="24"/>
          <w:szCs w:val="24"/>
        </w:rPr>
        <w:t xml:space="preserve">3、系统全面排查</w:t>
      </w:r>
      <w:bookmarkEnd w:id="39"/>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由中标单位对现场进行详细检查做好基础台账，主要内容包括：</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3.1监控室机房环境。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3.2设备运行环境。</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3.3所有设备的安装位置、运行情况。</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3.4线路使用情况及线路敷设路径、走线方式等。</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3.5线路所有接口、所有视频头、接线柱线路接点是否牢固。</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3.6中心平台使用情况、软件扩容升级情况。</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中标单位需对小区及派出所所有的监控系统线路情况进行排摸汇总，整理绘制详细的线路走线布置图和点位图、设备品牌型号及损坏情况等资料。</w:t>
      </w:r>
      <w:r>
        <w:rPr>
          <w:rFonts w:ascii="宋体" w:hAnsi="宋体"/>
          <w:sz w:val="24"/>
          <w:szCs w:val="24"/>
        </w:rPr>
      </w:r>
      <w:r/>
    </w:p>
    <w:p>
      <w:pPr>
        <w:pStyle w:val="851"/>
        <w:ind w:left="420" w:firstLine="187"/>
        <w:spacing w:line="360" w:lineRule="auto"/>
        <w:rPr>
          <w:rFonts w:ascii="宋体" w:hAnsi="宋体"/>
          <w:sz w:val="24"/>
          <w:szCs w:val="24"/>
        </w:rPr>
      </w:pPr>
      <w:r/>
      <w:bookmarkStart w:id="40" w:name="_Toc9552"/>
      <w:r>
        <w:rPr>
          <w:rFonts w:hint="eastAsia" w:ascii="宋体" w:hAnsi="宋体"/>
          <w:sz w:val="24"/>
          <w:szCs w:val="24"/>
        </w:rPr>
        <w:t xml:space="preserve">4、定期巡检服务</w:t>
      </w:r>
      <w:bookmarkEnd w:id="40"/>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按国家有关规范和要求，由中标单位派遣专业人员常驻我镇，对系统定期检查，测试，保养，维修，确保设备正常运行。</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4.1对维保项目每周不低于2次进行检测。并填写巡查记录，发现故障及时排除或修复，并作为考核维保工作的依据。</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4.2每月2次系统状态进行检查，每年24次。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4.3每季度不低于1次对维保项目进行检测。如出现故障或问题，要及时排除修复。</w:t>
      </w:r>
      <w:r>
        <w:rPr>
          <w:rFonts w:ascii="宋体" w:hAnsi="宋体"/>
          <w:sz w:val="24"/>
          <w:szCs w:val="24"/>
        </w:rPr>
      </w:r>
      <w:r/>
    </w:p>
    <w:p>
      <w:pPr>
        <w:pStyle w:val="851"/>
        <w:ind w:left="420" w:firstLine="187"/>
        <w:spacing w:line="360" w:lineRule="auto"/>
        <w:rPr>
          <w:rFonts w:ascii="宋体" w:hAnsi="宋体"/>
          <w:sz w:val="24"/>
          <w:szCs w:val="24"/>
        </w:rPr>
      </w:pPr>
      <w:r>
        <w:rPr>
          <w:rFonts w:hint="eastAsia" w:ascii="宋体" w:hAnsi="宋体"/>
          <w:sz w:val="24"/>
          <w:szCs w:val="24"/>
        </w:rPr>
        <w:t xml:space="preserve">4.4应急服务</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4.4.1提供24小时维保热线，随时接受甲方的服务要求；接到甲方服务指令后，派专业工程师10分钟内到达现场。</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4.4.2维保技术人员对故障进行诊断后，按紧急程度不同划分，最迟在2小时提交解决方案。</w:t>
      </w:r>
      <w:r>
        <w:rPr>
          <w:rFonts w:ascii="宋体" w:hAnsi="宋体"/>
          <w:sz w:val="24"/>
          <w:szCs w:val="24"/>
        </w:rPr>
      </w:r>
      <w:r/>
    </w:p>
    <w:p>
      <w:pPr>
        <w:pStyle w:val="851"/>
        <w:ind w:firstLine="547"/>
        <w:spacing w:line="360" w:lineRule="auto"/>
        <w:rPr>
          <w:rFonts w:ascii="宋体" w:hAnsi="宋体"/>
          <w:sz w:val="24"/>
          <w:szCs w:val="24"/>
        </w:rPr>
      </w:pPr>
      <w:r>
        <w:rPr>
          <w:rFonts w:hint="eastAsia" w:ascii="宋体" w:hAnsi="宋体"/>
          <w:sz w:val="24"/>
          <w:szCs w:val="24"/>
        </w:rPr>
        <w:t xml:space="preserve">4.4.3维保技术人员到达现场后需持续工作直到设备正常运行，一般故障应当在2小时内修复；如需等待购买配件或因设备本身等原因不能及时修复的，要立即向甲方报告，并采取相应的应急措施，在此期间，系统中断运行不得超过12小时。</w:t>
      </w:r>
      <w:r>
        <w:rPr>
          <w:rFonts w:ascii="宋体" w:hAnsi="宋体"/>
          <w:sz w:val="24"/>
          <w:szCs w:val="24"/>
        </w:rPr>
      </w:r>
      <w:r/>
    </w:p>
    <w:p>
      <w:pPr>
        <w:pStyle w:val="877"/>
        <w:spacing w:before="0" w:after="0" w:line="360" w:lineRule="auto"/>
        <w:rPr>
          <w:rFonts w:ascii="宋体" w:hAnsi="宋体"/>
          <w:b/>
          <w:bCs/>
          <w:color w:val="000000"/>
          <w:sz w:val="24"/>
          <w:szCs w:val="24"/>
        </w:rPr>
      </w:pPr>
      <w:r/>
      <w:bookmarkStart w:id="41" w:name="_Toc15844"/>
      <w:r>
        <w:rPr>
          <w:rFonts w:hint="eastAsia" w:ascii="宋体" w:hAnsi="宋体"/>
          <w:b/>
          <w:bCs/>
          <w:color w:val="000000"/>
          <w:sz w:val="24"/>
          <w:szCs w:val="24"/>
        </w:rPr>
        <w:t xml:space="preserve">4.3维保服务目标</w:t>
      </w:r>
      <w:bookmarkEnd w:id="41"/>
      <w:r>
        <w:rPr>
          <w:rFonts w:ascii="宋体" w:hAnsi="宋体"/>
          <w:b/>
          <w:bCs/>
          <w:color w:val="000000"/>
          <w:sz w:val="24"/>
          <w:szCs w:val="24"/>
        </w:rPr>
      </w:r>
      <w:r/>
    </w:p>
    <w:p>
      <w:pPr>
        <w:pStyle w:val="851"/>
        <w:ind w:firstLine="547"/>
        <w:jc w:val="left"/>
        <w:spacing w:line="360" w:lineRule="auto"/>
        <w:rPr>
          <w:rFonts w:ascii="宋体" w:hAnsi="宋体"/>
          <w:sz w:val="24"/>
          <w:szCs w:val="24"/>
        </w:rPr>
      </w:pPr>
      <w:r>
        <w:rPr>
          <w:rFonts w:hint="eastAsia" w:ascii="宋体" w:hAnsi="宋体"/>
          <w:sz w:val="24"/>
          <w:szCs w:val="24"/>
        </w:rPr>
        <w:t xml:space="preserve">保障本项目维护范围内各个系统的正常运行；对所有设备进行定期的预防性维护，做好系统运行的优化、升级等工作，及时发现系统存在的潜在隐患；当设备故障时，除有明确第三方责任人及不可抗力因素外，由中标单位全包，确保使用方系统设备设施能得到及时维护；确保维护点7×24小时正常运行，监控点位完好率必须达到99%以上。</w:t>
      </w:r>
      <w:r>
        <w:rPr>
          <w:rFonts w:ascii="宋体" w:hAnsi="宋体"/>
          <w:sz w:val="24"/>
          <w:szCs w:val="24"/>
        </w:rPr>
      </w:r>
      <w:r/>
    </w:p>
    <w:p>
      <w:pPr>
        <w:pStyle w:val="877"/>
        <w:spacing w:before="0" w:after="0" w:line="360" w:lineRule="auto"/>
        <w:rPr>
          <w:rFonts w:ascii="宋体" w:hAnsi="宋体"/>
          <w:b/>
          <w:bCs/>
          <w:color w:val="000000"/>
          <w:sz w:val="24"/>
          <w:szCs w:val="24"/>
        </w:rPr>
      </w:pPr>
      <w:r>
        <w:rPr>
          <w:rFonts w:hint="eastAsia" w:ascii="宋体" w:hAnsi="宋体"/>
          <w:b/>
          <w:bCs/>
          <w:color w:val="000000"/>
          <w:sz w:val="24"/>
          <w:szCs w:val="24"/>
        </w:rPr>
        <w:t xml:space="preserve">4.4智能化设备维修和保养服务范围</w:t>
      </w:r>
      <w:r>
        <w:rPr>
          <w:rFonts w:ascii="宋体" w:hAnsi="宋体"/>
          <w:b/>
          <w:bCs/>
          <w:color w:val="000000"/>
          <w:sz w:val="24"/>
          <w:szCs w:val="24"/>
        </w:rPr>
      </w:r>
      <w:r/>
    </w:p>
    <w:tbl>
      <w:tblPr>
        <w:tblW w:w="9797" w:type="dxa"/>
        <w:tblInd w:w="98" w:type="dxa"/>
        <w:tblLayout w:type="fixed"/>
        <w:tblCellMar>
          <w:left w:w="108" w:type="dxa"/>
          <w:top w:w="0" w:type="dxa"/>
          <w:right w:w="108" w:type="dxa"/>
          <w:bottom w:w="0" w:type="dxa"/>
        </w:tblCellMar>
        <w:tblLook w:val="04A0" w:firstRow="1" w:lastRow="0" w:firstColumn="1" w:lastColumn="0" w:noHBand="0" w:noVBand="1"/>
      </w:tblPr>
      <w:tblGrid>
        <w:gridCol w:w="807"/>
        <w:gridCol w:w="2212"/>
        <w:gridCol w:w="3383"/>
        <w:gridCol w:w="1592"/>
        <w:gridCol w:w="1803"/>
      </w:tblGrid>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维保设备名称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维护月份数</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华山花园二期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达善一期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达善二期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2430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367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电子围栏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电子巡更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室外LED屏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通安派出所内部设备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车辆道闸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人行通道移门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视频门禁一体机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vMerge w:val="continue"/>
            <w:textDirection w:val="lrTb"/>
            <w:noWrap/>
          </w:tcPr>
          <w:p>
            <w:pPr>
              <w:pStyle w:val="851"/>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小间距LED屏系统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top w:val="single" w:color="000000" w:sz="4" w:space="0"/>
              <w:left w:val="single" w:color="000000" w:sz="4" w:space="0"/>
              <w:right w:val="single" w:color="000000" w:sz="4" w:space="0"/>
            </w:tcBorders>
            <w:tcW w:w="807" w:type="dxa"/>
            <w:vAlign w:val="center"/>
            <w:vMerge w:val="restart"/>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right w:val="single" w:color="000000" w:sz="4" w:space="0"/>
            </w:tcBorders>
            <w:tcW w:w="2212" w:type="dxa"/>
            <w:vAlign w:val="center"/>
            <w:vMerge w:val="restart"/>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华通公园监控项目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cantSplit/>
          <w:trHeight w:val="371"/>
        </w:trPr>
        <w:tc>
          <w:tcPr>
            <w:tcBorders>
              <w:left w:val="single" w:color="000000" w:sz="4" w:space="0"/>
              <w:bottom w:val="single" w:color="000000" w:sz="4" w:space="0"/>
              <w:right w:val="single" w:color="000000" w:sz="4" w:space="0"/>
            </w:tcBorders>
            <w:tcW w:w="807" w:type="dxa"/>
            <w:vAlign w:val="center"/>
            <w:vMerge w:val="continue"/>
            <w:textDirection w:val="lrTb"/>
            <w:noWrap/>
          </w:tcPr>
          <w:p>
            <w:pPr>
              <w:pStyle w:val="85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left w:val="single" w:color="000000" w:sz="4" w:space="0"/>
              <w:bottom w:val="single" w:color="000000" w:sz="4" w:space="0"/>
              <w:right w:val="single" w:color="000000" w:sz="4" w:space="0"/>
            </w:tcBorders>
            <w:tcW w:w="2212" w:type="dxa"/>
            <w:vAlign w:val="center"/>
            <w:vMerge w:val="continue"/>
            <w:textDirection w:val="lrTb"/>
            <w:noWrap/>
          </w:tcPr>
          <w:p>
            <w:pPr>
              <w:pStyle w:val="851"/>
              <w:jc w:val="left"/>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拾音器</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科技城南大地块监控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监控摄像机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r>
        <w:trPr>
          <w:trHeight w:val="3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通安城管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pStyle w:val="851"/>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小区清洁屋监控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pStyle w:val="851"/>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pStyle w:val="85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r>
    </w:tbl>
    <w:p>
      <w:pPr>
        <w:pStyle w:val="858"/>
        <w:jc w:val="left"/>
        <w:spacing w:after="0" w:line="360" w:lineRule="auto"/>
        <w:rPr>
          <w:rFonts w:ascii="宋体" w:hAnsi="宋体" w:cs="宋体"/>
          <w:sz w:val="21"/>
          <w:szCs w:val="21"/>
        </w:rPr>
      </w:pPr>
      <w:r>
        <w:rPr>
          <w:rFonts w:hint="eastAsia" w:ascii="宋体" w:hAnsi="宋体"/>
          <w:b/>
          <w:sz w:val="24"/>
          <w:szCs w:val="24"/>
        </w:rPr>
        <w:t xml:space="preserve">4.5设备更换相关要求：</w:t>
      </w:r>
      <w:r>
        <w:rPr>
          <w:rFonts w:ascii="宋体" w:hAnsi="宋体" w:cs="宋体"/>
          <w:sz w:val="21"/>
          <w:szCs w:val="21"/>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（1）单次单件2000元（含）以下零配件由中标方免费进行采购并更换。</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（2）单次单件2000元以上零配件，</w:t>
      </w:r>
      <w:r>
        <w:rPr>
          <w:rFonts w:hint="eastAsia" w:ascii="宋体" w:hAnsi="宋体" w:cs="宋体"/>
          <w:color w:val="000000"/>
          <w:sz w:val="24"/>
          <w:szCs w:val="24"/>
          <w:lang w:bidi="ar"/>
        </w:rPr>
        <w:t xml:space="preserve">经采购方确认后方可进行更换，大件更换总费用不得超过30万元整。</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（3）维修更换中产生的人工费、维修费、检查费、检测费等其它费用都含在维修保养费中，采购方不再另行支付。</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（4）中标方须根据常备数量进行最低备品库存，保证及时维修更换。需提供承诺书，承诺中标以后，签订合同后10日历天内将备品备件放置在采购人指定场所。无承诺不得标。</w:t>
      </w:r>
      <w:r>
        <w:rPr>
          <w:rFonts w:ascii="宋体" w:hAnsi="宋体" w:cs="宋体"/>
          <w:color w:val="000000"/>
          <w:sz w:val="24"/>
          <w:szCs w:val="24"/>
          <w:lang w:bidi="ar"/>
        </w:rPr>
      </w:r>
      <w:r/>
    </w:p>
    <w:p>
      <w:pPr>
        <w:pStyle w:val="851"/>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4.6大件更换清单及要求</w:t>
      </w:r>
      <w:r>
        <w:rPr>
          <w:rFonts w:ascii="宋体" w:hAnsi="宋体" w:cs="宋体"/>
          <w:color w:val="000000"/>
          <w:sz w:val="24"/>
          <w:szCs w:val="24"/>
          <w:lang w:bidi="ar"/>
        </w:rPr>
      </w:r>
      <w:r/>
    </w:p>
    <w:tbl>
      <w:tblPr>
        <w:tblW w:w="5123" w:type="pct"/>
        <w:tblInd w:w="0" w:type="dxa"/>
        <w:tblLayout w:type="fixed"/>
        <w:tblCellMar>
          <w:left w:w="108" w:type="dxa"/>
          <w:top w:w="0" w:type="dxa"/>
          <w:right w:w="108" w:type="dxa"/>
          <w:bottom w:w="0" w:type="dxa"/>
        </w:tblCellMar>
        <w:tblLook w:val="04A0" w:firstRow="1" w:lastRow="0" w:firstColumn="1" w:lastColumn="0" w:noHBand="0" w:noVBand="1"/>
      </w:tblPr>
      <w:tblGrid>
        <w:gridCol w:w="789"/>
        <w:gridCol w:w="1250"/>
        <w:gridCol w:w="5280"/>
        <w:gridCol w:w="684"/>
        <w:gridCol w:w="682"/>
        <w:gridCol w:w="1528"/>
      </w:tblGrid>
      <w:tr>
        <w:trPr>
          <w:trHeight w:val="27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280" w:type="dxa"/>
            <w:vAlign w:val="center"/>
            <w:textDirection w:val="lrTb"/>
            <w:noWrap/>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参数</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结算单价</w:t>
            </w:r>
            <w:r>
              <w:rPr>
                <w:rFonts w:ascii="宋体" w:hAnsi="宋体" w:cs="宋体"/>
                <w:color w:val="000000"/>
                <w:sz w:val="24"/>
                <w:szCs w:val="24"/>
              </w:rPr>
            </w:r>
            <w:r/>
          </w:p>
        </w:tc>
      </w:tr>
      <w:tr>
        <w:trPr>
          <w:trHeight w:val="819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存储服务器服务器</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操作系统：嵌入式LINUX系统；</w:t>
              <w:br w:type="textWrapping" w:clear="all"/>
              <w:t xml:space="preserve">主处理器：64位高性能多核处理器；</w:t>
              <w:br w:type="textWrapping" w:clear="all"/>
              <w:t xml:space="preserve">控制器：单控制器；</w:t>
              <w:br w:type="textWrapping" w:clear="all"/>
              <w:t xml:space="preserve">高速缓存：标</w:t>
            </w:r>
            <w:r>
              <w:rPr>
                <w:rFonts w:hint="eastAsia" w:ascii="宋体" w:hAnsi="宋体" w:cs="宋体"/>
                <w:color w:val="000000"/>
                <w:sz w:val="24"/>
                <w:szCs w:val="24"/>
              </w:rPr>
              <w:t xml:space="preserve">配32GB，可扩展至128GB；</w:t>
              <w:br/>
              <w:t xml:space="preserve">电源冗余：1+1冗余电源；</w:t>
              <w:br/>
              <w:t xml:space="preserve">网络接口：1个千兆管理电口，4个千兆数据电口；</w:t>
              <w:br/>
              <w:t xml:space="preserve">硬盘个数：支持48块企业级硬盘；</w:t>
              <w:br/>
              <w:t xml:space="preserve">硬盘兼容性：1TB、2TB、3TB、4TB、5TB、6TB、8TB、10TB、12TB、14TB、16TB，支持SATA盘混插支持SSD硬盘支持2.5、3.5英寸硬盘；</w:t>
              <w:br/>
              <w:t xml:space="preserve">视频直存（私有协议）：最大支持400路（800Mbps）前端接入、存储、转发，32路（64 Mbps）网络回放</w:t>
              <w:br/>
              <w:t xml:space="preserve">▲设备可批量添加，修改接入的前端摄像机IP地址，并可对已添加的前端摄像机IP进行过滤（</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▲可通过IE浏览器进行视频浏览、回放和下载；并支持多画面同时段录像同时回放，或不同时段录像同时回放；网络下载录像速度不低于90MB/s（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支持同时进行2600Mbps视（音）频码流存储，2600Mbps视（音）频码流转发、400Mbps视（音）频码流回放在转发模式下，可支持4096Mbps视（音）频码流的转发可支持不低于600MBps的图片并发输入，同时不低于600MBps图片并发输出IPSAN工作模式下，存储带宽不小于8Gbps（</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▲支持对视音频、图片及智能分析录像的混合直存，无需存储服务器和图片服务器参与（</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可通过浏览器显示磁盘剩余空间容量，并可划分多个容量不同的盘组。当磁盘阵列中某块磁盘发生故障时，样机可将数据自动存储至热备盘，磁盘恢复正常后，数据不应丢失且磁盘阵列可自动重构。样机支持对选定的磁盘进行一键RAID，自动进行RAID创建和存储空间划分。支持监控级和企业级硬盘创建RAID。支持RAID在线扩容。支持RAID5初始化功能，可在10秒内完成RAID自盘校验。Raid 2.0创建后无需数据同步即可使用，无需热备盘直接重构。最大重构速度达到2TB/h（</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具有包括RAID0、RAID1、RAID3、RAID4、RAID5、RAID6、RAID10、RAID50、RAID60、超级RAID、JBOD、RAID5EE的RAID功能设置选项。具有同步优先、业务优先、I/O均衡及自适应四种RAID同步方式设置选项。支持全局热备和局部热备。支持RAID即建即用。可通过浏览器在线扩展客户端逻辑卷的存储空间。支持逻辑卷的动态在线扩展。（</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▲样机具有磁盘指示灯、告警指示灯、网络指示灯、电源指示灯、磁盘上电指示灯及磁盘读写指示灯（</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br w:type="textWrapping" w:clear="all"/>
              <w:t xml:space="preserve">▲采用LINUX操作系统，具有1个控制单元，1个64位六核处理器，8GB内存，可扩展至128GB，具有128GB SSD固态硬盘，可扩展至2个512GB SSD固态硬盘。可扩展1个2.5英寸SATA硬盘。具有2个可热插拔BBU电源，可扩展至4个可热插拔BBU电源。样机外部接口可再扩展8个RJ45网络接口或4个RJ45网络接口及4个光纤接口，2个Mini SAS HD接口。样机前面板具有锁止功能，加锁后硬盘无法取出，具有可拆卸式防尘滤网（</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w:t>
              <w:br w:type="textWrapping" w:clear="all"/>
              <w:t xml:space="preserve">▲网络视频存储服务器具有5个RJ45网络接口(1个管理接口、4个数据接口)、1个RS232接口、1个eSATA、2个USB3.0接口、2个USB2.0接口、1个HDMI接口、1个VGA接口、2个PCI-E 3.0接口、48个硬盘接口。样机采用AC220V供电。（</w:t>
            </w:r>
            <w:r>
              <w:rPr>
                <w:rFonts w:hint="eastAsia" w:ascii="宋体" w:hAnsi="宋体" w:cs="宋体"/>
                <w:color w:val="000000"/>
                <w:sz w:val="24"/>
                <w:szCs w:val="24"/>
              </w:rPr>
              <w:t xml:space="preserve">提供第三方检测机构出具的有效检测报告复印件</w:t>
            </w: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58000</w:t>
            </w:r>
            <w:r>
              <w:rPr>
                <w:rFonts w:ascii="宋体" w:hAnsi="宋体" w:cs="宋体"/>
                <w:color w:val="000000"/>
                <w:sz w:val="24"/>
                <w:szCs w:val="24"/>
              </w:rPr>
            </w:r>
            <w:r/>
          </w:p>
        </w:tc>
      </w:tr>
      <w:tr>
        <w:trPr>
          <w:trHeight w:val="3251"/>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网络硬盘录像机（安装位置：机房）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具有2个HDMI接口、2个VGA接口、1个CVBS接口、2个RJ45千兆网络接口、2个USB2.0接口、2个USB3.0接口、1个RS232接口、1个RS485接口（可接入RS485键盘）、1个eSata接口；具有1路音频输入接口、2路音频输出接口，16路报警输入接口、9路报警输出接口；具有1路直流12V输出接口；可内置16个SATA接口硬盘</w:t>
              <w:br w:type="textWrapping" w:clear="all"/>
              <w:t xml:space="preserve">支持最大接入带宽320Mbps，最大存储带宽320Mbps，最大转发带宽2</w:t>
            </w:r>
            <w:r>
              <w:rPr>
                <w:rFonts w:hint="eastAsia" w:ascii="宋体" w:hAnsi="宋体" w:cs="宋体"/>
                <w:color w:val="000000"/>
                <w:sz w:val="24"/>
                <w:szCs w:val="24"/>
              </w:rPr>
              <w:t xml:space="preserve">56Mbps</w:t>
              <w:br/>
              <w:t xml:space="preserve">可接入 1T、2T、3T、4T、6T、8T、10T、12TB、14TB、16TB容量的 SATA接口硬盘；</w:t>
              <w:br/>
              <w:t xml:space="preserve">HDMI1和HDMI2支持最大单路8K（7680×4320）和1080P（1920×1080）异源输出。</w:t>
              <w:br/>
              <w:t xml:space="preserve">★在专家模式下，支持高空抛物摄像机按视野进行区域划分，并支持轮巡预览。</w:t>
              <w:br/>
              <w:t xml:space="preserve">★支持按楼层区域和按通道两种模式对高空抛物事件进行检索。并支持按楼层进行过滤检索，检索结果可以显示楼层信息。</w:t>
              <w:br/>
              <w:t xml:space="preserve">★设备支持分组管理，支持将接入的视频通道按分组管理；支持以分组方式进行预览、回放和检索；自定义视图支持</w:t>
            </w:r>
            <w:r>
              <w:rPr>
                <w:rFonts w:hint="eastAsia" w:ascii="宋体" w:hAnsi="宋体" w:cs="宋体"/>
                <w:color w:val="000000"/>
                <w:sz w:val="24"/>
                <w:szCs w:val="24"/>
              </w:rPr>
              <w:t xml:space="preserve">以分组方式拖动通道进行配置</w:t>
              <w:br/>
              <w:t xml:space="preserve">支持网络广播音频设备（包括网络音响）的接入，支持以POE方式接入网络广播。</w:t>
              <w:br/>
              <w:t xml:space="preserve">★支持网络广播绑定视频通道，支持以通道方式对绑定后的视频通道和网络广播进行对讲。</w:t>
              <w:br/>
              <w:t xml:space="preserve">切片回放功能，支持按月、日、小时维度进行切片展示，按月最大支持30个切片，按日最大支持24个切片，按时最大支持60个切片。</w:t>
              <w:br/>
              <w:t xml:space="preserve">支持预览时对实时视频流进行手动打标签，通过标签检索可以检索到相关的录像片段。</w:t>
              <w:br/>
              <w:t xml:space="preserve">★支持预览的单窗口轮巡，设备支持在多画面的固定窗口上进行轮巡预览，其他预览窗口不轮巡。</w:t>
              <w:br/>
              <w:t xml:space="preserve">支持查看在线用户信息，包括用户名、用</w:t>
            </w:r>
            <w:r>
              <w:rPr>
                <w:rFonts w:hint="eastAsia" w:ascii="宋体" w:hAnsi="宋体" w:cs="宋体"/>
                <w:color w:val="000000"/>
                <w:sz w:val="24"/>
                <w:szCs w:val="24"/>
              </w:rPr>
              <w:t xml:space="preserve">户类型、IP地址和用户最后操作时间等维护信息</w:t>
              <w:br/>
              <w:t xml:space="preserve">★支持音频设备与视频设备独立管理，支持网络拾音器的接入、校时；最大16路音频设备管理</w:t>
              <w:br/>
              <w:t xml:space="preserve">★支持音视频动态调整组合分配功能，可将任一路音频与任一路视频组合成复合流编码</w:t>
              <w:br/>
              <w:t xml:space="preserve">支持前端IPC证书二次校验机制，未通过证书校验的IPC不允许添加到NVR</w:t>
              <w:br/>
              <w:t xml:space="preserve">★支持网络端口扫描行为预警，可自动封禁IP，并上报预警，支持远程下发IP拦截</w:t>
              <w:br/>
              <w:t xml:space="preserve">支持自动跳转https功能，设备启用自动跳转https功能后不支持http协议访问，http访问入口连接会自动重定向到https入口</w:t>
              <w:br/>
              <w:t xml:space="preserve">可接入64路视频</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w:t>
            </w:r>
            <w:r>
              <w:rPr>
                <w:rFonts w:ascii="宋体" w:hAnsi="宋体" w:cs="宋体"/>
                <w:color w:val="000000"/>
                <w:sz w:val="24"/>
                <w:szCs w:val="24"/>
              </w:rPr>
            </w:r>
            <w:r/>
          </w:p>
        </w:tc>
      </w:tr>
      <w:tr>
        <w:trPr>
          <w:trHeight w:val="797"/>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综合安防管理平台服务器（安装位置：机房）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4210×1/64GDDR4/1.2T10KSAS×2(RAID_1)/SAS_HBA/1GbE×2/550W(</w:t>
            </w:r>
            <w:r>
              <w:rPr>
                <w:rFonts w:hint="eastAsia" w:ascii="宋体" w:hAnsi="宋体" w:cs="宋体"/>
                <w:color w:val="000000"/>
                <w:sz w:val="24"/>
                <w:szCs w:val="24"/>
              </w:rPr>
              <w:t xml:space="preserve">1+1)/2U/16DIMM；2U双路标准机架式服务器；CPU：1颗intel至强系列处理器，核数≥10核，主频≥2.2GHz；内存：32G*2DDR4，16根内存插槽，最大支持扩展至2TB内存；硬盘：2块1.2T10K2.5寸SAS硬盘；阵列卡：SAS_HBA卡,支持RAID0/1/10；PCIE扩展：最大可支持6个PCIE扩展插槽；网口：2个千兆电口；其他接口：1个RJ45管理接口，后置2个USB3.0接口，前置2个USB2.0接口，1个VGA接口；电源：标配550W（1+1）高效铂金CRPS冗余电源.</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综合安防管理平台一体机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软硬一体化部署，插电可用，7*24小时稳定运行；%0A平台业务架构支持通过业务服务集群部署扩展业务处理能力，通过设备接入服务分布式部署扩展设备接入能力，采用一体机堆叠方式自动累加快速实现；%0</w:t>
            </w:r>
            <w:r>
              <w:rPr>
                <w:rFonts w:hint="eastAsia" w:ascii="宋体" w:hAnsi="宋体" w:cs="宋体"/>
                <w:color w:val="000000"/>
                <w:sz w:val="24"/>
                <w:szCs w:val="24"/>
              </w:rPr>
              <w:t xml:space="preserve">A平台支持多终端（C/S客户端、移动APP、WEB、微信小程序）运行使用；%0A支持大华协议\大华主动注册协议\GB28181协议\Onvif协议\海康协议\海康ehome协议；%0A智能应用集成，支持雷达监控移动物体、热成像预览实时测温、高空抛物实时视频预览目标轨迹检测、离岗检测等各类智能报警应用；%0A自定义可视化数据驾驶舱，支持聚合业务数据，结合自定义组件，形成数据魔墙，满足不同终端或投屏展示；%0A部署运维监管，基础业务模块自动部署安装，个性化业务模块根据实际场景自定义选择安装；%0A操作系统：Ce</w:t>
            </w:r>
            <w:r>
              <w:rPr>
                <w:rFonts w:hint="eastAsia" w:ascii="宋体" w:hAnsi="宋体" w:cs="宋体"/>
                <w:color w:val="000000"/>
                <w:sz w:val="24"/>
                <w:szCs w:val="24"/>
              </w:rPr>
              <w:t xml:space="preserve">ntOS7.7 ；%0A处理器:Intel Xeon E3-1225 V5 CPU支持最大TDP功耗75W；%0A支持最大TDP功耗75W.；%0A芯片组:Intel C236 chipset ；%0A内存：DDR4内存条-8GB-VLP-ECC-UDIMM*4 ；%0A存储：硬盘-ST1000NM0055-1T-128M缓存-3.5英寸-SATA3.0接口，规格：2*1T；前置4盘位, 可支持4个3.5英寸SATA硬盘；%0A配置SAS HBA卡时，可支持SAS硬盘；内置主板支持2个M.2 SATA接口。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32800</w:t>
            </w:r>
            <w:r>
              <w:rPr>
                <w:rFonts w:ascii="宋体" w:hAnsi="宋体" w:cs="宋体"/>
                <w:color w:val="000000"/>
                <w:sz w:val="24"/>
                <w:szCs w:val="24"/>
              </w:rPr>
            </w:r>
            <w:r/>
          </w:p>
        </w:tc>
      </w:tr>
      <w:tr>
        <w:trPr>
          <w:trHeight w:val="3065"/>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核心交换机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1、名称：核心交换机</w:t>
              <w:br w:type="textWrapping" w:clear="all"/>
              <w:t xml:space="preserve">2、参数：交换容</w:t>
            </w:r>
            <w:r>
              <w:rPr>
                <w:rFonts w:hint="eastAsia" w:ascii="宋体" w:hAnsi="宋体" w:cs="宋体"/>
                <w:color w:val="000000"/>
                <w:sz w:val="24"/>
                <w:szCs w:val="24"/>
              </w:rPr>
              <w:t xml:space="preserve">量≥86Tbps、包转发率≥26000Mpps</w:t>
              <w:br/>
              <w:t xml:space="preserve">业务槽位数量≥6</w:t>
              <w:br/>
              <w:t xml:space="preserve">支持扩展硬件防火墙业务板、IPS入侵防御系统业务板、负载均衡业务板、应用控制网关业务板、SSL VPN业务板 (所有业务板块必须是单独独立的板块，不能通过业务板或其他安全业务板增加授权支持)</w:t>
              <w:br/>
              <w:t xml:space="preserve">支持基于端口的VLAN，802.1q Vlan封装，最大Vlan数≥4096</w:t>
              <w:br/>
              <w:t xml:space="preserve">单槽位40G端口密度≥24</w:t>
              <w:br/>
              <w:t xml:space="preserve">单槽位100G端口密度≥4</w:t>
              <w:br/>
              <w:t xml:space="preserve">支持N：1虚拟化：可将多台物理设备虚拟化为一台逻辑设备，虚拟组内可以实现一致的转发表项，统一的管理，跨物理设备的链路聚合</w:t>
            </w:r>
            <w:r>
              <w:rPr>
                <w:rFonts w:hint="eastAsia" w:ascii="宋体" w:hAnsi="宋体" w:cs="宋体"/>
                <w:color w:val="000000"/>
                <w:sz w:val="24"/>
                <w:szCs w:val="24"/>
              </w:rPr>
              <w:t xml:space="preserve">；</w:t>
              <w:br/>
              <w:t xml:space="preserve">支持1：N虚拟化：可将1台物理设备虚拟成多台逻辑设备，交换容量≥86Tbps、包转发率≥26000Mpps</w:t>
              <w:br/>
              <w:t xml:space="preserve">业务槽位数量≥6</w:t>
              <w:br/>
              <w:t xml:space="preserve">支持扩展硬件防火墙业务板、IPS入侵防御系统业务板、负载均衡业务板、应用控制网关业务板、SSL VPN业务板 (所有业务板块必须是单独独立的板块，不能通过业务板或其他安全业务板增加授权支持)</w:t>
              <w:br/>
              <w:t xml:space="preserve">支持基于端口的VLAN，802.1q Vlan封装，最大Vlan数≥4096</w:t>
              <w:br/>
              <w:t xml:space="preserve">单槽位40G端口密度≥24</w:t>
              <w:br/>
              <w:t xml:space="preserve">单槽位100G端口密度≥4</w:t>
              <w:br/>
              <w:t xml:space="preserve">支持N：1虚拟化：可将多台物理设备虚拟化为一台逻辑设备，</w:t>
            </w:r>
            <w:r>
              <w:rPr>
                <w:rFonts w:hint="eastAsia" w:ascii="宋体" w:hAnsi="宋体" w:cs="宋体"/>
                <w:color w:val="000000"/>
                <w:sz w:val="24"/>
                <w:szCs w:val="24"/>
              </w:rPr>
              <w:t xml:space="preserve">虚拟组内可以实现一致的转发表项，统一的管理，跨物理设备的链路聚合；</w:t>
              <w:br/>
              <w:t xml:space="preserve">支持1：N虚拟化：可将1台物理设备虚拟成多台逻辑设备，每台逻辑设备享有独立的硬件和软件资源，相互独立，互不影响；</w:t>
              <w:br/>
              <w:t xml:space="preserve">优先级队列调度：每端口支持8个优先级队列，支持SP、WRR、CBWFQ队列调度算法，支持WRED拥塞避免算法，支持流量整形，支持802.1P，DSCP/TOS优先级和重新标记能力，支持基于时间段的流分类和QoS控制能力；支持标准和扩展ACL，基于VLAN的ACL；支持VLAN ACL和IPv6 ACL</w:t>
              <w:br/>
              <w:t xml:space="preserve">为适应未来云计算发展趋势，</w:t>
            </w:r>
            <w:r>
              <w:rPr>
                <w:rFonts w:hint="eastAsia" w:ascii="宋体" w:hAnsi="宋体" w:cs="宋体"/>
                <w:color w:val="000000"/>
                <w:sz w:val="24"/>
                <w:szCs w:val="24"/>
              </w:rPr>
              <w:t xml:space="preserve">要求设备支持丰富的云计算数据中心特性，如FcoE、TRILL、EVI、EVB等功能</w:t>
              <w:br/>
              <w:t xml:space="preserve">支持IP+MAC+PORT任意组合的绑定，支持非法帧报文过滤，用户分级管理和口令保护，支持端口隔离，支持SSH，支持SNMPv3网管</w:t>
              <w:br/>
              <w:t xml:space="preserve">支持硬件级加密技术Macsec技术（802.1ae）</w:t>
              <w:br/>
              <w:t xml:space="preserve">支持VRRP，RRPP，Ethernet OAM（802.3ah），支持Graceful Restart for OSPF/BGP/IS-IS</w:t>
              <w:br/>
              <w:t xml:space="preserve">SNMP V1/V2/V3 </w:t>
              <w:br/>
              <w:t xml:space="preserve">提供主机2台，单台设备配置如下：</w:t>
              <w:br/>
              <w:t xml:space="preserve">双主控，双电源，万兆光接口≥16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36000</w:t>
            </w:r>
            <w:r>
              <w:rPr>
                <w:rFonts w:ascii="宋体" w:hAnsi="宋体" w:cs="宋体"/>
                <w:color w:val="000000"/>
                <w:sz w:val="24"/>
                <w:szCs w:val="24"/>
              </w:rPr>
            </w:r>
            <w:r/>
          </w:p>
        </w:tc>
      </w:tr>
      <w:tr>
        <w:trPr>
          <w:trHeight w:val="1833"/>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接入交换机</w:t>
            </w:r>
            <w:r>
              <w:rPr>
                <w:rFonts w:ascii="宋体" w:hAnsi="宋体" w:cs="宋体"/>
                <w:color w:val="000000"/>
                <w:sz w:val="24"/>
                <w:szCs w:val="24"/>
              </w:rPr>
            </w:r>
            <w:r/>
          </w:p>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（安装位置：机房）</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1、名称：汇聚交换机</w:t>
              <w:br w:type="textWrapping" w:clear="all"/>
              <w:t xml:space="preserve">2、参数：交换容量≥590Gbps ，转发性能≥210Mpps</w:t>
              <w:br w:type="textWrapping" w:clear="all"/>
              <w:t xml:space="preserve">24个千兆光端口，4个万兆SFP+口</w:t>
              <w:br w:type="textWrapping" w:clear="all"/>
              <w:t xml:space="preserve">配置模块化双电源，模块化双风扇</w:t>
              <w:br w:type="textWrapping" w:clear="all"/>
              <w:t xml:space="preserve">支持万兆光接口、万兆电接口扩展；</w:t>
              <w:br w:type="textWrapping" w:clear="all"/>
              <w:t xml:space="preserve">支持IPv4静态路由、RIP V1/V2、OS</w:t>
            </w:r>
            <w:r>
              <w:rPr>
                <w:rFonts w:hint="eastAsia" w:ascii="宋体" w:hAnsi="宋体" w:cs="宋体"/>
                <w:color w:val="000000"/>
                <w:sz w:val="24"/>
                <w:szCs w:val="24"/>
              </w:rPr>
              <w:t xml:space="preserve">PF、BGP</w:t>
              <w:br/>
              <w:t xml:space="preserve">支持IPv6静态路由、RIPng、OSPFv3、BGP4+</w:t>
              <w:br/>
              <w:t xml:space="preserve">支持等价路由、VRRP、策略路由</w:t>
              <w:br/>
              <w:t xml:space="preserve">支持MACsec硬件加密功能，实现数据加密传输</w:t>
              <w:br/>
              <w:t xml:space="preserve">支持通过标准以太端口进行堆叠，支持跨设备链路聚合，单一IP管理，统一的路由表项</w:t>
              <w:br/>
              <w:t xml:space="preserve">支持基于端口的VLAN，支持基于协议的VLAN；</w:t>
              <w:br/>
              <w:t xml:space="preserve">支持基于MAC的VLAN；</w:t>
              <w:br/>
              <w:t xml:space="preserve">最大VLAN数(不是VLAN ID)≥4094</w:t>
              <w:br/>
              <w:t xml:space="preserve">支持端口聚合</w:t>
              <w:br/>
              <w:t xml:space="preserve">支持本地端口镜像和远程端口镜像；</w:t>
              <w:br/>
              <w:t xml:space="preserve">支持流镜像</w:t>
              <w:br/>
              <w:t xml:space="preserve">同时支持N：M的端口镜像（M大于1）</w:t>
              <w:br/>
              <w:t xml:space="preserve">支持SNMP V1/V2/V3、RMON、SSHV2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1722"/>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停车场管理设备（安装位置：小区大门口）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1、名称：道闸</w:t>
              <w:br w:type="textWrapping" w:clear="all"/>
              <w:t xml:space="preserve">2、参数：栅栏数字道闸快速全向：3米3-6秒速度可调，全向，支持防撞。</w:t>
              <w:br w:type="textWrapping" w:clear="all"/>
              <w:t xml:space="preserve">3、配套：配套道闸立杆.防护栏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3120</w:t>
            </w:r>
            <w:r>
              <w:rPr>
                <w:rFonts w:ascii="宋体" w:hAnsi="宋体" w:cs="宋体"/>
                <w:color w:val="000000"/>
                <w:sz w:val="24"/>
                <w:szCs w:val="24"/>
              </w:rPr>
            </w:r>
            <w:r/>
          </w:p>
        </w:tc>
      </w:tr>
      <w:tr>
        <w:trPr>
          <w:trHeight w:val="216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val="false"/>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出入口车牌抓拍摄像机（安装位置：小区大门口）</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val="false"/>
          </w:tcPr>
          <w:p>
            <w:pPr>
              <w:pStyle w:val="851"/>
              <w:jc w:val="left"/>
              <w:widowControl/>
              <w:rPr>
                <w:rFonts w:ascii="宋体" w:hAnsi="宋体" w:cs="宋体"/>
                <w:color w:val="000000"/>
                <w:sz w:val="24"/>
                <w:szCs w:val="24"/>
              </w:rPr>
            </w:pPr>
            <w:r>
              <w:rPr>
                <w:rFonts w:hint="eastAsia" w:ascii="宋体" w:hAnsi="宋体" w:cs="宋体"/>
                <w:color w:val="000000"/>
                <w:sz w:val="24"/>
                <w:szCs w:val="24"/>
              </w:rPr>
              <w:t xml:space="preserve">1、类型：出入口车牌抓拍摄像机（含镜头、防护罩、支架等）</w:t>
              <w:br w:type="textWrapping" w:clear="all"/>
              <w:t xml:space="preserve">2、规格、</w:t>
            </w:r>
            <w:r>
              <w:rPr>
                <w:rFonts w:hint="eastAsia" w:ascii="宋体" w:hAnsi="宋体" w:cs="宋体"/>
                <w:color w:val="000000"/>
                <w:sz w:val="24"/>
                <w:szCs w:val="24"/>
              </w:rPr>
              <w:t xml:space="preserve">参数：摄像机类型：≥200万像素彩色逐行扫描CMOS高清智能摄像机；传感器类型：1/3先进性CMOS； 快门：≥1/30秒；图像分辨率：≥1920*1592；视频亮度自适应：可以根据光源亮度变化，将视频图像亮度自动调节至正常显示； 接口：≥1个RJ4510M/100M/1000M自适应</w:t>
              <w:br/>
              <w:t xml:space="preserve">以太网口,1个RS-485接口，1个RS-232接口,3路IO输入接口,2路继电器输出，1路音频输入，1路音频输出，内置8GTF卡，2个内置LED灯； 三码流输出：可同时输出主码流、子码流及第三路码流三种不同分辨率的视频图像</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4"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528" w:type="dxa"/>
            <w:vAlign w:val="center"/>
            <w:textDirection w:val="lrTb"/>
            <w:noWrap/>
          </w:tcPr>
          <w:p>
            <w:pPr>
              <w:pStyle w:val="851"/>
              <w:jc w:val="center"/>
              <w:widowControl/>
              <w:rPr>
                <w:rFonts w:ascii="宋体" w:hAnsi="宋体" w:cs="宋体"/>
                <w:color w:val="000000"/>
                <w:sz w:val="24"/>
                <w:szCs w:val="24"/>
              </w:rPr>
            </w:pPr>
            <w:r>
              <w:rPr>
                <w:rFonts w:hint="eastAsia" w:ascii="宋体" w:hAnsi="宋体" w:cs="宋体"/>
                <w:color w:val="000000"/>
                <w:sz w:val="24"/>
                <w:szCs w:val="24"/>
              </w:rPr>
              <w:t xml:space="preserve">2320</w:t>
            </w:r>
            <w:r>
              <w:rPr>
                <w:rFonts w:ascii="宋体" w:hAnsi="宋体" w:cs="宋体"/>
                <w:color w:val="000000"/>
                <w:sz w:val="24"/>
                <w:szCs w:val="24"/>
              </w:rPr>
            </w:r>
            <w:r/>
          </w:p>
        </w:tc>
      </w:tr>
    </w:tbl>
    <w:p>
      <w:pPr>
        <w:pStyle w:val="851"/>
        <w:jc w:val="left"/>
        <w:spacing w:line="360" w:lineRule="auto"/>
        <w:widowControl/>
        <w:rPr>
          <w:rFonts w:ascii="宋体" w:hAnsi="宋体" w:cs="宋体"/>
          <w:color w:val="000000"/>
          <w:sz w:val="24"/>
          <w:szCs w:val="24"/>
        </w:rPr>
      </w:pPr>
      <w:r>
        <w:rPr>
          <w:rFonts w:ascii="宋体" w:hAnsi="宋体" w:cs="宋体"/>
          <w:color w:val="000000"/>
          <w:sz w:val="24"/>
          <w:szCs w:val="24"/>
        </w:rPr>
      </w:r>
      <w:r/>
    </w:p>
    <w:p>
      <w:pPr>
        <w:pStyle w:val="851"/>
        <w:spacing w:line="360" w:lineRule="auto"/>
        <w:rPr>
          <w:rFonts w:ascii="宋体" w:hAnsi="宋体"/>
          <w:b/>
          <w:sz w:val="24"/>
          <w:szCs w:val="24"/>
          <w:lang w:val="zh-CN"/>
        </w:rPr>
      </w:pPr>
      <w:r>
        <w:rPr>
          <w:rFonts w:hint="eastAsia" w:ascii="宋体" w:hAnsi="宋体"/>
          <w:b/>
          <w:sz w:val="24"/>
          <w:szCs w:val="24"/>
          <w:lang w:val="zh-CN"/>
        </w:rPr>
        <w:t xml:space="preserve">五、综合说明及其它要求：</w:t>
      </w:r>
      <w:r>
        <w:rPr>
          <w:rFonts w:ascii="宋体" w:hAnsi="宋体"/>
          <w:b/>
          <w:sz w:val="24"/>
          <w:szCs w:val="24"/>
          <w:lang w:val="zh-CN"/>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1.投标人按照招标文件的要求提交投标文件，并对所提供的全部资料的真实性承担法律责任。</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2.此次投标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3.中标单位将根据招标文件、投标文件的相关约定，承担合同责任，履行合同义务。</w:t>
      </w:r>
      <w:r>
        <w:rPr>
          <w:rFonts w:ascii="宋体" w:hAnsi="宋体" w:cs="宋体"/>
          <w:color w:val="000000"/>
          <w:sz w:val="24"/>
          <w:szCs w:val="24"/>
        </w:rPr>
      </w:r>
      <w:r/>
    </w:p>
    <w:p>
      <w:pPr>
        <w:pStyle w:val="851"/>
        <w:ind w:firstLine="480"/>
        <w:spacing w:line="360" w:lineRule="auto"/>
        <w:tabs>
          <w:tab w:val="left" w:pos="420" w:leader="none"/>
          <w:tab w:val="left" w:pos="540" w:leader="none"/>
        </w:tabs>
        <w:rPr>
          <w:rFonts w:ascii="宋体" w:hAnsi="宋体" w:cs="宋体"/>
          <w:color w:val="000000"/>
          <w:sz w:val="24"/>
          <w:szCs w:val="24"/>
        </w:rPr>
      </w:pPr>
      <w:r>
        <w:rPr>
          <w:rFonts w:ascii="宋体" w:hAnsi="宋体" w:cs="宋体"/>
          <w:color w:val="000000"/>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 w:val="24"/>
          <w:szCs w:val="24"/>
        </w:rPr>
      </w:r>
      <w:r/>
    </w:p>
    <w:p>
      <w:pPr>
        <w:pStyle w:val="851"/>
        <w:ind w:firstLine="480"/>
        <w:spacing w:line="360" w:lineRule="auto"/>
        <w:rPr>
          <w:rFonts w:ascii="宋体" w:hAnsi="宋体" w:cs="宋体"/>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、凡涉及招标文件的补充说明和修改，均以苏州市政府采购网最后发布的内容为准。</w:t>
      </w:r>
      <w:r>
        <w:rPr>
          <w:rFonts w:ascii="宋体" w:hAnsi="宋体" w:cs="宋体"/>
          <w:sz w:val="24"/>
          <w:szCs w:val="24"/>
        </w:rPr>
      </w:r>
      <w:r/>
    </w:p>
    <w:p>
      <w:pPr>
        <w:pStyle w:val="851"/>
        <w:spacing w:line="360" w:lineRule="auto"/>
        <w:rPr>
          <w:rFonts w:ascii="宋体" w:hAnsi="宋体"/>
          <w:b/>
          <w:sz w:val="24"/>
          <w:szCs w:val="24"/>
        </w:rPr>
      </w:pPr>
      <w:r>
        <w:rPr>
          <w:rFonts w:hint="eastAsia" w:ascii="宋体" w:hAnsi="宋体"/>
          <w:b/>
          <w:sz w:val="24"/>
          <w:szCs w:val="24"/>
        </w:rPr>
        <w:t xml:space="preserve">六、政府采购政策：</w:t>
      </w:r>
      <w:r>
        <w:rPr>
          <w:rFonts w:ascii="宋体" w:hAnsi="宋体"/>
          <w:b/>
          <w:sz w:val="24"/>
          <w:szCs w:val="24"/>
        </w:rPr>
      </w:r>
      <w:r/>
    </w:p>
    <w:p>
      <w:pPr>
        <w:pStyle w:val="851"/>
        <w:ind w:firstLine="482"/>
        <w:spacing w:line="360" w:lineRule="auto"/>
        <w:rPr>
          <w:rFonts w:ascii="宋体" w:hAnsi="宋体"/>
          <w:b/>
          <w:sz w:val="24"/>
          <w:szCs w:val="24"/>
        </w:rPr>
      </w:pPr>
      <w:r>
        <w:rPr>
          <w:rFonts w:hint="eastAsia" w:ascii="宋体" w:hAnsi="宋体"/>
          <w:b/>
          <w:sz w:val="24"/>
          <w:szCs w:val="24"/>
        </w:rPr>
        <w:t xml:space="preserve">根据政府采购等相关法律法规的规定，现对相关政府采购政策的具体实施规定如下：</w:t>
      </w:r>
      <w:r>
        <w:rPr>
          <w:rFonts w:ascii="宋体" w:hAnsi="宋体"/>
          <w:b/>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1.小、微企业</w:t>
      </w:r>
      <w:r>
        <w:rPr>
          <w:rFonts w:ascii="宋体" w:hAnsi="宋体"/>
          <w:color w:val="000000"/>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51"/>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51"/>
        <w:ind w:firstLine="482"/>
        <w:spacing w:line="360" w:lineRule="auto"/>
        <w:tabs>
          <w:tab w:val="left" w:pos="567" w:leader="none"/>
        </w:tabs>
        <w:rPr>
          <w:rFonts w:ascii="宋体" w:hAnsi="宋体"/>
          <w:color w:val="000000"/>
          <w:sz w:val="24"/>
          <w:szCs w:val="24"/>
        </w:rPr>
      </w:pPr>
      <w:r>
        <w:rPr>
          <w:rFonts w:ascii="宋体" w:hAnsi="宋体"/>
          <w:b/>
          <w:color w:val="000000"/>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sz w:val="24"/>
          <w:szCs w:val="24"/>
          <w:u w:val="single"/>
        </w:rPr>
        <w:t xml:space="preserve">其他未列明</w:t>
      </w:r>
      <w:r>
        <w:rPr>
          <w:rFonts w:ascii="宋体" w:hAnsi="宋体"/>
          <w:sz w:val="24"/>
          <w:szCs w:val="24"/>
          <w:u w:val="single"/>
        </w:rPr>
        <w:t xml:space="preserve">行业</w:t>
      </w:r>
      <w:r>
        <w:rPr>
          <w:rFonts w:ascii="宋体" w:hAnsi="宋体"/>
          <w:b/>
          <w:color w:val="000000"/>
          <w:sz w:val="24"/>
          <w:szCs w:val="24"/>
        </w:rPr>
        <w:t xml:space="preserve">。</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2.残疾人福利性单位</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3.监狱企业</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olor w:val="000000"/>
          <w:sz w:val="24"/>
          <w:szCs w:val="24"/>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t xml:space="preserve">4.绿色采购</w:t>
      </w:r>
      <w:r>
        <w:rPr>
          <w:rFonts w:ascii="宋体" w:hAnsi="宋体"/>
          <w:color w:val="000000"/>
          <w:sz w:val="24"/>
          <w:szCs w:val="24"/>
        </w:rPr>
      </w:r>
      <w:r/>
    </w:p>
    <w:p>
      <w:pPr>
        <w:pStyle w:val="851"/>
        <w:ind w:firstLine="480"/>
        <w:spacing w:line="360" w:lineRule="auto"/>
        <w:tabs>
          <w:tab w:val="left" w:pos="567" w:leader="none"/>
        </w:tabs>
        <w:rPr>
          <w:rFonts w:ascii="宋体" w:hAnsi="宋体"/>
          <w:b/>
          <w:color w:val="000000"/>
          <w:sz w:val="24"/>
          <w:szCs w:val="24"/>
        </w:rPr>
      </w:pPr>
      <w:r>
        <w:rPr>
          <w:rFonts w:ascii="宋体" w:hAnsi="宋体"/>
          <w:color w:val="000000"/>
          <w:sz w:val="24"/>
          <w:szCs w:val="24"/>
        </w:rPr>
        <w:t xml:space="preserve">根据《关于调整优化节能产品、环境标志产品政府采购执行机制的通知》（财库〔2019〕9号）等相关文件的规定，</w:t>
      </w:r>
      <w:r>
        <w:rPr>
          <w:rFonts w:ascii="宋体" w:hAnsi="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b/>
          <w:color w:val="000000"/>
          <w:sz w:val="24"/>
          <w:szCs w:val="24"/>
        </w:rPr>
      </w:r>
      <w:r/>
    </w:p>
    <w:p>
      <w:pPr>
        <w:pStyle w:val="856"/>
        <w:ind w:left="451" w:hanging="241"/>
        <w:spacing w:line="360" w:lineRule="auto"/>
        <w:rPr>
          <w:rFonts w:eastAsia="宋体" w:cs="Times New Roman"/>
          <w:color w:val="000000"/>
          <w:szCs w:val="24"/>
          <w:lang w:eastAsia="zh-CN"/>
        </w:rPr>
      </w:pPr>
      <w:r>
        <w:rPr>
          <w:rFonts w:hint="eastAsia"/>
          <w:b/>
          <w:color w:val="000000"/>
          <w:szCs w:val="24"/>
          <w:lang w:eastAsia="zh-CN"/>
        </w:rPr>
        <w:t xml:space="preserve">5</w:t>
      </w:r>
      <w:r>
        <w:rPr>
          <w:rFonts w:hint="eastAsia" w:eastAsia="宋体" w:cs="Times New Roman"/>
          <w:color w:val="000000"/>
          <w:szCs w:val="24"/>
          <w:lang w:eastAsia="zh-CN"/>
        </w:rPr>
        <w:t xml:space="preserve">. </w:t>
      </w:r>
      <w:r>
        <w:rPr>
          <w:rFonts w:hint="eastAsia" w:eastAsia="宋体" w:cs="Times New Roman"/>
          <w:b/>
          <w:bCs/>
          <w:color w:val="000000"/>
          <w:szCs w:val="24"/>
          <w:lang w:eastAsia="zh-CN"/>
        </w:rPr>
        <w:t xml:space="preserve">其他政策要求：</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（1）本项目不专门面向中小企业采购，本项目所属行业为其他未列明</w:t>
      </w:r>
      <w:r>
        <w:rPr>
          <w:rFonts w:eastAsia="宋体" w:cs="Times New Roman"/>
          <w:color w:val="000000"/>
          <w:szCs w:val="24"/>
          <w:lang w:eastAsia="zh-CN"/>
        </w:rPr>
        <w:t xml:space="preserve">行业</w:t>
      </w:r>
      <w:r>
        <w:rPr>
          <w:rFonts w:hint="eastAsia" w:eastAsia="宋体" w:cs="Times New Roman"/>
          <w:color w:val="000000"/>
          <w:szCs w:val="24"/>
          <w:lang w:eastAsia="zh-CN"/>
        </w:rPr>
        <w:t xml:space="preserve">。</w:t>
      </w:r>
      <w:r>
        <w:rPr>
          <w:rFonts w:eastAsia="宋体" w:cs="Times New Roman"/>
          <w:color w:val="000000"/>
          <w:szCs w:val="24"/>
          <w:lang w:eastAsia="zh-CN"/>
        </w:rPr>
      </w:r>
      <w:r/>
    </w:p>
    <w:p>
      <w:pPr>
        <w:pStyle w:val="856"/>
        <w:ind w:left="450" w:hanging="240"/>
        <w:spacing w:line="360" w:lineRule="auto"/>
        <w:rPr>
          <w:rFonts w:eastAsia="宋体" w:cs="Times New Roman"/>
          <w:color w:val="000000"/>
          <w:szCs w:val="24"/>
          <w:lang w:eastAsia="zh-CN"/>
        </w:rPr>
      </w:pPr>
      <w:r>
        <w:rPr>
          <w:rFonts w:hint="eastAsia" w:eastAsia="宋体" w:cs="Times New Roman"/>
          <w:color w:val="000000"/>
          <w:szCs w:val="24"/>
          <w:lang w:eastAsia="zh-CN"/>
        </w:rPr>
        <w:t xml:space="preserve">（2）本项目属于面向中小企业预留采购份额项目，预留份额通过获得采购合同的投标单位将采购项目中的一定比例分包给一家或多家中小企业进行，分包意向协议中预留给中小企业的金额应当不低于总金额的40%，其中预留给小微企业的比例不低于 60%。接受分包的中小企业和分包企业之间不得存在直接控股、管理关系。</w:t>
      </w:r>
      <w:r>
        <w:rPr>
          <w:rFonts w:eastAsia="宋体" w:cs="Times New Roman"/>
          <w:color w:val="000000"/>
          <w:szCs w:val="24"/>
          <w:lang w:eastAsia="zh-CN"/>
        </w:rPr>
      </w:r>
      <w:r/>
    </w:p>
    <w:p>
      <w:pPr>
        <w:pStyle w:val="851"/>
        <w:ind w:firstLine="480"/>
        <w:spacing w:line="360" w:lineRule="auto"/>
        <w:tabs>
          <w:tab w:val="left" w:pos="567" w:leader="none"/>
        </w:tabs>
        <w:rPr>
          <w:rFonts w:ascii="宋体" w:hAnsi="宋体"/>
          <w:color w:val="000000"/>
          <w:sz w:val="24"/>
          <w:szCs w:val="24"/>
        </w:rPr>
      </w:pPr>
      <w:r>
        <w:rPr>
          <w:rFonts w:ascii="宋体" w:hAnsi="宋体"/>
          <w:color w:val="000000"/>
          <w:sz w:val="24"/>
          <w:szCs w:val="24"/>
        </w:rPr>
      </w:r>
      <w:r/>
    </w:p>
    <w:p>
      <w:pPr>
        <w:pStyle w:val="851"/>
        <w:ind w:firstLine="482"/>
        <w:spacing w:line="360" w:lineRule="auto"/>
        <w:tabs>
          <w:tab w:val="left" w:pos="753" w:leader="none"/>
        </w:tabs>
        <w:rPr>
          <w:rFonts w:ascii="宋体" w:hAnsi="宋体" w:cs="宋体"/>
          <w:b/>
          <w:bCs/>
          <w:sz w:val="24"/>
          <w:szCs w:val="24"/>
        </w:rPr>
      </w:pPr>
      <w:r>
        <w:rPr>
          <w:rFonts w:hint="eastAsia" w:ascii="宋体" w:hAnsi="宋体" w:cs="宋体"/>
          <w:b/>
          <w:bCs/>
          <w:sz w:val="24"/>
          <w:szCs w:val="24"/>
        </w:rPr>
        <w:t xml:space="preserve">六、信用记录：</w:t>
      </w:r>
      <w:r>
        <w:rPr>
          <w:rFonts w:ascii="宋体" w:hAnsi="宋体" w:cs="宋体"/>
          <w:b/>
          <w:bCs/>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1、查询截止时点：投标文件递交截止时间。</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2、查询渠道：</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cs="宋体"/>
          <w:sz w:val="24"/>
          <w:szCs w:val="24"/>
        </w:rPr>
        <w:t xml:space="preserve">统一登录苏州市公共资源交易中心“苏州政府采购交易管理平台”系统查询供应商的信用记录。苏州市公共资源交易中心“苏州政府采购交易管理平台”系统实时提供来自中国政府采购网、信用中国、信用江苏、诚信苏州网站的相关主体信用记录</w:t>
      </w:r>
      <w:r>
        <w:rPr>
          <w:rFonts w:hint="eastAsia" w:ascii="宋体" w:hAnsi="宋体"/>
          <w:sz w:val="24"/>
          <w:szCs w:val="24"/>
        </w:rPr>
        <w:t xml:space="preserve">。</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3、查询证据留存方式：</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对存在失信信息的供应商，填写《苏州市级政府采购供应商失信信息确认函》，由失信供应商应签名确认。同时，采购代理机构工作人员应根据失信信息，登录到来源网站页面进行复核并打印，作为证据留存。</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4、信用记录使用规则：</w:t>
      </w:r>
      <w:r>
        <w:rPr>
          <w:rFonts w:ascii="宋体" w:hAnsi="宋体"/>
          <w:sz w:val="24"/>
          <w:szCs w:val="24"/>
        </w:rPr>
      </w:r>
      <w:r/>
    </w:p>
    <w:p>
      <w:pPr>
        <w:pStyle w:val="851"/>
        <w:ind w:firstLine="480"/>
        <w:spacing w:line="360" w:lineRule="auto"/>
        <w:rPr>
          <w:rFonts w:ascii="宋体" w:hAnsi="宋体"/>
          <w:sz w:val="24"/>
          <w:szCs w:val="24"/>
        </w:rPr>
      </w:pPr>
      <w:r>
        <w:rPr>
          <w:rFonts w:hint="eastAsia" w:ascii="宋体" w:hAnsi="宋体"/>
          <w:sz w:val="24"/>
          <w:szCs w:val="24"/>
        </w:rPr>
        <w:t xml:space="preserve">对供应商进行资格性审查时，应根据查询结果对供应商的不良信用记录逐项甄别确认。</w:t>
      </w:r>
      <w:r>
        <w:rPr>
          <w:rFonts w:ascii="宋体" w:hAnsi="宋体"/>
          <w:sz w:val="24"/>
          <w:szCs w:val="24"/>
        </w:rPr>
      </w:r>
      <w:r/>
    </w:p>
    <w:p>
      <w:pPr>
        <w:pStyle w:val="851"/>
        <w:jc w:val="left"/>
        <w:widowControl/>
        <w:rPr>
          <w:rFonts w:ascii="宋体" w:hAnsi="宋体" w:cs="宋体"/>
          <w:b/>
          <w:bCs/>
          <w:sz w:val="32"/>
          <w:szCs w:val="32"/>
        </w:rPr>
      </w:pPr>
      <w:r>
        <w:rPr>
          <w:rFonts w:ascii="宋体" w:hAnsi="宋体" w:cs="宋体"/>
          <w:b/>
          <w:bCs/>
          <w:sz w:val="32"/>
          <w:szCs w:val="32"/>
        </w:rPr>
        <w:br w:type="page" w:clear="all"/>
      </w:r>
      <w:r>
        <w:rPr>
          <w:rFonts w:ascii="宋体" w:hAnsi="宋体" w:cs="宋体"/>
          <w:b/>
          <w:bCs/>
          <w:sz w:val="32"/>
          <w:szCs w:val="32"/>
        </w:rPr>
      </w:r>
      <w:r/>
    </w:p>
    <w:p>
      <w:pPr>
        <w:pStyle w:val="851"/>
        <w:jc w:val="center"/>
        <w:spacing w:line="360" w:lineRule="auto"/>
        <w:rPr>
          <w:b/>
          <w:bCs/>
          <w:sz w:val="28"/>
          <w:szCs w:val="28"/>
        </w:rPr>
      </w:pPr>
      <w:r>
        <w:rPr>
          <w:rFonts w:hint="eastAsia" w:ascii="宋体" w:hAnsi="宋体" w:cs="宋体"/>
          <w:b/>
          <w:bCs/>
          <w:sz w:val="32"/>
          <w:szCs w:val="32"/>
        </w:rPr>
        <w:t xml:space="preserve">第五章  主要合同条款</w:t>
      </w:r>
      <w:r>
        <w:rPr>
          <w:b/>
          <w:bCs/>
          <w:sz w:val="28"/>
          <w:szCs w:val="28"/>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项目名称：</w:t>
      </w:r>
      <w:r>
        <w:rPr>
          <w:rFonts w:ascii="宋体" w:hAnsi="宋体"/>
          <w:b/>
          <w:color w:val="000000"/>
          <w:sz w:val="24"/>
          <w:szCs w:val="24"/>
        </w:rPr>
      </w:r>
      <w:r/>
    </w:p>
    <w:p>
      <w:pPr>
        <w:pStyle w:val="851"/>
        <w:jc w:val="left"/>
        <w:spacing w:line="360" w:lineRule="auto"/>
        <w:rPr>
          <w:rFonts w:ascii="宋体" w:hAnsi="宋体"/>
          <w:b/>
          <w:color w:val="000000"/>
          <w:sz w:val="24"/>
          <w:szCs w:val="24"/>
        </w:rPr>
      </w:pPr>
      <w:r>
        <w:rPr>
          <w:rFonts w:ascii="宋体" w:hAnsi="宋体"/>
          <w:b/>
          <w:color w:val="000000"/>
          <w:sz w:val="24"/>
          <w:szCs w:val="24"/>
        </w:rPr>
        <w:t xml:space="preserve">项目编号：</w:t>
      </w:r>
      <w:r>
        <w:rPr>
          <w:rFonts w:ascii="宋体" w:hAnsi="宋体"/>
          <w:b/>
          <w:color w:val="000000"/>
          <w:sz w:val="24"/>
          <w:szCs w:val="24"/>
        </w:rPr>
      </w:r>
      <w:r/>
    </w:p>
    <w:p>
      <w:pPr>
        <w:pStyle w:val="851"/>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甲方：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乙方：</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地址：</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电话：</w:t>
      </w:r>
      <w:r>
        <w:rPr>
          <w:rFonts w:ascii="宋体" w:hAnsi="宋体"/>
          <w:color w:val="000000"/>
          <w:sz w:val="24"/>
          <w:szCs w:val="24"/>
        </w:rPr>
      </w:r>
      <w:r/>
    </w:p>
    <w:p>
      <w:pPr>
        <w:pStyle w:val="851"/>
        <w:jc w:val="left"/>
        <w:spacing w:line="360" w:lineRule="auto"/>
        <w:rPr>
          <w:rFonts w:ascii="宋体" w:hAnsi="宋体"/>
          <w:color w:val="000000"/>
          <w:sz w:val="24"/>
          <w:szCs w:val="24"/>
        </w:rPr>
      </w:pPr>
      <w:r>
        <w:rPr>
          <w:rFonts w:ascii="宋体" w:hAnsi="宋体"/>
          <w:color w:val="000000"/>
          <w:sz w:val="24"/>
          <w:szCs w:val="24"/>
        </w:rPr>
        <w:t xml:space="preserve">传真：</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一、定义</w:t>
      </w:r>
      <w:r>
        <w:rPr>
          <w:rFonts w:ascii="宋体" w:hAnsi="宋体"/>
          <w:b/>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以下术语有特定的含义：</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服务是指根据合同规定乙方应承担等工作和合同中规定乙方应承担的其它义务。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合同价款是指根据成交单位的响应文件和合同规定，乙方在正确地履行合同义务后甲方应支付给乙方的价款。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甲方是指合同中明确规定的实际购买和接受服务的单位。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乙方是指合同中规定的提供服务的单位。</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二、合同项目及期限</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2.1乙方负责的服务工作。</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合同履行</w:t>
      </w:r>
      <w:r>
        <w:rPr>
          <w:rFonts w:ascii="宋体" w:hAnsi="宋体"/>
          <w:color w:val="000000"/>
          <w:sz w:val="24"/>
          <w:szCs w:val="24"/>
        </w:rPr>
        <w:t xml:space="preserve">期限：</w:t>
      </w:r>
      <w:r>
        <w:rPr>
          <w:rFonts w:hint="eastAsia" w:ascii="宋体" w:hAnsi="宋体"/>
          <w:color w:val="000000"/>
          <w:sz w:val="24"/>
          <w:szCs w:val="24"/>
        </w:rPr>
        <w:t xml:space="preserve">三年</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2.3服务地点：根据甲方指定地点。</w:t>
      </w: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三、合同总价款：</w:t>
      </w:r>
      <w:r>
        <w:rPr>
          <w:rFonts w:ascii="宋体" w:hAnsi="宋体"/>
          <w:color w:val="000000"/>
          <w:sz w:val="24"/>
          <w:szCs w:val="24"/>
        </w:rPr>
        <w:t xml:space="preserve">大写人民币元整，小写</w:t>
      </w:r>
      <w:bookmarkStart w:id="42" w:name="OLE_LINK1"/>
      <w:r/>
      <w:bookmarkEnd w:id="42"/>
      <w:r/>
      <w:bookmarkStart w:id="43" w:name="OLE_LINK2"/>
      <w:r/>
      <w:bookmarkEnd w:id="43"/>
      <w:r/>
      <w:bookmarkStart w:id="44" w:name="OLE_LINK3"/>
      <w:r/>
      <w:bookmarkEnd w:id="44"/>
      <w:r/>
      <w:bookmarkStart w:id="45" w:name="OLE_LINK4"/>
      <w:r/>
      <w:bookmarkEnd w:id="45"/>
      <w:r>
        <w:rPr>
          <w:rFonts w:ascii="宋体" w:hAnsi="宋体"/>
          <w:color w:val="000000"/>
          <w:sz w:val="24"/>
          <w:szCs w:val="24"/>
        </w:rPr>
        <w:t xml:space="preserve">￥。合同总价款包括在承包期内综合</w:t>
      </w:r>
      <w:r>
        <w:rPr>
          <w:rFonts w:hint="eastAsia" w:ascii="宋体" w:hAnsi="宋体"/>
          <w:color w:val="000000"/>
          <w:sz w:val="24"/>
          <w:szCs w:val="24"/>
        </w:rPr>
        <w:t xml:space="preserve">维保</w:t>
      </w:r>
      <w:r>
        <w:rPr>
          <w:rFonts w:ascii="宋体" w:hAnsi="宋体"/>
          <w:color w:val="000000"/>
          <w:sz w:val="24"/>
          <w:szCs w:val="24"/>
        </w:rPr>
        <w:t xml:space="preserve">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系统工程的维护保养与维修工作，需更换设备、零配件、其他材料2000元</w:t>
      </w:r>
      <w:r>
        <w:rPr>
          <w:rFonts w:hint="eastAsia" w:ascii="宋体" w:hAnsi="宋体"/>
          <w:color w:val="000000"/>
          <w:sz w:val="24"/>
          <w:szCs w:val="24"/>
        </w:rPr>
        <w:t xml:space="preserve">（含）</w:t>
      </w:r>
      <w:r>
        <w:rPr>
          <w:rFonts w:ascii="宋体" w:hAnsi="宋体"/>
          <w:color w:val="000000"/>
          <w:sz w:val="24"/>
          <w:szCs w:val="24"/>
        </w:rPr>
        <w:t xml:space="preserve">以下的物品材料由乙方提供，超过2000元的物品材料</w:t>
      </w:r>
      <w:r>
        <w:rPr>
          <w:rFonts w:hint="eastAsia" w:ascii="宋体" w:hAnsi="宋体"/>
          <w:color w:val="000000"/>
          <w:sz w:val="24"/>
          <w:szCs w:val="24"/>
        </w:rPr>
        <w:t xml:space="preserve">按实进行</w:t>
      </w:r>
      <w:r>
        <w:rPr>
          <w:rFonts w:hint="eastAsia" w:ascii="宋体" w:hAnsi="宋体"/>
          <w:color w:val="000000"/>
          <w:sz w:val="24"/>
          <w:szCs w:val="24"/>
        </w:rPr>
        <w:t xml:space="preserve">结算费用不得超过30万元整</w:t>
      </w:r>
      <w:r>
        <w:rPr>
          <w:rFonts w:ascii="宋体" w:hAnsi="宋体"/>
          <w:color w:val="000000"/>
          <w:sz w:val="24"/>
          <w:szCs w:val="24"/>
        </w:rPr>
        <w:t xml:space="preserve">。</w:t>
      </w: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四、付款方式</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1.付款步骤：</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（1）合同签订后7个工作日内，按季度考核并付款，先做后付，以转账方式支付。</w:t>
      </w:r>
      <w:r>
        <w:rPr>
          <w:rFonts w:hint="eastAsia" w:ascii="宋体" w:hAnsi="宋体"/>
          <w:color w:val="000000"/>
          <w:sz w:val="24"/>
          <w:szCs w:val="24"/>
        </w:rPr>
        <w:t xml:space="preserve">第一</w:t>
      </w:r>
      <w:r>
        <w:rPr>
          <w:rFonts w:hint="eastAsia" w:ascii="宋体" w:hAnsi="宋体"/>
          <w:color w:val="000000"/>
          <w:sz w:val="24"/>
          <w:szCs w:val="24"/>
        </w:rPr>
        <w:t xml:space="preserve">个季度</w:t>
      </w:r>
      <w:r>
        <w:rPr>
          <w:rFonts w:hint="eastAsia" w:ascii="宋体" w:hAnsi="宋体"/>
          <w:color w:val="000000"/>
          <w:sz w:val="24"/>
          <w:szCs w:val="24"/>
        </w:rPr>
        <w:t xml:space="preserve">支付至（合同金额</w:t>
      </w:r>
      <w:r>
        <w:rPr>
          <w:rFonts w:ascii="宋体" w:hAnsi="宋体"/>
          <w:color w:val="000000"/>
          <w:sz w:val="24"/>
          <w:szCs w:val="24"/>
        </w:rPr>
        <w:t xml:space="preserve">-</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%，第二</w:t>
      </w:r>
      <w:r>
        <w:rPr>
          <w:rFonts w:hint="eastAsia" w:ascii="宋体" w:hAnsi="宋体"/>
          <w:color w:val="000000"/>
          <w:sz w:val="24"/>
          <w:szCs w:val="24"/>
        </w:rPr>
        <w:t xml:space="preserve">个季度</w:t>
      </w:r>
      <w:r>
        <w:rPr>
          <w:rFonts w:ascii="宋体" w:hAnsi="宋体"/>
          <w:color w:val="000000"/>
          <w:sz w:val="24"/>
          <w:szCs w:val="24"/>
        </w:rPr>
        <w:t xml:space="preserve">支付（合同金额-</w:t>
      </w:r>
      <w:r>
        <w:rPr>
          <w:rFonts w:hint="eastAsia" w:ascii="宋体" w:hAnsi="宋体"/>
          <w:color w:val="000000"/>
          <w:sz w:val="24"/>
          <w:szCs w:val="24"/>
        </w:rPr>
        <w:t xml:space="preserve">大件更换费用30万元</w:t>
      </w:r>
      <w:r>
        <w:rPr>
          <w:rFonts w:ascii="宋体" w:hAnsi="宋体"/>
          <w:color w:val="000000"/>
          <w:sz w:val="24"/>
          <w:szCs w:val="24"/>
        </w:rPr>
        <w:t xml:space="preserve">）的</w:t>
      </w:r>
      <w:r>
        <w:rPr>
          <w:rFonts w:hint="eastAsia" w:ascii="宋体" w:hAnsi="宋体"/>
          <w:color w:val="000000"/>
          <w:sz w:val="24"/>
          <w:szCs w:val="24"/>
        </w:rPr>
        <w:t xml:space="preserve">8</w:t>
      </w:r>
      <w:r>
        <w:rPr>
          <w:rFonts w:ascii="宋体" w:hAnsi="宋体"/>
          <w:color w:val="000000"/>
          <w:sz w:val="24"/>
          <w:szCs w:val="24"/>
        </w:rPr>
        <w:t xml:space="preserve">%，</w:t>
      </w:r>
      <w:r>
        <w:rPr>
          <w:rFonts w:hint="eastAsia" w:ascii="宋体" w:hAnsi="宋体"/>
          <w:color w:val="000000"/>
          <w:sz w:val="24"/>
          <w:szCs w:val="24"/>
        </w:rPr>
        <w:t xml:space="preserve">以此类推</w:t>
      </w:r>
      <w:r>
        <w:rPr>
          <w:rFonts w:ascii="宋体" w:hAnsi="宋体"/>
          <w:color w:val="000000"/>
          <w:sz w:val="24"/>
          <w:szCs w:val="24"/>
        </w:rPr>
        <w:t xml:space="preserve">，</w:t>
      </w:r>
      <w:r>
        <w:rPr>
          <w:rFonts w:hint="eastAsia" w:ascii="宋体" w:hAnsi="宋体"/>
          <w:color w:val="000000"/>
          <w:sz w:val="24"/>
          <w:szCs w:val="24"/>
        </w:rPr>
        <w:t xml:space="preserve">共计十二个季度。</w:t>
      </w:r>
      <w:r>
        <w:rPr>
          <w:rFonts w:ascii="宋体" w:hAnsi="宋体"/>
          <w:color w:val="000000"/>
          <w:sz w:val="24"/>
          <w:szCs w:val="24"/>
        </w:rPr>
        <w:t xml:space="preserve">最后</w:t>
      </w:r>
      <w:r>
        <w:rPr>
          <w:rFonts w:hint="eastAsia" w:ascii="宋体" w:hAnsi="宋体"/>
          <w:color w:val="000000"/>
          <w:sz w:val="24"/>
          <w:szCs w:val="24"/>
        </w:rPr>
        <w:t xml:space="preserve">一个季度余款为合同金额的12%，在</w:t>
      </w:r>
      <w:r>
        <w:rPr>
          <w:rFonts w:ascii="宋体" w:hAnsi="宋体"/>
          <w:color w:val="000000"/>
          <w:sz w:val="24"/>
          <w:szCs w:val="24"/>
        </w:rPr>
        <w:t xml:space="preserve">合同结束后一个月内付清。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每季度支付的维保费=维保季度费-维保考核扣分款季度总款。</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大件更换费用按季度支付，共计十二个季度，支付金额按</w:t>
      </w:r>
      <w:r>
        <w:rPr>
          <w:rFonts w:hint="eastAsia" w:ascii="宋体" w:hAnsi="宋体"/>
          <w:color w:val="000000"/>
          <w:sz w:val="24"/>
          <w:szCs w:val="24"/>
        </w:rPr>
        <w:t xml:space="preserve">实际更换数量*</w:t>
      </w:r>
      <w:r>
        <w:rPr>
          <w:rFonts w:hint="eastAsia" w:ascii="宋体" w:hAnsi="宋体"/>
          <w:color w:val="000000"/>
          <w:sz w:val="24"/>
          <w:szCs w:val="24"/>
        </w:rPr>
        <w:t xml:space="preserve">结算金额（元）</w:t>
      </w:r>
      <w:r>
        <w:rPr>
          <w:rFonts w:hint="eastAsia" w:ascii="宋体" w:hAnsi="宋体"/>
          <w:color w:val="000000"/>
          <w:sz w:val="24"/>
          <w:szCs w:val="24"/>
        </w:rPr>
        <w:t xml:space="preserve">*</w:t>
      </w:r>
      <w:r>
        <w:rPr>
          <w:rFonts w:hint="eastAsia" w:ascii="宋体" w:hAnsi="宋体"/>
          <w:color w:val="000000"/>
          <w:sz w:val="24"/>
          <w:szCs w:val="24"/>
        </w:rPr>
        <w:t xml:space="preserve">统一</w:t>
      </w:r>
      <w:r>
        <w:rPr>
          <w:rFonts w:hint="eastAsia" w:ascii="宋体" w:hAnsi="宋体"/>
          <w:color w:val="000000"/>
          <w:sz w:val="24"/>
          <w:szCs w:val="24"/>
        </w:rPr>
        <w:t xml:space="preserve">折扣率</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rPr>
        <w:t xml:space="preserve">进行结算。</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3.账户信息</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乙方开户名称：</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银行账号：</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五、甲、乙双方的责任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1.1依本合同约定按期支付合同款项；</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1.2依本合同约定及时组织验收；</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1.3协助乙方进行项目的相关协调工作及约定期限内提供相关资料以利于开展项目。</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六、违约责任</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1.1在合同生效后，甲方无故要求解除合同的，应向乙方偿付合同总价款5%的违约金，违约金不足以补偿损失的，乙方有权要求甲方补足。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1.2甲方逾期付款的应按照逾期付款金额的每天万分之四支付逾期付款违约金，总额不超总价款的5%。</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2.乙方的违约责任：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2.1 在合同生效后，乙方无故要求解除合同的，应向甲方偿付合同总价款5%的违约金，违约金不足以补偿损失的，甲方有权要求乙方补足。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3</w:t>
      </w:r>
      <w:r>
        <w:rPr>
          <w:rFonts w:ascii="宋体" w:hAnsi="宋体"/>
          <w:color w:val="000000"/>
          <w:sz w:val="24"/>
          <w:szCs w:val="24"/>
        </w:rPr>
        <w:t xml:space="preserve">乙方应执行国家有关规定（如苏州最低工资标准和其他规定），负责乙方员工的生病、事故、伤残、死亡和劳务纠纷，甲方不承担任何相关责任。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乙方负有对自己员工的安全责任，甲方不承担任何相关责任。</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七、不可抗力</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八、争端的解决 </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2.如果调解不成，双方中的任何一方可向人民法院提起诉讼。诉讼由合同签订地人民法院管辖。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3.诉讼费由败诉方负担。</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4.因合同部分履行引发诉讼的，在诉讼期间，除正在进行诉讼的部分外，本合同的其它部分应继续执行。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九、违约终止合同</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1.1 如果乙方未能在合同规定的限期或甲方同意延长的限期内提供部分或全部服务。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1.2 如果乙方未能履行合同规定的其它任何义务。</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3.如果甲方违约，应承担相应的违约责任。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十、破产终止合同：</w:t>
      </w:r>
      <w:r>
        <w:rPr>
          <w:rFonts w:ascii="宋体" w:hAnsi="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十一、政府采购法对政府采购合同变更终止的规定：</w:t>
      </w:r>
      <w:r>
        <w:rPr>
          <w:rFonts w:ascii="宋体" w:hAnsi="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十二、合同转让和分包：</w:t>
      </w:r>
      <w:r>
        <w:rPr>
          <w:rFonts w:hint="eastAsia" w:ascii="宋体" w:hAnsi="宋体"/>
          <w:color w:val="000000"/>
          <w:sz w:val="24"/>
          <w:szCs w:val="24"/>
        </w:rPr>
        <w:t xml:space="preserve">不接受转包，接受分包</w:t>
      </w:r>
      <w:r>
        <w:rPr>
          <w:rFonts w:ascii="宋体" w:hAnsi="宋体"/>
          <w:color w:val="000000"/>
          <w:sz w:val="24"/>
          <w:szCs w:val="24"/>
        </w:rPr>
        <w:t xml:space="preserve">。</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color w:val="000000"/>
          <w:sz w:val="24"/>
          <w:szCs w:val="24"/>
        </w:rPr>
      </w:pPr>
      <w:r>
        <w:rPr>
          <w:rFonts w:ascii="宋体" w:hAnsi="宋体"/>
          <w:b/>
          <w:color w:val="000000"/>
          <w:sz w:val="24"/>
          <w:szCs w:val="24"/>
        </w:rPr>
        <w:t xml:space="preserve">十三、需要补充的合同条款：</w:t>
      </w:r>
      <w:r>
        <w:rPr>
          <w:rFonts w:ascii="宋体" w:hAnsi="宋体"/>
          <w:color w:val="000000"/>
          <w:sz w:val="24"/>
          <w:szCs w:val="24"/>
        </w:rPr>
        <w:t xml:space="preserve">（根据评审过程中或者商务谈判时商定的条款和条件在订立合同时标明）。</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r>
      <w:r/>
    </w:p>
    <w:p>
      <w:pPr>
        <w:pStyle w:val="851"/>
        <w:ind w:firstLine="482"/>
        <w:spacing w:line="360" w:lineRule="auto"/>
        <w:rPr>
          <w:rFonts w:ascii="宋体" w:hAnsi="宋体"/>
          <w:b/>
          <w:color w:val="000000"/>
          <w:sz w:val="24"/>
          <w:szCs w:val="24"/>
        </w:rPr>
      </w:pPr>
      <w:r>
        <w:rPr>
          <w:rFonts w:ascii="宋体" w:hAnsi="宋体"/>
          <w:b/>
          <w:color w:val="000000"/>
          <w:sz w:val="24"/>
          <w:szCs w:val="24"/>
        </w:rPr>
        <w:t xml:space="preserve">十四、合同生效</w:t>
      </w:r>
      <w:r>
        <w:rPr>
          <w:rFonts w:ascii="宋体" w:hAnsi="宋体"/>
          <w:b/>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1.双方签约人为各自法定代表人或被授权代表。</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3.本合同自甲乙双方签字盖章之日起生效。</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4.本合同壹式</w:t>
      </w:r>
      <w:r>
        <w:rPr>
          <w:rFonts w:ascii="宋体" w:hAnsi="宋体"/>
          <w:b/>
          <w:color w:val="000000"/>
          <w:sz w:val="24"/>
          <w:szCs w:val="24"/>
        </w:rPr>
        <w:t xml:space="preserve">伍</w:t>
      </w:r>
      <w:r>
        <w:rPr>
          <w:rFonts w:ascii="宋体" w:hAnsi="宋体"/>
          <w:color w:val="000000"/>
          <w:sz w:val="24"/>
          <w:szCs w:val="24"/>
        </w:rPr>
        <w:t xml:space="preserve">份，甲乙双方各执</w:t>
      </w:r>
      <w:r>
        <w:rPr>
          <w:rFonts w:ascii="宋体" w:hAnsi="宋体"/>
          <w:b/>
          <w:color w:val="000000"/>
          <w:sz w:val="24"/>
          <w:szCs w:val="24"/>
        </w:rPr>
        <w:t xml:space="preserve">贰</w:t>
      </w:r>
      <w:r>
        <w:rPr>
          <w:rFonts w:ascii="宋体" w:hAnsi="宋体"/>
          <w:color w:val="000000"/>
          <w:sz w:val="24"/>
          <w:szCs w:val="24"/>
        </w:rPr>
        <w:t xml:space="preserve">份，采购代理机构执</w:t>
      </w:r>
      <w:r>
        <w:rPr>
          <w:rFonts w:ascii="宋体" w:hAnsi="宋体"/>
          <w:b/>
          <w:color w:val="000000"/>
          <w:sz w:val="24"/>
          <w:szCs w:val="24"/>
        </w:rPr>
        <w:t xml:space="preserve">壹</w:t>
      </w:r>
      <w:r>
        <w:rPr>
          <w:rFonts w:ascii="宋体" w:hAnsi="宋体"/>
          <w:color w:val="000000"/>
          <w:sz w:val="24"/>
          <w:szCs w:val="24"/>
        </w:rPr>
        <w:t xml:space="preserve">份，各份具有同等法律效力。</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5.本合同应按照中华人民共和国的现行法律进行解释。</w:t>
      </w:r>
      <w:r>
        <w:rPr>
          <w:rFonts w:ascii="宋体" w:hAnsi="宋体"/>
          <w:color w:val="000000"/>
          <w:sz w:val="24"/>
          <w:szCs w:val="24"/>
        </w:rPr>
      </w:r>
      <w:r/>
    </w:p>
    <w:p>
      <w:pPr>
        <w:pStyle w:val="851"/>
        <w:ind w:firstLine="480"/>
        <w:spacing w:line="360" w:lineRule="auto"/>
        <w:rPr>
          <w:rFonts w:ascii="宋体" w:hAnsi="宋体"/>
          <w:color w:val="000000"/>
          <w:sz w:val="24"/>
          <w:szCs w:val="24"/>
        </w:rPr>
      </w:pPr>
      <w:r>
        <w:rPr>
          <w:rFonts w:ascii="宋体" w:hAnsi="宋体"/>
          <w:color w:val="000000"/>
          <w:sz w:val="24"/>
          <w:szCs w:val="24"/>
        </w:rPr>
        <w:t xml:space="preserve">6.合同修改：除甲乙双方签署书面修改、补充协议，并成为本合同不可分割的一部分之外，本合同条件不得有任何变化或修改。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甲方（公章）： 乙方（公章）：</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法定代表人或授权代表（签字或盖章）：法定代表人或授权代表（签字或盖章）： </w:t>
      </w: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签约日期：          签约日期： </w:t>
      </w:r>
      <w:r>
        <w:rPr>
          <w:rFonts w:ascii="宋体" w:hAnsi="宋体"/>
          <w:color w:val="000000"/>
          <w:sz w:val="24"/>
          <w:szCs w:val="24"/>
        </w:rPr>
      </w:r>
      <w:r/>
    </w:p>
    <w:p>
      <w:pPr>
        <w:pStyle w:val="881"/>
        <w:ind w:firstLine="480"/>
        <w:rPr>
          <w:rFonts w:ascii="宋体" w:hAnsi="宋体"/>
          <w:color w:val="000000"/>
          <w:sz w:val="24"/>
          <w:szCs w:val="24"/>
        </w:rPr>
      </w:pPr>
      <w:r>
        <w:rPr>
          <w:rFonts w:ascii="宋体" w:hAnsi="宋体"/>
          <w:color w:val="000000"/>
          <w:sz w:val="24"/>
          <w:szCs w:val="24"/>
        </w:rPr>
      </w:r>
      <w:r/>
    </w:p>
    <w:p>
      <w:pPr>
        <w:pStyle w:val="851"/>
        <w:spacing w:line="360" w:lineRule="auto"/>
        <w:rPr>
          <w:rFonts w:ascii="宋体" w:hAnsi="宋体"/>
          <w:color w:val="000000"/>
          <w:sz w:val="24"/>
          <w:szCs w:val="24"/>
        </w:rPr>
      </w:pPr>
      <w:r>
        <w:rPr>
          <w:rFonts w:ascii="宋体" w:hAnsi="宋体"/>
          <w:color w:val="000000"/>
          <w:sz w:val="24"/>
          <w:szCs w:val="24"/>
        </w:rPr>
        <w:t xml:space="preserve">合同签定地：</w:t>
      </w:r>
      <w:r>
        <w:rPr>
          <w:rFonts w:ascii="宋体" w:hAnsi="宋体"/>
          <w:color w:val="000000"/>
          <w:sz w:val="24"/>
          <w:szCs w:val="24"/>
        </w:rPr>
      </w:r>
      <w:r/>
    </w:p>
    <w:p>
      <w:pPr>
        <w:pStyle w:val="858"/>
        <w:jc w:val="center"/>
        <w:spacing w:line="360" w:lineRule="auto"/>
        <w:rPr>
          <w:b/>
          <w:bCs/>
          <w:szCs w:val="21"/>
        </w:rPr>
      </w:pPr>
      <w:r>
        <w:br w:type="page" w:clear="all"/>
      </w:r>
      <w:r>
        <w:rPr>
          <w:rFonts w:hint="eastAsia" w:ascii="宋体" w:hAnsi="宋体" w:cs="宋体"/>
          <w:b/>
          <w:bCs/>
          <w:sz w:val="32"/>
          <w:szCs w:val="32"/>
        </w:rPr>
        <w:t xml:space="preserve">第六章 评标方法、评分标准</w:t>
      </w:r>
      <w:r>
        <w:rPr>
          <w:b/>
          <w:bCs/>
          <w:szCs w:val="21"/>
        </w:rPr>
      </w:r>
      <w:r/>
    </w:p>
    <w:p>
      <w:pPr>
        <w:pStyle w:val="851"/>
        <w:spacing w:line="360" w:lineRule="auto"/>
        <w:rPr>
          <w:rFonts w:ascii="宋体" w:hAnsi="宋体" w:cs="宋体"/>
          <w:b/>
          <w:sz w:val="24"/>
          <w:szCs w:val="24"/>
        </w:rPr>
      </w:pPr>
      <w:r>
        <w:rPr>
          <w:rFonts w:hint="eastAsia" w:ascii="宋体" w:hAnsi="宋体" w:cs="宋体"/>
          <w:b/>
          <w:sz w:val="24"/>
          <w:szCs w:val="24"/>
        </w:rPr>
        <w:t xml:space="preserve">一、评标办法：</w:t>
      </w:r>
      <w:r>
        <w:rPr>
          <w:rFonts w:ascii="宋体" w:hAnsi="宋体" w:cs="宋体"/>
          <w:b/>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1、评价和比较采用综合评分法，即指投标文件满足招标文件全部实质性要求，且按照评审因素的量化指标评审得分最高的投标人为中标候选人的评标方法。</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2、评标委员会各成员独立对每个进入打分程序的有效投标人的标书技术和资质部分以打分的形式进行评审和评价。</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4、如出现评审得分最高的投标人有两个或两个以上的，以投标报价较低者优先作为该标段中标候选人，如果投标报价也相同的，则由代理机构组织以抽签方式确定中标候选人。</w:t>
      </w:r>
      <w:r>
        <w:rPr>
          <w:rFonts w:ascii="宋体" w:hAnsi="宋体" w:cs="宋体"/>
          <w:bCs/>
          <w:color w:val="000000"/>
          <w:sz w:val="24"/>
          <w:szCs w:val="24"/>
        </w:rPr>
      </w:r>
      <w:r/>
    </w:p>
    <w:p>
      <w:pPr>
        <w:pStyle w:val="851"/>
        <w:ind w:firstLine="480"/>
        <w:spacing w:line="360" w:lineRule="auto"/>
        <w:tabs>
          <w:tab w:val="left" w:pos="851" w:leader="none"/>
        </w:tabs>
        <w:rPr>
          <w:rFonts w:ascii="宋体" w:hAnsi="宋体" w:cs="宋体"/>
          <w:bCs/>
          <w:color w:val="000000"/>
          <w:sz w:val="24"/>
          <w:szCs w:val="24"/>
        </w:rPr>
      </w:pPr>
      <w:r>
        <w:rPr>
          <w:rFonts w:hint="eastAsia" w:ascii="宋体" w:hAnsi="宋体" w:cs="宋体"/>
          <w:bCs/>
          <w:color w:val="000000"/>
          <w:sz w:val="24"/>
          <w:szCs w:val="24"/>
        </w:rPr>
        <w:t xml:space="preserve">5、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给予价格评审加分。残疾人企业和监狱企业的，其价格在评审时给予</w:t>
      </w:r>
      <w:r>
        <w:rPr>
          <w:rFonts w:ascii="宋体" w:hAnsi="宋体" w:cs="宋体"/>
          <w:bCs/>
          <w:color w:val="000000"/>
          <w:sz w:val="24"/>
          <w:szCs w:val="24"/>
        </w:rPr>
        <w:t xml:space="preserve">1</w:t>
      </w:r>
      <w:r>
        <w:rPr>
          <w:rFonts w:hint="eastAsia" w:ascii="宋体" w:hAnsi="宋体" w:cs="宋体"/>
          <w:bCs/>
          <w:color w:val="000000"/>
          <w:sz w:val="24"/>
          <w:szCs w:val="24"/>
        </w:rPr>
        <w:t xml:space="preserve">0%的扣除，用扣除后的价格参与评审，如扣除后的价格为最低价的，则作为评审基准价，如中标价格则以实际投标报价为准。残疾人企业和监狱企业属于小型、微型企业的，不重复享受政策。</w:t>
      </w:r>
      <w:r>
        <w:rPr>
          <w:rFonts w:ascii="宋体" w:hAnsi="宋体" w:cs="宋体"/>
          <w:bCs/>
          <w:color w:val="000000"/>
          <w:sz w:val="24"/>
          <w:szCs w:val="24"/>
        </w:rPr>
      </w:r>
      <w:r/>
    </w:p>
    <w:p>
      <w:pPr>
        <w:pStyle w:val="851"/>
        <w:jc w:val="left"/>
        <w:spacing w:line="360" w:lineRule="auto"/>
        <w:rPr>
          <w:rFonts w:ascii="宋体" w:hAnsi="宋体" w:cs="宋体"/>
          <w:b/>
          <w:sz w:val="24"/>
          <w:szCs w:val="24"/>
        </w:rPr>
      </w:pPr>
      <w:r>
        <w:rPr>
          <w:rFonts w:hint="eastAsia" w:ascii="宋体" w:hAnsi="宋体" w:cs="宋体"/>
          <w:b/>
          <w:sz w:val="24"/>
          <w:szCs w:val="24"/>
        </w:rPr>
        <w:t xml:space="preserve">二、异常低价响应审查</w:t>
      </w:r>
      <w:r>
        <w:rPr>
          <w:rFonts w:ascii="宋体" w:hAnsi="宋体" w:cs="宋体"/>
          <w:b/>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（一）政府采购评审中出现下列情形之一的，评审委员会应当启动异常低价投标（响应）审查程序：</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1.投标（响应）报价低于全部通过符合性审查供应商投标（响应）报价平均值50%的，即投标（响应）报价&lt;全部通过符合性审查供应商投标（响应）报价平均值×50%；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2.投标（响应）报价低于通过符合性审查的次低报价供应商投标（响应）报价50%的，即投标（响应）报价&lt;通过符合性审查的次低报价供应商投标（响应）报价×50%；</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ascii="宋体" w:hAnsi="宋体" w:cs="宋体"/>
          <w:bCs/>
          <w:color w:val="000000"/>
          <w:sz w:val="24"/>
          <w:szCs w:val="24"/>
        </w:rPr>
        <w:t xml:space="preserve">3.投标（响应）报价低于采购项目最高限价45%的，即投标（响应）报价&lt;采购项目最高限价×45%；</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4.评审委员会基于专业判断，认为供应商报价过低，有可能影响产品质量或者不能诚信履约的其他情形。</w:t>
      </w:r>
      <w:r>
        <w:rPr>
          <w:rFonts w:ascii="宋体" w:hAnsi="宋体" w:cs="宋体"/>
          <w:bCs/>
          <w:color w:val="000000"/>
          <w:sz w:val="24"/>
          <w:szCs w:val="24"/>
        </w:rPr>
      </w:r>
      <w:r/>
    </w:p>
    <w:p>
      <w:pPr>
        <w:pStyle w:val="851"/>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Cs/>
          <w:color w:val="000000"/>
          <w:sz w:val="24"/>
          <w:szCs w:val="24"/>
        </w:rPr>
      </w:r>
      <w:r/>
    </w:p>
    <w:p>
      <w:pPr>
        <w:pStyle w:val="851"/>
        <w:ind w:firstLine="420"/>
        <w:jc w:val="left"/>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color w:val="000000"/>
          <w:sz w:val="24"/>
          <w:szCs w:val="24"/>
        </w:rPr>
      </w:r>
      <w:r/>
    </w:p>
    <w:p>
      <w:pPr>
        <w:pStyle w:val="851"/>
        <w:jc w:val="left"/>
        <w:spacing w:line="360" w:lineRule="auto"/>
        <w:rPr>
          <w:rFonts w:ascii="宋体" w:hAnsi="宋体"/>
          <w:bCs/>
          <w:sz w:val="24"/>
          <w:szCs w:val="24"/>
        </w:rPr>
      </w:pPr>
      <w:r>
        <w:rPr>
          <w:rFonts w:hint="eastAsia" w:ascii="宋体" w:hAnsi="宋体"/>
          <w:bCs/>
          <w:sz w:val="24"/>
          <w:szCs w:val="24"/>
        </w:rPr>
        <w:t xml:space="preserve">三、评分标准</w:t>
      </w:r>
      <w:r>
        <w:rPr>
          <w:rFonts w:hint="eastAsia" w:ascii="宋体" w:hAnsi="宋体" w:cs="宋体"/>
          <w:bCs/>
          <w:color w:val="000000"/>
          <w:sz w:val="24"/>
          <w:szCs w:val="24"/>
        </w:rPr>
        <w:t xml:space="preserve">（保留两位小数）：</w:t>
      </w:r>
      <w:r>
        <w:rPr>
          <w:rFonts w:ascii="宋体" w:hAnsi="宋体"/>
          <w:bCs/>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（一）价格分：20分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第一步：投标报价低于或等于财政预算价格的，为有效投标报价。超财政预算的投标报价文件为未实质性响应文件，不参与评审。</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第二步：在所有有效投标报价中满足招标文件要求，且投标价格最低的投标报价为评标基准价，其价格分为20分，其他投标人的价格分按照下列公式计算（计算结果四舍五入保留两位小数）</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投标报价得分＝（评标基准价/投标报价）×20%×100</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（二）技术方案比较（60分）</w:t>
      </w:r>
      <w:r>
        <w:rPr>
          <w:rFonts w:ascii="宋体" w:hAnsi="宋体" w:cs="宋体"/>
          <w:b/>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1、现状理解与分析方案（7分）  评委根据投标单位针对本项目提供的项目现状理解与分析方案进行综合比较打分。方案分析准确透彻的得7分；方案分析较准确透彻的得4分；方案分析一般的得2分；方案差或未提供方案的不得分。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jc w:val="left"/>
        <w:widowControl/>
        <w:rPr>
          <w:rFonts w:ascii="宋体" w:hAnsi="宋体" w:cs="宋体"/>
          <w:bCs/>
          <w:color w:val="000000"/>
          <w:sz w:val="24"/>
          <w:szCs w:val="24"/>
        </w:rPr>
      </w:pPr>
      <w:r>
        <w:rPr>
          <w:rFonts w:ascii="宋体" w:hAnsi="宋体" w:cs="宋体"/>
          <w:bCs/>
          <w:color w:val="000000"/>
          <w:sz w:val="24"/>
          <w:szCs w:val="24"/>
        </w:rPr>
        <w:br w:type="page" w:clear="all"/>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2、项目技术服务方案、重点难点分析、对应解决措施比较（7分）  评委根据响应单位针对本项目提供的项目技术服务方案、重点难点分析、对应解决措施进行综合比较打分。方案科学合理，全面完善、可行性高的得7分；方案较为科学合理、较为全面完善，可行性较高的得4分；方案一般，可行性一般</w:t>
      </w:r>
      <w:r>
        <w:rPr>
          <w:rFonts w:hint="eastAsia" w:hAnsi="宋体" w:cs="宋体"/>
          <w:sz w:val="24"/>
          <w:szCs w:val="24"/>
        </w:rPr>
        <w:t xml:space="preserve">的得2分；方案差或未提供的不得分。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、质量管理方案（7分）  评委根据投标单位针对本项目提供的质量管理方案（包括但不限于：1. 质量管理组织架构；2. 质量管理措施等）进行综合比较打分。方案分析准确透彻的得7分；方案分析较准确透彻的得4分；方案分析一般的得2分；方案差或未提供方案的不得分。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、系统巡检方案（7分）  评委根据投标单位提供的针对本项目提供的系统巡检方案（包括但不限于：1. 定期巡检服务内容；2. 巡检维护台账等）进行综合比较打分。方案分析准确透彻的得7分；方案分析较准确透彻的得4分；方案分析一般的得2分；方案差或未提供方案的不得分。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、常见故障分析与处理流程方案（7分）  评委根据投标单位提供的针对本项目提供的常见故障分析与处理流程方案（包括但不限于：1. 常见故障分析；2. 处理流程图等）进行综合比较打分。方案分析准确透彻的得7分；方案分析较准确透彻的得4分；方案分析一般的得2分；方案差或未提供方案的不得分。</w:t>
      </w:r>
      <w:r>
        <w:rPr>
          <w:rFonts w:hint="eastAsia"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6、应急保障方案（7分）  评委根据投标单位提供的针对本项目提供的应急保障方案（包括但不限于：1. 应急响应目标及响应范围；2. 应急响应服务方法等）进行综合比较打分。方案分析准确透彻的得7分；方案分析较准确透彻的得4分；方案分析一般的得2分；方案差或未提供方案的不得分。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7、服务期间与其他单位、部门的综合协调方案（6分）  评委根据响应单位针对本项目提供的服务期间与其他单位、部门的综合协调方案进行综合比较打分。方案科学合理，全面完善、可行性高的得6分；方案较为科学合理、较为全面完善，可行性较高的得3分；方案一般，可行性一般的得</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分；方案差或未提供的不得分。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8、售后服务方案（6分）  评委根据投标单位提供的针对本项目提供的售后服务方案（包括但不限于：1. 投标单位、用户方、厂商等闭环故障处理服务流程；2. 事故处理完毕后的归档及用户建议等）进行综合比较打分。方案分析准确透彻的得6分；方案分析较准确透彻的得3分；方案分析一般的得1分；方案差或未提供方案的不得分。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9、培训方案（6分）  评委根据投标单位针对本项目提供的培训方案（包括但不限于：1. 培训内容；2. 培训方式；3. 培训场地及人员等）进行综合比较打分。方案分析准确透彻的得6分；方案分析较准确透彻的得3分；方案分析一般的得1分；方案差或未提供方案的不得分。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
          <w:color w:val="000000"/>
          <w:sz w:val="24"/>
          <w:szCs w:val="24"/>
        </w:rPr>
      </w:pPr>
      <w:r>
        <w:rPr>
          <w:rFonts w:hint="eastAsia" w:ascii="宋体" w:hAnsi="宋体" w:cs="宋体"/>
          <w:b/>
          <w:color w:val="000000"/>
          <w:sz w:val="24"/>
          <w:szCs w:val="24"/>
        </w:rPr>
        <w:t xml:space="preserve">（三）投标单位综合实力比较（20分）</w:t>
      </w:r>
      <w:r>
        <w:rPr>
          <w:rFonts w:ascii="宋体" w:hAnsi="宋体" w:cs="宋体"/>
          <w:b/>
          <w:color w:val="000000"/>
          <w:sz w:val="24"/>
          <w:szCs w:val="24"/>
        </w:rPr>
      </w:r>
      <w:r/>
    </w:p>
    <w:p>
      <w:pPr>
        <w:pStyle w:val="851"/>
        <w:ind w:left="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highlight w:val="lightGray"/>
        </w:rPr>
        <w:t xml:space="preserve">1、</w:t>
      </w:r>
      <w:r>
        <w:rPr>
          <w:rFonts w:hint="eastAsia" w:ascii="宋体" w:hAnsi="宋体" w:cs="宋体"/>
          <w:bCs/>
          <w:color w:val="000000"/>
          <w:sz w:val="24"/>
          <w:szCs w:val="24"/>
        </w:rPr>
        <w:t xml:space="preserve">体系认证  </w:t>
      </w:r>
      <w:r>
        <w:rPr>
          <w:rFonts w:hint="eastAsia" w:ascii="宋体" w:hAnsi="宋体" w:cs="宋体"/>
          <w:bCs/>
          <w:color w:val="000000"/>
          <w:sz w:val="24"/>
          <w:szCs w:val="24"/>
        </w:rPr>
        <w:t xml:space="preserve">8</w:t>
      </w:r>
      <w:r>
        <w:rPr>
          <w:rFonts w:hint="eastAsia" w:ascii="宋体" w:hAnsi="宋体" w:cs="宋体"/>
          <w:bCs/>
          <w:color w:val="000000"/>
          <w:sz w:val="24"/>
          <w:szCs w:val="24"/>
        </w:rPr>
        <w:t xml:space="preserve">分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投标单位具有质量管理体系认证证书、业务连续性管理体系认证证书、信息技术服务管理体系认证证书、信息安全管理体系认证证书，每提供一证得2分，最高8分。（响应文件中需提供有效证书复印件，同时提供国家认监委全国认证认可信息公共服务平台网站上查验截图，不提供相关证明不得分）。</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、项目经理情况比较  3分  响应单位</w:t>
      </w:r>
      <w:bookmarkStart w:id="46" w:name="OLE_LINK25"/>
      <w:r>
        <w:rPr>
          <w:rFonts w:hint="eastAsia" w:ascii="宋体" w:hAnsi="宋体" w:cs="宋体"/>
          <w:bCs/>
          <w:color w:val="000000"/>
          <w:sz w:val="24"/>
          <w:szCs w:val="24"/>
        </w:rPr>
        <w:t xml:space="preserve">项目经理</w:t>
      </w:r>
      <w:bookmarkEnd w:id="46"/>
      <w:r>
        <w:rPr>
          <w:rFonts w:hint="eastAsia" w:ascii="宋体" w:hAnsi="宋体" w:cs="宋体"/>
          <w:bCs/>
          <w:color w:val="000000"/>
          <w:sz w:val="24"/>
          <w:szCs w:val="24"/>
        </w:rPr>
        <w:t xml:space="preserve">具有高级工程师职称（电子信息类）、ITSS服务经理、注册信息安全人员（CISP）证书每提供一项得1分，最高得3分。</w:t>
      </w:r>
      <w:bookmarkStart w:id="47" w:name="OLE_LINK21"/>
      <w:r>
        <w:rPr>
          <w:rFonts w:hint="eastAsia" w:ascii="宋体" w:hAnsi="宋体" w:cs="宋体"/>
          <w:bCs/>
          <w:color w:val="000000"/>
          <w:sz w:val="24"/>
          <w:szCs w:val="24"/>
        </w:rPr>
        <w:t xml:space="preserve">响应文件中需提供有效期内的证书复印件及投标单位为其缴纳的最近一期的社保证明。</w:t>
      </w:r>
      <w:bookmarkEnd w:id="47"/>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、技术负责人情况比较  2分  响应单位项目经理具有高级工程师职称（电子信息类）、注册信息安全人员（CISP）证书每提供一项得1分，最高得2分。响应文件中需提供有效期内的证书复印件及投标单位为其缴纳的最近一期的社保证明。</w:t>
      </w:r>
      <w:r>
        <w:rPr>
          <w:rFonts w:ascii="宋体" w:hAnsi="宋体" w:cs="宋体"/>
          <w:bCs/>
          <w:color w:val="000000"/>
          <w:sz w:val="24"/>
          <w:szCs w:val="24"/>
        </w:rPr>
      </w:r>
      <w:r/>
    </w:p>
    <w:p>
      <w:pPr>
        <w:pStyle w:val="851"/>
        <w:ind w:firstLine="420"/>
        <w:jc w:val="left"/>
        <w:spacing w:line="360" w:lineRule="auto"/>
        <w:widowControl/>
        <w:tabs>
          <w:tab w:val="left" w:pos="525" w:leader="none"/>
        </w:tabs>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项目组成员情况比较（4分）投标单位项目组成员（除项目经理、技术负责人）具系统架构设计师、网络工程师、IT服务工程师、信息安</w:t>
      </w:r>
      <w:bookmarkStart w:id="48" w:name="_GoBack"/>
      <w:r/>
      <w:bookmarkEnd w:id="48"/>
      <w:r>
        <w:rPr>
          <w:rFonts w:hint="eastAsia" w:ascii="宋体" w:hAnsi="宋体" w:cs="宋体"/>
          <w:bCs/>
          <w:color w:val="000000"/>
          <w:sz w:val="24"/>
          <w:szCs w:val="24"/>
        </w:rPr>
        <w:t xml:space="preserve">全保障人员认证证书，每提供一类证书得1分，一人多证者最多得1分，本项最高4分。响应文件中需提供有效期内的证书复印件及响应单位为其缴纳的最近一期的社保证明</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51"/>
        <w:ind w:firstLine="420"/>
        <w:jc w:val="left"/>
        <w:spacing w:line="360" w:lineRule="auto"/>
        <w:widowControl/>
        <w:tabs>
          <w:tab w:val="left" w:pos="525" w:leader="none"/>
        </w:tabs>
        <w:rPr>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、类似项目业绩  </w:t>
      </w: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分  投标单位提供2023年3月1日至今承担的类似项目业绩，每提供一份得1分，最高得</w:t>
      </w: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分。（投标文件中需提供合同复印件。未按要求提供或未提供不得分。类似业绩日期认定：以签订合同日期为准。）</w:t>
      </w:r>
      <w:r>
        <w:rPr>
          <w:color w:val="000000"/>
          <w:sz w:val="24"/>
          <w:szCs w:val="24"/>
        </w:rPr>
      </w:r>
      <w:r/>
    </w:p>
    <w:p>
      <w:pPr>
        <w:pStyle w:val="851"/>
        <w:ind w:firstLine="482"/>
        <w:spacing w:line="360" w:lineRule="auto"/>
        <w:rPr>
          <w:rFonts w:ascii="宋体" w:hAnsi="宋体"/>
          <w:b/>
          <w:sz w:val="24"/>
          <w:szCs w:val="24"/>
        </w:rPr>
      </w:pPr>
      <w:r>
        <w:rPr>
          <w:rFonts w:ascii="宋体" w:hAnsi="宋体"/>
          <w:b/>
          <w:sz w:val="24"/>
          <w:szCs w:val="24"/>
        </w:rPr>
      </w:r>
      <w:r/>
    </w:p>
    <w:p>
      <w:pPr>
        <w:pStyle w:val="851"/>
        <w:ind w:firstLine="482"/>
        <w:jc w:val="right"/>
        <w:spacing w:line="360" w:lineRule="auto"/>
        <w:rPr>
          <w:rFonts w:hint="eastAsia" w:ascii="宋体" w:hAnsi="宋体"/>
          <w:b/>
          <w:sz w:val="24"/>
          <w:szCs w:val="24"/>
        </w:rPr>
      </w:pPr>
      <w:r>
        <w:rPr>
          <w:rFonts w:ascii="宋体" w:hAnsi="宋体"/>
          <w:b/>
          <w:sz w:val="24"/>
          <w:szCs w:val="24"/>
        </w:rPr>
        <w:t xml:space="preserve">（全文完）</w:t>
      </w:r>
      <w:r>
        <w:rPr>
          <w:rFonts w:hint="eastAsia" w:ascii="宋体" w:hAnsi="宋体"/>
          <w:b/>
          <w:sz w:val="24"/>
          <w:szCs w:val="24"/>
        </w:rPr>
      </w:r>
      <w:r/>
    </w:p>
    <w:p>
      <w:pPr>
        <w:pStyle w:val="851"/>
        <w:ind w:firstLine="482"/>
        <w:jc w:val="right"/>
        <w:spacing w:line="360" w:lineRule="auto"/>
        <w:rPr>
          <w:rFonts w:hint="eastAsia" w:ascii="宋体" w:hAnsi="宋体"/>
          <w:b/>
          <w:sz w:val="24"/>
          <w:szCs w:val="24"/>
        </w:rPr>
      </w:pPr>
      <w:r>
        <w:rPr>
          <w:rFonts w:hint="eastAsia" w:ascii="宋体" w:hAnsi="宋体"/>
          <w:b/>
          <w:sz w:val="24"/>
          <w:szCs w:val="24"/>
        </w:rPr>
      </w:r>
      <w:r/>
    </w:p>
    <w:sectPr>
      <w:headerReference w:type="default" r:id="rId10"/>
      <w:footerReference w:type="default" r:id="rId15"/>
      <w:footerReference w:type="even" r:id="rId16"/>
      <w:footnotePr/>
      <w:endnotePr/>
      <w:type w:val="nextPage"/>
      <w:pgSz w:w="11906" w:h="16838" w:orient="portrait"/>
      <w:pgMar w:top="567" w:right="1077" w:bottom="56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rPr>
        <w:rStyle w:val="1138"/>
      </w:rPr>
      <w:fldChar w:fldCharType="begin"/>
    </w:r>
    <w:r>
      <w:rPr>
        <w:rStyle w:val="1138"/>
      </w:rPr>
      <w:instrText xml:space="preserve">PAGE  </w:instrText>
    </w:r>
    <w:r>
      <w:rPr>
        <w:rStyle w:val="1138"/>
      </w:rPr>
      <w:fldChar w:fldCharType="end"/>
    </w:r>
    <w:r>
      <w:rPr>
        <w:rStyle w:val="1138"/>
      </w:rPr>
    </w:r>
    <w:r/>
  </w:p>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17805" cy="2501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25019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851"/>
                          </w:pPr>
                          <w:r/>
                          <w:r/>
                        </w:p>
                        <w:p>
                          <w:pPr>
                            <w:pStyle w:val="851"/>
                          </w:pPr>
                          <w:r/>
                          <w:r/>
                        </w:p>
                        <w:p>
                          <w:pPr>
                            <w:pStyle w:val="85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1pt;height:19.7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851"/>
                    </w:pPr>
                    <w:r/>
                    <w:r/>
                  </w:p>
                  <w:p>
                    <w:pPr>
                      <w:pStyle w:val="851"/>
                    </w:pPr>
                    <w:r/>
                    <w:r/>
                  </w:p>
                  <w:p>
                    <w:pPr>
                      <w:pStyle w:val="851"/>
                    </w:pPr>
                    <w:r/>
                    <w:r/>
                  </w:p>
                </w:txbxContent>
              </v:textbox>
            </v:shape>
          </w:pict>
        </mc:Fallback>
      </mc:AlternateContent>
    </w:r>
    <w:r>
      <w:rPr>
        <w:b/>
        <w:sz w:val="24"/>
        <w:szCs w:val="24"/>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p>
    <w:pPr>
      <w:pStyle w:val="1118"/>
    </w:pPr>
    <w:r/>
    <w:r/>
  </w:p>
  <w:p>
    <w:pPr>
      <w:pStyle w:val="1116"/>
      <w:rPr>
        <w:lang w:eastAsia="zh-CN"/>
      </w:rPr>
    </w:pPr>
    <w:r>
      <w:rPr>
        <w:lang w:eastAsia="zh-CN"/>
      </w:rPr>
    </w:r>
    <w:r/>
  </w:p>
  <w:p>
    <w:pPr>
      <w:pStyle w:val="1118"/>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rPr>
        <w:rFonts w:ascii="宋体" w:hAnsi="宋体" w:eastAsia="宋体"/>
        <w:bCs/>
        <w:sz w:val="15"/>
        <w:szCs w:val="15"/>
        <w:highlight w:val="red"/>
        <w:lang w:eastAsia="zh-CN"/>
      </w:rPr>
    </w:pPr>
    <w:r>
      <w:rPr>
        <w:rFonts w:ascii="宋体" w:hAnsi="宋体" w:eastAsia="宋体"/>
        <w:bCs/>
        <w:sz w:val="15"/>
        <w:szCs w:val="15"/>
        <w:highlight w:val="red"/>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51"/>
      </w:pPr>
      <w:rPr>
        <w:rFonts w:hint="eastAsia"/>
        <w:highlight w:val="white"/>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4">
    <w:multiLevelType w:val="hybridMultilevel"/>
    <w:lvl w:ilvl="0">
      <w:start w:val="1"/>
      <w:numFmt w:val="upperLetter"/>
      <w:pStyle w:val="1162"/>
      <w:isLgl w:val="false"/>
      <w:suff w:val="tab"/>
      <w:lvlText w:val="%1、"/>
      <w:lvlJc w:val="left"/>
      <w:pPr>
        <w:pStyle w:val="851"/>
        <w:ind w:left="360" w:hanging="360"/>
        <w:tabs>
          <w:tab w:val="left" w:pos="3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5">
    <w:multiLevelType w:val="hybridMultilevel"/>
    <w:lvl w:ilvl="0">
      <w:start w:val="0"/>
      <w:numFmt w:val="bullet"/>
      <w:isLgl w:val="false"/>
      <w:suff w:val="tab"/>
      <w:lvlText w:val="☆"/>
      <w:lvlJc w:val="left"/>
      <w:pPr>
        <w:pStyle w:val="851"/>
        <w:ind w:left="1332" w:hanging="360"/>
        <w:tabs>
          <w:tab w:val="left" w:pos="1332" w:leader="none"/>
        </w:tabs>
      </w:pPr>
      <w:rPr>
        <w:rFonts w:hint="eastAsia" w:ascii="宋体" w:hAnsi="宋体" w:eastAsia="宋体" w:cs="Times New Roman"/>
      </w:rPr>
    </w:lvl>
    <w:lvl w:ilvl="1">
      <w:start w:val="1"/>
      <w:numFmt w:val="bullet"/>
      <w:isLgl w:val="false"/>
      <w:suff w:val="tab"/>
      <w:lvlText w:val=""/>
      <w:lvlJc w:val="left"/>
      <w:pPr>
        <w:pStyle w:val="851"/>
        <w:ind w:left="1812" w:hanging="420"/>
        <w:tabs>
          <w:tab w:val="left" w:pos="1812" w:leader="none"/>
        </w:tabs>
      </w:pPr>
      <w:rPr>
        <w:rFonts w:ascii="Wingdings" w:hAnsi="Wingdings"/>
      </w:rPr>
    </w:lvl>
    <w:lvl w:ilvl="2">
      <w:start w:val="1"/>
      <w:numFmt w:val="bullet"/>
      <w:isLgl w:val="false"/>
      <w:suff w:val="tab"/>
      <w:lvlText w:val=""/>
      <w:lvlJc w:val="left"/>
      <w:pPr>
        <w:pStyle w:val="851"/>
        <w:ind w:left="2232" w:hanging="420"/>
        <w:tabs>
          <w:tab w:val="left" w:pos="2232" w:leader="none"/>
        </w:tabs>
      </w:pPr>
      <w:rPr>
        <w:rFonts w:ascii="Wingdings" w:hAnsi="Wingdings"/>
      </w:rPr>
    </w:lvl>
    <w:lvl w:ilvl="3">
      <w:start w:val="1"/>
      <w:numFmt w:val="bullet"/>
      <w:isLgl w:val="false"/>
      <w:suff w:val="tab"/>
      <w:lvlText w:val=""/>
      <w:lvlJc w:val="left"/>
      <w:pPr>
        <w:pStyle w:val="851"/>
        <w:ind w:left="2652" w:hanging="420"/>
        <w:tabs>
          <w:tab w:val="left" w:pos="2652" w:leader="none"/>
        </w:tabs>
      </w:pPr>
      <w:rPr>
        <w:rFonts w:ascii="Wingdings" w:hAnsi="Wingdings"/>
      </w:rPr>
    </w:lvl>
    <w:lvl w:ilvl="4">
      <w:start w:val="1"/>
      <w:numFmt w:val="bullet"/>
      <w:isLgl w:val="false"/>
      <w:suff w:val="tab"/>
      <w:lvlText w:val=""/>
      <w:lvlJc w:val="left"/>
      <w:pPr>
        <w:pStyle w:val="851"/>
        <w:ind w:left="3072" w:hanging="420"/>
        <w:tabs>
          <w:tab w:val="left" w:pos="3072" w:leader="none"/>
        </w:tabs>
      </w:pPr>
      <w:rPr>
        <w:rFonts w:ascii="Wingdings" w:hAnsi="Wingdings"/>
      </w:rPr>
    </w:lvl>
    <w:lvl w:ilvl="5">
      <w:start w:val="1"/>
      <w:numFmt w:val="bullet"/>
      <w:isLgl w:val="false"/>
      <w:suff w:val="tab"/>
      <w:lvlText w:val=""/>
      <w:lvlJc w:val="left"/>
      <w:pPr>
        <w:pStyle w:val="851"/>
        <w:ind w:left="3492" w:hanging="420"/>
        <w:tabs>
          <w:tab w:val="left" w:pos="3492" w:leader="none"/>
        </w:tabs>
      </w:pPr>
      <w:rPr>
        <w:rFonts w:ascii="Wingdings" w:hAnsi="Wingdings"/>
      </w:rPr>
    </w:lvl>
    <w:lvl w:ilvl="6">
      <w:start w:val="1"/>
      <w:numFmt w:val="bullet"/>
      <w:isLgl w:val="false"/>
      <w:suff w:val="tab"/>
      <w:lvlText w:val=""/>
      <w:lvlJc w:val="left"/>
      <w:pPr>
        <w:pStyle w:val="851"/>
        <w:ind w:left="3912" w:hanging="420"/>
        <w:tabs>
          <w:tab w:val="left" w:pos="3912" w:leader="none"/>
        </w:tabs>
      </w:pPr>
      <w:rPr>
        <w:rFonts w:ascii="Wingdings" w:hAnsi="Wingdings"/>
      </w:rPr>
    </w:lvl>
    <w:lvl w:ilvl="7">
      <w:start w:val="1"/>
      <w:numFmt w:val="bullet"/>
      <w:isLgl w:val="false"/>
      <w:suff w:val="tab"/>
      <w:lvlText w:val=""/>
      <w:lvlJc w:val="left"/>
      <w:pPr>
        <w:pStyle w:val="851"/>
        <w:ind w:left="4332" w:hanging="420"/>
        <w:tabs>
          <w:tab w:val="left" w:pos="4332" w:leader="none"/>
        </w:tabs>
      </w:pPr>
      <w:rPr>
        <w:rFonts w:ascii="Wingdings" w:hAnsi="Wingdings"/>
      </w:rPr>
    </w:lvl>
    <w:lvl w:ilvl="8">
      <w:start w:val="1"/>
      <w:numFmt w:val="bullet"/>
      <w:isLgl w:val="false"/>
      <w:suff w:val="tab"/>
      <w:lvlText w:val=""/>
      <w:lvlJc w:val="left"/>
      <w:pPr>
        <w:pStyle w:val="851"/>
        <w:ind w:left="4752" w:hanging="420"/>
        <w:tabs>
          <w:tab w:val="left" w:pos="4752" w:leader="none"/>
        </w:tabs>
      </w:pPr>
      <w:rPr>
        <w:rFonts w:ascii="Wingdings" w:hAnsi="Wingdings"/>
      </w:rPr>
    </w:lvl>
  </w:abstractNum>
  <w:abstractNum w:abstractNumId="6">
    <w:multiLevelType w:val="hybridMultilevel"/>
    <w:lvl w:ilvl="0">
      <w:start w:val="1"/>
      <w:numFmt w:val="lowerLetter"/>
      <w:isLgl w:val="false"/>
      <w:suff w:val="tab"/>
      <w:lvlText w:val="%1)"/>
      <w:lvlJc w:val="left"/>
      <w:pPr>
        <w:pStyle w:val="851"/>
        <w:ind w:left="420" w:hanging="420"/>
        <w:tabs>
          <w:tab w:val="left" w:pos="420" w:leader="none"/>
        </w:tabs>
      </w:pPr>
    </w:lvl>
    <w:lvl w:ilvl="1">
      <w:start w:val="1"/>
      <w:numFmt w:val="lowerLetter"/>
      <w:isLgl w:val="false"/>
      <w:suff w:val="tab"/>
      <w:lvlText w:val="%2)"/>
      <w:lvlJc w:val="left"/>
      <w:pPr>
        <w:pStyle w:val="851"/>
        <w:ind w:left="840" w:hanging="420"/>
        <w:tabs>
          <w:tab w:val="left" w:pos="840" w:leader="none"/>
        </w:tabs>
      </w:pPr>
    </w:lvl>
    <w:lvl w:ilvl="2">
      <w:start w:val="1"/>
      <w:numFmt w:val="lowerRoman"/>
      <w:pStyle w:val="1174"/>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7">
    <w:multiLevelType w:val="hybridMultilevel"/>
    <w:lvl w:ilvl="0">
      <w:start w:val="1"/>
      <w:numFmt w:val="upperLetter"/>
      <w:pStyle w:val="1083"/>
      <w:isLgl w:val="false"/>
      <w:suff w:val="tab"/>
      <w:lvlText w:val="%1．"/>
      <w:lvlJc w:val="left"/>
      <w:pPr>
        <w:pStyle w:val="851"/>
        <w:ind w:left="405" w:hanging="405"/>
        <w:tabs>
          <w:tab w:val="left" w:pos="405" w:leader="none"/>
        </w:tabs>
      </w:pPr>
      <w:rPr>
        <w:rFonts w:hint="eastAsia" w:ascii="Times New Roman"/>
      </w:rPr>
    </w:lvl>
    <w:lvl w:ilvl="1">
      <w:start w:val="1"/>
      <w:numFmt w:val="decimal"/>
      <w:isLgl w:val="false"/>
      <w:suff w:val="tab"/>
      <w:lvlText w:val="%2．"/>
      <w:lvlJc w:val="left"/>
      <w:pPr>
        <w:pStyle w:val="851"/>
        <w:ind w:left="780" w:hanging="360"/>
        <w:tabs>
          <w:tab w:val="left" w:pos="780" w:leader="none"/>
        </w:tabs>
      </w:pPr>
      <w:rPr>
        <w:rFonts w:hint="eastAsia"/>
      </w:r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8">
    <w:multiLevelType w:val="hybridMultilevel"/>
    <w:lvl w:ilvl="0">
      <w:start w:val="3"/>
      <w:numFmt w:val="japaneseCounting"/>
      <w:pStyle w:val="1171"/>
      <w:isLgl w:val="false"/>
      <w:suff w:val="tab"/>
      <w:lvlText w:val="第%1章"/>
      <w:lvlJc w:val="left"/>
      <w:pPr>
        <w:pStyle w:val="851"/>
        <w:ind w:left="960" w:hanging="960"/>
        <w:tabs>
          <w:tab w:val="left" w:pos="960" w:leader="none"/>
        </w:tabs>
      </w:pPr>
      <w:rPr>
        <w:rFonts w:hint="eastAsia"/>
      </w:rPr>
    </w:lvl>
    <w:lvl w:ilvl="1">
      <w:start w:val="1"/>
      <w:numFmt w:val="lowerLetter"/>
      <w:isLgl w:val="false"/>
      <w:suff w:val="tab"/>
      <w:lvlText w:val="%2)"/>
      <w:lvlJc w:val="left"/>
      <w:pPr>
        <w:pStyle w:val="851"/>
        <w:ind w:left="840" w:hanging="420"/>
        <w:tabs>
          <w:tab w:val="left" w:pos="840" w:leader="none"/>
        </w:tabs>
      </w:pPr>
    </w:lvl>
    <w:lvl w:ilvl="2">
      <w:start w:val="1"/>
      <w:numFmt w:val="lowerRoman"/>
      <w:isLgl w:val="false"/>
      <w:suff w:val="tab"/>
      <w:lvlText w:val="%3."/>
      <w:lvlJc w:val="right"/>
      <w:pPr>
        <w:pStyle w:val="851"/>
        <w:ind w:left="1260" w:hanging="420"/>
        <w:tabs>
          <w:tab w:val="left" w:pos="1260" w:leader="none"/>
        </w:tabs>
      </w:pPr>
    </w:lvl>
    <w:lvl w:ilvl="3">
      <w:start w:val="1"/>
      <w:numFmt w:val="decimal"/>
      <w:isLgl w:val="false"/>
      <w:suff w:val="tab"/>
      <w:lvlText w:val="%4."/>
      <w:lvlJc w:val="left"/>
      <w:pPr>
        <w:pStyle w:val="851"/>
        <w:ind w:left="1680" w:hanging="420"/>
        <w:tabs>
          <w:tab w:val="left" w:pos="1680" w:leader="none"/>
        </w:tabs>
      </w:pPr>
    </w:lvl>
    <w:lvl w:ilvl="4">
      <w:start w:val="1"/>
      <w:numFmt w:val="lowerLetter"/>
      <w:isLgl w:val="false"/>
      <w:suff w:val="tab"/>
      <w:lvlText w:val="%5)"/>
      <w:lvlJc w:val="left"/>
      <w:pPr>
        <w:pStyle w:val="851"/>
        <w:ind w:left="2100" w:hanging="420"/>
        <w:tabs>
          <w:tab w:val="left" w:pos="2100" w:leader="none"/>
        </w:tabs>
      </w:pPr>
    </w:lvl>
    <w:lvl w:ilvl="5">
      <w:start w:val="1"/>
      <w:numFmt w:val="lowerRoman"/>
      <w:isLgl w:val="false"/>
      <w:suff w:val="tab"/>
      <w:lvlText w:val="%6."/>
      <w:lvlJc w:val="right"/>
      <w:pPr>
        <w:pStyle w:val="851"/>
        <w:ind w:left="2520" w:hanging="420"/>
        <w:tabs>
          <w:tab w:val="left" w:pos="2520" w:leader="none"/>
        </w:tabs>
      </w:pPr>
    </w:lvl>
    <w:lvl w:ilvl="6">
      <w:start w:val="1"/>
      <w:numFmt w:val="decimal"/>
      <w:isLgl w:val="false"/>
      <w:suff w:val="tab"/>
      <w:lvlText w:val="%7."/>
      <w:lvlJc w:val="left"/>
      <w:pPr>
        <w:pStyle w:val="851"/>
        <w:ind w:left="2940" w:hanging="420"/>
        <w:tabs>
          <w:tab w:val="left" w:pos="2940" w:leader="none"/>
        </w:tabs>
      </w:pPr>
    </w:lvl>
    <w:lvl w:ilvl="7">
      <w:start w:val="1"/>
      <w:numFmt w:val="lowerLetter"/>
      <w:isLgl w:val="false"/>
      <w:suff w:val="tab"/>
      <w:lvlText w:val="%8)"/>
      <w:lvlJc w:val="left"/>
      <w:pPr>
        <w:pStyle w:val="851"/>
        <w:ind w:left="3360" w:hanging="420"/>
        <w:tabs>
          <w:tab w:val="left" w:pos="3360" w:leader="none"/>
        </w:tabs>
      </w:pPr>
    </w:lvl>
    <w:lvl w:ilvl="8">
      <w:start w:val="1"/>
      <w:numFmt w:val="lowerRoman"/>
      <w:isLgl w:val="false"/>
      <w:suff w:val="tab"/>
      <w:lvlText w:val="%9."/>
      <w:lvlJc w:val="right"/>
      <w:pPr>
        <w:pStyle w:val="851"/>
        <w:ind w:left="3780" w:hanging="420"/>
        <w:tabs>
          <w:tab w:val="left" w:pos="3780" w:leader="none"/>
        </w:tabs>
      </w:pPr>
    </w:lvl>
  </w:abstractNum>
  <w:abstractNum w:abstractNumId="9">
    <w:multiLevelType w:val="hybridMultilevel"/>
    <w:lvl w:ilvl="0">
      <w:start w:val="2"/>
      <w:numFmt w:val="chineseCounting"/>
      <w:pStyle w:val="1075"/>
      <w:isLgl w:val="false"/>
      <w:suff w:val="nothing"/>
      <w:lvlText w:val="%1、"/>
      <w:lvlJc w:val="left"/>
      <w:pPr>
        <w:pStyle w:val="851"/>
        <w:ind w:left="0" w:firstLine="0"/>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9"/>
    <w:lvlOverride w:ilvl="0">
      <w:startOverride w:val="2"/>
    </w:lvlOverride>
  </w:num>
  <w:num w:numId="2">
    <w:abstractNumId w:val="7"/>
  </w:num>
  <w:num w:numId="3">
    <w:abstractNumId w:val="4"/>
  </w:num>
  <w:num w:numId="4">
    <w:abstractNumId w:val="8"/>
  </w:num>
  <w:num w:numId="5">
    <w:abstractNumId w:val="6"/>
  </w:num>
  <w:num w:numId="6">
    <w:abstractNumId w:val="2"/>
  </w:num>
  <w:num w:numId="7">
    <w:abstractNumId w:val="3"/>
  </w:num>
  <w:num w:numId="8">
    <w:abstractNumId w:val="5"/>
  </w:num>
  <w:num w:numId="9">
    <w:abstractNumId w:val="0"/>
  </w:num>
  <w:num w:numId="1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51"/>
    <w:next w:val="851"/>
    <w:link w:val="889"/>
    <w:uiPriority w:val="9"/>
    <w:qFormat/>
    <w:pPr>
      <w:keepLines/>
      <w:keepNext/>
      <w:spacing w:before="480" w:after="200"/>
      <w:outlineLvl w:val="0"/>
    </w:pPr>
    <w:rPr>
      <w:rFonts w:ascii="Arial" w:hAnsi="Arial" w:eastAsia="Arial" w:cs="Arial"/>
      <w:sz w:val="40"/>
      <w:szCs w:val="40"/>
    </w:rPr>
  </w:style>
  <w:style w:type="paragraph" w:styleId="798">
    <w:name w:val="Heading 2"/>
    <w:basedOn w:val="851"/>
    <w:next w:val="851"/>
    <w:link w:val="890"/>
    <w:uiPriority w:val="9"/>
    <w:unhideWhenUsed/>
    <w:qFormat/>
    <w:pPr>
      <w:keepLines/>
      <w:keepNext/>
      <w:spacing w:before="360" w:after="200"/>
      <w:outlineLvl w:val="1"/>
    </w:pPr>
    <w:rPr>
      <w:rFonts w:ascii="Arial" w:hAnsi="Arial" w:eastAsia="Arial" w:cs="Arial"/>
      <w:sz w:val="34"/>
    </w:rPr>
  </w:style>
  <w:style w:type="paragraph" w:styleId="799">
    <w:name w:val="Heading 3"/>
    <w:basedOn w:val="851"/>
    <w:next w:val="851"/>
    <w:link w:val="89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51"/>
    <w:next w:val="851"/>
    <w:link w:val="89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51"/>
    <w:next w:val="851"/>
    <w:link w:val="89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51"/>
    <w:next w:val="851"/>
    <w:link w:val="89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51"/>
    <w:next w:val="851"/>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51"/>
    <w:next w:val="851"/>
    <w:link w:val="8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51"/>
    <w:next w:val="851"/>
    <w:link w:val="897"/>
    <w:uiPriority w:val="9"/>
    <w:unhideWhenUsed/>
    <w:qFormat/>
    <w:pPr>
      <w:keepLines/>
      <w:keepNext/>
      <w:spacing w:before="320" w:after="200"/>
      <w:outlineLvl w:val="8"/>
    </w:pPr>
    <w:rPr>
      <w:rFonts w:ascii="Arial" w:hAnsi="Arial" w:eastAsia="Arial" w:cs="Arial"/>
      <w:i/>
      <w:iCs/>
      <w:sz w:val="21"/>
      <w:szCs w:val="21"/>
    </w:rPr>
  </w:style>
  <w:style w:type="paragraph" w:styleId="806">
    <w:name w:val="List Paragraph"/>
    <w:basedOn w:val="851"/>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851"/>
    <w:next w:val="851"/>
    <w:link w:val="929"/>
    <w:uiPriority w:val="10"/>
    <w:qFormat/>
    <w:pPr>
      <w:contextualSpacing/>
      <w:spacing w:before="300" w:after="200"/>
    </w:pPr>
    <w:rPr>
      <w:sz w:val="48"/>
      <w:szCs w:val="48"/>
    </w:rPr>
  </w:style>
  <w:style w:type="paragraph" w:styleId="809">
    <w:name w:val="Subtitle"/>
    <w:basedOn w:val="851"/>
    <w:next w:val="851"/>
    <w:link w:val="930"/>
    <w:uiPriority w:val="11"/>
    <w:qFormat/>
    <w:pPr>
      <w:spacing w:before="200" w:after="200"/>
    </w:pPr>
    <w:rPr>
      <w:sz w:val="24"/>
      <w:szCs w:val="24"/>
    </w:rPr>
  </w:style>
  <w:style w:type="paragraph" w:styleId="810">
    <w:name w:val="Quote"/>
    <w:basedOn w:val="851"/>
    <w:next w:val="851"/>
    <w:link w:val="932"/>
    <w:uiPriority w:val="29"/>
    <w:qFormat/>
    <w:pPr>
      <w:ind w:left="720" w:right="720"/>
    </w:pPr>
    <w:rPr>
      <w:i/>
    </w:rPr>
  </w:style>
  <w:style w:type="paragraph" w:styleId="811">
    <w:name w:val="Intense Quote"/>
    <w:basedOn w:val="851"/>
    <w:next w:val="851"/>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2">
    <w:name w:val="Header"/>
    <w:basedOn w:val="851"/>
    <w:link w:val="964"/>
    <w:uiPriority w:val="99"/>
    <w:unhideWhenUsed/>
    <w:pPr>
      <w:spacing w:after="0" w:line="240" w:lineRule="auto"/>
      <w:tabs>
        <w:tab w:val="center" w:pos="7143" w:leader="none"/>
        <w:tab w:val="right" w:pos="14287" w:leader="none"/>
      </w:tabs>
    </w:pPr>
  </w:style>
  <w:style w:type="paragraph" w:styleId="813">
    <w:name w:val="Footer"/>
    <w:basedOn w:val="851"/>
    <w:link w:val="898"/>
    <w:uiPriority w:val="99"/>
    <w:unhideWhenUsed/>
    <w:pPr>
      <w:spacing w:after="0" w:line="240" w:lineRule="auto"/>
      <w:tabs>
        <w:tab w:val="center" w:pos="7143" w:leader="none"/>
        <w:tab w:val="right" w:pos="14287" w:leader="none"/>
      </w:tabs>
    </w:pPr>
  </w:style>
  <w:style w:type="paragraph" w:styleId="814">
    <w:name w:val="Caption"/>
    <w:basedOn w:val="851"/>
    <w:next w:val="851"/>
    <w:uiPriority w:val="35"/>
    <w:semiHidden/>
    <w:unhideWhenUsed/>
    <w:qFormat/>
    <w:pPr>
      <w:spacing w:line="276" w:lineRule="auto"/>
    </w:pPr>
    <w:rPr>
      <w:b/>
      <w:bCs/>
      <w:color w:val="4f81bd" w:themeColor="accent1"/>
      <w:sz w:val="18"/>
      <w:szCs w:val="18"/>
    </w:rPr>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5">
    <w:name w:val="Hyperlink"/>
    <w:uiPriority w:val="99"/>
    <w:unhideWhenUsed/>
    <w:rPr>
      <w:color w:val="0000ff" w:themeColor="hyperlink"/>
      <w:u w:val="single"/>
    </w:rPr>
  </w:style>
  <w:style w:type="paragraph" w:styleId="836">
    <w:name w:val="footnote text"/>
    <w:basedOn w:val="851"/>
    <w:link w:val="938"/>
    <w:uiPriority w:val="99"/>
    <w:semiHidden/>
    <w:unhideWhenUsed/>
    <w:pPr>
      <w:spacing w:after="40" w:line="240" w:lineRule="auto"/>
    </w:pPr>
    <w:rPr>
      <w:sz w:val="18"/>
    </w:rPr>
  </w:style>
  <w:style w:type="character" w:styleId="837">
    <w:name w:val="footnote reference"/>
    <w:uiPriority w:val="99"/>
    <w:unhideWhenUsed/>
    <w:rPr>
      <w:vertAlign w:val="superscript"/>
    </w:rPr>
  </w:style>
  <w:style w:type="paragraph" w:styleId="838">
    <w:name w:val="endnote text"/>
    <w:basedOn w:val="851"/>
    <w:link w:val="939"/>
    <w:uiPriority w:val="99"/>
    <w:semiHidden/>
    <w:unhideWhenUsed/>
    <w:pPr>
      <w:spacing w:after="0" w:line="240" w:lineRule="auto"/>
    </w:pPr>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2"/>
      <w:lang w:val="en-US" w:eastAsia="zh-CN" w:bidi="ar-SA"/>
    </w:rPr>
  </w:style>
  <w:style w:type="character" w:styleId="852">
    <w:name w:val="默认段落字体"/>
    <w:next w:val="852"/>
    <w:link w:val="851"/>
    <w:uiPriority w:val="1"/>
    <w:semiHidden/>
    <w:unhideWhenUsed/>
  </w:style>
  <w:style w:type="table" w:styleId="853">
    <w:name w:val="普通表格"/>
    <w:next w:val="853"/>
    <w:link w:val="851"/>
    <w:uiPriority w:val="99"/>
    <w:semiHidden/>
    <w:unhideWhenUsed/>
    <w:qFormat/>
    <w:tblPr/>
  </w:style>
  <w:style w:type="numbering" w:styleId="854">
    <w:name w:val="无列表"/>
    <w:next w:val="854"/>
    <w:link w:val="851"/>
    <w:uiPriority w:val="99"/>
    <w:semiHidden/>
    <w:unhideWhenUsed/>
  </w:style>
  <w:style w:type="paragraph" w:styleId="855">
    <w:name w:val="目录 7"/>
    <w:basedOn w:val="851"/>
    <w:next w:val="851"/>
    <w:link w:val="851"/>
    <w:uiPriority w:val="39"/>
    <w:unhideWhenUsed/>
    <w:pPr>
      <w:ind w:left="1701"/>
      <w:spacing w:after="57"/>
    </w:pPr>
  </w:style>
  <w:style w:type="paragraph" w:styleId="856">
    <w:name w:val="正文缩进"/>
    <w:basedOn w:val="851"/>
    <w:next w:val="856"/>
    <w:link w:val="851"/>
    <w:qFormat/>
    <w:pPr>
      <w:ind w:firstLine="420"/>
      <w:jc w:val="left"/>
    </w:pPr>
    <w:rPr>
      <w:rFonts w:ascii="宋体" w:hAnsi="宋体" w:eastAsia="楷体_GB2312" w:cs="宋体"/>
      <w:sz w:val="24"/>
      <w:szCs w:val="20"/>
      <w:lang w:eastAsia="en-US"/>
    </w:rPr>
  </w:style>
  <w:style w:type="paragraph" w:styleId="857">
    <w:name w:val="批注文字"/>
    <w:basedOn w:val="851"/>
    <w:next w:val="857"/>
    <w:link w:val="941"/>
    <w:uiPriority w:val="99"/>
    <w:unhideWhenUsed/>
    <w:pPr>
      <w:jc w:val="left"/>
    </w:pPr>
    <w:rPr>
      <w:lang w:val="en-US" w:eastAsia="en-US"/>
    </w:rPr>
  </w:style>
  <w:style w:type="paragraph" w:styleId="858">
    <w:name w:val="正文文本"/>
    <w:basedOn w:val="851"/>
    <w:next w:val="851"/>
    <w:link w:val="851"/>
    <w:uiPriority w:val="99"/>
    <w:unhideWhenUsed/>
    <w:qFormat/>
    <w:pPr>
      <w:spacing w:after="120"/>
    </w:pPr>
    <w:rPr>
      <w:sz w:val="20"/>
      <w:lang w:val="zh-CN"/>
    </w:rPr>
  </w:style>
  <w:style w:type="paragraph" w:styleId="859">
    <w:name w:val="正文文本缩进"/>
    <w:basedOn w:val="851"/>
    <w:next w:val="859"/>
    <w:link w:val="942"/>
    <w:uiPriority w:val="99"/>
    <w:unhideWhenUsed/>
    <w:pPr>
      <w:ind w:left="420"/>
      <w:spacing w:after="120"/>
    </w:pPr>
    <w:rPr>
      <w:lang w:val="en-US" w:eastAsia="en-US"/>
    </w:rPr>
  </w:style>
  <w:style w:type="paragraph" w:styleId="860">
    <w:name w:val="目录 5"/>
    <w:basedOn w:val="851"/>
    <w:next w:val="851"/>
    <w:link w:val="851"/>
    <w:uiPriority w:val="39"/>
    <w:unhideWhenUsed/>
    <w:pPr>
      <w:ind w:left="1134"/>
      <w:spacing w:after="57"/>
    </w:pPr>
  </w:style>
  <w:style w:type="paragraph" w:styleId="861">
    <w:name w:val="目录 3"/>
    <w:basedOn w:val="851"/>
    <w:next w:val="851"/>
    <w:link w:val="851"/>
    <w:uiPriority w:val="39"/>
    <w:unhideWhenUsed/>
    <w:pPr>
      <w:ind w:left="567"/>
      <w:spacing w:after="57"/>
    </w:pPr>
  </w:style>
  <w:style w:type="paragraph" w:styleId="862">
    <w:name w:val="纯文本"/>
    <w:basedOn w:val="851"/>
    <w:next w:val="862"/>
    <w:link w:val="851"/>
    <w:qFormat/>
    <w:rPr>
      <w:rFonts w:hint="eastAsia" w:ascii="宋体" w:hAnsi="Courier New" w:eastAsia="楷体_GB2312" w:cs="宋体"/>
      <w:sz w:val="28"/>
      <w:szCs w:val="20"/>
      <w:lang w:eastAsia="en-US"/>
    </w:rPr>
  </w:style>
  <w:style w:type="paragraph" w:styleId="863">
    <w:name w:val="目录 8"/>
    <w:basedOn w:val="851"/>
    <w:next w:val="851"/>
    <w:link w:val="851"/>
    <w:uiPriority w:val="39"/>
    <w:unhideWhenUsed/>
    <w:pPr>
      <w:ind w:left="1984"/>
      <w:spacing w:after="57"/>
    </w:pPr>
  </w:style>
  <w:style w:type="paragraph" w:styleId="864">
    <w:name w:val="日期"/>
    <w:basedOn w:val="851"/>
    <w:next w:val="851"/>
    <w:link w:val="851"/>
    <w:qFormat/>
    <w:pPr>
      <w:jc w:val="right"/>
      <w:spacing w:line="312" w:lineRule="atLeast"/>
    </w:pPr>
    <w:rPr>
      <w:rFonts w:ascii="Calibri" w:hAnsi="Calibri"/>
      <w:sz w:val="24"/>
      <w:szCs w:val="20"/>
    </w:rPr>
  </w:style>
  <w:style w:type="paragraph" w:styleId="865">
    <w:name w:val="尾注文本"/>
    <w:basedOn w:val="851"/>
    <w:next w:val="865"/>
    <w:link w:val="943"/>
    <w:uiPriority w:val="99"/>
    <w:unhideWhenUsed/>
    <w:rPr>
      <w:sz w:val="20"/>
      <w:szCs w:val="20"/>
      <w:lang w:val="en-US" w:eastAsia="en-US"/>
    </w:rPr>
  </w:style>
  <w:style w:type="paragraph" w:styleId="866">
    <w:name w:val="批注框文本"/>
    <w:basedOn w:val="851"/>
    <w:next w:val="866"/>
    <w:link w:val="944"/>
    <w:uiPriority w:val="99"/>
    <w:unhideWhenUsed/>
    <w:qFormat/>
    <w:rPr>
      <w:sz w:val="18"/>
      <w:szCs w:val="18"/>
      <w:lang w:val="en-US" w:eastAsia="en-US"/>
    </w:rPr>
  </w:style>
  <w:style w:type="paragraph" w:styleId="867">
    <w:name w:val="页脚"/>
    <w:basedOn w:val="851"/>
    <w:next w:val="867"/>
    <w:link w:val="1206"/>
    <w:uiPriority w:val="99"/>
    <w:unhideWhenUsed/>
    <w:pPr>
      <w:jc w:val="left"/>
      <w:tabs>
        <w:tab w:val="center" w:pos="4153" w:leader="none"/>
        <w:tab w:val="right" w:pos="8306" w:leader="none"/>
      </w:tabs>
    </w:pPr>
    <w:rPr>
      <w:sz w:val="18"/>
      <w:szCs w:val="18"/>
    </w:rPr>
  </w:style>
  <w:style w:type="paragraph" w:styleId="868">
    <w:name w:val="页眉"/>
    <w:basedOn w:val="851"/>
    <w:next w:val="868"/>
    <w:link w:val="1205"/>
    <w:uiPriority w:val="99"/>
    <w:unhideWhenUsed/>
    <w:pPr>
      <w:jc w:val="center"/>
      <w:tabs>
        <w:tab w:val="center" w:pos="4153" w:leader="none"/>
        <w:tab w:val="right" w:pos="8306" w:leader="none"/>
      </w:tabs>
      <w:pBdr>
        <w:bottom w:val="single" w:color="000000" w:sz="6" w:space="1"/>
      </w:pBdr>
    </w:pPr>
    <w:rPr>
      <w:sz w:val="18"/>
      <w:szCs w:val="18"/>
    </w:rPr>
  </w:style>
  <w:style w:type="paragraph" w:styleId="869">
    <w:name w:val="目录 1"/>
    <w:basedOn w:val="851"/>
    <w:next w:val="851"/>
    <w:link w:val="851"/>
    <w:uiPriority w:val="39"/>
    <w:unhideWhenUsed/>
    <w:pPr>
      <w:spacing w:after="57"/>
    </w:pPr>
  </w:style>
  <w:style w:type="paragraph" w:styleId="870">
    <w:name w:val="目录 4"/>
    <w:basedOn w:val="851"/>
    <w:next w:val="851"/>
    <w:link w:val="851"/>
    <w:uiPriority w:val="39"/>
    <w:unhideWhenUsed/>
    <w:pPr>
      <w:ind w:left="850"/>
      <w:spacing w:after="57"/>
    </w:pPr>
  </w:style>
  <w:style w:type="paragraph" w:styleId="871">
    <w:name w:val="副标题"/>
    <w:basedOn w:val="851"/>
    <w:next w:val="851"/>
    <w:link w:val="946"/>
    <w:uiPriority w:val="11"/>
    <w:qFormat/>
    <w:pPr>
      <w:spacing w:before="200" w:after="200"/>
    </w:pPr>
    <w:rPr>
      <w:sz w:val="24"/>
      <w:szCs w:val="24"/>
      <w:lang w:val="en-US" w:eastAsia="en-US"/>
    </w:rPr>
  </w:style>
  <w:style w:type="paragraph" w:styleId="872">
    <w:name w:val="脚注文本"/>
    <w:basedOn w:val="851"/>
    <w:next w:val="872"/>
    <w:link w:val="947"/>
    <w:uiPriority w:val="99"/>
    <w:unhideWhenUsed/>
    <w:pPr>
      <w:spacing w:after="40"/>
    </w:pPr>
    <w:rPr>
      <w:sz w:val="18"/>
      <w:szCs w:val="20"/>
      <w:lang w:val="en-US" w:eastAsia="en-US"/>
    </w:rPr>
  </w:style>
  <w:style w:type="paragraph" w:styleId="873">
    <w:name w:val="目录 6"/>
    <w:basedOn w:val="851"/>
    <w:next w:val="851"/>
    <w:link w:val="851"/>
    <w:uiPriority w:val="39"/>
    <w:unhideWhenUsed/>
    <w:pPr>
      <w:ind w:left="1417"/>
      <w:spacing w:after="57"/>
    </w:pPr>
  </w:style>
  <w:style w:type="paragraph" w:styleId="874">
    <w:name w:val="图表目录"/>
    <w:basedOn w:val="851"/>
    <w:next w:val="851"/>
    <w:link w:val="851"/>
    <w:uiPriority w:val="99"/>
    <w:unhideWhenUsed/>
  </w:style>
  <w:style w:type="paragraph" w:styleId="875">
    <w:name w:val="目录 2"/>
    <w:basedOn w:val="851"/>
    <w:next w:val="851"/>
    <w:link w:val="851"/>
    <w:uiPriority w:val="39"/>
    <w:unhideWhenUsed/>
    <w:pPr>
      <w:ind w:left="283"/>
      <w:spacing w:after="57"/>
    </w:pPr>
  </w:style>
  <w:style w:type="paragraph" w:styleId="876">
    <w:name w:val="目录 9"/>
    <w:basedOn w:val="851"/>
    <w:next w:val="851"/>
    <w:link w:val="851"/>
    <w:uiPriority w:val="39"/>
    <w:unhideWhenUsed/>
    <w:pPr>
      <w:ind w:left="2268"/>
      <w:spacing w:after="57"/>
    </w:pPr>
  </w:style>
  <w:style w:type="paragraph" w:styleId="877">
    <w:name w:val="标题"/>
    <w:basedOn w:val="851"/>
    <w:next w:val="851"/>
    <w:link w:val="948"/>
    <w:uiPriority w:val="10"/>
    <w:qFormat/>
    <w:pPr>
      <w:contextualSpacing/>
      <w:spacing w:before="300" w:after="200"/>
    </w:pPr>
    <w:rPr>
      <w:sz w:val="48"/>
      <w:szCs w:val="48"/>
      <w:lang w:val="en-US" w:eastAsia="en-US"/>
    </w:rPr>
  </w:style>
  <w:style w:type="paragraph" w:styleId="878">
    <w:name w:val="批注主题"/>
    <w:basedOn w:val="857"/>
    <w:next w:val="857"/>
    <w:link w:val="949"/>
    <w:uiPriority w:val="99"/>
    <w:unhideWhenUsed/>
    <w:rPr>
      <w:b/>
      <w:bCs/>
    </w:rPr>
  </w:style>
  <w:style w:type="paragraph" w:styleId="879">
    <w:name w:val="正文首行缩进"/>
    <w:basedOn w:val="880"/>
    <w:next w:val="879"/>
    <w:link w:val="851"/>
    <w:pPr>
      <w:ind w:firstLine="420"/>
      <w:jc w:val="both"/>
      <w:spacing w:after="120"/>
    </w:pPr>
    <w:rPr>
      <w:rFonts w:ascii="Times New Roman" w:eastAsia="仿宋_GB2312"/>
      <w:position w:val="0"/>
    </w:rPr>
  </w:style>
  <w:style w:type="paragraph" w:styleId="880">
    <w:name w:val="正文文本1"/>
    <w:basedOn w:val="851"/>
    <w:next w:val="880"/>
    <w:link w:val="950"/>
    <w:pPr>
      <w:jc w:val="center"/>
    </w:pPr>
    <w:rPr>
      <w:rFonts w:ascii="方正大黑简体" w:hAnsi="Tahoma" w:eastAsia="方正大黑简体"/>
      <w:position w:val="6"/>
      <w:sz w:val="30"/>
      <w:szCs w:val="20"/>
      <w:lang w:val="en-US" w:eastAsia="en-US"/>
    </w:rPr>
  </w:style>
  <w:style w:type="paragraph" w:styleId="881">
    <w:name w:val="正文首行缩进 2"/>
    <w:basedOn w:val="859"/>
    <w:next w:val="881"/>
    <w:link w:val="951"/>
    <w:uiPriority w:val="99"/>
    <w:unhideWhenUsed/>
    <w:pPr>
      <w:ind w:firstLine="420"/>
    </w:pPr>
  </w:style>
  <w:style w:type="table" w:styleId="882">
    <w:name w:val="网格型"/>
    <w:next w:val="882"/>
    <w:link w:val="851"/>
    <w:uiPriority w:val="59"/>
    <w:rPr>
      <w:lang w:val="en-US" w:eastAsia="zh-CN" w:bidi="ar-SA"/>
    </w:rPr>
    <w:tblPr/>
  </w:style>
  <w:style w:type="character" w:styleId="883">
    <w:name w:val="尾注引用"/>
    <w:next w:val="883"/>
    <w:link w:val="851"/>
    <w:uiPriority w:val="99"/>
    <w:unhideWhenUsed/>
    <w:rPr>
      <w:vertAlign w:val="superscript"/>
    </w:rPr>
  </w:style>
  <w:style w:type="character" w:styleId="884">
    <w:name w:val="页码"/>
    <w:next w:val="884"/>
    <w:link w:val="851"/>
    <w:uiPriority w:val="99"/>
    <w:qFormat/>
    <w:rPr>
      <w:rFonts w:cs="Times New Roman"/>
    </w:rPr>
  </w:style>
  <w:style w:type="character" w:styleId="885">
    <w:name w:val="强调"/>
    <w:next w:val="885"/>
    <w:link w:val="851"/>
    <w:uiPriority w:val="20"/>
    <w:qFormat/>
    <w:rPr>
      <w:i/>
      <w:iCs/>
    </w:rPr>
  </w:style>
  <w:style w:type="character" w:styleId="886">
    <w:name w:val="超链接"/>
    <w:next w:val="886"/>
    <w:link w:val="851"/>
    <w:uiPriority w:val="99"/>
    <w:unhideWhenUsed/>
    <w:rPr>
      <w:color w:val="0000ff"/>
      <w:u w:val="single"/>
    </w:rPr>
  </w:style>
  <w:style w:type="character" w:styleId="887">
    <w:name w:val="批注引用"/>
    <w:next w:val="887"/>
    <w:link w:val="851"/>
    <w:uiPriority w:val="99"/>
    <w:unhideWhenUsed/>
    <w:rPr>
      <w:sz w:val="21"/>
      <w:szCs w:val="21"/>
    </w:rPr>
  </w:style>
  <w:style w:type="character" w:styleId="888">
    <w:name w:val="脚注引用"/>
    <w:next w:val="888"/>
    <w:link w:val="851"/>
    <w:uiPriority w:val="99"/>
    <w:unhideWhenUsed/>
    <w:rPr>
      <w:vertAlign w:val="superscript"/>
    </w:rPr>
  </w:style>
  <w:style w:type="character" w:styleId="889">
    <w:name w:val="Heading 1 Char"/>
    <w:basedOn w:val="852"/>
    <w:next w:val="889"/>
    <w:link w:val="851"/>
    <w:uiPriority w:val="9"/>
    <w:rPr>
      <w:rFonts w:ascii="Arial" w:hAnsi="Arial" w:eastAsia="Arial" w:cs="Arial"/>
      <w:sz w:val="40"/>
      <w:szCs w:val="40"/>
    </w:rPr>
  </w:style>
  <w:style w:type="character" w:styleId="890">
    <w:name w:val="Heading 2 Char"/>
    <w:basedOn w:val="852"/>
    <w:next w:val="890"/>
    <w:link w:val="851"/>
    <w:uiPriority w:val="9"/>
    <w:rPr>
      <w:rFonts w:ascii="Arial" w:hAnsi="Arial" w:eastAsia="Arial" w:cs="Arial"/>
      <w:sz w:val="34"/>
    </w:rPr>
  </w:style>
  <w:style w:type="character" w:styleId="891">
    <w:name w:val="Heading 3 Char"/>
    <w:basedOn w:val="852"/>
    <w:next w:val="891"/>
    <w:link w:val="851"/>
    <w:uiPriority w:val="9"/>
    <w:rPr>
      <w:rFonts w:ascii="Arial" w:hAnsi="Arial" w:eastAsia="Arial" w:cs="Arial"/>
      <w:sz w:val="30"/>
      <w:szCs w:val="30"/>
    </w:rPr>
  </w:style>
  <w:style w:type="character" w:styleId="892">
    <w:name w:val="Heading 4 Char"/>
    <w:basedOn w:val="852"/>
    <w:next w:val="892"/>
    <w:link w:val="851"/>
    <w:uiPriority w:val="9"/>
    <w:rPr>
      <w:rFonts w:ascii="Arial" w:hAnsi="Arial" w:eastAsia="Arial" w:cs="Arial"/>
      <w:b/>
      <w:bCs/>
      <w:sz w:val="26"/>
      <w:szCs w:val="26"/>
    </w:rPr>
  </w:style>
  <w:style w:type="character" w:styleId="893">
    <w:name w:val="Heading 5 Char"/>
    <w:basedOn w:val="852"/>
    <w:next w:val="893"/>
    <w:link w:val="851"/>
    <w:uiPriority w:val="9"/>
    <w:rPr>
      <w:rFonts w:ascii="Arial" w:hAnsi="Arial" w:eastAsia="Arial" w:cs="Arial"/>
      <w:b/>
      <w:bCs/>
      <w:sz w:val="24"/>
      <w:szCs w:val="24"/>
    </w:rPr>
  </w:style>
  <w:style w:type="character" w:styleId="894">
    <w:name w:val="Heading 6 Char"/>
    <w:basedOn w:val="852"/>
    <w:next w:val="894"/>
    <w:link w:val="851"/>
    <w:uiPriority w:val="9"/>
    <w:rPr>
      <w:rFonts w:ascii="Arial" w:hAnsi="Arial" w:eastAsia="Arial" w:cs="Arial"/>
      <w:b/>
      <w:bCs/>
      <w:sz w:val="22"/>
      <w:szCs w:val="22"/>
    </w:rPr>
  </w:style>
  <w:style w:type="character" w:styleId="895">
    <w:name w:val="Heading 7 Char"/>
    <w:basedOn w:val="852"/>
    <w:next w:val="895"/>
    <w:link w:val="851"/>
    <w:uiPriority w:val="9"/>
    <w:rPr>
      <w:rFonts w:ascii="Arial" w:hAnsi="Arial" w:eastAsia="Arial" w:cs="Arial"/>
      <w:b/>
      <w:bCs/>
      <w:i/>
      <w:iCs/>
      <w:sz w:val="22"/>
      <w:szCs w:val="22"/>
    </w:rPr>
  </w:style>
  <w:style w:type="character" w:styleId="896">
    <w:name w:val="Heading 8 Char"/>
    <w:basedOn w:val="852"/>
    <w:next w:val="896"/>
    <w:link w:val="851"/>
    <w:uiPriority w:val="9"/>
    <w:rPr>
      <w:rFonts w:ascii="Arial" w:hAnsi="Arial" w:eastAsia="Arial" w:cs="Arial"/>
      <w:i/>
      <w:iCs/>
      <w:sz w:val="22"/>
      <w:szCs w:val="22"/>
    </w:rPr>
  </w:style>
  <w:style w:type="character" w:styleId="897">
    <w:name w:val="Heading 9 Char"/>
    <w:basedOn w:val="852"/>
    <w:next w:val="897"/>
    <w:link w:val="851"/>
    <w:uiPriority w:val="9"/>
    <w:rPr>
      <w:rFonts w:ascii="Arial" w:hAnsi="Arial" w:eastAsia="Arial" w:cs="Arial"/>
      <w:i/>
      <w:iCs/>
      <w:sz w:val="21"/>
      <w:szCs w:val="21"/>
    </w:rPr>
  </w:style>
  <w:style w:type="character" w:styleId="898">
    <w:name w:val="Caption Char"/>
    <w:next w:val="898"/>
    <w:link w:val="851"/>
    <w:uiPriority w:val="99"/>
  </w:style>
  <w:style w:type="table" w:styleId="899">
    <w:name w:val="无格式表格 11"/>
    <w:basedOn w:val="853"/>
    <w:next w:val="899"/>
    <w:link w:val="851"/>
    <w:uiPriority w:val="59"/>
    <w:tblPr/>
  </w:style>
  <w:style w:type="table" w:styleId="900">
    <w:name w:val="无格式表格 21"/>
    <w:basedOn w:val="853"/>
    <w:next w:val="900"/>
    <w:link w:val="851"/>
    <w:uiPriority w:val="59"/>
    <w:tblPr/>
  </w:style>
  <w:style w:type="table" w:styleId="901">
    <w:name w:val="无格式表格 31"/>
    <w:basedOn w:val="853"/>
    <w:next w:val="901"/>
    <w:link w:val="851"/>
    <w:uiPriority w:val="99"/>
    <w:tblPr/>
  </w:style>
  <w:style w:type="table" w:styleId="902">
    <w:name w:val="无格式表格 41"/>
    <w:basedOn w:val="853"/>
    <w:next w:val="902"/>
    <w:link w:val="851"/>
    <w:uiPriority w:val="99"/>
    <w:tblPr/>
  </w:style>
  <w:style w:type="table" w:styleId="903">
    <w:name w:val="无格式表格 51"/>
    <w:basedOn w:val="853"/>
    <w:next w:val="903"/>
    <w:link w:val="851"/>
    <w:uiPriority w:val="99"/>
    <w:tblPr/>
  </w:style>
  <w:style w:type="table" w:styleId="904">
    <w:name w:val="网格表 1 浅色1"/>
    <w:basedOn w:val="853"/>
    <w:next w:val="904"/>
    <w:link w:val="851"/>
    <w:uiPriority w:val="99"/>
    <w:tblPr/>
  </w:style>
  <w:style w:type="table" w:styleId="905">
    <w:name w:val="网格表 21"/>
    <w:basedOn w:val="853"/>
    <w:next w:val="905"/>
    <w:link w:val="851"/>
    <w:uiPriority w:val="99"/>
    <w:tblPr/>
  </w:style>
  <w:style w:type="table" w:styleId="906">
    <w:name w:val="网格表 31"/>
    <w:basedOn w:val="853"/>
    <w:next w:val="906"/>
    <w:link w:val="851"/>
    <w:uiPriority w:val="99"/>
    <w:tblPr/>
  </w:style>
  <w:style w:type="table" w:styleId="907">
    <w:name w:val="网格表 41"/>
    <w:basedOn w:val="853"/>
    <w:next w:val="907"/>
    <w:link w:val="851"/>
    <w:uiPriority w:val="59"/>
    <w:tblPr/>
  </w:style>
  <w:style w:type="table" w:styleId="908">
    <w:name w:val="网格表 5 深色1"/>
    <w:basedOn w:val="853"/>
    <w:next w:val="908"/>
    <w:link w:val="851"/>
    <w:uiPriority w:val="99"/>
    <w:tblPr/>
  </w:style>
  <w:style w:type="table" w:styleId="909">
    <w:name w:val="网格表 6 彩色1"/>
    <w:basedOn w:val="853"/>
    <w:next w:val="909"/>
    <w:link w:val="851"/>
    <w:uiPriority w:val="99"/>
    <w:tblPr/>
  </w:style>
  <w:style w:type="table" w:styleId="910">
    <w:name w:val="网格表 7 彩色1"/>
    <w:basedOn w:val="853"/>
    <w:next w:val="910"/>
    <w:link w:val="851"/>
    <w:uiPriority w:val="99"/>
    <w:tblPr/>
  </w:style>
  <w:style w:type="table" w:styleId="911">
    <w:name w:val="清单表 1 浅色1"/>
    <w:basedOn w:val="853"/>
    <w:next w:val="911"/>
    <w:link w:val="851"/>
    <w:uiPriority w:val="99"/>
    <w:tblPr/>
  </w:style>
  <w:style w:type="table" w:styleId="912">
    <w:name w:val="清单表 21"/>
    <w:basedOn w:val="853"/>
    <w:next w:val="912"/>
    <w:link w:val="851"/>
    <w:uiPriority w:val="99"/>
    <w:tblPr/>
  </w:style>
  <w:style w:type="table" w:styleId="913">
    <w:name w:val="清单表 31"/>
    <w:basedOn w:val="853"/>
    <w:next w:val="913"/>
    <w:link w:val="851"/>
    <w:uiPriority w:val="99"/>
    <w:tblPr/>
  </w:style>
  <w:style w:type="table" w:styleId="914">
    <w:name w:val="清单表 41"/>
    <w:basedOn w:val="853"/>
    <w:next w:val="914"/>
    <w:link w:val="851"/>
    <w:uiPriority w:val="99"/>
    <w:tblPr/>
  </w:style>
  <w:style w:type="table" w:styleId="915">
    <w:name w:val="清单表 5 深色1"/>
    <w:basedOn w:val="853"/>
    <w:next w:val="915"/>
    <w:link w:val="851"/>
    <w:uiPriority w:val="99"/>
    <w:tblPr/>
  </w:style>
  <w:style w:type="table" w:styleId="916">
    <w:name w:val="清单表 6 彩色1"/>
    <w:basedOn w:val="853"/>
    <w:next w:val="916"/>
    <w:link w:val="851"/>
    <w:uiPriority w:val="99"/>
    <w:tblPr/>
  </w:style>
  <w:style w:type="table" w:styleId="917">
    <w:name w:val="清单表 7 彩色1"/>
    <w:basedOn w:val="853"/>
    <w:next w:val="917"/>
    <w:link w:val="851"/>
    <w:uiPriority w:val="99"/>
    <w:tblPr/>
  </w:style>
  <w:style w:type="paragraph" w:styleId="918">
    <w:name w:val="标题 11"/>
    <w:basedOn w:val="851"/>
    <w:next w:val="851"/>
    <w:link w:val="952"/>
    <w:uiPriority w:val="9"/>
    <w:qFormat/>
    <w:pPr>
      <w:keepLines/>
      <w:keepNext/>
      <w:spacing w:before="480" w:after="200"/>
      <w:outlineLvl w:val="0"/>
    </w:pPr>
    <w:rPr>
      <w:rFonts w:ascii="Arial" w:hAnsi="Arial" w:eastAsia="Arial"/>
      <w:sz w:val="40"/>
      <w:szCs w:val="40"/>
      <w:lang w:val="en-US" w:eastAsia="en-US"/>
    </w:rPr>
  </w:style>
  <w:style w:type="paragraph" w:styleId="919">
    <w:name w:val="标题 21"/>
    <w:basedOn w:val="851"/>
    <w:next w:val="851"/>
    <w:link w:val="953"/>
    <w:uiPriority w:val="9"/>
    <w:unhideWhenUsed/>
    <w:qFormat/>
    <w:pPr>
      <w:keepLines/>
      <w:keepNext/>
      <w:spacing w:before="360" w:after="200"/>
      <w:outlineLvl w:val="1"/>
    </w:pPr>
    <w:rPr>
      <w:rFonts w:ascii="Arial" w:hAnsi="Arial" w:eastAsia="Arial"/>
      <w:sz w:val="34"/>
      <w:szCs w:val="20"/>
      <w:lang w:val="en-US" w:eastAsia="en-US"/>
    </w:rPr>
  </w:style>
  <w:style w:type="paragraph" w:styleId="920">
    <w:name w:val="标题 31"/>
    <w:basedOn w:val="851"/>
    <w:next w:val="851"/>
    <w:link w:val="954"/>
    <w:uiPriority w:val="9"/>
    <w:unhideWhenUsed/>
    <w:qFormat/>
    <w:pPr>
      <w:keepLines/>
      <w:keepNext/>
      <w:spacing w:before="320" w:after="200"/>
      <w:outlineLvl w:val="2"/>
    </w:pPr>
    <w:rPr>
      <w:rFonts w:ascii="Arial" w:hAnsi="Arial" w:eastAsia="Arial"/>
      <w:sz w:val="30"/>
      <w:szCs w:val="30"/>
      <w:lang w:val="en-US" w:eastAsia="en-US"/>
    </w:rPr>
  </w:style>
  <w:style w:type="paragraph" w:styleId="921">
    <w:name w:val="标题 41"/>
    <w:basedOn w:val="851"/>
    <w:next w:val="851"/>
    <w:link w:val="955"/>
    <w:uiPriority w:val="9"/>
    <w:unhideWhenUsed/>
    <w:qFormat/>
    <w:pPr>
      <w:keepLines/>
      <w:keepNext/>
      <w:spacing w:before="320" w:after="200"/>
      <w:outlineLvl w:val="3"/>
    </w:pPr>
    <w:rPr>
      <w:rFonts w:ascii="Arial" w:hAnsi="Arial" w:eastAsia="Arial"/>
      <w:b/>
      <w:bCs/>
      <w:sz w:val="26"/>
      <w:szCs w:val="26"/>
      <w:lang w:val="en-US" w:eastAsia="en-US"/>
    </w:rPr>
  </w:style>
  <w:style w:type="paragraph" w:styleId="922">
    <w:name w:val="标题 51"/>
    <w:basedOn w:val="851"/>
    <w:next w:val="851"/>
    <w:link w:val="956"/>
    <w:uiPriority w:val="9"/>
    <w:unhideWhenUsed/>
    <w:qFormat/>
    <w:pPr>
      <w:keepLines/>
      <w:keepNext/>
      <w:spacing w:before="320" w:after="200"/>
      <w:outlineLvl w:val="4"/>
    </w:pPr>
    <w:rPr>
      <w:rFonts w:ascii="Arial" w:hAnsi="Arial" w:eastAsia="Arial"/>
      <w:b/>
      <w:bCs/>
      <w:sz w:val="24"/>
      <w:szCs w:val="24"/>
      <w:lang w:val="en-US" w:eastAsia="en-US"/>
    </w:rPr>
  </w:style>
  <w:style w:type="paragraph" w:styleId="923">
    <w:name w:val="标题 61"/>
    <w:basedOn w:val="851"/>
    <w:next w:val="851"/>
    <w:link w:val="957"/>
    <w:uiPriority w:val="9"/>
    <w:unhideWhenUsed/>
    <w:qFormat/>
    <w:pPr>
      <w:keepLines/>
      <w:keepNext/>
      <w:spacing w:before="320" w:after="200"/>
      <w:outlineLvl w:val="5"/>
    </w:pPr>
    <w:rPr>
      <w:rFonts w:ascii="Arial" w:hAnsi="Arial" w:eastAsia="Arial"/>
      <w:b/>
      <w:bCs/>
      <w:sz w:val="22"/>
      <w:lang w:val="en-US" w:eastAsia="en-US"/>
    </w:rPr>
  </w:style>
  <w:style w:type="paragraph" w:styleId="924">
    <w:name w:val="标题 71"/>
    <w:basedOn w:val="851"/>
    <w:next w:val="851"/>
    <w:link w:val="958"/>
    <w:uiPriority w:val="9"/>
    <w:unhideWhenUsed/>
    <w:qFormat/>
    <w:pPr>
      <w:keepLines/>
      <w:keepNext/>
      <w:spacing w:before="320" w:after="200"/>
      <w:outlineLvl w:val="6"/>
    </w:pPr>
    <w:rPr>
      <w:rFonts w:ascii="Arial" w:hAnsi="Arial" w:eastAsia="Arial"/>
      <w:b/>
      <w:bCs/>
      <w:i/>
      <w:iCs/>
      <w:sz w:val="22"/>
      <w:lang w:val="en-US" w:eastAsia="en-US"/>
    </w:rPr>
  </w:style>
  <w:style w:type="paragraph" w:styleId="925">
    <w:name w:val="标题 81"/>
    <w:basedOn w:val="851"/>
    <w:next w:val="851"/>
    <w:link w:val="959"/>
    <w:uiPriority w:val="9"/>
    <w:unhideWhenUsed/>
    <w:qFormat/>
    <w:pPr>
      <w:keepLines/>
      <w:keepNext/>
      <w:spacing w:before="320" w:after="200"/>
      <w:outlineLvl w:val="7"/>
    </w:pPr>
    <w:rPr>
      <w:rFonts w:ascii="Arial" w:hAnsi="Arial" w:eastAsia="Arial"/>
      <w:i/>
      <w:iCs/>
      <w:sz w:val="22"/>
      <w:lang w:val="en-US" w:eastAsia="en-US"/>
    </w:rPr>
  </w:style>
  <w:style w:type="paragraph" w:styleId="926">
    <w:name w:val="标题 91"/>
    <w:basedOn w:val="851"/>
    <w:next w:val="851"/>
    <w:link w:val="960"/>
    <w:uiPriority w:val="9"/>
    <w:unhideWhenUsed/>
    <w:qFormat/>
    <w:pPr>
      <w:keepLines/>
      <w:keepNext/>
      <w:spacing w:before="320" w:after="200"/>
      <w:outlineLvl w:val="8"/>
    </w:pPr>
    <w:rPr>
      <w:rFonts w:ascii="Arial" w:hAnsi="Arial" w:eastAsia="Arial"/>
      <w:i/>
      <w:iCs/>
      <w:szCs w:val="21"/>
      <w:lang w:val="en-US" w:eastAsia="en-US"/>
    </w:rPr>
  </w:style>
  <w:style w:type="paragraph" w:styleId="927">
    <w:name w:val="列出段落"/>
    <w:basedOn w:val="851"/>
    <w:next w:val="927"/>
    <w:link w:val="1187"/>
    <w:uiPriority w:val="34"/>
    <w:qFormat/>
    <w:pPr>
      <w:ind w:firstLine="420"/>
    </w:pPr>
    <w:rPr>
      <w:rFonts w:ascii="宋体" w:hAnsi="宋体"/>
      <w:sz w:val="24"/>
      <w:szCs w:val="20"/>
      <w:lang w:val="en-US" w:eastAsia="en-US"/>
    </w:rPr>
  </w:style>
  <w:style w:type="paragraph" w:styleId="928">
    <w:name w:val="无间隔"/>
    <w:next w:val="928"/>
    <w:link w:val="851"/>
    <w:uiPriority w:val="1"/>
    <w:qFormat/>
    <w:rPr>
      <w:lang w:val="en-US" w:eastAsia="zh-CN" w:bidi="ar-SA"/>
    </w:rPr>
  </w:style>
  <w:style w:type="character" w:styleId="929">
    <w:name w:val="Title Char"/>
    <w:next w:val="929"/>
    <w:link w:val="851"/>
    <w:uiPriority w:val="10"/>
    <w:rPr>
      <w:sz w:val="48"/>
      <w:szCs w:val="48"/>
    </w:rPr>
  </w:style>
  <w:style w:type="character" w:styleId="930">
    <w:name w:val="Subtitle Char"/>
    <w:next w:val="930"/>
    <w:link w:val="851"/>
    <w:uiPriority w:val="11"/>
    <w:rPr>
      <w:sz w:val="24"/>
      <w:szCs w:val="24"/>
    </w:rPr>
  </w:style>
  <w:style w:type="paragraph" w:styleId="931">
    <w:name w:val="引用"/>
    <w:basedOn w:val="851"/>
    <w:next w:val="851"/>
    <w:link w:val="961"/>
    <w:uiPriority w:val="29"/>
    <w:qFormat/>
    <w:pPr>
      <w:ind w:left="720" w:right="720"/>
    </w:pPr>
    <w:rPr>
      <w:i/>
      <w:sz w:val="20"/>
      <w:szCs w:val="20"/>
      <w:lang w:val="en-US" w:eastAsia="en-US"/>
    </w:rPr>
  </w:style>
  <w:style w:type="character" w:styleId="932">
    <w:name w:val="Quote Char"/>
    <w:next w:val="932"/>
    <w:link w:val="851"/>
    <w:uiPriority w:val="29"/>
    <w:rPr>
      <w:i/>
    </w:rPr>
  </w:style>
  <w:style w:type="paragraph" w:styleId="933">
    <w:name w:val="明显引用"/>
    <w:basedOn w:val="851"/>
    <w:next w:val="851"/>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34">
    <w:name w:val="Intense Quote Char"/>
    <w:next w:val="934"/>
    <w:link w:val="851"/>
    <w:uiPriority w:val="30"/>
    <w:rPr>
      <w:i/>
    </w:rPr>
  </w:style>
  <w:style w:type="paragraph" w:styleId="935">
    <w:name w:val="页眉1"/>
    <w:basedOn w:val="851"/>
    <w:next w:val="935"/>
    <w:link w:val="945"/>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paragraph" w:styleId="936">
    <w:name w:val="页脚1"/>
    <w:basedOn w:val="851"/>
    <w:next w:val="936"/>
    <w:link w:val="967"/>
    <w:uiPriority w:val="99"/>
    <w:qFormat/>
    <w:pPr>
      <w:jc w:val="left"/>
      <w:tabs>
        <w:tab w:val="center" w:pos="4153" w:leader="none"/>
        <w:tab w:val="right" w:pos="8306" w:leader="none"/>
      </w:tabs>
    </w:pPr>
    <w:rPr>
      <w:sz w:val="18"/>
      <w:szCs w:val="18"/>
    </w:rPr>
  </w:style>
  <w:style w:type="paragraph" w:styleId="937">
    <w:name w:val="题注1"/>
    <w:basedOn w:val="851"/>
    <w:next w:val="851"/>
    <w:link w:val="851"/>
    <w:uiPriority w:val="35"/>
    <w:semiHidden/>
    <w:unhideWhenUsed/>
    <w:qFormat/>
    <w:pPr>
      <w:spacing w:line="276" w:lineRule="auto"/>
    </w:pPr>
    <w:rPr>
      <w:b/>
      <w:bCs/>
      <w:color w:val="4f81bd"/>
      <w:sz w:val="18"/>
      <w:szCs w:val="18"/>
    </w:rPr>
  </w:style>
  <w:style w:type="character" w:styleId="938">
    <w:name w:val="Footnote Text Char"/>
    <w:next w:val="938"/>
    <w:link w:val="851"/>
    <w:uiPriority w:val="99"/>
    <w:rPr>
      <w:sz w:val="18"/>
    </w:rPr>
  </w:style>
  <w:style w:type="character" w:styleId="939">
    <w:name w:val="Endnote Text Char"/>
    <w:next w:val="939"/>
    <w:link w:val="851"/>
    <w:uiPriority w:val="99"/>
    <w:rPr>
      <w:sz w:val="20"/>
    </w:rPr>
  </w:style>
  <w:style w:type="paragraph" w:styleId="940">
    <w:name w:val="TOC 标题1"/>
    <w:next w:val="940"/>
    <w:link w:val="851"/>
    <w:uiPriority w:val="39"/>
    <w:qFormat/>
    <w:rPr>
      <w:lang w:val="en-US" w:eastAsia="zh-CN" w:bidi="ar-SA"/>
    </w:rPr>
  </w:style>
  <w:style w:type="character" w:styleId="941">
    <w:name w:val="批注文字 Char"/>
    <w:next w:val="941"/>
    <w:link w:val="857"/>
    <w:uiPriority w:val="99"/>
    <w:semiHidden/>
    <w:rPr>
      <w:sz w:val="21"/>
      <w:szCs w:val="22"/>
    </w:rPr>
  </w:style>
  <w:style w:type="character" w:styleId="942">
    <w:name w:val="正文文本缩进 Char"/>
    <w:next w:val="942"/>
    <w:link w:val="859"/>
    <w:uiPriority w:val="99"/>
    <w:semiHidden/>
    <w:rPr>
      <w:sz w:val="21"/>
      <w:szCs w:val="22"/>
    </w:rPr>
  </w:style>
  <w:style w:type="character" w:styleId="943">
    <w:name w:val="尾注文本 Char"/>
    <w:next w:val="943"/>
    <w:link w:val="865"/>
    <w:uiPriority w:val="99"/>
    <w:rPr>
      <w:sz w:val="20"/>
    </w:rPr>
  </w:style>
  <w:style w:type="character" w:styleId="944">
    <w:name w:val="批注框文本 Char"/>
    <w:next w:val="944"/>
    <w:link w:val="866"/>
    <w:uiPriority w:val="99"/>
    <w:semiHidden/>
    <w:rPr>
      <w:sz w:val="18"/>
      <w:szCs w:val="18"/>
    </w:rPr>
  </w:style>
  <w:style w:type="character" w:styleId="945">
    <w:name w:val="页眉 字符1"/>
    <w:next w:val="945"/>
    <w:link w:val="935"/>
    <w:uiPriority w:val="99"/>
    <w:rPr>
      <w:sz w:val="18"/>
      <w:szCs w:val="18"/>
    </w:rPr>
  </w:style>
  <w:style w:type="character" w:styleId="946">
    <w:name w:val="副标题 Char"/>
    <w:next w:val="946"/>
    <w:link w:val="871"/>
    <w:uiPriority w:val="11"/>
    <w:rPr>
      <w:sz w:val="24"/>
      <w:szCs w:val="24"/>
    </w:rPr>
  </w:style>
  <w:style w:type="character" w:styleId="947">
    <w:name w:val="脚注文本 Char"/>
    <w:next w:val="947"/>
    <w:link w:val="872"/>
    <w:uiPriority w:val="99"/>
    <w:rPr>
      <w:sz w:val="18"/>
    </w:rPr>
  </w:style>
  <w:style w:type="character" w:styleId="948">
    <w:name w:val="标题 Char"/>
    <w:next w:val="948"/>
    <w:link w:val="877"/>
    <w:uiPriority w:val="10"/>
    <w:qFormat/>
    <w:rPr>
      <w:sz w:val="48"/>
      <w:szCs w:val="48"/>
    </w:rPr>
  </w:style>
  <w:style w:type="character" w:styleId="949">
    <w:name w:val="批注主题 Char"/>
    <w:next w:val="949"/>
    <w:link w:val="878"/>
    <w:uiPriority w:val="99"/>
    <w:semiHidden/>
    <w:rPr>
      <w:b/>
      <w:bCs/>
      <w:sz w:val="21"/>
      <w:szCs w:val="22"/>
    </w:rPr>
  </w:style>
  <w:style w:type="character" w:styleId="950">
    <w:name w:val="正文文本 字符"/>
    <w:next w:val="950"/>
    <w:link w:val="880"/>
    <w:rPr>
      <w:rFonts w:ascii="方正大黑简体" w:hAnsi="Tahoma" w:eastAsia="方正大黑简体" w:cs="Times New Roman"/>
      <w:position w:val="6"/>
      <w:sz w:val="30"/>
      <w:szCs w:val="20"/>
      <w:lang w:eastAsia="en-US"/>
    </w:rPr>
  </w:style>
  <w:style w:type="character" w:styleId="951">
    <w:name w:val="正文首行缩进 2 Char"/>
    <w:next w:val="951"/>
    <w:link w:val="881"/>
    <w:uiPriority w:val="99"/>
    <w:semiHidden/>
  </w:style>
  <w:style w:type="character" w:styleId="952">
    <w:name w:val="标题 1 字符1"/>
    <w:next w:val="952"/>
    <w:link w:val="918"/>
    <w:uiPriority w:val="9"/>
    <w:rPr>
      <w:rFonts w:ascii="Arial" w:hAnsi="Arial" w:eastAsia="Arial" w:cs="Arial"/>
      <w:sz w:val="40"/>
      <w:szCs w:val="40"/>
    </w:rPr>
  </w:style>
  <w:style w:type="character" w:styleId="953">
    <w:name w:val="标题 2 字符1"/>
    <w:next w:val="953"/>
    <w:link w:val="919"/>
    <w:uiPriority w:val="9"/>
    <w:rPr>
      <w:rFonts w:ascii="Arial" w:hAnsi="Arial" w:eastAsia="Arial" w:cs="Arial"/>
      <w:sz w:val="34"/>
    </w:rPr>
  </w:style>
  <w:style w:type="character" w:styleId="954">
    <w:name w:val="标题 3 字符1"/>
    <w:next w:val="954"/>
    <w:link w:val="920"/>
    <w:uiPriority w:val="9"/>
    <w:rPr>
      <w:rFonts w:ascii="Arial" w:hAnsi="Arial" w:eastAsia="Arial" w:cs="Arial"/>
      <w:sz w:val="30"/>
      <w:szCs w:val="30"/>
    </w:rPr>
  </w:style>
  <w:style w:type="character" w:styleId="955">
    <w:name w:val="标题 4 字符1"/>
    <w:next w:val="955"/>
    <w:link w:val="921"/>
    <w:uiPriority w:val="9"/>
    <w:rPr>
      <w:rFonts w:ascii="Arial" w:hAnsi="Arial" w:eastAsia="Arial" w:cs="Arial"/>
      <w:b/>
      <w:bCs/>
      <w:sz w:val="26"/>
      <w:szCs w:val="26"/>
    </w:rPr>
  </w:style>
  <w:style w:type="character" w:styleId="956">
    <w:name w:val="标题 5 字符1"/>
    <w:next w:val="956"/>
    <w:link w:val="922"/>
    <w:uiPriority w:val="9"/>
    <w:rPr>
      <w:rFonts w:ascii="Arial" w:hAnsi="Arial" w:eastAsia="Arial" w:cs="Arial"/>
      <w:b/>
      <w:bCs/>
      <w:sz w:val="24"/>
      <w:szCs w:val="24"/>
    </w:rPr>
  </w:style>
  <w:style w:type="character" w:styleId="957">
    <w:name w:val="标题 6 字符1"/>
    <w:next w:val="957"/>
    <w:link w:val="923"/>
    <w:uiPriority w:val="9"/>
    <w:rPr>
      <w:rFonts w:ascii="Arial" w:hAnsi="Arial" w:eastAsia="Arial" w:cs="Arial"/>
      <w:b/>
      <w:bCs/>
      <w:sz w:val="22"/>
      <w:szCs w:val="22"/>
    </w:rPr>
  </w:style>
  <w:style w:type="character" w:styleId="958">
    <w:name w:val="标题 7 字符1"/>
    <w:next w:val="958"/>
    <w:link w:val="924"/>
    <w:uiPriority w:val="9"/>
    <w:rPr>
      <w:rFonts w:ascii="Arial" w:hAnsi="Arial" w:eastAsia="Arial" w:cs="Arial"/>
      <w:b/>
      <w:bCs/>
      <w:i/>
      <w:iCs/>
      <w:sz w:val="22"/>
      <w:szCs w:val="22"/>
    </w:rPr>
  </w:style>
  <w:style w:type="character" w:styleId="959">
    <w:name w:val="标题 8 字符1"/>
    <w:next w:val="959"/>
    <w:link w:val="925"/>
    <w:uiPriority w:val="9"/>
    <w:rPr>
      <w:rFonts w:ascii="Arial" w:hAnsi="Arial" w:eastAsia="Arial" w:cs="Arial"/>
      <w:i/>
      <w:iCs/>
      <w:sz w:val="22"/>
      <w:szCs w:val="22"/>
    </w:rPr>
  </w:style>
  <w:style w:type="character" w:styleId="960">
    <w:name w:val="标题 9 字符1"/>
    <w:next w:val="960"/>
    <w:link w:val="926"/>
    <w:uiPriority w:val="9"/>
    <w:rPr>
      <w:rFonts w:ascii="Arial" w:hAnsi="Arial" w:eastAsia="Arial" w:cs="Arial"/>
      <w:i/>
      <w:iCs/>
      <w:sz w:val="21"/>
      <w:szCs w:val="21"/>
    </w:rPr>
  </w:style>
  <w:style w:type="character" w:styleId="961">
    <w:name w:val="引用 Char"/>
    <w:next w:val="961"/>
    <w:link w:val="931"/>
    <w:uiPriority w:val="29"/>
    <w:rPr>
      <w:i/>
    </w:rPr>
  </w:style>
  <w:style w:type="character" w:styleId="962">
    <w:name w:val="明显引用 Char"/>
    <w:next w:val="962"/>
    <w:link w:val="933"/>
    <w:uiPriority w:val="30"/>
    <w:rPr>
      <w:i/>
    </w:rPr>
  </w:style>
  <w:style w:type="paragraph" w:styleId="963">
    <w:name w:val="Header1"/>
    <w:basedOn w:val="851"/>
    <w:next w:val="963"/>
    <w:link w:val="964"/>
    <w:uiPriority w:val="99"/>
    <w:unhideWhenUsed/>
    <w:pPr>
      <w:tabs>
        <w:tab w:val="center" w:pos="7143" w:leader="none"/>
        <w:tab w:val="right" w:pos="14287" w:leader="none"/>
      </w:tabs>
    </w:pPr>
  </w:style>
  <w:style w:type="character" w:styleId="964">
    <w:name w:val="Header Char"/>
    <w:next w:val="964"/>
    <w:link w:val="963"/>
    <w:uiPriority w:val="99"/>
  </w:style>
  <w:style w:type="paragraph" w:styleId="965">
    <w:name w:val="Footer1"/>
    <w:basedOn w:val="851"/>
    <w:next w:val="965"/>
    <w:link w:val="966"/>
    <w:uiPriority w:val="99"/>
    <w:unhideWhenUsed/>
    <w:pPr>
      <w:tabs>
        <w:tab w:val="center" w:pos="7143" w:leader="none"/>
        <w:tab w:val="right" w:pos="14287" w:leader="none"/>
      </w:tabs>
    </w:pPr>
  </w:style>
  <w:style w:type="character" w:styleId="966">
    <w:name w:val="Footer Char"/>
    <w:next w:val="966"/>
    <w:link w:val="965"/>
    <w:uiPriority w:val="99"/>
  </w:style>
  <w:style w:type="character" w:styleId="967">
    <w:name w:val="页脚 字符1"/>
    <w:next w:val="967"/>
    <w:link w:val="936"/>
    <w:uiPriority w:val="99"/>
  </w:style>
  <w:style w:type="paragraph" w:styleId="968">
    <w:name w:val="Caption1"/>
    <w:basedOn w:val="851"/>
    <w:next w:val="851"/>
    <w:link w:val="851"/>
    <w:uiPriority w:val="35"/>
    <w:unhideWhenUsed/>
    <w:qFormat/>
    <w:pPr>
      <w:spacing w:line="276" w:lineRule="auto"/>
    </w:pPr>
    <w:rPr>
      <w:b/>
      <w:bCs/>
      <w:color w:val="4f81bd"/>
      <w:sz w:val="18"/>
      <w:szCs w:val="18"/>
    </w:rPr>
  </w:style>
  <w:style w:type="table" w:styleId="969">
    <w:name w:val="Table Grid Light"/>
    <w:next w:val="969"/>
    <w:link w:val="851"/>
    <w:uiPriority w:val="59"/>
    <w:rPr>
      <w:lang w:val="en-US" w:eastAsia="zh-CN" w:bidi="ar-SA"/>
    </w:rPr>
    <w:tblPr/>
  </w:style>
  <w:style w:type="table" w:styleId="970">
    <w:name w:val="Grid Table 1 Light - Accent 1"/>
    <w:next w:val="970"/>
    <w:link w:val="851"/>
    <w:uiPriority w:val="99"/>
    <w:rPr>
      <w:lang w:val="en-US" w:eastAsia="zh-CN" w:bidi="ar-SA"/>
    </w:rPr>
    <w:tblPr/>
  </w:style>
  <w:style w:type="table" w:styleId="971">
    <w:name w:val="Grid Table 1 Light - Accent 2"/>
    <w:next w:val="971"/>
    <w:link w:val="851"/>
    <w:uiPriority w:val="99"/>
    <w:rPr>
      <w:lang w:val="en-US" w:eastAsia="zh-CN" w:bidi="ar-SA"/>
    </w:rPr>
    <w:tblPr/>
  </w:style>
  <w:style w:type="table" w:styleId="972">
    <w:name w:val="Grid Table 1 Light - Accent 3"/>
    <w:next w:val="972"/>
    <w:link w:val="851"/>
    <w:uiPriority w:val="99"/>
    <w:rPr>
      <w:lang w:val="en-US" w:eastAsia="zh-CN" w:bidi="ar-SA"/>
    </w:rPr>
    <w:tblPr/>
  </w:style>
  <w:style w:type="table" w:styleId="973">
    <w:name w:val="Grid Table 1 Light - Accent 4"/>
    <w:next w:val="973"/>
    <w:link w:val="851"/>
    <w:uiPriority w:val="99"/>
    <w:rPr>
      <w:lang w:val="en-US" w:eastAsia="zh-CN" w:bidi="ar-SA"/>
    </w:rPr>
    <w:tblPr/>
  </w:style>
  <w:style w:type="table" w:styleId="974">
    <w:name w:val="Grid Table 1 Light - Accent 5"/>
    <w:next w:val="974"/>
    <w:link w:val="851"/>
    <w:uiPriority w:val="99"/>
    <w:rPr>
      <w:lang w:val="en-US" w:eastAsia="zh-CN" w:bidi="ar-SA"/>
    </w:rPr>
    <w:tblPr/>
  </w:style>
  <w:style w:type="table" w:styleId="975">
    <w:name w:val="Grid Table 1 Light - Accent 6"/>
    <w:next w:val="975"/>
    <w:link w:val="851"/>
    <w:uiPriority w:val="99"/>
    <w:rPr>
      <w:lang w:val="en-US" w:eastAsia="zh-CN" w:bidi="ar-SA"/>
    </w:rPr>
    <w:tblPr/>
  </w:style>
  <w:style w:type="table" w:styleId="976">
    <w:name w:val="Grid Table 2 - Accent 1"/>
    <w:next w:val="976"/>
    <w:link w:val="851"/>
    <w:uiPriority w:val="99"/>
    <w:rPr>
      <w:lang w:val="en-US" w:eastAsia="zh-CN" w:bidi="ar-SA"/>
    </w:rPr>
    <w:tblPr/>
  </w:style>
  <w:style w:type="table" w:styleId="977">
    <w:name w:val="Grid Table 2 - Accent 2"/>
    <w:next w:val="977"/>
    <w:link w:val="851"/>
    <w:uiPriority w:val="99"/>
    <w:rPr>
      <w:lang w:val="en-US" w:eastAsia="zh-CN" w:bidi="ar-SA"/>
    </w:rPr>
    <w:tblPr/>
  </w:style>
  <w:style w:type="table" w:styleId="978">
    <w:name w:val="Grid Table 2 - Accent 3"/>
    <w:next w:val="978"/>
    <w:link w:val="851"/>
    <w:uiPriority w:val="99"/>
    <w:rPr>
      <w:lang w:val="en-US" w:eastAsia="zh-CN" w:bidi="ar-SA"/>
    </w:rPr>
    <w:tblPr/>
  </w:style>
  <w:style w:type="table" w:styleId="979">
    <w:name w:val="Grid Table 2 - Accent 4"/>
    <w:next w:val="979"/>
    <w:link w:val="851"/>
    <w:uiPriority w:val="99"/>
    <w:rPr>
      <w:lang w:val="en-US" w:eastAsia="zh-CN" w:bidi="ar-SA"/>
    </w:rPr>
    <w:tblPr/>
  </w:style>
  <w:style w:type="table" w:styleId="980">
    <w:name w:val="Grid Table 2 - Accent 5"/>
    <w:next w:val="980"/>
    <w:link w:val="851"/>
    <w:uiPriority w:val="99"/>
    <w:rPr>
      <w:lang w:val="en-US" w:eastAsia="zh-CN" w:bidi="ar-SA"/>
    </w:rPr>
    <w:tblPr/>
  </w:style>
  <w:style w:type="table" w:styleId="981">
    <w:name w:val="Grid Table 2 - Accent 6"/>
    <w:next w:val="981"/>
    <w:link w:val="851"/>
    <w:uiPriority w:val="99"/>
    <w:rPr>
      <w:lang w:val="en-US" w:eastAsia="zh-CN" w:bidi="ar-SA"/>
    </w:rPr>
    <w:tblPr/>
  </w:style>
  <w:style w:type="table" w:styleId="982">
    <w:name w:val="Grid Table 3 - Accent 1"/>
    <w:next w:val="982"/>
    <w:link w:val="851"/>
    <w:uiPriority w:val="99"/>
    <w:rPr>
      <w:lang w:val="en-US" w:eastAsia="zh-CN" w:bidi="ar-SA"/>
    </w:rPr>
    <w:tblPr/>
  </w:style>
  <w:style w:type="table" w:styleId="983">
    <w:name w:val="Grid Table 3 - Accent 2"/>
    <w:next w:val="983"/>
    <w:link w:val="851"/>
    <w:uiPriority w:val="99"/>
    <w:rPr>
      <w:lang w:val="en-US" w:eastAsia="zh-CN" w:bidi="ar-SA"/>
    </w:rPr>
    <w:tblPr/>
  </w:style>
  <w:style w:type="table" w:styleId="984">
    <w:name w:val="Grid Table 3 - Accent 3"/>
    <w:next w:val="984"/>
    <w:link w:val="851"/>
    <w:uiPriority w:val="99"/>
    <w:rPr>
      <w:lang w:val="en-US" w:eastAsia="zh-CN" w:bidi="ar-SA"/>
    </w:rPr>
    <w:tblPr/>
  </w:style>
  <w:style w:type="table" w:styleId="985">
    <w:name w:val="Grid Table 3 - Accent 4"/>
    <w:next w:val="985"/>
    <w:link w:val="851"/>
    <w:uiPriority w:val="99"/>
    <w:rPr>
      <w:lang w:val="en-US" w:eastAsia="zh-CN" w:bidi="ar-SA"/>
    </w:rPr>
    <w:tblPr/>
  </w:style>
  <w:style w:type="table" w:styleId="986">
    <w:name w:val="Grid Table 3 - Accent 5"/>
    <w:next w:val="986"/>
    <w:link w:val="851"/>
    <w:uiPriority w:val="99"/>
    <w:rPr>
      <w:lang w:val="en-US" w:eastAsia="zh-CN" w:bidi="ar-SA"/>
    </w:rPr>
    <w:tblPr/>
  </w:style>
  <w:style w:type="table" w:styleId="987">
    <w:name w:val="Grid Table 3 - Accent 6"/>
    <w:next w:val="987"/>
    <w:link w:val="851"/>
    <w:uiPriority w:val="99"/>
    <w:rPr>
      <w:lang w:val="en-US" w:eastAsia="zh-CN" w:bidi="ar-SA"/>
    </w:rPr>
    <w:tblPr/>
  </w:style>
  <w:style w:type="table" w:styleId="988">
    <w:name w:val="Grid Table 4 - Accent 1"/>
    <w:next w:val="988"/>
    <w:link w:val="851"/>
    <w:uiPriority w:val="59"/>
    <w:rPr>
      <w:lang w:val="en-US" w:eastAsia="zh-CN" w:bidi="ar-SA"/>
    </w:rPr>
    <w:tblPr/>
  </w:style>
  <w:style w:type="table" w:styleId="989">
    <w:name w:val="Grid Table 4 - Accent 2"/>
    <w:next w:val="989"/>
    <w:link w:val="851"/>
    <w:uiPriority w:val="59"/>
    <w:rPr>
      <w:lang w:val="en-US" w:eastAsia="zh-CN" w:bidi="ar-SA"/>
    </w:rPr>
    <w:tblPr/>
  </w:style>
  <w:style w:type="table" w:styleId="990">
    <w:name w:val="Grid Table 4 - Accent 3"/>
    <w:next w:val="990"/>
    <w:link w:val="851"/>
    <w:uiPriority w:val="59"/>
    <w:rPr>
      <w:lang w:val="en-US" w:eastAsia="zh-CN" w:bidi="ar-SA"/>
    </w:rPr>
    <w:tblPr/>
  </w:style>
  <w:style w:type="table" w:styleId="991">
    <w:name w:val="Grid Table 4 - Accent 4"/>
    <w:next w:val="991"/>
    <w:link w:val="851"/>
    <w:uiPriority w:val="59"/>
    <w:rPr>
      <w:lang w:val="en-US" w:eastAsia="zh-CN" w:bidi="ar-SA"/>
    </w:rPr>
    <w:tblPr/>
  </w:style>
  <w:style w:type="table" w:styleId="992">
    <w:name w:val="Grid Table 4 - Accent 5"/>
    <w:next w:val="992"/>
    <w:link w:val="851"/>
    <w:uiPriority w:val="59"/>
    <w:rPr>
      <w:lang w:val="en-US" w:eastAsia="zh-CN" w:bidi="ar-SA"/>
    </w:rPr>
    <w:tblPr/>
  </w:style>
  <w:style w:type="table" w:styleId="993">
    <w:name w:val="Grid Table 4 - Accent 6"/>
    <w:next w:val="993"/>
    <w:link w:val="851"/>
    <w:uiPriority w:val="59"/>
    <w:rPr>
      <w:lang w:val="en-US" w:eastAsia="zh-CN" w:bidi="ar-SA"/>
    </w:rPr>
    <w:tblPr/>
  </w:style>
  <w:style w:type="table" w:styleId="994">
    <w:name w:val="Grid Table 5 Dark- Accent 1"/>
    <w:next w:val="994"/>
    <w:link w:val="851"/>
    <w:uiPriority w:val="99"/>
    <w:rPr>
      <w:lang w:val="en-US" w:eastAsia="zh-CN" w:bidi="ar-SA"/>
    </w:rPr>
    <w:tblPr/>
  </w:style>
  <w:style w:type="table" w:styleId="995">
    <w:name w:val="Grid Table 5 Dark - Accent 2"/>
    <w:next w:val="995"/>
    <w:link w:val="851"/>
    <w:uiPriority w:val="99"/>
    <w:rPr>
      <w:lang w:val="en-US" w:eastAsia="zh-CN" w:bidi="ar-SA"/>
    </w:rPr>
    <w:tblPr/>
  </w:style>
  <w:style w:type="table" w:styleId="996">
    <w:name w:val="Grid Table 5 Dark - Accent 3"/>
    <w:next w:val="996"/>
    <w:link w:val="851"/>
    <w:uiPriority w:val="99"/>
    <w:rPr>
      <w:lang w:val="en-US" w:eastAsia="zh-CN" w:bidi="ar-SA"/>
    </w:rPr>
    <w:tblPr/>
  </w:style>
  <w:style w:type="table" w:styleId="997">
    <w:name w:val="Grid Table 5 Dark- Accent 4"/>
    <w:next w:val="997"/>
    <w:link w:val="851"/>
    <w:uiPriority w:val="99"/>
    <w:rPr>
      <w:lang w:val="en-US" w:eastAsia="zh-CN" w:bidi="ar-SA"/>
    </w:rPr>
    <w:tblPr/>
  </w:style>
  <w:style w:type="table" w:styleId="998">
    <w:name w:val="Grid Table 5 Dark - Accent 5"/>
    <w:next w:val="998"/>
    <w:link w:val="851"/>
    <w:uiPriority w:val="99"/>
    <w:rPr>
      <w:lang w:val="en-US" w:eastAsia="zh-CN" w:bidi="ar-SA"/>
    </w:rPr>
    <w:tblPr/>
  </w:style>
  <w:style w:type="table" w:styleId="999">
    <w:name w:val="Grid Table 5 Dark - Accent 6"/>
    <w:next w:val="999"/>
    <w:link w:val="851"/>
    <w:uiPriority w:val="99"/>
    <w:rPr>
      <w:lang w:val="en-US" w:eastAsia="zh-CN" w:bidi="ar-SA"/>
    </w:rPr>
    <w:tblPr/>
  </w:style>
  <w:style w:type="table" w:styleId="1000">
    <w:name w:val="Grid Table 6 Colorful - Accent 1"/>
    <w:next w:val="1000"/>
    <w:link w:val="851"/>
    <w:uiPriority w:val="99"/>
    <w:rPr>
      <w:lang w:val="en-US" w:eastAsia="zh-CN" w:bidi="ar-SA"/>
    </w:rPr>
    <w:tblPr/>
  </w:style>
  <w:style w:type="table" w:styleId="1001">
    <w:name w:val="Grid Table 6 Colorful - Accent 2"/>
    <w:next w:val="1001"/>
    <w:link w:val="851"/>
    <w:uiPriority w:val="99"/>
    <w:rPr>
      <w:lang w:val="en-US" w:eastAsia="zh-CN" w:bidi="ar-SA"/>
    </w:rPr>
    <w:tblPr/>
  </w:style>
  <w:style w:type="table" w:styleId="1002">
    <w:name w:val="Grid Table 6 Colorful - Accent 3"/>
    <w:next w:val="1002"/>
    <w:link w:val="851"/>
    <w:uiPriority w:val="99"/>
    <w:rPr>
      <w:lang w:val="en-US" w:eastAsia="zh-CN" w:bidi="ar-SA"/>
    </w:rPr>
    <w:tblPr/>
  </w:style>
  <w:style w:type="table" w:styleId="1003">
    <w:name w:val="Grid Table 6 Colorful - Accent 4"/>
    <w:next w:val="1003"/>
    <w:link w:val="851"/>
    <w:uiPriority w:val="99"/>
    <w:rPr>
      <w:lang w:val="en-US" w:eastAsia="zh-CN" w:bidi="ar-SA"/>
    </w:rPr>
    <w:tblPr/>
  </w:style>
  <w:style w:type="table" w:styleId="1004">
    <w:name w:val="Grid Table 6 Colorful - Accent 5"/>
    <w:next w:val="1004"/>
    <w:link w:val="851"/>
    <w:uiPriority w:val="99"/>
    <w:rPr>
      <w:lang w:val="en-US" w:eastAsia="zh-CN" w:bidi="ar-SA"/>
    </w:rPr>
    <w:tblPr/>
  </w:style>
  <w:style w:type="table" w:styleId="1005">
    <w:name w:val="Grid Table 6 Colorful - Accent 6"/>
    <w:next w:val="1005"/>
    <w:link w:val="851"/>
    <w:uiPriority w:val="99"/>
    <w:rPr>
      <w:lang w:val="en-US" w:eastAsia="zh-CN" w:bidi="ar-SA"/>
    </w:rPr>
    <w:tblPr/>
  </w:style>
  <w:style w:type="table" w:styleId="1006">
    <w:name w:val="Grid Table 7 Colorful - Accent 1"/>
    <w:next w:val="1006"/>
    <w:link w:val="851"/>
    <w:uiPriority w:val="99"/>
    <w:rPr>
      <w:lang w:val="en-US" w:eastAsia="zh-CN" w:bidi="ar-SA"/>
    </w:rPr>
    <w:tblPr/>
  </w:style>
  <w:style w:type="table" w:styleId="1007">
    <w:name w:val="Grid Table 7 Colorful - Accent 2"/>
    <w:next w:val="1007"/>
    <w:link w:val="851"/>
    <w:uiPriority w:val="99"/>
    <w:rPr>
      <w:lang w:val="en-US" w:eastAsia="zh-CN" w:bidi="ar-SA"/>
    </w:rPr>
    <w:tblPr/>
  </w:style>
  <w:style w:type="table" w:styleId="1008">
    <w:name w:val="Grid Table 7 Colorful - Accent 3"/>
    <w:next w:val="1008"/>
    <w:link w:val="851"/>
    <w:uiPriority w:val="99"/>
    <w:rPr>
      <w:lang w:val="en-US" w:eastAsia="zh-CN" w:bidi="ar-SA"/>
    </w:rPr>
    <w:tblPr/>
  </w:style>
  <w:style w:type="table" w:styleId="1009">
    <w:name w:val="Grid Table 7 Colorful - Accent 4"/>
    <w:next w:val="1009"/>
    <w:link w:val="851"/>
    <w:uiPriority w:val="99"/>
    <w:rPr>
      <w:lang w:val="en-US" w:eastAsia="zh-CN" w:bidi="ar-SA"/>
    </w:rPr>
    <w:tblPr/>
  </w:style>
  <w:style w:type="table" w:styleId="1010">
    <w:name w:val="Grid Table 7 Colorful - Accent 5"/>
    <w:next w:val="1010"/>
    <w:link w:val="851"/>
    <w:uiPriority w:val="99"/>
    <w:rPr>
      <w:lang w:val="en-US" w:eastAsia="zh-CN" w:bidi="ar-SA"/>
    </w:rPr>
    <w:tblPr/>
  </w:style>
  <w:style w:type="table" w:styleId="1011">
    <w:name w:val="Grid Table 7 Colorful - Accent 6"/>
    <w:next w:val="1011"/>
    <w:link w:val="851"/>
    <w:uiPriority w:val="99"/>
    <w:rPr>
      <w:lang w:val="en-US" w:eastAsia="zh-CN" w:bidi="ar-SA"/>
    </w:rPr>
    <w:tblPr/>
  </w:style>
  <w:style w:type="table" w:styleId="1012">
    <w:name w:val="List Table 1 Light - Accent 1"/>
    <w:next w:val="1012"/>
    <w:link w:val="851"/>
    <w:uiPriority w:val="99"/>
    <w:rPr>
      <w:lang w:val="en-US" w:eastAsia="zh-CN" w:bidi="ar-SA"/>
    </w:rPr>
    <w:tblPr/>
  </w:style>
  <w:style w:type="table" w:styleId="1013">
    <w:name w:val="List Table 1 Light - Accent 2"/>
    <w:next w:val="1013"/>
    <w:link w:val="851"/>
    <w:uiPriority w:val="99"/>
    <w:rPr>
      <w:lang w:val="en-US" w:eastAsia="zh-CN" w:bidi="ar-SA"/>
    </w:rPr>
    <w:tblPr/>
  </w:style>
  <w:style w:type="table" w:styleId="1014">
    <w:name w:val="List Table 1 Light - Accent 3"/>
    <w:next w:val="1014"/>
    <w:link w:val="851"/>
    <w:uiPriority w:val="99"/>
    <w:rPr>
      <w:lang w:val="en-US" w:eastAsia="zh-CN" w:bidi="ar-SA"/>
    </w:rPr>
    <w:tblPr/>
  </w:style>
  <w:style w:type="table" w:styleId="1015">
    <w:name w:val="List Table 1 Light - Accent 4"/>
    <w:next w:val="1015"/>
    <w:link w:val="851"/>
    <w:uiPriority w:val="99"/>
    <w:rPr>
      <w:lang w:val="en-US" w:eastAsia="zh-CN" w:bidi="ar-SA"/>
    </w:rPr>
    <w:tblPr/>
  </w:style>
  <w:style w:type="table" w:styleId="1016">
    <w:name w:val="List Table 1 Light - Accent 5"/>
    <w:next w:val="1016"/>
    <w:link w:val="851"/>
    <w:uiPriority w:val="99"/>
    <w:rPr>
      <w:lang w:val="en-US" w:eastAsia="zh-CN" w:bidi="ar-SA"/>
    </w:rPr>
    <w:tblPr/>
  </w:style>
  <w:style w:type="table" w:styleId="1017">
    <w:name w:val="List Table 1 Light - Accent 6"/>
    <w:next w:val="1017"/>
    <w:link w:val="851"/>
    <w:uiPriority w:val="99"/>
    <w:rPr>
      <w:lang w:val="en-US" w:eastAsia="zh-CN" w:bidi="ar-SA"/>
    </w:rPr>
    <w:tblPr/>
  </w:style>
  <w:style w:type="table" w:styleId="1018">
    <w:name w:val="List Table 2 - Accent 1"/>
    <w:next w:val="1018"/>
    <w:link w:val="851"/>
    <w:uiPriority w:val="99"/>
    <w:rPr>
      <w:lang w:val="en-US" w:eastAsia="zh-CN" w:bidi="ar-SA"/>
    </w:rPr>
    <w:tblPr/>
  </w:style>
  <w:style w:type="table" w:styleId="1019">
    <w:name w:val="List Table 2 - Accent 2"/>
    <w:next w:val="1019"/>
    <w:link w:val="851"/>
    <w:uiPriority w:val="99"/>
    <w:rPr>
      <w:lang w:val="en-US" w:eastAsia="zh-CN" w:bidi="ar-SA"/>
    </w:rPr>
    <w:tblPr/>
  </w:style>
  <w:style w:type="table" w:styleId="1020">
    <w:name w:val="List Table 2 - Accent 3"/>
    <w:next w:val="1020"/>
    <w:link w:val="851"/>
    <w:uiPriority w:val="99"/>
    <w:rPr>
      <w:lang w:val="en-US" w:eastAsia="zh-CN" w:bidi="ar-SA"/>
    </w:rPr>
    <w:tblPr/>
  </w:style>
  <w:style w:type="table" w:styleId="1021">
    <w:name w:val="List Table 2 - Accent 4"/>
    <w:next w:val="1021"/>
    <w:link w:val="851"/>
    <w:uiPriority w:val="99"/>
    <w:rPr>
      <w:lang w:val="en-US" w:eastAsia="zh-CN" w:bidi="ar-SA"/>
    </w:rPr>
    <w:tblPr/>
  </w:style>
  <w:style w:type="table" w:styleId="1022">
    <w:name w:val="List Table 2 - Accent 5"/>
    <w:next w:val="1022"/>
    <w:link w:val="851"/>
    <w:uiPriority w:val="99"/>
    <w:rPr>
      <w:lang w:val="en-US" w:eastAsia="zh-CN" w:bidi="ar-SA"/>
    </w:rPr>
    <w:tblPr/>
  </w:style>
  <w:style w:type="table" w:styleId="1023">
    <w:name w:val="List Table 2 - Accent 6"/>
    <w:next w:val="1023"/>
    <w:link w:val="851"/>
    <w:uiPriority w:val="99"/>
    <w:rPr>
      <w:lang w:val="en-US" w:eastAsia="zh-CN" w:bidi="ar-SA"/>
    </w:rPr>
    <w:tblPr/>
  </w:style>
  <w:style w:type="table" w:styleId="1024">
    <w:name w:val="List Table 3 - Accent 1"/>
    <w:next w:val="1024"/>
    <w:link w:val="851"/>
    <w:uiPriority w:val="99"/>
    <w:rPr>
      <w:lang w:val="en-US" w:eastAsia="zh-CN" w:bidi="ar-SA"/>
    </w:rPr>
    <w:tblPr/>
  </w:style>
  <w:style w:type="table" w:styleId="1025">
    <w:name w:val="List Table 3 - Accent 2"/>
    <w:next w:val="1025"/>
    <w:link w:val="851"/>
    <w:uiPriority w:val="99"/>
    <w:rPr>
      <w:lang w:val="en-US" w:eastAsia="zh-CN" w:bidi="ar-SA"/>
    </w:rPr>
    <w:tblPr/>
  </w:style>
  <w:style w:type="table" w:styleId="1026">
    <w:name w:val="List Table 3 - Accent 3"/>
    <w:next w:val="1026"/>
    <w:link w:val="851"/>
    <w:uiPriority w:val="99"/>
    <w:rPr>
      <w:lang w:val="en-US" w:eastAsia="zh-CN" w:bidi="ar-SA"/>
    </w:rPr>
    <w:tblPr/>
  </w:style>
  <w:style w:type="table" w:styleId="1027">
    <w:name w:val="List Table 3 - Accent 4"/>
    <w:next w:val="1027"/>
    <w:link w:val="851"/>
    <w:uiPriority w:val="99"/>
    <w:rPr>
      <w:lang w:val="en-US" w:eastAsia="zh-CN" w:bidi="ar-SA"/>
    </w:rPr>
    <w:tblPr/>
  </w:style>
  <w:style w:type="table" w:styleId="1028">
    <w:name w:val="List Table 3 - Accent 5"/>
    <w:next w:val="1028"/>
    <w:link w:val="851"/>
    <w:uiPriority w:val="99"/>
    <w:rPr>
      <w:lang w:val="en-US" w:eastAsia="zh-CN" w:bidi="ar-SA"/>
    </w:rPr>
    <w:tblPr/>
  </w:style>
  <w:style w:type="table" w:styleId="1029">
    <w:name w:val="List Table 3 - Accent 6"/>
    <w:next w:val="1029"/>
    <w:link w:val="851"/>
    <w:uiPriority w:val="99"/>
    <w:rPr>
      <w:lang w:val="en-US" w:eastAsia="zh-CN" w:bidi="ar-SA"/>
    </w:rPr>
    <w:tblPr/>
  </w:style>
  <w:style w:type="table" w:styleId="1030">
    <w:name w:val="List Table 4 - Accent 1"/>
    <w:next w:val="1030"/>
    <w:link w:val="851"/>
    <w:uiPriority w:val="99"/>
    <w:rPr>
      <w:lang w:val="en-US" w:eastAsia="zh-CN" w:bidi="ar-SA"/>
    </w:rPr>
    <w:tblPr/>
  </w:style>
  <w:style w:type="table" w:styleId="1031">
    <w:name w:val="List Table 4 - Accent 2"/>
    <w:next w:val="1031"/>
    <w:link w:val="851"/>
    <w:uiPriority w:val="99"/>
    <w:rPr>
      <w:lang w:val="en-US" w:eastAsia="zh-CN" w:bidi="ar-SA"/>
    </w:rPr>
    <w:tblPr/>
  </w:style>
  <w:style w:type="table" w:styleId="1032">
    <w:name w:val="List Table 4 - Accent 3"/>
    <w:next w:val="1032"/>
    <w:link w:val="851"/>
    <w:uiPriority w:val="99"/>
    <w:rPr>
      <w:lang w:val="en-US" w:eastAsia="zh-CN" w:bidi="ar-SA"/>
    </w:rPr>
    <w:tblPr/>
  </w:style>
  <w:style w:type="table" w:styleId="1033">
    <w:name w:val="List Table 4 - Accent 4"/>
    <w:next w:val="1033"/>
    <w:link w:val="851"/>
    <w:uiPriority w:val="99"/>
    <w:rPr>
      <w:lang w:val="en-US" w:eastAsia="zh-CN" w:bidi="ar-SA"/>
    </w:rPr>
    <w:tblPr/>
  </w:style>
  <w:style w:type="table" w:styleId="1034">
    <w:name w:val="List Table 4 - Accent 5"/>
    <w:next w:val="1034"/>
    <w:link w:val="851"/>
    <w:uiPriority w:val="99"/>
    <w:rPr>
      <w:lang w:val="en-US" w:eastAsia="zh-CN" w:bidi="ar-SA"/>
    </w:rPr>
    <w:tblPr/>
  </w:style>
  <w:style w:type="table" w:styleId="1035">
    <w:name w:val="List Table 4 - Accent 6"/>
    <w:next w:val="1035"/>
    <w:link w:val="851"/>
    <w:uiPriority w:val="99"/>
    <w:rPr>
      <w:lang w:val="en-US" w:eastAsia="zh-CN" w:bidi="ar-SA"/>
    </w:rPr>
    <w:tblPr/>
  </w:style>
  <w:style w:type="table" w:styleId="1036">
    <w:name w:val="List Table 5 Dark - Accent 1"/>
    <w:next w:val="1036"/>
    <w:link w:val="851"/>
    <w:uiPriority w:val="99"/>
    <w:rPr>
      <w:lang w:val="en-US" w:eastAsia="zh-CN" w:bidi="ar-SA"/>
    </w:rPr>
    <w:tblPr/>
  </w:style>
  <w:style w:type="table" w:styleId="1037">
    <w:name w:val="List Table 5 Dark - Accent 2"/>
    <w:next w:val="1037"/>
    <w:link w:val="851"/>
    <w:uiPriority w:val="99"/>
    <w:rPr>
      <w:lang w:val="en-US" w:eastAsia="zh-CN" w:bidi="ar-SA"/>
    </w:rPr>
    <w:tblPr/>
  </w:style>
  <w:style w:type="table" w:styleId="1038">
    <w:name w:val="List Table 5 Dark - Accent 3"/>
    <w:next w:val="1038"/>
    <w:link w:val="851"/>
    <w:uiPriority w:val="99"/>
    <w:rPr>
      <w:lang w:val="en-US" w:eastAsia="zh-CN" w:bidi="ar-SA"/>
    </w:rPr>
    <w:tblPr/>
  </w:style>
  <w:style w:type="table" w:styleId="1039">
    <w:name w:val="List Table 5 Dark - Accent 4"/>
    <w:next w:val="1039"/>
    <w:link w:val="851"/>
    <w:uiPriority w:val="99"/>
    <w:rPr>
      <w:lang w:val="en-US" w:eastAsia="zh-CN" w:bidi="ar-SA"/>
    </w:rPr>
    <w:tblPr/>
  </w:style>
  <w:style w:type="table" w:styleId="1040">
    <w:name w:val="List Table 5 Dark - Accent 5"/>
    <w:next w:val="1040"/>
    <w:link w:val="851"/>
    <w:uiPriority w:val="99"/>
    <w:rPr>
      <w:lang w:val="en-US" w:eastAsia="zh-CN" w:bidi="ar-SA"/>
    </w:rPr>
    <w:tblPr/>
  </w:style>
  <w:style w:type="table" w:styleId="1041">
    <w:name w:val="List Table 5 Dark - Accent 6"/>
    <w:next w:val="1041"/>
    <w:link w:val="851"/>
    <w:uiPriority w:val="99"/>
    <w:rPr>
      <w:lang w:val="en-US" w:eastAsia="zh-CN" w:bidi="ar-SA"/>
    </w:rPr>
    <w:tblPr/>
  </w:style>
  <w:style w:type="table" w:styleId="1042">
    <w:name w:val="List Table 6 Colorful - Accent 1"/>
    <w:next w:val="1042"/>
    <w:link w:val="851"/>
    <w:uiPriority w:val="99"/>
    <w:rPr>
      <w:lang w:val="en-US" w:eastAsia="zh-CN" w:bidi="ar-SA"/>
    </w:rPr>
    <w:tblPr/>
  </w:style>
  <w:style w:type="table" w:styleId="1043">
    <w:name w:val="List Table 6 Colorful - Accent 2"/>
    <w:next w:val="1043"/>
    <w:link w:val="851"/>
    <w:uiPriority w:val="99"/>
    <w:rPr>
      <w:lang w:val="en-US" w:eastAsia="zh-CN" w:bidi="ar-SA"/>
    </w:rPr>
    <w:tblPr/>
  </w:style>
  <w:style w:type="table" w:styleId="1044">
    <w:name w:val="List Table 6 Colorful - Accent 3"/>
    <w:next w:val="1044"/>
    <w:link w:val="851"/>
    <w:uiPriority w:val="99"/>
    <w:rPr>
      <w:lang w:val="en-US" w:eastAsia="zh-CN" w:bidi="ar-SA"/>
    </w:rPr>
    <w:tblPr/>
  </w:style>
  <w:style w:type="table" w:styleId="1045">
    <w:name w:val="List Table 6 Colorful - Accent 4"/>
    <w:next w:val="1045"/>
    <w:link w:val="851"/>
    <w:uiPriority w:val="99"/>
    <w:rPr>
      <w:lang w:val="en-US" w:eastAsia="zh-CN" w:bidi="ar-SA"/>
    </w:rPr>
    <w:tblPr/>
  </w:style>
  <w:style w:type="table" w:styleId="1046">
    <w:name w:val="List Table 6 Colorful - Accent 5"/>
    <w:next w:val="1046"/>
    <w:link w:val="851"/>
    <w:uiPriority w:val="99"/>
    <w:rPr>
      <w:lang w:val="en-US" w:eastAsia="zh-CN" w:bidi="ar-SA"/>
    </w:rPr>
    <w:tblPr/>
  </w:style>
  <w:style w:type="table" w:styleId="1047">
    <w:name w:val="List Table 6 Colorful - Accent 6"/>
    <w:next w:val="1047"/>
    <w:link w:val="851"/>
    <w:uiPriority w:val="99"/>
    <w:rPr>
      <w:lang w:val="en-US" w:eastAsia="zh-CN" w:bidi="ar-SA"/>
    </w:rPr>
    <w:tblPr/>
  </w:style>
  <w:style w:type="table" w:styleId="1048">
    <w:name w:val="List Table 7 Colorful - Accent 1"/>
    <w:next w:val="1048"/>
    <w:link w:val="851"/>
    <w:uiPriority w:val="99"/>
    <w:rPr>
      <w:lang w:val="en-US" w:eastAsia="zh-CN" w:bidi="ar-SA"/>
    </w:rPr>
    <w:tblPr/>
  </w:style>
  <w:style w:type="table" w:styleId="1049">
    <w:name w:val="List Table 7 Colorful - Accent 2"/>
    <w:next w:val="1049"/>
    <w:link w:val="851"/>
    <w:uiPriority w:val="99"/>
    <w:rPr>
      <w:lang w:val="en-US" w:eastAsia="zh-CN" w:bidi="ar-SA"/>
    </w:rPr>
    <w:tblPr/>
  </w:style>
  <w:style w:type="table" w:styleId="1050">
    <w:name w:val="List Table 7 Colorful - Accent 3"/>
    <w:next w:val="1050"/>
    <w:link w:val="851"/>
    <w:uiPriority w:val="99"/>
    <w:rPr>
      <w:lang w:val="en-US" w:eastAsia="zh-CN" w:bidi="ar-SA"/>
    </w:rPr>
    <w:tblPr/>
  </w:style>
  <w:style w:type="table" w:styleId="1051">
    <w:name w:val="List Table 7 Colorful - Accent 4"/>
    <w:next w:val="1051"/>
    <w:link w:val="851"/>
    <w:uiPriority w:val="99"/>
    <w:rPr>
      <w:lang w:val="en-US" w:eastAsia="zh-CN" w:bidi="ar-SA"/>
    </w:rPr>
    <w:tblPr/>
  </w:style>
  <w:style w:type="table" w:styleId="1052">
    <w:name w:val="List Table 7 Colorful - Accent 5"/>
    <w:next w:val="1052"/>
    <w:link w:val="851"/>
    <w:uiPriority w:val="99"/>
    <w:rPr>
      <w:lang w:val="en-US" w:eastAsia="zh-CN" w:bidi="ar-SA"/>
    </w:rPr>
    <w:tblPr/>
  </w:style>
  <w:style w:type="table" w:styleId="1053">
    <w:name w:val="List Table 7 Colorful - Accent 6"/>
    <w:next w:val="1053"/>
    <w:link w:val="851"/>
    <w:uiPriority w:val="99"/>
    <w:rPr>
      <w:lang w:val="en-US" w:eastAsia="zh-CN" w:bidi="ar-SA"/>
    </w:rPr>
    <w:tblPr/>
  </w:style>
  <w:style w:type="table" w:styleId="1054">
    <w:name w:val="Lined - Accent"/>
    <w:next w:val="1054"/>
    <w:link w:val="851"/>
    <w:uiPriority w:val="99"/>
    <w:rPr>
      <w:color w:val="404040"/>
      <w:lang w:val="en-US" w:eastAsia="zh-CN" w:bidi="ar-SA"/>
    </w:rPr>
    <w:tblPr/>
  </w:style>
  <w:style w:type="table" w:styleId="1055">
    <w:name w:val="Lined - Accent 1"/>
    <w:next w:val="1055"/>
    <w:link w:val="851"/>
    <w:uiPriority w:val="99"/>
    <w:rPr>
      <w:color w:val="404040"/>
      <w:lang w:val="en-US" w:eastAsia="zh-CN" w:bidi="ar-SA"/>
    </w:rPr>
    <w:tblPr/>
  </w:style>
  <w:style w:type="table" w:styleId="1056">
    <w:name w:val="Lined - Accent 2"/>
    <w:next w:val="1056"/>
    <w:link w:val="851"/>
    <w:uiPriority w:val="99"/>
    <w:rPr>
      <w:color w:val="404040"/>
      <w:lang w:val="en-US" w:eastAsia="zh-CN" w:bidi="ar-SA"/>
    </w:rPr>
    <w:tblPr/>
  </w:style>
  <w:style w:type="table" w:styleId="1057">
    <w:name w:val="Lined - Accent 3"/>
    <w:next w:val="1057"/>
    <w:link w:val="851"/>
    <w:uiPriority w:val="99"/>
    <w:rPr>
      <w:color w:val="404040"/>
      <w:lang w:val="en-US" w:eastAsia="zh-CN" w:bidi="ar-SA"/>
    </w:rPr>
    <w:tblPr/>
  </w:style>
  <w:style w:type="table" w:styleId="1058">
    <w:name w:val="Lined - Accent 4"/>
    <w:next w:val="1058"/>
    <w:link w:val="851"/>
    <w:uiPriority w:val="99"/>
    <w:rPr>
      <w:color w:val="404040"/>
      <w:lang w:val="en-US" w:eastAsia="zh-CN" w:bidi="ar-SA"/>
    </w:rPr>
    <w:tblPr/>
  </w:style>
  <w:style w:type="table" w:styleId="1059">
    <w:name w:val="Lined - Accent 5"/>
    <w:next w:val="1059"/>
    <w:link w:val="851"/>
    <w:uiPriority w:val="99"/>
    <w:rPr>
      <w:color w:val="404040"/>
      <w:lang w:val="en-US" w:eastAsia="zh-CN" w:bidi="ar-SA"/>
    </w:rPr>
    <w:tblPr/>
  </w:style>
  <w:style w:type="table" w:styleId="1060">
    <w:name w:val="Lined - Accent 6"/>
    <w:next w:val="1060"/>
    <w:link w:val="851"/>
    <w:uiPriority w:val="99"/>
    <w:rPr>
      <w:color w:val="404040"/>
      <w:lang w:val="en-US" w:eastAsia="zh-CN" w:bidi="ar-SA"/>
    </w:rPr>
    <w:tblPr/>
  </w:style>
  <w:style w:type="table" w:styleId="1061">
    <w:name w:val="Bordered &amp; Lined - Accent"/>
    <w:next w:val="1061"/>
    <w:link w:val="851"/>
    <w:uiPriority w:val="99"/>
    <w:rPr>
      <w:color w:val="404040"/>
      <w:lang w:val="en-US" w:eastAsia="zh-CN" w:bidi="ar-SA"/>
    </w:rPr>
    <w:tblPr/>
  </w:style>
  <w:style w:type="table" w:styleId="1062">
    <w:name w:val="Bordered &amp; Lined - Accent 1"/>
    <w:next w:val="1062"/>
    <w:link w:val="851"/>
    <w:uiPriority w:val="99"/>
    <w:rPr>
      <w:color w:val="404040"/>
      <w:lang w:val="en-US" w:eastAsia="zh-CN" w:bidi="ar-SA"/>
    </w:rPr>
    <w:tblPr/>
  </w:style>
  <w:style w:type="table" w:styleId="1063">
    <w:name w:val="Bordered &amp; Lined - Accent 2"/>
    <w:next w:val="1063"/>
    <w:link w:val="851"/>
    <w:uiPriority w:val="99"/>
    <w:rPr>
      <w:color w:val="404040"/>
      <w:lang w:val="en-US" w:eastAsia="zh-CN" w:bidi="ar-SA"/>
    </w:rPr>
    <w:tblPr/>
  </w:style>
  <w:style w:type="table" w:styleId="1064">
    <w:name w:val="Bordered &amp; Lined - Accent 3"/>
    <w:next w:val="1064"/>
    <w:link w:val="851"/>
    <w:uiPriority w:val="99"/>
    <w:rPr>
      <w:color w:val="404040"/>
      <w:lang w:val="en-US" w:eastAsia="zh-CN" w:bidi="ar-SA"/>
    </w:rPr>
    <w:tblPr/>
  </w:style>
  <w:style w:type="table" w:styleId="1065">
    <w:name w:val="Bordered &amp; Lined - Accent 4"/>
    <w:next w:val="1065"/>
    <w:link w:val="851"/>
    <w:uiPriority w:val="99"/>
    <w:rPr>
      <w:color w:val="404040"/>
      <w:lang w:val="en-US" w:eastAsia="zh-CN" w:bidi="ar-SA"/>
    </w:rPr>
    <w:tblPr/>
  </w:style>
  <w:style w:type="table" w:styleId="1066">
    <w:name w:val="Bordered &amp; Lined - Accent 5"/>
    <w:next w:val="1066"/>
    <w:link w:val="851"/>
    <w:uiPriority w:val="99"/>
    <w:rPr>
      <w:color w:val="404040"/>
      <w:lang w:val="en-US" w:eastAsia="zh-CN" w:bidi="ar-SA"/>
    </w:rPr>
    <w:tblPr/>
  </w:style>
  <w:style w:type="table" w:styleId="1067">
    <w:name w:val="Bordered &amp; Lined - Accent 6"/>
    <w:next w:val="1067"/>
    <w:link w:val="851"/>
    <w:uiPriority w:val="99"/>
    <w:rPr>
      <w:color w:val="404040"/>
      <w:lang w:val="en-US" w:eastAsia="zh-CN" w:bidi="ar-SA"/>
    </w:rPr>
    <w:tblPr/>
  </w:style>
  <w:style w:type="table" w:styleId="1068">
    <w:name w:val="Bordered"/>
    <w:next w:val="1068"/>
    <w:link w:val="851"/>
    <w:uiPriority w:val="99"/>
    <w:rPr>
      <w:lang w:val="en-US" w:eastAsia="zh-CN" w:bidi="ar-SA"/>
    </w:rPr>
    <w:tblPr/>
  </w:style>
  <w:style w:type="table" w:styleId="1069">
    <w:name w:val="Bordered - Accent 1"/>
    <w:next w:val="1069"/>
    <w:link w:val="851"/>
    <w:uiPriority w:val="99"/>
    <w:rPr>
      <w:lang w:val="en-US" w:eastAsia="zh-CN" w:bidi="ar-SA"/>
    </w:rPr>
    <w:tblPr/>
  </w:style>
  <w:style w:type="table" w:styleId="1070">
    <w:name w:val="Bordered - Accent 2"/>
    <w:next w:val="1070"/>
    <w:link w:val="851"/>
    <w:uiPriority w:val="99"/>
    <w:rPr>
      <w:lang w:val="en-US" w:eastAsia="zh-CN" w:bidi="ar-SA"/>
    </w:rPr>
    <w:tblPr/>
  </w:style>
  <w:style w:type="table" w:styleId="1071">
    <w:name w:val="Bordered - Accent 3"/>
    <w:next w:val="1071"/>
    <w:link w:val="851"/>
    <w:uiPriority w:val="99"/>
    <w:rPr>
      <w:lang w:val="en-US" w:eastAsia="zh-CN" w:bidi="ar-SA"/>
    </w:rPr>
    <w:tblPr/>
  </w:style>
  <w:style w:type="table" w:styleId="1072">
    <w:name w:val="Bordered - Accent 4"/>
    <w:next w:val="1072"/>
    <w:link w:val="851"/>
    <w:uiPriority w:val="99"/>
    <w:rPr>
      <w:lang w:val="en-US" w:eastAsia="zh-CN" w:bidi="ar-SA"/>
    </w:rPr>
    <w:tblPr/>
  </w:style>
  <w:style w:type="table" w:styleId="1073">
    <w:name w:val="Bordered - Accent 5"/>
    <w:next w:val="1073"/>
    <w:link w:val="851"/>
    <w:uiPriority w:val="99"/>
    <w:rPr>
      <w:lang w:val="en-US" w:eastAsia="zh-CN" w:bidi="ar-SA"/>
    </w:rPr>
    <w:tblPr/>
  </w:style>
  <w:style w:type="table" w:styleId="1074">
    <w:name w:val="Bordered - Accent 6"/>
    <w:next w:val="1074"/>
    <w:link w:val="851"/>
    <w:uiPriority w:val="99"/>
    <w:rPr>
      <w:lang w:val="en-US" w:eastAsia="zh-CN" w:bidi="ar-SA"/>
    </w:rPr>
    <w:tblPr/>
  </w:style>
  <w:style w:type="paragraph" w:styleId="1075">
    <w:name w:val="标题 111"/>
    <w:basedOn w:val="1076"/>
    <w:next w:val="851"/>
    <w:link w:val="1078"/>
    <w:qFormat/>
    <w:pPr>
      <w:numPr>
        <w:numId w:val="1"/>
      </w:numPr>
      <w:jc w:val="left"/>
      <w:keepNext/>
      <w:spacing w:line="300" w:lineRule="auto"/>
      <w:tabs>
        <w:tab w:val="left" w:pos="405" w:leader="none"/>
      </w:tabs>
    </w:pPr>
    <w:rPr>
      <w:rFonts w:ascii="Tahoma" w:hAnsi="Tahoma"/>
      <w:b w:val="0"/>
      <w:bCs w:val="0"/>
      <w:sz w:val="28"/>
      <w:szCs w:val="24"/>
    </w:rPr>
  </w:style>
  <w:style w:type="paragraph" w:styleId="1076">
    <w:name w:val="标题1"/>
    <w:basedOn w:val="851"/>
    <w:next w:val="851"/>
    <w:link w:val="1077"/>
    <w:qFormat/>
    <w:pPr>
      <w:jc w:val="center"/>
      <w:spacing w:before="240" w:after="60"/>
      <w:outlineLvl w:val="0"/>
    </w:pPr>
    <w:rPr>
      <w:rFonts w:ascii="Cambria" w:hAnsi="Cambria"/>
      <w:b/>
      <w:bCs/>
      <w:sz w:val="32"/>
      <w:szCs w:val="32"/>
      <w:lang w:val="en-US" w:eastAsia="en-US"/>
    </w:rPr>
  </w:style>
  <w:style w:type="character" w:styleId="1077">
    <w:name w:val="标题 字符"/>
    <w:next w:val="1077"/>
    <w:link w:val="1076"/>
    <w:rPr>
      <w:rFonts w:ascii="Cambria" w:hAnsi="Cambria" w:eastAsia="宋体" w:cs="Times New Roman"/>
      <w:b/>
      <w:bCs/>
      <w:sz w:val="32"/>
      <w:szCs w:val="32"/>
      <w:lang w:eastAsia="en-US"/>
    </w:rPr>
  </w:style>
  <w:style w:type="character" w:styleId="1078">
    <w:name w:val="标题 1 字符"/>
    <w:next w:val="1078"/>
    <w:link w:val="1075"/>
    <w:rPr>
      <w:rFonts w:ascii="Tahoma" w:hAnsi="Tahoma" w:eastAsia="宋体" w:cs="Times New Roman"/>
      <w:sz w:val="28"/>
      <w:szCs w:val="24"/>
      <w:lang w:eastAsia="en-US"/>
    </w:rPr>
  </w:style>
  <w:style w:type="paragraph" w:styleId="1079">
    <w:name w:val="标题 211"/>
    <w:basedOn w:val="851"/>
    <w:next w:val="851"/>
    <w:link w:val="1080"/>
    <w:qFormat/>
    <w:pPr>
      <w:keepNext/>
      <w:spacing w:before="240" w:after="60"/>
      <w:outlineLvl w:val="1"/>
    </w:pPr>
    <w:rPr>
      <w:rFonts w:ascii="Arial" w:hAnsi="Arial"/>
      <w:b/>
      <w:bCs/>
      <w:i/>
      <w:iCs/>
      <w:sz w:val="28"/>
      <w:szCs w:val="28"/>
      <w:lang w:val="en-US" w:eastAsia="en-US"/>
    </w:rPr>
  </w:style>
  <w:style w:type="character" w:styleId="1080">
    <w:name w:val="标题 2 字符"/>
    <w:next w:val="1080"/>
    <w:link w:val="1079"/>
    <w:rPr>
      <w:rFonts w:ascii="Arial" w:hAnsi="Arial" w:eastAsia="宋体" w:cs="Times New Roman"/>
      <w:b/>
      <w:bCs/>
      <w:i/>
      <w:iCs/>
      <w:sz w:val="28"/>
      <w:szCs w:val="28"/>
      <w:lang w:eastAsia="en-US"/>
    </w:rPr>
  </w:style>
  <w:style w:type="paragraph" w:styleId="1081">
    <w:name w:val="标题 311"/>
    <w:basedOn w:val="851"/>
    <w:next w:val="851"/>
    <w:link w:val="1082"/>
    <w:qFormat/>
    <w:pPr>
      <w:ind w:left="720" w:hanging="720"/>
      <w:keepNext/>
      <w:spacing w:before="240" w:after="60"/>
      <w:tabs>
        <w:tab w:val="left" w:pos="720" w:leader="none"/>
      </w:tabs>
      <w:outlineLvl w:val="2"/>
    </w:pPr>
    <w:rPr>
      <w:rFonts w:ascii="Arial" w:hAnsi="Arial"/>
      <w:b/>
      <w:bCs/>
      <w:sz w:val="26"/>
      <w:szCs w:val="26"/>
      <w:lang w:val="en-US" w:eastAsia="en-US"/>
    </w:rPr>
  </w:style>
  <w:style w:type="character" w:styleId="1082">
    <w:name w:val="标题 3 字符"/>
    <w:next w:val="1082"/>
    <w:link w:val="1081"/>
    <w:rPr>
      <w:rFonts w:ascii="Arial" w:hAnsi="Arial" w:eastAsia="宋体" w:cs="Times New Roman"/>
      <w:b/>
      <w:bCs/>
      <w:sz w:val="26"/>
      <w:szCs w:val="26"/>
      <w:lang w:eastAsia="en-US"/>
    </w:rPr>
  </w:style>
  <w:style w:type="paragraph" w:styleId="1083">
    <w:name w:val="标题 411"/>
    <w:basedOn w:val="851"/>
    <w:next w:val="851"/>
    <w:link w:val="1084"/>
    <w:qFormat/>
    <w:pPr>
      <w:numPr>
        <w:numId w:val="2"/>
      </w:numPr>
      <w:ind w:hanging="720"/>
      <w:jc w:val="left"/>
      <w:keepNext/>
      <w:spacing w:line="360" w:lineRule="auto"/>
      <w:tabs>
        <w:tab w:val="left" w:pos="180" w:leader="none"/>
        <w:tab w:val="left" w:pos="3085" w:leader="none"/>
      </w:tabs>
      <w:outlineLvl w:val="3"/>
    </w:pPr>
    <w:rPr>
      <w:rFonts w:ascii="宋体" w:hAnsi="宋体"/>
      <w:b/>
      <w:bCs/>
      <w:sz w:val="24"/>
      <w:szCs w:val="20"/>
      <w:u w:val="single"/>
      <w:lang w:val="en-US" w:eastAsia="en-US"/>
    </w:rPr>
  </w:style>
  <w:style w:type="character" w:styleId="1084">
    <w:name w:val="标题 4 字符"/>
    <w:next w:val="1084"/>
    <w:link w:val="1083"/>
    <w:rPr>
      <w:rFonts w:ascii="宋体" w:hAnsi="宋体" w:eastAsia="宋体" w:cs="宋体"/>
      <w:b/>
      <w:bCs/>
      <w:sz w:val="24"/>
      <w:szCs w:val="20"/>
      <w:u w:val="single"/>
      <w:lang w:eastAsia="en-US"/>
    </w:rPr>
  </w:style>
  <w:style w:type="paragraph" w:styleId="1085">
    <w:name w:val="标题 511"/>
    <w:basedOn w:val="851"/>
    <w:next w:val="851"/>
    <w:link w:val="1086"/>
    <w:qFormat/>
    <w:pPr>
      <w:ind w:left="1008" w:hanging="1008"/>
      <w:spacing w:before="240" w:after="60"/>
      <w:tabs>
        <w:tab w:val="left" w:pos="1008" w:leader="none"/>
      </w:tabs>
      <w:outlineLvl w:val="4"/>
    </w:pPr>
    <w:rPr>
      <w:rFonts w:ascii="Tahoma" w:hAnsi="Tahoma"/>
      <w:b/>
      <w:bCs/>
      <w:i/>
      <w:iCs/>
      <w:sz w:val="26"/>
      <w:szCs w:val="26"/>
      <w:lang w:val="en-US" w:eastAsia="en-US"/>
    </w:rPr>
  </w:style>
  <w:style w:type="character" w:styleId="1086">
    <w:name w:val="标题 5 字符"/>
    <w:next w:val="1086"/>
    <w:link w:val="1085"/>
    <w:rPr>
      <w:rFonts w:ascii="Tahoma" w:hAnsi="Tahoma" w:eastAsia="宋体" w:cs="Times New Roman"/>
      <w:b/>
      <w:bCs/>
      <w:i/>
      <w:iCs/>
      <w:sz w:val="26"/>
      <w:szCs w:val="26"/>
      <w:lang w:eastAsia="en-US"/>
    </w:rPr>
  </w:style>
  <w:style w:type="paragraph" w:styleId="1087">
    <w:name w:val="标题 611"/>
    <w:basedOn w:val="851"/>
    <w:next w:val="851"/>
    <w:link w:val="1088"/>
    <w:qFormat/>
    <w:pPr>
      <w:ind w:left="1152" w:hanging="1152"/>
      <w:spacing w:before="240" w:after="60"/>
      <w:tabs>
        <w:tab w:val="left" w:pos="1152" w:leader="none"/>
      </w:tabs>
      <w:outlineLvl w:val="5"/>
    </w:pPr>
    <w:rPr>
      <w:rFonts w:ascii="Tahoma" w:hAnsi="Tahoma"/>
      <w:b/>
      <w:bCs/>
      <w:sz w:val="22"/>
      <w:szCs w:val="20"/>
      <w:lang w:val="en-US" w:eastAsia="en-US"/>
    </w:rPr>
  </w:style>
  <w:style w:type="character" w:styleId="1088">
    <w:name w:val="标题 6 字符"/>
    <w:next w:val="1088"/>
    <w:link w:val="1087"/>
    <w:rPr>
      <w:rFonts w:ascii="Tahoma" w:hAnsi="Tahoma" w:eastAsia="宋体" w:cs="Times New Roman"/>
      <w:b/>
      <w:bCs/>
      <w:sz w:val="22"/>
      <w:lang w:eastAsia="en-US"/>
    </w:rPr>
  </w:style>
  <w:style w:type="paragraph" w:styleId="1089">
    <w:name w:val="标题 711"/>
    <w:basedOn w:val="851"/>
    <w:next w:val="851"/>
    <w:link w:val="1090"/>
    <w:qFormat/>
    <w:pPr>
      <w:ind w:left="1296" w:hanging="1296"/>
      <w:spacing w:before="240" w:after="60"/>
      <w:tabs>
        <w:tab w:val="left" w:pos="1296" w:leader="none"/>
      </w:tabs>
      <w:outlineLvl w:val="6"/>
    </w:pPr>
    <w:rPr>
      <w:rFonts w:ascii="Tahoma" w:hAnsi="Tahoma"/>
      <w:sz w:val="24"/>
      <w:szCs w:val="24"/>
      <w:lang w:val="en-US" w:eastAsia="en-US"/>
    </w:rPr>
  </w:style>
  <w:style w:type="character" w:styleId="1090">
    <w:name w:val="标题 7 字符"/>
    <w:next w:val="1090"/>
    <w:link w:val="1089"/>
    <w:rPr>
      <w:rFonts w:ascii="Tahoma" w:hAnsi="Tahoma" w:eastAsia="宋体" w:cs="Times New Roman"/>
      <w:sz w:val="24"/>
      <w:szCs w:val="24"/>
      <w:lang w:eastAsia="en-US"/>
    </w:rPr>
  </w:style>
  <w:style w:type="paragraph" w:styleId="1091">
    <w:name w:val="标题 811"/>
    <w:basedOn w:val="851"/>
    <w:next w:val="851"/>
    <w:link w:val="1092"/>
    <w:qFormat/>
    <w:pPr>
      <w:ind w:left="1440" w:hanging="1440"/>
      <w:spacing w:before="240" w:after="60"/>
      <w:tabs>
        <w:tab w:val="left" w:pos="1440" w:leader="none"/>
      </w:tabs>
      <w:outlineLvl w:val="7"/>
    </w:pPr>
    <w:rPr>
      <w:rFonts w:ascii="Tahoma" w:hAnsi="Tahoma"/>
      <w:i/>
      <w:iCs/>
      <w:sz w:val="24"/>
      <w:szCs w:val="24"/>
      <w:lang w:val="en-US" w:eastAsia="en-US"/>
    </w:rPr>
  </w:style>
  <w:style w:type="character" w:styleId="1092">
    <w:name w:val="标题 8 字符"/>
    <w:next w:val="1092"/>
    <w:link w:val="1091"/>
    <w:rPr>
      <w:rFonts w:ascii="Tahoma" w:hAnsi="Tahoma" w:eastAsia="宋体" w:cs="Times New Roman"/>
      <w:i/>
      <w:iCs/>
      <w:sz w:val="24"/>
      <w:szCs w:val="24"/>
      <w:lang w:eastAsia="en-US"/>
    </w:rPr>
  </w:style>
  <w:style w:type="paragraph" w:styleId="1093">
    <w:name w:val="标题 911"/>
    <w:basedOn w:val="851"/>
    <w:next w:val="851"/>
    <w:link w:val="1094"/>
    <w:qFormat/>
    <w:pPr>
      <w:ind w:left="1584" w:hanging="1584"/>
      <w:spacing w:before="240" w:after="60"/>
      <w:tabs>
        <w:tab w:val="left" w:pos="1584" w:leader="none"/>
      </w:tabs>
      <w:outlineLvl w:val="8"/>
    </w:pPr>
    <w:rPr>
      <w:rFonts w:ascii="Arial" w:hAnsi="Arial"/>
      <w:sz w:val="22"/>
      <w:szCs w:val="20"/>
      <w:lang w:val="en-US" w:eastAsia="en-US"/>
    </w:rPr>
  </w:style>
  <w:style w:type="character" w:styleId="1094">
    <w:name w:val="标题 9 字符"/>
    <w:next w:val="1094"/>
    <w:link w:val="1093"/>
    <w:rPr>
      <w:rFonts w:ascii="Arial" w:hAnsi="Arial" w:eastAsia="宋体" w:cs="Times New Roman"/>
      <w:sz w:val="22"/>
      <w:lang w:eastAsia="en-US"/>
    </w:rPr>
  </w:style>
  <w:style w:type="character" w:styleId="1095">
    <w:name w:val="默认段落字体1"/>
    <w:next w:val="1095"/>
    <w:link w:val="851"/>
    <w:uiPriority w:val="1"/>
    <w:unhideWhenUsed/>
  </w:style>
  <w:style w:type="table" w:styleId="1096">
    <w:name w:val="普通表格1"/>
    <w:next w:val="1096"/>
    <w:link w:val="851"/>
    <w:uiPriority w:val="99"/>
    <w:unhideWhenUsed/>
    <w:rPr>
      <w:lang w:val="en-US" w:eastAsia="zh-CN" w:bidi="ar-SA"/>
    </w:rPr>
    <w:tblPr/>
  </w:style>
  <w:style w:type="paragraph" w:styleId="1097">
    <w:name w:val="目录 71"/>
    <w:basedOn w:val="851"/>
    <w:next w:val="851"/>
    <w:link w:val="851"/>
    <w:pPr>
      <w:ind w:left="2520"/>
    </w:pPr>
    <w:rPr>
      <w:rFonts w:ascii="宋体" w:hAnsi="宋体" w:eastAsia="楷体_GB2312" w:cs="宋体"/>
      <w:sz w:val="26"/>
      <w:szCs w:val="20"/>
      <w:lang w:eastAsia="en-US"/>
    </w:rPr>
  </w:style>
  <w:style w:type="paragraph" w:styleId="1098">
    <w:name w:val="正文缩进11"/>
    <w:basedOn w:val="851"/>
    <w:next w:val="1098"/>
    <w:link w:val="1099"/>
    <w:qFormat/>
    <w:pPr>
      <w:ind w:firstLine="420"/>
      <w:jc w:val="left"/>
    </w:pPr>
    <w:rPr>
      <w:rFonts w:eastAsia="楷体_GB2312"/>
      <w:sz w:val="24"/>
      <w:szCs w:val="20"/>
      <w:lang w:val="en-US" w:eastAsia="en-US"/>
    </w:rPr>
  </w:style>
  <w:style w:type="character" w:styleId="1099">
    <w:name w:val="正文缩进 字符"/>
    <w:next w:val="1099"/>
    <w:link w:val="1098"/>
    <w:qFormat/>
    <w:rPr>
      <w:rFonts w:ascii="Times New Roman" w:hAnsi="Times New Roman" w:eastAsia="楷体_GB2312" w:cs="Times New Roman"/>
      <w:sz w:val="24"/>
      <w:szCs w:val="20"/>
      <w:lang w:eastAsia="en-US"/>
    </w:rPr>
  </w:style>
  <w:style w:type="paragraph" w:styleId="1100">
    <w:name w:val="文档结构图1"/>
    <w:basedOn w:val="851"/>
    <w:next w:val="1100"/>
    <w:link w:val="1101"/>
    <w:pPr>
      <w:shd w:val="clear" w:color="auto" w:fill="000080"/>
    </w:pPr>
    <w:rPr>
      <w:rFonts w:ascii="Tahoma" w:hAnsi="Tahoma"/>
      <w:sz w:val="20"/>
      <w:szCs w:val="24"/>
      <w:lang w:val="en-US" w:eastAsia="en-US"/>
    </w:rPr>
  </w:style>
  <w:style w:type="character" w:styleId="1101">
    <w:name w:val="文档结构图 字符"/>
    <w:next w:val="1101"/>
    <w:link w:val="1100"/>
    <w:rPr>
      <w:rFonts w:ascii="Tahoma" w:hAnsi="Tahoma" w:eastAsia="宋体" w:cs="Times New Roman"/>
      <w:szCs w:val="24"/>
      <w:shd w:val="clear" w:color="auto" w:fill="000080"/>
      <w:lang w:eastAsia="en-US"/>
    </w:rPr>
  </w:style>
  <w:style w:type="paragraph" w:styleId="1102">
    <w:name w:val="批注文字1"/>
    <w:basedOn w:val="851"/>
    <w:next w:val="1102"/>
    <w:link w:val="1103"/>
    <w:pPr>
      <w:jc w:val="left"/>
    </w:pPr>
    <w:rPr>
      <w:sz w:val="20"/>
      <w:szCs w:val="24"/>
      <w:lang w:val="en-US" w:eastAsia="en-US"/>
    </w:rPr>
  </w:style>
  <w:style w:type="character" w:styleId="1103">
    <w:name w:val="批注文字 字符"/>
    <w:next w:val="1103"/>
    <w:link w:val="1102"/>
    <w:rPr>
      <w:rFonts w:ascii="Times New Roman" w:hAnsi="Times New Roman" w:eastAsia="宋体" w:cs="Times New Roman"/>
      <w:szCs w:val="24"/>
      <w:lang w:eastAsia="en-US"/>
    </w:rPr>
  </w:style>
  <w:style w:type="paragraph" w:styleId="1104">
    <w:name w:val="正文文本缩进1"/>
    <w:basedOn w:val="851"/>
    <w:next w:val="1105"/>
    <w:link w:val="1106"/>
    <w:uiPriority w:val="99"/>
    <w:pPr>
      <w:ind w:left="570"/>
      <w:spacing w:line="520" w:lineRule="exact"/>
    </w:pPr>
    <w:rPr>
      <w:rFonts w:ascii="方正仿宋简体" w:hAnsi="创艺简仿宋" w:eastAsia="方正仿宋简体"/>
      <w:sz w:val="24"/>
      <w:szCs w:val="20"/>
      <w:lang w:val="en-US" w:eastAsia="en-US"/>
    </w:rPr>
  </w:style>
  <w:style w:type="paragraph" w:styleId="1105">
    <w:name w:val="寄信人地址1"/>
    <w:basedOn w:val="851"/>
    <w:next w:val="1105"/>
    <w:link w:val="851"/>
    <w:qFormat/>
    <w:rPr>
      <w:rFonts w:ascii="Arial" w:hAnsi="Arial"/>
    </w:rPr>
  </w:style>
  <w:style w:type="character" w:styleId="1106">
    <w:name w:val="正文文本缩进 字符"/>
    <w:next w:val="1106"/>
    <w:link w:val="1104"/>
    <w:uiPriority w:val="99"/>
    <w:rPr>
      <w:rFonts w:ascii="方正仿宋简体" w:hAnsi="创艺简仿宋" w:eastAsia="方正仿宋简体" w:cs="Times New Roman"/>
      <w:sz w:val="24"/>
      <w:szCs w:val="20"/>
      <w:lang w:eastAsia="en-US"/>
    </w:rPr>
  </w:style>
  <w:style w:type="paragraph" w:styleId="1107">
    <w:name w:val="目录 31"/>
    <w:basedOn w:val="851"/>
    <w:next w:val="851"/>
    <w:link w:val="851"/>
    <w:uiPriority w:val="39"/>
    <w:pPr>
      <w:ind w:left="840"/>
    </w:pPr>
    <w:rPr>
      <w:rFonts w:ascii="宋体" w:hAnsi="宋体" w:cs="宋体"/>
      <w:sz w:val="24"/>
      <w:szCs w:val="20"/>
      <w:lang w:eastAsia="en-US"/>
    </w:rPr>
  </w:style>
  <w:style w:type="paragraph" w:styleId="1108">
    <w:name w:val="纯文本11"/>
    <w:basedOn w:val="851"/>
    <w:next w:val="1108"/>
    <w:link w:val="1109"/>
    <w:rPr>
      <w:rFonts w:ascii="宋体" w:hAnsi="Courier New"/>
      <w:sz w:val="20"/>
      <w:szCs w:val="20"/>
      <w:lang w:val="en-US" w:eastAsia="en-US"/>
    </w:rPr>
  </w:style>
  <w:style w:type="character" w:styleId="1109">
    <w:name w:val="纯文本 字符"/>
    <w:next w:val="1109"/>
    <w:link w:val="1108"/>
    <w:qFormat/>
    <w:rPr>
      <w:rFonts w:ascii="宋体" w:hAnsi="Courier New" w:eastAsia="宋体" w:cs="Times New Roman"/>
      <w:szCs w:val="20"/>
      <w:lang w:eastAsia="en-US"/>
    </w:rPr>
  </w:style>
  <w:style w:type="paragraph" w:styleId="1110">
    <w:name w:val="日期1"/>
    <w:basedOn w:val="851"/>
    <w:next w:val="851"/>
    <w:link w:val="1111"/>
    <w:rPr>
      <w:rFonts w:ascii="宋体" w:hAnsi="宋体" w:eastAsia="楷体_GB2312"/>
      <w:sz w:val="24"/>
      <w:szCs w:val="20"/>
      <w:lang w:val="en-US" w:eastAsia="en-US"/>
    </w:rPr>
  </w:style>
  <w:style w:type="character" w:styleId="1111">
    <w:name w:val="日期 字符"/>
    <w:next w:val="1111"/>
    <w:link w:val="1110"/>
    <w:qFormat/>
    <w:rPr>
      <w:rFonts w:ascii="宋体" w:hAnsi="宋体" w:eastAsia="楷体_GB2312" w:cs="Times New Roman"/>
      <w:sz w:val="24"/>
      <w:szCs w:val="20"/>
    </w:rPr>
  </w:style>
  <w:style w:type="paragraph" w:styleId="1112">
    <w:name w:val="正文文本缩进 21"/>
    <w:basedOn w:val="851"/>
    <w:next w:val="1112"/>
    <w:link w:val="1113"/>
    <w:pPr>
      <w:ind w:firstLine="540"/>
      <w:spacing w:line="360" w:lineRule="auto"/>
    </w:pPr>
    <w:rPr>
      <w:rFonts w:ascii="宋体" w:hAnsi="宋体"/>
      <w:sz w:val="24"/>
      <w:szCs w:val="24"/>
      <w:lang w:val="en-US" w:eastAsia="en-US"/>
    </w:rPr>
  </w:style>
  <w:style w:type="character" w:styleId="1113">
    <w:name w:val="正文文本缩进 2 字符"/>
    <w:next w:val="1113"/>
    <w:link w:val="1112"/>
    <w:rPr>
      <w:rFonts w:ascii="宋体" w:hAnsi="宋体" w:eastAsia="宋体" w:cs="Times New Roman"/>
      <w:sz w:val="24"/>
      <w:szCs w:val="24"/>
    </w:rPr>
  </w:style>
  <w:style w:type="paragraph" w:styleId="1114">
    <w:name w:val="批注框文本1"/>
    <w:basedOn w:val="851"/>
    <w:next w:val="1114"/>
    <w:link w:val="1115"/>
    <w:uiPriority w:val="99"/>
    <w:rPr>
      <w:rFonts w:ascii="Tahoma" w:hAnsi="Tahoma"/>
      <w:sz w:val="18"/>
      <w:szCs w:val="18"/>
      <w:lang w:val="en-US" w:eastAsia="en-US"/>
    </w:rPr>
  </w:style>
  <w:style w:type="character" w:styleId="1115">
    <w:name w:val="批注框文本 字符"/>
    <w:next w:val="1115"/>
    <w:link w:val="1114"/>
    <w:uiPriority w:val="99"/>
    <w:qFormat/>
    <w:rPr>
      <w:rFonts w:ascii="Tahoma" w:hAnsi="Tahoma" w:eastAsia="宋体" w:cs="Times New Roman"/>
      <w:sz w:val="18"/>
      <w:szCs w:val="18"/>
    </w:rPr>
  </w:style>
  <w:style w:type="paragraph" w:styleId="1116">
    <w:name w:val="页脚11"/>
    <w:basedOn w:val="851"/>
    <w:next w:val="1116"/>
    <w:link w:val="1117"/>
    <w:uiPriority w:val="99"/>
    <w:pPr>
      <w:jc w:val="left"/>
      <w:tabs>
        <w:tab w:val="center" w:pos="4153" w:leader="none"/>
        <w:tab w:val="right" w:pos="8306" w:leader="none"/>
      </w:tabs>
    </w:pPr>
    <w:rPr>
      <w:rFonts w:ascii="Tahoma" w:hAnsi="Tahoma"/>
      <w:sz w:val="18"/>
      <w:szCs w:val="18"/>
      <w:lang w:val="en-US" w:eastAsia="en-US"/>
    </w:rPr>
  </w:style>
  <w:style w:type="character" w:styleId="1117">
    <w:name w:val="页脚 字符"/>
    <w:next w:val="1117"/>
    <w:link w:val="1116"/>
    <w:uiPriority w:val="99"/>
    <w:rPr>
      <w:rFonts w:ascii="Tahoma" w:hAnsi="Tahoma" w:eastAsia="宋体" w:cs="Times New Roman"/>
      <w:sz w:val="18"/>
      <w:szCs w:val="18"/>
      <w:lang w:eastAsia="en-US"/>
    </w:rPr>
  </w:style>
  <w:style w:type="paragraph" w:styleId="1118">
    <w:name w:val="页眉11"/>
    <w:basedOn w:val="851"/>
    <w:next w:val="1118"/>
    <w:link w:val="1119"/>
    <w:pPr>
      <w:jc w:val="center"/>
      <w:tabs>
        <w:tab w:val="center" w:pos="4153" w:leader="none"/>
        <w:tab w:val="right" w:pos="8306" w:leader="none"/>
      </w:tabs>
    </w:pPr>
    <w:rPr>
      <w:rFonts w:ascii="Tahoma" w:hAnsi="Tahoma" w:eastAsia="楷体_GB2312"/>
      <w:sz w:val="18"/>
      <w:szCs w:val="20"/>
      <w:lang w:val="en-US" w:eastAsia="en-US"/>
    </w:rPr>
  </w:style>
  <w:style w:type="character" w:styleId="1119">
    <w:name w:val="页眉 字符"/>
    <w:next w:val="1119"/>
    <w:link w:val="1118"/>
    <w:rPr>
      <w:rFonts w:ascii="Tahoma" w:hAnsi="Tahoma" w:eastAsia="楷体_GB2312"/>
      <w:sz w:val="18"/>
      <w:lang w:eastAsia="en-US"/>
    </w:rPr>
  </w:style>
  <w:style w:type="paragraph" w:styleId="1120">
    <w:name w:val="目录 11"/>
    <w:basedOn w:val="851"/>
    <w:next w:val="851"/>
    <w:link w:val="851"/>
    <w:pPr>
      <w:jc w:val="left"/>
    </w:pPr>
    <w:rPr>
      <w:rFonts w:ascii="宋体" w:hAnsi="宋体" w:eastAsia="楷体_GB2312" w:cs="宋体"/>
      <w:sz w:val="24"/>
      <w:szCs w:val="20"/>
      <w:lang w:eastAsia="en-US"/>
    </w:rPr>
  </w:style>
  <w:style w:type="paragraph" w:styleId="1121">
    <w:name w:val="目录 41"/>
    <w:basedOn w:val="851"/>
    <w:next w:val="851"/>
    <w:link w:val="851"/>
    <w:uiPriority w:val="39"/>
    <w:pPr>
      <w:ind w:left="1260"/>
    </w:pPr>
    <w:rPr>
      <w:rFonts w:ascii="宋体" w:hAnsi="宋体" w:cs="宋体"/>
      <w:sz w:val="24"/>
      <w:szCs w:val="20"/>
      <w:lang w:eastAsia="en-US"/>
    </w:rPr>
  </w:style>
  <w:style w:type="paragraph" w:styleId="1122">
    <w:name w:val="正文文本缩进 31"/>
    <w:basedOn w:val="851"/>
    <w:next w:val="1122"/>
    <w:link w:val="1123"/>
    <w:pPr>
      <w:ind w:left="360"/>
      <w:spacing w:line="360" w:lineRule="auto"/>
    </w:pPr>
    <w:rPr>
      <w:rFonts w:ascii="仿宋_GB2312" w:hAnsi="宋体" w:eastAsia="仿宋_GB2312"/>
      <w:color w:val="ff0000"/>
      <w:sz w:val="24"/>
      <w:szCs w:val="20"/>
      <w:lang w:val="en-US" w:eastAsia="en-US"/>
    </w:rPr>
  </w:style>
  <w:style w:type="character" w:styleId="1123">
    <w:name w:val="正文文本缩进 3 字符"/>
    <w:next w:val="1123"/>
    <w:link w:val="1122"/>
    <w:rPr>
      <w:rFonts w:ascii="仿宋_GB2312" w:hAnsi="宋体" w:eastAsia="仿宋_GB2312" w:cs="宋体"/>
      <w:color w:val="ff0000"/>
      <w:sz w:val="24"/>
      <w:szCs w:val="20"/>
      <w:lang w:eastAsia="en-US"/>
    </w:rPr>
  </w:style>
  <w:style w:type="paragraph" w:styleId="1124">
    <w:name w:val="目录 21"/>
    <w:basedOn w:val="851"/>
    <w:next w:val="851"/>
    <w:link w:val="851"/>
    <w:uiPriority w:val="39"/>
    <w:pPr>
      <w:ind w:left="420"/>
    </w:pPr>
    <w:rPr>
      <w:rFonts w:ascii="宋体" w:hAnsi="宋体" w:cs="宋体"/>
      <w:sz w:val="24"/>
      <w:szCs w:val="20"/>
      <w:lang w:eastAsia="en-US"/>
    </w:rPr>
  </w:style>
  <w:style w:type="paragraph" w:styleId="1125">
    <w:name w:val="正文文本 21"/>
    <w:basedOn w:val="851"/>
    <w:next w:val="1125"/>
    <w:link w:val="1126"/>
    <w:rPr>
      <w:rFonts w:ascii="仿宋_GB2312" w:hAnsi="宋体" w:eastAsia="仿宋_GB2312"/>
      <w:bCs/>
      <w:spacing w:val="20"/>
      <w:sz w:val="24"/>
      <w:szCs w:val="20"/>
      <w:lang w:val="en-US" w:eastAsia="en-US"/>
    </w:rPr>
  </w:style>
  <w:style w:type="character" w:styleId="1126">
    <w:name w:val="正文文本 2 字符"/>
    <w:next w:val="1126"/>
    <w:link w:val="1125"/>
    <w:rPr>
      <w:rFonts w:ascii="仿宋_GB2312" w:hAnsi="宋体" w:eastAsia="仿宋_GB2312" w:cs="Times New Roman"/>
      <w:bCs/>
      <w:spacing w:val="20"/>
      <w:sz w:val="24"/>
      <w:szCs w:val="20"/>
      <w:lang w:eastAsia="en-US"/>
    </w:rPr>
  </w:style>
  <w:style w:type="paragraph" w:styleId="1127">
    <w:name w:val="HTML 预设格式1"/>
    <w:basedOn w:val="851"/>
    <w:next w:val="1127"/>
    <w:link w:val="11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val="en-US" w:eastAsia="en-US"/>
    </w:rPr>
  </w:style>
  <w:style w:type="character" w:styleId="1128">
    <w:name w:val="HTML 预设格式 字符"/>
    <w:next w:val="1128"/>
    <w:link w:val="1127"/>
    <w:rPr>
      <w:rFonts w:ascii="Arial Unicode MS" w:hAnsi="Arial Unicode MS" w:eastAsia="Arial Unicode MS" w:cs="Times New Roman"/>
      <w:sz w:val="24"/>
      <w:szCs w:val="20"/>
      <w:lang w:eastAsia="en-US"/>
    </w:rPr>
  </w:style>
  <w:style w:type="paragraph" w:styleId="1129">
    <w:name w:val="普通(网站)1"/>
    <w:basedOn w:val="851"/>
    <w:next w:val="1129"/>
    <w:link w:val="851"/>
    <w:qFormat/>
    <w:pPr>
      <w:jc w:val="left"/>
      <w:spacing w:before="100" w:beforeAutospacing="1" w:after="100" w:afterAutospacing="1"/>
    </w:pPr>
    <w:rPr>
      <w:rFonts w:ascii="宋体" w:hAnsi="宋体"/>
      <w:sz w:val="24"/>
      <w:szCs w:val="20"/>
    </w:rPr>
  </w:style>
  <w:style w:type="paragraph" w:styleId="1130">
    <w:name w:val="批注主题1"/>
    <w:basedOn w:val="1102"/>
    <w:next w:val="1102"/>
    <w:link w:val="1131"/>
    <w:rPr>
      <w:rFonts w:ascii="宋体" w:hAnsi="Courier New"/>
    </w:rPr>
  </w:style>
  <w:style w:type="character" w:styleId="1131">
    <w:name w:val="批注主题 字符"/>
    <w:next w:val="1131"/>
    <w:link w:val="1130"/>
    <w:rPr>
      <w:rFonts w:ascii="宋体" w:hAnsi="Courier New" w:eastAsia="宋体" w:cs="Times New Roman"/>
      <w:szCs w:val="24"/>
      <w:lang w:eastAsia="en-US"/>
    </w:rPr>
  </w:style>
  <w:style w:type="paragraph" w:styleId="1132">
    <w:name w:val="正文首行缩进1"/>
    <w:basedOn w:val="880"/>
    <w:next w:val="1132"/>
    <w:link w:val="1133"/>
    <w:pPr>
      <w:ind w:firstLine="420"/>
      <w:jc w:val="both"/>
      <w:spacing w:after="120"/>
    </w:pPr>
    <w:rPr>
      <w:rFonts w:ascii="Times New Roman" w:eastAsia="楷体_GB2312"/>
      <w:sz w:val="26"/>
    </w:rPr>
  </w:style>
  <w:style w:type="character" w:styleId="1133">
    <w:name w:val="正文文本首行缩进 字符"/>
    <w:next w:val="1133"/>
    <w:link w:val="1132"/>
    <w:rPr>
      <w:rFonts w:ascii="Times New Roman" w:hAnsi="Tahoma" w:eastAsia="楷体_GB2312" w:cs="Times New Roman"/>
      <w:position w:val="6"/>
      <w:sz w:val="26"/>
      <w:szCs w:val="20"/>
      <w:lang w:eastAsia="en-US"/>
    </w:rPr>
  </w:style>
  <w:style w:type="paragraph" w:styleId="1134">
    <w:name w:val="正文首行缩进 21"/>
    <w:basedOn w:val="1104"/>
    <w:next w:val="1134"/>
    <w:link w:val="1135"/>
    <w:qFormat/>
    <w:pPr>
      <w:ind w:firstLine="420"/>
    </w:pPr>
    <w:rPr>
      <w:rFonts w:ascii="Times New Roman" w:hAnsi="Times New Roman" w:eastAsia="宋体"/>
      <w:sz w:val="20"/>
    </w:rPr>
  </w:style>
  <w:style w:type="character" w:styleId="1135">
    <w:name w:val="正文文本首行缩进 2 字符"/>
    <w:next w:val="1135"/>
    <w:link w:val="1134"/>
    <w:rPr>
      <w:lang w:eastAsia="en-US"/>
    </w:rPr>
  </w:style>
  <w:style w:type="table" w:styleId="1136">
    <w:name w:val="网格型1"/>
    <w:basedOn w:val="1096"/>
    <w:next w:val="1136"/>
    <w:link w:val="851"/>
    <w:uiPriority w:val="99"/>
    <w:unhideWhenUsed/>
    <w:pPr>
      <w:jc w:val="both"/>
      <w:widowControl w:val="off"/>
    </w:pPr>
    <w:tblPr/>
  </w:style>
  <w:style w:type="character" w:styleId="1137">
    <w:name w:val="要点1"/>
    <w:next w:val="1137"/>
    <w:link w:val="851"/>
    <w:qFormat/>
    <w:rPr>
      <w:rFonts w:ascii="Calibri" w:hAnsi="Calibri" w:eastAsia="宋体" w:cs="Times New Roman"/>
      <w:b/>
    </w:rPr>
  </w:style>
  <w:style w:type="character" w:styleId="1138">
    <w:name w:val="页码1"/>
    <w:next w:val="1138"/>
    <w:link w:val="851"/>
  </w:style>
  <w:style w:type="character" w:styleId="1139">
    <w:name w:val="已访问的超链接1"/>
    <w:next w:val="1139"/>
    <w:link w:val="851"/>
    <w:uiPriority w:val="99"/>
    <w:rPr>
      <w:rFonts w:ascii="Tahoma" w:hAnsi="Tahoma" w:eastAsia="宋体"/>
      <w:color w:val="585858"/>
      <w:sz w:val="24"/>
      <w:u w:val="none"/>
    </w:rPr>
  </w:style>
  <w:style w:type="character" w:styleId="1140">
    <w:name w:val="强调1"/>
    <w:next w:val="1140"/>
    <w:link w:val="851"/>
    <w:qFormat/>
    <w:rPr>
      <w:rFonts w:ascii="Tahoma" w:hAnsi="Tahoma" w:eastAsia="宋体"/>
      <w:sz w:val="24"/>
    </w:rPr>
  </w:style>
  <w:style w:type="character" w:styleId="1141">
    <w:name w:val="超链接1"/>
    <w:next w:val="1141"/>
    <w:link w:val="851"/>
    <w:uiPriority w:val="99"/>
    <w:rPr>
      <w:rFonts w:ascii="Tahoma" w:hAnsi="Tahoma" w:eastAsia="宋体"/>
      <w:color w:val="000000"/>
      <w:sz w:val="24"/>
      <w:u w:val="none"/>
    </w:rPr>
  </w:style>
  <w:style w:type="character" w:styleId="1142">
    <w:name w:val="批注引用1"/>
    <w:next w:val="1142"/>
    <w:link w:val="851"/>
    <w:rPr>
      <w:rFonts w:ascii="Tahoma" w:hAnsi="Tahoma" w:eastAsia="宋体"/>
      <w:sz w:val="21"/>
      <w:szCs w:val="21"/>
    </w:rPr>
  </w:style>
  <w:style w:type="character" w:styleId="1143">
    <w:name w:val="脚注引用1"/>
    <w:next w:val="1143"/>
    <w:link w:val="851"/>
    <w:semiHidden/>
    <w:rPr>
      <w:rFonts w:ascii="Tahoma" w:hAnsi="Tahoma" w:eastAsia="宋体"/>
      <w:sz w:val="24"/>
      <w:vertAlign w:val="superscript"/>
    </w:rPr>
  </w:style>
  <w:style w:type="paragraph" w:styleId="1144">
    <w:name w:val="段"/>
    <w:next w:val="851"/>
    <w:link w:val="851"/>
    <w:qFormat/>
    <w:pPr>
      <w:ind w:firstLine="200"/>
      <w:jc w:val="both"/>
    </w:pPr>
    <w:rPr>
      <w:rFonts w:ascii="宋体"/>
      <w:sz w:val="21"/>
      <w:lang w:val="en-US" w:eastAsia="zh-CN" w:bidi="ar-SA"/>
    </w:rPr>
  </w:style>
  <w:style w:type="paragraph" w:styleId="1145">
    <w:name w:val="Table Paragraph"/>
    <w:basedOn w:val="851"/>
    <w:next w:val="1145"/>
    <w:link w:val="851"/>
    <w:uiPriority w:val="1"/>
    <w:qFormat/>
    <w:pPr>
      <w:jc w:val="left"/>
    </w:pPr>
    <w:rPr>
      <w:rFonts w:ascii="宋体" w:hAnsi="宋体" w:cs="宋体"/>
      <w:sz w:val="22"/>
      <w:szCs w:val="21"/>
      <w:lang w:val="zh-CN" w:bidi="zh-CN"/>
    </w:rPr>
  </w:style>
  <w:style w:type="paragraph" w:styleId="1146">
    <w:name w:val="纯文本7"/>
    <w:basedOn w:val="851"/>
    <w:next w:val="1146"/>
    <w:link w:val="851"/>
    <w:qFormat/>
    <w:rPr>
      <w:rFonts w:hint="eastAsia" w:ascii="宋体" w:hAnsi="Courier New" w:eastAsia="楷体_GB2312"/>
      <w:sz w:val="28"/>
      <w:szCs w:val="20"/>
    </w:rPr>
  </w:style>
  <w:style w:type="character" w:styleId="1147">
    <w:name w:val="z-窗体底端 字符"/>
    <w:next w:val="1147"/>
    <w:link w:val="1148"/>
    <w:uiPriority w:val="99"/>
    <w:rPr>
      <w:rFonts w:ascii="Arial" w:hAnsi="Arial" w:eastAsia="宋体" w:cs="Arial"/>
      <w:vanish/>
      <w:sz w:val="16"/>
      <w:szCs w:val="16"/>
    </w:rPr>
  </w:style>
  <w:style w:type="paragraph" w:styleId="1148">
    <w:name w:val="z-窗体底端1"/>
    <w:basedOn w:val="851"/>
    <w:next w:val="851"/>
    <w:link w:val="1147"/>
    <w:uiPriority w:val="99"/>
    <w:unhideWhenUsed/>
    <w:pPr>
      <w:jc w:val="center"/>
      <w:widowControl/>
      <w:pBdr>
        <w:top w:val="single" w:color="000000" w:sz="6" w:space="1"/>
      </w:pBdr>
    </w:pPr>
    <w:rPr>
      <w:rFonts w:ascii="Arial" w:hAnsi="Arial"/>
      <w:vanish/>
      <w:sz w:val="16"/>
      <w:szCs w:val="16"/>
      <w:lang w:val="en-US" w:eastAsia="en-US"/>
    </w:rPr>
  </w:style>
  <w:style w:type="character" w:styleId="1149">
    <w:name w:val="z-窗体底端 Char1"/>
    <w:next w:val="1149"/>
    <w:link w:val="851"/>
    <w:uiPriority w:val="99"/>
    <w:semiHidden/>
    <w:rPr>
      <w:rFonts w:ascii="Arial" w:hAnsi="Arial" w:cs="Arial"/>
      <w:vanish/>
      <w:sz w:val="16"/>
      <w:szCs w:val="16"/>
    </w:rPr>
  </w:style>
  <w:style w:type="character" w:styleId="1150">
    <w:name w:val="15"/>
    <w:next w:val="1150"/>
    <w:link w:val="851"/>
    <w:rPr>
      <w:rFonts w:ascii="Tahoma" w:hAnsi="Tahoma" w:eastAsia="宋体" w:cs="Tahoma"/>
      <w:sz w:val="24"/>
      <w:szCs w:val="24"/>
    </w:rPr>
  </w:style>
  <w:style w:type="character" w:styleId="1151">
    <w:name w:val="10"/>
    <w:next w:val="1151"/>
    <w:link w:val="851"/>
    <w:rPr>
      <w:rFonts w:ascii="Tahoma" w:hAnsi="Tahoma" w:eastAsia="宋体" w:cs="Tahoma"/>
      <w:sz w:val="24"/>
      <w:szCs w:val="24"/>
    </w:rPr>
  </w:style>
  <w:style w:type="character" w:styleId="1152">
    <w:name w:val="z-窗体顶端 字符"/>
    <w:next w:val="1152"/>
    <w:link w:val="1153"/>
    <w:uiPriority w:val="99"/>
    <w:rPr>
      <w:rFonts w:ascii="Arial" w:hAnsi="Arial" w:eastAsia="宋体" w:cs="Arial"/>
      <w:vanish/>
      <w:sz w:val="16"/>
      <w:szCs w:val="16"/>
    </w:rPr>
  </w:style>
  <w:style w:type="paragraph" w:styleId="1153">
    <w:name w:val="z-窗体顶端1"/>
    <w:basedOn w:val="851"/>
    <w:next w:val="851"/>
    <w:link w:val="1152"/>
    <w:uiPriority w:val="99"/>
    <w:unhideWhenUsed/>
    <w:pPr>
      <w:jc w:val="center"/>
      <w:widowControl/>
      <w:pBdr>
        <w:bottom w:val="single" w:color="000000" w:sz="6" w:space="1"/>
      </w:pBdr>
    </w:pPr>
    <w:rPr>
      <w:rFonts w:ascii="Arial" w:hAnsi="Arial"/>
      <w:vanish/>
      <w:sz w:val="16"/>
      <w:szCs w:val="16"/>
      <w:lang w:val="en-US" w:eastAsia="en-US"/>
    </w:rPr>
  </w:style>
  <w:style w:type="character" w:styleId="1154">
    <w:name w:val="z-窗体顶端 Char1"/>
    <w:next w:val="1154"/>
    <w:link w:val="851"/>
    <w:uiPriority w:val="99"/>
    <w:semiHidden/>
    <w:rPr>
      <w:rFonts w:ascii="Arial" w:hAnsi="Arial" w:cs="Arial"/>
      <w:vanish/>
      <w:sz w:val="16"/>
      <w:szCs w:val="16"/>
    </w:rPr>
  </w:style>
  <w:style w:type="character" w:styleId="1155">
    <w:name w:val="纯文本 Char1"/>
    <w:next w:val="1155"/>
    <w:link w:val="851"/>
    <w:rPr>
      <w:rFonts w:ascii="宋体" w:hAnsi="Courier New" w:eastAsia="宋体"/>
      <w:sz w:val="21"/>
      <w:szCs w:val="21"/>
      <w:lang w:val="en-US" w:eastAsia="zh-CN" w:bidi="ar-SA"/>
    </w:rPr>
  </w:style>
  <w:style w:type="character" w:styleId="1156">
    <w:name w:val="sub_title s0"/>
    <w:next w:val="1156"/>
    <w:link w:val="851"/>
  </w:style>
  <w:style w:type="character" w:styleId="1157">
    <w:name w:val="Plain Text Char Char"/>
    <w:next w:val="1157"/>
    <w:link w:val="1158"/>
    <w:qFormat/>
    <w:rPr>
      <w:rFonts w:ascii="宋体" w:hAnsi="Courier New" w:eastAsia="楷体_GB2312"/>
      <w:sz w:val="28"/>
    </w:rPr>
  </w:style>
  <w:style w:type="paragraph" w:styleId="1158">
    <w:name w:val="纯文本6"/>
    <w:basedOn w:val="851"/>
    <w:next w:val="1158"/>
    <w:link w:val="1157"/>
    <w:qFormat/>
    <w:rPr>
      <w:rFonts w:ascii="宋体" w:hAnsi="Courier New" w:eastAsia="楷体_GB2312"/>
      <w:sz w:val="28"/>
      <w:szCs w:val="20"/>
      <w:lang w:val="en-US" w:eastAsia="en-US"/>
    </w:rPr>
  </w:style>
  <w:style w:type="character" w:styleId="1159">
    <w:name w:val="Char Char11"/>
    <w:next w:val="1159"/>
    <w:link w:val="851"/>
    <w:rPr>
      <w:rFonts w:ascii="宋体" w:hAnsi="宋体" w:eastAsia="楷体_GB2312"/>
      <w:sz w:val="24"/>
      <w:lang w:val="en-US" w:eastAsia="zh-CN" w:bidi="ar-SA"/>
    </w:rPr>
  </w:style>
  <w:style w:type="character" w:styleId="1160">
    <w:name w:val="正文缩进 Char1"/>
    <w:next w:val="1160"/>
    <w:link w:val="851"/>
    <w:rPr>
      <w:rFonts w:ascii="Tahoma" w:hAnsi="Tahoma" w:eastAsia="楷体_GB2312"/>
      <w:sz w:val="24"/>
      <w:lang w:val="en-US" w:eastAsia="zh-CN" w:bidi="ar-SA"/>
    </w:rPr>
  </w:style>
  <w:style w:type="character" w:styleId="1161">
    <w:name w:val="批注文字 Char1"/>
    <w:next w:val="1161"/>
    <w:link w:val="851"/>
    <w:rPr>
      <w:rFonts w:ascii="Tahoma" w:hAnsi="Tahoma" w:eastAsia="宋体"/>
      <w:sz w:val="21"/>
      <w:szCs w:val="24"/>
    </w:rPr>
  </w:style>
  <w:style w:type="paragraph" w:styleId="1162">
    <w:name w:val="Char"/>
    <w:basedOn w:val="851"/>
    <w:next w:val="1162"/>
    <w:link w:val="851"/>
    <w:pPr>
      <w:numPr>
        <w:numId w:val="3"/>
      </w:numPr>
      <w:tabs>
        <w:tab w:val="left" w:pos="960" w:leader="none"/>
      </w:tabs>
    </w:pPr>
    <w:rPr>
      <w:rFonts w:ascii="宋体" w:hAnsi="宋体" w:cs="宋体"/>
      <w:sz w:val="24"/>
      <w:szCs w:val="20"/>
      <w:lang w:eastAsia="en-US"/>
    </w:rPr>
  </w:style>
  <w:style w:type="paragraph" w:styleId="1163">
    <w:name w:val="Date1"/>
    <w:basedOn w:val="851"/>
    <w:next w:val="851"/>
    <w:link w:val="851"/>
    <w:rPr>
      <w:rFonts w:ascii="宋体" w:hAnsi="宋体" w:eastAsia="楷体_GB2312" w:cs="宋体"/>
      <w:sz w:val="24"/>
      <w:szCs w:val="20"/>
      <w:lang w:eastAsia="en-US"/>
    </w:rPr>
  </w:style>
  <w:style w:type="paragraph" w:styleId="1164">
    <w:name w:val="用户2"/>
    <w:basedOn w:val="1079"/>
    <w:next w:val="1164"/>
    <w:link w:val="851"/>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165">
    <w:name w:val="Normal1"/>
    <w:basedOn w:val="851"/>
    <w:next w:val="1165"/>
    <w:link w:val="851"/>
    <w:rPr>
      <w:rFonts w:ascii="宋体" w:hAnsi="宋体" w:cs="宋体"/>
      <w:sz w:val="24"/>
      <w:szCs w:val="20"/>
      <w:lang w:eastAsia="en-US"/>
    </w:rPr>
  </w:style>
  <w:style w:type="paragraph" w:styleId="1166">
    <w:name w:val="p0"/>
    <w:basedOn w:val="851"/>
    <w:next w:val="1166"/>
    <w:link w:val="851"/>
    <w:pPr>
      <w:widowControl/>
    </w:pPr>
    <w:rPr>
      <w:rFonts w:ascii="宋体" w:hAnsi="宋体" w:cs="宋体"/>
      <w:sz w:val="24"/>
      <w:szCs w:val="21"/>
      <w:lang w:eastAsia="en-US"/>
    </w:rPr>
  </w:style>
  <w:style w:type="paragraph" w:styleId="1167">
    <w:name w:val="_Style 12"/>
    <w:basedOn w:val="1100"/>
    <w:next w:val="1167"/>
    <w:link w:val="851"/>
    <w:pPr>
      <w:spacing w:line="360" w:lineRule="auto"/>
    </w:pPr>
    <w:rPr>
      <w:szCs w:val="20"/>
    </w:rPr>
  </w:style>
  <w:style w:type="paragraph" w:styleId="1168">
    <w:name w:val="修订1"/>
    <w:next w:val="1168"/>
    <w:link w:val="851"/>
    <w:uiPriority w:val="99"/>
    <w:semiHidden/>
    <w:rPr>
      <w:rFonts w:eastAsia="仿宋_GB2312"/>
      <w:sz w:val="28"/>
      <w:szCs w:val="24"/>
      <w:lang w:val="en-US" w:eastAsia="zh-CN" w:bidi="ar-SA"/>
    </w:rPr>
  </w:style>
  <w:style w:type="paragraph" w:styleId="1169">
    <w:name w:val="首行缩进"/>
    <w:basedOn w:val="851"/>
    <w:next w:val="1169"/>
    <w:link w:val="851"/>
    <w:qFormat/>
    <w:pPr>
      <w:ind w:firstLine="480"/>
    </w:pPr>
    <w:rPr>
      <w:rFonts w:ascii="宋体" w:hAnsi="宋体" w:cs="宋体"/>
      <w:szCs w:val="20"/>
      <w:lang w:val="zh-CN" w:eastAsia="en-US"/>
    </w:rPr>
  </w:style>
  <w:style w:type="paragraph" w:styleId="1170">
    <w:name w:val="文档正文"/>
    <w:basedOn w:val="851"/>
    <w:next w:val="1170"/>
    <w:link w:val="851"/>
    <w:pPr>
      <w:ind w:firstLine="567"/>
      <w:spacing w:line="312" w:lineRule="atLeast"/>
    </w:pPr>
    <w:rPr>
      <w:rFonts w:ascii="长城仿宋" w:hAnsi="宋体" w:eastAsia="长城仿宋" w:cs="宋体"/>
      <w:sz w:val="28"/>
      <w:szCs w:val="20"/>
      <w:lang w:eastAsia="en-US"/>
    </w:rPr>
  </w:style>
  <w:style w:type="paragraph" w:styleId="1171">
    <w:name w:val="Char Char Char Char Char Char Char Char Char Char"/>
    <w:basedOn w:val="851"/>
    <w:next w:val="1171"/>
    <w:link w:val="851"/>
    <w:pPr>
      <w:numPr>
        <w:numId w:val="4"/>
      </w:numPr>
    </w:pPr>
    <w:rPr>
      <w:rFonts w:ascii="宋体" w:hAnsi="宋体" w:cs="宋体"/>
      <w:sz w:val="24"/>
      <w:szCs w:val="20"/>
      <w:lang w:eastAsia="en-US"/>
    </w:rPr>
  </w:style>
  <w:style w:type="paragraph" w:styleId="1172">
    <w:name w:val="纯文本2"/>
    <w:basedOn w:val="851"/>
    <w:next w:val="1172"/>
    <w:link w:val="851"/>
    <w:qFormat/>
    <w:rPr>
      <w:rFonts w:ascii="宋体" w:hAnsi="Courier New" w:cs="宋体"/>
      <w:sz w:val="26"/>
      <w:szCs w:val="20"/>
      <w:lang w:eastAsia="en-US"/>
    </w:rPr>
  </w:style>
  <w:style w:type="paragraph" w:styleId="1173">
    <w:name w:val="[Normal]"/>
    <w:next w:val="1173"/>
    <w:link w:val="851"/>
    <w:qFormat/>
    <w:pPr>
      <w:widowControl w:val="off"/>
    </w:pPr>
    <w:rPr>
      <w:rFonts w:ascii="宋体" w:hAnsi="宋体" w:cs="宋体"/>
      <w:sz w:val="24"/>
      <w:lang w:val="en-US" w:eastAsia="zh-CN" w:bidi="ar-SA"/>
    </w:rPr>
  </w:style>
  <w:style w:type="paragraph" w:styleId="1174">
    <w:name w:val="3级标题"/>
    <w:basedOn w:val="1175"/>
    <w:next w:val="1174"/>
    <w:link w:val="851"/>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175">
    <w:name w:val="列表段落1"/>
    <w:basedOn w:val="851"/>
    <w:next w:val="1175"/>
    <w:link w:val="851"/>
    <w:qFormat/>
    <w:pPr>
      <w:ind w:firstLine="420"/>
    </w:pPr>
    <w:rPr>
      <w:rFonts w:ascii="Calibri" w:hAnsi="Calibri" w:cs="宋体"/>
      <w:sz w:val="24"/>
      <w:lang w:eastAsia="en-US"/>
    </w:rPr>
  </w:style>
  <w:style w:type="paragraph" w:styleId="1176">
    <w:name w:val="纯文本1"/>
    <w:basedOn w:val="851"/>
    <w:next w:val="1176"/>
    <w:link w:val="851"/>
    <w:qFormat/>
    <w:rPr>
      <w:rFonts w:hint="eastAsia" w:ascii="宋体" w:hAnsi="Courier New" w:eastAsia="楷体_GB2312" w:cs="宋体"/>
      <w:sz w:val="28"/>
      <w:szCs w:val="20"/>
      <w:lang w:eastAsia="en-US"/>
    </w:rPr>
  </w:style>
  <w:style w:type="paragraph" w:styleId="1177">
    <w:name w:val="样式 首行缩进:  2 字符"/>
    <w:basedOn w:val="851"/>
    <w:next w:val="1177"/>
    <w:link w:val="851"/>
    <w:rPr>
      <w:rFonts w:ascii="宋体" w:hAnsi="宋体" w:cs="宋体"/>
      <w:sz w:val="28"/>
      <w:szCs w:val="20"/>
      <w:lang w:eastAsia="en-US"/>
    </w:rPr>
  </w:style>
  <w:style w:type="paragraph" w:styleId="1178">
    <w:name w:val="Plain Text1"/>
    <w:basedOn w:val="851"/>
    <w:next w:val="1178"/>
    <w:link w:val="851"/>
    <w:qFormat/>
    <w:rPr>
      <w:rFonts w:hint="eastAsia" w:ascii="宋体" w:hAnsi="Courier New" w:eastAsia="楷体_GB2312" w:cs="宋体"/>
      <w:sz w:val="28"/>
      <w:szCs w:val="20"/>
      <w:lang w:eastAsia="en-US"/>
    </w:rPr>
  </w:style>
  <w:style w:type="paragraph" w:styleId="1179">
    <w:name w:val="列出段落1"/>
    <w:basedOn w:val="851"/>
    <w:next w:val="1179"/>
    <w:link w:val="851"/>
    <w:qFormat/>
    <w:pPr>
      <w:ind w:firstLine="420"/>
    </w:pPr>
    <w:rPr>
      <w:rFonts w:ascii="宋体" w:hAnsi="宋体" w:cs="宋体"/>
      <w:sz w:val="24"/>
      <w:szCs w:val="20"/>
      <w:lang w:eastAsia="en-US"/>
    </w:rPr>
  </w:style>
  <w:style w:type="paragraph" w:styleId="1180">
    <w:name w:val="无间隔1"/>
    <w:basedOn w:val="851"/>
    <w:next w:val="1180"/>
    <w:link w:val="851"/>
    <w:uiPriority w:val="1"/>
    <w:qFormat/>
    <w:pPr>
      <w:spacing w:before="260" w:after="260" w:line="360" w:lineRule="auto"/>
    </w:pPr>
    <w:rPr>
      <w:rFonts w:ascii="Calibri" w:hAnsi="Calibri" w:cs="宋体"/>
      <w:szCs w:val="21"/>
      <w:lang w:eastAsia="en-US"/>
    </w:rPr>
  </w:style>
  <w:style w:type="paragraph" w:styleId="1181">
    <w:name w:val="p17"/>
    <w:basedOn w:val="851"/>
    <w:next w:val="1181"/>
    <w:link w:val="851"/>
    <w:pPr>
      <w:ind w:left="420"/>
      <w:spacing w:after="120"/>
      <w:widowControl/>
    </w:pPr>
    <w:rPr>
      <w:rFonts w:ascii="宋体" w:hAnsi="宋体" w:cs="宋体"/>
      <w:sz w:val="28"/>
      <w:szCs w:val="28"/>
      <w:lang w:eastAsia="en-US"/>
    </w:rPr>
  </w:style>
  <w:style w:type="paragraph" w:styleId="1182">
    <w:name w:val="Char1 Char Char Char"/>
    <w:basedOn w:val="851"/>
    <w:next w:val="1182"/>
    <w:link w:val="851"/>
    <w:rPr>
      <w:rFonts w:ascii="宋体" w:hAnsi="宋体" w:cs="宋体"/>
      <w:sz w:val="24"/>
      <w:szCs w:val="20"/>
      <w:lang w:eastAsia="en-US"/>
    </w:rPr>
  </w:style>
  <w:style w:type="paragraph" w:styleId="1183">
    <w:name w:val="Char Char Char"/>
    <w:basedOn w:val="851"/>
    <w:next w:val="1183"/>
    <w:link w:val="851"/>
    <w:rPr>
      <w:rFonts w:ascii="Tahoma" w:hAnsi="Tahoma" w:cs="宋体"/>
      <w:sz w:val="24"/>
      <w:szCs w:val="20"/>
      <w:lang w:eastAsia="en-US"/>
    </w:rPr>
  </w:style>
  <w:style w:type="paragraph" w:styleId="1184">
    <w:name w:val="正文 New"/>
    <w:next w:val="1184"/>
    <w:link w:val="851"/>
    <w:pPr>
      <w:jc w:val="both"/>
      <w:widowControl w:val="off"/>
    </w:pPr>
    <w:rPr>
      <w:sz w:val="21"/>
      <w:szCs w:val="24"/>
      <w:lang w:val="en-US" w:eastAsia="zh-CN" w:bidi="ar-SA"/>
    </w:rPr>
  </w:style>
  <w:style w:type="paragraph" w:styleId="1185">
    <w:name w:val="Char Char4"/>
    <w:basedOn w:val="851"/>
    <w:next w:val="1185"/>
    <w:link w:val="851"/>
    <w:pPr>
      <w:jc w:val="left"/>
      <w:spacing w:after="160" w:line="240" w:lineRule="exact"/>
      <w:widowControl/>
    </w:pPr>
    <w:rPr>
      <w:rFonts w:ascii="Verdana" w:hAnsi="Verdana" w:cs="宋体"/>
      <w:sz w:val="20"/>
      <w:szCs w:val="20"/>
      <w:lang w:eastAsia="en-US"/>
    </w:rPr>
  </w:style>
  <w:style w:type="paragraph" w:styleId="1186">
    <w:name w:val="正文 New New"/>
    <w:next w:val="1186"/>
    <w:link w:val="851"/>
    <w:pPr>
      <w:jc w:val="both"/>
      <w:widowControl w:val="off"/>
    </w:pPr>
    <w:rPr>
      <w:sz w:val="21"/>
      <w:szCs w:val="24"/>
      <w:lang w:val="en-US" w:eastAsia="zh-CN" w:bidi="ar-SA"/>
    </w:rPr>
  </w:style>
  <w:style w:type="character" w:styleId="1187">
    <w:name w:val="列出段落 Char"/>
    <w:next w:val="1187"/>
    <w:link w:val="927"/>
    <w:uiPriority w:val="34"/>
    <w:qFormat/>
    <w:rPr>
      <w:rFonts w:ascii="宋体" w:hAnsi="宋体" w:cs="宋体"/>
      <w:sz w:val="24"/>
      <w:lang w:eastAsia="en-US"/>
    </w:rPr>
  </w:style>
  <w:style w:type="paragraph" w:styleId="1188">
    <w:name w:val="纯文本12"/>
    <w:basedOn w:val="851"/>
    <w:next w:val="1188"/>
    <w:link w:val="851"/>
    <w:qFormat/>
    <w:rPr>
      <w:rFonts w:ascii="宋体" w:hAnsi="Courier New" w:cs="宋体"/>
      <w:sz w:val="24"/>
      <w:szCs w:val="20"/>
      <w:lang w:eastAsia="en-US"/>
    </w:rPr>
  </w:style>
  <w:style w:type="paragraph" w:styleId="1189">
    <w:name w:val="Char1"/>
    <w:basedOn w:val="851"/>
    <w:next w:val="1189"/>
    <w:link w:val="851"/>
    <w:rPr>
      <w:rFonts w:ascii="Tahoma" w:hAnsi="Tahoma" w:cs="宋体"/>
      <w:sz w:val="24"/>
      <w:szCs w:val="20"/>
      <w:lang w:eastAsia="en-US"/>
    </w:rPr>
  </w:style>
  <w:style w:type="paragraph" w:styleId="1190">
    <w:name w:val="Blockquote"/>
    <w:basedOn w:val="851"/>
    <w:next w:val="1190"/>
    <w:link w:val="851"/>
    <w:pPr>
      <w:ind w:left="360" w:right="360"/>
      <w:jc w:val="left"/>
      <w:spacing w:before="100" w:after="100"/>
    </w:pPr>
    <w:rPr>
      <w:rFonts w:ascii="宋体" w:hAnsi="宋体" w:cs="宋体"/>
      <w:sz w:val="24"/>
      <w:szCs w:val="21"/>
      <w:lang w:eastAsia="en-US"/>
    </w:rPr>
  </w:style>
  <w:style w:type="paragraph" w:styleId="1191">
    <w:name w:val="cucd-TB"/>
    <w:next w:val="1191"/>
    <w:link w:val="851"/>
    <w:pPr>
      <w:jc w:val="center"/>
      <w:spacing w:line="360" w:lineRule="auto"/>
    </w:pPr>
    <w:rPr>
      <w:sz w:val="21"/>
      <w:szCs w:val="24"/>
      <w:lang w:val="en-US" w:eastAsia="zh-CN" w:bidi="ar-SA"/>
    </w:rPr>
  </w:style>
  <w:style w:type="paragraph" w:styleId="1192">
    <w:name w:val="Char Char1 Char Char Char Char Char Char Char"/>
    <w:basedOn w:val="851"/>
    <w:next w:val="1192"/>
    <w:link w:val="851"/>
    <w:rPr>
      <w:rFonts w:ascii="宋体" w:hAnsi="宋体" w:cs="宋体"/>
      <w:sz w:val="24"/>
      <w:szCs w:val="20"/>
      <w:lang w:eastAsia="en-US"/>
    </w:rPr>
  </w:style>
  <w:style w:type="paragraph" w:styleId="1193">
    <w:name w:val="Andy_正文"/>
    <w:basedOn w:val="851"/>
    <w:next w:val="1193"/>
    <w:link w:val="851"/>
    <w:qFormat/>
    <w:pPr>
      <w:ind w:firstLine="480"/>
    </w:pPr>
    <w:rPr>
      <w:rFonts w:ascii="Calibri" w:hAnsi="Calibri" w:cs="宋体"/>
      <w:sz w:val="24"/>
      <w:szCs w:val="24"/>
      <w:lang w:eastAsia="en-US"/>
    </w:rPr>
  </w:style>
  <w:style w:type="paragraph" w:styleId="1194">
    <w:name w:val="p15"/>
    <w:basedOn w:val="851"/>
    <w:next w:val="1194"/>
    <w:link w:val="851"/>
    <w:pPr>
      <w:ind w:firstLine="420"/>
      <w:widowControl/>
    </w:pPr>
    <w:rPr>
      <w:rFonts w:ascii="宋体" w:hAnsi="宋体" w:cs="宋体"/>
      <w:sz w:val="24"/>
      <w:szCs w:val="21"/>
      <w:lang w:eastAsia="en-US"/>
    </w:rPr>
  </w:style>
  <w:style w:type="paragraph" w:styleId="1195">
    <w:name w:val="纯文本3"/>
    <w:basedOn w:val="851"/>
    <w:next w:val="1195"/>
    <w:link w:val="851"/>
    <w:qFormat/>
    <w:rPr>
      <w:rFonts w:ascii="宋体" w:hAnsi="Courier New" w:eastAsia="楷体_GB2312" w:cs="宋体"/>
      <w:sz w:val="28"/>
      <w:szCs w:val="20"/>
      <w:lang w:eastAsia="en-US"/>
    </w:rPr>
  </w:style>
  <w:style w:type="paragraph" w:styleId="1196">
    <w:name w:val="Default"/>
    <w:next w:val="1196"/>
    <w:link w:val="851"/>
    <w:pPr>
      <w:widowControl w:val="off"/>
    </w:pPr>
    <w:rPr>
      <w:color w:val="000000"/>
      <w:sz w:val="24"/>
      <w:szCs w:val="24"/>
      <w:lang w:val="en-US" w:eastAsia="zh-CN" w:bidi="ar-SA"/>
    </w:rPr>
  </w:style>
  <w:style w:type="paragraph" w:styleId="1197">
    <w:name w:val="纯文本5"/>
    <w:basedOn w:val="851"/>
    <w:next w:val="1197"/>
    <w:link w:val="851"/>
    <w:qFormat/>
    <w:rPr>
      <w:rFonts w:ascii="宋体" w:hAnsi="Courier New" w:eastAsia="楷体_GB2312"/>
      <w:sz w:val="26"/>
      <w:szCs w:val="20"/>
    </w:rPr>
  </w:style>
  <w:style w:type="paragraph" w:styleId="1198">
    <w:name w:val="reader-word-layer reader-word-s1-15"/>
    <w:basedOn w:val="851"/>
    <w:next w:val="1198"/>
    <w:link w:val="851"/>
    <w:pPr>
      <w:jc w:val="left"/>
      <w:spacing w:before="100" w:beforeAutospacing="1" w:after="100" w:afterAutospacing="1"/>
      <w:widowControl/>
    </w:pPr>
    <w:rPr>
      <w:rFonts w:ascii="宋体" w:hAnsi="宋体" w:cs="宋体"/>
      <w:sz w:val="24"/>
      <w:szCs w:val="20"/>
      <w:lang w:eastAsia="en-US"/>
    </w:rPr>
  </w:style>
  <w:style w:type="paragraph" w:styleId="1199">
    <w:name w:val="正文缩进1"/>
    <w:basedOn w:val="851"/>
    <w:next w:val="1199"/>
    <w:link w:val="851"/>
    <w:pPr>
      <w:ind w:firstLine="420"/>
    </w:pPr>
    <w:rPr>
      <w:rFonts w:ascii="宋体" w:hAnsi="宋体" w:cs="宋体"/>
      <w:sz w:val="24"/>
      <w:szCs w:val="20"/>
      <w:lang w:eastAsia="en-US"/>
    </w:rPr>
  </w:style>
  <w:style w:type="paragraph" w:styleId="1200">
    <w:name w:val="纯文本111"/>
    <w:basedOn w:val="851"/>
    <w:next w:val="1200"/>
    <w:link w:val="851"/>
    <w:qFormat/>
    <w:rPr>
      <w:rFonts w:ascii="宋体" w:hAnsi="Courier New" w:eastAsia="楷体_GB2312"/>
      <w:sz w:val="28"/>
    </w:rPr>
  </w:style>
  <w:style w:type="paragraph" w:styleId="1201">
    <w:name w:val="纯文本4"/>
    <w:basedOn w:val="851"/>
    <w:next w:val="1201"/>
    <w:link w:val="851"/>
    <w:qFormat/>
    <w:rPr>
      <w:rFonts w:ascii="宋体" w:hAnsi="Courier New" w:eastAsia="楷体_GB2312"/>
      <w:sz w:val="26"/>
      <w:szCs w:val="20"/>
    </w:rPr>
  </w:style>
  <w:style w:type="paragraph" w:styleId="1202">
    <w:name w:val="Plain Text2"/>
    <w:basedOn w:val="851"/>
    <w:next w:val="1202"/>
    <w:link w:val="851"/>
    <w:qFormat/>
    <w:rPr>
      <w:rFonts w:hint="eastAsia" w:ascii="宋体" w:hAnsi="Courier New" w:eastAsia="楷体_GB2312"/>
      <w:sz w:val="28"/>
    </w:rPr>
  </w:style>
  <w:style w:type="character" w:styleId="1203">
    <w:name w:val="NormalCharacter1"/>
    <w:next w:val="1203"/>
    <w:link w:val="851"/>
    <w:semiHidden/>
    <w:qFormat/>
  </w:style>
  <w:style w:type="paragraph" w:styleId="1204">
    <w:name w:val="UserStyle_62"/>
    <w:basedOn w:val="851"/>
    <w:next w:val="1204"/>
    <w:link w:val="851"/>
    <w:qFormat/>
    <w:pPr>
      <w:widowControl/>
    </w:pPr>
    <w:rPr>
      <w:rFonts w:ascii="宋体" w:hAnsi="Courier New" w:eastAsia="楷体_GB2312"/>
      <w:sz w:val="26"/>
      <w:szCs w:val="20"/>
    </w:rPr>
  </w:style>
  <w:style w:type="character" w:styleId="1205">
    <w:name w:val="页眉 Char"/>
    <w:basedOn w:val="852"/>
    <w:next w:val="1205"/>
    <w:link w:val="868"/>
    <w:uiPriority w:val="99"/>
    <w:rPr>
      <w:sz w:val="18"/>
      <w:szCs w:val="18"/>
    </w:rPr>
  </w:style>
  <w:style w:type="character" w:styleId="1206">
    <w:name w:val="页脚 Char"/>
    <w:basedOn w:val="852"/>
    <w:next w:val="1206"/>
    <w:link w:val="867"/>
    <w:uiPriority w:val="99"/>
    <w:rPr>
      <w:sz w:val="18"/>
      <w:szCs w:val="18"/>
    </w:rPr>
  </w:style>
  <w:style w:type="character" w:styleId="1207">
    <w:name w:val="日期 字符1"/>
    <w:basedOn w:val="852"/>
    <w:next w:val="1207"/>
    <w:link w:val="851"/>
    <w:uiPriority w:val="99"/>
    <w:semiHidden/>
    <w:rPr>
      <w:sz w:val="21"/>
      <w:szCs w:val="22"/>
    </w:rPr>
  </w:style>
  <w:style w:type="character" w:styleId="1208">
    <w:name w:val="副标题 字符1"/>
    <w:next w:val="1208"/>
    <w:link w:val="851"/>
    <w:uiPriority w:val="11"/>
    <w:qFormat/>
    <w:rPr>
      <w:rFonts w:ascii="Cambria" w:hAnsi="Cambria"/>
      <w:b/>
      <w:bCs/>
      <w:sz w:val="32"/>
      <w:szCs w:val="32"/>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中航技国际经贸</dc:creator>
  <cp:lastModifiedBy>张伟</cp:lastModifiedBy>
  <cp:revision>10</cp:revision>
  <dcterms:created xsi:type="dcterms:W3CDTF">2026-04-01T06:42:00Z</dcterms:created>
  <dcterms:modified xsi:type="dcterms:W3CDTF">2026-04-23T06:01:38Z</dcterms:modified>
  <cp:version>786432</cp:version>
</cp:coreProperties>
</file>