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6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项目名称：淮安经济技术开发区法律顾问服务采购项目</w:t>
      </w:r>
      <w:r/>
    </w:p>
    <w:p>
      <w:pPr>
        <w:ind w:left="0" w:right="0" w:firstLine="64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JSZC-320891-HAXH-G2026-0001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江苏星汇工程咨询管理有限公司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rPr>
          <w:rFonts w:ascii="Arial" w:hAnsi="Arial" w:eastAsia="Arial" w:cs="Arial"/>
          <w:b/>
          <w:color w:val="000000"/>
          <w:sz w:val="32"/>
          <w:u w:val="single"/>
        </w:rPr>
        <w:t xml:space="preserve">2026 </w:t>
      </w:r>
      <w:r>
        <w:rPr>
          <w:rFonts w:ascii="SimSun" w:hAnsi="SimSun" w:eastAsia="SimSun" w:cs="SimSun"/>
          <w:b/>
          <w:color w:val="000000"/>
          <w:sz w:val="32"/>
        </w:rPr>
        <w:t xml:space="preserve">年</w:t>
      </w:r>
      <w:r>
        <w:rPr>
          <w:rFonts w:ascii="SimSun" w:hAnsi="SimSun" w:eastAsia="SimSun" w:cs="SimSun"/>
          <w:b/>
          <w:color w:val="000000"/>
          <w:sz w:val="32"/>
          <w:u w:val="single"/>
        </w:rPr>
        <w:t xml:space="preserve"> </w:t>
      </w:r>
      <w:r>
        <w:rPr>
          <w:rFonts w:ascii="Arial" w:hAnsi="Arial" w:eastAsia="Arial" w:cs="Arial"/>
          <w:b/>
          <w:color w:val="000000"/>
          <w:sz w:val="32"/>
          <w:u w:val="single"/>
        </w:rPr>
        <w:t xml:space="preserve">3</w:t>
      </w:r>
      <w:r>
        <w:rPr>
          <w:rFonts w:ascii="SimSun" w:hAnsi="SimSun" w:eastAsia="SimSun" w:cs="SimSun"/>
          <w:b/>
          <w:color w:val="000000"/>
          <w:sz w:val="32"/>
          <w:u w:val="single"/>
        </w:rPr>
        <w:t xml:space="preserve"> </w:t>
      </w:r>
      <w:r>
        <w:rPr>
          <w:rFonts w:ascii="SimSun" w:hAnsi="SimSun" w:eastAsia="SimSun" w:cs="SimSun"/>
          <w:b/>
          <w:color w:val="000000"/>
          <w:sz w:val="32"/>
        </w:rPr>
        <w:t xml:space="preserve">月</w:t>
      </w:r>
      <w:r>
        <w:rPr>
          <w:rFonts w:ascii="Arial" w:hAnsi="Arial" w:eastAsia="Arial" w:cs="Arial"/>
          <w:b/>
          <w:color w:val="000000"/>
          <w:sz w:val="32"/>
        </w:rPr>
        <w:t xml:space="preserve">_</w:t>
      </w:r>
      <w:r>
        <w:rPr>
          <w:rFonts w:ascii="Arial" w:hAnsi="Arial" w:eastAsia="Arial" w:cs="Arial"/>
          <w:b/>
          <w:color w:val="000000"/>
          <w:sz w:val="32"/>
          <w:u w:val="single"/>
        </w:rPr>
        <w:t xml:space="preserve">31_</w:t>
      </w:r>
      <w:r>
        <w:rPr>
          <w:rFonts w:ascii="SimSun" w:hAnsi="SimSun" w:eastAsia="SimSun" w:cs="SimSun"/>
          <w:b/>
          <w:color w:val="000000"/>
          <w:sz w:val="32"/>
        </w:rPr>
        <w:t xml:space="preserve">日</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1440" w:right="0" w:hanging="144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第一章投标邀请</w:t>
      </w:r>
      <w:r/>
    </w:p>
    <w:p>
      <w:pPr>
        <w:ind w:left="1440" w:right="0" w:hanging="144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第二章投标人须知</w:t>
      </w:r>
      <w:r/>
    </w:p>
    <w:p>
      <w:pPr>
        <w:ind w:left="1440" w:right="0" w:hanging="144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第三章合同文本</w:t>
      </w:r>
      <w:r/>
    </w:p>
    <w:p>
      <w:pPr>
        <w:ind w:left="1440" w:right="0" w:hanging="144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第四章采购需求</w:t>
      </w:r>
      <w:r/>
    </w:p>
    <w:p>
      <w:pPr>
        <w:ind w:left="1440" w:right="0" w:hanging="144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第五章评标方法与评标标准</w:t>
      </w:r>
      <w:r/>
    </w:p>
    <w:p>
      <w:pPr>
        <w:ind w:left="1440" w:right="0" w:hanging="144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受中共淮安经济技术开发区工委政法委员会的委托，江苏星汇工程咨询管理有限公司就淮安经济技术开发区法律顾问服务采购项目(JSZC-320891-HAXH-G2026-0001)项目进行公开招标采购，欢迎符合条件的供应商投标。</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江苏星汇工程咨询管理有限公司 </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“淮安市政府采购网”自行免费下载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2026 年 4 月 23 日 14 点 30 分（</w:t>
      </w:r>
      <w:r>
        <w:rPr>
          <w:rFonts w:ascii="SimSun" w:hAnsi="SimSun" w:eastAsia="SimSun" w:cs="SimSun"/>
          <w:color w:val="000000"/>
          <w:sz w:val="24"/>
        </w:rPr>
        <w:t xml:space="preserve">北京时间）前递交投标文件。</w:t>
      </w:r>
      <w:r/>
    </w:p>
    <w:p>
      <w:pPr>
        <w:ind w:left="0" w:right="0" w:firstLine="496"/>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1.项目编号：JSZC-320891-HAXH-G2026-0001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2.项目名称：淮安经济技术开发区法律顾问服务采购项目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3.预算金额：104万元（采购包1：52万元，采购包2：52万元）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4.最高限价：2个采购包最高限价均为：招标文件所规定收费标准（详见报价明细表）的100%；。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5.采购需求(简介)：本项目为中共淮安经济技术开发区工委政法委员会2026年法律顾问服务采购，核心采购内容为区内相关机关单位的法律咨询服务和案件诉讼代理服务。（详细内容见本招标文件第四章）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6.合同履行期限：合同签订后12个月。</w:t>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二、申请人的资格要求（适用各个采购包）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（一）符合《中华人民共和国政府采购法》第二十二条规定：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（5）参加本次政府采购活动前三年内，在经营活动中没有重大违法记录；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（6）法律、行政法规和采购文件规定的其他条件。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 1 </w:t>
      </w:r>
      <w:r>
        <w:rPr>
          <w:rFonts w:ascii="SimSun" w:hAnsi="SimSun" w:eastAsia="SimSun" w:cs="SimSun"/>
          <w:color w:val="000000"/>
          <w:sz w:val="24"/>
        </w:rPr>
        <w:t xml:space="preserve">种方式落实政府采购促进中小企业发展的要求：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（1）本项目要求投标人以联合体形式参加，中小企业合同金额应当达到的比例为%，其中小微企业所占比例应为%（两项比例均应符合《政府采购促进中小企业发展管理办法》第八条规定）。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（2）本项目要求投标人进行合同分包，中小企业合同金额应当达到的比例为%，其中小微企业所占比例应为%（两项比例均应符合《政府采购促进中小企业发展管理办法》第八条规定）。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残疾人福利性单位需提供《残疾人福利性单位声明函》；监狱企业需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（四）拒绝下述条件的供应商参加本次采购活动：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1、供应商单位负责人为同一人或者存在直接控股、管理关系的不同供应商，不得同时参加同一合同项下的政府采购活动。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3、投标人被“信用中国”网站、“中国政府采购网”列入失信被执行人、重大税收违法案件当事人名单、政府采购严重违法失信行为记录名单。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4、被司法行政主管部门、律师行业协会及其他相关监管部门、司法机关给予行政处罚、行业处分的供应商，不得参与本项目的采购活动。</w:t>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2.方式：在“淮安市政府采购网”自行免费下载招标文件。</w:t>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4 </w:t>
      </w:r>
      <w:r>
        <w:rPr>
          <w:rFonts w:ascii="SimSun" w:hAnsi="SimSun" w:eastAsia="SimSun" w:cs="SimSun"/>
          <w:color w:val="000000"/>
          <w:sz w:val="24"/>
        </w:rPr>
        <w:t xml:space="preserve">月</w:t>
      </w:r>
      <w:r>
        <w:rPr>
          <w:rFonts w:ascii="SimSun" w:hAnsi="SimSun" w:eastAsia="SimSun" w:cs="SimSun"/>
          <w:color w:val="000000"/>
          <w:sz w:val="24"/>
          <w:u w:val="single"/>
        </w:rPr>
        <w:t xml:space="preserve"> 23 </w:t>
      </w:r>
      <w:r>
        <w:rPr>
          <w:rFonts w:ascii="SimSun" w:hAnsi="SimSun" w:eastAsia="SimSun" w:cs="SimSun"/>
          <w:color w:val="000000"/>
          <w:sz w:val="24"/>
        </w:rPr>
        <w:t xml:space="preserve">日</w:t>
      </w:r>
      <w:r>
        <w:rPr>
          <w:rFonts w:ascii="SimSun" w:hAnsi="SimSun" w:eastAsia="SimSun" w:cs="SimSun"/>
          <w:color w:val="000000"/>
          <w:sz w:val="24"/>
          <w:u w:val="single"/>
        </w:rPr>
        <w:t xml:space="preserve"> 14 </w:t>
      </w:r>
      <w:r>
        <w:rPr>
          <w:rFonts w:ascii="SimSun" w:hAnsi="SimSun" w:eastAsia="SimSun" w:cs="SimSun"/>
          <w:color w:val="000000"/>
          <w:sz w:val="24"/>
        </w:rPr>
        <w:t xml:space="preserve">点</w:t>
      </w:r>
      <w:r>
        <w:rPr>
          <w:rFonts w:ascii="SimSun" w:hAnsi="SimSun" w:eastAsia="SimSun" w:cs="SimSun"/>
          <w:color w:val="000000"/>
          <w:sz w:val="24"/>
          <w:u w:val="single"/>
        </w:rPr>
        <w:t xml:space="preserve"> 30 </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w:t>
      </w:r>
      <w:r>
        <w:rPr>
          <w:rFonts w:ascii="SimSun" w:hAnsi="SimSun" w:eastAsia="SimSun" w:cs="SimSun"/>
          <w:color w:val="000000"/>
          <w:sz w:val="24"/>
        </w:rPr>
        <w:t xml:space="preserve">淮安经济技术开发区景会寺对面政务服务中心负一楼（招投标管理服务中心）“苏采云”政府采购交易系统网上开标大厅。</w:t>
      </w:r>
      <w:r>
        <w:rPr>
          <w:rFonts w:ascii="SimSun" w:hAnsi="SimSun" w:eastAsia="SimSun" w:cs="SimSun"/>
          <w:color w:val="000000"/>
          <w:sz w:val="24"/>
        </w:rPr>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中共淮安经济技术开发区工委政法委员会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淮安经济技术开发区宏恒胜路5号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rPr>
          <w:rFonts w:ascii="SimSun" w:hAnsi="SimSun" w:eastAsia="SimSun" w:cs="SimSun"/>
          <w:color w:val="000000"/>
          <w:sz w:val="24"/>
          <w:u w:val="single"/>
        </w:rPr>
        <w:t xml:space="preserve"> 张主任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0517-83708186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称：江苏星汇工程咨询管理有限公司信息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淮安市经济技术开发区深圳路5号明发星悦城23-4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rPr>
          <w:rFonts w:ascii="SimSun" w:hAnsi="SimSun" w:eastAsia="SimSun" w:cs="SimSun"/>
          <w:color w:val="000000"/>
          <w:sz w:val="24"/>
          <w:u w:val="single"/>
        </w:rPr>
        <w:t xml:space="preserve"> 董工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15240251533</w:t>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Times New Roman" w:hAnsi="Times New Roman" w:eastAsia="Times New Roman" w:cs="Times New Roman"/>
          <w:color w:val="000000"/>
          <w:sz w:val="21"/>
        </w:rPr>
        <w:t xml:space="preserve">http://www.ccgp-jiangsu.gov.cn/jiangsu/zlxz/ee/ee3a4bc5a3454aa2b0d9312230633ce9.html</w:t>
      </w:r>
      <w:r>
        <w:rPr>
          <w:rFonts w:ascii="SimSun" w:hAnsi="SimSun" w:eastAsia="SimSun" w:cs="SimSun"/>
          <w:color w:val="000000"/>
          <w:sz w:val="21"/>
        </w:rPr>
        <w:t xml:space="preserve">。</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投标人也可前往“江苏政务服务网”</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www.jszwfw.gov.cn</w:t>
      </w:r>
      <w:r>
        <w:rPr>
          <w:rFonts w:ascii="SimSun" w:hAnsi="SimSun" w:eastAsia="SimSun" w:cs="SimSun"/>
          <w:color w:val="000000"/>
          <w:sz w:val="21"/>
        </w:rPr>
        <w:t xml:space="preserve">）</w:t>
      </w:r>
      <w:r>
        <w:rPr>
          <w:rFonts w:ascii="SimSun" w:hAnsi="SimSun" w:eastAsia="SimSun" w:cs="SimSun"/>
          <w:color w:val="000000"/>
          <w:sz w:val="24"/>
        </w:rPr>
        <w:t xml:space="preserve">，“一企来办”专栏下“政府采购”模块详细了解关于CA办理、标书制作、开标投标指引等事宜。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2.有关本次招标的事项若存在变动或修改，敬请及时关注江苏星汇工程咨询管理有限公司在“淮安市政府采购网”发布的更正公告。</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8"/>
        </w:rPr>
        <w:t xml:space="preserve">3、适用法律和标准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3.2 在本项目政府采购活动过程中，如果所执行的标准有更新的，按照最新标准执行。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投标人应自行承担所有与参加投标有关的费用，无论投标过程中的做法和结果如何，江苏星汇工程咨询管理有限公司（以下简称代理机构）在任何情况下均无义务和责任承担这些费用。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采购代理费根据苏政采协[2024]20号《江苏省政府采购代理服务收费指导意见》文件所规定标准收取共计15600元，由采购包1和采购包2中标人共同平均承担，中标人必须在中标通知书发出前向江苏星汇工程咨询管理有限公司一次性交纳上述费用，支付方式为现金、转账、数字人民币等方式。此费用须包含在投标报价中，但无须单独列项计取。</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在投标截止时间前，代理机构可以对招标文件进行修改。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代理机构有权按照法定的要求推迟投标截止日期和开标日期。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招标文件的修改将在江苏政府采购网公布，补充文件将作为招标文件的组成部分，并对投标人具有约束力。</w:t>
      </w:r>
      <w:r/>
    </w:p>
    <w:p>
      <w:pPr>
        <w:ind w:left="0" w:right="0" w:firstLine="48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如标书制作工具中格式和内容与“江苏政府采购网”发布的招标文件不一致，请以“江苏政府采购网”发布的招标文件为准。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、证明投标人及投标标的符合招标文件规定的文件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投标人应按照招标文件要求提交证明文件，证明其及投标标的符合招标文件规定。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投标人需按照招标文件要求，在投标文件中提供与技术要求和商务要求相关的证明材料。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、服务承诺、培训计划、人员安排及其他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投标人需根据招标文件要求提供培训计划。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投标人需根据招标文件要求提供所投标的的主要组成部分、功能设计、实现思路及关键技术等。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、投标函和开标一览表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15.1投标有效期为代理机构规定的开标之日后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、电子投标文件的递交</w:t>
      </w:r>
      <w:r/>
    </w:p>
    <w:p>
      <w:pPr>
        <w:ind w:left="52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17.1投标人应当按照《操作手册》规定，在投标截止时间前制作并上传电子投标文件。</w:t>
      </w:r>
      <w:r/>
    </w:p>
    <w:p>
      <w:pPr>
        <w:ind w:left="0" w:right="0" w:firstLine="420"/>
        <w:jc w:val="both"/>
        <w:spacing w:before="280" w:after="29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、投标截止日期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代理机构可以按照规定，通过修改招标文件酌情延长投标截止日期，在此情况下，投标人的所有权利和义务以及投标人受制的截止日期均应以延长后新的截止日期为准。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代理机构拒绝接收在其规定的投标截止时间后上传的任何投标文件。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0" w:firstLine="48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21.2开标仪式由代理机构组织。苏采云系统将自动对项目进行开标，并宣布各投标人名称和投标价格。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22.1开标后，代理机构将立即组织评标委员会（以下简称评委会）进行评标。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23.1凡是与审查、澄清、评价和比较投标的有关资料以及授标建议等，采购人、评委、代理机构均不得向投标人或与评标无关的其他人员透露。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代理机构和评标委员会不向未中标的投标人解释未中标原因，也不公布评标过程中的相关细节。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25.7投标人在开、评标全过程中应保持通讯畅通，及时登录苏采云系统查阅、答复相关信息，并安排专人与代理机构及评标委员会联系。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 异常低价投标审查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25.8.1 评标过程中出现下列情形之一的，评标委员会应当启动异常低价投标审查程序：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（1）投标报价低于采购项目预算50%的，即投标报价＜采购项目预算×50%；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（2）投标报价低于采购项目最高限价45%的，即投标报价＜采购项目最高限价×45%；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（3）评标委员会认定的供应商报价过低、有可能影响产品质量或者不能诚信履约的其他情形。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47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投标人同一采购包提交两个（含两个）以上不同的投标报价的。</w:t>
      </w:r>
      <w:r/>
    </w:p>
    <w:p>
      <w:pPr>
        <w:ind w:left="47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 评标委员会按照本招标文件规定对投标人进行异常低价投标审查后，认为投标人不能证明其报价合理性的。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26.1.13 投标人所投标产品不符合招标文件中所列国家强制性标准的。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26.1.14其他法律、法规及本招标文件规定的属无效投标的情形。</w:t>
      </w:r>
      <w:r/>
    </w:p>
    <w:p>
      <w:pPr>
        <w:ind w:left="47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 </w:t>
      </w:r>
      <w:r/>
    </w:p>
    <w:p>
      <w:pPr>
        <w:ind w:left="47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47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w:t>
      </w:r>
      <w:r/>
    </w:p>
    <w:p>
      <w:pPr>
        <w:ind w:left="47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27.2采购人应在5个工作日内根据评委会推荐的中标候选人确定中标人。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代理机构将在“淮安市政府采购网”发布中标公告，公告期限为1个工作日。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若有充分证据证明，中标供应商出现下列情况之一的，一经查实，将被取消中标资格：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27.4.2向采购人、代理机构行贿或者提供其他不正当利益的。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供应商（含潜在供应商）对与本项目有关的所有询问、质疑均请向代理机构提出，由代理机构负责答复。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代理机构只接收以纸质原件形式送达的质疑,建议供应商尽量通过邮寄方式提交质疑（代理机构不接受无快递运单号的快递）。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 对于内容、格式符合规定的质疑函，代理机构将在五个工作日内以书面文件的形式作出答复，但质疑答复的内容不涉及商业秘密。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30、签订合同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30.l中标供应商应当在中标通知书发出之日起十二日内，按照招标文件确定的事项与采购人签订政府采购合同，并在合同签订之日起0.5个工作日内，将政府采购合同在淮安市政府采购网公告。</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31、货物（包含与货物相关的服务）的追加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32、政府采购履约资金扶持政策</w:t>
      </w:r>
      <w:r/>
    </w:p>
    <w:p>
      <w:pPr>
        <w:ind w:left="0" w:right="0" w:firstLine="5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八、政府采购政策功能落实</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33.促进中小企业发展政策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小微型企业价格扣除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33.2.1 对于未专门面向中小企业或者未预留份额专门面向中小企业采购的采购项目，投标人提供的货物或者服务符合下列情形的，享受本办法规定的中小企业扶持政策给予小微企业报价10%的扣除，用扣除后的价格参与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33.2.2 在货物采购项目中，投标人提供的货物既有中小企业制造货物，也有大型企业制造货物的，不享受本办法规定的中小企业扶持政策。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33.3小微型企业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（1）投标人须按照招标文件的要求提供相应的《企业声明函》，详见招标文件第六章示范格式。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（2）企业标准请参照《政府采购促进中小企业发展管理办法》（财库【2020】46号）文件规定自行填写。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33.4残疾人福利单位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（1）残疾人福利单位需按照招标文件的要求提供《残疾人福利性单位声明函》，详见招标文件第六章示范格式。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33.5监狱和戒毒企业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（2）监狱企业标准请参照《关于政府采购支持监狱企业发展有关问题的通知》（财库[2014]68号）。</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34.节能、环保政策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节能产品（本项目不涉及）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 (采购产品)</w:t>
      </w:r>
      <w:r>
        <w:rPr>
          <w:rFonts w:ascii="SimSun" w:hAnsi="SimSun" w:eastAsia="SimSun" w:cs="SimSun"/>
          <w:color w:val="000000"/>
          <w:sz w:val="24"/>
        </w:rPr>
        <w:t xml:space="preserve">被列入“节能产品品目清单”的，实行</w:t>
      </w:r>
      <w:r>
        <w:rPr>
          <w:rFonts w:ascii="SimSun" w:hAnsi="SimSun" w:eastAsia="SimSun" w:cs="SimSun"/>
          <w:color w:val="000000"/>
          <w:sz w:val="24"/>
          <w:u w:val="single"/>
        </w:rPr>
        <w:t xml:space="preserve">（优先采购/强制采购）</w:t>
      </w:r>
      <w:r>
        <w:rPr>
          <w:rFonts w:ascii="SimSun" w:hAnsi="SimSun" w:eastAsia="SimSun" w:cs="SimSun"/>
          <w:color w:val="000000"/>
          <w:sz w:val="24"/>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环保产品（本项目不涉及）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w:t>
      </w:r>
      <w:r>
        <w:rPr>
          <w:rFonts w:ascii="SimSun" w:hAnsi="SimSun" w:eastAsia="SimSun" w:cs="SimSun"/>
          <w:color w:val="000000"/>
          <w:sz w:val="24"/>
          <w:u w:val="single"/>
        </w:rPr>
        <w:t xml:space="preserve"> (采购产品)</w:t>
      </w:r>
      <w:r>
        <w:rPr>
          <w:rFonts w:ascii="SimSun" w:hAnsi="SimSun" w:eastAsia="SimSun" w:cs="SimSun"/>
          <w:color w:val="000000"/>
          <w:sz w:val="24"/>
        </w:rPr>
        <w:t xml:space="preserve">被列入“环境标志产品品目清单”的，实行优先采购。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 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 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35．政府绿色采购</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根据《江苏省财政厅关于加强政府绿色采购有关事项的通知》（苏财购〔2023〕65号）的要求，落实政府绿色采购相关政策，具体如下：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left="0" w:right="0" w:firstLine="560"/>
        <w:jc w:val="both"/>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本项目中涉及涂料、胶黏剂、油墨、清洗剂等挥发性有机物产品的，要执行国家和江苏省VOCs含量限制标准，优先使用低挥发性原辅材料，使用低VOCs含量的涂料、胶黏剂等。</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36.履约资金扶持政策</w:t>
      </w:r>
      <w:r/>
    </w:p>
    <w:p>
      <w:pPr>
        <w:ind w:left="0" w:right="0" w:firstLine="560"/>
        <w:jc w:val="both"/>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有融资贷款需求的中标人，与采购人在苏采云【合同在线签订】模块中进行合同在线签订时，【账户信息完善】的“是否融资”一栏中需选择“是”，同时完善收款账号信息和合同补充协议（融资账号）。</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37.采购本国产品的支持政策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投标人需按照招标文件的要求提供《关于符合本国产品标准的声明函》（以下简称《声明函》，详见第六章“示范格式六”），如不提供将不享受本国产品价格评审优惠。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 投标人需在《声明函》中逐一、准确填写产品名称、厂名、生产厂址三项信息，三项信息中任意一项未填写的视为该项产品不符合本国产品标准，不享受本国产品价格评审优惠。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w:t>
      </w:r>
      <w:r>
        <w:rPr>
          <w:rFonts w:ascii="SimSun" w:hAnsi="SimSun" w:eastAsia="SimSun" w:cs="SimSun"/>
          <w:color w:val="000000"/>
          <w:sz w:val="24"/>
        </w:rPr>
        <w:t xml:space="preserve">属于在中国境内生产的产品；其他产品，根据实际情况判断是否在中国境内生产。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ind w:left="0" w:right="0" w:firstLine="262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一、合同格式</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54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采购项目公开招标采购结果及招标文件的要求,经协商一致,达成如下服务合同：</w:t>
      </w:r>
      <w:r/>
    </w:p>
    <w:p>
      <w:pPr>
        <w:ind w:left="-359" w:right="0" w:firstLine="8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一、服务要求及数量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本合同所提供的服务要求及数量详见“项目采购需求”。</w:t>
      </w:r>
      <w:r/>
    </w:p>
    <w:p>
      <w:pPr>
        <w:ind w:left="-359" w:right="0" w:firstLine="8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二、合同金额</w:t>
      </w:r>
      <w:r/>
    </w:p>
    <w:p>
      <w:pPr>
        <w:ind w:left="0" w:right="0" w:firstLine="42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本合同的总金额(大写)为___________元人民币，分项价格详见乙方提交的投标报价明细表。</w:t>
      </w:r>
      <w:r/>
    </w:p>
    <w:p>
      <w:pPr>
        <w:ind w:left="-359" w:right="0" w:firstLine="8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三、服务时间和地点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本合同服务时间和地点在招标文件中有明确规定。</w:t>
      </w:r>
      <w:r/>
    </w:p>
    <w:p>
      <w:pPr>
        <w:ind w:left="-357" w:right="0" w:firstLine="8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四、付款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本合同的付款条件在招标文件中有明确规定。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五、验收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甲方按招标文件相关要求进行。如需委托第三方验收，第三方是指：</w:t>
      </w:r>
      <w:r>
        <w:rPr>
          <w:rFonts w:ascii="SimSun" w:hAnsi="SimSun" w:eastAsia="SimSun" w:cs="SimSun"/>
          <w:color w:val="000000"/>
          <w:sz w:val="24"/>
          <w:u w:val="single"/>
        </w:rPr>
        <w:t xml:space="preserve">       </w:t>
      </w:r>
      <w:r>
        <w:rPr>
          <w:rFonts w:ascii="SimSun" w:hAnsi="SimSun" w:eastAsia="SimSun" w:cs="SimSun"/>
          <w:color w:val="000000"/>
          <w:sz w:val="24"/>
        </w:rPr>
        <w:t xml:space="preserve">，验收费用由甲方承担。因乙方交付的货物不符合标准导致甲方重复支出的验收费用，由乙方承担。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1、乙方交纳人民币</w:t>
      </w:r>
      <w:r>
        <w:rPr>
          <w:rFonts w:ascii="SimSun" w:hAnsi="SimSun" w:eastAsia="SimSun" w:cs="SimSun"/>
          <w:b/>
          <w:color w:val="000000"/>
          <w:sz w:val="24"/>
          <w:u w:val="single"/>
        </w:rPr>
        <w:t xml:space="preserve">肆仟元整</w:t>
      </w:r>
      <w:r>
        <w:rPr>
          <w:rFonts w:ascii="SimSun" w:hAnsi="SimSun" w:eastAsia="SimSun" w:cs="SimSun"/>
          <w:color w:val="000000"/>
          <w:sz w:val="24"/>
        </w:rPr>
        <w:t xml:space="preserve">作为本合同的履约保证金。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2、乙方提供的履约保证金可以是人民币形式（银行本票、汇票、支票、电汇），或银行保函、担保公司的保证担保或保险公司的保证保险等多种形式。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5、如乙方未能履行合同规定的义务，甲方有权从履约保证金中取得补偿。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7、履约保证金在合同约定期间内不予退还或者应完全有效，履约保证金在项目验收合格后无息退还给乙方。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七、合同纠纷处理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本合同执行过程中发生纠纷，由甲乙双方协商解决，若协商不成，作如下2</w:t>
      </w:r>
      <w:r>
        <w:rPr>
          <w:rFonts w:ascii="SimSun" w:hAnsi="SimSun" w:eastAsia="SimSun" w:cs="SimSun"/>
          <w:color w:val="000000"/>
          <w:sz w:val="24"/>
          <w:u w:val="single"/>
        </w:rPr>
        <w:t xml:space="preserve"> </w:t>
      </w:r>
      <w:r>
        <w:rPr>
          <w:rFonts w:ascii="SimSun" w:hAnsi="SimSun" w:eastAsia="SimSun" w:cs="SimSun"/>
          <w:color w:val="000000"/>
          <w:sz w:val="24"/>
        </w:rPr>
        <w:t xml:space="preserve">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1、申请仲裁。选定仲裁机构为淮安市仲裁委员会。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2、提起诉讼。约定由采购人所在地法院管辖。 </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八、合同生效及其它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本合同经甲、乙双方加盖电子签章后生效。如有变动，必须经甲方、乙方协商一致后，方可更改。</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九、组成本合同的文件包括</w:t>
      </w:r>
      <w:r/>
    </w:p>
    <w:p>
      <w:pPr>
        <w:ind w:left="0" w:right="0" w:firstLine="4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1、合同格式及条款；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2、招标文件和乙方的投标文件；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3、中标通知书；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4、甲乙双方商定的其他必要文件。 上述合同文件内容互为补充，如有不明确，由甲方负责解释。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单位盖章：（电子签章）单位盖章：（电子签章）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                          代表签字：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签定日期：                          签定日期：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0"/>
          <w:sz w:val="48"/>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一、项目简介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本项目为中共淮安经济技术开发区工委政法委员会2026年法律顾问服务采购，核心采购内容为区内相关机关单位的法律咨询服务和案件诉讼代理服务。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为规范开展采购工作，严格落实财办库〔2021〕14 号文件第二条第三项要求“对于确需多家供应商承担的采购项目，要指导采购人在明确服务标准和定价原则等采购需求的前提下，根据业务性质、服务区域等要素，合理设置采购项目包，通过竞争择优，将相应采购业务明确到具体供应商”，同时参照淮安经济技术开发区管委会年度考核工作方案，现对区内机关单位分组实施法律咨询服务与案件诉讼代理服务项目，明确具体分包方案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 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留学人员创业园管理办公室、科教产业发展办公室、招商局、财政与国有资产管理局、社会事业局、市场监督管理局、政法委、信访局、园区生态环境分局、钵池街道、南马厂街道、新港办，提供法律咨询服务及案件诉讼代理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 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综合保税区管理办公室、空港产业发展办公室、党政办公室、经济发展局、住房和城乡建设局、人力资源和社会保障局、综合行政执法局、行政审批局、土地储备中心、自然资源分局、徐杨街道、枚乘街道、金港办，提供法律咨询服务及案件诉讼代理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围绕采购人及服务单位的重大行政决策、规范性文件制定、诉讼、仲裁、信访问题处理等问题根据采购人及服务单位的要求开展工作，包括但不限于以下事务：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1.受采购人及服务单位委托，参与采购人及服务单位重大决策的法律论证，为采购人及服务单位及其领导宏观决策提供法律意见，并解答有关行政事务的法律咨询；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2.受采购人及服务单位委托，参与采购人及服务单位规范性文件的起草，对拟发布的规范性文件审查其合法性和可行性，并提出修改、补充意见；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3.就采购人及服务单位受理的行政复议、行政赔偿、行政许可、行政强制等所涉及的重大法律问题，提供法律咨询意见。参与处理涉及采购人及服务单位的诉讼纠纷，并以律师身份出庭应诉；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4.参与以采购人及服务单位名义洽谈、签约的国内外经济项目谈判，协助服务单位起草或审查重大经济合同、经济项目及重要法律文书；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5.受采购人及服务单位委托，对以采购人及服务单位名义或被采购人、服务单位列入计划管理的承包、发包和挂牌拍卖等提供法律咨询意见；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6.向采购人及服务单位及时提供国家有关法律信息，指导政府工作人员依法履行职责，就行政管理中的法律问题提出建议；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7.受采购人及服务单位委托，对区域内发生有一定影响的事件以律师的身份进行调查、协调，并向采购人及服务单位提出依法处理的法律咨询意见；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8.受采购人及服务单位委托，配合信访部门，参与信访接待工作，为依法处理重大疑难信访案件提供法律咨询意见；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9.参加服务单位进行法制宣传教育，参与法律知识培训活动，提高干部队伍法律素质；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10.将其为采购人及服务单位提供的咨询服务、代理的诉讼案件等进行卷宗整理并移交采购人及服务单位。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11.办理采购人及服务单位委托的法律援助及其他法律事务。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三、服务要求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拟派项目团队成员不得少于5名，其中包含1名固定成员为开发区管委会提供法定工作日每日不少于8h的执业律师现场法律咨询服务。所有成员要求身体健康，品行良好，政治素质过硬，均须取得法律职业资格（A类）或律师资格证，具有较强的法律业务能力和综合文字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2、投标人应优先拟派对开发区相关情况比较熟悉，且具有相关工作经验的顾问律师。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3、拟派团队成员在采购人及服务单位拟委托的行政法律事务、民商事法律事务等方面须具有类似经验。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4、采购人及服务单位指派的服务项目，投标人及拟派顾问律师不得推脱。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5、投标人必须具有良好的服务能力及措施，具备本地化服务能力，确保随叫随到提供服务。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中标人不得以任何形式对本项目进行转包及分包，一旦发现，将立即终止合同，没收其履约保证金，并依法追究中标人的违约责任，同时中标人需承担由此给采购人造成的全部经济损失。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1、服务期限：服务期限为合同签订后12个月，如中标人在服务期间，违反保密义务或严重违反工作纪律，采购方可直接单方终止本协议，并要求赔偿相关损失。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每半年支付一次，采购人根据双方已确认的实际产值及考核报告支付已产生的所有费用。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注：①本项目每半年（2个季度）考核一次，考核表见附件。</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②付款前，中标人均应提供符合采购人要求的同等金额的合法有效增值税发票，采购人将于收到中标人发票15天内支付款项。</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③受采购人委托代理行政诉讼、行政复议或民商案件的，律师费用支付之前还需中标人提供卷宗（其中判决书需为原件）、发票等相关材料。否则，采购人有权顺延付款时间，且不承担任何违约或赔偿责任。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考核标准</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6671"/>
        <w:gridCol w:w="801"/>
        <w:gridCol w:w="1138"/>
      </w:tblGrid>
      <w:tr>
        <w:trPr>
          <w:trHeight w:val="8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考核细则</w:t>
            </w:r>
            <w:r/>
          </w:p>
        </w:tc>
      </w:tr>
      <w:tr>
        <w:trPr>
          <w:trHeight w:val="8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工作情况（共18分）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1.对于服务单位委派的工作能在规定时间内及时有效的完成。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酌情扣分</w:t>
            </w:r>
            <w:r/>
          </w:p>
        </w:tc>
      </w:tr>
      <w:tr>
        <w:trPr>
          <w:trHeight w:val="86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2.对于服务单位提出的质疑能在3日内提出修改意见。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酌情扣分</w:t>
            </w:r>
            <w:r/>
          </w:p>
        </w:tc>
      </w:tr>
      <w:tr>
        <w:trPr>
          <w:trHeight w:val="86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3.服务单位有紧急任务时，除开庭、出差等确实无法赶到现场的情况外，能及时到达现场提供服务或委派人员到达现场服务。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酌情扣分</w:t>
            </w:r>
            <w:r/>
          </w:p>
        </w:tc>
      </w:tr>
      <w:tr>
        <w:trPr>
          <w:trHeight w:val="8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完成任务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（共70分）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4.协助服务单位起草或审查重大行政决策、规范性文件、重大经济合同、经济项目及法律文书。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酌情扣分</w:t>
            </w:r>
            <w:r/>
          </w:p>
        </w:tc>
      </w:tr>
      <w:tr>
        <w:trPr>
          <w:trHeight w:val="86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5.对服务单位辖区内发生的有一定影响的信访事件或群体性事件给出具有实质性的处理意见。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酌情扣分</w:t>
            </w:r>
            <w:r/>
          </w:p>
        </w:tc>
      </w:tr>
      <w:tr>
        <w:trPr>
          <w:trHeight w:val="86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6.代理服务单位处理诉讼和非诉案件，以律师的职业道德为要求，力争案件胜诉，如因履职不到位导致案件败诉，则一票否决。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酌情扣分</w:t>
            </w:r>
            <w:r/>
          </w:p>
        </w:tc>
      </w:tr>
      <w:tr>
        <w:trPr>
          <w:trHeight w:val="86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7.对以服务单位名义或被服务单位列入计划管理的承包、发包和挂牌拍卖等提供法律咨询意见。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酌情扣分</w:t>
            </w:r>
            <w:r/>
          </w:p>
        </w:tc>
      </w:tr>
      <w:tr>
        <w:trPr>
          <w:trHeight w:val="86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8.服务单位及时提供国家有关法律信息，指导政府工作人员依法履行职责，就政府行政管理中的法律问题提出建议。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酌情扣分</w:t>
            </w:r>
            <w:r/>
          </w:p>
        </w:tc>
      </w:tr>
      <w:tr>
        <w:trPr>
          <w:trHeight w:val="86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9.服务单位区域内发生有一定影响的事件以律师的身份进行调查、协调，并向甲方及服务单位提出依法处理的法律咨询意见。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酌情扣分</w:t>
            </w:r>
            <w:r/>
          </w:p>
        </w:tc>
      </w:tr>
      <w:tr>
        <w:trPr>
          <w:trHeight w:val="86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10.为服务单位进行法制宣传教育，提高干部队伍法制素质。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酌情扣分</w:t>
            </w:r>
            <w:r/>
          </w:p>
        </w:tc>
      </w:tr>
      <w:tr>
        <w:trPr>
          <w:trHeight w:val="8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（共12分）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11.对于服务项目的档案资料进行分类管理，并及时复印、移交案件档案至服务单位。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酌情扣分</w:t>
            </w:r>
            <w:r/>
          </w:p>
        </w:tc>
      </w:tr>
      <w:tr>
        <w:trPr>
          <w:trHeight w:val="8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12.对于委派的律师，必须着装整洁，工作时间不私自会客、聊天；严禁干私活，不擅自离岗。严守保密规定。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酌情扣分</w:t>
            </w:r>
            <w:r/>
          </w:p>
        </w:tc>
      </w:tr>
    </w:tbl>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考核制度：每半年由采购人组织服务单位人员对中标人的服务工作质量进行综合考核，结合平时工作情况和各服务单位的意见，出具书面考核报告。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一、评委会根据招标文件中规定的评标标准对投标人进行综合评审，最终按综合评审得分由高到低的顺序推荐出3名中标候选人。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人可投其中1个采购包，也可以投多个采购包，但只能中1个采购包。若中标多于1个采购包的，按采购包的自然顺序进行排列，前1个采购包有效，其余采购包由顺序中标候选人获得中标资格。在合同签订之前，若某采购包因质疑、投诉等事项导致中标结果改变的，不影响其余采购包的中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五、具体标准（适用于各采购包）：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1、价格部分：10分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本项目采用低价优先法，即满足招标文件要求且最后报价最低为评标基准价，其价格分为满分。其他投标人的价格分按照下列公式计算（小数点保留两位）：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注：本次投标报价以优惠率表示，例如：甲、乙、丙三家报价分别为95%、90%、85%，则丙报价最低为评标基准价，乙的价格分=85%/90%×10，甲的价格分=85%/95%×10。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2、方案部分：42分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评委会根据投标人提供的方案进行评分，不提供分项方案或者经三分之二评委认定分项方案存在重大偏离的，分项方案不得分。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（1）项目实施方案（12 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能够根据服务需求，提出科学合理的方案及详尽的工作流程时间进度及安排方案得 12 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方案较合理，工作流程满足招标需求得 10 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方案及工作流程基本满足招标需求得 8 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方案较差，流程不顺畅得 6 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（2）服务质量保障及监管措施（12分）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项目服务保障方案合理充分、监管措施完善，保密性强得12分；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项目服务保障方案较合理、监管措施较完善，保密性较强得10分；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项目服务保障方案一般、监管措施一般，保密性一般得8分；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项目服务保障方案较差、监管措施较差，保密性较差得6分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（3）人员配置方案（12分）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根据投标人拟派本项目的人员机构及配置情况进行综合评审。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法律服务机构的组织结构清晰、合理、健全，相关工作经验丰富，具有成熟的法律服务团队且能够独立开展法律服务的得12分；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法律服务机构的组织结构较清晰、合理、健全，相关工作经验较丰富，人员较充足，具有较成熟的法律服务团队且能够独立开展法律服务得10分；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法律服务机构的组织结构一般，相关工作经验一般，法律团队组成情况一般且不能够独立开展法律服务得8分；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法律服务机构的组织结构较差，相关工作经验较差，无组成的法律团队得6分；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（5）服务承诺（6分）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服务承诺完整性、可行性高、专业性强得6分；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服务承诺较完整、具有可行性、专业得4分；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服务承诺一般得2分；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3、商务部分：21分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（1）自2022年1月1日以来，投标人具有类似常年法律咨询服务业绩的，有一个得3分，最高得9分。</w:t>
      </w:r>
      <w:r>
        <w:rPr>
          <w:rFonts w:ascii="SimSun" w:hAnsi="SimSun" w:eastAsia="SimSun" w:cs="SimSun"/>
          <w:b/>
          <w:color w:val="000000"/>
          <w:sz w:val="24"/>
        </w:rPr>
        <w:t xml:space="preserve">（电子投标文件中提供合同或证明材料原件扫描件，须能反映相关内容，否则不予认可。）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（2）拟派项目负责人具有3年及以上执业经验的得2分，每增加一年执业经验加1分，本项最高得4分，不提供不得分。</w:t>
      </w:r>
      <w:r>
        <w:rPr>
          <w:rFonts w:ascii="SimSun" w:hAnsi="SimSun" w:eastAsia="SimSun" w:cs="SimSun"/>
          <w:b/>
          <w:color w:val="000000"/>
          <w:sz w:val="24"/>
        </w:rPr>
        <w:t xml:space="preserve">（电子投标文件中提供具有律师执业经验的证明材料扫描件加盖投标人电子签章）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（3）拟派项目组成员（不含项目负责人）每具有一名法律服务工作3年及以上经验的得2分，本项最高的8分，不提供不得分。</w:t>
      </w:r>
      <w:r>
        <w:rPr>
          <w:rFonts w:ascii="SimSun" w:hAnsi="SimSun" w:eastAsia="SimSun" w:cs="SimSun"/>
          <w:b/>
          <w:color w:val="000000"/>
          <w:sz w:val="24"/>
        </w:rPr>
        <w:t xml:space="preserve">（电子投标文件中提供具有律师执业经验的证明材料扫描件加盖投标人电子签章）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4、服务响应情况：27分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投标人所提供的服务全部满足招标文件“第五章 采购需求”要求的得满分27分；有偏离，每条扣3分，扣完为止。（电子投标文件中如实提供《技术要求响应及偏离表》并加盖投标人电子签章）注：本招标文件中用带星号（“★”）的要求为实质性条款，不得有偏离，否则视为无效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包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三、投标报价明细表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四、技术要求响应偏离表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五、人员配备表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六、资质审查时投标人必须提供的资格证明文件（适用于各采购包）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七、综合评分时投标人需提供的证明文件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八、示范格式</w:t>
      </w:r>
      <w:r/>
    </w:p>
    <w:p>
      <w:pPr>
        <w:pStyle w:val="693"/>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br w:type="page" w:clear="all"/>
      </w:r>
      <w:r/>
    </w:p>
    <w:p>
      <w:pPr>
        <w:pStyle w:val="693"/>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中共淮安经济技术开发区工委政法委员会：</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w:t>
      </w:r>
      <w:r>
        <w:rPr>
          <w:rFonts w:ascii="SimSun" w:hAnsi="SimSun" w:eastAsia="SimSun" w:cs="SimSun"/>
          <w:color w:val="000000"/>
          <w:sz w:val="24"/>
          <w:u w:val="single"/>
        </w:rPr>
        <w:t xml:space="preserve">          </w:t>
      </w:r>
      <w:r>
        <w:rPr>
          <w:rFonts w:ascii="SimSun" w:hAnsi="SimSun" w:eastAsia="SimSun" w:cs="SimSun"/>
          <w:color w:val="000000"/>
          <w:sz w:val="24"/>
        </w:rPr>
        <w:t xml:space="preserve">采购项目（项目编号：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）招标文件（包括更正公告、如果有的话）收悉，我们经详细审阅和研究，现决定参加投标。同时，正式授权下述签字人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w:t>
      </w:r>
      <w:r>
        <w:rPr>
          <w:rFonts w:ascii="SimSun" w:hAnsi="SimSun" w:eastAsia="SimSun" w:cs="SimSun"/>
          <w:color w:val="000000"/>
          <w:sz w:val="24"/>
          <w:u w:val="single"/>
        </w:rPr>
        <w:t xml:space="preserve">           </w:t>
      </w:r>
      <w:r>
        <w:rPr>
          <w:rFonts w:ascii="SimSun" w:hAnsi="SimSun" w:eastAsia="SimSun" w:cs="SimSun"/>
          <w:color w:val="000000"/>
          <w:sz w:val="24"/>
        </w:rPr>
        <w:t xml:space="preserve">（投标人单位名称），全权处理本次项目投标的有关事宜。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1、我单位不存在负责人为同一人或者存在直接控股、管理关系的不同供应商同时参加同一合同项下的政府采购活动。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2、我公司没有为本项目提供整体设计、规范编制或者项目管理、监理、检测等服务。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3、参加本次采购活动前，我方没有被“信用中国”网站、“中国政府采购网”列入失信被执行人名单、重大税收违法案件当事人名单、政府采购严重违法失信行为记录名单。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4、我放没有被司法行政主管部门、律师行业协会及其他相关监管部门、司法机关给予行政处罚、行业处分。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5、我们接受招标文件的所有的条款和规定。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7、我们理解，你们无义务必须接受投标价最低的投标。同时也理解你们不承担我们本次投标的费用。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8、我们同意向贵方提供贵方可能要求的与投标有关的任何证据或资料，并保证所提供的都是真实的、准确的。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9、一旦我方中标，我方将根据招标文件的规定，严格履行合同的责任和义务，并保证在按招标文件中规定的时间内供货，并完成项目的施工、调试、交付买方验收、使用。</w:t>
      </w:r>
      <w:r/>
    </w:p>
    <w:p>
      <w:pPr>
        <w:ind w:left="0" w:right="560" w:firstLine="2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0" w:firstLine="2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投标人名称（电子签章）：</w:t>
      </w:r>
      <w:r>
        <w:rPr>
          <w:rFonts w:ascii="SimSun" w:hAnsi="SimSun" w:eastAsia="SimSun" w:cs="SimSun"/>
          <w:color w:val="000000"/>
          <w:sz w:val="24"/>
          <w:u w:val="single"/>
        </w:rPr>
        <w:t xml:space="preserve">             </w:t>
      </w:r>
      <w:r/>
    </w:p>
    <w:p>
      <w:pPr>
        <w:ind w:left="0" w:right="560" w:firstLine="2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56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56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93"/>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二、开标一览表（优惠率）</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9"/>
        <w:gridCol w:w="6379"/>
      </w:tblGrid>
      <w:tr>
        <w:trPr>
          <w:trHeight w:val="13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1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2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招标文件所规定收费标准的</w:t>
            </w:r>
            <w:r>
              <w:rPr>
                <w:rFonts w:ascii="SimSun" w:hAnsi="SimSun" w:eastAsia="SimSun" w:cs="SimSun"/>
                <w:color w:val="000000"/>
                <w:sz w:val="24"/>
                <w:u w:val="single"/>
              </w:rPr>
              <w:t xml:space="preserve">    </w:t>
            </w:r>
            <w:r>
              <w:rPr>
                <w:rFonts w:ascii="SimSun" w:hAnsi="SimSun" w:eastAsia="SimSun" w:cs="SimSun"/>
                <w:color w:val="000000"/>
                <w:sz w:val="24"/>
              </w:rPr>
              <w:t xml:space="preserve">%计取</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（保留两位小数）</w:t>
            </w:r>
            <w:r/>
          </w:p>
        </w:tc>
      </w:tr>
      <w:tr>
        <w:trP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1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ind w:left="0" w:right="0" w:firstLine="1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按招标文件要求执行。</w:t>
            </w:r>
            <w:r/>
          </w:p>
        </w:tc>
      </w:tr>
    </w:tbl>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93"/>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三、投标报价明细表</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2"/>
        <w:gridCol w:w="1650"/>
        <w:gridCol w:w="5141"/>
        <w:gridCol w:w="1380"/>
      </w:tblGrid>
      <w:tr>
        <w:trPr>
          <w:trHeight w:val="2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4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收费标准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优惠率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基础顾问费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5万元/年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招标文件所规定收费标准的</w:t>
            </w:r>
            <w:r>
              <w:rPr>
                <w:rFonts w:ascii="SimSun" w:hAnsi="SimSun" w:eastAsia="SimSun" w:cs="SimSun"/>
                <w:color w:val="000000"/>
                <w:sz w:val="24"/>
                <w:u w:val="single"/>
              </w:rPr>
              <w:t xml:space="preserve">    </w:t>
            </w:r>
            <w:r>
              <w:rPr>
                <w:rFonts w:ascii="SimSun" w:hAnsi="SimSun" w:eastAsia="SimSun" w:cs="SimSun"/>
                <w:color w:val="000000"/>
                <w:sz w:val="24"/>
              </w:rPr>
              <w:t xml:space="preserve">%计取</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（保留两位小数）</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行政诉讼案件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不超过5000元/件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注：此费用包括一审、二审、再审、执行等，撤诉案件则减半收取。</w:t>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民商事诉讼、仲裁案件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按《2017年江苏省律师服务收费试行标准的通知》标准的50%计算。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注：每件最高不超过10万元。此外：</w:t>
              <w:br/>
              <w:t xml:space="preserve">（1）标的额﹤500万元的，代理费不超过4万元。</w:t>
              <w:br/>
              <w:t xml:space="preserve">（2）标的额≧500万元﹤2000万元的，代理费不超过5万元。</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（3）标的额≧2000万元﹤5000万元的，代理费不超过6万元。</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（4）标的额≧5000万元﹤1亿元的，代理费不超过7万元。</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（5）标的额≧1亿元的，代理费不超过10万元；二审减半收取；再审、执行等为一审代理费用的1/3。</w:t>
              <w:br/>
              <w:t xml:space="preserve">（6）撤诉案件减半收取。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（7）同一事由引起的多起案件、合并审理的案件中标的额最高的案件按照上述标准计费，其它案件按照上述标准的1/3计费。</w:t>
            </w:r>
            <w:r/>
          </w:p>
        </w:tc>
        <w:tc>
          <w:tcPr>
            <w:vMerge w:val="continue"/>
            <w:textDirection w:val="lrTb"/>
            <w:noWrap w:val="false"/>
          </w:tcPr>
          <w:p>
            <w:r/>
            <w:r/>
          </w:p>
        </w:tc>
      </w:tr>
      <w:tr>
        <w:trPr>
          <w:trHeight w:val="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1、除以上服务外，法定工作日每日不少于8h的执业律师现场法律咨询服务为固定价格12万元/年/包（无需按以上标准打折）。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2、市场监督管理局所有案件按固定单价3500元/件计取。（无需按以上标准打折）</w:t>
            </w:r>
            <w:r/>
          </w:p>
        </w:tc>
      </w:tr>
    </w:tbl>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93"/>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四、技术要求响应偏离表</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8"/>
        <w:gridCol w:w="3186"/>
        <w:gridCol w:w="2310"/>
        <w:gridCol w:w="1066"/>
        <w:gridCol w:w="1060"/>
      </w:tblGrid>
      <w:tr>
        <w:trPr>
          <w:trHeight w:val="77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项目采购需求中服务要求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投标服务承诺</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（1）投标人应根据“第五章 项目采购需求”对照投标人所提供的服务承诺进行逐项响应。</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（2）是否偏离用符号“+、=、-”分别表示正偏离、完全响应、负偏离。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（3）此表为表样，行数可自行添加，但表式不变。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34" w:firstLine="2704"/>
        <w:spacing w:before="12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34" w:firstLine="2704"/>
        <w:spacing w:before="12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34" w:firstLine="2704"/>
        <w:spacing w:before="12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34" w:firstLine="2704"/>
        <w:spacing w:before="12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34" w:firstLine="0"/>
        <w:spacing w:before="12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93"/>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五、人员配备表</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970"/>
        <w:gridCol w:w="1020"/>
        <w:gridCol w:w="923"/>
        <w:gridCol w:w="920"/>
        <w:gridCol w:w="960"/>
        <w:gridCol w:w="1065"/>
        <w:gridCol w:w="1365"/>
        <w:gridCol w:w="1354"/>
      </w:tblGrid>
      <w:tr>
        <w:trPr>
          <w:trHeight w:val="10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拟任</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r>
      <w:tr>
        <w:trPr>
          <w:trHeight w:val="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4"/>
        </w:rPr>
        <w:t xml:space="preserve">须满足招标文件第五章中有关人员配置及要求。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93"/>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六、资质审查时投标人必须提供的资格证明文件（适用于各采购包）</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1、提供下列材料之一：</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（1）投标人提供法定代表人资格证明（格式详见示范格式一）和法定代表人身份证（加盖CA电子签章）；</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（2）投标人提供授权委托书（格式详见示范格式二）和受托人身份证（加盖CA电子签章）。</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2、投标人符合《政府采购法》第二十二条规定条件的承诺函（格式详见示范格式三）；</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3、落实政府采购政策需满足的资格要求（提供下列任一项材料即可，非专门面向中小企业或者预留份额的采购项目，本项无需提供）：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（1）企业声明函（详见示范格式四）；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（2）《残疾人福利性单位声明函》（详见示范格式五）；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（3）由省级以上监狱管理局、戒毒管理局（含新疆生产建设兵团）出具的属于监狱企业的证明文件）（加盖出具单位公章的电子件）。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4、根据本项目的特定资格要求，投标人还须提供下列资料：无</w:t>
      </w:r>
      <w:r/>
    </w:p>
    <w:p>
      <w:pPr>
        <w:ind w:left="0" w:right="0" w:firstLine="1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93"/>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br w:type="page" w:clear="all"/>
      </w:r>
      <w:r/>
    </w:p>
    <w:p>
      <w:pPr>
        <w:pStyle w:val="693"/>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七、综合评分时投标人需提供的证明文件</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（供应商根据第三章评标标准的要求提供相关材料）</w:t>
      </w:r>
      <w:r/>
    </w:p>
    <w:p>
      <w:pPr>
        <w:ind w:left="0" w:right="0" w:firstLine="254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6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八、示范格式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示范格式一</w:t>
      </w:r>
      <w:r/>
    </w:p>
    <w:p>
      <w:pPr>
        <w:ind w:left="0" w:right="0" w:firstLine="19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（投标人单位名称）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           </w:t>
      </w:r>
      <w:r>
        <w:rPr>
          <w:rFonts w:ascii="SimSun" w:hAnsi="SimSun" w:eastAsia="SimSun" w:cs="SimSun"/>
          <w:color w:val="000000"/>
          <w:sz w:val="24"/>
        </w:rPr>
        <w:t xml:space="preserve">项目，签署上述项目的投标文件、进行招标、签署合同和处理与之有关的一切事务。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w:t>
      </w:r>
      <w:r>
        <w:rPr>
          <w:rFonts w:ascii="SimSun" w:hAnsi="SimSun" w:eastAsia="SimSun" w:cs="SimSun"/>
          <w:color w:val="000000"/>
          <w:sz w:val="24"/>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4500" w:right="560" w:hanging="1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注：投标人法定代表人参加投标的，必须附法定代表人身份证扫描件加盖投标人电子签章。法定代表人授权其他人参加投标的，仅需填写“授权委托书”。</w:t>
      </w:r>
      <w:r/>
    </w:p>
    <w:p>
      <w:pPr>
        <w:ind w:left="-359" w:right="0" w:firstLine="266"/>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59" w:right="0" w:firstLine="355"/>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359" w:right="0" w:firstLine="355"/>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359" w:right="0" w:firstLine="31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示范格式二</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致中共淮安经济技术开发区工委政法委员会：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w:t>
      </w:r>
      <w:r>
        <w:rPr>
          <w:rFonts w:ascii="SimSun" w:hAnsi="SimSun" w:eastAsia="SimSun" w:cs="SimSun"/>
          <w:color w:val="000000"/>
          <w:sz w:val="24"/>
          <w:u w:val="single"/>
        </w:rPr>
        <w:t xml:space="preserve">            </w:t>
      </w: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代表我公司参加江苏星汇工程咨询管理有限公司组织的（项目编号：           ）    采购项目的政府采购活动，受托人有权在该招标活动中，以我单位的名义签署投标函和投标文件，与代理机构协商、澄清、解释，签订合同书并执行一切与此有关的事项。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受托人在办理上述事宜过程中以其自己的名义所签署的所有文件我公司均予以承认。受托人无转委托权。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（电子签章）</w:t>
      </w:r>
      <w:r/>
    </w:p>
    <w:p>
      <w:pPr>
        <w:ind w:left="0" w:right="0" w:firstLine="50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359"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注：投标人委托受托人参加投标的，必须附受托人身份证扫描件加盖投标人电子签章。法定代表人直接参加投标的，仅需填写“法定代表人资格证明”。</w:t>
      </w:r>
      <w:r/>
    </w:p>
    <w:p>
      <w:pPr>
        <w:ind w:left="-359" w:right="0" w:firstLine="355"/>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符合《政府采购法》第二十二条规定条件的声明函</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致中共淮安经济技术开发区工委政法委员会：</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我公司参加贵单位组织实施的（项目编号：       ）    采购项目的政府采购活动。针对《中华人民共和国政府采购法》第二十二条规定做出如下声明：</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5、参加本次政府采购活动前三年内，我公司在经营活动中没有因违法经营受到刑事处罚或者责令停产停业、吊销许可证或者执照、较大数额罚款等行政处罚。 </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04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承诺人：</w:t>
      </w:r>
      <w:r>
        <w:rPr>
          <w:rFonts w:ascii="SimSun" w:hAnsi="SimSun" w:eastAsia="SimSun" w:cs="SimSun"/>
          <w:color w:val="000000"/>
          <w:sz w:val="24"/>
          <w:u w:val="single"/>
        </w:rPr>
        <w:t xml:space="preserve">     （电子签章）</w:t>
      </w:r>
      <w:r/>
    </w:p>
    <w:p>
      <w:pPr>
        <w:ind w:left="0" w:right="0" w:firstLine="50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企业声明函（服务）</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致中共淮安经济技术开发区工委政法委员会：</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，属于（采购文件中明确的所属行业）；承接企业为（企业名称），从业人员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，属于（采购文件中明确的所属行业）；承接企业为（企业名称），从业人员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w:t>
      </w:r>
      <w:r>
        <w:rPr>
          <w:rFonts w:ascii="SimSun" w:hAnsi="SimSun" w:eastAsia="SimSun" w:cs="SimSun"/>
          <w:color w:val="000000"/>
          <w:sz w:val="24"/>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注：从业人员、营业收入、资产总额填报上一年度数据，无上一年度数据的新成立企业可不填报。</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示范格式五</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致中共淮安经济技术开发区工委政法委员会：</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1、根据《财政部 民政部 中国残疾人联合会关于促进残疾人就业政府采购政策的通知》（财库〔2017〕141 号）规定的划分标准，本公司为残疾人福利性企业。</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注：本公司对上述声明的真实性负责。如有虚假，将依法承担相应责任。</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w:t>
      </w:r>
      <w:r>
        <w:rPr>
          <w:rFonts w:ascii="SimSun" w:hAnsi="SimSun" w:eastAsia="SimSun" w:cs="SimSun"/>
          <w:color w:val="000000"/>
          <w:sz w:val="24"/>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注：非残疾人福利性单位不需提供此函。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华文楷体">
    <w:panose1 w:val="02010600040101010101"/>
  </w:font>
  <w:font w:name="方正黑体_GBK">
    <w:panose1 w:val="020B0503020202020204"/>
  </w:font>
  <w:font w:name="Adobe 仿宋 Std R">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Style w:val="940"/>
        <w:rFonts w:ascii="宋体" w:hAnsi="宋体"/>
      </w:rPr>
      <w:framePr w:wrap="around" w:vAnchor="text" w:hAnchor="margin" w:xAlign="center" w:y="1"/>
    </w:pPr>
    <w:r>
      <w:rPr>
        <w:rFonts w:ascii="宋体" w:hAnsi="宋体"/>
      </w:rPr>
      <w:fldChar w:fldCharType="begin"/>
    </w:r>
    <w:r>
      <w:rPr>
        <w:rStyle w:val="940"/>
        <w:rFonts w:ascii="宋体" w:hAnsi="宋体"/>
      </w:rPr>
      <w:instrText xml:space="preserve">PAGE  </w:instrText>
    </w:r>
    <w:r>
      <w:rPr>
        <w:rFonts w:ascii="宋体" w:hAnsi="宋体"/>
      </w:rPr>
      <w:fldChar w:fldCharType="separate"/>
    </w:r>
    <w:r>
      <w:rPr>
        <w:rStyle w:val="940"/>
        <w:rFonts w:ascii="宋体" w:hAnsi="宋体"/>
      </w:rPr>
      <w:t xml:space="preserve">53</w:t>
    </w:r>
    <w:r>
      <w:rPr>
        <w:rFonts w:ascii="宋体" w:hAnsi="宋体"/>
      </w:rPr>
      <w:fldChar w:fldCharType="end"/>
    </w:r>
    <w:r>
      <w:rPr>
        <w:rStyle w:val="940"/>
        <w:rFonts w:ascii="宋体" w:hAnsi="宋体"/>
      </w:rPr>
    </w:r>
    <w:r/>
  </w:p>
  <w:p>
    <w:pPr>
      <w:pStyle w:val="91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Style w:val="940"/>
      </w:rPr>
      <w:framePr w:wrap="around" w:vAnchor="text" w:hAnchor="margin" w:xAlign="center" w:y="1"/>
    </w:pPr>
    <w:r>
      <w:fldChar w:fldCharType="begin"/>
    </w:r>
    <w:r>
      <w:rPr>
        <w:rStyle w:val="940"/>
      </w:rPr>
      <w:instrText xml:space="preserve">PAGE  </w:instrText>
    </w:r>
    <w:r>
      <w:fldChar w:fldCharType="separate"/>
    </w:r>
    <w:r>
      <w:rPr>
        <w:rStyle w:val="940"/>
      </w:rPr>
      <w:t xml:space="preserve">1</w:t>
    </w:r>
    <w:r>
      <w:fldChar w:fldCharType="end"/>
    </w:r>
    <w:r>
      <w:rPr>
        <w:rStyle w:val="940"/>
      </w:rPr>
    </w:r>
    <w:r/>
  </w:p>
  <w:p>
    <w:pPr>
      <w:pStyle w:val="9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7"/>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4"/>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both"/>
      <w:widowControl w:val="off"/>
    </w:pPr>
    <w:rPr>
      <w:sz w:val="21"/>
      <w:szCs w:val="22"/>
      <w:lang w:val="en-US" w:eastAsia="zh-CN" w:bidi="ar-SA"/>
    </w:rPr>
  </w:style>
  <w:style w:type="paragraph" w:styleId="868">
    <w:name w:val="标题 1"/>
    <w:basedOn w:val="867"/>
    <w:next w:val="867"/>
    <w:link w:val="879"/>
    <w:qFormat/>
    <w:pPr>
      <w:jc w:val="center"/>
      <w:keepNext/>
      <w:outlineLvl w:val="0"/>
    </w:pPr>
    <w:rPr>
      <w:rFonts w:ascii="楷体_GB2312" w:hAnsi="Times New Roman" w:eastAsia="楷体_GB2312" w:cs="Times New Roman"/>
      <w:sz w:val="28"/>
      <w:szCs w:val="28"/>
    </w:rPr>
  </w:style>
  <w:style w:type="paragraph" w:styleId="869">
    <w:name w:val="标题 2"/>
    <w:basedOn w:val="867"/>
    <w:next w:val="881"/>
    <w:link w:val="880"/>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1"/>
    <w:link w:val="8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1"/>
    <w:link w:val="884"/>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1"/>
    <w:link w:val="885"/>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8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89"/>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tblPr/>
  </w:style>
  <w:style w:type="character" w:styleId="879">
    <w:name w:val="标题 1 字符"/>
    <w:next w:val="879"/>
    <w:link w:val="868"/>
    <w:rPr>
      <w:rFonts w:ascii="楷体_GB2312" w:hAnsi="Times New Roman" w:eastAsia="楷体_GB2312" w:cs="Times New Roman"/>
      <w:sz w:val="28"/>
      <w:szCs w:val="28"/>
    </w:rPr>
  </w:style>
  <w:style w:type="character" w:styleId="880">
    <w:name w:val="标题 2 字符"/>
    <w:next w:val="880"/>
    <w:link w:val="869"/>
    <w:rPr>
      <w:rFonts w:ascii="Arial" w:hAnsi="Arial" w:eastAsia="幼圆" w:cs="Arial"/>
      <w:b/>
      <w:bCs/>
      <w:sz w:val="44"/>
      <w:szCs w:val="44"/>
    </w:rPr>
  </w:style>
  <w:style w:type="paragraph" w:styleId="881">
    <w:name w:val="正文缩进"/>
    <w:basedOn w:val="867"/>
    <w:next w:val="881"/>
    <w:link w:val="882"/>
    <w:pPr>
      <w:ind w:firstLine="420"/>
    </w:pPr>
    <w:rPr>
      <w:szCs w:val="21"/>
    </w:rPr>
  </w:style>
  <w:style w:type="character" w:styleId="882">
    <w:name w:val="正文缩进 字符"/>
    <w:next w:val="882"/>
    <w:link w:val="881"/>
    <w:rPr>
      <w:szCs w:val="21"/>
    </w:rPr>
  </w:style>
  <w:style w:type="character" w:styleId="883">
    <w:name w:val="标题 3 字符"/>
    <w:next w:val="883"/>
    <w:link w:val="870"/>
    <w:rPr>
      <w:rFonts w:ascii="Times New Roman" w:hAnsi="Times New Roman" w:eastAsia="宋体" w:cs="Times New Roman"/>
      <w:b/>
      <w:bCs/>
      <w:sz w:val="32"/>
      <w:szCs w:val="32"/>
    </w:rPr>
  </w:style>
  <w:style w:type="character" w:styleId="884">
    <w:name w:val="标题 4 字符"/>
    <w:next w:val="884"/>
    <w:link w:val="871"/>
    <w:rPr>
      <w:rFonts w:ascii="Arial" w:hAnsi="Arial" w:eastAsia="黑体" w:cs="Arial"/>
      <w:b/>
      <w:bCs/>
      <w:sz w:val="28"/>
      <w:szCs w:val="28"/>
    </w:rPr>
  </w:style>
  <w:style w:type="character" w:styleId="885">
    <w:name w:val="标题 5 字符"/>
    <w:next w:val="885"/>
    <w:link w:val="872"/>
    <w:rPr>
      <w:rFonts w:ascii="宋体" w:hAnsi="Times New Roman" w:eastAsia="宋体" w:cs="Times New Roman"/>
      <w:color w:val="000000"/>
      <w:sz w:val="28"/>
      <w:szCs w:val="28"/>
    </w:rPr>
  </w:style>
  <w:style w:type="character" w:styleId="886">
    <w:name w:val="标题 6 字符"/>
    <w:next w:val="886"/>
    <w:link w:val="873"/>
    <w:rPr>
      <w:rFonts w:ascii="Arial" w:hAnsi="Arial" w:eastAsia="黑体" w:cs="Times New Roman"/>
      <w:b/>
      <w:bCs/>
      <w:sz w:val="24"/>
      <w:szCs w:val="24"/>
    </w:rPr>
  </w:style>
  <w:style w:type="character" w:styleId="887">
    <w:name w:val="标题 7 字符"/>
    <w:next w:val="887"/>
    <w:link w:val="874"/>
    <w:rPr>
      <w:rFonts w:ascii="Times New Roman" w:hAnsi="Times New Roman" w:eastAsia="宋体" w:cs="Times New Roman"/>
      <w:b/>
      <w:bCs/>
      <w:sz w:val="24"/>
      <w:szCs w:val="24"/>
    </w:rPr>
  </w:style>
  <w:style w:type="character" w:styleId="888">
    <w:name w:val="标题 8 字符"/>
    <w:next w:val="888"/>
    <w:link w:val="875"/>
    <w:rPr>
      <w:rFonts w:ascii="Arial" w:hAnsi="Arial" w:eastAsia="黑体" w:cs="Times New Roman"/>
      <w:sz w:val="24"/>
      <w:szCs w:val="24"/>
    </w:rPr>
  </w:style>
  <w:style w:type="character" w:styleId="889">
    <w:name w:val="标题 9 字符"/>
    <w:next w:val="889"/>
    <w:link w:val="876"/>
    <w:rPr>
      <w:rFonts w:ascii="Arial" w:hAnsi="Arial" w:eastAsia="黑体" w:cs="Times New Roman"/>
      <w:szCs w:val="21"/>
    </w:rPr>
  </w:style>
  <w:style w:type="paragraph" w:styleId="890">
    <w:name w:val="列表 3"/>
    <w:basedOn w:val="867"/>
    <w:next w:val="890"/>
    <w:link w:val="867"/>
    <w:pPr>
      <w:ind w:left="100" w:hanging="200"/>
    </w:pPr>
    <w:rPr>
      <w:rFonts w:ascii="Times New Roman" w:hAnsi="Times New Roman" w:eastAsia="宋体" w:cs="Times New Roman"/>
      <w:szCs w:val="21"/>
    </w:rPr>
  </w:style>
  <w:style w:type="paragraph" w:styleId="891">
    <w:name w:val="目录 7"/>
    <w:basedOn w:val="867"/>
    <w:next w:val="867"/>
    <w:link w:val="867"/>
    <w:semiHidden/>
    <w:pPr>
      <w:ind w:left="1260"/>
      <w:jc w:val="left"/>
    </w:pPr>
    <w:rPr>
      <w:rFonts w:ascii="Times New Roman" w:hAnsi="Times New Roman" w:eastAsia="宋体" w:cs="Times New Roman"/>
      <w:szCs w:val="21"/>
    </w:rPr>
  </w:style>
  <w:style w:type="paragraph" w:styleId="892">
    <w:name w:val="文档结构图"/>
    <w:basedOn w:val="867"/>
    <w:next w:val="892"/>
    <w:link w:val="893"/>
    <w:semiHidden/>
    <w:pPr>
      <w:shd w:val="clear" w:color="auto" w:fill="000080"/>
    </w:pPr>
    <w:rPr>
      <w:rFonts w:ascii="Times New Roman" w:hAnsi="Times New Roman" w:eastAsia="宋体" w:cs="Times New Roman"/>
      <w:szCs w:val="21"/>
    </w:rPr>
  </w:style>
  <w:style w:type="character" w:styleId="893">
    <w:name w:val="文档结构图 字符"/>
    <w:next w:val="893"/>
    <w:link w:val="892"/>
    <w:semiHidden/>
    <w:rPr>
      <w:rFonts w:ascii="Times New Roman" w:hAnsi="Times New Roman" w:eastAsia="宋体" w:cs="Times New Roman"/>
      <w:szCs w:val="21"/>
      <w:shd w:val="clear" w:color="auto" w:fill="000080"/>
    </w:rPr>
  </w:style>
  <w:style w:type="paragraph" w:styleId="894">
    <w:name w:val="批注文字"/>
    <w:basedOn w:val="867"/>
    <w:next w:val="894"/>
    <w:link w:val="895"/>
    <w:unhideWhenUsed/>
    <w:pPr>
      <w:jc w:val="left"/>
    </w:pPr>
  </w:style>
  <w:style w:type="character" w:styleId="895">
    <w:name w:val="批注文字 字符"/>
    <w:next w:val="895"/>
    <w:link w:val="894"/>
    <w:uiPriority w:val="99"/>
    <w:semiHidden/>
  </w:style>
  <w:style w:type="paragraph" w:styleId="896">
    <w:name w:val="正文文本 3"/>
    <w:basedOn w:val="867"/>
    <w:next w:val="896"/>
    <w:link w:val="897"/>
    <w:rPr>
      <w:rFonts w:ascii="仿宋_GB2312" w:hAnsi="Arial" w:eastAsia="仿宋_GB2312" w:cs="Times New Roman"/>
      <w:sz w:val="32"/>
      <w:szCs w:val="32"/>
    </w:rPr>
  </w:style>
  <w:style w:type="character" w:styleId="897">
    <w:name w:val="正文文本 3 字符"/>
    <w:next w:val="897"/>
    <w:link w:val="896"/>
    <w:rPr>
      <w:rFonts w:ascii="仿宋_GB2312" w:hAnsi="Arial" w:eastAsia="仿宋_GB2312" w:cs="Times New Roman"/>
      <w:sz w:val="32"/>
      <w:szCs w:val="32"/>
    </w:rPr>
  </w:style>
  <w:style w:type="paragraph" w:styleId="898">
    <w:name w:val="正文文本"/>
    <w:basedOn w:val="867"/>
    <w:next w:val="898"/>
    <w:link w:val="899"/>
    <w:rPr>
      <w:rFonts w:ascii="楷体_GB2312" w:hAnsi="Arial" w:eastAsia="楷体_GB2312" w:cs="Times New Roman"/>
      <w:sz w:val="28"/>
      <w:szCs w:val="28"/>
    </w:rPr>
  </w:style>
  <w:style w:type="character" w:styleId="899">
    <w:name w:val="正文文本 字符"/>
    <w:next w:val="899"/>
    <w:link w:val="898"/>
    <w:rPr>
      <w:rFonts w:ascii="楷体_GB2312" w:hAnsi="Arial" w:eastAsia="楷体_GB2312" w:cs="Times New Roman"/>
      <w:sz w:val="28"/>
      <w:szCs w:val="28"/>
    </w:rPr>
  </w:style>
  <w:style w:type="paragraph" w:styleId="900">
    <w:name w:val="正文文本缩进"/>
    <w:basedOn w:val="867"/>
    <w:next w:val="900"/>
    <w:link w:val="901"/>
    <w:unhideWhenUsed/>
    <w:pPr>
      <w:ind w:left="420"/>
      <w:spacing w:after="120"/>
    </w:pPr>
  </w:style>
  <w:style w:type="character" w:styleId="901">
    <w:name w:val="正文文本缩进 字符"/>
    <w:next w:val="901"/>
    <w:link w:val="900"/>
    <w:uiPriority w:val="99"/>
    <w:semiHidden/>
  </w:style>
  <w:style w:type="paragraph" w:styleId="902">
    <w:name w:val="列表 2"/>
    <w:basedOn w:val="867"/>
    <w:next w:val="902"/>
    <w:link w:val="867"/>
    <w:pPr>
      <w:ind w:left="100" w:hanging="200"/>
    </w:pPr>
    <w:rPr>
      <w:rFonts w:ascii="Times New Roman" w:hAnsi="Times New Roman" w:eastAsia="宋体" w:cs="Times New Roman"/>
      <w:szCs w:val="21"/>
    </w:rPr>
  </w:style>
  <w:style w:type="paragraph" w:styleId="903">
    <w:name w:val="文本块"/>
    <w:basedOn w:val="867"/>
    <w:next w:val="903"/>
    <w:link w:val="867"/>
    <w:qFormat/>
    <w:pPr>
      <w:ind w:left="420" w:right="33"/>
      <w:jc w:val="left"/>
    </w:pPr>
    <w:rPr>
      <w:sz w:val="24"/>
      <w:szCs w:val="20"/>
    </w:rPr>
  </w:style>
  <w:style w:type="paragraph" w:styleId="904">
    <w:name w:val="目录 5"/>
    <w:basedOn w:val="867"/>
    <w:next w:val="867"/>
    <w:link w:val="867"/>
    <w:semiHidden/>
    <w:pPr>
      <w:ind w:left="840"/>
      <w:jc w:val="left"/>
    </w:pPr>
    <w:rPr>
      <w:rFonts w:ascii="Times New Roman" w:hAnsi="Times New Roman" w:eastAsia="宋体" w:cs="Times New Roman"/>
      <w:szCs w:val="21"/>
    </w:rPr>
  </w:style>
  <w:style w:type="paragraph" w:styleId="905">
    <w:name w:val="目录 3"/>
    <w:basedOn w:val="867"/>
    <w:next w:val="867"/>
    <w:link w:val="867"/>
    <w:semiHidden/>
    <w:pPr>
      <w:ind w:left="420"/>
      <w:jc w:val="left"/>
    </w:pPr>
    <w:rPr>
      <w:rFonts w:ascii="Times New Roman" w:hAnsi="Times New Roman" w:eastAsia="宋体" w:cs="Times New Roman"/>
      <w:i/>
      <w:iCs/>
      <w:szCs w:val="24"/>
    </w:rPr>
  </w:style>
  <w:style w:type="paragraph" w:styleId="906">
    <w:name w:val="纯文本"/>
    <w:basedOn w:val="867"/>
    <w:next w:val="906"/>
    <w:link w:val="907"/>
    <w:qFormat/>
    <w:rPr>
      <w:rFonts w:ascii="宋体" w:hAnsi="Courier New" w:eastAsia="宋体" w:cs="Courier New"/>
      <w:szCs w:val="21"/>
    </w:rPr>
  </w:style>
  <w:style w:type="character" w:styleId="907">
    <w:name w:val="纯文本 字符"/>
    <w:next w:val="907"/>
    <w:link w:val="906"/>
    <w:rPr>
      <w:rFonts w:ascii="宋体" w:hAnsi="Courier New" w:eastAsia="宋体" w:cs="Courier New"/>
      <w:szCs w:val="21"/>
    </w:rPr>
  </w:style>
  <w:style w:type="paragraph" w:styleId="908">
    <w:name w:val="目录 8"/>
    <w:basedOn w:val="867"/>
    <w:next w:val="867"/>
    <w:link w:val="867"/>
    <w:semiHidden/>
    <w:pPr>
      <w:ind w:left="1470"/>
      <w:jc w:val="left"/>
    </w:pPr>
    <w:rPr>
      <w:rFonts w:ascii="Times New Roman" w:hAnsi="Times New Roman" w:eastAsia="宋体" w:cs="Times New Roman"/>
      <w:szCs w:val="21"/>
    </w:rPr>
  </w:style>
  <w:style w:type="paragraph" w:styleId="909">
    <w:name w:val="日期"/>
    <w:basedOn w:val="867"/>
    <w:next w:val="867"/>
    <w:link w:val="910"/>
    <w:rPr>
      <w:rFonts w:ascii="Times New Roman" w:hAnsi="Times New Roman" w:eastAsia="宋体" w:cs="Times New Roman"/>
      <w:sz w:val="24"/>
      <w:szCs w:val="24"/>
    </w:rPr>
  </w:style>
  <w:style w:type="character" w:styleId="910">
    <w:name w:val="日期 字符"/>
    <w:next w:val="910"/>
    <w:link w:val="909"/>
    <w:rPr>
      <w:rFonts w:ascii="Times New Roman" w:hAnsi="Times New Roman" w:eastAsia="宋体" w:cs="Times New Roman"/>
      <w:sz w:val="24"/>
      <w:szCs w:val="24"/>
    </w:rPr>
  </w:style>
  <w:style w:type="paragraph" w:styleId="911">
    <w:name w:val="正文文本缩进 2"/>
    <w:basedOn w:val="867"/>
    <w:next w:val="911"/>
    <w:link w:val="912"/>
    <w:pPr>
      <w:ind w:left="630" w:firstLine="645"/>
    </w:pPr>
    <w:rPr>
      <w:rFonts w:ascii="Arial" w:hAnsi="Arial" w:eastAsia="仿宋_GB2312" w:cs="Arial"/>
      <w:sz w:val="32"/>
      <w:szCs w:val="32"/>
    </w:rPr>
  </w:style>
  <w:style w:type="character" w:styleId="912">
    <w:name w:val="正文文本缩进 2 字符"/>
    <w:next w:val="912"/>
    <w:link w:val="911"/>
    <w:rPr>
      <w:rFonts w:ascii="Arial" w:hAnsi="Arial" w:eastAsia="仿宋_GB2312" w:cs="Arial"/>
      <w:sz w:val="32"/>
      <w:szCs w:val="32"/>
    </w:rPr>
  </w:style>
  <w:style w:type="paragraph" w:styleId="913">
    <w:name w:val="批注框文本"/>
    <w:basedOn w:val="867"/>
    <w:next w:val="913"/>
    <w:link w:val="914"/>
    <w:semiHidden/>
    <w:rPr>
      <w:rFonts w:ascii="Times New Roman" w:hAnsi="Times New Roman" w:eastAsia="宋体" w:cs="Times New Roman"/>
      <w:sz w:val="18"/>
      <w:szCs w:val="18"/>
    </w:rPr>
  </w:style>
  <w:style w:type="character" w:styleId="914">
    <w:name w:val="批注框文本 字符"/>
    <w:next w:val="914"/>
    <w:link w:val="913"/>
    <w:semiHidden/>
    <w:rPr>
      <w:rFonts w:ascii="Times New Roman" w:hAnsi="Times New Roman" w:eastAsia="宋体" w:cs="Times New Roman"/>
      <w:sz w:val="18"/>
      <w:szCs w:val="18"/>
    </w:rPr>
  </w:style>
  <w:style w:type="paragraph" w:styleId="915">
    <w:name w:val="页脚"/>
    <w:basedOn w:val="867"/>
    <w:next w:val="915"/>
    <w:link w:val="91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16">
    <w:name w:val="页脚 字符"/>
    <w:next w:val="916"/>
    <w:link w:val="915"/>
    <w:uiPriority w:val="99"/>
    <w:rPr>
      <w:rFonts w:ascii="Times New Roman" w:hAnsi="Times New Roman" w:eastAsia="宋体" w:cs="Times New Roman"/>
      <w:sz w:val="18"/>
      <w:szCs w:val="18"/>
    </w:rPr>
  </w:style>
  <w:style w:type="paragraph" w:styleId="917">
    <w:name w:val="页眉"/>
    <w:basedOn w:val="867"/>
    <w:next w:val="917"/>
    <w:link w:val="91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8">
    <w:name w:val="页眉 字符"/>
    <w:next w:val="918"/>
    <w:link w:val="917"/>
    <w:rPr>
      <w:rFonts w:ascii="Times New Roman" w:hAnsi="Times New Roman" w:eastAsia="宋体" w:cs="Times New Roman"/>
      <w:sz w:val="18"/>
      <w:szCs w:val="18"/>
    </w:rPr>
  </w:style>
  <w:style w:type="paragraph" w:styleId="919">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0">
    <w:name w:val="目录 4"/>
    <w:basedOn w:val="867"/>
    <w:next w:val="867"/>
    <w:link w:val="867"/>
    <w:semiHidden/>
    <w:pPr>
      <w:ind w:left="630"/>
      <w:jc w:val="left"/>
    </w:pPr>
    <w:rPr>
      <w:rFonts w:ascii="Times New Roman" w:hAnsi="Times New Roman" w:eastAsia="宋体" w:cs="Times New Roman"/>
      <w:szCs w:val="21"/>
    </w:rPr>
  </w:style>
  <w:style w:type="paragraph" w:styleId="921">
    <w:name w:val="列表"/>
    <w:basedOn w:val="867"/>
    <w:next w:val="921"/>
    <w:link w:val="867"/>
    <w:pPr>
      <w:ind w:left="200" w:hanging="200"/>
    </w:pPr>
    <w:rPr>
      <w:rFonts w:ascii="Times New Roman" w:hAnsi="Times New Roman" w:eastAsia="宋体" w:cs="Times New Roman"/>
      <w:szCs w:val="21"/>
    </w:rPr>
  </w:style>
  <w:style w:type="paragraph" w:styleId="922">
    <w:name w:val="目录 6"/>
    <w:basedOn w:val="867"/>
    <w:next w:val="867"/>
    <w:link w:val="867"/>
    <w:semiHidden/>
    <w:pPr>
      <w:ind w:left="1050"/>
      <w:jc w:val="left"/>
    </w:pPr>
    <w:rPr>
      <w:rFonts w:ascii="Times New Roman" w:hAnsi="Times New Roman" w:eastAsia="宋体" w:cs="Times New Roman"/>
      <w:szCs w:val="21"/>
    </w:rPr>
  </w:style>
  <w:style w:type="paragraph" w:styleId="923">
    <w:name w:val="正文文本缩进 3"/>
    <w:basedOn w:val="867"/>
    <w:next w:val="923"/>
    <w:link w:val="924"/>
    <w:pPr>
      <w:ind w:left="645" w:firstLine="645"/>
    </w:pPr>
    <w:rPr>
      <w:rFonts w:ascii="Arial" w:hAnsi="Arial" w:eastAsia="仿宋_GB2312" w:cs="Arial"/>
      <w:color w:val="ffff00"/>
      <w:sz w:val="32"/>
      <w:szCs w:val="32"/>
    </w:rPr>
  </w:style>
  <w:style w:type="character" w:styleId="924">
    <w:name w:val="正文文本缩进 3 字符"/>
    <w:next w:val="924"/>
    <w:link w:val="923"/>
    <w:rPr>
      <w:rFonts w:ascii="Arial" w:hAnsi="Arial" w:eastAsia="仿宋_GB2312" w:cs="Arial"/>
      <w:color w:val="ffff00"/>
      <w:sz w:val="32"/>
      <w:szCs w:val="32"/>
    </w:rPr>
  </w:style>
  <w:style w:type="paragraph" w:styleId="925">
    <w:name w:val="图表目录"/>
    <w:basedOn w:val="867"/>
    <w:next w:val="867"/>
    <w:link w:val="867"/>
    <w:semiHidden/>
    <w:pPr>
      <w:ind w:left="840" w:hanging="420"/>
    </w:pPr>
    <w:rPr>
      <w:rFonts w:ascii="Times New Roman" w:hAnsi="Times New Roman" w:eastAsia="宋体" w:cs="Times New Roman"/>
      <w:szCs w:val="21"/>
    </w:rPr>
  </w:style>
  <w:style w:type="paragraph" w:styleId="926">
    <w:name w:val="目录 2"/>
    <w:basedOn w:val="867"/>
    <w:next w:val="867"/>
    <w:link w:val="867"/>
    <w:semiHidden/>
    <w:pPr>
      <w:ind w:left="210"/>
      <w:jc w:val="left"/>
    </w:pPr>
    <w:rPr>
      <w:rFonts w:ascii="Times New Roman" w:hAnsi="Times New Roman" w:eastAsia="宋体" w:cs="Times New Roman"/>
      <w:smallCaps/>
      <w:szCs w:val="24"/>
    </w:rPr>
  </w:style>
  <w:style w:type="paragraph" w:styleId="927">
    <w:name w:val="目录 9"/>
    <w:basedOn w:val="867"/>
    <w:next w:val="867"/>
    <w:link w:val="867"/>
    <w:semiHidden/>
    <w:pPr>
      <w:ind w:left="1680"/>
      <w:jc w:val="left"/>
    </w:pPr>
    <w:rPr>
      <w:rFonts w:ascii="Times New Roman" w:hAnsi="Times New Roman" w:eastAsia="宋体" w:cs="Times New Roman"/>
      <w:szCs w:val="21"/>
    </w:rPr>
  </w:style>
  <w:style w:type="paragraph" w:styleId="928">
    <w:name w:val="正文文本 2"/>
    <w:basedOn w:val="867"/>
    <w:next w:val="928"/>
    <w:link w:val="929"/>
    <w:pPr>
      <w:jc w:val="center"/>
      <w:widowControl/>
    </w:pPr>
    <w:rPr>
      <w:rFonts w:ascii="楷体_GB2312" w:hAnsi="Times New Roman" w:eastAsia="楷体_GB2312" w:cs="Times New Roman"/>
      <w:sz w:val="28"/>
      <w:szCs w:val="28"/>
    </w:rPr>
  </w:style>
  <w:style w:type="character" w:styleId="929">
    <w:name w:val="正文文本 2 字符"/>
    <w:next w:val="929"/>
    <w:link w:val="928"/>
    <w:rPr>
      <w:rFonts w:ascii="楷体_GB2312" w:hAnsi="Times New Roman" w:eastAsia="楷体_GB2312" w:cs="Times New Roman"/>
      <w:sz w:val="28"/>
      <w:szCs w:val="28"/>
    </w:rPr>
  </w:style>
  <w:style w:type="paragraph" w:styleId="930">
    <w:name w:val="普通(网站)"/>
    <w:basedOn w:val="867"/>
    <w:next w:val="930"/>
    <w:link w:val="867"/>
    <w:uiPriority w:val="99"/>
    <w:pPr>
      <w:jc w:val="left"/>
      <w:spacing w:before="100" w:beforeAutospacing="1" w:after="100" w:afterAutospacing="1"/>
      <w:widowControl/>
    </w:pPr>
    <w:rPr>
      <w:rFonts w:ascii="宋体" w:hAnsi="宋体" w:eastAsia="宋体" w:cs="宋体"/>
      <w:sz w:val="24"/>
      <w:szCs w:val="24"/>
    </w:rPr>
  </w:style>
  <w:style w:type="paragraph" w:styleId="931">
    <w:name w:val="索引 1"/>
    <w:basedOn w:val="867"/>
    <w:next w:val="867"/>
    <w:link w:val="867"/>
    <w:semiHidden/>
    <w:pPr>
      <w:spacing w:line="240" w:lineRule="atLeast"/>
    </w:pPr>
    <w:rPr>
      <w:rFonts w:ascii="Times New Roman" w:hAnsi="Times New Roman" w:eastAsia="宋体" w:cs="Times New Roman"/>
      <w:b/>
      <w:bCs/>
      <w:szCs w:val="21"/>
    </w:rPr>
  </w:style>
  <w:style w:type="paragraph" w:styleId="932">
    <w:name w:val="批注主题"/>
    <w:basedOn w:val="894"/>
    <w:next w:val="894"/>
    <w:link w:val="933"/>
    <w:semiHidden/>
    <w:rPr>
      <w:rFonts w:ascii="Times New Roman" w:hAnsi="Times New Roman" w:eastAsia="宋体" w:cs="Times New Roman"/>
      <w:b/>
      <w:bCs/>
      <w:szCs w:val="21"/>
    </w:rPr>
  </w:style>
  <w:style w:type="character" w:styleId="933">
    <w:name w:val="批注主题 字符"/>
    <w:next w:val="933"/>
    <w:link w:val="932"/>
    <w:semiHidden/>
    <w:rPr>
      <w:rFonts w:ascii="Times New Roman" w:hAnsi="Times New Roman" w:eastAsia="宋体" w:cs="Times New Roman"/>
      <w:b/>
      <w:bCs/>
      <w:szCs w:val="21"/>
    </w:rPr>
  </w:style>
  <w:style w:type="paragraph" w:styleId="934">
    <w:name w:val="正文首行缩进"/>
    <w:basedOn w:val="867"/>
    <w:next w:val="934"/>
    <w:link w:val="935"/>
    <w:pPr>
      <w:ind w:firstLine="200"/>
      <w:spacing w:line="360" w:lineRule="auto"/>
    </w:pPr>
    <w:rPr>
      <w:rFonts w:ascii="仿宋_GB2312" w:hAnsi="Times New Roman" w:eastAsia="仿宋_GB2312" w:cs="Times New Roman"/>
      <w:sz w:val="30"/>
      <w:szCs w:val="30"/>
    </w:rPr>
  </w:style>
  <w:style w:type="character" w:styleId="935">
    <w:name w:val="正文首行缩进 字符"/>
    <w:next w:val="935"/>
    <w:link w:val="934"/>
    <w:rPr>
      <w:rFonts w:ascii="仿宋_GB2312" w:hAnsi="Times New Roman" w:eastAsia="仿宋_GB2312" w:cs="Times New Roman"/>
      <w:sz w:val="30"/>
      <w:szCs w:val="30"/>
    </w:rPr>
  </w:style>
  <w:style w:type="paragraph" w:styleId="936">
    <w:name w:val="正文首行缩进 2"/>
    <w:basedOn w:val="900"/>
    <w:next w:val="936"/>
    <w:link w:val="937"/>
    <w:pPr>
      <w:ind w:left="0" w:firstLine="420"/>
      <w:spacing w:after="0" w:line="360" w:lineRule="auto"/>
    </w:pPr>
    <w:rPr>
      <w:rFonts w:ascii="宋体" w:hAnsi="宋体" w:eastAsia="宋体" w:cs="Times New Roman"/>
      <w:szCs w:val="20"/>
    </w:rPr>
  </w:style>
  <w:style w:type="character" w:styleId="937">
    <w:name w:val="正文首行缩进 2 字符"/>
    <w:next w:val="937"/>
    <w:link w:val="936"/>
    <w:rPr>
      <w:rFonts w:ascii="宋体" w:hAnsi="宋体" w:eastAsia="宋体" w:cs="Times New Roman"/>
      <w:szCs w:val="20"/>
    </w:rPr>
  </w:style>
  <w:style w:type="table" w:styleId="938">
    <w:name w:val="网格型"/>
    <w:basedOn w:val="878"/>
    <w:next w:val="938"/>
    <w:link w:val="867"/>
    <w:pPr>
      <w:jc w:val="both"/>
      <w:widowControl w:val="off"/>
    </w:pPr>
    <w:rPr>
      <w:rFonts w:ascii="Times New Roman" w:hAnsi="Times New Roman" w:eastAsia="宋体" w:cs="Times New Roman"/>
      <w:sz w:val="20"/>
      <w:szCs w:val="20"/>
    </w:rPr>
    <w:tblPr/>
  </w:style>
  <w:style w:type="character" w:styleId="939">
    <w:name w:val="要点"/>
    <w:next w:val="939"/>
    <w:link w:val="867"/>
    <w:qFormat/>
    <w:rPr>
      <w:b/>
      <w:bCs/>
    </w:rPr>
  </w:style>
  <w:style w:type="character" w:styleId="940">
    <w:name w:val="页码"/>
    <w:next w:val="940"/>
    <w:link w:val="867"/>
  </w:style>
  <w:style w:type="character" w:styleId="941">
    <w:name w:val="已访问的超链接"/>
    <w:next w:val="941"/>
    <w:link w:val="867"/>
    <w:rPr>
      <w:color w:val="800080"/>
      <w:u w:val="single"/>
    </w:rPr>
  </w:style>
  <w:style w:type="character" w:styleId="942">
    <w:name w:val="强调"/>
    <w:next w:val="942"/>
    <w:link w:val="867"/>
    <w:qFormat/>
    <w:rPr>
      <w:i/>
    </w:rPr>
  </w:style>
  <w:style w:type="character" w:styleId="943">
    <w:name w:val="超链接"/>
    <w:next w:val="943"/>
    <w:link w:val="867"/>
    <w:rPr>
      <w:color w:val="0000ff"/>
      <w:u w:val="single"/>
    </w:rPr>
  </w:style>
  <w:style w:type="character" w:styleId="944">
    <w:name w:val="批注引用"/>
    <w:next w:val="944"/>
    <w:link w:val="867"/>
    <w:semiHidden/>
    <w:rPr>
      <w:sz w:val="21"/>
      <w:szCs w:val="21"/>
    </w:rPr>
  </w:style>
  <w:style w:type="character" w:styleId="945">
    <w:name w:val="font5 Char"/>
    <w:next w:val="945"/>
    <w:link w:val="867"/>
    <w:rPr>
      <w:rFonts w:ascii="宋体" w:hAnsi="宋体" w:eastAsia="宋体"/>
      <w:sz w:val="28"/>
      <w:szCs w:val="28"/>
      <w:lang w:val="en-US" w:eastAsia="zh-CN" w:bidi="ar-SA"/>
    </w:rPr>
  </w:style>
  <w:style w:type="character" w:styleId="946">
    <w:name w:val="二级目录 Char"/>
    <w:next w:val="946"/>
    <w:link w:val="947"/>
    <w:rPr>
      <w:b/>
      <w:sz w:val="30"/>
      <w:szCs w:val="28"/>
    </w:rPr>
  </w:style>
  <w:style w:type="paragraph" w:styleId="947">
    <w:name w:val="二级目录"/>
    <w:next w:val="867"/>
    <w:link w:val="946"/>
    <w:pPr>
      <w:numPr>
        <w:ilvl w:val="0"/>
        <w:numId w:val="2"/>
      </w:numPr>
      <w:tabs>
        <w:tab w:val="left" w:pos="907" w:leader="none"/>
        <w:tab w:val="left" w:pos="1145" w:leader="none"/>
      </w:tabs>
      <w:outlineLvl w:val="1"/>
    </w:pPr>
    <w:rPr>
      <w:b/>
      <w:sz w:val="30"/>
      <w:szCs w:val="28"/>
      <w:lang w:val="en-US" w:eastAsia="zh-CN" w:bidi="ar-SA"/>
    </w:rPr>
  </w:style>
  <w:style w:type="character" w:styleId="948">
    <w:name w:val="列出段落 Char,Bullet List Char,numbered Char,FooterText Char,List Paragraph1 Char,Paragraphe de liste1 Char"/>
    <w:next w:val="948"/>
    <w:link w:val="949"/>
    <w:rPr>
      <w:rFonts w:ascii="Calibri" w:hAnsi="Calibri"/>
      <w:sz w:val="24"/>
      <w:szCs w:val="24"/>
      <w:lang w:eastAsia="en-US" w:bidi="en-US"/>
    </w:rPr>
  </w:style>
  <w:style w:type="paragraph" w:styleId="949">
    <w:name w:val="列出段落1"/>
    <w:basedOn w:val="867"/>
    <w:next w:val="949"/>
    <w:link w:val="948"/>
    <w:qFormat/>
    <w:pPr>
      <w:contextualSpacing/>
      <w:ind w:left="720"/>
      <w:jc w:val="left"/>
      <w:widowControl/>
    </w:pPr>
    <w:rPr>
      <w:rFonts w:ascii="Calibri" w:hAnsi="Calibri"/>
      <w:sz w:val="24"/>
      <w:szCs w:val="24"/>
      <w:lang w:eastAsia="en-US" w:bidi="en-US"/>
    </w:rPr>
  </w:style>
  <w:style w:type="paragraph" w:styleId="950">
    <w:name w:val="Body Text(ch)"/>
    <w:basedOn w:val="867"/>
    <w:next w:val="898"/>
    <w:link w:val="867"/>
    <w:pPr>
      <w:spacing w:after="120"/>
    </w:pPr>
    <w:rPr>
      <w:rFonts w:ascii="宋体" w:hAnsi="Arial" w:eastAsia="宋体" w:cs="Times New Roman"/>
      <w:bCs/>
      <w:iCs/>
      <w:szCs w:val="24"/>
    </w:rPr>
  </w:style>
  <w:style w:type="paragraph" w:styleId="951">
    <w:name w:val="xl27"/>
    <w:basedOn w:val="867"/>
    <w:next w:val="951"/>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name w:val="xl26"/>
    <w:basedOn w:val="867"/>
    <w:next w:val="952"/>
    <w:link w:val="8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name w:val="Char"/>
    <w:basedOn w:val="867"/>
    <w:next w:val="953"/>
    <w:link w:val="867"/>
    <w:pPr>
      <w:ind w:firstLine="200"/>
      <w:tabs>
        <w:tab w:val="left" w:pos="360" w:leader="none"/>
      </w:tabs>
    </w:pPr>
    <w:rPr>
      <w:rFonts w:ascii="Times New Roman" w:hAnsi="Times New Roman" w:eastAsia="宋体" w:cs="Times New Roman"/>
      <w:sz w:val="28"/>
      <w:szCs w:val="30"/>
    </w:rPr>
  </w:style>
  <w:style w:type="paragraph" w:styleId="954">
    <w:name w:val=" Char"/>
    <w:basedOn w:val="892"/>
    <w:next w:val="954"/>
    <w:link w:val="867"/>
    <w:rPr>
      <w:rFonts w:ascii="Tahoma" w:hAnsi="Tahoma"/>
      <w:sz w:val="24"/>
      <w:szCs w:val="24"/>
    </w:rPr>
  </w:style>
  <w:style w:type="paragraph" w:styleId="955">
    <w:name w:val="普通正文"/>
    <w:basedOn w:val="867"/>
    <w:next w:val="955"/>
    <w:link w:val="867"/>
    <w:pPr>
      <w:ind w:firstLine="480"/>
      <w:jc w:val="left"/>
      <w:spacing w:before="120" w:after="120" w:line="360" w:lineRule="auto"/>
    </w:pPr>
    <w:rPr>
      <w:rFonts w:ascii="Arial" w:hAnsi="Arial" w:eastAsia="宋体" w:cs="Times New Roman"/>
      <w:sz w:val="24"/>
      <w:szCs w:val="24"/>
    </w:rPr>
  </w:style>
  <w:style w:type="paragraph" w:styleId="956">
    <w:name w:val="table_lines"/>
    <w:basedOn w:val="867"/>
    <w:next w:val="956"/>
    <w:link w:val="867"/>
    <w:pPr>
      <w:jc w:val="left"/>
      <w:widowControl/>
    </w:pPr>
    <w:rPr>
      <w:rFonts w:ascii="Times New Roman" w:hAnsi="Times New Roman" w:eastAsia="宋体" w:cs="Times New Roman"/>
      <w:sz w:val="20"/>
      <w:szCs w:val="20"/>
      <w:lang w:val="de-DE" w:eastAsia="de-DE"/>
    </w:rPr>
  </w:style>
  <w:style w:type="paragraph" w:styleId="957">
    <w:name w:val="附录1"/>
    <w:next w:val="957"/>
    <w:link w:val="867"/>
    <w:pPr>
      <w:numPr>
        <w:ilvl w:val="0"/>
        <w:numId w:val="2"/>
      </w:numPr>
      <w:spacing w:before="240" w:line="600" w:lineRule="atLeast"/>
      <w:tabs>
        <w:tab w:val="left" w:pos="907" w:leader="none"/>
      </w:tabs>
    </w:pPr>
    <w:rPr>
      <w:b/>
      <w:i/>
      <w:sz w:val="28"/>
      <w:lang w:val="en-US" w:eastAsia="zh-CN" w:bidi="ar-SA"/>
    </w:rPr>
  </w:style>
  <w:style w:type="paragraph" w:styleId="958">
    <w:name w:val="font7"/>
    <w:basedOn w:val="867"/>
    <w:next w:val="958"/>
    <w:link w:val="867"/>
    <w:pPr>
      <w:jc w:val="left"/>
      <w:spacing w:before="100" w:beforeAutospacing="1" w:after="100" w:afterAutospacing="1"/>
      <w:widowControl/>
    </w:pPr>
    <w:rPr>
      <w:rFonts w:hint="eastAsia" w:ascii="宋体" w:hAnsi="宋体" w:eastAsia="宋体" w:cs="Times New Roman"/>
      <w:sz w:val="18"/>
      <w:szCs w:val="18"/>
    </w:rPr>
  </w:style>
  <w:style w:type="paragraph" w:styleId="959">
    <w:name w:val=" Char Char Char Char"/>
    <w:basedOn w:val="892"/>
    <w:next w:val="959"/>
    <w:link w:val="867"/>
    <w:pPr>
      <w:spacing w:line="360" w:lineRule="auto"/>
    </w:pPr>
    <w:rPr>
      <w:rFonts w:ascii="Tahoma" w:hAnsi="Tahoma"/>
      <w:sz w:val="24"/>
      <w:szCs w:val="24"/>
    </w:rPr>
  </w:style>
  <w:style w:type="paragraph" w:styleId="960">
    <w:name w:val="列出段落"/>
    <w:basedOn w:val="867"/>
    <w:next w:val="960"/>
    <w:link w:val="867"/>
    <w:qFormat/>
    <w:pPr>
      <w:contextualSpacing/>
      <w:ind w:left="720"/>
      <w:jc w:val="left"/>
      <w:widowControl/>
    </w:pPr>
    <w:rPr>
      <w:rFonts w:ascii="Calibri" w:hAnsi="Calibri" w:eastAsia="宋体" w:cs="Times New Roman"/>
      <w:sz w:val="24"/>
      <w:szCs w:val="24"/>
      <w:lang w:eastAsia="en-US" w:bidi="en-US"/>
    </w:rPr>
  </w:style>
  <w:style w:type="paragraph" w:styleId="961">
    <w:name w:val="4"/>
    <w:basedOn w:val="867"/>
    <w:next w:val="923"/>
    <w:link w:val="867"/>
    <w:pPr>
      <w:ind w:firstLine="420"/>
      <w:spacing w:line="360" w:lineRule="auto"/>
    </w:pPr>
    <w:rPr>
      <w:rFonts w:ascii="Times New Roman" w:hAnsi="Times New Roman" w:eastAsia="宋体" w:cs="Times New Roman"/>
      <w:color w:val="ff0000"/>
      <w:sz w:val="24"/>
      <w:szCs w:val="24"/>
    </w:rPr>
  </w:style>
  <w:style w:type="paragraph" w:styleId="962">
    <w:name w:val="普通 (Web)"/>
    <w:basedOn w:val="867"/>
    <w:next w:val="962"/>
    <w:link w:val="867"/>
    <w:pPr>
      <w:jc w:val="left"/>
      <w:spacing w:before="100" w:beforeAutospacing="1" w:after="100" w:afterAutospacing="1"/>
      <w:widowControl/>
    </w:pPr>
    <w:rPr>
      <w:rFonts w:ascii="宋体" w:hAnsi="宋体" w:eastAsia="宋体" w:cs="Times New Roman"/>
      <w:sz w:val="24"/>
      <w:szCs w:val="24"/>
    </w:rPr>
  </w:style>
  <w:style w:type="paragraph" w:styleId="963">
    <w:name w:val=" Char Char Char Char Char Char Char Char Char Char"/>
    <w:basedOn w:val="867"/>
    <w:next w:val="963"/>
    <w:link w:val="867"/>
    <w:pPr>
      <w:spacing w:line="360" w:lineRule="auto"/>
    </w:pPr>
    <w:rPr>
      <w:rFonts w:ascii="Times New Roman" w:hAnsi="Times New Roman" w:eastAsia="宋体" w:cs="Times New Roman"/>
      <w:sz w:val="24"/>
      <w:szCs w:val="20"/>
    </w:rPr>
  </w:style>
  <w:style w:type="paragraph" w:styleId="964">
    <w:name w:val="样式1"/>
    <w:basedOn w:val="867"/>
    <w:next w:val="964"/>
    <w:link w:val="867"/>
    <w:pPr>
      <w:numPr>
        <w:ilvl w:val="0"/>
        <w:numId w:val="3"/>
      </w:numPr>
      <w:tabs>
        <w:tab w:val="left" w:pos="709" w:leader="none"/>
      </w:tabs>
    </w:pPr>
    <w:rPr>
      <w:rFonts w:ascii="宋体" w:hAnsi="宋体" w:eastAsia="宋体" w:cs="Times New Roman"/>
      <w:szCs w:val="21"/>
    </w:rPr>
  </w:style>
  <w:style w:type="paragraph" w:styleId="965">
    <w:name w:val="font6"/>
    <w:basedOn w:val="867"/>
    <w:next w:val="965"/>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66">
    <w:name w:val="xl25"/>
    <w:basedOn w:val="867"/>
    <w:next w:val="966"/>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8">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69">
    <w:name w:val="xl24"/>
    <w:basedOn w:val="867"/>
    <w:next w:val="969"/>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xl29"/>
    <w:basedOn w:val="867"/>
    <w:next w:val="970"/>
    <w:link w:val="86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1">
    <w:name w:val="Char Char Char Char Char Char Char Char"/>
    <w:basedOn w:val="867"/>
    <w:next w:val="971"/>
    <w:link w:val="867"/>
    <w:pPr>
      <w:jc w:val="left"/>
      <w:spacing w:after="160" w:line="240" w:lineRule="exact"/>
      <w:widowControl/>
    </w:pPr>
    <w:rPr>
      <w:rFonts w:ascii="Verdana" w:hAnsi="Verdana" w:eastAsia="宋体" w:cs="Times New Roman"/>
      <w:sz w:val="20"/>
      <w:szCs w:val="20"/>
      <w:lang w:eastAsia="en-US"/>
    </w:rPr>
  </w:style>
  <w:style w:type="paragraph" w:styleId="972">
    <w:name w:val="xl28"/>
    <w:basedOn w:val="867"/>
    <w:next w:val="972"/>
    <w:link w:val="8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3">
    <w:name w:val=" Char Char Char Char Char Char Char Char"/>
    <w:basedOn w:val="867"/>
    <w:next w:val="973"/>
    <w:link w:val="867"/>
    <w:pPr>
      <w:jc w:val="left"/>
      <w:spacing w:after="160" w:line="240" w:lineRule="exact"/>
      <w:widowControl/>
    </w:pPr>
    <w:rPr>
      <w:rFonts w:ascii="Verdana" w:hAnsi="Verdana" w:eastAsia="宋体" w:cs="Times New Roman"/>
      <w:sz w:val="20"/>
      <w:szCs w:val="20"/>
      <w:lang w:eastAsia="en-US"/>
    </w:rPr>
  </w:style>
  <w:style w:type="paragraph" w:styleId="974">
    <w:name w:val="xl30"/>
    <w:basedOn w:val="867"/>
    <w:next w:val="974"/>
    <w:link w:val="867"/>
    <w:pPr>
      <w:jc w:val="center"/>
      <w:spacing w:before="100" w:beforeAutospacing="1" w:after="100" w:afterAutospacing="1"/>
      <w:widowControl/>
    </w:pPr>
    <w:rPr>
      <w:rFonts w:ascii="宋体" w:hAnsi="宋体" w:eastAsia="宋体" w:cs="Times New Roman"/>
      <w:b/>
      <w:bCs/>
      <w:sz w:val="36"/>
      <w:szCs w:val="36"/>
    </w:rPr>
  </w:style>
  <w:style w:type="paragraph" w:styleId="975">
    <w:name w:val="Char Char Char Char"/>
    <w:basedOn w:val="892"/>
    <w:next w:val="975"/>
    <w:link w:val="867"/>
    <w:pPr>
      <w:spacing w:line="360" w:lineRule="auto"/>
    </w:pPr>
    <w:rPr>
      <w:rFonts w:ascii="Tahoma" w:hAnsi="Tahoma"/>
      <w:sz w:val="24"/>
      <w:szCs w:val="24"/>
    </w:rPr>
  </w:style>
  <w:style w:type="paragraph" w:styleId="976">
    <w:name w:val="table_1stline"/>
    <w:basedOn w:val="867"/>
    <w:next w:val="976"/>
    <w:link w:val="867"/>
    <w:pPr>
      <w:jc w:val="left"/>
      <w:spacing w:before="120"/>
      <w:widowControl/>
    </w:pPr>
    <w:rPr>
      <w:rFonts w:ascii="Times New Roman" w:hAnsi="Times New Roman" w:eastAsia="宋体" w:cs="Times New Roman"/>
      <w:bCs/>
      <w:sz w:val="20"/>
      <w:szCs w:val="20"/>
      <w:lang w:val="de-DE" w:eastAsia="de-DE"/>
    </w:rPr>
  </w:style>
  <w:style w:type="paragraph" w:styleId="977">
    <w:name w:val="font5"/>
    <w:basedOn w:val="867"/>
    <w:next w:val="977"/>
    <w:link w:val="867"/>
    <w:pPr>
      <w:jc w:val="left"/>
      <w:spacing w:before="100" w:beforeAutospacing="1" w:after="100" w:afterAutospacing="1"/>
      <w:widowControl/>
    </w:pPr>
    <w:rPr>
      <w:rFonts w:hint="eastAsia" w:ascii="宋体" w:hAnsi="宋体" w:eastAsia="宋体" w:cs="Times New Roman"/>
      <w:sz w:val="28"/>
      <w:szCs w:val="28"/>
    </w:rPr>
  </w:style>
  <w:style w:type="paragraph" w:styleId="978">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9">
    <w:name w:val="修订"/>
    <w:next w:val="979"/>
    <w:link w:val="867"/>
    <w:uiPriority w:val="99"/>
    <w:semiHidden/>
    <w:rPr>
      <w:sz w:val="21"/>
      <w:szCs w:val="21"/>
      <w:lang w:val="en-US" w:eastAsia="zh-CN" w:bidi="ar-SA"/>
    </w:rPr>
  </w:style>
  <w:style w:type="paragraph" w:styleId="980">
    <w:name w:val="无间隔"/>
    <w:next w:val="980"/>
    <w:link w:val="867"/>
    <w:uiPriority w:val="99"/>
    <w:qFormat/>
    <w:pPr>
      <w:jc w:val="both"/>
      <w:widowControl w:val="off"/>
    </w:pPr>
    <w:rPr>
      <w:sz w:val="21"/>
      <w:szCs w:val="21"/>
      <w:lang w:val="en-US" w:eastAsia="zh-CN" w:bidi="ar-SA"/>
    </w:rPr>
  </w:style>
  <w:style w:type="paragraph" w:styleId="981">
    <w:name w:val="AONormal"/>
    <w:next w:val="981"/>
    <w:link w:val="867"/>
    <w:qFormat/>
    <w:pPr>
      <w:ind w:firstLine="440"/>
      <w:spacing w:line="400" w:lineRule="exact"/>
    </w:pPr>
    <w:rPr>
      <w:rFonts w:ascii="华文楷体" w:hAnsi="华文楷体" w:eastAsia="华文楷体" w:cs="华文楷体"/>
      <w:sz w:val="22"/>
      <w:szCs w:val="21"/>
      <w:lang w:val="en-US" w:eastAsia="zh-CN" w:bidi="ar-SA"/>
    </w:rPr>
  </w:style>
  <w:style w:type="paragraph" w:styleId="982">
    <w:name w:val="正文1"/>
    <w:next w:val="867"/>
    <w:link w:val="867"/>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983" w:default="1">
    <w:name w:val="Default Paragraph Font"/>
    <w:uiPriority w:val="1"/>
    <w:semiHidden/>
    <w:unhideWhenUsed/>
  </w:style>
  <w:style w:type="numbering" w:styleId="984" w:default="1">
    <w:name w:val="No List"/>
    <w:uiPriority w:val="99"/>
    <w:semiHidden/>
    <w:unhideWhenUsed/>
  </w:style>
  <w:style w:type="table" w:styleId="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星汇1</cp:lastModifiedBy>
  <cp:revision>7</cp:revision>
  <dcterms:created xsi:type="dcterms:W3CDTF">2025-12-26T03:51:00Z</dcterms:created>
  <dcterms:modified xsi:type="dcterms:W3CDTF">2026-04-02T03:16:28Z</dcterms:modified>
</cp:coreProperties>
</file>