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7"/>
        <w:jc w:val="center"/>
        <w:rPr>
          <w:rFonts w:hint="eastAsia"/>
          <w:b/>
          <w:bCs/>
          <w:sz w:val="72"/>
          <w:szCs w:val="72"/>
        </w:rPr>
      </w:pPr>
      <w:r>
        <w:rPr>
          <w:rFonts w:hint="eastAsia"/>
          <w:b/>
          <w:bCs/>
          <w:sz w:val="72"/>
          <w:szCs w:val="72"/>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rFonts w:hint="eastAsia" w:eastAsia="宋体"/>
          <w:color w:val="000000"/>
          <w:lang w:eastAsia="zh-CN"/>
        </w:rPr>
      </w:pPr>
      <w:r>
        <w:rPr>
          <w:rFonts w:hint="eastAsia"/>
          <w:b/>
          <w:bCs/>
          <w:color w:val="000000"/>
          <w:sz w:val="72"/>
          <w:szCs w:val="72"/>
          <w:lang w:eastAsia="zh-CN"/>
        </w:rPr>
        <w:t xml:space="preserve">AI智能安全监管平台服务项目</w:t>
      </w:r>
      <w:r>
        <w:rPr>
          <w:rFonts w:hint="eastAsia" w:eastAsia="宋体"/>
          <w:color w:val="000000"/>
          <w:lang w:eastAsia="zh-CN"/>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rFonts w:hint="eastAsia"/>
          <w:b/>
          <w:bCs/>
          <w:color w:val="000000"/>
          <w:sz w:val="72"/>
          <w:szCs w:val="72"/>
        </w:rPr>
      </w:pPr>
      <w:r>
        <w:rPr>
          <w:rFonts w:hint="eastAsia"/>
          <w:b/>
          <w:bCs/>
          <w:color w:val="000000"/>
          <w:sz w:val="72"/>
          <w:szCs w:val="72"/>
        </w:rPr>
      </w:r>
      <w:r/>
    </w:p>
    <w:p>
      <w:pPr>
        <w:pStyle w:val="1067"/>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1067"/>
        <w:jc w:val="center"/>
        <w:rPr>
          <w:b/>
          <w:bCs/>
          <w:color w:val="000000"/>
          <w:sz w:val="60"/>
          <w:szCs w:val="60"/>
        </w:rPr>
      </w:pPr>
      <w:r>
        <w:rPr>
          <w:b/>
          <w:bCs/>
          <w:color w:val="000000"/>
          <w:sz w:val="60"/>
          <w:szCs w:val="60"/>
        </w:rPr>
      </w:r>
      <w:r/>
    </w:p>
    <w:p>
      <w:pPr>
        <w:pStyle w:val="1067"/>
        <w:jc w:val="center"/>
        <w:spacing w:line="360" w:lineRule="auto"/>
        <w:rPr>
          <w:color w:val="000000"/>
          <w:sz w:val="60"/>
          <w:szCs w:val="60"/>
        </w:rPr>
      </w:pPr>
      <w:r>
        <w:rPr>
          <w:color w:val="000000"/>
          <w:sz w:val="60"/>
          <w:szCs w:val="60"/>
        </w:rPr>
      </w:r>
      <w:r/>
    </w:p>
    <w:p>
      <w:pPr>
        <w:pStyle w:val="1155"/>
        <w:ind w:firstLine="1200"/>
        <w:rPr>
          <w:color w:val="000000"/>
          <w:sz w:val="60"/>
          <w:szCs w:val="60"/>
        </w:rPr>
      </w:pPr>
      <w:r>
        <w:rPr>
          <w:color w:val="000000"/>
          <w:sz w:val="60"/>
          <w:szCs w:val="60"/>
        </w:rPr>
      </w:r>
      <w:r/>
    </w:p>
    <w:p>
      <w:pPr>
        <w:pStyle w:val="1155"/>
        <w:ind w:firstLine="0"/>
        <w:rPr>
          <w:color w:val="000000"/>
          <w:sz w:val="60"/>
          <w:szCs w:val="60"/>
          <w:highlight w:val="yellow"/>
        </w:rPr>
      </w:pPr>
      <w:r>
        <w:rPr>
          <w:color w:val="000000"/>
          <w:sz w:val="60"/>
          <w:szCs w:val="60"/>
          <w:highlight w:val="yellow"/>
        </w:rPr>
      </w:r>
      <w:r/>
    </w:p>
    <w:p>
      <w:pPr>
        <w:pStyle w:val="1067"/>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AI智能安全监管平台服务项目</w:t>
      </w:r>
      <w:r>
        <w:rPr>
          <w:rFonts w:hint="eastAsia" w:ascii="宋体" w:hAnsi="宋体" w:eastAsia="宋体" w:cs="宋体"/>
          <w:b/>
          <w:color w:val="000000"/>
          <w:sz w:val="28"/>
          <w:szCs w:val="28"/>
          <w:highlight w:val="non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JSZC-320402022-CZYJ-G2026-0006</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常州市天宁区青龙街道办事处</w:t>
      </w:r>
      <w:r>
        <w:rPr>
          <w:rFonts w:hint="eastAsia" w:ascii="宋体" w:hAnsi="宋体" w:eastAsia="宋体" w:cs="宋体"/>
          <w:b/>
          <w:color w:val="000000"/>
          <w:sz w:val="28"/>
          <w:szCs w:val="28"/>
          <w:highlight w:val="none"/>
          <w:u w:val="single"/>
          <w:lang w:eastAsia="zh-CN"/>
        </w:rPr>
      </w:r>
      <w:r/>
    </w:p>
    <w:p>
      <w:pPr>
        <w:pStyle w:val="1067"/>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67"/>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1067"/>
      </w:pPr>
      <w:r/>
      <w:r/>
    </w:p>
    <w:p>
      <w:pPr>
        <w:pStyle w:val="1067"/>
      </w:pPr>
      <w:r/>
      <w:r/>
    </w:p>
    <w:p>
      <w:pPr>
        <w:pStyle w:val="1067"/>
      </w:pPr>
      <w:r/>
      <w:r/>
    </w:p>
    <w:p>
      <w:pPr>
        <w:pStyle w:val="1121"/>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"_Toc99301419"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第一章   投标邀请</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"_Toc99301420"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第二章   投标人须知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6</w:t>
      </w:r>
      <w:r>
        <w:rPr>
          <w:rStyle w:val="1146"/>
          <w:rFonts w:ascii="Times New Roman" w:hAnsi="Times New Roman"/>
          <w:color w:val="000000"/>
          <w:sz w:val="28"/>
          <w:szCs w:val="28"/>
        </w:rPr>
        <w:fldChar w:fldCharType="end"/>
      </w:r>
      <w:r>
        <w:rPr>
          <w:rStyle w:val="1146"/>
          <w:rFonts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color w:val="000000"/>
          <w:sz w:val="28"/>
          <w:szCs w:val="28"/>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"_Toc99301421"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第三章   资</w:t>
      </w:r>
      <w:bookmarkStart w:id="1" w:name="_Hlt100754117"/>
      <w:r>
        <w:rPr>
          <w:rStyle w:val="1146"/>
          <w:rFonts w:ascii="Times New Roman" w:hAnsi="Times New Roman"/>
          <w:color w:val="000000"/>
          <w:sz w:val="28"/>
          <w:szCs w:val="28"/>
        </w:rPr>
        <w:t xml:space="preserve">格</w:t>
      </w:r>
      <w:bookmarkEnd w:id="1"/>
      <w:r>
        <w:rPr>
          <w:rStyle w:val="1146"/>
          <w:rFonts w:ascii="Times New Roman" w:hAnsi="Times New Roman"/>
          <w:color w:val="000000"/>
          <w:sz w:val="28"/>
          <w:szCs w:val="28"/>
        </w:rPr>
        <w:t xml:space="preserve">审查</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rPr>
        <w:t xml:space="preserve">8</w:t>
      </w:r>
      <w:r>
        <w:rPr>
          <w:rStyle w:val="1146"/>
          <w:rFonts w:hint="eastAsia" w:ascii="Times New Roman" w:hAnsi="Times New Roman"/>
          <w:color w:val="000000"/>
          <w:sz w:val="28"/>
          <w:szCs w:val="28"/>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"_Toc99301423"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第四章   评标程序、评标方法和评标标准</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1</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9</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"_Toc99301424"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第五章   采购</w:t>
      </w:r>
      <w:bookmarkStart w:id="2" w:name="_Hlt100754103"/>
      <w:r/>
      <w:bookmarkStart w:id="3" w:name="_Hlt100754102"/>
      <w:r>
        <w:rPr>
          <w:rStyle w:val="1146"/>
          <w:rFonts w:ascii="Times New Roman" w:hAnsi="Times New Roman"/>
          <w:color w:val="000000"/>
          <w:sz w:val="28"/>
          <w:szCs w:val="28"/>
        </w:rPr>
        <w:t xml:space="preserve">需</w:t>
      </w:r>
      <w:bookmarkEnd w:id="2"/>
      <w:r/>
      <w:bookmarkEnd w:id="3"/>
      <w:r>
        <w:rPr>
          <w:rStyle w:val="1146"/>
          <w:rFonts w:ascii="Times New Roman" w:hAnsi="Times New Roman"/>
          <w:color w:val="000000"/>
          <w:sz w:val="28"/>
          <w:szCs w:val="28"/>
        </w:rPr>
        <w:t xml:space="preserve">求</w:t>
      </w:r>
      <w:r>
        <w:rPr>
          <w:rStyle w:val="1146"/>
          <w:rFonts w:ascii="Times New Roman" w:hAnsi="Times New Roman"/>
          <w:color w:val="000000"/>
          <w:sz w:val="28"/>
          <w:szCs w:val="28"/>
        </w:rPr>
        <w:tab/>
      </w:r>
      <w:r>
        <w:rPr>
          <w:rStyle w:val="1146"/>
          <w:rFonts w:hint="eastAsia" w:ascii="Times New Roman" w:hAnsi="Times New Roman"/>
          <w:color w:val="000000"/>
          <w:sz w:val="28"/>
          <w:szCs w:val="28"/>
        </w:rPr>
        <w:t xml:space="preserve">2</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7</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Style w:val="1146"/>
          <w:rFonts w:hint="eastAsia" w:ascii="Times New Roman" w:hAnsi="Times New Roman" w:eastAsia="宋体"/>
          <w:color w:val="000000"/>
          <w:sz w:val="28"/>
          <w:szCs w:val="28"/>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"_Toc99301425"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第六章   拟签订的合同文本</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4</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3</w:t>
      </w:r>
      <w:r>
        <w:rPr>
          <w:rStyle w:val="1146"/>
          <w:rFonts w:hint="eastAsia" w:ascii="Times New Roman" w:hAnsi="Times New Roman" w:eastAsia="宋体"/>
          <w:color w:val="000000"/>
          <w:sz w:val="28"/>
          <w:szCs w:val="28"/>
          <w:lang w:eastAsia="zh-CN"/>
        </w:rPr>
      </w:r>
      <w:r/>
    </w:p>
    <w:p>
      <w:pPr>
        <w:pStyle w:val="1121"/>
        <w:spacing w:line="480" w:lineRule="auto"/>
        <w:tabs>
          <w:tab w:val="left" w:pos="1050" w:leader="none"/>
          <w:tab w:val="right" w:pos="8937" w:leader="dot"/>
        </w:tabs>
        <w:rPr>
          <w:rFonts w:hint="eastAsia" w:ascii="Times New Roman" w:hAnsi="Times New Roman" w:eastAsia="宋体"/>
          <w:b w:val="0"/>
          <w:sz w:val="21"/>
          <w:szCs w:val="22"/>
          <w:lang w:eastAsia="zh-CN"/>
        </w:rPr>
      </w:pPr>
      <w:r>
        <w:rPr>
          <w:rStyle w:val="1146"/>
          <w:rFonts w:ascii="Times New Roman" w:hAnsi="Times New Roman"/>
          <w:color w:val="000000"/>
          <w:sz w:val="28"/>
          <w:szCs w:val="28"/>
        </w:rPr>
        <w:fldChar w:fldCharType="begin"/>
      </w:r>
      <w:r>
        <w:rPr>
          <w:rStyle w:val="1146"/>
          <w:rFonts w:ascii="Times New Roman" w:hAnsi="Times New Roman"/>
          <w:color w:val="000000"/>
          <w:sz w:val="28"/>
          <w:szCs w:val="28"/>
        </w:rPr>
        <w:instrText xml:space="preserve"> HYPERLINK \l "_Toc99301426" </w:instrText>
      </w:r>
      <w:r>
        <w:rPr>
          <w:rStyle w:val="1146"/>
          <w:rFonts w:ascii="Times New Roman" w:hAnsi="Times New Roman"/>
          <w:color w:val="000000"/>
          <w:sz w:val="28"/>
          <w:szCs w:val="28"/>
        </w:rPr>
        <w:fldChar w:fldCharType="separate"/>
      </w:r>
      <w:r>
        <w:rPr>
          <w:rStyle w:val="1146"/>
          <w:rFonts w:ascii="Times New Roman" w:hAnsi="Times New Roman"/>
          <w:color w:val="000000"/>
          <w:sz w:val="28"/>
          <w:szCs w:val="28"/>
        </w:rPr>
        <w:t xml:space="preserve">第七章   投标文件格式</w:t>
      </w:r>
      <w:r>
        <w:rPr>
          <w:rStyle w:val="1146"/>
          <w:rFonts w:ascii="Times New Roman" w:hAnsi="Times New Roman"/>
          <w:color w:val="000000"/>
          <w:sz w:val="28"/>
          <w:szCs w:val="28"/>
        </w:rPr>
        <w:tab/>
      </w:r>
      <w:r>
        <w:rPr>
          <w:rStyle w:val="1146"/>
          <w:rFonts w:hint="eastAsia" w:ascii="Times New Roman" w:hAnsi="Times New Roman"/>
          <w:color w:val="000000"/>
          <w:sz w:val="28"/>
          <w:szCs w:val="28"/>
          <w:lang w:val="en-US" w:eastAsia="zh-CN"/>
        </w:rPr>
        <w:t xml:space="preserve">4</w:t>
      </w:r>
      <w:r>
        <w:rPr>
          <w:rStyle w:val="1146"/>
          <w:rFonts w:ascii="Times New Roman" w:hAnsi="Times New Roman"/>
          <w:color w:val="000000"/>
          <w:sz w:val="28"/>
          <w:szCs w:val="28"/>
        </w:rPr>
        <w:fldChar w:fldCharType="end"/>
      </w:r>
      <w:r>
        <w:rPr>
          <w:rStyle w:val="1146"/>
          <w:rFonts w:hint="eastAsia" w:ascii="Times New Roman" w:hAnsi="Times New Roman"/>
          <w:color w:val="000000"/>
          <w:sz w:val="28"/>
          <w:szCs w:val="28"/>
          <w:lang w:val="en-US" w:eastAsia="zh-CN"/>
        </w:rPr>
        <w:t xml:space="preserve">8</w:t>
      </w:r>
      <w:r>
        <w:rPr>
          <w:rFonts w:hint="eastAsia" w:ascii="Times New Roman" w:hAnsi="Times New Roman" w:eastAsia="宋体"/>
          <w:b w:val="0"/>
          <w:sz w:val="21"/>
          <w:szCs w:val="22"/>
          <w:lang w:eastAsia="zh-CN"/>
        </w:rPr>
      </w:r>
      <w:r/>
    </w:p>
    <w:p>
      <w:pPr>
        <w:pStyle w:val="112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7"/>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5" w:name="_Toc28359002"/>
      <w:r/>
      <w:bookmarkStart w:id="6" w:name="_Toc28359079"/>
      <w:r/>
      <w:bookmarkStart w:id="7" w:name="_Toc35393621"/>
      <w:r/>
      <w:bookmarkStart w:id="8" w:name="_Toc35393790"/>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JSZC-320402022-CZYJ-G2026-0006</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AI智能安全监管平台服务项目</w:t>
      </w:r>
      <w:r>
        <w:rPr>
          <w:rFonts w:hint="eastAsia" w:ascii="宋体" w:hAnsi="宋体" w:eastAsia="宋体" w:cs="宋体"/>
          <w:color w:val="000000"/>
          <w:szCs w:val="21"/>
          <w:highlight w:val="none"/>
          <w:lang w:eastAsia="zh-CN"/>
        </w:rPr>
      </w:r>
      <w:r/>
    </w:p>
    <w:p>
      <w:pPr>
        <w:pStyle w:val="1067"/>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500万元</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lang w:eastAsia="zh-CN"/>
        </w:rPr>
        <w:t xml:space="preserve">490万元</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AI智能安全监管平台服务项目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96"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715"/>
        <w:gridCol w:w="1824"/>
        <w:gridCol w:w="803"/>
        <w:gridCol w:w="3480"/>
      </w:tblGrid>
      <w:tr>
        <w:trPr>
          <w:trHeight w:val="454"/>
        </w:trPr>
        <w:tc>
          <w:tcPr>
            <w:tcW w:w="419"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004"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068"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470"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037"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197"/>
        </w:trPr>
        <w:tc>
          <w:tcPr>
            <w:tcW w:w="419" w:type="dxa"/>
            <w:vAlign w:val="center"/>
            <w:textDirection w:val="lrTb"/>
            <w:noWrap w:val="false"/>
          </w:tcPr>
          <w:p>
            <w:pPr>
              <w:pStyle w:val="1067"/>
              <w:jc w:val="center"/>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004" w:type="dxa"/>
            <w:vAlign w:val="center"/>
            <w:textDirection w:val="lrTb"/>
            <w:noWrap w:val="false"/>
          </w:tcPr>
          <w:p>
            <w:pPr>
              <w:pStyle w:val="1067"/>
              <w:jc w:val="center"/>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AI智能安全监管平台服务项目</w:t>
            </w:r>
            <w:r>
              <w:rPr>
                <w:rFonts w:ascii="宋体" w:hAnsi="宋体" w:eastAsia="宋体" w:cs="宋体"/>
                <w:bCs/>
                <w:color w:val="000000"/>
                <w:szCs w:val="21"/>
                <w:highlight w:val="none"/>
                <w:lang w:val="en-US" w:eastAsia="zh-CN"/>
              </w:rPr>
            </w:r>
            <w:r/>
          </w:p>
        </w:tc>
        <w:tc>
          <w:tcPr>
            <w:tcW w:w="1068" w:type="dxa"/>
            <w:vAlign w:val="center"/>
            <w:textDirection w:val="lrTb"/>
            <w:noWrap w:val="false"/>
          </w:tcPr>
          <w:p>
            <w:pPr>
              <w:pStyle w:val="1067"/>
              <w:jc w:val="center"/>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500</w:t>
            </w:r>
            <w:r>
              <w:rPr>
                <w:rFonts w:hint="eastAsia" w:ascii="宋体" w:hAnsi="宋体" w:eastAsia="宋体" w:cs="宋体"/>
                <w:bCs/>
                <w:color w:val="000000"/>
                <w:szCs w:val="21"/>
                <w:highlight w:val="none"/>
              </w:rPr>
            </w:r>
            <w:r/>
          </w:p>
        </w:tc>
        <w:tc>
          <w:tcPr>
            <w:tcW w:w="470" w:type="dxa"/>
            <w:vAlign w:val="center"/>
            <w:textDirection w:val="lrTb"/>
            <w:noWrap w:val="false"/>
          </w:tcPr>
          <w:p>
            <w:pPr>
              <w:pStyle w:val="1067"/>
              <w:jc w:val="center"/>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2037" w:type="dxa"/>
            <w:vAlign w:val="center"/>
            <w:textDirection w:val="lrTb"/>
            <w:noWrap w:val="false"/>
          </w:tcPr>
          <w:p>
            <w:pPr>
              <w:pStyle w:val="1067"/>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通过搭建数字化监管体系、构建全域智能感知网络，运用AI智能算法实现风险隐患实时识别、自动研判、分级预警、闭环处置。</w:t>
            </w:r>
            <w:r>
              <w:rPr>
                <w:rFonts w:hint="eastAsia" w:ascii="宋体" w:hAnsi="宋体" w:eastAsia="宋体" w:cs="宋体"/>
                <w:bCs/>
                <w:color w:val="000000"/>
                <w:szCs w:val="21"/>
                <w:highlight w:val="none"/>
                <w:lang w:eastAsia="zh-CN"/>
              </w:rPr>
            </w:r>
            <w:r/>
          </w:p>
        </w:tc>
      </w:tr>
    </w:tbl>
    <w:p>
      <w:pPr>
        <w:pStyle w:val="106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自合同签订之日起90个日历天内完成感知设备的提供、安装调试、通过网络接入集中运营中心，具备集中监测能力并经甲方验收合格后开始提供服务，服务期限：36个月。</w:t>
      </w:r>
      <w:r>
        <w:rPr>
          <w:rFonts w:hint="eastAsia" w:ascii="宋体" w:hAnsi="宋体" w:eastAsia="宋体" w:cs="宋体"/>
          <w:color w:val="000000"/>
          <w:szCs w:val="21"/>
          <w:highlight w:val="none"/>
          <w:lang w:eastAsia="zh-CN"/>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bookmarkStart w:id="10" w:name="_Toc35393791"/>
      <w:r/>
      <w:bookmarkStart w:id="11" w:name="_Toc28359003"/>
      <w:r/>
      <w:bookmarkStart w:id="12" w:name="_Toc35393622"/>
      <w:r/>
      <w:bookmarkStart w:id="13" w:name="_Toc28359080"/>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67"/>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67"/>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1067"/>
        <w:ind w:firstLine="420"/>
        <w:spacing w:line="360" w:lineRule="auto"/>
        <w:rPr>
          <w:rFonts w:ascii="宋体" w:hAnsi="宋体" w:eastAsia="宋体" w:cs="宋体"/>
          <w:i/>
          <w:iCs/>
          <w:color w:val="000000"/>
          <w:szCs w:val="21"/>
          <w:highlight w:val="none"/>
          <w:u w:val="single"/>
          <w:lang w:val="en-US" w:eastAsia="zh-CN"/>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u w:val="single"/>
          <w:lang w:val="en-US" w:eastAsia="zh-CN"/>
        </w:rPr>
        <w:t xml:space="preserve"> </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u w:val="none"/>
          <w:lang w:val="en-US" w:eastAsia="zh-CN"/>
        </w:rPr>
        <w:t xml:space="preserve">。</w:t>
      </w:r>
      <w:r>
        <w:rPr>
          <w:rFonts w:ascii="宋体" w:hAnsi="宋体" w:eastAsia="宋体" w:cs="宋体"/>
          <w:i/>
          <w:iCs/>
          <w:color w:val="000000"/>
          <w:szCs w:val="21"/>
          <w:highlight w:val="none"/>
          <w:u w:val="single"/>
          <w:lang w:val="en-US" w:eastAsia="zh-CN"/>
        </w:rPr>
      </w:r>
      <w:r/>
    </w:p>
    <w:p>
      <w:pPr>
        <w:pStyle w:val="1069"/>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623"/>
      <w:r/>
      <w:bookmarkStart w:id="17" w:name="_Toc35393792"/>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04</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30</w:t>
      </w:r>
      <w:r>
        <w:rPr>
          <w:rFonts w:hint="eastAsia" w:ascii="宋体" w:hAnsi="宋体" w:cs="宋体"/>
          <w:b/>
          <w:bCs/>
          <w:color w:val="000000"/>
          <w:szCs w:val="21"/>
          <w:highlight w:val="none"/>
          <w:lang w:bidi="ar"/>
        </w:rPr>
        <w:t xml:space="preserve">日至</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05</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11</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，每天上午</w:t>
      </w:r>
      <w:r>
        <w:rPr>
          <w:rFonts w:hint="eastAsia" w:ascii="宋体" w:hAnsi="宋体" w:cs="宋体"/>
          <w:color w:val="000000"/>
          <w:szCs w:val="21"/>
          <w:highlight w:val="none"/>
          <w:u w:val="single"/>
          <w:lang w:bidi="ar"/>
        </w:rPr>
        <w:t xml:space="preserve">9:00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11:00</w:t>
      </w:r>
      <w:r>
        <w:rPr>
          <w:rFonts w:hint="eastAsia" w:ascii="宋体" w:hAnsi="宋体" w:cs="宋体"/>
          <w:color w:val="000000"/>
          <w:szCs w:val="21"/>
          <w:highlight w:val="none"/>
          <w:lang w:bidi="ar"/>
        </w:rPr>
        <w:t xml:space="preserve">，下午</w:t>
      </w:r>
      <w:r>
        <w:rPr>
          <w:rFonts w:hint="eastAsia" w:ascii="宋体" w:hAnsi="宋体" w:cs="宋体"/>
          <w:color w:val="000000"/>
          <w:szCs w:val="21"/>
          <w:highlight w:val="none"/>
          <w:u w:val="single"/>
          <w:lang w:bidi="ar"/>
        </w:rPr>
        <w:t xml:space="preserve">13:30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17:00</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w:t>
      </w:r>
      <w:r>
        <w:rPr>
          <w:rFonts w:hint="eastAsia" w:ascii="宋体" w:hAnsi="宋体" w:cs="宋体"/>
          <w:color w:val="000000"/>
          <w:szCs w:val="21"/>
          <w:highlight w:val="none"/>
          <w:lang w:bidi="ar"/>
        </w:rPr>
        <w:t xml:space="preserve">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rPr>
      </w:r>
      <w:r/>
    </w:p>
    <w:p>
      <w:pPr>
        <w:pStyle w:val="1067"/>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106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1069"/>
        <w:jc w:val="left"/>
        <w:spacing w:before="0" w:line="360" w:lineRule="auto"/>
        <w:widowControl/>
        <w:rPr>
          <w:rFonts w:hint="eastAsia" w:ascii="宋体" w:hAnsi="宋体" w:eastAsia="宋体" w:cs="宋体"/>
          <w:color w:val="000000"/>
          <w:sz w:val="21"/>
          <w:szCs w:val="21"/>
          <w:highlight w:val="none"/>
        </w:rPr>
      </w:pPr>
      <w:r/>
      <w:bookmarkStart w:id="18" w:name="_Toc28359082"/>
      <w:r/>
      <w:bookmarkStart w:id="19" w:name="_Toc28359005"/>
      <w:r/>
      <w:bookmarkStart w:id="20" w:name="_Toc35393793"/>
      <w:r/>
      <w:bookmarkStart w:id="21" w:name="_Toc35393624"/>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cs="宋体"/>
          <w:bCs/>
          <w:color w:val="000000"/>
          <w:szCs w:val="21"/>
          <w:highlight w:val="none"/>
          <w:u w:val="single"/>
        </w:rPr>
      </w:pPr>
      <w:r/>
      <w:bookmarkStart w:id="22" w:name="_Toc35393794"/>
      <w:r/>
      <w:bookmarkStart w:id="23" w:name="_Toc28359084"/>
      <w:r/>
      <w:bookmarkStart w:id="24" w:name="_Toc28359007"/>
      <w:r/>
      <w:bookmarkStart w:id="25" w:name="_Toc35393625"/>
      <w:r>
        <w:rPr>
          <w:rFonts w:hint="eastAsia" w:ascii="宋体" w:hAnsi="宋体" w:cs="宋体"/>
          <w:color w:val="000000"/>
          <w:szCs w:val="21"/>
          <w:highlight w:val="none"/>
          <w:lang w:bidi="ar"/>
        </w:rPr>
        <w:t xml:space="preserve">投标截止时间、开标时间：</w:t>
      </w:r>
      <w:r>
        <w:rPr>
          <w:rFonts w:hint="eastAsia" w:ascii="宋体" w:hAnsi="宋体" w:cs="宋体"/>
          <w:b/>
          <w:bCs/>
          <w:color w:val="000000"/>
          <w:szCs w:val="21"/>
          <w:highlight w:val="none"/>
          <w:u w:val="single"/>
          <w:lang w:bidi="ar"/>
        </w:rPr>
        <w:t xml:space="preserve">202</w:t>
      </w:r>
      <w:r>
        <w:rPr>
          <w:rFonts w:hint="eastAsia" w:ascii="宋体" w:hAnsi="宋体" w:cs="宋体"/>
          <w:b/>
          <w:bCs/>
          <w:color w:val="000000"/>
          <w:szCs w:val="21"/>
          <w:highlight w:val="none"/>
          <w:u w:val="single"/>
          <w:lang w:val="en-US" w:eastAsia="zh-CN" w:bidi="ar"/>
        </w:rPr>
        <w:t xml:space="preserve">6</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u w:val="single"/>
          <w:lang w:val="en-US" w:eastAsia="zh-CN" w:bidi="ar"/>
        </w:rPr>
        <w:t xml:space="preserve">05</w:t>
      </w:r>
      <w:r>
        <w:rPr>
          <w:rFonts w:hint="eastAsia" w:ascii="宋体" w:hAnsi="宋体" w:cs="宋体"/>
          <w:b/>
          <w:bCs/>
          <w:color w:val="000000"/>
          <w:szCs w:val="21"/>
          <w:highlight w:val="none"/>
          <w:lang w:bidi="ar"/>
        </w:rPr>
        <w:t xml:space="preserve">月</w:t>
      </w:r>
      <w:r>
        <w:rPr>
          <w:rFonts w:hint="eastAsia" w:ascii="宋体" w:hAnsi="宋体" w:cs="宋体"/>
          <w:b/>
          <w:bCs/>
          <w:color w:val="000000"/>
          <w:szCs w:val="21"/>
          <w:highlight w:val="none"/>
          <w:u w:val="single"/>
          <w:lang w:val="en-US" w:eastAsia="zh-CN" w:bidi="ar"/>
        </w:rPr>
        <w:t xml:space="preserve">25</w:t>
      </w:r>
      <w:r>
        <w:rPr>
          <w:rFonts w:hint="eastAsia" w:ascii="宋体" w:hAnsi="宋体" w:cs="宋体"/>
          <w:b/>
          <w:bCs/>
          <w:color w:val="000000"/>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00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1069"/>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1069"/>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069"/>
        <w:jc w:val="left"/>
        <w:spacing w:before="0" w:line="360" w:lineRule="auto"/>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1067"/>
        <w:ind w:firstLine="422"/>
        <w:spacing w:line="360" w:lineRule="auto"/>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1067"/>
        <w:ind w:firstLine="422"/>
        <w:spacing w:line="360" w:lineRule="auto"/>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1067"/>
        <w:ind w:firstLine="420"/>
        <w:jc w:val="left"/>
        <w:spacing w:line="360" w:lineRule="auto"/>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1067"/>
        <w:ind w:firstLine="420"/>
        <w:spacing w:line="360" w:lineRule="auto"/>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1067"/>
        <w:ind w:firstLine="420"/>
        <w:spacing w:line="360" w:lineRule="auto"/>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1067"/>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1067"/>
        <w:ind w:firstLine="420"/>
        <w:jc w:val="left"/>
        <w:spacing w:line="360" w:lineRule="auto"/>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1067"/>
        <w:ind w:firstLine="420"/>
        <w:spacing w:line="360" w:lineRule="auto"/>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1067"/>
        <w:ind w:firstLine="420"/>
        <w:spacing w:line="360" w:lineRule="auto"/>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1067"/>
        <w:ind w:firstLine="422"/>
        <w:spacing w:line="360" w:lineRule="auto"/>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1067"/>
        <w:ind w:firstLine="422"/>
        <w:spacing w:line="360" w:lineRule="auto"/>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1067"/>
        <w:ind w:firstLine="420"/>
        <w:spacing w:line="360" w:lineRule="auto"/>
        <w:rPr>
          <w:rFonts w:hint="eastAsia" w:ascii="宋体" w:hAnsi="宋体" w:eastAsia="宋体" w:cs="宋体"/>
          <w:color w:val="000000"/>
          <w:szCs w:val="21"/>
        </w:rPr>
      </w:pPr>
      <w:r/>
      <w:bookmarkStart w:id="28" w:name="_Toc35393796"/>
      <w:r/>
      <w:bookmarkStart w:id="29" w:name="_Toc28359085"/>
      <w:r/>
      <w:bookmarkStart w:id="30" w:name="_Toc35393627"/>
      <w:r/>
      <w:bookmarkStart w:id="31" w:name="_Toc28359008"/>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1067"/>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1067"/>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Cs w:val="21"/>
          <w:highlight w:val="none"/>
        </w:rPr>
        <w:t xml:space="preserve">http://zfcg.changzhou.gov.cn/html/ns/tzgg/439010462491795.html。</w:t>
      </w:r>
      <w:r>
        <w:rPr>
          <w:rFonts w:ascii="宋体" w:hAnsi="宋体" w:eastAsia="宋体" w:cs="宋体"/>
          <w:color w:val="000000"/>
          <w:szCs w:val="21"/>
          <w:highlight w:val="none"/>
        </w:rPr>
      </w:r>
      <w:r/>
    </w:p>
    <w:p>
      <w:pPr>
        <w:pStyle w:val="106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69"/>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67"/>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常州市天宁区青龙街道办事处</w:t>
      </w:r>
      <w:r>
        <w:rPr>
          <w:rFonts w:hint="eastAsia" w:ascii="宋体" w:hAnsi="宋体" w:eastAsia="宋体" w:cs="宋体"/>
          <w:color w:val="000000"/>
          <w:szCs w:val="21"/>
          <w:highlight w:val="none"/>
          <w:u w:val="single"/>
          <w:lang w:eastAsia="zh-CN"/>
        </w:rPr>
      </w:r>
      <w:r/>
    </w:p>
    <w:p>
      <w:pPr>
        <w:pStyle w:val="1067"/>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常州市天宁区北塘河东路5号</w:t>
      </w:r>
      <w:r>
        <w:rPr>
          <w:rFonts w:hint="eastAsia" w:ascii="宋体" w:hAnsi="宋体" w:eastAsia="宋体" w:cs="宋体"/>
          <w:color w:val="000000"/>
          <w:szCs w:val="21"/>
          <w:highlight w:val="none"/>
          <w:lang w:eastAsia="zh-CN"/>
        </w:rPr>
      </w:r>
      <w:r/>
    </w:p>
    <w:p>
      <w:pPr>
        <w:pStyle w:val="1067"/>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刘先生，0519-8550 0890</w:t>
      </w:r>
      <w:r>
        <w:rPr>
          <w:rFonts w:hint="eastAsia" w:ascii="宋体" w:hAnsi="宋体" w:eastAsia="宋体" w:cs="宋体"/>
          <w:color w:val="000000"/>
          <w:szCs w:val="21"/>
          <w:highlight w:val="none"/>
          <w:u w:val="single"/>
          <w:lang w:eastAsia="zh-CN"/>
        </w:rPr>
      </w:r>
      <w:r/>
    </w:p>
    <w:p>
      <w:pPr>
        <w:pStyle w:val="1067"/>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67"/>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6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67"/>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108"/>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108"/>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67"/>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67"/>
        <w:ind w:firstLine="42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1067"/>
        <w:ind w:firstLine="5880"/>
        <w:jc w:val="right"/>
        <w:spacing w:line="360" w:lineRule="auto"/>
        <w:rPr>
          <w:sz w:val="24"/>
          <w:highlight w:val="none"/>
        </w:rPr>
      </w:pPr>
      <w:r>
        <w:rPr>
          <w:sz w:val="24"/>
          <w:highlight w:val="none"/>
        </w:rPr>
      </w:r>
      <w:r/>
    </w:p>
    <w:p>
      <w:pPr>
        <w:pStyle w:val="1067"/>
        <w:jc w:val="center"/>
        <w:spacing w:line="360" w:lineRule="auto"/>
        <w:rPr>
          <w:b/>
          <w:sz w:val="32"/>
          <w:szCs w:val="32"/>
        </w:rPr>
        <w:outlineLvl w:val="0"/>
      </w:pPr>
      <w:r>
        <w:rPr>
          <w:sz w:val="24"/>
          <w:highlight w:val="none"/>
        </w:rPr>
        <w:br w:type="page" w:clear="all"/>
      </w:r>
      <w:bookmarkStart w:id="36" w:name="_Toc353873938"/>
      <w:r/>
      <w:bookmarkStart w:id="37" w:name="_Toc305158928"/>
      <w:r/>
      <w:bookmarkStart w:id="38" w:name="_Toc150774783"/>
      <w:r/>
      <w:bookmarkStart w:id="39" w:name="_Toc127151777"/>
      <w:r/>
      <w:bookmarkStart w:id="40" w:name="_Toc512937850"/>
      <w:r/>
      <w:bookmarkStart w:id="41" w:name="_Toc127161488"/>
      <w:r/>
      <w:bookmarkStart w:id="42" w:name="_Toc195842950"/>
      <w:r/>
      <w:bookmarkStart w:id="43" w:name="_Toc353825548"/>
      <w:r/>
      <w:bookmarkStart w:id="44" w:name="_Toc99301420"/>
      <w:r/>
      <w:bookmarkStart w:id="45" w:name="_Toc265228423"/>
      <w:r/>
      <w:bookmarkStart w:id="46" w:name="_Toc305158854"/>
      <w:r/>
      <w:bookmarkStart w:id="47" w:name="_Toc264969275"/>
      <w:r/>
      <w:bookmarkStart w:id="48" w:name="_Toc226965856"/>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069"/>
        <w:spacing w:before="0" w:line="360" w:lineRule="auto"/>
        <w:tabs>
          <w:tab w:val="center" w:pos="4592" w:leader="none"/>
          <w:tab w:val="left" w:pos="7860" w:leader="none"/>
        </w:tabs>
        <w:rPr>
          <w:rFonts w:hint="eastAsia" w:ascii="宋体" w:hAnsi="宋体" w:eastAsia="宋体" w:cs="宋体"/>
          <w:sz w:val="21"/>
          <w:szCs w:val="21"/>
        </w:rPr>
      </w:pPr>
      <w:r/>
      <w:bookmarkStart w:id="49" w:name="_Toc164229360"/>
      <w:r/>
      <w:bookmarkStart w:id="50" w:name="_Toc151193907"/>
      <w:r/>
      <w:bookmarkStart w:id="51" w:name="_Toc164608788"/>
      <w:r/>
      <w:bookmarkStart w:id="52" w:name="_Toc142311021"/>
      <w:r/>
      <w:bookmarkStart w:id="53" w:name="_Toc127161433"/>
      <w:r/>
      <w:bookmarkStart w:id="54" w:name="_Toc150774619"/>
      <w:r/>
      <w:bookmarkStart w:id="55" w:name="_Toc226965792"/>
      <w:r/>
      <w:bookmarkStart w:id="56" w:name="_Toc150774724"/>
      <w:r/>
      <w:bookmarkStart w:id="57" w:name="_Toc151193689"/>
      <w:r/>
      <w:bookmarkStart w:id="58" w:name="_Toc226309763"/>
      <w:r/>
      <w:bookmarkStart w:id="59" w:name="_Toc226337215"/>
      <w:r/>
      <w:bookmarkStart w:id="60" w:name="_Toc151193617"/>
      <w:r/>
      <w:bookmarkStart w:id="61" w:name="_Toc150509270"/>
      <w:r/>
      <w:bookmarkStart w:id="62" w:name="_Toc164229214"/>
      <w:r/>
      <w:bookmarkStart w:id="63" w:name="_Toc520356144"/>
      <w:r/>
      <w:bookmarkStart w:id="64" w:name="_Toc151193761"/>
      <w:r/>
      <w:bookmarkStart w:id="65" w:name="_Toc127151519"/>
      <w:r/>
      <w:bookmarkStart w:id="66" w:name="_Toc195842884"/>
      <w:r/>
      <w:bookmarkStart w:id="67" w:name="_Toc151190146"/>
      <w:r/>
      <w:bookmarkStart w:id="68" w:name="_Toc164351613"/>
      <w:r/>
      <w:bookmarkStart w:id="69" w:name="_Toc150480757"/>
      <w:r/>
      <w:bookmarkStart w:id="70" w:name="_Toc164608633"/>
      <w:r/>
      <w:bookmarkStart w:id="71" w:name="_Toc151193833"/>
      <w:r/>
      <w:bookmarkStart w:id="72" w:name="_Toc149720812"/>
      <w:r/>
      <w:bookmarkStart w:id="73" w:name="_Toc226965709"/>
      <w:r/>
      <w:bookmarkStart w:id="74" w:name="_Toc127151720"/>
      <w:r>
        <w:rPr>
          <w:rFonts w:ascii="Times New Roman" w:hAnsi="Times New Roman" w:eastAsia="宋体"/>
          <w:sz w:val="28"/>
        </w:rPr>
        <w:t xml:space="preserve">投标人须知资料表</w:t>
      </w:r>
      <w:r>
        <w:rPr>
          <w:rFonts w:hint="eastAsia" w:ascii="宋体" w:hAnsi="宋体" w:eastAsia="宋体" w:cs="宋体"/>
          <w:sz w:val="21"/>
          <w:szCs w:val="21"/>
        </w:rPr>
      </w:r>
      <w:r/>
    </w:p>
    <w:p>
      <w:pPr>
        <w:pStyle w:val="1067"/>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1067"/>
        <w:ind w:firstLine="480"/>
        <w:spacing w:line="360" w:lineRule="auto"/>
        <w:rPr>
          <w:rFonts w:hint="eastAsia" w:ascii="宋体" w:hAnsi="宋体" w:cs="宋体"/>
          <w:szCs w:val="21"/>
        </w:rPr>
      </w:pPr>
      <w:r>
        <w:rPr>
          <w:rFonts w:hint="eastAsia" w:ascii="宋体" w:hAnsi="宋体" w:cs="宋体"/>
          <w:szCs w:val="21"/>
        </w:rPr>
        <w:t xml:space="preserve">标记“■”的选项意为适用于本项目，标记“□”的选项意为不适用于本项目。</w:t>
      </w:r>
      <w:r>
        <w:rPr>
          <w:rFonts w:hint="eastAsia" w:ascii="宋体" w:hAnsi="宋体" w:cs="宋体"/>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540" w:type="dxa"/>
            <w:vAlign w:val="center"/>
            <w:textDirection w:val="lrTb"/>
            <w:noWrap w:val="false"/>
          </w:tcPr>
          <w:p>
            <w:pPr>
              <w:pStyle w:val="1067"/>
              <w:jc w:val="center"/>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1003"/>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1067"/>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rPr>
            </w:pPr>
            <w:r>
              <w:rPr>
                <w:rFonts w:hint="eastAsia" w:ascii="宋体" w:hAnsi="宋体" w:cs="宋体"/>
                <w:color w:val="000000"/>
                <w:szCs w:val="21"/>
              </w:rPr>
              <w:t xml:space="preserve">科研仪器设备</w:t>
            </w:r>
            <w:r>
              <w:rPr>
                <w:rFonts w:hint="eastAsia" w:ascii="宋体" w:hAnsi="宋体" w:cs="宋体"/>
                <w:color w:val="000000"/>
                <w:szCs w:val="21"/>
              </w:rPr>
            </w:r>
            <w:r/>
          </w:p>
        </w:tc>
        <w:tc>
          <w:tcPr>
            <w:tcW w:w="7540" w:type="dxa"/>
            <w:vAlign w:val="center"/>
            <w:textDirection w:val="lrTb"/>
            <w:noWrap w:val="false"/>
          </w:tcPr>
          <w:p>
            <w:pPr>
              <w:pStyle w:val="1067"/>
              <w:jc w:val="left"/>
              <w:rPr>
                <w:rFonts w:hint="eastAsia" w:ascii="宋体" w:hAnsi="宋体" w:cs="宋体"/>
                <w:color w:val="000000"/>
                <w:szCs w:val="21"/>
              </w:rPr>
            </w:pPr>
            <w:r>
              <w:rPr>
                <w:rFonts w:hint="eastAsia" w:ascii="宋体" w:hAnsi="宋体" w:cs="宋体"/>
                <w:color w:val="000000"/>
                <w:szCs w:val="21"/>
              </w:rPr>
              <w:t xml:space="preserve">是否属于科研仪器设备采购项目：</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r>
      <w:tr>
        <w:trPr>
          <w:trHeight w:val="111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2.4</w:t>
            </w: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W w:w="7540" w:type="dxa"/>
            <w:vAlign w:val="center"/>
            <w:textDirection w:val="lrTb"/>
            <w:noWrap w:val="false"/>
          </w:tcPr>
          <w:p>
            <w:pPr>
              <w:pStyle w:val="1108"/>
              <w:rPr>
                <w:rFonts w:hAnsi="宋体" w:cs="宋体"/>
                <w:color w:val="000000"/>
                <w:szCs w:val="21"/>
              </w:rPr>
            </w:pPr>
            <w:r>
              <w:rPr>
                <w:rFonts w:hAnsi="宋体" w:cs="宋体"/>
                <w:color w:val="000000"/>
                <w:szCs w:val="21"/>
              </w:rPr>
              <w:t xml:space="preserve">■关于核心产品本项目</w:t>
            </w:r>
            <w:r>
              <w:rPr>
                <w:rFonts w:hAnsi="宋体" w:cs="宋体"/>
                <w:color w:val="000000"/>
                <w:szCs w:val="21"/>
                <w:u w:val="single"/>
              </w:rPr>
              <w:t xml:space="preserve">01</w:t>
            </w:r>
            <w:r>
              <w:rPr>
                <w:rFonts w:hAnsi="宋体" w:cs="宋体"/>
                <w:color w:val="000000"/>
                <w:szCs w:val="21"/>
              </w:rPr>
              <w:t xml:space="preserve">包不适用。</w:t>
            </w:r>
            <w:r>
              <w:rPr>
                <w:rFonts w:hAnsi="宋体" w:cs="宋体"/>
                <w:color w:val="000000"/>
                <w:szCs w:val="21"/>
              </w:rPr>
            </w:r>
            <w:r/>
          </w:p>
          <w:p>
            <w:pPr>
              <w:pStyle w:val="1108"/>
              <w:rPr>
                <w:rFonts w:hAnsi="宋体" w:cs="宋体"/>
                <w:color w:val="000000"/>
                <w:szCs w:val="21"/>
              </w:rPr>
            </w:pPr>
            <w:r>
              <w:rPr>
                <w:rFonts w:hAnsi="宋体" w:cs="宋体"/>
                <w:color w:val="000000"/>
                <w:szCs w:val="21"/>
              </w:rPr>
              <w:t xml:space="preserve">□本项目__包为单一产品采购项目。</w:t>
            </w:r>
            <w:r>
              <w:rPr>
                <w:rFonts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□本项目__包为非单一产品采购项目，核心产品为：</w:t>
            </w:r>
            <w:r>
              <w:rPr>
                <w:rFonts w:hint="eastAsia" w:ascii="宋体" w:hAnsi="宋体" w:cs="宋体"/>
                <w:color w:val="000000"/>
                <w:szCs w:val="21"/>
                <w:u w:val="single"/>
              </w:rPr>
              <w:t xml:space="preserve">/</w:t>
            </w:r>
            <w:r>
              <w:rPr>
                <w:rFonts w:hint="eastAsia" w:ascii="宋体" w:hAnsi="宋体" w:cs="宋体"/>
                <w:color w:val="000000"/>
                <w:szCs w:val="21"/>
              </w:rPr>
              <w:t xml:space="preserve">。</w:t>
            </w:r>
            <w:r>
              <w:rPr>
                <w:rFonts w:hint="eastAsia" w:ascii="宋体" w:hAnsi="宋体" w:cs="宋体"/>
                <w:color w:val="000000"/>
                <w:szCs w:val="21"/>
              </w:rPr>
            </w:r>
            <w:r/>
          </w:p>
        </w:tc>
      </w:tr>
      <w:tr>
        <w:trPr>
          <w:trHeight w:val="1071"/>
        </w:trPr>
        <w:tc>
          <w:tcPr>
            <w:tcW w:w="988" w:type="dxa"/>
            <w:vAlign w:val="center"/>
            <w:vMerge w:val="restart"/>
            <w:textDirection w:val="lrTb"/>
            <w:noWrap w:val="false"/>
          </w:tcPr>
          <w:p>
            <w:pPr>
              <w:pStyle w:val="1108"/>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rPr>
            </w:pPr>
            <w:r>
              <w:rPr>
                <w:rFonts w:hint="eastAsia" w:ascii="宋体" w:hAnsi="宋体" w:cs="宋体"/>
                <w:color w:val="000000"/>
                <w:szCs w:val="21"/>
              </w:rPr>
              <w:t xml:space="preserve">现场考察</w:t>
            </w:r>
            <w:r>
              <w:rPr>
                <w:rFonts w:hint="eastAsia" w:ascii="宋体" w:hAnsi="宋体" w:cs="宋体"/>
                <w:color w:val="000000"/>
                <w:szCs w:val="21"/>
              </w:rPr>
            </w:r>
            <w:r/>
          </w:p>
        </w:tc>
        <w:tc>
          <w:tcPr>
            <w:tcW w:w="7540" w:type="dxa"/>
            <w:vAlign w:val="center"/>
            <w:textDirection w:val="lrTb"/>
            <w:noWrap w:val="false"/>
          </w:tcPr>
          <w:p>
            <w:pPr>
              <w:pStyle w:val="1067"/>
              <w:jc w:val="left"/>
              <w:rPr>
                <w:rFonts w:hint="eastAsia" w:ascii="宋体" w:hAnsi="宋体" w:cs="宋体"/>
                <w:color w:val="000000"/>
                <w:szCs w:val="21"/>
              </w:rPr>
            </w:pPr>
            <w:r>
              <w:rPr>
                <w:rFonts w:hint="eastAsia" w:ascii="宋体" w:hAnsi="宋体" w:cs="宋体"/>
                <w:color w:val="000000"/>
                <w:szCs w:val="21"/>
              </w:rPr>
              <w:t xml:space="preserve">■不组织</w:t>
            </w:r>
            <w:r>
              <w:rPr>
                <w:rFonts w:hint="eastAsia" w:ascii="宋体" w:hAnsi="宋体" w:cs="宋体"/>
                <w:color w:val="000000"/>
                <w:szCs w:val="21"/>
              </w:rPr>
            </w:r>
            <w:r/>
          </w:p>
          <w:p>
            <w:pPr>
              <w:pStyle w:val="1067"/>
              <w:jc w:val="left"/>
              <w:rPr>
                <w:rFonts w:hint="eastAsia" w:ascii="宋体" w:hAnsi="宋体" w:cs="宋体"/>
                <w:bCs/>
                <w:color w:val="000000"/>
                <w:szCs w:val="21"/>
              </w:rPr>
            </w:pPr>
            <w:r>
              <w:rPr>
                <w:rFonts w:hint="eastAsia" w:ascii="宋体" w:hAnsi="宋体" w:cs="宋体"/>
                <w:color w:val="000000"/>
                <w:szCs w:val="21"/>
              </w:rPr>
              <w:t xml:space="preserve">□组织，考察时间：__年_月_日_</w:t>
            </w:r>
            <w:r>
              <w:rPr>
                <w:rFonts w:hint="eastAsia" w:ascii="宋体" w:hAnsi="宋体" w:cs="宋体"/>
                <w:bCs/>
                <w:color w:val="000000"/>
                <w:szCs w:val="21"/>
              </w:rPr>
              <w:t xml:space="preserve">点</w:t>
            </w:r>
            <w:r>
              <w:rPr>
                <w:rFonts w:hint="eastAsia" w:ascii="宋体" w:hAnsi="宋体" w:cs="宋体"/>
                <w:color w:val="000000"/>
                <w:szCs w:val="21"/>
              </w:rPr>
              <w:t xml:space="preserve">_</w:t>
            </w:r>
            <w:r>
              <w:rPr>
                <w:rFonts w:hint="eastAsia" w:ascii="宋体" w:hAnsi="宋体" w:cs="宋体"/>
                <w:bCs/>
                <w:color w:val="000000"/>
                <w:szCs w:val="21"/>
              </w:rPr>
              <w:t xml:space="preserve">分</w:t>
            </w:r>
            <w:r>
              <w:rPr>
                <w:rFonts w:hint="eastAsia" w:ascii="宋体" w:hAnsi="宋体" w:cs="宋体"/>
                <w:bCs/>
                <w:color w:val="000000"/>
                <w:szCs w:val="21"/>
              </w:rPr>
            </w:r>
            <w:r/>
          </w:p>
          <w:p>
            <w:pPr>
              <w:pStyle w:val="1108"/>
              <w:rPr>
                <w:rFonts w:hAnsi="宋体" w:cs="宋体"/>
                <w:color w:val="000000"/>
                <w:szCs w:val="21"/>
              </w:rPr>
            </w:pPr>
            <w:r>
              <w:rPr>
                <w:rFonts w:hAnsi="宋体" w:cs="宋体"/>
                <w:color w:val="000000"/>
                <w:szCs w:val="21"/>
              </w:rPr>
              <w:t xml:space="preserve">考察地点：____________。</w:t>
            </w:r>
            <w:r>
              <w:rPr>
                <w:rFonts w:hAnsi="宋体" w:cs="宋体"/>
                <w:color w:val="000000"/>
                <w:szCs w:val="21"/>
              </w:rPr>
            </w:r>
            <w:r/>
          </w:p>
        </w:tc>
      </w:tr>
      <w:tr>
        <w:trPr>
          <w:trHeight w:val="1011"/>
        </w:trPr>
        <w:tc>
          <w:tcPr>
            <w:tcW w:w="988" w:type="dxa"/>
            <w:vAlign w:val="center"/>
            <w:vMerge w:val="continue"/>
            <w:textDirection w:val="lrTb"/>
            <w:noWrap w:val="false"/>
          </w:tcPr>
          <w:p>
            <w:pPr>
              <w:pStyle w:val="1108"/>
              <w:jc w:val="center"/>
              <w:rPr>
                <w:rFonts w:hAnsi="宋体" w:cs="宋体"/>
                <w:szCs w:val="21"/>
              </w:rPr>
            </w:pP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rPr>
            </w:pPr>
            <w:r>
              <w:rPr>
                <w:rFonts w:hint="eastAsia" w:ascii="宋体" w:hAnsi="宋体" w:cs="宋体"/>
                <w:color w:val="000000"/>
                <w:szCs w:val="21"/>
              </w:rPr>
              <w:t xml:space="preserve">开标前答疑会</w:t>
            </w:r>
            <w:r>
              <w:rPr>
                <w:rFonts w:hint="eastAsia" w:ascii="宋体" w:hAnsi="宋体" w:cs="宋体"/>
                <w:color w:val="000000"/>
                <w:szCs w:val="21"/>
              </w:rPr>
            </w:r>
            <w:r/>
          </w:p>
        </w:tc>
        <w:tc>
          <w:tcPr>
            <w:tcW w:w="7540" w:type="dxa"/>
            <w:vAlign w:val="center"/>
            <w:textDirection w:val="lrTb"/>
            <w:noWrap w:val="false"/>
          </w:tcPr>
          <w:p>
            <w:pPr>
              <w:pStyle w:val="1067"/>
              <w:jc w:val="left"/>
              <w:rPr>
                <w:rFonts w:hint="eastAsia" w:ascii="宋体" w:hAnsi="宋体" w:cs="宋体"/>
                <w:color w:val="000000"/>
                <w:szCs w:val="21"/>
              </w:rPr>
            </w:pPr>
            <w:r>
              <w:rPr>
                <w:rFonts w:hint="eastAsia" w:ascii="宋体" w:hAnsi="宋体" w:cs="宋体"/>
                <w:color w:val="000000"/>
                <w:szCs w:val="21"/>
              </w:rPr>
              <w:t xml:space="preserve">■不召开</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□召开，召开时间：__年_月_日_</w:t>
            </w:r>
            <w:r>
              <w:rPr>
                <w:rFonts w:hint="eastAsia" w:ascii="宋体" w:hAnsi="宋体" w:cs="宋体"/>
                <w:bCs/>
                <w:color w:val="000000"/>
                <w:szCs w:val="21"/>
              </w:rPr>
              <w:t xml:space="preserve">点</w:t>
            </w:r>
            <w:r>
              <w:rPr>
                <w:rFonts w:hint="eastAsia" w:ascii="宋体" w:hAnsi="宋体" w:cs="宋体"/>
                <w:color w:val="000000"/>
                <w:szCs w:val="21"/>
              </w:rPr>
              <w:t xml:space="preserve">_</w:t>
            </w:r>
            <w:r>
              <w:rPr>
                <w:rFonts w:hint="eastAsia" w:ascii="宋体" w:hAnsi="宋体" w:cs="宋体"/>
                <w:bCs/>
                <w:color w:val="000000"/>
                <w:szCs w:val="21"/>
              </w:rPr>
              <w:t xml:space="preserve">分</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召开地点：____________。</w:t>
            </w:r>
            <w:r>
              <w:rPr>
                <w:rFonts w:hint="eastAsia" w:ascii="宋体" w:hAnsi="宋体" w:cs="宋体"/>
                <w:color w:val="000000"/>
                <w:szCs w:val="21"/>
              </w:rPr>
            </w:r>
            <w:r/>
          </w:p>
        </w:tc>
      </w:tr>
      <w:tr>
        <w:trPr>
          <w:trHeight w:val="3153"/>
        </w:trPr>
        <w:tc>
          <w:tcPr>
            <w:tcW w:w="988" w:type="dxa"/>
            <w:vAlign w:val="center"/>
            <w:textDirection w:val="lrTb"/>
            <w:noWrap w:val="false"/>
          </w:tcPr>
          <w:p>
            <w:pPr>
              <w:pStyle w:val="1108"/>
              <w:jc w:val="center"/>
              <w:rPr>
                <w:rFonts w:hAnsi="宋体" w:cs="宋体"/>
                <w:szCs w:val="21"/>
              </w:rPr>
            </w:pPr>
            <w:r>
              <w:rPr>
                <w:rFonts w:hAnsi="宋体" w:cs="宋体"/>
                <w:szCs w:val="21"/>
              </w:rPr>
              <w:t xml:space="preserve">4.1</w:t>
            </w:r>
            <w:r>
              <w:rPr>
                <w:rFonts w:hAnsi="宋体" w:cs="宋体"/>
                <w:szCs w:val="21"/>
              </w:rPr>
            </w:r>
            <w:r/>
          </w:p>
        </w:tc>
        <w:tc>
          <w:tcPr>
            <w:tcW w:w="1701" w:type="dxa"/>
            <w:vAlign w:val="center"/>
            <w:textDirection w:val="lrTb"/>
            <w:noWrap w:val="false"/>
          </w:tcPr>
          <w:p>
            <w:pPr>
              <w:pStyle w:val="1067"/>
              <w:jc w:val="center"/>
              <w:rPr>
                <w:rFonts w:hint="eastAsia" w:ascii="宋体" w:hAnsi="宋体" w:cs="宋体"/>
                <w:color w:val="000000"/>
                <w:szCs w:val="21"/>
              </w:rPr>
            </w:pPr>
            <w:r>
              <w:rPr>
                <w:rFonts w:hint="eastAsia" w:ascii="宋体" w:hAnsi="宋体" w:cs="宋体"/>
                <w:color w:val="000000"/>
                <w:szCs w:val="21"/>
              </w:rPr>
              <w:t xml:space="preserve">样品</w:t>
            </w:r>
            <w:r>
              <w:rPr>
                <w:rFonts w:hint="eastAsia" w:ascii="宋体" w:hAnsi="宋体" w:cs="宋体"/>
                <w:color w:val="000000"/>
                <w:szCs w:val="21"/>
              </w:rPr>
            </w:r>
            <w:r/>
          </w:p>
        </w:tc>
        <w:tc>
          <w:tcPr>
            <w:tcW w:w="7540" w:type="dxa"/>
            <w:vAlign w:val="center"/>
            <w:textDirection w:val="lrTb"/>
            <w:noWrap w:val="false"/>
          </w:tcPr>
          <w:p>
            <w:pPr>
              <w:pStyle w:val="1067"/>
              <w:jc w:val="left"/>
              <w:rPr>
                <w:rFonts w:hint="eastAsia" w:ascii="宋体" w:hAnsi="宋体" w:cs="宋体"/>
                <w:color w:val="000000"/>
                <w:szCs w:val="21"/>
              </w:rPr>
            </w:pPr>
            <w:r>
              <w:rPr>
                <w:rFonts w:hint="eastAsia" w:ascii="宋体" w:hAnsi="宋体" w:cs="宋体"/>
                <w:color w:val="000000"/>
                <w:szCs w:val="21"/>
              </w:rPr>
              <w:t xml:space="preserve">投标样品递交：</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■不需要</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□需要，具体要求如下：</w:t>
            </w:r>
            <w:r>
              <w:rPr>
                <w:rFonts w:hint="eastAsia" w:ascii="宋体" w:hAnsi="宋体" w:cs="宋体"/>
                <w:color w:val="000000"/>
                <w:szCs w:val="21"/>
              </w:rPr>
            </w:r>
            <w:r/>
          </w:p>
          <w:p>
            <w:pPr>
              <w:pStyle w:val="1067"/>
              <w:jc w:val="left"/>
              <w:rPr>
                <w:rFonts w:hint="eastAsia" w:ascii="宋体" w:hAnsi="宋体" w:cs="宋体"/>
                <w:color w:val="000000"/>
                <w:szCs w:val="21"/>
                <w:u w:val="single"/>
              </w:rPr>
            </w:pPr>
            <w:r>
              <w:rPr>
                <w:rFonts w:hint="eastAsia" w:ascii="宋体" w:hAnsi="宋体" w:cs="宋体"/>
                <w:color w:val="000000"/>
                <w:szCs w:val="21"/>
              </w:rPr>
              <w:t xml:space="preserve">（1）样品制作的标准和要求：_________；</w:t>
            </w:r>
            <w:r>
              <w:rPr>
                <w:rFonts w:hint="eastAsia" w:ascii="宋体" w:hAnsi="宋体" w:cs="宋体"/>
                <w:color w:val="000000"/>
                <w:szCs w:val="21"/>
                <w:u w:val="single"/>
              </w:rPr>
            </w:r>
            <w:r/>
          </w:p>
          <w:p>
            <w:pPr>
              <w:pStyle w:val="1067"/>
              <w:jc w:val="left"/>
              <w:rPr>
                <w:rFonts w:hint="eastAsia" w:ascii="宋体" w:hAnsi="宋体" w:cs="宋体"/>
                <w:color w:val="000000"/>
                <w:szCs w:val="21"/>
              </w:rPr>
            </w:pPr>
            <w:r>
              <w:rPr>
                <w:rFonts w:hint="eastAsia" w:ascii="宋体" w:hAnsi="宋体" w:cs="宋体"/>
                <w:color w:val="000000"/>
                <w:szCs w:val="21"/>
              </w:rPr>
              <w:t xml:space="preserve">（2）是否需要随样品提交相关检测报告：</w:t>
            </w:r>
            <w:r>
              <w:rPr>
                <w:rFonts w:hint="eastAsia" w:ascii="宋体" w:hAnsi="宋体" w:cs="宋体"/>
                <w:color w:val="000000"/>
                <w:szCs w:val="21"/>
              </w:rPr>
            </w:r>
            <w:r/>
          </w:p>
          <w:p>
            <w:pPr>
              <w:pStyle w:val="1067"/>
              <w:ind w:firstLine="525"/>
              <w:jc w:val="left"/>
              <w:rPr>
                <w:rFonts w:hint="eastAsia" w:ascii="宋体" w:hAnsi="宋体" w:cs="宋体"/>
                <w:color w:val="000000"/>
                <w:szCs w:val="21"/>
              </w:rPr>
            </w:pPr>
            <w:r>
              <w:rPr>
                <w:rFonts w:hint="eastAsia" w:ascii="宋体" w:hAnsi="宋体" w:cs="宋体"/>
                <w:color w:val="000000"/>
                <w:szCs w:val="21"/>
              </w:rPr>
              <w:t xml:space="preserve">□不需要</w:t>
            </w:r>
            <w:r>
              <w:rPr>
                <w:rFonts w:hint="eastAsia" w:ascii="宋体" w:hAnsi="宋体" w:cs="宋体"/>
                <w:color w:val="000000"/>
                <w:szCs w:val="21"/>
              </w:rPr>
            </w:r>
            <w:r/>
          </w:p>
          <w:p>
            <w:pPr>
              <w:pStyle w:val="1067"/>
              <w:ind w:firstLine="525"/>
              <w:jc w:val="left"/>
              <w:rPr>
                <w:rFonts w:hint="eastAsia" w:ascii="宋体" w:hAnsi="宋体" w:cs="宋体"/>
                <w:color w:val="000000"/>
                <w:szCs w:val="21"/>
              </w:rPr>
            </w:pPr>
            <w:r>
              <w:rPr>
                <w:rFonts w:hint="eastAsia" w:ascii="宋体" w:hAnsi="宋体" w:cs="宋体"/>
                <w:color w:val="000000"/>
                <w:szCs w:val="21"/>
              </w:rPr>
              <w:t xml:space="preserve">□需要</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（3）样品递交要求：_________；</w:t>
            </w:r>
            <w:r>
              <w:rPr>
                <w:rFonts w:hint="eastAsia" w:ascii="宋体" w:hAnsi="宋体" w:cs="宋体"/>
                <w:color w:val="000000"/>
                <w:szCs w:val="21"/>
              </w:rPr>
            </w:r>
            <w:r/>
          </w:p>
          <w:p>
            <w:pPr>
              <w:pStyle w:val="1067"/>
              <w:jc w:val="left"/>
              <w:rPr>
                <w:rFonts w:hint="eastAsia" w:ascii="宋体" w:hAnsi="宋体" w:cs="宋体"/>
                <w:color w:val="000000"/>
                <w:szCs w:val="21"/>
              </w:rPr>
            </w:pPr>
            <w:r>
              <w:rPr>
                <w:rFonts w:hint="eastAsia" w:ascii="宋体" w:hAnsi="宋体" w:cs="宋体"/>
                <w:color w:val="000000"/>
                <w:szCs w:val="21"/>
              </w:rPr>
              <w:t xml:space="preserve">（4）未中标人样品退还：_________；</w:t>
            </w:r>
            <w:r>
              <w:rPr>
                <w:rFonts w:hint="eastAsia" w:ascii="宋体" w:hAnsi="宋体" w:cs="宋体"/>
                <w:color w:val="000000"/>
                <w:szCs w:val="21"/>
              </w:rPr>
            </w:r>
            <w:r/>
          </w:p>
          <w:p>
            <w:pPr>
              <w:pStyle w:val="1067"/>
              <w:jc w:val="left"/>
              <w:rPr>
                <w:rFonts w:hint="eastAsia" w:ascii="宋体" w:hAnsi="宋体" w:cs="宋体"/>
                <w:color w:val="000000"/>
                <w:szCs w:val="21"/>
                <w:u w:val="single"/>
              </w:rPr>
            </w:pPr>
            <w:r>
              <w:rPr>
                <w:rFonts w:hint="eastAsia" w:ascii="宋体" w:hAnsi="宋体" w:cs="宋体"/>
                <w:color w:val="000000"/>
                <w:szCs w:val="21"/>
              </w:rPr>
              <w:t xml:space="preserve">（5）中标人样品保管、封存及退还：_________；</w:t>
            </w:r>
            <w:r>
              <w:rPr>
                <w:rFonts w:hint="eastAsia" w:ascii="宋体" w:hAnsi="宋体" w:cs="宋体"/>
                <w:color w:val="000000"/>
                <w:szCs w:val="21"/>
                <w:u w:val="single"/>
              </w:rPr>
            </w:r>
            <w:r/>
          </w:p>
          <w:p>
            <w:pPr>
              <w:pStyle w:val="1067"/>
              <w:jc w:val="left"/>
              <w:rPr>
                <w:rFonts w:hint="eastAsia" w:ascii="宋体" w:hAnsi="宋体" w:cs="宋体"/>
                <w:color w:val="000000"/>
                <w:szCs w:val="21"/>
              </w:rPr>
            </w:pPr>
            <w:r>
              <w:rPr>
                <w:rFonts w:hint="eastAsia" w:ascii="宋体" w:hAnsi="宋体" w:cs="宋体"/>
                <w:color w:val="000000"/>
                <w:szCs w:val="21"/>
              </w:rPr>
              <w:t xml:space="preserve">（6）其他要求（如有）：_________。</w:t>
            </w:r>
            <w:r>
              <w:rPr>
                <w:rFonts w:hint="eastAsia" w:ascii="宋体" w:hAnsi="宋体" w:cs="宋体"/>
                <w:color w:val="000000"/>
                <w:szCs w:val="21"/>
              </w:rPr>
            </w:r>
            <w:r/>
          </w:p>
        </w:tc>
      </w:tr>
      <w:tr>
        <w:trPr>
          <w:trHeight w:val="839"/>
        </w:trPr>
        <w:tc>
          <w:tcPr>
            <w:tcW w:w="988" w:type="dxa"/>
            <w:vAlign w:val="center"/>
            <w:textDirection w:val="lrTb"/>
            <w:noWrap w:val="false"/>
          </w:tcPr>
          <w:p>
            <w:pPr>
              <w:pStyle w:val="1108"/>
              <w:jc w:val="center"/>
              <w:rPr>
                <w:rFonts w:hAnsi="宋体" w:cs="宋体"/>
                <w:szCs w:val="21"/>
              </w:rPr>
            </w:pPr>
            <w:r>
              <w:rPr>
                <w:rFonts w:hAnsi="宋体" w:cs="宋体"/>
                <w:szCs w:val="21"/>
              </w:rPr>
              <w:t xml:space="preserve">5.2.5</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eastAsia="宋体" w:cs="宋体"/>
                <w:szCs w:val="21"/>
                <w:lang w:eastAsia="zh-CN"/>
              </w:rPr>
            </w:pPr>
            <w:r>
              <w:rPr>
                <w:rFonts w:hint="eastAsia" w:ascii="宋体" w:hAnsi="宋体" w:eastAsia="宋体" w:cs="宋体"/>
                <w:sz w:val="21"/>
                <w:szCs w:val="21"/>
              </w:rPr>
              <w:t xml:space="preserve">本项目采购标的对应的中小企业划分标准所属行业：</w:t>
            </w:r>
            <w:r>
              <w:rPr>
                <w:rFonts w:hint="eastAsia" w:ascii="宋体" w:hAnsi="宋体" w:eastAsia="宋体" w:cs="宋体"/>
                <w:b/>
                <w:bCs/>
                <w:sz w:val="21"/>
                <w:szCs w:val="21"/>
                <w:u w:val="single"/>
              </w:rPr>
              <w:t xml:space="preserve">其他未列明行业</w:t>
            </w:r>
            <w:r>
              <w:rPr>
                <w:rFonts w:hint="eastAsia" w:ascii="宋体" w:hAnsi="宋体" w:eastAsia="宋体" w:cs="宋体"/>
                <w:b/>
                <w:bCs/>
                <w:sz w:val="21"/>
                <w:szCs w:val="21"/>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lang w:eastAsia="zh-CN"/>
              </w:rPr>
            </w:r>
            <w:r/>
          </w:p>
        </w:tc>
      </w:tr>
    </w:tbl>
    <w:p>
      <w:pPr>
        <w:pStyle w:val="1067"/>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11.2</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投标报价的特殊规定：</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□有，具体情形：_____。</w:t>
            </w:r>
            <w:r>
              <w:rPr>
                <w:rFonts w:hint="eastAsia" w:ascii="宋体" w:hAnsi="宋体" w:cs="宋体"/>
                <w:szCs w:val="21"/>
              </w:rPr>
            </w:r>
            <w:r/>
          </w:p>
        </w:tc>
      </w:tr>
      <w:tr>
        <w:trPr>
          <w:trHeight w:val="49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38"/>
        </w:trPr>
        <w:tc>
          <w:tcPr>
            <w:tcW w:w="988" w:type="dxa"/>
            <w:vAlign w:val="center"/>
            <w:textDirection w:val="lrTb"/>
            <w:noWrap w:val="false"/>
          </w:tcPr>
          <w:p>
            <w:pPr>
              <w:pStyle w:val="1108"/>
              <w:jc w:val="center"/>
              <w:rPr>
                <w:rFonts w:hAnsi="宋体" w:cs="宋体"/>
                <w:szCs w:val="21"/>
              </w:rPr>
            </w:pPr>
            <w:r>
              <w:rPr>
                <w:rFonts w:hAnsi="宋体" w:cs="宋体"/>
                <w:szCs w:val="21"/>
              </w:rPr>
              <w:t xml:space="preserve">13.1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176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25.5</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■不允许</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1067"/>
              <w:jc w:val="left"/>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574"/>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26.1.1</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05</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11</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26.3</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联系部门：</w:t>
            </w:r>
            <w:r>
              <w:rPr>
                <w:rFonts w:hint="eastAsia" w:ascii="宋体" w:hAnsi="宋体" w:cs="宋体"/>
                <w:b/>
                <w:bCs/>
                <w:szCs w:val="21"/>
                <w:u w:val="single"/>
              </w:rPr>
              <w:t xml:space="preserve">常州市阳峻项目管理有限公司</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联系电话：</w:t>
            </w:r>
            <w:r>
              <w:rPr>
                <w:rFonts w:hint="eastAsia" w:ascii="宋体" w:hAnsi="宋体" w:cs="宋体"/>
                <w:b/>
                <w:bCs/>
                <w:szCs w:val="21"/>
                <w:u w:val="single"/>
              </w:rPr>
              <w:t xml:space="preserve">0519-8366 1615</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通讯地址：</w:t>
            </w:r>
            <w:r>
              <w:rPr>
                <w:rFonts w:hint="eastAsia" w:ascii="宋体" w:hAnsi="宋体" w:cs="宋体"/>
                <w:b/>
                <w:bCs/>
                <w:szCs w:val="21"/>
                <w:u w:val="single"/>
              </w:rPr>
              <w:t xml:space="preserve">江苏省常州市钟楼区荆川东路22-1号荆川商务大厦北楼4楼</w:t>
            </w:r>
            <w:r>
              <w:rPr>
                <w:rFonts w:hint="eastAsia" w:ascii="宋体" w:hAnsi="宋体" w:cs="宋体"/>
                <w:szCs w:val="21"/>
              </w:rPr>
              <w:t xml:space="preserve">。</w:t>
            </w:r>
            <w:r>
              <w:rPr>
                <w:rFonts w:hint="eastAsia" w:ascii="宋体" w:hAnsi="宋体" w:cs="宋体"/>
                <w:szCs w:val="21"/>
              </w:rPr>
            </w:r>
            <w:r/>
          </w:p>
        </w:tc>
      </w:tr>
      <w:tr>
        <w:trPr>
          <w:trHeight w:val="20"/>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27</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1067"/>
              <w:jc w:val="left"/>
              <w:rPr>
                <w:rFonts w:hint="eastAsia" w:ascii="宋体" w:hAnsi="宋体" w:cs="宋体"/>
                <w:szCs w:val="21"/>
              </w:rPr>
            </w:pPr>
            <w:r>
              <w:rPr>
                <w:rFonts w:hint="eastAsia" w:ascii="宋体" w:hAnsi="宋体" w:cs="宋体"/>
                <w:szCs w:val="21"/>
              </w:rPr>
              <w:t xml:space="preserve">■中标人</w:t>
            </w:r>
            <w:r>
              <w:rPr>
                <w:rFonts w:hint="eastAsia" w:ascii="宋体" w:hAnsi="宋体" w:cs="宋体"/>
                <w:szCs w:val="21"/>
              </w:rPr>
            </w:r>
            <w:r/>
          </w:p>
          <w:p>
            <w:pPr>
              <w:pStyle w:val="1067"/>
              <w:jc w:val="left"/>
              <w:rPr>
                <w:rFonts w:hint="eastAsia" w:ascii="宋体" w:hAnsi="宋体" w:eastAsia="宋体" w:cs="宋体"/>
                <w:szCs w:val="21"/>
                <w:lang w:eastAsia="zh-CN"/>
              </w:rPr>
            </w:pPr>
            <w:r>
              <w:rPr>
                <w:rFonts w:hint="eastAsia" w:ascii="宋体" w:hAnsi="宋体" w:cs="宋体"/>
                <w:szCs w:val="21"/>
              </w:rPr>
              <w:t xml:space="preserve">收费标准：</w:t>
            </w:r>
            <w:r>
              <w:rPr>
                <w:rFonts w:hint="eastAsia" w:ascii="宋体" w:hAnsi="宋体" w:cs="宋体"/>
                <w:b/>
                <w:bCs/>
                <w:szCs w:val="21"/>
                <w:u w:val="single"/>
              </w:rPr>
              <w:t xml:space="preserve">按</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金额为基数，收费比例按差额定率累进法计算，</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金额在100万元(含)以下的为1.5%，</w:t>
            </w:r>
            <w:r>
              <w:rPr>
                <w:rFonts w:hint="eastAsia" w:ascii="宋体" w:hAnsi="宋体" w:cs="宋体"/>
                <w:b/>
                <w:bCs/>
                <w:szCs w:val="21"/>
                <w:u w:val="single"/>
                <w:lang w:val="en-US" w:eastAsia="zh-CN"/>
              </w:rPr>
              <w:t xml:space="preserve">中标</w:t>
            </w:r>
            <w:r>
              <w:rPr>
                <w:rFonts w:hint="eastAsia" w:ascii="宋体" w:hAnsi="宋体" w:cs="宋体"/>
                <w:b/>
                <w:bCs/>
                <w:szCs w:val="21"/>
                <w:u w:val="single"/>
              </w:rPr>
              <w:t xml:space="preserve">金额在100万元（不含）至500万元（含）的为 0.8%，代理费按上述方法计算后支付，代理费按上述计算方法不足人民币3000元的，按人民币3000元收取</w:t>
            </w:r>
            <w:r>
              <w:rPr>
                <w:rFonts w:hint="eastAsia" w:ascii="宋体" w:hAnsi="宋体" w:cs="宋体"/>
                <w:b/>
                <w:bCs/>
                <w:szCs w:val="21"/>
                <w:u w:val="single"/>
                <w:lang w:eastAsia="zh-CN"/>
              </w:rPr>
              <w:t xml:space="preserve">；</w:t>
            </w:r>
            <w:r>
              <w:rPr>
                <w:rFonts w:hint="eastAsia" w:ascii="宋体" w:hAnsi="宋体" w:eastAsia="宋体" w:cs="宋体"/>
                <w:szCs w:val="21"/>
                <w:lang w:eastAsia="zh-CN"/>
              </w:rPr>
            </w:r>
            <w:r/>
          </w:p>
          <w:p>
            <w:pPr>
              <w:pStyle w:val="1067"/>
              <w:jc w:val="left"/>
              <w:rPr>
                <w:rFonts w:hint="eastAsia" w:ascii="宋体" w:hAnsi="宋体" w:cs="宋体"/>
                <w:szCs w:val="21"/>
              </w:rPr>
            </w:pPr>
            <w:r>
              <w:rPr>
                <w:rFonts w:hint="eastAsia" w:ascii="宋体" w:hAnsi="宋体" w:cs="宋体"/>
                <w:szCs w:val="21"/>
              </w:rPr>
              <w:t xml:space="preserve">缴纳时间：</w:t>
            </w:r>
            <w:r>
              <w:rPr>
                <w:rFonts w:hint="eastAsia" w:ascii="宋体" w:hAnsi="宋体" w:cs="宋体"/>
                <w:b/>
                <w:bCs/>
                <w:szCs w:val="21"/>
                <w:u w:val="single"/>
              </w:rPr>
              <w:t xml:space="preserve">中标单位应在中标结果公示结束后五个工作日内支付至代理机构</w:t>
            </w:r>
            <w:r>
              <w:rPr>
                <w:rFonts w:hint="eastAsia" w:ascii="宋体" w:hAnsi="宋体" w:cs="宋体"/>
                <w:szCs w:val="21"/>
              </w:rPr>
              <w:t xml:space="preserve">。</w:t>
            </w:r>
            <w:r>
              <w:rPr>
                <w:rFonts w:hint="eastAsia" w:ascii="宋体" w:hAnsi="宋体" w:cs="宋体"/>
                <w:szCs w:val="21"/>
              </w:rPr>
            </w:r>
            <w:r/>
          </w:p>
          <w:p>
            <w:pPr>
              <w:pStyle w:val="1067"/>
              <w:jc w:val="left"/>
              <w:rPr>
                <w:rFonts w:hint="eastAsia" w:ascii="宋体" w:hAnsi="宋体" w:cs="宋体"/>
                <w:b/>
                <w:bCs/>
                <w:szCs w:val="21"/>
                <w:u w:val="single"/>
              </w:rPr>
            </w:pPr>
            <w:r>
              <w:rPr>
                <w:rFonts w:hint="eastAsia" w:ascii="宋体" w:hAnsi="宋体" w:cs="宋体"/>
                <w:b/>
                <w:bCs/>
                <w:szCs w:val="21"/>
                <w:u w:val="single"/>
              </w:rPr>
              <w:t xml:space="preserve">收款单位：常州市阳峻项目管理有限公司</w:t>
            </w:r>
            <w:r>
              <w:rPr>
                <w:rFonts w:hint="eastAsia" w:ascii="宋体" w:hAnsi="宋体" w:cs="宋体"/>
                <w:b/>
                <w:bCs/>
                <w:szCs w:val="21"/>
                <w:u w:val="single"/>
              </w:rPr>
            </w:r>
            <w:r/>
          </w:p>
          <w:p>
            <w:pPr>
              <w:pStyle w:val="1067"/>
              <w:jc w:val="left"/>
              <w:rPr>
                <w:rFonts w:hint="eastAsia" w:ascii="宋体" w:hAnsi="宋体" w:cs="宋体"/>
                <w:b/>
                <w:bCs/>
                <w:szCs w:val="21"/>
                <w:u w:val="single"/>
              </w:rPr>
            </w:pPr>
            <w:r>
              <w:rPr>
                <w:rFonts w:hint="eastAsia" w:ascii="宋体" w:hAnsi="宋体" w:cs="宋体"/>
                <w:b/>
                <w:bCs/>
                <w:szCs w:val="21"/>
                <w:u w:val="single"/>
              </w:rPr>
              <w:t xml:space="preserve">开户银行：中国农业银行股份有限公司常州天宁支行</w:t>
            </w:r>
            <w:r>
              <w:rPr>
                <w:rFonts w:hint="eastAsia" w:ascii="宋体" w:hAnsi="宋体" w:cs="宋体"/>
                <w:b/>
                <w:bCs/>
                <w:szCs w:val="21"/>
                <w:u w:val="single"/>
              </w:rPr>
            </w:r>
            <w:r/>
          </w:p>
          <w:p>
            <w:pPr>
              <w:pStyle w:val="1067"/>
              <w:jc w:val="left"/>
              <w:rPr>
                <w:rFonts w:hint="eastAsia" w:ascii="宋体" w:hAnsi="宋体" w:cs="宋体"/>
                <w:szCs w:val="21"/>
              </w:rPr>
            </w:pPr>
            <w:r>
              <w:rPr>
                <w:rFonts w:hint="eastAsia" w:ascii="宋体" w:hAnsi="宋体" w:cs="宋体"/>
                <w:b/>
                <w:bCs/>
                <w:szCs w:val="21"/>
                <w:u w:val="single"/>
              </w:rPr>
              <w:t xml:space="preserve">银行账号：1061 3001 0402 31265 </w:t>
            </w:r>
            <w:r>
              <w:rPr>
                <w:rFonts w:hint="eastAsia" w:ascii="宋体" w:hAnsi="宋体" w:cs="宋体"/>
                <w:szCs w:val="21"/>
              </w:rPr>
            </w:r>
            <w:r/>
          </w:p>
        </w:tc>
      </w:tr>
      <w:tr>
        <w:trPr>
          <w:trHeight w:val="832"/>
        </w:trPr>
        <w:tc>
          <w:tcPr>
            <w:tcW w:w="988" w:type="dxa"/>
            <w:vAlign w:val="center"/>
            <w:textDirection w:val="lrTb"/>
            <w:noWrap w:val="false"/>
          </w:tcPr>
          <w:p>
            <w:pPr>
              <w:pStyle w:val="1108"/>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1067"/>
              <w:jc w:val="left"/>
              <w:rPr>
                <w:rFonts w:hint="eastAsia" w:ascii="宋体" w:hAnsi="宋体" w:cs="宋体"/>
                <w:szCs w:val="21"/>
              </w:rPr>
            </w:pPr>
            <w:r>
              <w:rPr>
                <w:rFonts w:hint="eastAsia" w:ascii="宋体" w:hAnsi="宋体" w:cs="宋体"/>
                <w:b/>
                <w:bCs/>
                <w:szCs w:val="21"/>
              </w:rPr>
              <w:t xml:space="preserve">中标人在</w:t>
            </w:r>
            <w:r>
              <w:rPr>
                <w:rFonts w:hint="eastAsia" w:ascii="宋体" w:hAnsi="宋体" w:cs="宋体"/>
                <w:b/>
                <w:bCs/>
                <w:szCs w:val="21"/>
                <w:highlight w:val="none"/>
              </w:rPr>
              <w:t xml:space="preserve">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w:t>
            </w:r>
            <w:r>
              <w:rPr>
                <w:rFonts w:hint="eastAsia" w:ascii="宋体" w:hAnsi="宋体" w:cs="宋体"/>
                <w:b/>
                <w:bCs/>
                <w:szCs w:val="21"/>
              </w:rPr>
              <w:t xml:space="preserve">正本1套、副本2套，在每一份纸质投标文件上要明确注明“正本” 或“副本”字样。</w:t>
            </w:r>
            <w:r>
              <w:rPr>
                <w:rFonts w:hint="eastAsia" w:ascii="宋体" w:hAnsi="宋体" w:cs="宋体"/>
                <w:szCs w:val="21"/>
              </w:rPr>
            </w:r>
            <w:r/>
          </w:p>
        </w:tc>
      </w:tr>
    </w:tbl>
    <w:p>
      <w:pPr>
        <w:pStyle w:val="1067"/>
        <w:jc w:val="both"/>
        <w:spacing w:line="360" w:lineRule="auto"/>
        <w:tabs>
          <w:tab w:val="left" w:pos="5580" w:leader="none"/>
        </w:tabs>
        <w:rPr>
          <w:sz w:val="24"/>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1069"/>
        <w:spacing w:before="0" w:line="360" w:lineRule="auto"/>
        <w:tabs>
          <w:tab w:val="center" w:pos="4592" w:leader="none"/>
          <w:tab w:val="left" w:pos="7860" w:leader="none"/>
        </w:tabs>
        <w:rPr>
          <w:rFonts w:ascii="Times New Roman" w:hAnsi="Times New Roman" w:eastAsia="宋体"/>
          <w:sz w:val="28"/>
        </w:rPr>
      </w:pPr>
      <w:r/>
      <w:bookmarkStart w:id="75" w:name="_Toc142311019"/>
      <w:r/>
      <w:bookmarkStart w:id="76" w:name="_Toc226337213"/>
      <w:r/>
      <w:bookmarkStart w:id="77" w:name="_Toc264969207"/>
      <w:r/>
      <w:bookmarkStart w:id="78" w:name="_Toc127151517"/>
      <w:r/>
      <w:bookmarkStart w:id="79" w:name="_Toc353873662"/>
      <w:r/>
      <w:bookmarkStart w:id="80" w:name="_Toc150774722"/>
      <w:r/>
      <w:bookmarkStart w:id="81" w:name="_Toc195842882"/>
      <w:r/>
      <w:bookmarkStart w:id="82" w:name="_Toc265228355"/>
      <w:r/>
      <w:bookmarkStart w:id="83" w:name="_Toc353873932"/>
      <w:r/>
      <w:bookmarkStart w:id="84" w:name="_Toc305158785"/>
      <w:r/>
      <w:bookmarkStart w:id="85" w:name="_Toc226965790"/>
      <w:r/>
      <w:bookmarkStart w:id="86" w:name="_Toc150480755"/>
      <w:r/>
      <w:bookmarkStart w:id="87" w:name="_Toc353825542"/>
      <w:r/>
      <w:bookmarkStart w:id="88" w:name="_Toc305158859"/>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1069"/>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0145"/>
      <w:r/>
      <w:bookmarkStart w:id="92" w:name="_Toc226309762"/>
      <w:r/>
      <w:bookmarkStart w:id="93" w:name="_Toc150509269"/>
      <w:r/>
      <w:bookmarkStart w:id="94" w:name="_Toc150774723"/>
      <w:r/>
      <w:bookmarkStart w:id="95" w:name="_Toc151193616"/>
      <w:r/>
      <w:bookmarkStart w:id="96" w:name="_Toc226337214"/>
      <w:r/>
      <w:bookmarkStart w:id="97" w:name="_Toc305158786"/>
      <w:r/>
      <w:bookmarkStart w:id="98" w:name="_Toc150480756"/>
      <w:r/>
      <w:bookmarkStart w:id="99" w:name="_Toc226965791"/>
      <w:r/>
      <w:bookmarkStart w:id="100" w:name="_Toc305158860"/>
      <w:r/>
      <w:bookmarkStart w:id="101" w:name="_Toc151193832"/>
      <w:r/>
      <w:bookmarkStart w:id="102" w:name="_Toc226965708"/>
      <w:r/>
      <w:bookmarkStart w:id="103" w:name="_Toc142311020"/>
      <w:r/>
      <w:bookmarkStart w:id="104" w:name="_Toc150774618"/>
      <w:r/>
      <w:bookmarkStart w:id="105" w:name="_Toc151193760"/>
      <w:r/>
      <w:bookmarkStart w:id="106" w:name="_Toc151193688"/>
      <w:r/>
      <w:bookmarkStart w:id="107" w:name="_Toc265228356"/>
      <w:r/>
      <w:bookmarkStart w:id="108" w:name="_Toc151193906"/>
      <w:r/>
      <w:bookmarkStart w:id="109" w:name="_Toc195842883"/>
      <w:r/>
      <w:bookmarkStart w:id="110" w:name="_Toc264969208"/>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111" w:name="_Toc265228357"/>
      <w:r/>
      <w:bookmarkStart w:id="112" w:name="_Toc264969209"/>
      <w:r/>
      <w:bookmarkStart w:id="113" w:name="_Toc305158787"/>
      <w:r/>
      <w:bookmarkStart w:id="114" w:name="_Toc305158861"/>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115" w:name="_Toc305158862"/>
      <w:r/>
      <w:bookmarkStart w:id="116" w:name="_Toc164229215"/>
      <w:r/>
      <w:bookmarkStart w:id="117" w:name="_Toc151193762"/>
      <w:r/>
      <w:bookmarkStart w:id="118" w:name="_Toc127161434"/>
      <w:r/>
      <w:bookmarkStart w:id="119" w:name="_Toc226965793"/>
      <w:r/>
      <w:bookmarkStart w:id="120" w:name="_Toc149720813"/>
      <w:r/>
      <w:bookmarkStart w:id="121" w:name="_Toc151193908"/>
      <w:r/>
      <w:bookmarkStart w:id="122" w:name="_Toc226309764"/>
      <w:r/>
      <w:bookmarkStart w:id="123" w:name="_Toc226337216"/>
      <w:r/>
      <w:bookmarkStart w:id="124" w:name="_Toc164351614"/>
      <w:r/>
      <w:bookmarkStart w:id="125" w:name="_Toc150774620"/>
      <w:r/>
      <w:bookmarkStart w:id="126" w:name="_Toc151193834"/>
      <w:r/>
      <w:bookmarkStart w:id="127" w:name="_Toc265228358"/>
      <w:r/>
      <w:bookmarkStart w:id="128" w:name="_Toc142311022"/>
      <w:r/>
      <w:bookmarkStart w:id="129" w:name="_Toc151193690"/>
      <w:r/>
      <w:bookmarkStart w:id="130" w:name="_Toc151193618"/>
      <w:r/>
      <w:bookmarkStart w:id="131" w:name="_Toc150774725"/>
      <w:r/>
      <w:bookmarkStart w:id="132" w:name="_Toc127151520"/>
      <w:r/>
      <w:bookmarkStart w:id="133" w:name="_Toc195842885"/>
      <w:r/>
      <w:bookmarkStart w:id="134" w:name="_Toc164229361"/>
      <w:r/>
      <w:bookmarkStart w:id="135" w:name="_Toc164608634"/>
      <w:r/>
      <w:bookmarkStart w:id="136" w:name="_Toc151190147"/>
      <w:r/>
      <w:bookmarkStart w:id="137" w:name="_Toc264969210"/>
      <w:r/>
      <w:bookmarkStart w:id="138" w:name="_Toc150480758"/>
      <w:r/>
      <w:bookmarkStart w:id="139" w:name="_Toc305158788"/>
      <w:r/>
      <w:bookmarkStart w:id="140" w:name="_Toc150509271"/>
      <w:r/>
      <w:bookmarkStart w:id="141" w:name="_Toc226965710"/>
      <w:r/>
      <w:bookmarkStart w:id="142" w:name="_Toc164608789"/>
      <w:r/>
      <w:bookmarkStart w:id="143" w:name="_Toc127151721"/>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151193910"/>
      <w:r/>
      <w:bookmarkStart w:id="145" w:name="_Toc226337218"/>
      <w:r/>
      <w:bookmarkStart w:id="146" w:name="_Toc150480760"/>
      <w:r/>
      <w:bookmarkStart w:id="147" w:name="_Toc151193764"/>
      <w:r/>
      <w:bookmarkStart w:id="148" w:name="_Toc520356146"/>
      <w:r/>
      <w:bookmarkStart w:id="149" w:name="_Toc150774622"/>
      <w:r/>
      <w:bookmarkStart w:id="150" w:name="_Toc151190149"/>
      <w:r/>
      <w:bookmarkStart w:id="151" w:name="_Toc195842887"/>
      <w:r/>
      <w:bookmarkStart w:id="152" w:name="_Toc150509273"/>
      <w:r/>
      <w:bookmarkStart w:id="153" w:name="_Toc127151522"/>
      <w:r/>
      <w:bookmarkStart w:id="154" w:name="_Toc150774727"/>
      <w:r/>
      <w:bookmarkStart w:id="155" w:name="_Toc226309766"/>
      <w:r/>
      <w:bookmarkStart w:id="156" w:name="_Toc226965795"/>
      <w:r/>
      <w:bookmarkStart w:id="157" w:name="_Toc305158790"/>
      <w:r/>
      <w:bookmarkStart w:id="158" w:name="_Toc305158864"/>
      <w:r/>
      <w:bookmarkStart w:id="159" w:name="_Toc151193692"/>
      <w:r/>
      <w:bookmarkStart w:id="160" w:name="_Toc151193620"/>
      <w:r/>
      <w:bookmarkStart w:id="161" w:name="_Toc151193836"/>
      <w:r/>
      <w:bookmarkStart w:id="162" w:name="_Toc226965712"/>
      <w:r/>
      <w:bookmarkStart w:id="163" w:name="_Toc264969212"/>
      <w:r/>
      <w:bookmarkStart w:id="164" w:name="_Toc265228360"/>
      <w:r/>
      <w:bookmarkStart w:id="165" w:name="_Toc142311024"/>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1067"/>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1067"/>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1067"/>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106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167" w:name="_Toc150509274"/>
      <w:r/>
      <w:bookmarkStart w:id="168" w:name="_Toc226309767"/>
      <w:r/>
      <w:bookmarkStart w:id="169" w:name="_Toc151190150"/>
      <w:r/>
      <w:bookmarkStart w:id="170" w:name="_Toc226965713"/>
      <w:r/>
      <w:bookmarkStart w:id="171" w:name="_Toc226337219"/>
      <w:r/>
      <w:bookmarkStart w:id="172" w:name="_Toc164608792"/>
      <w:r/>
      <w:bookmarkStart w:id="173" w:name="_Toc151193693"/>
      <w:r/>
      <w:bookmarkStart w:id="174" w:name="_Toc164351617"/>
      <w:r/>
      <w:bookmarkStart w:id="175" w:name="_Toc127151523"/>
      <w:r/>
      <w:bookmarkStart w:id="176" w:name="_Toc195842888"/>
      <w:r/>
      <w:bookmarkStart w:id="177" w:name="_Toc151193765"/>
      <w:r/>
      <w:bookmarkStart w:id="178" w:name="_Toc151193837"/>
      <w:r/>
      <w:bookmarkStart w:id="179" w:name="_Toc264969213"/>
      <w:r/>
      <w:bookmarkStart w:id="180" w:name="_Toc164608637"/>
      <w:r/>
      <w:bookmarkStart w:id="181" w:name="_Toc150774623"/>
      <w:r/>
      <w:bookmarkStart w:id="182" w:name="_Toc150480761"/>
      <w:r/>
      <w:bookmarkStart w:id="183" w:name="_Toc127151724"/>
      <w:r/>
      <w:bookmarkStart w:id="184" w:name="_Toc142311025"/>
      <w:r/>
      <w:bookmarkStart w:id="185" w:name="_Toc127161437"/>
      <w:r/>
      <w:bookmarkStart w:id="186" w:name="_Toc164229218"/>
      <w:r/>
      <w:bookmarkStart w:id="187" w:name="_Toc520356147"/>
      <w:r/>
      <w:bookmarkStart w:id="188" w:name="_Toc151193911"/>
      <w:r/>
      <w:bookmarkStart w:id="189" w:name="_Toc164229364"/>
      <w:r/>
      <w:bookmarkStart w:id="190" w:name="_Toc151193621"/>
      <w:r/>
      <w:bookmarkStart w:id="191" w:name="_Toc305158865"/>
      <w:r/>
      <w:bookmarkStart w:id="192" w:name="_Toc305158791"/>
      <w:r/>
      <w:bookmarkStart w:id="193" w:name="_Toc226965796"/>
      <w:r/>
      <w:bookmarkStart w:id="194" w:name="_Toc265228361"/>
      <w:r/>
      <w:bookmarkStart w:id="195" w:name="_Toc149720816"/>
      <w:r/>
      <w:bookmarkStart w:id="196" w:name="_Toc150774728"/>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1067"/>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1067"/>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65228364"/>
      <w:r/>
      <w:bookmarkStart w:id="198" w:name="_Toc226337222"/>
      <w:r/>
      <w:bookmarkStart w:id="199" w:name="_Toc150480764"/>
      <w:r/>
      <w:bookmarkStart w:id="200" w:name="_Toc305158868"/>
      <w:r/>
      <w:bookmarkStart w:id="201" w:name="_Toc195842891"/>
      <w:r/>
      <w:bookmarkStart w:id="202" w:name="_Toc151193696"/>
      <w:r/>
      <w:bookmarkStart w:id="203" w:name="_Toc264969216"/>
      <w:r/>
      <w:bookmarkStart w:id="204" w:name="_Toc516367020"/>
      <w:r/>
      <w:bookmarkStart w:id="205" w:name="_Toc151193624"/>
      <w:r/>
      <w:bookmarkStart w:id="206" w:name="_Toc151193768"/>
      <w:r/>
      <w:bookmarkStart w:id="207" w:name="_Toc150774731"/>
      <w:r/>
      <w:bookmarkStart w:id="208" w:name="_Toc151193840"/>
      <w:r/>
      <w:bookmarkStart w:id="209" w:name="_Toc226965716"/>
      <w:r/>
      <w:bookmarkStart w:id="210" w:name="_Toc127151526"/>
      <w:r/>
      <w:bookmarkStart w:id="211" w:name="_Toc151193914"/>
      <w:r/>
      <w:bookmarkStart w:id="212" w:name="_Toc150509277"/>
      <w:r/>
      <w:bookmarkStart w:id="213" w:name="_Toc305158794"/>
      <w:r/>
      <w:bookmarkStart w:id="214" w:name="_Toc150774626"/>
      <w:r/>
      <w:bookmarkStart w:id="215" w:name="_Toc226309770"/>
      <w:r/>
      <w:bookmarkStart w:id="216" w:name="_Toc226965799"/>
      <w:r/>
      <w:bookmarkStart w:id="217" w:name="_Toc520356150"/>
      <w:r/>
      <w:bookmarkStart w:id="218" w:name="_Toc151190153"/>
      <w:r/>
      <w:bookmarkStart w:id="219" w:name="_Toc142311028"/>
      <w:r>
        <w:rPr>
          <w:sz w:val="28"/>
        </w:rPr>
      </w:r>
      <w:r/>
    </w:p>
    <w:p>
      <w:pPr>
        <w:pStyle w:val="106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1067"/>
        <w:spacing w:line="360" w:lineRule="auto"/>
        <w:tabs>
          <w:tab w:val="left" w:pos="360" w:leader="none"/>
        </w:tabs>
        <w:rPr>
          <w:rFonts w:hint="eastAsia" w:ascii="宋体" w:hAnsi="宋体" w:cs="宋体"/>
          <w:b/>
          <w:bCs/>
          <w:szCs w:val="21"/>
        </w:rPr>
        <w:outlineLvl w:val="1"/>
      </w:pPr>
      <w:r/>
      <w:bookmarkStart w:id="220" w:name="_Toc164229222"/>
      <w:r/>
      <w:bookmarkStart w:id="221" w:name="_Toc164351621"/>
      <w:r/>
      <w:bookmarkStart w:id="222" w:name="_Toc151193697"/>
      <w:r/>
      <w:bookmarkStart w:id="223" w:name="_Toc151193915"/>
      <w:r/>
      <w:bookmarkStart w:id="224" w:name="_Toc520356151"/>
      <w:r/>
      <w:bookmarkStart w:id="225" w:name="_Toc150509278"/>
      <w:r/>
      <w:bookmarkStart w:id="226" w:name="_Toc516367021"/>
      <w:r/>
      <w:bookmarkStart w:id="227" w:name="_Toc151193841"/>
      <w:r/>
      <w:bookmarkStart w:id="228" w:name="_Toc150480765"/>
      <w:r/>
      <w:bookmarkStart w:id="229" w:name="_Toc265228365"/>
      <w:r/>
      <w:bookmarkStart w:id="230" w:name="_Toc226309771"/>
      <w:r/>
      <w:bookmarkStart w:id="231" w:name="_Toc305158795"/>
      <w:r/>
      <w:bookmarkStart w:id="232" w:name="_Toc226965717"/>
      <w:r/>
      <w:bookmarkStart w:id="233" w:name="_Toc164229368"/>
      <w:r/>
      <w:bookmarkStart w:id="234" w:name="_Toc127151728"/>
      <w:r/>
      <w:bookmarkStart w:id="235" w:name="_Toc142311029"/>
      <w:r/>
      <w:bookmarkStart w:id="236" w:name="_Toc164608796"/>
      <w:r/>
      <w:bookmarkStart w:id="237" w:name="_Toc305158869"/>
      <w:r/>
      <w:bookmarkStart w:id="238" w:name="_Toc151190154"/>
      <w:r/>
      <w:bookmarkStart w:id="239" w:name="_Toc127161441"/>
      <w:r/>
      <w:bookmarkStart w:id="240" w:name="_Toc149720820"/>
      <w:r/>
      <w:bookmarkStart w:id="241" w:name="_Toc195842892"/>
      <w:r/>
      <w:bookmarkStart w:id="242" w:name="_Toc226965800"/>
      <w:r/>
      <w:bookmarkStart w:id="243" w:name="_Toc127151527"/>
      <w:r/>
      <w:bookmarkStart w:id="244" w:name="_Toc164608641"/>
      <w:r/>
      <w:bookmarkStart w:id="245" w:name="_Toc151193625"/>
      <w:r/>
      <w:bookmarkStart w:id="246" w:name="_Toc151193769"/>
      <w:r/>
      <w:bookmarkStart w:id="247" w:name="_Toc150774732"/>
      <w:r/>
      <w:bookmarkStart w:id="248" w:name="_Toc264969217"/>
      <w:r/>
      <w:bookmarkStart w:id="249" w:name="_Toc226337223"/>
      <w:r/>
      <w:bookmarkStart w:id="250" w:name="_Toc150774627"/>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251" w:name="_Toc164608642"/>
      <w:r/>
      <w:bookmarkStart w:id="252" w:name="_Toc164608797"/>
      <w:r/>
      <w:bookmarkStart w:id="253" w:name="_Toc127151729"/>
      <w:r/>
      <w:bookmarkStart w:id="254" w:name="_Toc305158796"/>
      <w:r/>
      <w:bookmarkStart w:id="255" w:name="_Toc520356152"/>
      <w:r/>
      <w:bookmarkStart w:id="256" w:name="_Toc164229223"/>
      <w:r/>
      <w:bookmarkStart w:id="257" w:name="_Toc151193916"/>
      <w:r/>
      <w:bookmarkStart w:id="258" w:name="_Toc151193770"/>
      <w:r/>
      <w:bookmarkStart w:id="259" w:name="_Toc305158870"/>
      <w:r/>
      <w:bookmarkStart w:id="260" w:name="_Toc164351622"/>
      <w:r/>
      <w:bookmarkStart w:id="261" w:name="_Toc226309772"/>
      <w:r/>
      <w:bookmarkStart w:id="262" w:name="_Toc226965801"/>
      <w:r/>
      <w:bookmarkStart w:id="263" w:name="_Toc226965718"/>
      <w:r/>
      <w:bookmarkStart w:id="264" w:name="_Ref467306195"/>
      <w:r/>
      <w:bookmarkStart w:id="265" w:name="_Ref467306676"/>
      <w:r/>
      <w:bookmarkStart w:id="266" w:name="_Toc195842893"/>
      <w:r/>
      <w:bookmarkStart w:id="267" w:name="_Toc516367022"/>
      <w:r/>
      <w:bookmarkStart w:id="268" w:name="_Toc265228366"/>
      <w:r/>
      <w:bookmarkStart w:id="269" w:name="_Toc164229369"/>
      <w:r/>
      <w:bookmarkStart w:id="270" w:name="_Toc127161442"/>
      <w:r/>
      <w:bookmarkStart w:id="271" w:name="_Toc149720821"/>
      <w:r/>
      <w:bookmarkStart w:id="272" w:name="_Toc226337224"/>
      <w:r/>
      <w:bookmarkStart w:id="273" w:name="_Toc150774628"/>
      <w:r/>
      <w:bookmarkStart w:id="274" w:name="_Toc151193842"/>
      <w:r/>
      <w:bookmarkStart w:id="275" w:name="_Toc150774733"/>
      <w:r/>
      <w:bookmarkStart w:id="276" w:name="_Toc151190155"/>
      <w:r/>
      <w:bookmarkStart w:id="277" w:name="_Toc151193698"/>
      <w:r/>
      <w:bookmarkStart w:id="278" w:name="_Toc264969218"/>
      <w:r/>
      <w:bookmarkStart w:id="279" w:name="_Toc127151528"/>
      <w:r/>
      <w:bookmarkStart w:id="280" w:name="_Toc150480766"/>
      <w:r/>
      <w:bookmarkStart w:id="281" w:name="_Toc151193626"/>
      <w:r/>
      <w:bookmarkStart w:id="282" w:name="_Toc150509279"/>
      <w:r/>
      <w:bookmarkStart w:id="283" w:name="_Toc142311030"/>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bookmarkStart w:id="285" w:name="_Toc142311032"/>
      <w:r/>
      <w:bookmarkStart w:id="286" w:name="_Toc164608644"/>
      <w:r/>
      <w:bookmarkStart w:id="287" w:name="_Toc127151731"/>
      <w:r/>
      <w:bookmarkStart w:id="288" w:name="_Toc520356155"/>
      <w:r/>
      <w:bookmarkStart w:id="289" w:name="_Toc150509281"/>
      <w:r/>
      <w:bookmarkStart w:id="290" w:name="_Toc195842895"/>
      <w:r/>
      <w:bookmarkStart w:id="291" w:name="_Toc127161444"/>
      <w:r/>
      <w:bookmarkStart w:id="292" w:name="_Toc127151530"/>
      <w:r/>
      <w:bookmarkStart w:id="293" w:name="_Toc151193844"/>
      <w:r/>
      <w:bookmarkStart w:id="294" w:name="_Toc151193918"/>
      <w:r/>
      <w:bookmarkStart w:id="295" w:name="_Toc151193628"/>
      <w:r/>
      <w:bookmarkStart w:id="296" w:name="_Toc151193700"/>
      <w:r/>
      <w:bookmarkStart w:id="297" w:name="_Toc164229225"/>
      <w:r/>
      <w:bookmarkStart w:id="298" w:name="_Toc164608799"/>
      <w:r/>
      <w:bookmarkStart w:id="299" w:name="_Toc150774735"/>
      <w:r/>
      <w:bookmarkStart w:id="300" w:name="_Toc150480768"/>
      <w:r/>
      <w:bookmarkStart w:id="301" w:name="_Toc151190157"/>
      <w:r/>
      <w:bookmarkStart w:id="302" w:name="_Toc164229371"/>
      <w:r/>
      <w:bookmarkStart w:id="303" w:name="_Toc149720823"/>
      <w:r/>
      <w:bookmarkStart w:id="304" w:name="_Toc150774630"/>
      <w:r/>
      <w:bookmarkStart w:id="305" w:name="_Toc164351624"/>
      <w:r/>
      <w:bookmarkStart w:id="306" w:name="_Toc151193772"/>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1067"/>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1067"/>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1067"/>
        <w:numPr>
          <w:ilvl w:val="0"/>
          <w:numId w:val="0"/>
        </w:numPr>
        <w:ind w:firstLine="422"/>
        <w:spacing w:line="360" w:lineRule="auto"/>
        <w:rPr>
          <w:rFonts w:hint="eastAsia" w:ascii="宋体" w:hAnsi="宋体" w:cs="宋体"/>
          <w:color w:val="000000"/>
          <w:szCs w:val="21"/>
          <w:highlight w:val="none"/>
        </w:rPr>
      </w:pPr>
      <w:r>
        <w:rPr>
          <w:rFonts w:hint="eastAsia" w:ascii="宋体" w:hAnsi="宋体" w:eastAsia="宋体" w:cs="宋体"/>
          <w:b/>
          <w:bCs/>
          <w:sz w:val="21"/>
          <w:szCs w:val="21"/>
          <w:highlight w:val="none"/>
          <w:lang w:val="en-US" w:eastAsia="zh-CN"/>
        </w:rPr>
        <w:t xml:space="preserve">11.2.3参加投标</w:t>
      </w:r>
      <w:r>
        <w:rPr>
          <w:rFonts w:hint="eastAsia" w:ascii="宋体" w:hAnsi="宋体" w:eastAsia="宋体" w:cs="宋体"/>
          <w:b/>
          <w:bCs/>
          <w:color w:val="000000"/>
          <w:sz w:val="21"/>
          <w:szCs w:val="21"/>
          <w:highlight w:val="none"/>
          <w:lang w:val="en-US" w:eastAsia="zh-CN"/>
        </w:rPr>
        <w:t xml:space="preserve">的供应商应自行承担所有与参加投标有关的费用（包含代理费用）。无论最终中标结果如何，采购代理机构在任何情况下均无义务和责任承担这些费用。</w:t>
      </w:r>
      <w:r>
        <w:rPr>
          <w:rFonts w:hint="eastAsia" w:ascii="宋体" w:hAnsi="宋体" w:cs="宋体"/>
          <w:color w:val="000000"/>
          <w:szCs w:val="21"/>
          <w:highlight w:val="none"/>
        </w:rPr>
      </w:r>
      <w:r/>
    </w:p>
    <w:p>
      <w:pPr>
        <w:pStyle w:val="1067"/>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11.2.</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本项目采用</w:t>
      </w:r>
      <w:r>
        <w:rPr>
          <w:rFonts w:hint="eastAsia" w:ascii="宋体" w:hAnsi="宋体" w:cs="宋体"/>
          <w:b/>
          <w:bCs/>
          <w:color w:val="000000"/>
          <w:szCs w:val="21"/>
          <w:highlight w:val="none"/>
          <w:u w:val="single"/>
        </w:rPr>
        <w:t xml:space="preserve">固定总价</w:t>
      </w:r>
      <w:r>
        <w:rPr>
          <w:rFonts w:hint="eastAsia" w:ascii="宋体" w:hAnsi="宋体" w:cs="宋体"/>
          <w:b/>
          <w:bCs/>
          <w:color w:val="000000"/>
          <w:szCs w:val="21"/>
          <w:highlight w:val="none"/>
        </w:rPr>
        <w:t xml:space="preserve">报价，投标报价不得超过最高限价，否则视作未实质性响应招标文件。</w:t>
      </w:r>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07" w:name="_Toc226309775"/>
      <w:r/>
      <w:bookmarkStart w:id="308" w:name="_Toc151193773"/>
      <w:r/>
      <w:bookmarkStart w:id="309" w:name="_Ref467306513"/>
      <w:r/>
      <w:bookmarkStart w:id="310" w:name="_Toc164608800"/>
      <w:r/>
      <w:bookmarkStart w:id="311" w:name="_Toc226965804"/>
      <w:r/>
      <w:bookmarkStart w:id="312" w:name="_Toc150480769"/>
      <w:r/>
      <w:bookmarkStart w:id="313" w:name="_Toc151193629"/>
      <w:r/>
      <w:bookmarkStart w:id="314" w:name="_Toc142311033"/>
      <w:r/>
      <w:bookmarkStart w:id="315" w:name="_Toc149720824"/>
      <w:r/>
      <w:bookmarkStart w:id="316" w:name="_Toc150774631"/>
      <w:r/>
      <w:bookmarkStart w:id="317" w:name="_Toc226965721"/>
      <w:r/>
      <w:bookmarkStart w:id="318" w:name="_Toc265228369"/>
      <w:r/>
      <w:bookmarkStart w:id="319" w:name="_Toc305158799"/>
      <w:r/>
      <w:bookmarkStart w:id="320" w:name="_Toc164229226"/>
      <w:r/>
      <w:bookmarkStart w:id="321" w:name="_Toc226337227"/>
      <w:r/>
      <w:bookmarkStart w:id="322" w:name="_Toc164608645"/>
      <w:r/>
      <w:bookmarkStart w:id="323" w:name="_Toc127151531"/>
      <w:r/>
      <w:bookmarkStart w:id="324" w:name="_Toc151193701"/>
      <w:r/>
      <w:bookmarkStart w:id="325" w:name="_Toc264969221"/>
      <w:r/>
      <w:bookmarkStart w:id="326" w:name="_Toc164351625"/>
      <w:r/>
      <w:bookmarkStart w:id="327" w:name="_Toc195842896"/>
      <w:r/>
      <w:bookmarkStart w:id="328" w:name="_Toc164229372"/>
      <w:r/>
      <w:bookmarkStart w:id="329" w:name="_Toc151190158"/>
      <w:r/>
      <w:bookmarkStart w:id="330" w:name="_Toc150774736"/>
      <w:r/>
      <w:bookmarkStart w:id="331" w:name="_Toc127151732"/>
      <w:r/>
      <w:bookmarkStart w:id="332" w:name="_Toc151193919"/>
      <w:r/>
      <w:bookmarkStart w:id="333" w:name="_Toc520356156"/>
      <w:r/>
      <w:bookmarkStart w:id="334" w:name="_Toc151193845"/>
      <w:r/>
      <w:bookmarkStart w:id="335" w:name="_Toc127161445"/>
      <w:r/>
      <w:bookmarkStart w:id="336" w:name="_Toc150509282"/>
      <w:r/>
      <w:bookmarkStart w:id="337" w:name="_Toc305158873"/>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1067"/>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1067"/>
        <w:ind w:left="357"/>
        <w:spacing w:line="360" w:lineRule="auto"/>
        <w:tabs>
          <w:tab w:val="left" w:pos="360" w:leader="none"/>
        </w:tabs>
        <w:rPr>
          <w:rFonts w:hint="eastAsia" w:ascii="宋体" w:hAnsi="宋体" w:cs="宋体"/>
          <w:b/>
          <w:bCs/>
          <w:color w:val="000000"/>
          <w:highlight w:val="none"/>
        </w:rPr>
        <w:outlineLvl w:val="1"/>
      </w:pPr>
      <w:r>
        <w:rPr>
          <w:rFonts w:hint="eastAsia" w:ascii="宋体" w:hAnsi="宋体" w:cs="宋体"/>
          <w:b/>
          <w:bCs/>
          <w:color w:val="000000"/>
          <w:szCs w:val="21"/>
          <w:highlight w:val="none"/>
        </w:rPr>
        <w:t xml:space="preserve">12.2</w:t>
      </w:r>
      <w:r>
        <w:rPr>
          <w:rFonts w:hint="eastAsia" w:ascii="宋体" w:hAnsi="宋体" w:cs="宋体"/>
          <w:b/>
          <w:bCs/>
          <w:color w:val="000000"/>
          <w:highlight w:val="none"/>
        </w:rPr>
        <w:t xml:space="preserve">中标人须在合同签订之日起5日内向采购人提供金额为</w:t>
      </w:r>
      <w:r>
        <w:rPr>
          <w:rFonts w:hint="eastAsia" w:ascii="宋体" w:hAnsi="宋体" w:cs="宋体"/>
          <w:b/>
          <w:bCs/>
          <w:color w:val="000000"/>
          <w:highlight w:val="none"/>
          <w:u w:val="single"/>
        </w:rPr>
        <w:t xml:space="preserve">  / </w:t>
      </w:r>
      <w:r>
        <w:rPr>
          <w:rFonts w:hint="eastAsia" w:ascii="宋体" w:hAnsi="宋体" w:cs="宋体"/>
          <w:b/>
          <w:bCs/>
          <w:color w:val="000000"/>
          <w:highlight w:val="none"/>
        </w:rPr>
        <w:t xml:space="preserve">的履约保证金或保函。</w:t>
      </w:r>
      <w:r>
        <w:rPr>
          <w:rFonts w:hint="eastAsia" w:ascii="宋体" w:hAnsi="宋体" w:cs="宋体"/>
          <w:b/>
          <w:bCs/>
          <w:color w:val="000000"/>
          <w:highlight w:val="none"/>
        </w:rPr>
      </w:r>
      <w:r/>
    </w:p>
    <w:p>
      <w:pPr>
        <w:pStyle w:val="1067"/>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38" w:name="_Toc150774632"/>
      <w:r/>
      <w:bookmarkStart w:id="339" w:name="_Toc150774737"/>
      <w:r/>
      <w:bookmarkStart w:id="340" w:name="_Toc164608646"/>
      <w:r/>
      <w:bookmarkStart w:id="341" w:name="_Toc150509283"/>
      <w:r/>
      <w:bookmarkStart w:id="342" w:name="_Toc151193702"/>
      <w:r/>
      <w:bookmarkStart w:id="343" w:name="_Toc264969222"/>
      <w:r/>
      <w:bookmarkStart w:id="344" w:name="_Toc164608801"/>
      <w:r/>
      <w:bookmarkStart w:id="345" w:name="_Toc151190159"/>
      <w:r/>
      <w:bookmarkStart w:id="346" w:name="_Toc151193920"/>
      <w:r/>
      <w:bookmarkStart w:id="347" w:name="_Toc164229373"/>
      <w:r/>
      <w:bookmarkStart w:id="348" w:name="_Toc195842897"/>
      <w:r/>
      <w:bookmarkStart w:id="349" w:name="_Toc520356157"/>
      <w:r/>
      <w:bookmarkStart w:id="350" w:name="_Toc127151532"/>
      <w:r/>
      <w:bookmarkStart w:id="351" w:name="_Toc127151733"/>
      <w:r/>
      <w:bookmarkStart w:id="352" w:name="_Toc151193774"/>
      <w:r/>
      <w:bookmarkStart w:id="353" w:name="_Toc265228370"/>
      <w:r/>
      <w:bookmarkStart w:id="354" w:name="_Toc151193630"/>
      <w:r/>
      <w:bookmarkStart w:id="355" w:name="_Toc151193846"/>
      <w:r/>
      <w:bookmarkStart w:id="356" w:name="_Toc226309776"/>
      <w:r/>
      <w:bookmarkStart w:id="357" w:name="_Toc127161446"/>
      <w:r/>
      <w:bookmarkStart w:id="358" w:name="_Toc149720825"/>
      <w:r/>
      <w:bookmarkStart w:id="359" w:name="_Toc226337228"/>
      <w:r/>
      <w:bookmarkStart w:id="360" w:name="_Toc150480770"/>
      <w:r/>
      <w:bookmarkStart w:id="361" w:name="_Toc142311034"/>
      <w:r/>
      <w:bookmarkStart w:id="362" w:name="_Toc226965722"/>
      <w:r/>
      <w:bookmarkStart w:id="363" w:name="_Toc164229227"/>
      <w:r/>
      <w:bookmarkStart w:id="364" w:name="_Toc305158800"/>
      <w:r/>
      <w:bookmarkStart w:id="365" w:name="_Toc226965805"/>
      <w:r/>
      <w:bookmarkStart w:id="366" w:name="_Toc164351626"/>
      <w:r/>
      <w:bookmarkStart w:id="367" w:name="_Toc305158874"/>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368" w:name="_Toc195842898"/>
      <w:r/>
      <w:bookmarkStart w:id="369" w:name="_Toc226965806"/>
      <w:r/>
      <w:bookmarkStart w:id="370" w:name="_Toc151193703"/>
      <w:r/>
      <w:bookmarkStart w:id="371" w:name="_Toc226309777"/>
      <w:r/>
      <w:bookmarkStart w:id="372" w:name="_Toc142311035"/>
      <w:r/>
      <w:bookmarkStart w:id="373" w:name="_Toc150774738"/>
      <w:r/>
      <w:bookmarkStart w:id="374" w:name="_Toc226337229"/>
      <w:r/>
      <w:bookmarkStart w:id="375" w:name="_Toc149720826"/>
      <w:r/>
      <w:bookmarkStart w:id="376" w:name="_Toc265228371"/>
      <w:r/>
      <w:bookmarkStart w:id="377" w:name="_Toc164229228"/>
      <w:r/>
      <w:bookmarkStart w:id="378" w:name="_Toc127161447"/>
      <w:r/>
      <w:bookmarkStart w:id="379" w:name="_Toc151193631"/>
      <w:r/>
      <w:bookmarkStart w:id="380" w:name="_Toc305158801"/>
      <w:r/>
      <w:bookmarkStart w:id="381" w:name="_Toc164608802"/>
      <w:r/>
      <w:bookmarkStart w:id="382" w:name="_Toc164608647"/>
      <w:r/>
      <w:bookmarkStart w:id="383" w:name="_Toc150509284"/>
      <w:r/>
      <w:bookmarkStart w:id="384" w:name="_Toc150774633"/>
      <w:r/>
      <w:bookmarkStart w:id="385" w:name="_Toc151193775"/>
      <w:r/>
      <w:bookmarkStart w:id="386" w:name="_Toc164351627"/>
      <w:r/>
      <w:bookmarkStart w:id="387" w:name="_Toc226965723"/>
      <w:r/>
      <w:bookmarkStart w:id="388" w:name="_Toc264969223"/>
      <w:r/>
      <w:bookmarkStart w:id="389" w:name="_Toc520356158"/>
      <w:r/>
      <w:bookmarkStart w:id="390" w:name="_Toc305158875"/>
      <w:r/>
      <w:bookmarkStart w:id="391" w:name="_Toc151193847"/>
      <w:r/>
      <w:bookmarkStart w:id="392" w:name="_Toc127151533"/>
      <w:r/>
      <w:bookmarkStart w:id="393" w:name="_Toc150480771"/>
      <w:r/>
      <w:bookmarkStart w:id="394" w:name="_Toc151193921"/>
      <w:r/>
      <w:bookmarkStart w:id="395" w:name="_Toc151190160"/>
      <w:r/>
      <w:bookmarkStart w:id="396" w:name="_Toc164229374"/>
      <w:r/>
      <w:bookmarkStart w:id="397" w:name="_Toc127151734"/>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bookmarkStart w:id="398" w:name="_Toc150509285"/>
      <w:r/>
      <w:bookmarkStart w:id="399" w:name="_Toc305158876"/>
      <w:r/>
      <w:bookmarkStart w:id="400" w:name="_Toc150774739"/>
      <w:r/>
      <w:bookmarkStart w:id="401" w:name="_Toc150480772"/>
      <w:r/>
      <w:bookmarkStart w:id="402" w:name="_Toc226965807"/>
      <w:r/>
      <w:bookmarkStart w:id="403" w:name="_Toc151193704"/>
      <w:r/>
      <w:bookmarkStart w:id="404" w:name="_Toc226965724"/>
      <w:r/>
      <w:bookmarkStart w:id="405" w:name="_Toc226337230"/>
      <w:r/>
      <w:bookmarkStart w:id="406" w:name="_Toc150774634"/>
      <w:r/>
      <w:bookmarkStart w:id="407" w:name="_Toc151190161"/>
      <w:r/>
      <w:bookmarkStart w:id="408" w:name="_Toc151193848"/>
      <w:r/>
      <w:bookmarkStart w:id="409" w:name="_Toc305158802"/>
      <w:r/>
      <w:bookmarkStart w:id="410" w:name="_Toc151193922"/>
      <w:r/>
      <w:bookmarkStart w:id="411" w:name="_Toc226309778"/>
      <w:r/>
      <w:bookmarkStart w:id="412" w:name="_Toc127151534"/>
      <w:r/>
      <w:bookmarkStart w:id="413" w:name="_Toc264969224"/>
      <w:r/>
      <w:bookmarkStart w:id="414" w:name="_Toc142311036"/>
      <w:r/>
      <w:bookmarkStart w:id="415" w:name="_Toc265228372"/>
      <w:r/>
      <w:bookmarkStart w:id="416" w:name="_Toc151193776"/>
      <w:r/>
      <w:bookmarkStart w:id="417" w:name="_Toc195842899"/>
      <w:r/>
      <w:bookmarkStart w:id="418" w:name="_Toc520356159"/>
      <w:r/>
      <w:bookmarkStart w:id="419" w:name="_Toc151193632"/>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1067"/>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106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bookmarkStart w:id="420" w:name="_Toc150480773"/>
      <w:r/>
      <w:bookmarkStart w:id="421" w:name="_Toc150774635"/>
      <w:r/>
      <w:bookmarkStart w:id="422" w:name="_Toc127161449"/>
      <w:r/>
      <w:bookmarkStart w:id="423" w:name="_Toc164608649"/>
      <w:r/>
      <w:bookmarkStart w:id="424" w:name="_Toc164351629"/>
      <w:r/>
      <w:bookmarkStart w:id="425" w:name="_Toc127151535"/>
      <w:r/>
      <w:bookmarkStart w:id="426" w:name="_Toc264969225"/>
      <w:r/>
      <w:bookmarkStart w:id="427" w:name="_Toc164229376"/>
      <w:r/>
      <w:bookmarkStart w:id="428" w:name="_Toc305158877"/>
      <w:r/>
      <w:bookmarkStart w:id="429" w:name="_Toc149720828"/>
      <w:r/>
      <w:bookmarkStart w:id="430" w:name="_Toc151193777"/>
      <w:r/>
      <w:bookmarkStart w:id="431" w:name="_Toc150509286"/>
      <w:r/>
      <w:bookmarkStart w:id="432" w:name="_Toc195842900"/>
      <w:r/>
      <w:bookmarkStart w:id="433" w:name="_Toc151190162"/>
      <w:r/>
      <w:bookmarkStart w:id="434" w:name="_Toc164229230"/>
      <w:r/>
      <w:bookmarkStart w:id="435" w:name="_Toc520356160"/>
      <w:r/>
      <w:bookmarkStart w:id="436" w:name="_Toc265228373"/>
      <w:r/>
      <w:bookmarkStart w:id="437" w:name="_Toc142311037"/>
      <w:r/>
      <w:bookmarkStart w:id="438" w:name="_Toc226965725"/>
      <w:r/>
      <w:bookmarkStart w:id="439" w:name="_Toc226965808"/>
      <w:r/>
      <w:bookmarkStart w:id="440" w:name="_Toc151193923"/>
      <w:r/>
      <w:bookmarkStart w:id="441" w:name="_Toc151193705"/>
      <w:r/>
      <w:bookmarkStart w:id="442" w:name="_Toc151193849"/>
      <w:r/>
      <w:bookmarkStart w:id="443" w:name="_Toc127151736"/>
      <w:r/>
      <w:bookmarkStart w:id="444" w:name="_Toc305158803"/>
      <w:r/>
      <w:bookmarkStart w:id="445" w:name="_Toc151193633"/>
      <w:r/>
      <w:bookmarkStart w:id="446" w:name="_Toc150774740"/>
      <w:r/>
      <w:bookmarkStart w:id="447" w:name="_Toc164608804"/>
      <w:r/>
      <w:bookmarkStart w:id="448" w:name="_Toc226309779"/>
      <w:r/>
      <w:bookmarkStart w:id="449" w:name="_Toc226337231"/>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1067"/>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1067"/>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1067"/>
        <w:spacing w:line="360" w:lineRule="auto"/>
        <w:tabs>
          <w:tab w:val="left" w:pos="360" w:leader="none"/>
        </w:tabs>
        <w:rPr>
          <w:b/>
          <w:bCs/>
          <w:color w:val="000000"/>
          <w:szCs w:val="21"/>
          <w:highlight w:val="none"/>
        </w:rPr>
        <w:outlineLvl w:val="1"/>
      </w:pPr>
      <w:r/>
      <w:bookmarkStart w:id="450" w:name="_Toc151193778"/>
      <w:r/>
      <w:bookmarkStart w:id="451" w:name="_Toc150774636"/>
      <w:r/>
      <w:bookmarkStart w:id="452" w:name="_Toc226965726"/>
      <w:r/>
      <w:bookmarkStart w:id="453" w:name="_Toc151193850"/>
      <w:r/>
      <w:bookmarkStart w:id="454" w:name="_Toc150480774"/>
      <w:r/>
      <w:bookmarkStart w:id="455" w:name="_Toc164351630"/>
      <w:r/>
      <w:bookmarkStart w:id="456" w:name="_Toc226337232"/>
      <w:r/>
      <w:bookmarkStart w:id="457" w:name="_Toc127151536"/>
      <w:r/>
      <w:bookmarkStart w:id="458" w:name="_Toc195842901"/>
      <w:r/>
      <w:bookmarkStart w:id="459" w:name="_Toc305158878"/>
      <w:r/>
      <w:bookmarkStart w:id="460" w:name="_Toc305158804"/>
      <w:r/>
      <w:bookmarkStart w:id="461" w:name="_Toc149720829"/>
      <w:r/>
      <w:bookmarkStart w:id="462" w:name="_Toc164608650"/>
      <w:r/>
      <w:bookmarkStart w:id="463" w:name="_Toc226965809"/>
      <w:r/>
      <w:bookmarkStart w:id="464" w:name="_Toc265228374"/>
      <w:r/>
      <w:bookmarkStart w:id="465" w:name="_Toc151193634"/>
      <w:r/>
      <w:bookmarkStart w:id="466" w:name="_Toc150774741"/>
      <w:r/>
      <w:bookmarkStart w:id="467" w:name="_Toc150509287"/>
      <w:r/>
      <w:bookmarkStart w:id="468" w:name="_Toc151190163"/>
      <w:r/>
      <w:bookmarkStart w:id="469" w:name="_Toc151193706"/>
      <w:r/>
      <w:bookmarkStart w:id="470" w:name="_Toc264969226"/>
      <w:r/>
      <w:bookmarkStart w:id="471" w:name="_Toc520356161"/>
      <w:r/>
      <w:bookmarkStart w:id="472" w:name="_Toc164229377"/>
      <w:r/>
      <w:bookmarkStart w:id="473" w:name="_Toc164608805"/>
      <w:r/>
      <w:bookmarkStart w:id="474" w:name="_Toc142311038"/>
      <w:r/>
      <w:bookmarkStart w:id="475" w:name="_Toc226309780"/>
      <w:r/>
      <w:bookmarkStart w:id="476" w:name="_Toc151193924"/>
      <w:r/>
      <w:bookmarkStart w:id="477" w:name="_Toc127151737"/>
      <w:r/>
      <w:bookmarkStart w:id="478" w:name="_Toc164229231"/>
      <w:r/>
      <w:bookmarkStart w:id="479" w:name="_Toc127161450"/>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1067"/>
        <w:ind w:firstLine="420"/>
        <w:spacing w:line="360" w:lineRule="auto"/>
        <w:tabs>
          <w:tab w:val="left" w:pos="360" w:leader="none"/>
        </w:tabs>
        <w:rPr>
          <w:rFonts w:hint="eastAsia" w:ascii="宋体" w:hAnsi="宋体" w:cs="宋体"/>
          <w:color w:val="000000"/>
          <w:szCs w:val="21"/>
          <w:highlight w:val="none"/>
        </w:rPr>
        <w:outlineLvl w:val="1"/>
      </w:pPr>
      <w:r/>
      <w:bookmarkStart w:id="480" w:name="_Toc127161451"/>
      <w:r/>
      <w:bookmarkStart w:id="481" w:name="_Toc150774742"/>
      <w:r/>
      <w:bookmarkStart w:id="482" w:name="_Toc150774637"/>
      <w:r/>
      <w:bookmarkStart w:id="483" w:name="_Toc164351631"/>
      <w:r/>
      <w:bookmarkStart w:id="484" w:name="_Toc150480775"/>
      <w:r/>
      <w:bookmarkStart w:id="485" w:name="_Toc151193635"/>
      <w:r/>
      <w:bookmarkStart w:id="486" w:name="_Toc265228375"/>
      <w:r/>
      <w:bookmarkStart w:id="487" w:name="_Toc142311039"/>
      <w:r/>
      <w:bookmarkStart w:id="488" w:name="_Toc151193779"/>
      <w:r/>
      <w:bookmarkStart w:id="489" w:name="_Toc226965727"/>
      <w:r/>
      <w:bookmarkStart w:id="490" w:name="_Toc151193851"/>
      <w:r/>
      <w:bookmarkStart w:id="491" w:name="_Toc305158805"/>
      <w:r/>
      <w:bookmarkStart w:id="492" w:name="_Toc305158879"/>
      <w:r/>
      <w:bookmarkStart w:id="493" w:name="_Toc264969227"/>
      <w:r/>
      <w:bookmarkStart w:id="494" w:name="_Toc127151537"/>
      <w:r/>
      <w:bookmarkStart w:id="495" w:name="_Toc151190164"/>
      <w:r/>
      <w:bookmarkStart w:id="496" w:name="_Toc151193707"/>
      <w:r/>
      <w:bookmarkStart w:id="497" w:name="_Toc164608806"/>
      <w:r/>
      <w:bookmarkStart w:id="498" w:name="_Toc127151738"/>
      <w:r/>
      <w:bookmarkStart w:id="499" w:name="_Toc150509288"/>
      <w:r/>
      <w:bookmarkStart w:id="500" w:name="_Toc226337233"/>
      <w:r/>
      <w:bookmarkStart w:id="501" w:name="_Toc195842902"/>
      <w:r/>
      <w:bookmarkStart w:id="502" w:name="_Toc164229378"/>
      <w:r/>
      <w:bookmarkStart w:id="503" w:name="_Toc164608651"/>
      <w:r/>
      <w:bookmarkStart w:id="504" w:name="_Toc151193925"/>
      <w:r/>
      <w:bookmarkStart w:id="505" w:name="_Toc164229232"/>
      <w:r/>
      <w:bookmarkStart w:id="506" w:name="_Toc226965810"/>
      <w:r/>
      <w:bookmarkStart w:id="507" w:name="_Toc149720830"/>
      <w:r/>
      <w:bookmarkStart w:id="508" w:name="_Toc226309781"/>
      <w:r/>
      <w:bookmarkStart w:id="509" w:name="_Toc520356162"/>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1067"/>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106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1069"/>
        <w:spacing w:before="0" w:line="360" w:lineRule="auto"/>
        <w:rPr>
          <w:rFonts w:ascii="Times New Roman" w:hAnsi="Times New Roman" w:eastAsia="宋体"/>
          <w:color w:val="000000"/>
          <w:sz w:val="28"/>
          <w:highlight w:val="none"/>
        </w:rPr>
      </w:pPr>
      <w:r/>
      <w:bookmarkStart w:id="510" w:name="_Toc151193926"/>
      <w:r/>
      <w:bookmarkStart w:id="511" w:name="_Toc226337234"/>
      <w:r/>
      <w:bookmarkStart w:id="512" w:name="_Toc226965728"/>
      <w:r/>
      <w:bookmarkStart w:id="513" w:name="_Toc150480776"/>
      <w:r/>
      <w:bookmarkStart w:id="514" w:name="_Toc195842903"/>
      <w:r/>
      <w:bookmarkStart w:id="515" w:name="_Toc226309782"/>
      <w:r/>
      <w:bookmarkStart w:id="516" w:name="_Toc264969228"/>
      <w:r/>
      <w:bookmarkStart w:id="517" w:name="_Toc151193636"/>
      <w:r/>
      <w:bookmarkStart w:id="518" w:name="_Toc151193708"/>
      <w:r/>
      <w:bookmarkStart w:id="519" w:name="_Toc142311040"/>
      <w:r/>
      <w:bookmarkStart w:id="520" w:name="_Toc151190165"/>
      <w:r/>
      <w:bookmarkStart w:id="521" w:name="_Toc150509289"/>
      <w:r/>
      <w:bookmarkStart w:id="522" w:name="_Toc150774638"/>
      <w:r/>
      <w:bookmarkStart w:id="523" w:name="_Toc520356163"/>
      <w:r/>
      <w:bookmarkStart w:id="524" w:name="_Toc305158880"/>
      <w:r/>
      <w:bookmarkStart w:id="525" w:name="_Toc151193780"/>
      <w:r/>
      <w:bookmarkStart w:id="526" w:name="_Toc127151538"/>
      <w:r/>
      <w:bookmarkStart w:id="527" w:name="_Toc305158806"/>
      <w:r/>
      <w:bookmarkStart w:id="528" w:name="_Toc151193852"/>
      <w:r/>
      <w:bookmarkStart w:id="529" w:name="_Toc226965811"/>
      <w:r/>
      <w:bookmarkStart w:id="530" w:name="_Toc265228376"/>
      <w:r/>
      <w:bookmarkStart w:id="531" w:name="_Toc150774743"/>
      <w:r>
        <w:rPr>
          <w:rFonts w:ascii="Times New Roman" w:hAnsi="Times New Roman" w:eastAsia="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highlight w:val="none"/>
        </w:rPr>
      </w:r>
      <w:r/>
    </w:p>
    <w:p>
      <w:pPr>
        <w:pStyle w:val="1067"/>
        <w:spacing w:line="360" w:lineRule="auto"/>
        <w:rPr>
          <w:rFonts w:hint="eastAsia" w:ascii="宋体" w:hAnsi="宋体" w:cs="宋体"/>
          <w:b/>
          <w:bCs/>
          <w:color w:val="000000"/>
          <w:szCs w:val="21"/>
          <w:highlight w:val="none"/>
        </w:rPr>
      </w:pPr>
      <w:r/>
      <w:bookmarkStart w:id="532" w:name="_Toc520356169"/>
      <w:r>
        <w:rPr>
          <w:rFonts w:hint="eastAsia" w:ascii="宋体" w:hAnsi="宋体" w:cs="宋体"/>
          <w:b/>
          <w:bCs/>
          <w:color w:val="000000"/>
          <w:szCs w:val="21"/>
          <w:highlight w:val="none"/>
        </w:rPr>
        <w:t xml:space="preserve">18.开标</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18.1采购人或采购代理机构将按招标文件的规定，在投标截止时间的同一时间和招标文件预先确定的地点组织开标。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18.5投标人不足3家的，不予开标。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1)平台系统发生故障而无法登录访问的；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2)平台系统应用或数据库出现错误，不能进行正常操作的；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3)平台系统发现严重安全漏洞，有潜在泄密危险的；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4)病毒发作导致平台系统不能进行正常操作的；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5)其他无法保证本次采购活动的公平、公正和安全的情况。</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19.资格审查</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19.1见第三章《资格审查》。</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20.评标委员会</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20.1评标委员会根据政府采购有关规定和本次招标采购项目的特点进行组建，并负责具体评标事务，独立履行职责。</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21.评标程序、评标方法和评标标准</w:t>
      </w:r>
      <w:r>
        <w:rPr>
          <w:rFonts w:hint="eastAsia" w:ascii="宋体" w:hAnsi="宋体" w:cs="宋体"/>
          <w:b/>
          <w:bCs/>
          <w:color w:val="000000"/>
          <w:szCs w:val="21"/>
          <w:highlight w:val="none"/>
        </w:rPr>
      </w:r>
      <w:r/>
    </w:p>
    <w:p>
      <w:pPr>
        <w:pStyle w:val="1067"/>
        <w:ind w:firstLine="420"/>
        <w:spacing w:line="360" w:lineRule="auto"/>
        <w:rPr>
          <w:color w:val="000000"/>
          <w:sz w:val="24"/>
          <w:highlight w:val="none"/>
        </w:rPr>
      </w:pPr>
      <w:r>
        <w:rPr>
          <w:rFonts w:hint="eastAsia" w:ascii="宋体" w:hAnsi="宋体" w:cs="宋体"/>
          <w:color w:val="000000"/>
          <w:szCs w:val="21"/>
          <w:highlight w:val="none"/>
        </w:rPr>
        <w:t xml:space="preserve">21.1见第四章《评标程序、评标方法和评标标准》。</w:t>
      </w:r>
      <w:r>
        <w:rPr>
          <w:color w:val="000000"/>
          <w:sz w:val="24"/>
          <w:highlight w:val="none"/>
        </w:rPr>
      </w:r>
      <w:r/>
    </w:p>
    <w:p>
      <w:pPr>
        <w:pStyle w:val="1069"/>
        <w:spacing w:before="0" w:line="360" w:lineRule="auto"/>
        <w:rPr>
          <w:rFonts w:ascii="Times New Roman" w:hAnsi="Times New Roman" w:eastAsia="宋体"/>
          <w:color w:val="000000"/>
          <w:sz w:val="28"/>
          <w:highlight w:val="none"/>
        </w:rPr>
      </w:pPr>
      <w:r/>
      <w:bookmarkStart w:id="533" w:name="_Toc195842910"/>
      <w:r/>
      <w:bookmarkStart w:id="534" w:name="_Toc226309789"/>
      <w:r/>
      <w:bookmarkStart w:id="535" w:name="_Toc151193643"/>
      <w:r/>
      <w:bookmarkStart w:id="536" w:name="_Toc150774645"/>
      <w:r/>
      <w:bookmarkStart w:id="537" w:name="_Toc226337241"/>
      <w:r/>
      <w:bookmarkStart w:id="538" w:name="_Toc151190172"/>
      <w:r/>
      <w:bookmarkStart w:id="539" w:name="_Toc226965818"/>
      <w:r/>
      <w:bookmarkStart w:id="540" w:name="_Toc151193859"/>
      <w:r/>
      <w:bookmarkStart w:id="541" w:name="_Toc151193787"/>
      <w:r/>
      <w:bookmarkStart w:id="542" w:name="_Toc226965735"/>
      <w:r/>
      <w:bookmarkStart w:id="543" w:name="_Toc150774750"/>
      <w:r/>
      <w:bookmarkStart w:id="544" w:name="_Toc151193933"/>
      <w:r/>
      <w:bookmarkStart w:id="545" w:name="_Toc265228383"/>
      <w:r/>
      <w:bookmarkStart w:id="546" w:name="_Toc150480783"/>
      <w:r/>
      <w:bookmarkStart w:id="547" w:name="_Toc150509296"/>
      <w:r/>
      <w:bookmarkStart w:id="548" w:name="_Toc264969235"/>
      <w:r/>
      <w:bookmarkStart w:id="549" w:name="_Toc151193715"/>
      <w:r/>
      <w:bookmarkStart w:id="550" w:name="_Toc142311047"/>
      <w:r/>
      <w:bookmarkStart w:id="551" w:name="_Toc127151545"/>
      <w:r/>
      <w:bookmarkStart w:id="552" w:name="_Toc305158887"/>
      <w:r/>
      <w:bookmarkStart w:id="553" w:name="_Toc305158813"/>
      <w:r>
        <w:rPr>
          <w:rFonts w:ascii="Times New Roman" w:hAnsi="Times New Roman" w:eastAsia="宋体"/>
          <w:color w:val="000000"/>
          <w:sz w:val="28"/>
          <w:highlight w:val="none"/>
        </w:rPr>
        <w:t xml:space="preserve">六   </w:t>
      </w:r>
      <w:bookmarkEnd w:id="532"/>
      <w:r>
        <w:rPr>
          <w:rFonts w:ascii="Times New Roman" w:hAnsi="Times New Roman" w:eastAsia="宋体"/>
          <w:color w:val="000000"/>
          <w:sz w:val="28"/>
          <w:highlight w:val="none"/>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50774647"/>
      <w:r/>
      <w:bookmarkStart w:id="555" w:name="_Toc127161461"/>
      <w:r/>
      <w:bookmarkStart w:id="556" w:name="_Toc264969237"/>
      <w:r/>
      <w:bookmarkStart w:id="557" w:name="_Toc150774752"/>
      <w:r/>
      <w:bookmarkStart w:id="558" w:name="_Toc226337243"/>
      <w:r/>
      <w:bookmarkStart w:id="559" w:name="_Toc151193935"/>
      <w:r/>
      <w:bookmarkStart w:id="560" w:name="_Toc195842912"/>
      <w:r/>
      <w:bookmarkStart w:id="561" w:name="_Toc149720840"/>
      <w:r/>
      <w:bookmarkStart w:id="562" w:name="_Toc127151748"/>
      <w:r/>
      <w:bookmarkStart w:id="563" w:name="_Toc265228385"/>
      <w:r/>
      <w:bookmarkStart w:id="564" w:name="_Toc226965820"/>
      <w:r/>
      <w:bookmarkStart w:id="565" w:name="_Toc151193645"/>
      <w:r/>
      <w:bookmarkStart w:id="566" w:name="_Toc164229242"/>
      <w:r/>
      <w:bookmarkStart w:id="567" w:name="_Toc142311049"/>
      <w:r/>
      <w:bookmarkStart w:id="568" w:name="_Toc164608661"/>
      <w:r/>
      <w:bookmarkStart w:id="569" w:name="_Toc164229388"/>
      <w:r/>
      <w:bookmarkStart w:id="570" w:name="_Toc151193861"/>
      <w:r/>
      <w:bookmarkStart w:id="571" w:name="_Toc150509298"/>
      <w:r/>
      <w:bookmarkStart w:id="572" w:name="_Toc226309791"/>
      <w:r/>
      <w:bookmarkStart w:id="573" w:name="_Toc305158889"/>
      <w:r/>
      <w:bookmarkStart w:id="574" w:name="_Toc151193717"/>
      <w:r/>
      <w:bookmarkStart w:id="575" w:name="_Toc226965737"/>
      <w:r/>
      <w:bookmarkStart w:id="576" w:name="_Toc305158815"/>
      <w:r/>
      <w:bookmarkStart w:id="577" w:name="_Toc164608816"/>
      <w:r/>
      <w:bookmarkStart w:id="578" w:name="_Toc150480785"/>
      <w:r/>
      <w:bookmarkStart w:id="579" w:name="_Toc151193789"/>
      <w:r/>
      <w:bookmarkStart w:id="580" w:name="_Toc164351641"/>
      <w:r/>
      <w:bookmarkStart w:id="581" w:name="_Toc151190174"/>
      <w:r/>
      <w:bookmarkStart w:id="582" w:name="_Toc127151547"/>
      <w:r>
        <w:rPr>
          <w:rFonts w:ascii="Times New Roman" w:hAnsi="Times New Roman" w:eastAsia="宋体"/>
          <w:color w:val="000000"/>
          <w:sz w:val="28"/>
          <w:highlight w:val="none"/>
        </w:rPr>
      </w:r>
      <w:r/>
    </w:p>
    <w:p>
      <w:pPr>
        <w:pStyle w:val="1067"/>
        <w:spacing w:line="360" w:lineRule="auto"/>
        <w:rPr>
          <w:rFonts w:hint="eastAsia" w:ascii="宋体" w:hAnsi="宋体" w:cs="宋体"/>
          <w:b/>
          <w:bCs/>
          <w:color w:val="000000"/>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highlight w:val="none"/>
        </w:rPr>
        <w:t xml:space="preserve">22.确定中标人</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22.1采购人将在评标报告确定的中标候选人名单中按顺序确定中标人，中标候选人并列的，由采购人依法确定。</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23.中标公告与中标通知书</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w:t>
      </w:r>
      <w:r>
        <w:rPr>
          <w:rFonts w:hint="eastAsia" w:ascii="宋体" w:hAnsi="宋体" w:cs="宋体"/>
          <w:color w:val="000000"/>
          <w:szCs w:val="21"/>
          <w:highlight w:val="none"/>
        </w:rPr>
        <w:t xml:space="preserve">采购人从评审报告提出的</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中，按照排序由高到低的原则确定</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。采购人确定</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后</w:t>
      </w:r>
      <w:r>
        <w:rPr>
          <w:rFonts w:hint="eastAsia" w:ascii="宋体" w:hAnsi="宋体" w:cs="宋体"/>
          <w:color w:val="000000"/>
          <w:szCs w:val="21"/>
          <w:highlight w:val="none"/>
        </w:rPr>
        <w:t xml:space="preserve">2个工作日内，代理机构将在</w:t>
      </w:r>
      <w:r>
        <w:rPr>
          <w:rFonts w:hint="eastAsia" w:ascii="宋体" w:hAnsi="宋体" w:cs="宋体"/>
          <w:b/>
          <w:bCs/>
          <w:color w:val="000000"/>
          <w:szCs w:val="21"/>
          <w:highlight w:val="none"/>
        </w:rPr>
        <w:t xml:space="preserve">“江苏省政府采购网”</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“常州市政府采购网”</w:t>
      </w:r>
      <w:r>
        <w:rPr>
          <w:rFonts w:hint="eastAsia" w:ascii="宋体" w:hAnsi="宋体" w:cs="宋体"/>
          <w:color w:val="000000"/>
          <w:szCs w:val="21"/>
          <w:highlight w:val="none"/>
        </w:rPr>
        <w:t xml:space="preserve">公告</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结果，同时向</w:t>
      </w:r>
      <w:r>
        <w:rPr>
          <w:rFonts w:hint="eastAsia" w:ascii="宋体" w:hAnsi="宋体" w:cs="宋体"/>
          <w:color w:val="000000"/>
          <w:szCs w:val="21"/>
          <w:highlight w:val="none"/>
          <w:lang w:val="en-US" w:eastAsia="zh-CN"/>
        </w:rPr>
        <w:t xml:space="preserve">中标人</w:t>
      </w:r>
      <w:r>
        <w:rPr>
          <w:rFonts w:hint="eastAsia" w:ascii="宋体" w:hAnsi="宋体" w:cs="宋体"/>
          <w:color w:val="000000"/>
          <w:szCs w:val="21"/>
          <w:highlight w:val="none"/>
        </w:rPr>
        <w:t xml:space="preserve">发出</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通知书，</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公告期限为1个工作日。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24.废标</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24.1在招标采购中，出现下列情形之一的，应予废标：</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24.1.1符合专业条件的供应商或者对招标文件作实质响应的供应商不足三家的；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24.1.2出现影响采购公正的违法、违规行为的；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24.1.3投标人的报价均超过了采购预算，采购人不能支付的；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24.1.4因重大变故，采购任务取消的。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24.1.5平台系统出现序号18.8的所述情形，情况严重且影响采购活动公平、公正性的。</w:t>
      </w:r>
      <w:r>
        <w:rPr>
          <w:rFonts w:hint="eastAsia" w:ascii="宋体" w:hAnsi="宋体" w:cs="宋体"/>
          <w:color w:val="000000"/>
          <w:szCs w:val="21"/>
          <w:highlight w:val="none"/>
        </w:rPr>
      </w:r>
      <w:r/>
    </w:p>
    <w:p>
      <w:pPr>
        <w:pStyle w:val="1155"/>
        <w:ind w:firstLine="420"/>
        <w:rPr>
          <w:rFonts w:hint="eastAsia" w:ascii="宋体" w:hAnsi="宋体" w:cs="宋体"/>
          <w:color w:val="000000"/>
          <w:szCs w:val="21"/>
          <w:highlight w:val="none"/>
          <w:lang w:val="en-US"/>
        </w:rPr>
      </w:pPr>
      <w:r>
        <w:rPr>
          <w:rFonts w:hint="eastAsia" w:ascii="宋体" w:hAnsi="宋体" w:cs="宋体"/>
          <w:color w:val="000000"/>
          <w:szCs w:val="21"/>
          <w:highlight w:val="none"/>
          <w:lang w:val="en-US"/>
        </w:rPr>
        <w:t xml:space="preserve">24.2废标后，采购人将废标理由通知所有投标人。</w:t>
      </w:r>
      <w:r>
        <w:rPr>
          <w:rFonts w:hint="eastAsia" w:ascii="宋体" w:hAnsi="宋体" w:cs="宋体"/>
          <w:color w:val="000000"/>
          <w:szCs w:val="21"/>
          <w:highlight w:val="none"/>
          <w:lang w:val="en-US"/>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25.签订合同</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25.1中标人、采购人应当自中标通知书发出之日起30日内，按照招标文件和中标人投标文件的规定签订书面合同（</w:t>
      </w:r>
      <w:r>
        <w:rPr>
          <w:rFonts w:hint="eastAsia" w:ascii="宋体" w:hAnsi="宋体" w:cs="宋体"/>
          <w:b/>
          <w:bCs/>
          <w:color w:val="000000"/>
          <w:szCs w:val="21"/>
          <w:highlight w:val="none"/>
        </w:rPr>
        <w:t xml:space="preserve">同时在“苏采云”政府采购一体化平台中签订线上合同</w:t>
      </w:r>
      <w:r>
        <w:rPr>
          <w:rFonts w:hint="eastAsia" w:ascii="宋体" w:hAnsi="宋体" w:cs="宋体"/>
          <w:color w:val="000000"/>
          <w:szCs w:val="21"/>
          <w:highlight w:val="none"/>
        </w:rPr>
        <w:t xml:space="preserve">）。所签订的合同不得对招标文件确定的事项和中标人投标文件作实质性修改。</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25.3联合体中标的，联合体各方应当共同与采购人签订合同，就中标项目向采购人承担连带责任。</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25.4政府采购合同不能转包。</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。中标人就采购项目和分包项目向采购人负责，分包供应商就分包项目承担责任。</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26.询问与质疑</w:t>
      </w:r>
      <w:r>
        <w:rPr>
          <w:rFonts w:hint="eastAsia" w:ascii="宋体" w:hAnsi="宋体" w:cs="宋体"/>
          <w:b/>
          <w:bCs/>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26.1询问</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26.1.2采购人或采购代理机构对投标人依法提出的询问，在3个工作日内作出答复，但答复的内容不得涉及商业秘密。</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26.2质疑</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26.2.1投标人认为</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在“苏采云”系统进行登记、参与及下载电子</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文件，选择“我要参与”点提交的日期视同为依法获取</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lang w:eastAsia="zh-CN"/>
        </w:rPr>
        <w:t xml:space="preserve">公告要求实行网上报名的</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，视为未参与该项政府采购活动，不具备对该政府采购项目提出质疑的法定权利，但因</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资格条件或报名时间设定不符合有关法律法规规定等原因使</w:t>
      </w:r>
      <w:r>
        <w:rPr>
          <w:rFonts w:hint="eastAsia" w:ascii="宋体" w:hAnsi="宋体" w:cs="宋体"/>
          <w:b/>
          <w:bCs/>
          <w:color w:val="000000"/>
          <w:szCs w:val="21"/>
          <w:highlight w:val="none"/>
          <w:lang w:val="en-US" w:eastAsia="zh-CN"/>
        </w:rPr>
        <w:t xml:space="preserve">投标人</w:t>
      </w:r>
      <w:r>
        <w:rPr>
          <w:rFonts w:hint="eastAsia" w:ascii="宋体" w:hAnsi="宋体" w:cs="宋体"/>
          <w:b/>
          <w:bCs/>
          <w:color w:val="000000"/>
          <w:szCs w:val="21"/>
          <w:highlight w:val="none"/>
          <w:lang w:eastAsia="zh-CN"/>
        </w:rPr>
        <w:t xml:space="preserve">权益受损的除外。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06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26.2.3质疑函须使用财政部制定的范本文件。（下载网址：http://gks.mof.gov.cn/ztztz/zhengfucaigouguanli/201802/t20180201_2804589.htm）</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Cs w:val="21"/>
          <w:highlight w:val="none"/>
        </w:rPr>
      </w:r>
      <w:r/>
    </w:p>
    <w:p>
      <w:pPr>
        <w:pStyle w:val="1067"/>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26.3接收询问和质疑的联系部门、联系电话和通讯地址见《投标人须知资料表》。</w:t>
      </w:r>
      <w:r>
        <w:rPr>
          <w:rFonts w:hint="eastAsia" w:ascii="宋体" w:hAnsi="宋体" w:cs="宋体"/>
          <w:color w:val="000000"/>
          <w:szCs w:val="21"/>
          <w:highlight w:val="none"/>
        </w:rPr>
      </w:r>
      <w:r/>
    </w:p>
    <w:p>
      <w:pPr>
        <w:pStyle w:val="106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27.代理费</w:t>
      </w:r>
      <w:r>
        <w:rPr>
          <w:rFonts w:hint="eastAsia" w:ascii="宋体" w:hAnsi="宋体" w:cs="宋体"/>
          <w:b/>
          <w:bCs/>
          <w:color w:val="000000"/>
          <w:szCs w:val="21"/>
          <w:highlight w:val="none"/>
        </w:rPr>
      </w:r>
      <w:r/>
    </w:p>
    <w:p>
      <w:pPr>
        <w:pStyle w:val="1067"/>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1067"/>
        <w:spacing w:line="360" w:lineRule="auto"/>
        <w:rPr>
          <w:rFonts w:hint="eastAsia" w:ascii="宋体" w:hAnsi="宋体" w:cs="宋体"/>
          <w:b/>
          <w:bCs/>
          <w:color w:val="000000"/>
          <w:szCs w:val="21"/>
          <w:highlight w:val="none"/>
        </w:rPr>
      </w:pPr>
      <w:r/>
      <w:bookmarkStart w:id="583" w:name="_Toc353873934"/>
      <w:r/>
      <w:bookmarkStart w:id="584" w:name="_Toc226337250"/>
      <w:r/>
      <w:bookmarkStart w:id="585" w:name="_Toc353825544"/>
      <w:r/>
      <w:bookmarkStart w:id="586" w:name="_Toc142311056"/>
      <w:r/>
      <w:bookmarkStart w:id="587" w:name="_Toc305158822"/>
      <w:r/>
      <w:bookmarkStart w:id="588" w:name="_Toc265228392"/>
      <w:r/>
      <w:bookmarkStart w:id="589" w:name="_Toc305158896"/>
      <w:r/>
      <w:bookmarkStart w:id="590" w:name="_Toc353873664"/>
      <w:r/>
      <w:bookmarkStart w:id="591" w:name="_Toc127151554"/>
      <w:r/>
      <w:bookmarkStart w:id="592" w:name="_Toc226965827"/>
      <w:r/>
      <w:bookmarkStart w:id="593" w:name="_Toc150774759"/>
      <w:r/>
      <w:bookmarkStart w:id="594" w:name="_Toc150480792"/>
      <w:r/>
      <w:bookmarkStart w:id="595" w:name="_Toc264969244"/>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1067"/>
        <w:ind w:firstLine="422"/>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28.1 </w:t>
      </w:r>
      <w:r>
        <w:rPr>
          <w:rFonts w:hint="eastAsia" w:ascii="宋体" w:hAnsi="宋体" w:cs="宋体"/>
          <w:b/>
          <w:bCs/>
          <w:color w:val="000000"/>
          <w:szCs w:val="21"/>
          <w:highlight w:val="none"/>
        </w:rPr>
        <w:t xml:space="preserve">中标人在签订合同前向代理机构提供</w:t>
      </w:r>
      <w:r>
        <w:rPr>
          <w:rFonts w:hint="eastAsia" w:ascii="宋体" w:hAnsi="宋体" w:cs="宋体"/>
          <w:b/>
          <w:bCs/>
          <w:color w:val="000000"/>
          <w:szCs w:val="21"/>
          <w:highlight w:val="none"/>
          <w:lang w:val="en-US" w:eastAsia="zh-CN"/>
        </w:rPr>
        <w:t xml:space="preserve">与</w:t>
      </w:r>
      <w:r>
        <w:rPr>
          <w:rFonts w:hint="eastAsia" w:ascii="宋体" w:hAnsi="宋体" w:cs="宋体"/>
          <w:b/>
          <w:bCs/>
          <w:color w:val="000000"/>
          <w:szCs w:val="21"/>
          <w:highlight w:val="none"/>
        </w:rPr>
        <w:t xml:space="preserve">电子</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文件内容一致的纸质</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文件正本1套、副本2套</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在每一份纸质</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文件上要明确注明“正本” 或“副本”字样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作为项目归档使用</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r>
      <w:r/>
    </w:p>
    <w:p>
      <w:pPr>
        <w:pStyle w:val="1067"/>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color w:val="000000"/>
          <w:szCs w:val="21"/>
          <w:highlight w:val="none"/>
        </w:rPr>
      </w:r>
      <w:r/>
    </w:p>
    <w:p>
      <w:pPr>
        <w:pStyle w:val="1067"/>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67"/>
        <w:ind w:firstLine="480"/>
        <w:jc w:val="center"/>
        <w:spacing w:line="360" w:lineRule="auto"/>
        <w:tabs>
          <w:tab w:val="left" w:pos="360" w:leader="none"/>
          <w:tab w:val="left" w:pos="1080" w:leader="none"/>
        </w:tabs>
        <w:rPr>
          <w:b/>
          <w:color w:val="000000"/>
          <w:sz w:val="36"/>
          <w:szCs w:val="36"/>
          <w:highlight w:val="none"/>
        </w:rPr>
      </w:pPr>
      <w:r>
        <w:rPr>
          <w:color w:val="000000"/>
          <w:sz w:val="24"/>
          <w:highlight w:val="none"/>
        </w:rPr>
        <w:br w:type="page" w:clear="all"/>
      </w:r>
      <w:bookmarkStart w:id="596" w:name="_Toc99301421"/>
      <w:r>
        <w:rPr>
          <w:rFonts w:hint="eastAsia"/>
          <w:b/>
          <w:color w:val="000000"/>
          <w:sz w:val="32"/>
          <w:szCs w:val="32"/>
          <w:highlight w:val="none"/>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highlight w:val="none"/>
        </w:rPr>
        <w:t xml:space="preserve">资格审查</w:t>
      </w:r>
      <w:bookmarkEnd w:id="596"/>
      <w:r/>
      <w:bookmarkStart w:id="597" w:name="_Toc487900382"/>
      <w:r>
        <w:rPr>
          <w:b/>
          <w:color w:val="000000"/>
          <w:sz w:val="36"/>
          <w:szCs w:val="36"/>
          <w:highlight w:val="none"/>
        </w:rPr>
      </w:r>
      <w:r/>
    </w:p>
    <w:p>
      <w:pPr>
        <w:pStyle w:val="1067"/>
        <w:jc w:val="center"/>
        <w:spacing w:line="360" w:lineRule="auto"/>
        <w:tabs>
          <w:tab w:val="left" w:pos="360" w:leader="none"/>
          <w:tab w:val="left" w:pos="900" w:leader="none"/>
        </w:tabs>
        <w:rPr>
          <w:rFonts w:hint="eastAsia" w:ascii="宋体" w:hAnsi="宋体" w:cs="宋体"/>
          <w:b/>
          <w:color w:val="000000"/>
          <w:szCs w:val="21"/>
          <w:highlight w:val="none"/>
        </w:rPr>
        <w:outlineLvl w:val="1"/>
      </w:pPr>
      <w:r/>
      <w:bookmarkStart w:id="598" w:name="_Toc99301422"/>
      <w:r>
        <w:rPr>
          <w:rFonts w:hint="eastAsia" w:ascii="宋体" w:hAnsi="宋体" w:cs="宋体"/>
          <w:b/>
          <w:color w:val="000000"/>
          <w:szCs w:val="21"/>
          <w:highlight w:val="none"/>
        </w:rPr>
        <w:t xml:space="preserve">一、资格审查程序</w:t>
      </w:r>
      <w:bookmarkEnd w:id="598"/>
      <w:r>
        <w:rPr>
          <w:rFonts w:hint="eastAsia" w:ascii="宋体" w:hAnsi="宋体" w:cs="宋体"/>
          <w:b/>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1.开标结束后，采购人将根据《资格审查要求》中的规定，对投标人进行资格审查，并形成资格审查结果。</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2.《资格审查要求》中对格式有要求的，除招标文件另有规定外，均为“实质性格式”文件。</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3.投标人《资格证明文件》有任何一项不符合《资格审查要求》的，资格审查不合格，其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tabs>
          <w:tab w:val="left" w:pos="426" w:leader="none"/>
          <w:tab w:val="left" w:pos="851" w:leader="none"/>
        </w:tabs>
        <w:rPr>
          <w:color w:val="000000"/>
          <w:sz w:val="24"/>
          <w:highlight w:val="none"/>
        </w:rPr>
        <w:outlineLvl w:val="1"/>
      </w:pPr>
      <w:r>
        <w:rPr>
          <w:rFonts w:hint="eastAsia" w:ascii="宋体" w:hAnsi="宋体" w:cs="宋体"/>
          <w:color w:val="000000"/>
          <w:szCs w:val="21"/>
          <w:highlight w:val="none"/>
        </w:rPr>
        <w:t xml:space="preserve">4.资格审查合格的投标人不足3家的，不进行评标。</w:t>
      </w:r>
      <w:r>
        <w:rPr>
          <w:color w:val="000000"/>
          <w:sz w:val="24"/>
          <w:highlight w:val="none"/>
        </w:rPr>
      </w:r>
      <w:r/>
    </w:p>
    <w:p>
      <w:pPr>
        <w:pStyle w:val="1067"/>
        <w:jc w:val="center"/>
        <w:spacing w:line="360" w:lineRule="auto"/>
        <w:tabs>
          <w:tab w:val="left" w:pos="360" w:leader="none"/>
          <w:tab w:val="left" w:pos="900" w:leader="none"/>
        </w:tabs>
        <w:rPr>
          <w:rFonts w:hint="eastAsia" w:ascii="宋体" w:hAnsi="宋体" w:cs="宋体"/>
          <w:b/>
          <w:color w:val="000000"/>
          <w:szCs w:val="21"/>
          <w:highlight w:val="none"/>
        </w:rPr>
        <w:outlineLvl w:val="1"/>
      </w:pPr>
      <w:r>
        <w:rPr>
          <w:rFonts w:hint="eastAsia" w:ascii="宋体" w:hAnsi="宋体" w:cs="宋体"/>
          <w:b/>
          <w:color w:val="000000"/>
          <w:szCs w:val="21"/>
          <w:highlight w:val="none"/>
        </w:rPr>
        <w:t xml:space="preserve">二、资格审查要求</w:t>
      </w:r>
      <w:r>
        <w:rPr>
          <w:rFonts w:hint="eastAsia" w:ascii="宋体" w:hAnsi="宋体" w:cs="宋体"/>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226965858"/>
            <w:r/>
            <w:bookmarkStart w:id="601" w:name="_Toc353873940"/>
            <w:r/>
            <w:bookmarkStart w:id="602" w:name="_Toc353825550"/>
            <w:r/>
            <w:bookmarkStart w:id="603" w:name="_Toc127151779"/>
            <w:r/>
            <w:bookmarkStart w:id="604" w:name="_Toc127161490"/>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066"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c>
          <w:tcPr>
            <w:tcW w:w="881" w:type="dxa"/>
            <w:vAlign w:val="center"/>
            <w:textDirection w:val="lrTb"/>
            <w:noWrap w:val="false"/>
          </w:tcPr>
          <w:p>
            <w:pPr>
              <w:pStyle w:val="1067"/>
              <w:jc w:val="center"/>
              <w:tabs>
                <w:tab w:val="left" w:pos="108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格式要求</w:t>
            </w:r>
            <w:r>
              <w:rPr>
                <w:rFonts w:hint="eastAsia" w:ascii="宋体" w:hAnsi="宋体" w:cs="宋体"/>
                <w:b/>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具体规定见第一章《投标邀请》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投标人营业执照</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有效的法人或者其他组织的营业执照等证明文件</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提供证明文件的电子件或电子证照</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投标人资格声明函</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提供了符合招标文件要求的《投标人资格声明函》。</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格式见《投标文件格式》</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投标人信用记录</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查询渠道：信用中国网站和中国政府采购网（www.creditchina.gov.cn、www.ccgp.gov.cn）；</w:t>
            </w:r>
            <w:r>
              <w:rPr>
                <w:rFonts w:hint="eastAsia" w:ascii="宋体" w:hAnsi="宋体" w:cs="宋体"/>
                <w:color w:val="000000"/>
                <w:szCs w:val="21"/>
                <w:highlight w:val="none"/>
              </w:rPr>
            </w:r>
            <w:r/>
          </w:p>
          <w:p>
            <w:pPr>
              <w:pStyle w:val="1067"/>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截止时点：投标截止时间以后、资格审查阶段采购人或采购代理机构的实际查询时间；</w:t>
            </w:r>
            <w:r>
              <w:rPr>
                <w:rFonts w:hint="eastAsia" w:ascii="宋体" w:hAnsi="宋体" w:cs="宋体"/>
                <w:color w:val="000000"/>
                <w:szCs w:val="21"/>
                <w:highlight w:val="none"/>
              </w:rPr>
            </w:r>
            <w:r/>
          </w:p>
          <w:p>
            <w:pPr>
              <w:pStyle w:val="1067"/>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信用信息查询记录和证据留存具体方式：查询结果网页打印页作为查询记录和证据，与其他</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一并保存；</w:t>
            </w:r>
            <w:r>
              <w:rPr>
                <w:rFonts w:hint="eastAsia" w:ascii="宋体" w:hAnsi="宋体" w:cs="宋体"/>
                <w:color w:val="000000"/>
                <w:szCs w:val="21"/>
                <w:highlight w:val="none"/>
              </w:rPr>
            </w:r>
            <w:r/>
          </w:p>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。联合体形式投标的，联合体成员存在不良信用记录，视同联合体存在不良信用记录。</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无须投标人提供，由采购人查询。</w:t>
            </w: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落实政府采购政策需满足的资格要求</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具体要求见第一章《投标邀请》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8"/>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本项目的特定资格要求</w:t>
            </w:r>
            <w:r>
              <w:rPr>
                <w:rFonts w:hint="eastAsia" w:ascii="宋体" w:hAnsi="宋体" w:cs="宋体"/>
                <w:color w:val="000000"/>
                <w:szCs w:val="21"/>
                <w:highlight w:val="none"/>
              </w:rPr>
            </w:r>
            <w:r/>
          </w:p>
        </w:tc>
        <w:tc>
          <w:tcPr>
            <w:tcW w:w="259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724"/>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是否接受联合体投标</w:t>
            </w:r>
            <w:r>
              <w:rPr>
                <w:rFonts w:hint="eastAsia" w:ascii="宋体" w:hAnsi="宋体" w:cs="宋体"/>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60"/>
        </w:trPr>
        <w:tc>
          <w:tcPr>
            <w:tcW w:w="454"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066"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1067"/>
              <w:jc w:val="center"/>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c>
          <w:tcPr>
            <w:tcW w:w="881" w:type="dxa"/>
            <w:vAlign w:val="center"/>
            <w:textDirection w:val="lrTb"/>
            <w:noWrap w:val="false"/>
          </w:tcPr>
          <w:p>
            <w:pPr>
              <w:pStyle w:val="1067"/>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67"/>
        <w:jc w:val="center"/>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1067"/>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一、评标程序</w:t>
      </w:r>
      <w:r>
        <w:rPr>
          <w:rFonts w:hint="eastAsia" w:ascii="宋体" w:hAnsi="宋体" w:cs="宋体"/>
          <w:b/>
          <w:szCs w:val="21"/>
        </w:rPr>
      </w:r>
      <w:r/>
    </w:p>
    <w:p>
      <w:pPr>
        <w:pStyle w:val="1067"/>
        <w:spacing w:line="360" w:lineRule="auto"/>
        <w:tabs>
          <w:tab w:val="left" w:pos="360" w:leader="none"/>
        </w:tabs>
        <w:rPr>
          <w:rFonts w:hint="eastAsia" w:ascii="宋体" w:hAnsi="宋体" w:cs="宋体"/>
          <w:szCs w:val="21"/>
        </w:rPr>
        <w:outlineLvl w:val="1"/>
      </w:pPr>
      <w:r/>
      <w:bookmarkStart w:id="607" w:name="_Toc164229382"/>
      <w:r/>
      <w:bookmarkStart w:id="608" w:name="_Toc264969231"/>
      <w:r/>
      <w:bookmarkStart w:id="609" w:name="_Toc150509292"/>
      <w:r/>
      <w:bookmarkStart w:id="610" w:name="_Toc127151742"/>
      <w:r/>
      <w:bookmarkStart w:id="611" w:name="_Toc164351635"/>
      <w:r/>
      <w:bookmarkStart w:id="612" w:name="_Toc151193929"/>
      <w:r/>
      <w:bookmarkStart w:id="613" w:name="_Toc195842906"/>
      <w:r/>
      <w:bookmarkStart w:id="614" w:name="_Toc151193639"/>
      <w:r/>
      <w:bookmarkStart w:id="615" w:name="_Toc127151541"/>
      <w:r/>
      <w:bookmarkStart w:id="616" w:name="_Toc142311043"/>
      <w:r/>
      <w:bookmarkStart w:id="617" w:name="_Toc226965814"/>
      <w:r/>
      <w:bookmarkStart w:id="618" w:name="_Toc150774641"/>
      <w:r/>
      <w:bookmarkStart w:id="619" w:name="_Toc151193711"/>
      <w:r/>
      <w:bookmarkStart w:id="620" w:name="_Toc226337237"/>
      <w:r/>
      <w:bookmarkStart w:id="621" w:name="_Toc164608810"/>
      <w:r/>
      <w:bookmarkStart w:id="622" w:name="_Toc149720834"/>
      <w:r/>
      <w:bookmarkStart w:id="623" w:name="_Toc150480779"/>
      <w:r/>
      <w:bookmarkStart w:id="624" w:name="_Toc151193783"/>
      <w:r/>
      <w:bookmarkStart w:id="625" w:name="_Toc150774746"/>
      <w:r/>
      <w:bookmarkStart w:id="626" w:name="_Toc151193855"/>
      <w:r/>
      <w:bookmarkStart w:id="627" w:name="_Toc226965731"/>
      <w:r/>
      <w:bookmarkStart w:id="628" w:name="_Toc164229236"/>
      <w:r/>
      <w:bookmarkStart w:id="629" w:name="_Toc305158883"/>
      <w:r/>
      <w:bookmarkStart w:id="630" w:name="_Toc265228379"/>
      <w:r/>
      <w:bookmarkStart w:id="631" w:name="_Toc127161455"/>
      <w:r/>
      <w:bookmarkStart w:id="632" w:name="_Toc305158809"/>
      <w:r/>
      <w:bookmarkStart w:id="633" w:name="_Toc226309785"/>
      <w:r/>
      <w:bookmarkStart w:id="634" w:name="_Toc164608655"/>
      <w:r/>
      <w:bookmarkStart w:id="635" w:name="_Toc151190168"/>
      <w:r/>
      <w:bookmarkStart w:id="636" w:name="_Toc353873941"/>
      <w:r/>
      <w:bookmarkStart w:id="637" w:name="_Toc353825551"/>
      <w:r/>
      <w:bookmarkStart w:id="638" w:name="_Toc226337251"/>
      <w:r/>
      <w:bookmarkStart w:id="639" w:name="_Toc265228393"/>
      <w:r/>
      <w:bookmarkStart w:id="640" w:name="_Toc353825545"/>
      <w:r/>
      <w:bookmarkStart w:id="641" w:name="_Toc305158823"/>
      <w:r/>
      <w:bookmarkStart w:id="642" w:name="_Toc142311057"/>
      <w:r/>
      <w:bookmarkStart w:id="643" w:name="_Toc226965828"/>
      <w:r/>
      <w:bookmarkStart w:id="644" w:name="_Toc195842920"/>
      <w:r/>
      <w:bookmarkStart w:id="645" w:name="_Toc127151555"/>
      <w:r/>
      <w:bookmarkStart w:id="646" w:name="_Toc353873665"/>
      <w:r/>
      <w:bookmarkStart w:id="647" w:name="_Toc353873935"/>
      <w:r/>
      <w:bookmarkStart w:id="648" w:name="_Toc150480793"/>
      <w:r/>
      <w:bookmarkStart w:id="649" w:name="_Toc305158897"/>
      <w:r/>
      <w:bookmarkStart w:id="650" w:name="_Toc150774760"/>
      <w:r/>
      <w:bookmarkStart w:id="651" w:name="_Toc264969245"/>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1067"/>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1067"/>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67"/>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1067"/>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1067"/>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1067"/>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1067"/>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1067"/>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1067"/>
        <w:numPr>
          <w:ilvl w:val="0"/>
          <w:numId w:val="8"/>
        </w:numPr>
        <w:spacing w:line="360" w:lineRule="auto"/>
        <w:tabs>
          <w:tab w:val="left" w:pos="900" w:leader="none"/>
          <w:tab w:val="left" w:pos="1080" w:leader="none"/>
          <w:tab w:val="left" w:pos="1589" w:leader="none"/>
        </w:tabs>
        <w:rPr>
          <w:rFonts w:hint="eastAsia" w:ascii="宋体" w:hAnsi="宋体" w:cs="宋体"/>
          <w:szCs w:val="21"/>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Cs w:val="21"/>
        </w:rPr>
      </w:r>
      <w:r/>
    </w:p>
    <w:p>
      <w:pPr>
        <w:pStyle w:val="106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1067"/>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szCs w:val="21"/>
        </w:rPr>
        <w:t xml:space="preserve">2.5.6监狱企业提供了由省级以上监狱管理局（常州市含教育矫治局）、戒毒管理局（含新疆生产建</w:t>
      </w:r>
      <w:r>
        <w:rPr>
          <w:rFonts w:hint="eastAsia" w:ascii="宋体" w:hAnsi="宋体" w:cs="宋体"/>
          <w:color w:val="000000"/>
          <w:szCs w:val="21"/>
          <w:highlight w:val="none"/>
        </w:rPr>
        <w:t xml:space="preserve">设兵团）出具的属于监狱企业的证明文件的，视同小微企业。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2.5.7残疾人福利性单位按招标文件要求提供了《残疾人福利性单位声明函》（见附件）的，视同小微企业。</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67"/>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106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6"/>
      <w:r/>
      <w:bookmarkEnd w:id="637"/>
      <w:r>
        <w:rPr>
          <w:rFonts w:hint="eastAsia" w:ascii="宋体" w:hAnsi="宋体" w:cs="宋体"/>
          <w:b/>
          <w:bCs/>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3.2评标方法和评标标准</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3.2.1本项目采用的评标方法为：</w:t>
      </w:r>
      <w:r>
        <w:rPr>
          <w:rFonts w:hint="eastAsia" w:ascii="宋体" w:hAnsi="宋体" w:cs="宋体"/>
          <w:szCs w:val="21"/>
          <w:highlight w:val="none"/>
        </w:rPr>
      </w:r>
      <w:r/>
    </w:p>
    <w:p>
      <w:pPr>
        <w:pStyle w:val="1067"/>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67"/>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6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67"/>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150774751"/>
      <w:r/>
      <w:bookmarkStart w:id="654" w:name="_Toc151193644"/>
      <w:r/>
      <w:bookmarkStart w:id="655" w:name="_Toc149720839"/>
      <w:r/>
      <w:bookmarkStart w:id="656" w:name="_Ref467307010"/>
      <w:r/>
      <w:bookmarkStart w:id="657" w:name="_Toc127161460"/>
      <w:r/>
      <w:bookmarkStart w:id="658" w:name="_Toc195842911"/>
      <w:r/>
      <w:bookmarkStart w:id="659" w:name="_Toc150480784"/>
      <w:r/>
      <w:bookmarkStart w:id="660" w:name="_Toc226337242"/>
      <w:r/>
      <w:bookmarkStart w:id="661" w:name="_Toc150774646"/>
      <w:r/>
      <w:bookmarkStart w:id="662" w:name="_Toc151193860"/>
      <w:r/>
      <w:bookmarkStart w:id="663" w:name="_Toc305158814"/>
      <w:r/>
      <w:bookmarkStart w:id="664" w:name="_Toc151193716"/>
      <w:r/>
      <w:bookmarkStart w:id="665" w:name="_Toc164229241"/>
      <w:r/>
      <w:bookmarkStart w:id="666" w:name="_Toc520356170"/>
      <w:r/>
      <w:bookmarkStart w:id="667" w:name="_Toc265228384"/>
      <w:r/>
      <w:bookmarkStart w:id="668" w:name="_Toc226965819"/>
      <w:r/>
      <w:bookmarkStart w:id="669" w:name="_Toc164608815"/>
      <w:r/>
      <w:bookmarkStart w:id="670" w:name="_Toc151193934"/>
      <w:r/>
      <w:bookmarkStart w:id="671" w:name="_Toc164351640"/>
      <w:r/>
      <w:bookmarkStart w:id="672" w:name="_Toc264969236"/>
      <w:r/>
      <w:bookmarkStart w:id="673" w:name="_Toc164608660"/>
      <w:r/>
      <w:bookmarkStart w:id="674" w:name="_Toc151190173"/>
      <w:r/>
      <w:bookmarkStart w:id="675" w:name="_Toc127151747"/>
      <w:r/>
      <w:bookmarkStart w:id="676" w:name="_Toc226965736"/>
      <w:r/>
      <w:bookmarkStart w:id="677" w:name="_Toc164229387"/>
      <w:r/>
      <w:bookmarkStart w:id="678" w:name="_Toc305158888"/>
      <w:r/>
      <w:bookmarkStart w:id="679" w:name="_Toc142311048"/>
      <w:r/>
      <w:bookmarkStart w:id="680" w:name="_Toc127151546"/>
      <w:r/>
      <w:bookmarkStart w:id="681" w:name="_Toc150509297"/>
      <w:r/>
      <w:bookmarkStart w:id="682" w:name="_Toc226309790"/>
      <w:r/>
      <w:bookmarkStart w:id="683" w:name="_Toc151193788"/>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w:t>
      </w:r>
      <w:r>
        <w:rPr>
          <w:rFonts w:hint="eastAsia" w:ascii="宋体" w:hAnsi="宋体" w:cs="宋体"/>
          <w:color w:val="000000"/>
          <w:szCs w:val="21"/>
          <w:highlight w:val="none"/>
        </w:rPr>
        <w:t xml:space="preserve">推荐资格，其他同品牌投标人不作为中标候选人。</w:t>
      </w:r>
      <w:r>
        <w:rPr>
          <w:rFonts w:hint="eastAsia" w:ascii="宋体" w:hAnsi="宋体" w:cs="宋体"/>
          <w:color w:val="000000"/>
          <w:szCs w:val="21"/>
          <w:highlight w:val="none"/>
        </w:rPr>
      </w:r>
      <w:r/>
    </w:p>
    <w:p>
      <w:pPr>
        <w:pStyle w:val="1067"/>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highlight w:val="none"/>
        </w:rPr>
      </w:r>
      <w:r/>
    </w:p>
    <w:p>
      <w:pPr>
        <w:pStyle w:val="1067"/>
        <w:ind w:firstLine="420"/>
        <w:keepLines w:val="0"/>
        <w:keepNext w:val="0"/>
        <w:pageBreakBefore w:val="0"/>
        <w:spacing w:line="3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highlight w:val="none"/>
        </w:rPr>
      </w:r>
      <w:r/>
    </w:p>
    <w:p>
      <w:pPr>
        <w:pStyle w:val="1067"/>
        <w:ind w:firstLine="420"/>
        <w:keepLines w:val="0"/>
        <w:keepNext w:val="0"/>
        <w:pageBreakBefore w:val="0"/>
        <w:spacing w:line="3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highlight w:val="none"/>
        </w:rPr>
      </w:r>
      <w:r/>
    </w:p>
    <w:p>
      <w:pPr>
        <w:pStyle w:val="1067"/>
        <w:keepLines w:val="0"/>
        <w:keepNext w:val="0"/>
        <w:pageBreakBefore w:val="0"/>
        <w:spacing w:line="34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5.报告违法行为</w:t>
      </w:r>
      <w:r>
        <w:rPr>
          <w:rFonts w:hint="eastAsia" w:ascii="宋体" w:hAnsi="宋体" w:cs="宋体"/>
          <w:b/>
          <w:bCs/>
          <w:color w:val="000000"/>
          <w:szCs w:val="21"/>
          <w:highlight w:val="none"/>
        </w:rPr>
      </w:r>
      <w:r/>
    </w:p>
    <w:p>
      <w:pPr>
        <w:pStyle w:val="1067"/>
        <w:ind w:firstLine="420"/>
        <w:keepLines w:val="0"/>
        <w:keepNext w:val="0"/>
        <w:pageBreakBefore w:val="0"/>
        <w:spacing w:line="340" w:lineRule="exact"/>
        <w:widowControl w:val="off"/>
        <w:rPr>
          <w:b/>
          <w:color w:val="000000"/>
          <w:sz w:val="24"/>
          <w:highlight w:val="none"/>
        </w:rPr>
      </w:pPr>
      <w:r>
        <w:rPr>
          <w:rFonts w:hint="eastAsia" w:ascii="宋体" w:hAnsi="宋体" w:cs="宋体"/>
          <w:color w:val="000000"/>
          <w:szCs w:val="21"/>
          <w:highlight w:val="none"/>
        </w:rPr>
        <w:t xml:space="preserve">5.1评标委员会在评标过程中发现投标人有行贿、提供虚假材料或者串通等违法行为时，有向采购人、采购代理机构或者有关部门报告的职责。</w:t>
      </w:r>
      <w:r>
        <w:rPr>
          <w:b/>
          <w:color w:val="000000"/>
          <w:sz w:val="24"/>
          <w:highlight w:val="none"/>
        </w:rPr>
      </w:r>
      <w:r/>
    </w:p>
    <w:p>
      <w:pPr>
        <w:pStyle w:val="1067"/>
        <w:jc w:val="left"/>
        <w:widowControl/>
        <w:rPr>
          <w:b/>
          <w:color w:val="000000"/>
          <w:sz w:val="24"/>
          <w:highlight w:val="none"/>
        </w:rPr>
      </w:pPr>
      <w:r>
        <w:rPr>
          <w:b/>
          <w:color w:val="000000"/>
          <w:sz w:val="24"/>
          <w:highlight w:val="none"/>
        </w:rPr>
      </w:r>
      <w:r/>
    </w:p>
    <w:p>
      <w:pPr>
        <w:pStyle w:val="1069"/>
        <w:numPr>
          <w:ilvl w:val="0"/>
          <w:numId w:val="9"/>
        </w:numPr>
        <w:spacing w:before="0"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tbl>
      <w:tblPr>
        <w:tblW w:w="9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833"/>
        <w:gridCol w:w="4368"/>
        <w:gridCol w:w="2433"/>
      </w:tblGrid>
      <w:tr>
        <w:trPr>
          <w:trHeight w:val="90"/>
        </w:trPr>
        <w:tc>
          <w:tcPr>
            <w:tcW w:w="704"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260"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833"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368" w:type="dxa"/>
            <w:vAlign w:val="center"/>
            <w:textDirection w:val="lrTb"/>
            <w:noWrap w:val="false"/>
          </w:tcPr>
          <w:p>
            <w:pPr>
              <w:pStyle w:val="1067"/>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33" w:type="dxa"/>
            <w:vAlign w:val="center"/>
            <w:textDirection w:val="lrTb"/>
            <w:noWrap w:val="false"/>
          </w:tcPr>
          <w:p>
            <w:pPr>
              <w:pStyle w:val="1320"/>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w:t>
            </w:r>
            <w:r>
              <w:rPr>
                <w:rFonts w:hint="eastAsia" w:ascii="宋体" w:hAnsi="宋体" w:eastAsia="宋体" w:cs="宋体"/>
                <w:b/>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1067"/>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投标报价得分＝（评标基准价/投标报价）×分值。</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项目整体方案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根据投标人制订的项目整体方案（包含系统架构、服务体系、技术体系）与需求的吻合程度的科学性、先进性、可靠性、成熟性、合理性等内容进行综合评分。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（1）项目整体方案科学性、先进性、可靠性、成熟性、合理性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（2）项目整体方案科学性、先进性、可靠性、成熟性、合理性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（3）项目整体方案科学性、先进性、可靠性、成熟性、合理性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（4）项目整体方案科学性、先进性、可靠性、成熟性、合理性较差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根据投标人提供的项目安装部署服务方案与需求的吻合程度的科学性、先进性、可靠性、成熟性、合理性等内容进行综合评分。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t xml:space="preserve">安装部署服务方案</w:t>
            </w:r>
            <w:r>
              <w:rPr>
                <w:rFonts w:hint="eastAsia" w:ascii="宋体" w:hAnsi="宋体" w:eastAsia="宋体" w:cs="宋体"/>
                <w:color w:val="000000"/>
                <w:sz w:val="21"/>
                <w:szCs w:val="21"/>
                <w:highlight w:val="none"/>
                <w:lang w:val="en-US" w:eastAsia="zh-CN" w:bidi="ar-SA"/>
              </w:rPr>
              <w:t xml:space="preserve">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人提供的项目运营服务方案（需包含投标人拟投入使用的服务平台功能、数据对接方案、运营考评方案、网络及信息化系统安全防护方案等）与需求的吻合程度的科学性、先进性、可靠性、成熟性、合理性等内容进行综合评分。</w:t>
            </w:r>
            <w:r>
              <w:rPr>
                <w:rFonts w:hint="eastAsia" w:ascii="宋体" w:hAnsi="宋体" w:eastAsia="宋体" w:cs="宋体"/>
                <w:color w:val="000000"/>
                <w:sz w:val="21"/>
                <w:szCs w:val="21"/>
                <w:highlight w:val="none"/>
                <w:lang w:val="en-US" w:eastAsia="zh-CN" w:bidi="ar-SA"/>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（1）运营服务方案科学性、先进性、可靠性、成熟性、合理性</w:t>
            </w:r>
            <w:r>
              <w:rPr>
                <w:rFonts w:hint="eastAsia" w:ascii="宋体" w:hAnsi="宋体" w:eastAsia="宋体" w:cs="宋体"/>
                <w:color w:val="000000"/>
                <w:sz w:val="21"/>
                <w:szCs w:val="21"/>
                <w:highlight w:val="none"/>
                <w:lang w:val="en-US" w:eastAsia="zh-CN"/>
              </w:rPr>
              <w:t xml:space="preserve">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（2）运营服务方案科学性、先进性、可靠性、成熟性、合理性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lang w:val="en-US" w:eastAsia="zh-CN" w:bidi="ar-SA"/>
              </w:rPr>
              <w:t xml:space="preserve">科学性、先进性、可靠性、成熟性、合理性</w:t>
            </w:r>
            <w:r>
              <w:rPr>
                <w:rFonts w:hint="eastAsia" w:ascii="宋体" w:hAnsi="宋体" w:eastAsia="宋体" w:cs="宋体"/>
                <w:color w:val="000000"/>
                <w:sz w:val="21"/>
                <w:szCs w:val="21"/>
                <w:highlight w:val="none"/>
              </w:rPr>
              <w:t xml:space="preserve">基本符合要求的得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rPr>
              <w:t xml:space="preserve">运营服务方案</w:t>
            </w:r>
            <w:r>
              <w:rPr>
                <w:rFonts w:hint="eastAsia" w:ascii="宋体" w:hAnsi="宋体" w:eastAsia="宋体" w:cs="宋体"/>
                <w:color w:val="000000"/>
                <w:sz w:val="21"/>
                <w:szCs w:val="21"/>
                <w:highlight w:val="none"/>
                <w:lang w:val="en-US" w:eastAsia="zh-CN" w:bidi="ar-SA"/>
              </w:rPr>
              <w:t xml:space="preserve">科学性、先进性、可靠性、成熟性、合理性较差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未提供均不得分。</w:t>
            </w:r>
            <w:r>
              <w:rPr>
                <w:rFonts w:hint="eastAsia" w:ascii="宋体" w:hAnsi="宋体" w:eastAsia="宋体" w:cs="宋体"/>
                <w:color w:val="000000"/>
                <w:sz w:val="21"/>
                <w:szCs w:val="21"/>
                <w:highlight w:val="none"/>
                <w:lang w:eastAsia="zh-CN"/>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260" w:type="dxa"/>
            <w:vAlign w:val="center"/>
            <w:textDirection w:val="lrTb"/>
            <w:noWrap w:val="false"/>
          </w:tcPr>
          <w:p>
            <w:pPr>
              <w:pStyle w:val="1067"/>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突发事件保障措施</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jc w:val="center"/>
              <w:keepLines w:val="0"/>
              <w:keepNext w:val="0"/>
              <w:pageBreakBefore w:val="0"/>
              <w:spacing w:line="30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制订的突发问题的处理方案（包含但不限于恶劣天气影响、自然灾害及政府性重大活动，上级检查，重大节假日等特殊情况制定应急处置方案等）的完整性、科学性、有效性、及时性、可操作性等内容进行综合评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（1）措施完整性、科学性、有效性、及时性、可操作性强的得10分；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（2）措施完整性、科学性、有效性、及时性、可操作性较好的得7分；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（3）措施完整性、科学性、有效性、及时性、可操作性基本符合要求的得4分；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（4）措施完整性、科学性、有效性、及时性、可操作性较差的得1分；</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（5）未提供均不得分。</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38"/>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76"/>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认证体系</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投标人提供有效的质量管理体系认证证书、ISO27001信息安全管理体系认证证书、ISO27701隐私信息管理体系认证证书的，有一项得1分，本项最高得3分。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 w:val="21"/>
                <w:szCs w:val="21"/>
                <w:highlight w:val="none"/>
              </w:rPr>
            </w:r>
            <w:r/>
          </w:p>
        </w:tc>
      </w:tr>
      <w:tr>
        <w:trPr>
          <w:trHeight w:val="173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投标人自</w:t>
            </w:r>
            <w:r>
              <w:rPr>
                <w:rFonts w:hint="eastAsia" w:ascii="宋体" w:hAnsi="宋体" w:eastAsia="宋体" w:cs="宋体"/>
                <w:b/>
                <w:bCs/>
                <w:color w:val="000000"/>
                <w:sz w:val="21"/>
                <w:szCs w:val="21"/>
                <w:highlight w:val="none"/>
                <w:lang w:val="en-US" w:eastAsia="zh-CN"/>
              </w:rPr>
              <w:t xml:space="preserve">2023年01月</w:t>
            </w:r>
            <w:r>
              <w:rPr>
                <w:rFonts w:hint="eastAsia" w:ascii="宋体" w:hAnsi="宋体" w:eastAsia="宋体" w:cs="宋体"/>
                <w:color w:val="000000"/>
                <w:sz w:val="21"/>
                <w:szCs w:val="21"/>
                <w:highlight w:val="none"/>
                <w:lang w:val="en-US" w:eastAsia="zh-CN"/>
              </w:rPr>
              <w:t xml:space="preserve">以来承接过</w:t>
            </w:r>
            <w:r>
              <w:rPr>
                <w:rFonts w:hint="eastAsia" w:ascii="宋体" w:hAnsi="宋体" w:eastAsia="宋体" w:cs="宋体"/>
                <w:b/>
                <w:bCs/>
                <w:color w:val="000000"/>
                <w:sz w:val="21"/>
                <w:szCs w:val="21"/>
                <w:highlight w:val="none"/>
                <w:lang w:val="en-US" w:eastAsia="zh-CN"/>
              </w:rPr>
              <w:t xml:space="preserve">类似项目运营</w:t>
            </w:r>
            <w:r>
              <w:rPr>
                <w:rFonts w:hint="eastAsia" w:ascii="宋体" w:hAnsi="宋体" w:eastAsia="宋体" w:cs="宋体"/>
                <w:color w:val="000000"/>
                <w:sz w:val="21"/>
                <w:szCs w:val="21"/>
                <w:highlight w:val="none"/>
                <w:lang w:val="en-US" w:eastAsia="zh-CN"/>
              </w:rPr>
              <w:t xml:space="preserve">业绩，每个得2分，最多得6分。</w:t>
            </w:r>
            <w:r>
              <w:rPr>
                <w:rFonts w:hint="eastAsia" w:ascii="宋体" w:hAnsi="宋体" w:eastAsia="宋体" w:cs="宋体"/>
                <w:color w:val="000000"/>
                <w:sz w:val="21"/>
                <w:szCs w:val="21"/>
                <w:highlight w:val="none"/>
                <w:lang w:val="en-US" w:eastAsia="zh-CN"/>
              </w:rPr>
            </w:r>
            <w:r/>
          </w:p>
          <w:p>
            <w:pPr>
              <w:pStyle w:val="1067"/>
              <w:jc w:val="left"/>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注：（1）同一项目分年度签订的合同，按一份业绩计算，不重复计分。</w:t>
            </w:r>
            <w:r>
              <w:rPr>
                <w:rFonts w:hint="eastAsia" w:ascii="宋体" w:hAnsi="宋体" w:eastAsia="宋体" w:cs="宋体"/>
                <w:b/>
                <w:bCs/>
                <w:color w:val="000000"/>
                <w:sz w:val="21"/>
                <w:szCs w:val="21"/>
                <w:highlight w:val="none"/>
                <w:lang w:val="en-US" w:eastAsia="zh-CN"/>
              </w:rPr>
            </w:r>
            <w:r/>
          </w:p>
          <w:p>
            <w:pPr>
              <w:pStyle w:val="1067"/>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（2）时间以合同签订时间为准。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 w:val="21"/>
                <w:szCs w:val="21"/>
                <w:highlight w:val="none"/>
              </w:rPr>
            </w:r>
            <w:r/>
          </w:p>
        </w:tc>
      </w:tr>
      <w:tr>
        <w:trPr>
          <w:trHeight w:val="120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项目团队实力</w:t>
            </w:r>
            <w:r>
              <w:rPr>
                <w:rFonts w:hint="eastAsia" w:ascii="宋体" w:hAnsi="宋体" w:eastAsia="宋体" w:cs="宋体"/>
                <w:color w:val="000000"/>
                <w:sz w:val="21"/>
                <w:szCs w:val="21"/>
                <w:highlight w:val="none"/>
                <w:lang w:val="en-US" w:eastAsia="zh-CN"/>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1.投标人拟派</w:t>
            </w:r>
            <w:r>
              <w:rPr>
                <w:rFonts w:hint="eastAsia" w:ascii="宋体" w:hAnsi="宋体" w:eastAsia="宋体" w:cs="宋体"/>
                <w:b/>
                <w:bCs/>
                <w:i w:val="0"/>
                <w:iCs w:val="0"/>
                <w:color w:val="000000"/>
                <w:sz w:val="21"/>
                <w:szCs w:val="21"/>
                <w:highlight w:val="none"/>
                <w:u w:val="none"/>
                <w:lang w:val="en-US" w:eastAsia="zh-CN" w:bidi="ar"/>
              </w:rPr>
              <w:t xml:space="preserve">项目经理：</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（1）具有高级工程师（专业为电子信息工程）证书的，得2分；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（2）具有信息系统项目管理师证书的，得2分；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（3）具有系统分析员证书的，得2分。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2.投标人拟派</w:t>
            </w:r>
            <w:r>
              <w:rPr>
                <w:rFonts w:hint="eastAsia" w:ascii="宋体" w:hAnsi="宋体" w:eastAsia="宋体" w:cs="宋体"/>
                <w:b/>
                <w:bCs/>
                <w:i w:val="0"/>
                <w:iCs w:val="0"/>
                <w:color w:val="000000"/>
                <w:sz w:val="21"/>
                <w:szCs w:val="21"/>
                <w:highlight w:val="none"/>
                <w:u w:val="none"/>
                <w:lang w:val="en-US" w:eastAsia="zh-CN" w:bidi="ar"/>
              </w:rPr>
              <w:t xml:space="preserve">技术负责人：</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（1）具有高级工程师证书的，得2分；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（2）具有信息系统业务安全服务工程师证书的，得2分；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（3）具有CISAW信息安全保障人员（应急服务）证书的，得2分。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ind w:left="0" w:firstLine="0"/>
              <w:jc w:val="left"/>
              <w:keepLines w:val="0"/>
              <w:keepNext w:val="0"/>
              <w:pageBreakBefore w:val="0"/>
              <w:spacing w:line="30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lang w:val="en-US" w:eastAsia="zh-CN" w:bidi="ar"/>
              </w:rPr>
              <w:t xml:space="preserve">3.投标人拟派</w:t>
            </w:r>
            <w:r>
              <w:rPr>
                <w:rFonts w:hint="eastAsia" w:ascii="宋体" w:hAnsi="宋体" w:eastAsia="宋体" w:cs="宋体"/>
                <w:b/>
                <w:bCs/>
                <w:i w:val="0"/>
                <w:iCs w:val="0"/>
                <w:color w:val="000000"/>
                <w:sz w:val="21"/>
                <w:szCs w:val="21"/>
                <w:highlight w:val="none"/>
                <w:u w:val="none"/>
                <w:lang w:val="en-US" w:eastAsia="zh-CN" w:bidi="ar"/>
              </w:rPr>
              <w:t xml:space="preserve">运维负责人：</w:t>
            </w:r>
            <w:r>
              <w:rPr>
                <w:rFonts w:hint="eastAsia" w:ascii="宋体" w:hAnsi="宋体" w:eastAsia="宋体" w:cs="宋体"/>
                <w:b/>
                <w:bCs/>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（1）具有网络工程师证书的，得2分；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（2）具有ITSS-IT服务工程师证书的，得2分；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（3）具有CISAW信息安全保障人员（安全运维）证书的，得2分。</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pageBreakBefore w:val="0"/>
              <w:spacing w:line="3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注：上述岗位人员不得兼任，不重复计分。</w:t>
            </w:r>
            <w:r>
              <w:rPr>
                <w:rFonts w:hint="eastAsia" w:ascii="宋体" w:hAnsi="宋体" w:eastAsia="宋体" w:cs="宋体"/>
                <w:i w:val="0"/>
                <w:iCs w:val="0"/>
                <w:color w:val="000000"/>
                <w:sz w:val="21"/>
                <w:szCs w:val="21"/>
                <w:highlight w:val="none"/>
                <w:u w:val="none"/>
                <w:lang w:val="en-US" w:eastAsia="zh-CN" w:bidi="ar"/>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投标文件中提供</w:t>
            </w:r>
            <w:r>
              <w:rPr>
                <w:rFonts w:hint="eastAsia" w:ascii="宋体" w:hAnsi="宋体" w:eastAsia="宋体" w:cs="宋体"/>
                <w:b/>
                <w:bCs/>
                <w:color w:val="000000"/>
                <w:sz w:val="21"/>
                <w:szCs w:val="21"/>
                <w:highlight w:val="none"/>
                <w:lang w:val="en-US" w:eastAsia="zh-CN"/>
              </w:rPr>
              <w:t xml:space="preserve">相应人员证书</w:t>
            </w:r>
            <w:r>
              <w:rPr>
                <w:rFonts w:hint="eastAsia" w:ascii="宋体" w:hAnsi="宋体" w:eastAsia="宋体" w:cs="宋体"/>
                <w:b/>
                <w:bCs/>
                <w:color w:val="000000"/>
                <w:sz w:val="21"/>
                <w:szCs w:val="21"/>
                <w:highlight w:val="none"/>
              </w:rPr>
              <w:t xml:space="preserve">原件扫描件及投标人近三个月（</w:t>
            </w:r>
            <w:r>
              <w:rPr>
                <w:rFonts w:hint="eastAsia" w:ascii="宋体" w:hAnsi="宋体" w:eastAsia="宋体" w:cs="宋体"/>
                <w:b/>
                <w:bCs/>
                <w:color w:val="000000"/>
                <w:sz w:val="21"/>
                <w:szCs w:val="21"/>
                <w:highlight w:val="none"/>
                <w:lang w:val="en-US" w:eastAsia="zh-CN"/>
              </w:rPr>
              <w:t xml:space="preserve">2026年01月、02月、03月</w:t>
            </w:r>
            <w:r>
              <w:rPr>
                <w:rFonts w:hint="eastAsia" w:ascii="宋体" w:hAnsi="宋体" w:eastAsia="宋体" w:cs="宋体"/>
                <w:b/>
                <w:bCs/>
                <w:color w:val="000000"/>
                <w:sz w:val="21"/>
                <w:szCs w:val="21"/>
                <w:highlight w:val="none"/>
              </w:rPr>
              <w:t xml:space="preserve">）为</w:t>
            </w:r>
            <w:r>
              <w:rPr>
                <w:rFonts w:hint="eastAsia" w:ascii="宋体" w:hAnsi="宋体" w:eastAsia="宋体" w:cs="宋体"/>
                <w:b/>
                <w:bCs/>
                <w:color w:val="000000"/>
                <w:sz w:val="21"/>
                <w:szCs w:val="21"/>
                <w:highlight w:val="none"/>
                <w:lang w:val="en-US" w:eastAsia="zh-CN"/>
              </w:rPr>
              <w:t xml:space="preserve">其</w:t>
            </w:r>
            <w:r>
              <w:rPr>
                <w:rFonts w:hint="eastAsia" w:ascii="宋体" w:hAnsi="宋体" w:eastAsia="宋体" w:cs="宋体"/>
                <w:b/>
                <w:bCs/>
                <w:color w:val="000000"/>
                <w:sz w:val="21"/>
                <w:szCs w:val="21"/>
                <w:highlight w:val="none"/>
              </w:rPr>
              <w:t xml:space="preserve">缴纳的社保证明扫描件，未提供的或资料不全的或无效的不得分。</w:t>
            </w:r>
            <w:r>
              <w:rPr>
                <w:rFonts w:hint="eastAsia" w:ascii="宋体" w:hAnsi="宋体" w:eastAsia="宋体" w:cs="宋体"/>
                <w:b/>
                <w:bCs/>
                <w:color w:val="000000"/>
                <w:sz w:val="21"/>
                <w:szCs w:val="21"/>
                <w:highlight w:val="none"/>
              </w:rPr>
            </w:r>
            <w:r/>
          </w:p>
        </w:tc>
      </w:tr>
      <w:tr>
        <w:trPr>
          <w:trHeight w:val="1994"/>
        </w:trPr>
        <w:tc>
          <w:tcPr>
            <w:tcW w:w="70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260"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67"/>
              <w:numPr>
                <w:ilvl w:val="0"/>
                <w:numId w:val="0"/>
              </w:numPr>
              <w:jc w:val="left"/>
              <w:keepLines w:val="0"/>
              <w:keepNext w:val="0"/>
              <w:pageBreakBefore w:val="0"/>
              <w:spacing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技术要求的符合性，即根据投标人所提供的产品能力服务的综合性能、技术参数，产品的安全性、稳定性、操作性等方面进行评分。符合采购需求的要求的得18分。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（1）标注“▲”为重要参数，有一项不满足扣2分；扣完为止。</w:t>
            </w:r>
            <w:r>
              <w:rPr>
                <w:rFonts w:hint="eastAsia" w:ascii="宋体" w:hAnsi="宋体" w:eastAsia="宋体" w:cs="宋体"/>
                <w:color w:val="000000"/>
                <w:sz w:val="21"/>
                <w:szCs w:val="21"/>
                <w:highlight w:val="none"/>
              </w:rPr>
            </w:r>
            <w:r/>
          </w:p>
        </w:tc>
        <w:tc>
          <w:tcPr>
            <w:tcW w:w="2433" w:type="dxa"/>
            <w:vAlign w:val="center"/>
            <w:textDirection w:val="lrTb"/>
            <w:noWrap w:val="false"/>
          </w:tcPr>
          <w:p>
            <w:pPr>
              <w:pStyle w:val="1067"/>
              <w:ind w:left="-40"/>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标注“▲”参数应按照要求提供相关证明材料并加盖投标人公章的扫描件。</w:t>
            </w:r>
            <w:r>
              <w:rPr>
                <w:rFonts w:hint="eastAsia" w:ascii="宋体" w:hAnsi="宋体" w:eastAsia="宋体" w:cs="宋体"/>
                <w:b/>
                <w:bCs/>
                <w:color w:val="000000"/>
                <w:sz w:val="21"/>
                <w:szCs w:val="21"/>
                <w:highlight w:val="none"/>
                <w:lang w:eastAsia="zh-CN"/>
              </w:rPr>
              <w:t xml:space="preserve">如有提供虚假技术参数的，一经发现按无效</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eastAsia="zh-CN"/>
              </w:rPr>
              <w:t xml:space="preserve">处理。</w:t>
            </w:r>
            <w:r>
              <w:rPr>
                <w:rFonts w:hint="eastAsia" w:ascii="宋体" w:hAnsi="宋体" w:eastAsia="宋体" w:cs="宋体"/>
                <w:b/>
                <w:bCs/>
                <w:color w:val="000000"/>
                <w:sz w:val="21"/>
                <w:szCs w:val="21"/>
                <w:highlight w:val="none"/>
              </w:rPr>
            </w:r>
            <w:r/>
          </w:p>
        </w:tc>
      </w:tr>
      <w:tr>
        <w:trPr>
          <w:trHeight w:val="90"/>
        </w:trPr>
        <w:tc>
          <w:tcPr>
            <w:gridSpan w:val="2"/>
            <w:tcW w:w="1964"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833" w:type="dxa"/>
            <w:vAlign w:val="center"/>
            <w:textDirection w:val="lrTb"/>
            <w:noWrap w:val="false"/>
          </w:tcPr>
          <w:p>
            <w:pPr>
              <w:pStyle w:val="1067"/>
              <w:ind w:firstLine="28"/>
              <w:jc w:val="center"/>
              <w:keepLines w:val="0"/>
              <w:keepNext w:val="0"/>
              <w:pageBreakBefore w:val="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w:t>
            </w:r>
            <w:r>
              <w:rPr>
                <w:rFonts w:hint="eastAsia" w:ascii="宋体" w:hAnsi="宋体" w:eastAsia="宋体" w:cs="宋体"/>
                <w:b/>
                <w:bCs/>
                <w:color w:val="000000"/>
                <w:sz w:val="21"/>
                <w:szCs w:val="21"/>
                <w:highlight w:val="none"/>
              </w:rPr>
            </w:r>
            <w:r/>
          </w:p>
        </w:tc>
        <w:tc>
          <w:tcPr>
            <w:gridSpan w:val="2"/>
            <w:tcW w:w="6801" w:type="dxa"/>
            <w:vAlign w:val="center"/>
            <w:textDirection w:val="lrTb"/>
            <w:noWrap w:val="false"/>
          </w:tcPr>
          <w:p>
            <w:pPr>
              <w:pStyle w:val="1067"/>
              <w:keepLines w:val="0"/>
              <w:keepNext w:val="0"/>
              <w:pageBreakBefore w:val="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7"/>
        <w:ind w:firstLine="422"/>
        <w:spacing w:line="400" w:lineRule="exact"/>
        <w:rPr>
          <w:rFonts w:hint="eastAsia" w:ascii="宋体" w:hAnsi="宋体" w:eastAsia="宋体" w:cs="宋体"/>
          <w:b/>
          <w:bCs w:val="0"/>
          <w:color w:val="000000"/>
          <w:szCs w:val="21"/>
          <w:highlight w:val="none"/>
          <w:lang w:eastAsia="zh-CN"/>
        </w:rPr>
      </w:pPr>
      <w:r/>
      <w:bookmarkStart w:id="684" w:name="_Toc140154567"/>
      <w:r/>
      <w:bookmarkStart w:id="685" w:name="_Toc140154483"/>
      <w:r/>
      <w:bookmarkStart w:id="686" w:name="_Toc140147451"/>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1067"/>
        <w:jc w:val="left"/>
        <w:widowControl/>
        <w:rPr>
          <w:b/>
          <w:sz w:val="36"/>
          <w:szCs w:val="36"/>
          <w:highlight w:val="none"/>
        </w:rPr>
      </w:pPr>
      <w:r>
        <w:rPr>
          <w:b/>
          <w:sz w:val="36"/>
          <w:szCs w:val="36"/>
          <w:highlight w:val="none"/>
        </w:rPr>
      </w:r>
      <w:r/>
    </w:p>
    <w:p>
      <w:pPr>
        <w:pStyle w:val="1067"/>
        <w:jc w:val="center"/>
        <w:spacing w:line="360" w:lineRule="auto"/>
        <w:rPr>
          <w:color w:val="000000"/>
          <w:sz w:val="24"/>
          <w:highlight w:val="none"/>
        </w:rPr>
        <w:outlineLvl w:val="0"/>
      </w:pPr>
      <w:r>
        <w:rPr>
          <w:b/>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1067"/>
        <w:spacing w:line="400" w:lineRule="exact"/>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一、项目概况</w:t>
      </w:r>
      <w:r>
        <w:rPr>
          <w:rFonts w:hint="eastAsia" w:ascii="宋体" w:hAnsi="宋体" w:eastAsia="宋体" w:cs="宋体"/>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1.项目名称：</w:t>
      </w:r>
      <w:r>
        <w:rPr>
          <w:rFonts w:hint="eastAsia" w:ascii="宋体" w:hAnsi="宋体" w:eastAsia="宋体" w:cs="宋体"/>
          <w:bCs/>
          <w:color w:val="000000"/>
          <w:szCs w:val="21"/>
          <w:highlight w:val="none"/>
          <w:lang w:eastAsia="zh-CN"/>
        </w:rPr>
        <w:t xml:space="preserve">AI智能安全监管平台服务项目</w:t>
      </w:r>
      <w:r>
        <w:rPr>
          <w:rFonts w:hint="eastAsia" w:ascii="宋体" w:hAnsi="宋体" w:eastAsia="宋体" w:cs="宋体"/>
          <w:bCs/>
          <w:color w:val="000000"/>
          <w:szCs w:val="21"/>
          <w:highlight w:val="none"/>
          <w:lang w:eastAsia="zh-CN"/>
        </w:rPr>
      </w:r>
      <w:r/>
    </w:p>
    <w:p>
      <w:pPr>
        <w:pStyle w:val="1067"/>
        <w:ind w:left="420" w:firstLine="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项目预算金额：</w:t>
      </w:r>
      <w:r>
        <w:rPr>
          <w:rFonts w:hint="eastAsia" w:ascii="宋体" w:hAnsi="宋体" w:eastAsia="宋体" w:cs="宋体"/>
          <w:b/>
          <w:bCs/>
          <w:color w:val="000000"/>
          <w:szCs w:val="21"/>
          <w:highlight w:val="none"/>
          <w:u w:val="single"/>
          <w:lang w:val="en-US" w:eastAsia="zh-CN"/>
        </w:rPr>
        <w:t xml:space="preserve">500万元</w:t>
      </w:r>
      <w:r>
        <w:rPr>
          <w:rFonts w:hint="eastAsia" w:ascii="宋体" w:hAnsi="宋体" w:eastAsia="宋体" w:cs="宋体"/>
          <w:color w:val="000000"/>
          <w:szCs w:val="21"/>
          <w:highlight w:val="none"/>
        </w:rPr>
        <w:t xml:space="preserve">、项目最高限价：</w:t>
      </w:r>
      <w:r>
        <w:rPr>
          <w:rFonts w:hint="eastAsia" w:ascii="宋体" w:hAnsi="宋体" w:eastAsia="宋体" w:cs="宋体"/>
          <w:b/>
          <w:bCs/>
          <w:color w:val="000000"/>
          <w:szCs w:val="21"/>
          <w:highlight w:val="none"/>
          <w:u w:val="single"/>
          <w:lang w:eastAsia="zh-CN"/>
        </w:rPr>
        <w:t xml:space="preserve">490万元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7"/>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val="en-US" w:eastAsia="zh-CN"/>
        </w:rPr>
        <w:t xml:space="preserve">3.项目概况：本项目以天宁区青龙街道基层安全管理实际需求为核心建设导向，立足解决当前安全管理中的痛点与不足。通过采购专业服务模式推进街道安全管理工作：(1)提供感知管理预警服务，内容涵盖感知设备租赁、已安装设备的规划布设与数据接入、定期巡检测试及运营预警服务，聚焦辖区内99个厂中厂园区、32个有限空间单位、10个金属冶炼单位、10个安置房小区及</w:t>
      </w:r>
      <w:r>
        <w:rPr>
          <w:rFonts w:hint="eastAsia" w:ascii="宋体" w:hAnsi="宋体" w:eastAsia="宋体" w:cs="宋体"/>
          <w:bCs/>
          <w:color w:val="000000"/>
          <w:szCs w:val="21"/>
          <w:highlight w:val="none"/>
          <w:lang w:val="en-US" w:eastAsia="zh-CN"/>
        </w:rPr>
        <w:t xml:space="preserve">1114家社会面小场所等重点区域的安全管理场景，由中标人开展现场勘查、现有设施梳理与监测盲区分析，坚持充分复用、不重复建设的原则，通过新增布设、数据接入及为现有设备加装AI能力等方式，实现现场环境实时智能感知与风险主动预警；（2）搭建AI运营服务中心，由服务商提供 “人防 + 智防”一体化服务，依托多模态垂类大模型整合物联感知、视频监控、标准规范等全量数据，完成预警信息的智能研判、过滤合并与先期处置，同时由中标人配备的项目运营人员对预警处置全过程跟踪闭环，必要时人工快速介入处置，全面提升预警响应与处置效能。</w:t>
      </w:r>
      <w:r>
        <w:rPr>
          <w:rFonts w:hint="eastAsia" w:ascii="宋体" w:hAnsi="宋体" w:eastAsia="宋体" w:cs="宋体"/>
          <w:color w:val="000000"/>
          <w:szCs w:val="21"/>
          <w:highlight w:val="none"/>
        </w:rPr>
      </w:r>
      <w:r/>
    </w:p>
    <w:p>
      <w:pPr>
        <w:pStyle w:val="1067"/>
        <w:spacing w:line="400" w:lineRule="exact"/>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二、商务要求</w:t>
      </w:r>
      <w:r>
        <w:rPr>
          <w:rFonts w:hint="eastAsia" w:ascii="宋体" w:hAnsi="宋体" w:eastAsia="宋体" w:cs="宋体"/>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t xml:space="preserve">合同履行期限：</w:t>
      </w:r>
      <w:r>
        <w:rPr>
          <w:rFonts w:hint="eastAsia" w:ascii="宋体" w:hAnsi="宋体" w:eastAsia="宋体" w:cs="宋体"/>
          <w:b/>
          <w:bCs/>
          <w:color w:val="000000"/>
          <w:szCs w:val="21"/>
          <w:highlight w:val="none"/>
          <w:u w:val="single"/>
          <w:lang w:eastAsia="zh-CN"/>
        </w:rPr>
        <w:t xml:space="preserve">自合同签订之日起90个日历天内完成感知设备的提供、安装调试、通过网络接入集中运营中心，具备集中监测能力并经甲方验收合格后开始提供服务，服务期限：36个月。</w:t>
      </w:r>
      <w:r>
        <w:rPr>
          <w:rFonts w:hint="eastAsia" w:ascii="宋体" w:hAnsi="宋体" w:eastAsia="宋体" w:cs="宋体"/>
          <w:bCs/>
          <w:color w:val="000000"/>
          <w:szCs w:val="21"/>
          <w:highlight w:val="none"/>
          <w:lang w:eastAsia="zh-CN"/>
        </w:rPr>
      </w:r>
      <w:r/>
    </w:p>
    <w:p>
      <w:pPr>
        <w:pStyle w:val="1067"/>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lang w:val="en-US" w:eastAsia="zh-CN"/>
        </w:rPr>
        <w:t xml:space="preserve">结算原则及</w:t>
      </w:r>
      <w:r>
        <w:rPr>
          <w:rFonts w:hint="eastAsia" w:ascii="宋体" w:hAnsi="宋体" w:eastAsia="宋体" w:cs="宋体"/>
          <w:b/>
          <w:color w:val="000000"/>
          <w:szCs w:val="21"/>
          <w:highlight w:val="none"/>
        </w:rPr>
        <w:t xml:space="preserve">付款条件（进度和方式）：</w:t>
      </w:r>
      <w:r>
        <w:rPr>
          <w:rFonts w:hint="eastAsia" w:ascii="宋体" w:hAnsi="宋体" w:eastAsia="宋体" w:cs="宋体"/>
          <w:b/>
          <w:color w:val="000000"/>
          <w:szCs w:val="21"/>
          <w:highlight w:val="none"/>
        </w:rPr>
      </w:r>
      <w:r/>
    </w:p>
    <w:p>
      <w:pPr>
        <w:pStyle w:val="1067"/>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single"/>
          <w:lang w:val="en-US" w:eastAsia="zh-CN" w:bidi="ar-SA"/>
        </w:rPr>
        <w:t xml:space="preserve">2.1结算原则：全费用固定综合单价，按实结算。</w:t>
      </w:r>
      <w:r>
        <w:rPr>
          <w:rFonts w:ascii="宋体" w:hAnsi="宋体" w:eastAsia="宋体" w:cs="宋体"/>
          <w:b/>
          <w:bCs w:val="0"/>
          <w:color w:val="000000"/>
          <w:sz w:val="21"/>
          <w:szCs w:val="21"/>
          <w:highlight w:val="none"/>
          <w:u w:val="single"/>
          <w:lang w:val="en-US" w:eastAsia="zh-CN" w:bidi="ar-SA"/>
        </w:rPr>
      </w:r>
      <w:r/>
    </w:p>
    <w:p>
      <w:pPr>
        <w:pStyle w:val="1067"/>
        <w:ind w:firstLine="422"/>
        <w:spacing w:line="400" w:lineRule="exact"/>
        <w:rPr>
          <w:rFonts w:hint="eastAsia" w:ascii="宋体" w:hAnsi="宋体" w:eastAsia="宋体" w:cs="宋体"/>
          <w:bCs/>
          <w:color w:val="000000"/>
          <w:sz w:val="21"/>
          <w:szCs w:val="21"/>
          <w:highlight w:val="white"/>
        </w:rPr>
      </w:pPr>
      <w:r>
        <w:rPr>
          <w:rFonts w:hint="eastAsia" w:ascii="宋体" w:hAnsi="宋体" w:eastAsia="宋体" w:cs="宋体"/>
          <w:b/>
          <w:bCs w:val="0"/>
          <w:color w:val="000000"/>
          <w:sz w:val="21"/>
          <w:szCs w:val="21"/>
          <w:highlight w:val="white"/>
          <w:u w:val="single"/>
          <w:lang w:val="en-US" w:eastAsia="zh-CN" w:bidi="ar-SA"/>
        </w:rPr>
        <w:t xml:space="preserve">2.2付款条件：</w:t>
      </w:r>
      <w:r>
        <w:rPr>
          <w:rFonts w:hint="eastAsia" w:ascii="宋体" w:hAnsi="宋体" w:eastAsia="宋体" w:cs="宋体"/>
          <w:b/>
          <w:bCs w:val="0"/>
          <w:color w:val="000000"/>
          <w:sz w:val="21"/>
          <w:szCs w:val="21"/>
          <w:highlight w:val="white"/>
          <w:u w:val="single"/>
          <w:lang w:val="en-US" w:eastAsia="zh-CN"/>
        </w:rPr>
        <w:t xml:space="preserve">（1）</w:t>
      </w:r>
      <w:r>
        <w:rPr>
          <w:rFonts w:hint="eastAsia" w:ascii="宋体" w:hAnsi="宋体" w:eastAsia="宋体" w:cs="宋体"/>
          <w:b/>
          <w:bCs w:val="0"/>
          <w:color w:val="000000"/>
          <w:sz w:val="21"/>
          <w:szCs w:val="21"/>
          <w:highlight w:val="white"/>
          <w:u w:val="single"/>
          <w:lang w:val="en-US" w:eastAsia="zh-CN" w:bidi="ar-SA"/>
        </w:rPr>
        <w:t xml:space="preserve">乙方在规定时间内完成</w:t>
      </w:r>
      <w:r>
        <w:rPr>
          <w:rFonts w:hint="eastAsia" w:ascii="宋体" w:hAnsi="宋体" w:eastAsia="宋体" w:cs="宋体"/>
          <w:b/>
          <w:bCs w:val="0"/>
          <w:color w:val="000000"/>
          <w:sz w:val="21"/>
          <w:szCs w:val="21"/>
          <w:highlight w:val="white"/>
          <w:u w:val="single"/>
          <w:lang w:eastAsia="zh-CN"/>
        </w:rPr>
        <w:t xml:space="preserve">感知设备的提供、安装调试、通过网络接入集中运营中心，具备集中监测能力并经甲方验收合格后</w:t>
      </w:r>
      <w:r>
        <w:rPr>
          <w:rFonts w:hint="eastAsia" w:ascii="宋体" w:hAnsi="宋体" w:eastAsia="宋体" w:cs="宋体"/>
          <w:b/>
          <w:bCs w:val="0"/>
          <w:color w:val="000000"/>
          <w:sz w:val="21"/>
          <w:szCs w:val="21"/>
          <w:highlight w:val="white"/>
          <w:u w:val="single"/>
          <w:lang w:val="en-US" w:eastAsia="zh-CN"/>
        </w:rPr>
        <w:t xml:space="preserve">支付合同总金额的40%；（2）运营服务期第二年的第一个月支付合同总金额的20%</w:t>
      </w:r>
      <w:r>
        <w:rPr>
          <w:rFonts w:hint="eastAsia" w:ascii="宋体" w:hAnsi="宋体" w:eastAsia="宋体" w:cs="宋体"/>
          <w:b/>
          <w:bCs w:val="0"/>
          <w:color w:val="000000"/>
          <w:sz w:val="21"/>
          <w:szCs w:val="21"/>
          <w:highlight w:val="white"/>
          <w:u w:val="single"/>
          <w:lang w:val="en-US" w:eastAsia="zh-CN"/>
        </w:rPr>
        <w:t xml:space="preserve">（扣除第一年考核相应扣款金额）</w:t>
      </w:r>
      <w:r>
        <w:rPr>
          <w:rFonts w:hint="eastAsia" w:ascii="宋体" w:hAnsi="宋体" w:eastAsia="宋体" w:cs="宋体"/>
          <w:b/>
          <w:bCs w:val="0"/>
          <w:color w:val="000000"/>
          <w:sz w:val="21"/>
          <w:szCs w:val="21"/>
          <w:highlight w:val="white"/>
          <w:u w:val="single"/>
          <w:lang w:val="en-US" w:eastAsia="zh-CN"/>
        </w:rPr>
        <w:t xml:space="preserve">；（3）运营服务期第三年的第一个月支付合同总金额的20%</w:t>
      </w:r>
      <w:r>
        <w:rPr>
          <w:rFonts w:hint="eastAsia" w:ascii="宋体" w:hAnsi="宋体" w:eastAsia="宋体" w:cs="宋体"/>
          <w:b/>
          <w:bCs w:val="0"/>
          <w:color w:val="000000"/>
          <w:sz w:val="21"/>
          <w:szCs w:val="21"/>
          <w:highlight w:val="white"/>
          <w:u w:val="single"/>
          <w:lang w:val="en-US" w:eastAsia="zh-CN"/>
        </w:rPr>
        <w:t xml:space="preserve">（扣除第二年考核相应扣款金额）</w:t>
      </w:r>
      <w:r>
        <w:rPr>
          <w:rFonts w:hint="eastAsia" w:ascii="宋体" w:hAnsi="宋体" w:eastAsia="宋体" w:cs="宋体"/>
          <w:b/>
          <w:bCs w:val="0"/>
          <w:color w:val="000000"/>
          <w:sz w:val="21"/>
          <w:szCs w:val="21"/>
          <w:highlight w:val="white"/>
          <w:u w:val="single"/>
          <w:lang w:val="en-US" w:eastAsia="zh-CN"/>
        </w:rPr>
        <w:t xml:space="preserve">；（4）</w:t>
      </w:r>
      <w:r>
        <w:rPr>
          <w:rFonts w:hint="eastAsia" w:ascii="宋体" w:hAnsi="宋体" w:eastAsia="宋体" w:cs="宋体"/>
          <w:b/>
          <w:bCs w:val="0"/>
          <w:color w:val="000000"/>
          <w:sz w:val="21"/>
          <w:szCs w:val="21"/>
          <w:highlight w:val="white"/>
          <w:u w:val="single"/>
          <w:lang w:val="en-US" w:eastAsia="zh-CN" w:bidi="ar-SA"/>
        </w:rPr>
        <w:t xml:space="preserve">(如需审计)则审计后，满足合同约定条件的，甲方在项目</w:t>
      </w:r>
      <w:r>
        <w:rPr>
          <w:rFonts w:hint="eastAsia" w:ascii="宋体" w:hAnsi="宋体" w:eastAsia="宋体" w:cs="宋体"/>
          <w:b/>
          <w:bCs w:val="0"/>
          <w:color w:val="000000"/>
          <w:sz w:val="21"/>
          <w:szCs w:val="21"/>
          <w:highlight w:val="white"/>
          <w:u w:val="single"/>
          <w:lang w:val="en-US" w:eastAsia="zh-CN"/>
        </w:rPr>
        <w:t xml:space="preserve">服务期满</w:t>
      </w:r>
      <w:r>
        <w:rPr>
          <w:rFonts w:hint="eastAsia" w:ascii="宋体" w:hAnsi="宋体" w:eastAsia="宋体" w:cs="宋体"/>
          <w:b/>
          <w:bCs w:val="0"/>
          <w:color w:val="000000"/>
          <w:sz w:val="21"/>
          <w:szCs w:val="21"/>
          <w:highlight w:val="white"/>
          <w:u w:val="single"/>
          <w:lang w:val="en-US" w:eastAsia="zh-CN" w:bidi="ar-SA"/>
        </w:rPr>
        <w:t xml:space="preserve">之日起60日付款至合同总金额（审定金额）的100%</w:t>
      </w:r>
      <w:r>
        <w:rPr>
          <w:rFonts w:hint="eastAsia" w:ascii="宋体" w:hAnsi="宋体" w:eastAsia="宋体" w:cs="宋体"/>
          <w:b/>
          <w:bCs w:val="0"/>
          <w:color w:val="000000"/>
          <w:sz w:val="21"/>
          <w:szCs w:val="21"/>
          <w:highlight w:val="white"/>
          <w:u w:val="single"/>
          <w:lang w:val="en-US" w:eastAsia="zh-CN"/>
        </w:rPr>
        <w:t xml:space="preserve">（扣除第三年考核相应扣款金额）</w:t>
      </w:r>
      <w:r>
        <w:rPr>
          <w:rFonts w:hint="eastAsia" w:ascii="宋体" w:hAnsi="宋体" w:eastAsia="宋体" w:cs="宋体"/>
          <w:b/>
          <w:bCs w:val="0"/>
          <w:color w:val="000000"/>
          <w:sz w:val="21"/>
          <w:szCs w:val="21"/>
          <w:highlight w:val="white"/>
          <w:u w:val="single"/>
          <w:lang w:val="en-US" w:eastAsia="zh-CN" w:bidi="ar-SA"/>
        </w:rPr>
        <w:t xml:space="preserve">。</w:t>
      </w:r>
      <w:r>
        <w:rPr>
          <w:rFonts w:hint="eastAsia" w:ascii="宋体" w:hAnsi="宋体" w:eastAsia="宋体" w:cs="宋体"/>
          <w:bCs/>
          <w:color w:val="000000"/>
          <w:sz w:val="21"/>
          <w:szCs w:val="21"/>
          <w:highlight w:val="white"/>
          <w:lang w:val="en-US" w:eastAsia="zh-CN"/>
        </w:rPr>
      </w:r>
      <w:r>
        <w:rPr>
          <w:highlight w:val="white"/>
        </w:rPr>
      </w:r>
    </w:p>
    <w:p>
      <w:pPr>
        <w:pStyle w:val="1067"/>
        <w:spacing w:line="400" w:lineRule="exact"/>
        <w:rPr>
          <w:rFonts w:hint="eastAsia" w:ascii="宋体" w:hAnsi="宋体"/>
          <w:b/>
          <w:bCs/>
          <w:color w:val="000000"/>
          <w:szCs w:val="22"/>
          <w:highlight w:val="white"/>
        </w:rPr>
      </w:pPr>
      <w:r>
        <w:rPr>
          <w:rFonts w:hint="eastAsia" w:ascii="宋体" w:hAnsi="宋体"/>
          <w:b/>
          <w:bCs/>
          <w:color w:val="000000"/>
          <w:szCs w:val="22"/>
          <w:highlight w:val="white"/>
        </w:rPr>
        <w:t xml:space="preserve">三、</w:t>
      </w:r>
      <w:r>
        <w:rPr>
          <w:rFonts w:hint="eastAsia" w:ascii="宋体" w:hAnsi="宋体" w:cs="宋体"/>
          <w:b/>
          <w:color w:val="000000"/>
          <w:szCs w:val="21"/>
          <w:highlight w:val="white"/>
        </w:rPr>
        <w:t xml:space="preserve">项目内容及要求</w:t>
      </w:r>
      <w:r>
        <w:rPr>
          <w:rFonts w:hint="eastAsia" w:ascii="宋体" w:hAnsi="宋体"/>
          <w:b/>
          <w:bCs/>
          <w:color w:val="000000"/>
          <w:szCs w:val="22"/>
          <w:highlight w:val="white"/>
        </w:rPr>
      </w:r>
      <w:r>
        <w:rPr>
          <w:highlight w:val="white"/>
        </w:rPr>
      </w:r>
    </w:p>
    <w:p>
      <w:pPr>
        <w:pStyle w:val="1067"/>
        <w:ind w:firstLine="422"/>
        <w:spacing w:line="400" w:lineRule="exact"/>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（一）整体服务目标</w:t>
      </w:r>
      <w:r>
        <w:rPr>
          <w:rFonts w:hint="eastAsia" w:ascii="宋体" w:hAnsi="宋体" w:eastAsia="宋体" w:cs="宋体"/>
          <w:b/>
          <w:bCs w:val="0"/>
          <w:color w:val="000000"/>
          <w:szCs w:val="21"/>
          <w:highlight w:val="none"/>
          <w:u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1.服务覆盖目标。本次服务覆盖全区所有厂中厂园区、有限空间场所、金属冶炼单位、安置房小区和社会面小场所的安全智能感知与预警服务。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2.运营效能目标。所有感知网络终端在线率与完好率≥95%，预警响应与处置率≥99.9%，基础信息准确率≥95%，形成标准化的运营流程与服务规范。</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3.防控能力目标。实现对电动车充电、有限空间安全作业、电动车进楼道、燃气泄漏等的智能监测与自动预警，初步建成“平急两用”的快速响应机制。</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4.智能体赋能目标。通过边云协同与AI大模型，实现各类预警事件线索的主动发现，预警的智能诊断与分级处置，提升真实警情的发现效率、确认效率与处置效率。</w:t>
      </w:r>
      <w:r>
        <w:rPr>
          <w:rFonts w:hint="eastAsia" w:ascii="宋体" w:hAnsi="宋体" w:eastAsia="宋体" w:cs="宋体"/>
          <w:bCs/>
          <w:color w:val="000000"/>
          <w:szCs w:val="21"/>
          <w:highlight w:val="none"/>
          <w:lang w:val="en-US" w:eastAsia="zh-CN"/>
        </w:rPr>
      </w:r>
      <w:r/>
    </w:p>
    <w:p>
      <w:pPr>
        <w:pStyle w:val="1067"/>
        <w:ind w:firstLine="422"/>
        <w:spacing w:line="400" w:lineRule="exact"/>
        <w:rPr>
          <w:rFonts w:hint="eastAsia" w:ascii="宋体" w:hAnsi="宋体" w:eastAsia="宋体" w:cs="宋体"/>
          <w:b/>
          <w:bCs w:val="0"/>
          <w:color w:val="000000"/>
          <w:szCs w:val="21"/>
          <w:highlight w:val="none"/>
          <w:u w:val="none"/>
          <w:lang w:val="en-US" w:eastAsia="zh-CN"/>
        </w:rPr>
      </w:pPr>
      <w:r>
        <w:rPr>
          <w:rFonts w:hint="eastAsia" w:ascii="宋体" w:hAnsi="宋体" w:eastAsia="宋体" w:cs="宋体"/>
          <w:b/>
          <w:bCs w:val="0"/>
          <w:color w:val="000000"/>
          <w:szCs w:val="21"/>
          <w:highlight w:val="none"/>
          <w:u w:val="none"/>
          <w:lang w:val="en-US" w:eastAsia="zh-CN"/>
        </w:rPr>
        <w:t xml:space="preserve">（二）场景服务内容</w:t>
      </w:r>
      <w:r>
        <w:rPr>
          <w:rFonts w:hint="eastAsia" w:ascii="宋体" w:hAnsi="宋体" w:eastAsia="宋体" w:cs="宋体"/>
          <w:b/>
          <w:bCs w:val="0"/>
          <w:color w:val="000000"/>
          <w:szCs w:val="21"/>
          <w:highlight w:val="none"/>
          <w:u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1.厂中厂安全服务：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（1）电动车集中充电区监测预警服务：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①服务范围（实际实施可以根据企业情况适当调整）：</w:t>
      </w:r>
      <w:r>
        <w:rPr>
          <w:rFonts w:hint="eastAsia" w:ascii="宋体" w:hAnsi="宋体" w:eastAsia="宋体" w:cs="宋体"/>
          <w:bCs/>
          <w:color w:val="000000"/>
          <w:szCs w:val="21"/>
          <w:highlight w:val="none"/>
          <w:lang w:val="en-US" w:eastAsia="zh-CN"/>
        </w:rPr>
      </w:r>
      <w:r/>
    </w:p>
    <w:tbl>
      <w:tblPr>
        <w:tblW w:w="84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115"/>
        <w:gridCol w:w="2640"/>
      </w:tblGrid>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地点</w:t>
            </w:r>
            <w:r>
              <w:rPr>
                <w:rFonts w:hint="eastAsia" w:ascii="宋体" w:hAnsi="宋体" w:eastAsia="宋体" w:cs="宋体"/>
                <w:b/>
                <w:bCs/>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新增红外火焰探测终端数</w:t>
            </w:r>
            <w:r>
              <w:rPr>
                <w:rFonts w:hint="eastAsia" w:ascii="宋体" w:hAnsi="宋体" w:eastAsia="宋体" w:cs="宋体"/>
                <w:b/>
                <w:bCs/>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常州市塑料彩印有限公司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常州市金力光学仪器有限公司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常州市双利来玻璃有限公司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青松村委</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常州申宏体育用品有限公司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常州航月纺织机件有限公司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旺阁农庄</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常州市迎燕复合材料有限公司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常州市伟聃塑料包装有限公司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东源钢瓶</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东源电缆</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翁一龙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豪能空调设备厂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江苏科能电力机械有限公司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金仁煜1</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东青包装机械</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丹江矿山</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毅宵塑料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常州市武城电子有限公司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三利模具</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常州金星双宇电装有限公司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常州市再创车辆有限公司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武城庙</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洁美滤材</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常州市园明五金厂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常州兆信捷电子有限公司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常州市云林金属制品有限公司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江苏栋德机械科技有限公司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常州瑞讯电子股份有限公司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常州市人峰机械科技有限公司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常州市远恒玻璃有限公司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常州市文华机电有限公司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常州严之春厂区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常州市培星纺织机械制造有限公司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常州市仙偶电子净化设备有限公司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常州市宝安车辆配件有限公司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常州市青龙道路建设工程有限公司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常州市鼎润土石方工程有限公司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常州市润腾超声波科技有限公司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常州弘创大厦</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常州市吉利玻璃有限公司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常州市建雄模具有限公司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常顺医疗科技有限公司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常州伟业油箱有限公司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常州宏鹄焊接材料有限公司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常州市恒宇钢令纺织有限公司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常州鑫泰建材有限公司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常州市新卓车业有限公司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嘉美好亚麻短纤</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常州慧能齿轮有限公司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常州源兴数控机床有限公司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常州市禾佳阳光能源技术有限公司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常州市超然电力电子有限公司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盛乐电子</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常州南方空调</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常州生物医学工程有限公司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常州市亚都纺织厂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刘家村村委会</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大西头29号</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常州汇金精密机械有限公司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健达干燥</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庆达电力</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常州庆达船舶动力有限公司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常州市福来特电子有限公司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常州市东青工业搪瓷有限公司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耿彬-(天宁区天宁经济开发区)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常州丰英照明电器有限公司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福北工业园二期</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三只熊（江苏）健康科技有限公司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常州市永华塑料厂</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焦仁秋-(天宁区天宁经济开发区福成北塘社区)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俞志林-(天宁区天宁经济开发区)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常州祺嘉科技有限公司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常州市大福阳物流有限公司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亚芯半导体材料（江苏）有限公司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常州仁千物业管理有限公司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常州特种变压器有限公司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弘辉标准厂房</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常州明杰重工科技股份有限公司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常州诺德电子股份有限公司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无锡联锡科技有限公司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常州恒扬信息科技有限公司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常州亚玛顿股份有限公司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常州三毛纺织集团有限公司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弘辉加速器</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常州青洋塑业科技有限公司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常州昆信科技产业有限公司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常州弘瀚科技有限公司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常州市慧心动能智能科技有限公司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南京麦秋科技产业发展有限公司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常州市金日印染有限公司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高士工业园区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常州天美日用品有限公司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常州联信纺织染整有限公司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姚文国-(天宁区天宁经济开发区)</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常州龙城之星染织有限公司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常州华锦针织服装有限公司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常州机械施工有限公司</w:t>
            </w: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85"/>
        </w:trPr>
        <w:tc>
          <w:tcPr>
            <w:tcW w:w="675"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5115" w:type="dxa"/>
            <w:vAlign w:val="center"/>
            <w:textDirection w:val="lrTb"/>
            <w:noWrap/>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640" w:type="dxa"/>
            <w:vAlign w:val="center"/>
            <w:textDirection w:val="lrTb"/>
            <w:noWrap/>
          </w:tcPr>
          <w:p>
            <w:pPr>
              <w:pStyle w:val="1067"/>
              <w:jc w:val="center"/>
              <w:keepLines w:val="0"/>
              <w:keepNext w:val="0"/>
              <w:spacing w:line="240" w:lineRule="auto"/>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ascii="宋体" w:hAnsi="宋体" w:eastAsia="宋体" w:cs="宋体"/>
                <w:i w:val="0"/>
                <w:iCs w:val="0"/>
                <w:color w:val="000000"/>
                <w:sz w:val="21"/>
                <w:szCs w:val="21"/>
                <w:highlight w:val="none"/>
                <w:u w:val="none"/>
                <w:lang w:val="en-US"/>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②服务要求：</w:t>
      </w:r>
      <w:r>
        <w:rPr>
          <w:rFonts w:hint="eastAsia" w:ascii="宋体" w:hAnsi="宋体" w:eastAsia="宋体" w:cs="宋体"/>
          <w:bCs/>
          <w:color w:val="000000"/>
          <w:szCs w:val="21"/>
          <w:highlight w:val="none"/>
          <w:lang w:val="en-US" w:eastAsia="zh-CN"/>
        </w:rPr>
      </w:r>
      <w:r/>
    </w:p>
    <w:tbl>
      <w:tblPr>
        <w:tblW w:w="84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12"/>
        <w:gridCol w:w="5591"/>
        <w:gridCol w:w="688"/>
        <w:gridCol w:w="744"/>
      </w:tblGrid>
      <w:tr>
        <w:trPr>
          <w:trHeight w:val="285"/>
        </w:trPr>
        <w:tc>
          <w:tcPr>
            <w:tcW w:w="1412"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59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818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AI红外感知设备服务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1、提供AI红外感知设备（含前端存储卡）三年能力服务；历史视频存储大于1个月；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2、可视化火焰探测器参数：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▲热成像像素≥256×192</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▲可见光图像≥500万像素，分辨率≥2592*1944</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内置补光灯，监控距离不低于50米；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支持火点探测报警，支持冷热点报警和测温报警功能，支持测温功能；</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报警范围：可设置为-20℃到550℃，可设置热成像视频图像温度单位为摄氏度、华氏度，鼠标点击热成像视频图像画面上的任意一点，可叠加该点的探测温度，可在热成像视频图像画面上显示设定点的平均温、报警温度斜率，可在热成像视频图像画面上显示设定线条上的最高探测温度、最低探测温度和平均探测温度、报警温度斜率、温度差值，可在热成像视频图像画面上显示设定区域上的最高探测温度、最低探测温度和平均探测温度、报警温度斜率、温度差值</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内置MIC和高音量扬声器， 支持声光语音报警联动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▲具备红黄绿三色指示灯可现实设备工作、故障、报警状态</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▲热成像图像具有白热、铁红、蓝热、绿热等不少于26种伪彩可调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支持3路报警输入、2路报警输出功能，Micro SD卡，1路音频输入、支持1路音频输出； </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支持IP66防护等级；</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支持DC12V-24V/POE供电方式；</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支持4G全网通无线通讯；</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172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AI红外感知设备安装部署服务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提供现场部署点位规划、现场部署安装（含辅材）、网络配置、预警参数配置、联调测试、拆除、移位等服务</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480"/>
        </w:trPr>
        <w:tc>
          <w:tcPr>
            <w:tcW w:w="141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AI红外感知物联感知通信服务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5G流量卡，100GB/月，36个月。</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744"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AI红外感知预警运营服务</w:t>
            </w: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68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744"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1、每六个月现场巡检1次，测试设备灵敏度、检查设备健康状态、更新预警联系人信息等；</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3、故障设备8小时更换；</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4、所有预警事件跟踪处置闭环（AI+人工联动处置）；</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412"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9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68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44"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（2）丙类重点仓库火灾监测预警服务：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青龙街道范围内厂中厂园区共用的100余个丙类重点仓库，具体清单街道提供。</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tbl>
      <w:tblPr>
        <w:tblW w:w="91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21"/>
        <w:gridCol w:w="5195"/>
        <w:gridCol w:w="1080"/>
        <w:gridCol w:w="1080"/>
      </w:tblGrid>
      <w:tr>
        <w:trPr>
          <w:trHeight w:val="285"/>
        </w:trPr>
        <w:tc>
          <w:tcPr>
            <w:tcW w:w="182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19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1000"/>
        </w:trPr>
        <w:tc>
          <w:tcPr>
            <w:tcW w:w="182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195" w:type="dxa"/>
            <w:vAlign w:val="center"/>
            <w:vMerge w:val="restart"/>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提供温烟感一体化设备三年能力服务；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2、感知设备参数：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765"/>
        </w:trPr>
        <w:tc>
          <w:tcPr>
            <w:tcW w:w="182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温烟感一体化设备安装部署服务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w:t>
            </w:r>
            <w:r>
              <w:rPr>
                <w:rStyle w:val="1343"/>
                <w:rFonts w:hint="eastAsia" w:ascii="宋体" w:hAnsi="宋体" w:eastAsia="宋体" w:cs="宋体"/>
                <w:color w:val="000000"/>
                <w:sz w:val="21"/>
                <w:szCs w:val="21"/>
                <w:highlight w:val="none"/>
                <w:lang w:val="en-US" w:eastAsia="zh-CN" w:bidi="ar"/>
              </w:rPr>
              <w:t xml:space="preserve">CAD</w:t>
            </w:r>
            <w:r>
              <w:rPr>
                <w:rStyle w:val="1344"/>
                <w:rFonts w:hint="eastAsia" w:ascii="宋体" w:hAnsi="宋体" w:eastAsia="宋体" w:cs="宋体"/>
                <w:color w:val="000000"/>
                <w:sz w:val="21"/>
                <w:szCs w:val="21"/>
                <w:highlight w:val="none"/>
                <w:lang w:val="en-US" w:eastAsia="zh-CN" w:bidi="ar"/>
              </w:rPr>
              <w:t xml:space="preserve">图测绘、部署点位规划、现场部署安装（含辅材）、数据初始化、预警参数配置（根据现场情况配置运行模式）、联调测试、拆除、移位等服务。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680"/>
        </w:trPr>
        <w:tc>
          <w:tcPr>
            <w:tcW w:w="182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温烟感一体化物联感知通信服务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NB/4G</w:t>
            </w:r>
            <w:r>
              <w:rPr>
                <w:rStyle w:val="1344"/>
                <w:rFonts w:hint="eastAsia" w:ascii="宋体" w:hAnsi="宋体" w:eastAsia="宋体" w:cs="宋体"/>
                <w:b w:val="0"/>
                <w:bCs w:val="0"/>
                <w:color w:val="000000"/>
                <w:sz w:val="21"/>
                <w:szCs w:val="21"/>
                <w:highlight w:val="none"/>
                <w:lang w:val="en-US" w:eastAsia="zh-CN" w:bidi="ar"/>
              </w:rPr>
              <w:t xml:space="preserve">流量卡；</w:t>
            </w:r>
            <w:r>
              <w:rPr>
                <w:rStyle w:val="1343"/>
                <w:rFonts w:hint="eastAsia" w:ascii="宋体" w:hAnsi="宋体" w:eastAsia="宋体" w:cs="宋体"/>
                <w:b w:val="0"/>
                <w:bCs w:val="0"/>
                <w:color w:val="000000"/>
                <w:sz w:val="21"/>
                <w:szCs w:val="21"/>
                <w:highlight w:val="none"/>
                <w:lang w:val="en-US" w:eastAsia="zh-CN" w:bidi="ar"/>
              </w:rPr>
              <w:t xml:space="preserve">40w</w:t>
            </w:r>
            <w:r>
              <w:rPr>
                <w:rStyle w:val="1344"/>
                <w:rFonts w:hint="eastAsia" w:ascii="宋体" w:hAnsi="宋体" w:eastAsia="宋体" w:cs="宋体"/>
                <w:b w:val="0"/>
                <w:bCs w:val="0"/>
                <w:color w:val="000000"/>
                <w:sz w:val="21"/>
                <w:szCs w:val="21"/>
                <w:highlight w:val="none"/>
                <w:lang w:val="en-US" w:eastAsia="zh-CN" w:bidi="ar"/>
              </w:rPr>
              <w:t xml:space="preserve">频次或</w:t>
            </w:r>
            <w:r>
              <w:rPr>
                <w:rStyle w:val="1343"/>
                <w:rFonts w:hint="eastAsia" w:ascii="宋体" w:hAnsi="宋体" w:eastAsia="宋体" w:cs="宋体"/>
                <w:b w:val="0"/>
                <w:bCs w:val="0"/>
                <w:color w:val="000000"/>
                <w:sz w:val="21"/>
                <w:szCs w:val="21"/>
                <w:highlight w:val="none"/>
                <w:lang w:val="en-US" w:eastAsia="zh-CN" w:bidi="ar"/>
              </w:rPr>
              <w:t xml:space="preserve">50M/</w:t>
            </w:r>
            <w:r>
              <w:rPr>
                <w:rStyle w:val="1344"/>
                <w:rFonts w:hint="eastAsia" w:ascii="宋体" w:hAnsi="宋体" w:eastAsia="宋体" w:cs="宋体"/>
                <w:b w:val="0"/>
                <w:bCs w:val="0"/>
                <w:color w:val="000000"/>
                <w:sz w:val="21"/>
                <w:szCs w:val="21"/>
                <w:highlight w:val="none"/>
                <w:lang w:val="en-US" w:eastAsia="zh-CN" w:bidi="ar"/>
              </w:rPr>
              <w:t xml:space="preserve">月，</w:t>
            </w:r>
            <w:r>
              <w:rPr>
                <w:rStyle w:val="1343"/>
                <w:rFonts w:hint="eastAsia" w:ascii="宋体" w:hAnsi="宋体" w:eastAsia="宋体" w:cs="宋体"/>
                <w:b w:val="0"/>
                <w:bCs w:val="0"/>
                <w:color w:val="000000"/>
                <w:sz w:val="21"/>
                <w:szCs w:val="21"/>
                <w:highlight w:val="none"/>
                <w:lang w:val="en-US" w:eastAsia="zh-CN" w:bidi="ar"/>
              </w:rPr>
              <w:t xml:space="preserve">36个月。</w:t>
            </w:r>
            <w:r>
              <w:rPr>
                <w:rFonts w:hint="eastAsia" w:ascii="宋体" w:hAnsi="宋体" w:eastAsia="宋体" w:cs="宋体"/>
                <w:b w:val="0"/>
                <w:bCs w:val="0"/>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提供三年的运营服务，包括：</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Style w:val="1344"/>
                <w:rFonts w:hint="eastAsia" w:ascii="宋体" w:hAnsi="宋体" w:eastAsia="宋体" w:cs="宋体"/>
                <w:b w:val="0"/>
                <w:bCs w:val="0"/>
                <w:color w:val="000000"/>
                <w:sz w:val="21"/>
                <w:szCs w:val="21"/>
                <w:highlight w:val="none"/>
                <w:lang w:val="en-US" w:eastAsia="zh-CN" w:bidi="ar"/>
              </w:rPr>
              <w:t xml:space="preserve">、每六个月现场巡检</w:t>
            </w:r>
            <w:r>
              <w:rPr>
                <w:rStyle w:val="1343"/>
                <w:rFonts w:hint="eastAsia" w:ascii="宋体" w:hAnsi="宋体" w:eastAsia="宋体" w:cs="宋体"/>
                <w:b w:val="0"/>
                <w:bCs w:val="0"/>
                <w:color w:val="000000"/>
                <w:sz w:val="21"/>
                <w:szCs w:val="21"/>
                <w:highlight w:val="none"/>
                <w:lang w:val="en-US" w:eastAsia="zh-CN" w:bidi="ar"/>
              </w:rPr>
              <w:t xml:space="preserve">1</w:t>
            </w:r>
            <w:r>
              <w:rPr>
                <w:rStyle w:val="1344"/>
                <w:rFonts w:hint="eastAsia" w:ascii="宋体" w:hAnsi="宋体" w:eastAsia="宋体" w:cs="宋体"/>
                <w:b w:val="0"/>
                <w:bCs w:val="0"/>
                <w:color w:val="000000"/>
                <w:sz w:val="21"/>
                <w:szCs w:val="21"/>
                <w:highlight w:val="none"/>
                <w:lang w:val="en-US" w:eastAsia="zh-CN" w:bidi="ar"/>
              </w:rPr>
              <w:t xml:space="preserve">次，测试设备灵敏度、更新预警联系人信息等；</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Style w:val="1344"/>
                <w:rFonts w:hint="eastAsia" w:ascii="宋体" w:hAnsi="宋体" w:eastAsia="宋体" w:cs="宋体"/>
                <w:b w:val="0"/>
                <w:bCs w:val="0"/>
                <w:color w:val="000000"/>
                <w:sz w:val="21"/>
                <w:szCs w:val="21"/>
                <w:highlight w:val="none"/>
                <w:lang w:val="en-US" w:eastAsia="zh-CN" w:bidi="ar"/>
              </w:rPr>
              <w:t xml:space="preserve">、按照甲方需求，提供服务期内设备安装部署位置迁移服务；</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Style w:val="1344"/>
                <w:rFonts w:hint="eastAsia" w:ascii="宋体" w:hAnsi="宋体" w:eastAsia="宋体" w:cs="宋体"/>
                <w:b w:val="0"/>
                <w:bCs w:val="0"/>
                <w:color w:val="000000"/>
                <w:sz w:val="21"/>
                <w:szCs w:val="21"/>
                <w:highlight w:val="none"/>
                <w:lang w:val="en-US" w:eastAsia="zh-CN" w:bidi="ar"/>
              </w:rPr>
              <w:t xml:space="preserve">、故障设备、灵敏度因迷宫污染降低的设备</w:t>
            </w:r>
            <w:r>
              <w:rPr>
                <w:rStyle w:val="1343"/>
                <w:rFonts w:hint="eastAsia" w:ascii="宋体" w:hAnsi="宋体" w:eastAsia="宋体" w:cs="宋体"/>
                <w:b w:val="0"/>
                <w:bCs w:val="0"/>
                <w:color w:val="000000"/>
                <w:sz w:val="21"/>
                <w:szCs w:val="21"/>
                <w:highlight w:val="none"/>
                <w:lang w:val="en-US" w:eastAsia="zh-CN" w:bidi="ar"/>
              </w:rPr>
              <w:t xml:space="preserve">8</w:t>
            </w:r>
            <w:r>
              <w:rPr>
                <w:rStyle w:val="1344"/>
                <w:rFonts w:hint="eastAsia" w:ascii="宋体" w:hAnsi="宋体" w:eastAsia="宋体" w:cs="宋体"/>
                <w:b w:val="0"/>
                <w:bCs w:val="0"/>
                <w:color w:val="000000"/>
                <w:sz w:val="21"/>
                <w:szCs w:val="21"/>
                <w:highlight w:val="none"/>
                <w:lang w:val="en-US" w:eastAsia="zh-CN" w:bidi="ar"/>
              </w:rPr>
              <w:t xml:space="preserve">小时内更换；</w:t>
            </w:r>
            <w:r>
              <w:rPr>
                <w:rFonts w:hint="eastAsia" w:ascii="宋体" w:hAnsi="宋体" w:eastAsia="宋体" w:cs="宋体"/>
                <w:b w:val="0"/>
                <w:bCs w:val="0"/>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Style w:val="1344"/>
                <w:rFonts w:hint="eastAsia" w:ascii="宋体" w:hAnsi="宋体" w:eastAsia="宋体" w:cs="宋体"/>
                <w:color w:val="000000"/>
                <w:sz w:val="21"/>
                <w:szCs w:val="21"/>
                <w:highlight w:val="none"/>
                <w:lang w:val="en-US" w:eastAsia="zh-CN" w:bidi="ar"/>
              </w:rPr>
              <w:t xml:space="preserve">、所有预警事件跟踪处置闭环（分级处置，</w:t>
            </w:r>
            <w:r>
              <w:rPr>
                <w:rStyle w:val="1343"/>
                <w:rFonts w:hint="eastAsia" w:ascii="宋体" w:hAnsi="宋体" w:eastAsia="宋体" w:cs="宋体"/>
                <w:color w:val="000000"/>
                <w:sz w:val="21"/>
                <w:szCs w:val="21"/>
                <w:highlight w:val="none"/>
                <w:lang w:val="en-US" w:eastAsia="zh-CN" w:bidi="ar"/>
              </w:rPr>
              <w:t xml:space="preserve">AI</w:t>
            </w:r>
            <w:r>
              <w:rPr>
                <w:rStyle w:val="1344"/>
                <w:rFonts w:hint="eastAsia" w:ascii="宋体" w:hAnsi="宋体" w:eastAsia="宋体" w:cs="宋体"/>
                <w:color w:val="000000"/>
                <w:sz w:val="21"/>
                <w:szCs w:val="21"/>
                <w:highlight w:val="none"/>
                <w:lang w:val="en-US" w:eastAsia="zh-CN" w:bidi="ar"/>
              </w:rPr>
              <w:t xml:space="preserve">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Style w:val="1344"/>
                <w:rFonts w:hint="eastAsia" w:ascii="宋体" w:hAnsi="宋体" w:eastAsia="宋体" w:cs="宋体"/>
                <w:color w:val="000000"/>
                <w:sz w:val="21"/>
                <w:szCs w:val="21"/>
                <w:highlight w:val="none"/>
                <w:lang w:val="en-US" w:eastAsia="zh-CN" w:bidi="ar"/>
              </w:rPr>
              <w:t xml:space="preserve">、紧急预警服务：当研判为紧急预警时，提供紧急预警联通处置服务；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Style w:val="1344"/>
                <w:rFonts w:hint="eastAsia" w:ascii="宋体" w:hAnsi="宋体" w:eastAsia="宋体" w:cs="宋体"/>
                <w:color w:val="000000"/>
                <w:sz w:val="21"/>
                <w:szCs w:val="21"/>
                <w:highlight w:val="none"/>
                <w:lang w:val="en-US" w:eastAsia="zh-CN" w:bidi="ar"/>
              </w:rPr>
              <w:t xml:space="preserve">、提供配套软件平台服务，提供日常软件平台安全保障、运行维护、功能了迭代；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182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19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Style w:val="1344"/>
                <w:rFonts w:hint="eastAsia" w:ascii="宋体" w:hAnsi="宋体" w:eastAsia="宋体" w:cs="宋体"/>
                <w:color w:val="000000"/>
                <w:sz w:val="21"/>
                <w:szCs w:val="21"/>
                <w:highlight w:val="none"/>
                <w:lang w:val="en-US" w:eastAsia="zh-CN" w:bidi="ar"/>
              </w:rPr>
              <w:t xml:space="preserve">、提供</w:t>
            </w:r>
            <w:r>
              <w:rPr>
                <w:rStyle w:val="1343"/>
                <w:rFonts w:hint="eastAsia" w:ascii="宋体" w:hAnsi="宋体" w:eastAsia="宋体" w:cs="宋体"/>
                <w:color w:val="000000"/>
                <w:sz w:val="21"/>
                <w:szCs w:val="21"/>
                <w:highlight w:val="none"/>
                <w:lang w:val="en-US" w:eastAsia="zh-CN" w:bidi="ar"/>
              </w:rPr>
              <w:t xml:space="preserve">AI</w:t>
            </w:r>
            <w:r>
              <w:rPr>
                <w:rStyle w:val="1344"/>
                <w:rFonts w:hint="eastAsia" w:ascii="宋体" w:hAnsi="宋体" w:eastAsia="宋体" w:cs="宋体"/>
                <w:color w:val="000000"/>
                <w:sz w:val="21"/>
                <w:szCs w:val="21"/>
                <w:highlight w:val="none"/>
                <w:lang w:val="en-US" w:eastAsia="zh-CN" w:bidi="ar"/>
              </w:rPr>
              <w:t xml:space="preserve">大模型（</w:t>
            </w:r>
            <w:r>
              <w:rPr>
                <w:rStyle w:val="1343"/>
                <w:rFonts w:hint="eastAsia" w:ascii="宋体" w:hAnsi="宋体" w:eastAsia="宋体" w:cs="宋体"/>
                <w:color w:val="000000"/>
                <w:sz w:val="21"/>
                <w:szCs w:val="21"/>
                <w:highlight w:val="none"/>
                <w:lang w:val="en-US" w:eastAsia="zh-CN" w:bidi="ar"/>
              </w:rPr>
              <w:t xml:space="preserve">27B</w:t>
            </w:r>
            <w:r>
              <w:rPr>
                <w:rStyle w:val="1344"/>
                <w:rFonts w:hint="eastAsia" w:ascii="宋体" w:hAnsi="宋体" w:eastAsia="宋体" w:cs="宋体"/>
                <w:color w:val="000000"/>
                <w:sz w:val="21"/>
                <w:szCs w:val="21"/>
                <w:highlight w:val="none"/>
                <w:lang w:val="en-US" w:eastAsia="zh-CN" w:bidi="ar"/>
              </w:rPr>
              <w:t xml:space="preserve">）及智能体服务：包括故障诊断智能体、真实火情智能识别智能体、隐患智能识别智能体、安全教育培训智能体服务、安全态势分析问答智能体服务等及其所需算力。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（3）有限空间安全作业AI预警服务：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青龙街道32个有限空间单位，具体清单如下（实际实施可以根据企业情况适当调整）。</w:t>
      </w:r>
      <w:r>
        <w:rPr>
          <w:rFonts w:hint="eastAsia" w:ascii="宋体" w:hAnsi="宋体" w:eastAsia="宋体" w:cs="宋体"/>
          <w:bCs/>
          <w:color w:val="000000"/>
          <w:szCs w:val="21"/>
          <w:highlight w:val="none"/>
          <w:lang w:val="en-US" w:eastAsia="zh-CN"/>
        </w:rPr>
      </w:r>
      <w:r/>
    </w:p>
    <w:tbl>
      <w:tblPr>
        <w:tblW w:w="91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3907"/>
        <w:gridCol w:w="1764"/>
        <w:gridCol w:w="2400"/>
      </w:tblGrid>
      <w:tr>
        <w:trPr>
          <w:trHeight w:val="518"/>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单位名称</w:t>
            </w:r>
            <w:r>
              <w:rPr>
                <w:rFonts w:hint="eastAsia" w:ascii="宋体" w:hAnsi="宋体" w:eastAsia="宋体" w:cs="宋体"/>
                <w:b/>
                <w:bCs/>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所属行业</w:t>
            </w:r>
            <w:r>
              <w:rPr>
                <w:rFonts w:hint="eastAsia" w:ascii="宋体" w:hAnsi="宋体" w:eastAsia="宋体" w:cs="宋体"/>
                <w:b/>
                <w:bCs/>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有限空间类型</w:t>
            </w:r>
            <w:r>
              <w:rPr>
                <w:rFonts w:hint="eastAsia" w:ascii="宋体" w:hAnsi="宋体" w:eastAsia="宋体" w:cs="宋体"/>
                <w:b/>
                <w:bCs/>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黑牡丹纺织有限公司</w:t>
            </w:r>
            <w:r>
              <w:rPr>
                <w:rFonts w:hint="eastAsia" w:ascii="宋体" w:hAnsi="宋体" w:eastAsia="宋体" w:cs="宋体"/>
                <w:i w:val="0"/>
                <w:iCs w:val="0"/>
                <w:color w:val="000000"/>
                <w:sz w:val="21"/>
                <w:szCs w:val="21"/>
                <w:highlight w:val="none"/>
                <w:u w:val="none"/>
              </w:rPr>
            </w:r>
            <w:r/>
          </w:p>
        </w:tc>
        <w:tc>
          <w:tcPr>
            <w:tcW w:w="1764"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常州东方伊思达染织有限公司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常州龙城之星染织有限公司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常州浩基鼎泰印染有限公司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常州迪尔毛纺织有限公司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常州东恒印染有限公司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常州月夜灯芯绒有限公司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常州三毛纺织集团有限公司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常州旭荣针织印染有限公司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黑牡丹荣元（江苏）服饰有限公司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常州艾贝服饰有限公司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常州裕源灵泰面料科技有限公司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纺织印染</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常州佳卓特种车辆有限公司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常州远东连杆集团锻造有限公司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机械通用设备制造</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污水池，隔油池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常州市福来特电子有限公司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常州普江不锈钢管有限公司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污水池、酸罐</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常州市北洋建材有限公司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常州华瑞橡胶有限公司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污水池、循环冷却池、硫化罐</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常州宇宙星电子制造有限公司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常州市毅达包装有限公司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污水池、回收池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常州市洁丽木业有限公司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沉降室、木尘水沉降槽、水池、喷漆房、烘烤房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常州莱森机械制造有限公司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沉淀池、除尘喷淋塔</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铭创（江苏）幕墙新材料有限公司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酸洗池、烘干炕</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常州慧能齿轮有限公司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喷砂房、电阻炉</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常州市隆龙升经编机械有限公司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常州市三里电机有限公司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江苏蓝博环保机械有限公司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喷漆房</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江苏亿润线缆有限公司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污水池、喷淋塔</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常州市伟润特种油品有限公司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w:t>
            </w:r>
            <w:r>
              <w:rPr>
                <w:rFonts w:hint="eastAsia" w:ascii="宋体" w:hAnsi="宋体" w:eastAsia="宋体" w:cs="宋体"/>
                <w:i w:val="0"/>
                <w:iCs w:val="0"/>
                <w:color w:val="000000"/>
                <w:sz w:val="21"/>
                <w:szCs w:val="21"/>
                <w:highlight w:val="none"/>
                <w:u w:val="none"/>
              </w:rPr>
            </w:r>
            <w:r/>
          </w:p>
        </w:tc>
      </w:tr>
      <w:tr>
        <w:trPr>
          <w:trHeight w:val="400"/>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常州市肯特塑料包装有限公司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轻工</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污水池、冷却水池</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shd w:val="clear" w:color="auto" w:fill="ffffff"/>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常州弘源水务有限公司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shd w:val="clear" w:color="auto" w:fill="ffffff"/>
                <w:lang w:val="en-US" w:eastAsia="zh-CN" w:bidi="ar"/>
              </w:rPr>
              <w:t xml:space="preserve">商贸</w:t>
            </w:r>
            <w:r>
              <w:rPr>
                <w:rFonts w:hint="eastAsia" w:ascii="宋体" w:hAnsi="宋体" w:eastAsia="宋体" w:cs="宋体"/>
                <w:i w:val="0"/>
                <w:iCs w:val="0"/>
                <w:color w:val="000000"/>
                <w:sz w:val="21"/>
                <w:szCs w:val="21"/>
                <w:highlight w:val="none"/>
                <w:u w:val="none"/>
              </w:rPr>
            </w:r>
            <w:r/>
          </w:p>
        </w:tc>
        <w:tc>
          <w:tcPr>
            <w:shd w:val="clear" w:color="auto" w:fill="ffffff"/>
            <w:tcW w:w="2402" w:type="dxa"/>
            <w:vAlign w:val="center"/>
            <w:textDirection w:val="lrTb"/>
            <w:noWrap w:val="false"/>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3911"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常州恒泽水业发展有限公司</w:t>
            </w:r>
            <w:r>
              <w:rPr>
                <w:rFonts w:hint="eastAsia" w:ascii="宋体" w:hAnsi="宋体" w:eastAsia="宋体" w:cs="宋体"/>
                <w:i w:val="0"/>
                <w:iCs w:val="0"/>
                <w:color w:val="000000"/>
                <w:sz w:val="21"/>
                <w:szCs w:val="21"/>
                <w:highlight w:val="none"/>
                <w:u w:val="none"/>
              </w:rPr>
            </w:r>
            <w:r/>
          </w:p>
        </w:tc>
        <w:tc>
          <w:tcPr>
            <w:tcW w:w="1765"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商贸</w:t>
            </w:r>
            <w:r>
              <w:rPr>
                <w:rFonts w:hint="eastAsia" w:ascii="宋体" w:hAnsi="宋体" w:eastAsia="宋体" w:cs="宋体"/>
                <w:i w:val="0"/>
                <w:iCs w:val="0"/>
                <w:color w:val="000000"/>
                <w:sz w:val="21"/>
                <w:szCs w:val="21"/>
                <w:highlight w:val="none"/>
                <w:u w:val="none"/>
              </w:rPr>
            </w:r>
            <w:r/>
          </w:p>
        </w:tc>
        <w:tc>
          <w:tcPr>
            <w:tcW w:w="2402" w:type="dxa"/>
            <w:vAlign w:val="center"/>
            <w:textDirection w:val="lrTb"/>
            <w:noWrap w:val="false"/>
          </w:tcPr>
          <w:p>
            <w:pPr>
              <w:pStyle w:val="1067"/>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A：有毒气体检测预警服务：</w:t>
      </w:r>
      <w:r>
        <w:rPr>
          <w:rFonts w:hint="eastAsia" w:ascii="宋体" w:hAnsi="宋体" w:eastAsia="宋体" w:cs="宋体"/>
          <w:bCs/>
          <w:color w:val="000000"/>
          <w:szCs w:val="21"/>
          <w:highlight w:val="none"/>
          <w:lang w:val="en-US" w:eastAsia="zh-CN"/>
        </w:rPr>
      </w:r>
      <w:r/>
    </w:p>
    <w:tbl>
      <w:tblPr>
        <w:tblW w:w="919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26"/>
        <w:gridCol w:w="4486"/>
        <w:gridCol w:w="1905"/>
        <w:gridCol w:w="1080"/>
      </w:tblGrid>
      <w:tr>
        <w:trPr>
          <w:trHeight w:val="285"/>
        </w:trPr>
        <w:tc>
          <w:tcPr>
            <w:tcW w:w="172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448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11"/>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有毒气体感知设备能力服务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1、提供有毒气体感知设备三年能力服务；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2、能检测有限空间可燃性气体、氧气、一氧化碳、硫化氢等；</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3、设备参数：</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检测原理 催化燃烧式/电化学式/红外传感器/PID传感器</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适用气体 可燃、氧气、一氧化碳、硫化氢、二氧化硫等有毒气体</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工作电压 DC24V（正常工作电压范围：DC18V~DC36V）</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结构材料 压铸铝</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防爆标志 Ex db IIC T6 Gb，Ex tb IIIC T80℃ Db</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防护等级 IP66</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产品尺寸 227mm*273mm*80mm</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输出信号及</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通信接口 RS485接口（通讯协议：ModBus RTU）</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二总线通信</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2组无源开关量输出（最大容量：250VAC 5A）</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使用环境 可燃气体：（-40～70）℃</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其他气体：（-10～55）℃ </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相对湿度(10-95)％RH(非凝露)</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大气压86kPa~106kPa</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应在无显著冲击和振动的场所</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周围环境不应有腐蚀金属和破坏绝缘的介质</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产品重量 ≤3.0kg</w:t>
            </w:r>
            <w:r>
              <w:rPr>
                <w:rStyle w:val="1345"/>
                <w:rFonts w:hint="eastAsia" w:ascii="宋体" w:hAnsi="宋体" w:eastAsia="宋体" w:cs="宋体"/>
                <w:color w:val="000000"/>
                <w:sz w:val="21"/>
                <w:szCs w:val="21"/>
                <w:highlight w:val="none"/>
                <w:lang w:val="en-US" w:eastAsia="zh-CN" w:bidi="ar"/>
              </w:rPr>
              <w:br w:type="textWrapping" w:clear="all"/>
            </w:r>
            <w:r>
              <w:rPr>
                <w:rStyle w:val="1345"/>
                <w:rFonts w:hint="eastAsia" w:ascii="宋体" w:hAnsi="宋体" w:eastAsia="宋体" w:cs="宋体"/>
                <w:color w:val="000000"/>
                <w:sz w:val="21"/>
                <w:szCs w:val="21"/>
                <w:highlight w:val="none"/>
                <w:lang w:val="en-US" w:eastAsia="zh-CN" w:bidi="ar"/>
              </w:rPr>
              <w:t xml:space="preserve">传感器寿命 清洁空气中2~3年。</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10"/>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有毒气体感知设备安装部署服务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提供现场部署规划、现场部署安装（含辅材）、网络配置、预警参数配置、联调测、拆除、移位等服务</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40"/>
        </w:trPr>
        <w:tc>
          <w:tcPr>
            <w:tcW w:w="172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有毒气体物联感知通信服务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905"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有毒气体预警运营服务</w:t>
            </w: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905"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72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48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905"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B:有限空间安全作业AI预警服务：</w:t>
      </w:r>
      <w:r>
        <w:rPr>
          <w:rFonts w:hint="eastAsia" w:ascii="宋体" w:hAnsi="宋体" w:eastAsia="宋体" w:cs="宋体"/>
          <w:bCs/>
          <w:color w:val="000000"/>
          <w:szCs w:val="21"/>
          <w:highlight w:val="none"/>
          <w:lang w:val="en-US" w:eastAsia="zh-CN"/>
        </w:rPr>
      </w:r>
      <w:r/>
    </w:p>
    <w:tbl>
      <w:tblPr>
        <w:tblW w:w="906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8"/>
        <w:gridCol w:w="5414"/>
        <w:gridCol w:w="1169"/>
        <w:gridCol w:w="1080"/>
      </w:tblGrid>
      <w:tr>
        <w:trPr>
          <w:trHeight w:val="285"/>
        </w:trPr>
        <w:tc>
          <w:tcPr>
            <w:tcW w:w="139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41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533"/>
        </w:trPr>
        <w:tc>
          <w:tcPr>
            <w:tcW w:w="1398"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AI视频摄像机设备服务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1、提供有限空间作业AI视频监控设备三年服务；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color w:val="000000"/>
                <w:szCs w:val="21"/>
                <w:highlight w:val="none"/>
                <w:lang w:bidi="ar"/>
              </w:rPr>
              <w:t xml:space="preserve">支持专有场景算法，电子围栏、安全帽检测、烟火检测、区域人员计数、人员脱岗、吸烟检测等算法定制。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码流 多路码流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传输接口 2路百兆光口、2路百兆电口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多算法分析 支持多种算法同时分析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联动 4个DI有源输入接口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4个DO无源输出接口</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额定工作电压 DC12V</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工作电流 ≤1.4A</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防护等级 IP65</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510"/>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AI视频摄像机设备安装部署服务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提供现场部署规划、现场部署安装（含辅材）、网络配置、AI算法参数配置、识别区域配置、联调测试等服务</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AI视频摄像机物联感知通信服务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5G流量卡，100GB/月，36个月。</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AI视频摄像机预警运营服务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169"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8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139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16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tcW w:w="139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算法训练迭代升级服务</w:t>
            </w:r>
            <w:r>
              <w:rPr>
                <w:rFonts w:hint="eastAsia" w:ascii="宋体" w:hAnsi="宋体" w:eastAsia="宋体" w:cs="宋体"/>
                <w:i w:val="0"/>
                <w:iCs w:val="0"/>
                <w:color w:val="000000"/>
                <w:sz w:val="21"/>
                <w:szCs w:val="21"/>
                <w:highlight w:val="none"/>
                <w:u w:val="none"/>
              </w:rPr>
            </w:r>
            <w:r/>
          </w:p>
        </w:tc>
        <w:tc>
          <w:tcPr>
            <w:tcW w:w="541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提供有限空间AI算法的训练优化服务，每半年迭代一次算法；</w:t>
            </w:r>
            <w:r>
              <w:rPr>
                <w:rFonts w:hint="eastAsia" w:ascii="宋体" w:hAnsi="宋体" w:eastAsia="宋体" w:cs="宋体"/>
                <w:i w:val="0"/>
                <w:iCs w:val="0"/>
                <w:color w:val="000000"/>
                <w:sz w:val="21"/>
                <w:szCs w:val="21"/>
                <w:highlight w:val="none"/>
                <w:u w:val="none"/>
              </w:rPr>
            </w:r>
            <w:r/>
          </w:p>
        </w:tc>
        <w:tc>
          <w:tcPr>
            <w:tcW w:w="116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（4）安置房小区场景服务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①服务范围（实际实施可以根据小区情况适当调整）：</w:t>
      </w:r>
      <w:r>
        <w:rPr>
          <w:rFonts w:hint="eastAsia" w:ascii="宋体" w:hAnsi="宋体" w:eastAsia="宋体" w:cs="宋体"/>
          <w:bCs/>
          <w:color w:val="000000"/>
          <w:szCs w:val="21"/>
          <w:highlight w:val="none"/>
          <w:lang w:val="en-US" w:eastAsia="zh-CN"/>
        </w:rPr>
      </w:r>
      <w:r/>
    </w:p>
    <w:tbl>
      <w:tblPr>
        <w:tblW w:w="47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2"/>
        <w:gridCol w:w="5916"/>
      </w:tblGrid>
      <w:tr>
        <w:trPr>
          <w:trHeight w:val="435"/>
        </w:trPr>
        <w:tc>
          <w:tcPr>
            <w:tcW w:w="2902" w:type="dxa"/>
            <w:vAlign w:val="center"/>
            <w:textDirection w:val="lrTb"/>
            <w:noWrap/>
          </w:tcPr>
          <w:p>
            <w:pPr>
              <w:pStyle w:val="1346"/>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小区名称</w:t>
            </w:r>
            <w:r>
              <w:rPr>
                <w:rFonts w:hint="eastAsia" w:ascii="宋体" w:hAnsi="宋体" w:eastAsia="宋体" w:cs="宋体"/>
                <w:b/>
                <w:bCs/>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楼栋单元情况</w:t>
            </w:r>
            <w:r>
              <w:rPr>
                <w:rFonts w:hint="eastAsia" w:ascii="宋体" w:hAnsi="宋体" w:eastAsia="宋体" w:cs="宋体"/>
                <w:b/>
                <w:bCs/>
                <w:color w:val="000000"/>
                <w:sz w:val="21"/>
                <w:szCs w:val="21"/>
                <w:highlight w:val="none"/>
              </w:rPr>
            </w:r>
            <w:r/>
          </w:p>
        </w:tc>
      </w:tr>
      <w:tr>
        <w:trPr>
          <w:trHeight w:val="322"/>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景秀世家</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4栋（14单元），其余17栋非安置</w:t>
            </w:r>
            <w:r>
              <w:rPr>
                <w:rFonts w:hint="eastAsia" w:ascii="宋体" w:hAnsi="宋体" w:eastAsia="宋体" w:cs="宋体"/>
                <w:color w:val="000000"/>
                <w:sz w:val="21"/>
                <w:szCs w:val="21"/>
                <w:highlight w:val="none"/>
              </w:rPr>
            </w:r>
            <w:r/>
          </w:p>
        </w:tc>
      </w:tr>
      <w:tr>
        <w:trPr>
          <w:trHeight w:val="358"/>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紫云苑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47栋楼，116个单元</w:t>
            </w:r>
            <w:r>
              <w:rPr>
                <w:rFonts w:hint="eastAsia" w:ascii="宋体" w:hAnsi="宋体" w:eastAsia="宋体" w:cs="宋体"/>
                <w:color w:val="000000"/>
                <w:sz w:val="21"/>
                <w:szCs w:val="21"/>
                <w:highlight w:val="none"/>
              </w:rPr>
            </w:r>
            <w:r/>
          </w:p>
        </w:tc>
      </w:tr>
      <w:tr>
        <w:trPr>
          <w:trHeight w:val="335"/>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新丰苑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20栋，36个单元</w:t>
            </w:r>
            <w:r>
              <w:rPr>
                <w:rFonts w:hint="eastAsia" w:ascii="宋体" w:hAnsi="宋体" w:eastAsia="宋体" w:cs="宋体"/>
                <w:color w:val="000000"/>
                <w:sz w:val="21"/>
                <w:szCs w:val="21"/>
                <w:highlight w:val="none"/>
              </w:rPr>
            </w:r>
            <w:r/>
          </w:p>
        </w:tc>
      </w:tr>
      <w:tr>
        <w:trPr>
          <w:trHeight w:val="476"/>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青龙苑南区</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60栋，112个单元，13排别墅，别墅2户1栋，总共70户。</w:t>
            </w:r>
            <w:r>
              <w:rPr>
                <w:rFonts w:hint="eastAsia" w:ascii="宋体" w:hAnsi="宋体" w:eastAsia="宋体" w:cs="宋体"/>
                <w:color w:val="000000"/>
                <w:sz w:val="21"/>
                <w:szCs w:val="21"/>
                <w:highlight w:val="none"/>
              </w:rPr>
            </w:r>
            <w:r/>
          </w:p>
        </w:tc>
      </w:tr>
      <w:tr>
        <w:trPr>
          <w:trHeight w:val="356"/>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青竹苑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51栋，127个单元</w:t>
            </w:r>
            <w:r>
              <w:rPr>
                <w:rFonts w:hint="eastAsia" w:ascii="宋体" w:hAnsi="宋体" w:eastAsia="宋体" w:cs="宋体"/>
                <w:color w:val="000000"/>
                <w:sz w:val="21"/>
                <w:szCs w:val="21"/>
                <w:highlight w:val="none"/>
              </w:rPr>
            </w:r>
            <w:r/>
          </w:p>
        </w:tc>
      </w:tr>
      <w:tr>
        <w:trPr>
          <w:trHeight w:val="388"/>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青龙苑北区</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75栋，220个单元</w:t>
            </w:r>
            <w:r>
              <w:rPr>
                <w:rFonts w:hint="eastAsia" w:ascii="宋体" w:hAnsi="宋体" w:eastAsia="宋体" w:cs="宋体"/>
                <w:color w:val="000000"/>
                <w:sz w:val="21"/>
                <w:szCs w:val="21"/>
                <w:highlight w:val="none"/>
              </w:rPr>
            </w:r>
            <w:r/>
          </w:p>
        </w:tc>
      </w:tr>
      <w:tr>
        <w:trPr>
          <w:trHeight w:val="373"/>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东青雅苑</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4栋，6个单元</w:t>
            </w:r>
            <w:r>
              <w:rPr>
                <w:rFonts w:hint="eastAsia" w:ascii="宋体" w:hAnsi="宋体" w:eastAsia="宋体" w:cs="宋体"/>
                <w:color w:val="000000"/>
                <w:sz w:val="21"/>
                <w:szCs w:val="21"/>
                <w:highlight w:val="none"/>
              </w:rPr>
            </w:r>
            <w:r/>
          </w:p>
        </w:tc>
      </w:tr>
      <w:tr>
        <w:trPr>
          <w:trHeight w:val="377"/>
        </w:trPr>
        <w:tc>
          <w:tcPr>
            <w:tcW w:w="2902" w:type="dxa"/>
            <w:vAlign w:val="center"/>
            <w:textDirection w:val="lrTb"/>
            <w:noWrap/>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青龙苑七期</w:t>
            </w:r>
            <w:r>
              <w:rPr>
                <w:rFonts w:hint="eastAsia" w:ascii="宋体" w:hAnsi="宋体" w:eastAsia="宋体" w:cs="宋体"/>
                <w:color w:val="000000"/>
                <w:sz w:val="21"/>
                <w:szCs w:val="21"/>
                <w:highlight w:val="none"/>
              </w:rPr>
            </w:r>
            <w:r/>
          </w:p>
        </w:tc>
        <w:tc>
          <w:tcPr>
            <w:tcW w:w="5917" w:type="dxa"/>
            <w:vAlign w:val="center"/>
            <w:textDirection w:val="lrTb"/>
            <w:noWrap w:val="false"/>
          </w:tcPr>
          <w:p>
            <w:pPr>
              <w:pStyle w:val="1346"/>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8栋，15个单元</w:t>
            </w:r>
            <w:r>
              <w:rPr>
                <w:rFonts w:hint="eastAsia" w:ascii="宋体" w:hAnsi="宋体" w:eastAsia="宋体" w:cs="宋体"/>
                <w:color w:val="000000"/>
                <w:sz w:val="21"/>
                <w:szCs w:val="21"/>
                <w:highlight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　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A、地下、半地下电动车充电监测预警服务：</w:t>
      </w:r>
      <w:r>
        <w:rPr>
          <w:rFonts w:hint="eastAsia" w:ascii="宋体" w:hAnsi="宋体" w:eastAsia="宋体" w:cs="宋体"/>
          <w:bCs/>
          <w:color w:val="000000"/>
          <w:szCs w:val="21"/>
          <w:highlight w:val="none"/>
          <w:lang w:val="en-US" w:eastAsia="zh-CN"/>
        </w:rPr>
      </w:r>
      <w:r/>
    </w:p>
    <w:tbl>
      <w:tblPr>
        <w:tblW w:w="927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66"/>
        <w:gridCol w:w="5346"/>
        <w:gridCol w:w="1080"/>
        <w:gridCol w:w="1080"/>
      </w:tblGrid>
      <w:tr>
        <w:trPr>
          <w:trHeight w:val="315"/>
        </w:trPr>
        <w:tc>
          <w:tcPr>
            <w:tcW w:w="176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服务内容</w:t>
            </w:r>
            <w:r>
              <w:rPr>
                <w:rFonts w:hint="eastAsia" w:ascii="宋体" w:hAnsi="宋体" w:eastAsia="宋体" w:cs="宋体"/>
                <w:b/>
                <w:bCs/>
                <w:i w:val="0"/>
                <w:iCs w:val="0"/>
                <w:color w:val="000000"/>
                <w:sz w:val="22"/>
                <w:szCs w:val="22"/>
                <w:highlight w:val="none"/>
                <w:u w:val="none"/>
              </w:rPr>
            </w:r>
            <w:r/>
          </w:p>
        </w:tc>
        <w:tc>
          <w:tcPr>
            <w:tcW w:w="5346" w:type="dxa"/>
            <w:vAlign w:val="center"/>
            <w:textDirection w:val="lrTb"/>
            <w:noWrap/>
          </w:tcPr>
          <w:p>
            <w:pPr>
              <w:pStyle w:val="1067"/>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内容描述</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511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提供温烟感一体化设备三年服务;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52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温烟感一体化感知设备安装部署服务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315"/>
        </w:trPr>
        <w:tc>
          <w:tcPr>
            <w:tcW w:w="176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温烟感一体化物联感知通信服务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NB/4G流量卡；40w频次或50M/月，36个月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285"/>
        </w:trPr>
        <w:tc>
          <w:tcPr>
            <w:tcW w:w="176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76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4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B、小区楼栋视频AI加载服务：</w:t>
      </w:r>
      <w:r>
        <w:rPr>
          <w:rFonts w:hint="eastAsia" w:ascii="宋体" w:hAnsi="宋体" w:eastAsia="宋体" w:cs="宋体"/>
          <w:bCs/>
          <w:color w:val="000000"/>
          <w:szCs w:val="21"/>
          <w:highlight w:val="none"/>
          <w:lang w:val="en-US" w:eastAsia="zh-CN"/>
        </w:rPr>
      </w:r>
      <w:r/>
    </w:p>
    <w:tbl>
      <w:tblPr>
        <w:tblpPr w:horzAnchor="page" w:tblpX="1840" w:vertAnchor="text" w:tblpY="153" w:leftFromText="180" w:topFromText="0" w:rightFromText="180" w:bottomFromText="0"/>
        <w:tblW w:w="913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1"/>
        <w:gridCol w:w="5605"/>
        <w:gridCol w:w="1080"/>
        <w:gridCol w:w="1080"/>
      </w:tblGrid>
      <w:tr>
        <w:trPr>
          <w:trHeight w:val="253"/>
        </w:trPr>
        <w:tc>
          <w:tcPr>
            <w:tcW w:w="137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服务内容</w:t>
            </w:r>
            <w:r>
              <w:rPr>
                <w:rFonts w:hint="eastAsia" w:ascii="宋体" w:hAnsi="宋体" w:eastAsia="宋体" w:cs="宋体"/>
                <w:b/>
                <w:bCs/>
                <w:i w:val="0"/>
                <w:iCs w:val="0"/>
                <w:color w:val="000000"/>
                <w:sz w:val="22"/>
                <w:szCs w:val="22"/>
                <w:highlight w:val="none"/>
                <w:u w:val="none"/>
              </w:rPr>
            </w:r>
            <w:r/>
          </w:p>
        </w:tc>
        <w:tc>
          <w:tcPr>
            <w:tcW w:w="5605"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内容描述</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framePr w:vAnchor="text" w:hAnchor="page" w:x="1840" w:y="153"/>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3840"/>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边缘算力设备服务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提供边缘AI算力盒租赁三年服务，为现有小区楼栋视频提供AI边缘算力（叠加电动车火灾识别、电动车进楼道识别算法）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color w:val="000000"/>
                <w:szCs w:val="21"/>
                <w:highlight w:val="none"/>
                <w:lang w:bidi="ar"/>
              </w:rPr>
              <w:t xml:space="preserve">设备参数：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操作系统： Linux</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AI 芯片：内置国产 NPU 芯片</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智能分析 ：人员检测、区域入侵、人数统计、吸烟检测、烟火检测、电动车进楼道识别等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联动 支持：modbus协议联动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接口支持：支持H.265、H.264编码前端自适应接入</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网络接口： 1个，RJ45 10M/100M/1000M自适应以太网口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现有视频接入、AI算法配置服务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1、提供当前已有的视频接入边缘计算盒服务（含接入辅材，如交换机、网络布线等）</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01"/>
        </w:trPr>
        <w:tc>
          <w:tcPr>
            <w:tcW w:w="1371" w:type="dxa"/>
            <w:vAlign w:val="center"/>
            <w:vMerge w:val="continue"/>
            <w:textDirection w:val="lrTb"/>
            <w:noWrap w:val="false"/>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2、提供每路视频的识别区域配置、预警参数配置等服务；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472"/>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每个小区提供一条500兆以上的宽带，36个月。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边缘算力预警运营服务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3、故障设备8小时维修更换；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85"/>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780"/>
        </w:trPr>
        <w:tc>
          <w:tcPr>
            <w:tcW w:w="1371"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framePr w:vAnchor="text" w:hAnchor="page" w:x="1840" w:y="153"/>
            </w:pPr>
            <w:r>
              <w:rPr>
                <w:rFonts w:hint="eastAsia" w:ascii="宋体" w:hAnsi="宋体" w:eastAsia="宋体" w:cs="宋体"/>
                <w:i w:val="0"/>
                <w:iCs w:val="0"/>
                <w:color w:val="000000"/>
                <w:sz w:val="21"/>
                <w:szCs w:val="21"/>
                <w:highlight w:val="none"/>
                <w:u w:val="none"/>
              </w:rPr>
            </w:r>
            <w:r/>
          </w:p>
        </w:tc>
      </w:tr>
      <w:tr>
        <w:trPr>
          <w:trHeight w:val="256"/>
        </w:trPr>
        <w:tc>
          <w:tcPr>
            <w:tcW w:w="1371"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算法训练迭代升级服务</w:t>
            </w:r>
            <w:r>
              <w:rPr>
                <w:rFonts w:hint="eastAsia" w:ascii="宋体" w:hAnsi="宋体" w:eastAsia="宋体" w:cs="宋体"/>
                <w:i w:val="0"/>
                <w:iCs w:val="0"/>
                <w:color w:val="000000"/>
                <w:sz w:val="21"/>
                <w:szCs w:val="21"/>
                <w:highlight w:val="none"/>
                <w:u w:val="none"/>
              </w:rPr>
            </w:r>
            <w:r/>
          </w:p>
        </w:tc>
        <w:tc>
          <w:tcPr>
            <w:tcW w:w="5605"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提供AI算法的训练优化服务，每半年迭代一次算法；</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840" w:y="153"/>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（5）金属冶炼单位场景服务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青龙街道10家冶炼企业，详细清单如下（实际实施可以根据企业情况适当调整）。</w:t>
      </w:r>
      <w:r>
        <w:rPr>
          <w:rFonts w:hint="eastAsia" w:ascii="宋体" w:hAnsi="宋体" w:eastAsia="宋体" w:cs="宋体"/>
          <w:bCs/>
          <w:color w:val="000000"/>
          <w:szCs w:val="21"/>
          <w:highlight w:val="none"/>
          <w:lang w:val="en-US" w:eastAsia="zh-CN"/>
        </w:rPr>
      </w:r>
      <w:r/>
    </w:p>
    <w:tbl>
      <w:tblPr>
        <w:tblW w:w="813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290"/>
        <w:gridCol w:w="1686"/>
        <w:gridCol w:w="2303"/>
      </w:tblGrid>
      <w:tr>
        <w:trPr>
          <w:trHeight w:val="312"/>
        </w:trPr>
        <w:tc>
          <w:tcPr>
            <w:tcW w:w="859"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3290"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企业名称</w:t>
            </w:r>
            <w:r>
              <w:rPr>
                <w:rFonts w:hint="eastAsia" w:ascii="宋体" w:hAnsi="宋体" w:eastAsia="宋体" w:cs="宋体"/>
                <w:b/>
                <w:bCs/>
                <w:i w:val="0"/>
                <w:iCs w:val="0"/>
                <w:color w:val="000000"/>
                <w:sz w:val="21"/>
                <w:szCs w:val="21"/>
                <w:highlight w:val="none"/>
                <w:u w:val="none"/>
              </w:rPr>
            </w:r>
            <w:r/>
          </w:p>
        </w:tc>
        <w:tc>
          <w:tcPr>
            <w:tcW w:w="1686"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地址</w:t>
            </w:r>
            <w:r>
              <w:rPr>
                <w:rFonts w:hint="eastAsia" w:ascii="宋体" w:hAnsi="宋体" w:eastAsia="宋体" w:cs="宋体"/>
                <w:b/>
                <w:bCs/>
                <w:i w:val="0"/>
                <w:iCs w:val="0"/>
                <w:color w:val="000000"/>
                <w:sz w:val="21"/>
                <w:szCs w:val="21"/>
                <w:highlight w:val="none"/>
                <w:u w:val="none"/>
              </w:rPr>
            </w:r>
            <w:r/>
          </w:p>
        </w:tc>
        <w:tc>
          <w:tcPr>
            <w:tcW w:w="2303" w:type="dxa"/>
            <w:vAlign w:val="center"/>
            <w:vMerge w:val="restart"/>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主要工艺</w:t>
            </w:r>
            <w:r>
              <w:rPr>
                <w:rFonts w:hint="eastAsia" w:ascii="宋体" w:hAnsi="宋体" w:eastAsia="宋体" w:cs="宋体"/>
                <w:b/>
                <w:bCs/>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常州市神州新龙压铸有限公司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熔炼、压铸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常州伟业油箱有限公司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熔炼、压铸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常州辉航动力科技有限公司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蜡模、制壳、焙烧模壳、熔炼浇注、清砂</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常州市武进兴力铸造有限公司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和平村村委会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混砂、制模、熔炼、浇筑、打磨、加工</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常州市峰芳机械配件厂</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东青村村委会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常州市金力光学仪器有限公司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青松村村委会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常州市武城电子有限公司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武城村村委会</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常州市精艺机械制造有限公司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熔化、压铸</w:t>
            </w:r>
            <w:r>
              <w:rPr>
                <w:rFonts w:hint="eastAsia" w:ascii="宋体" w:hAnsi="宋体" w:eastAsia="宋体" w:cs="宋体"/>
                <w:i w:val="0"/>
                <w:iCs w:val="0"/>
                <w:color w:val="000000"/>
                <w:sz w:val="21"/>
                <w:szCs w:val="21"/>
                <w:highlight w:val="none"/>
                <w:u w:val="none"/>
              </w:rPr>
            </w:r>
            <w:r/>
          </w:p>
        </w:tc>
      </w:tr>
      <w:tr>
        <w:trPr>
          <w:trHeight w:val="776"/>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江苏远方动力科技有限公司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铸造、机加工</w:t>
            </w:r>
            <w:r>
              <w:rPr>
                <w:rFonts w:hint="eastAsia" w:ascii="宋体" w:hAnsi="宋体" w:eastAsia="宋体" w:cs="宋体"/>
                <w:i w:val="0"/>
                <w:iCs w:val="0"/>
                <w:color w:val="000000"/>
                <w:sz w:val="21"/>
                <w:szCs w:val="21"/>
                <w:highlight w:val="none"/>
                <w:u w:val="none"/>
              </w:rPr>
            </w:r>
            <w:r/>
          </w:p>
        </w:tc>
      </w:tr>
      <w:tr>
        <w:trPr>
          <w:trHeight w:val="784"/>
        </w:trPr>
        <w:tc>
          <w:tcPr>
            <w:tcW w:w="859"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290"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常州明杰重工科技股份有限公司</w:t>
            </w:r>
            <w:r>
              <w:rPr>
                <w:rFonts w:hint="eastAsia" w:ascii="宋体" w:hAnsi="宋体" w:eastAsia="宋体" w:cs="宋体"/>
                <w:i w:val="0"/>
                <w:iCs w:val="0"/>
                <w:color w:val="000000"/>
                <w:sz w:val="21"/>
                <w:szCs w:val="21"/>
                <w:highlight w:val="none"/>
                <w:u w:val="none"/>
              </w:rPr>
            </w:r>
            <w:r/>
          </w:p>
        </w:tc>
        <w:tc>
          <w:tcPr>
            <w:tcW w:w="1686" w:type="dxa"/>
            <w:vAlign w:val="center"/>
            <w:textDirection w:val="lrTb"/>
            <w:noWrap/>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青北社区</w:t>
            </w:r>
            <w:r>
              <w:rPr>
                <w:rFonts w:hint="eastAsia" w:ascii="宋体" w:hAnsi="宋体" w:eastAsia="宋体" w:cs="宋体"/>
                <w:i w:val="0"/>
                <w:iCs w:val="0"/>
                <w:color w:val="000000"/>
                <w:sz w:val="21"/>
                <w:szCs w:val="21"/>
                <w:highlight w:val="none"/>
                <w:u w:val="none"/>
              </w:rPr>
            </w:r>
            <w:r/>
          </w:p>
        </w:tc>
        <w:tc>
          <w:tcPr>
            <w:tcW w:w="2303" w:type="dxa"/>
            <w:vAlign w:val="center"/>
            <w:textDirection w:val="lrTb"/>
            <w:noWrap w:val="false"/>
          </w:tcPr>
          <w:p>
            <w:pPr>
              <w:pStyle w:val="1067"/>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压铸</w:t>
            </w: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A、水压监测预警服务：</w:t>
      </w:r>
      <w:r>
        <w:rPr>
          <w:rFonts w:ascii="宋体" w:hAnsi="宋体" w:eastAsia="宋体" w:cs="宋体"/>
          <w:bCs/>
          <w:color w:val="000000"/>
          <w:szCs w:val="21"/>
          <w:highlight w:val="none"/>
          <w:lang w:val="en-US" w:eastAsia="zh-CN"/>
        </w:rPr>
      </w:r>
      <w:r/>
    </w:p>
    <w:tbl>
      <w:tblPr>
        <w:tblW w:w="914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78"/>
        <w:gridCol w:w="5304"/>
        <w:gridCol w:w="1080"/>
        <w:gridCol w:w="1080"/>
      </w:tblGrid>
      <w:tr>
        <w:trPr>
          <w:trHeight w:val="300"/>
        </w:trPr>
        <w:tc>
          <w:tcPr>
            <w:tcW w:w="1678"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304"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00"/>
        </w:trPr>
        <w:tc>
          <w:tcPr>
            <w:tcW w:w="1678"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水压感知设备数据接入服务</w:t>
            </w: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水压感知预警运营服务</w:t>
            </w: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678"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B、水位监测预警服务：</w:t>
      </w:r>
      <w:r>
        <w:rPr>
          <w:rFonts w:ascii="宋体" w:hAnsi="宋体" w:eastAsia="宋体" w:cs="宋体"/>
          <w:bCs/>
          <w:color w:val="000000"/>
          <w:szCs w:val="21"/>
          <w:highlight w:val="none"/>
          <w:lang w:val="en-US" w:eastAsia="zh-CN"/>
        </w:rPr>
      </w:r>
      <w:r/>
    </w:p>
    <w:tbl>
      <w:tblPr>
        <w:tblW w:w="914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16"/>
        <w:gridCol w:w="5373"/>
        <w:gridCol w:w="1080"/>
        <w:gridCol w:w="1080"/>
      </w:tblGrid>
      <w:tr>
        <w:trPr>
          <w:trHeight w:val="300"/>
        </w:trPr>
        <w:tc>
          <w:tcPr>
            <w:tcW w:w="161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373"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300"/>
        </w:trPr>
        <w:tc>
          <w:tcPr>
            <w:tcW w:w="161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水位感知设备数据接入服务</w:t>
            </w: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水位感知预警运营服务</w:t>
            </w: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61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73"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（6）社会面小场所场景服务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①服务范围：</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青龙街道有1114家社会面小场所（以街道提供的数据与现场实际情况结合为准），其中有200家餐饮企业。</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②服务内容：</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A、火情监测预警服务：</w:t>
      </w:r>
      <w:r>
        <w:rPr>
          <w:rFonts w:hint="eastAsia" w:ascii="宋体" w:hAnsi="宋体" w:eastAsia="宋体" w:cs="宋体"/>
          <w:bCs/>
          <w:color w:val="000000"/>
          <w:szCs w:val="21"/>
          <w:highlight w:val="none"/>
          <w:lang w:val="en-US" w:eastAsia="zh-CN"/>
        </w:rPr>
      </w:r>
      <w:r/>
    </w:p>
    <w:tbl>
      <w:tblPr>
        <w:tblW w:w="921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6"/>
        <w:gridCol w:w="5481"/>
        <w:gridCol w:w="1080"/>
        <w:gridCol w:w="1080"/>
      </w:tblGrid>
      <w:tr>
        <w:trPr>
          <w:trHeight w:val="300"/>
        </w:trPr>
        <w:tc>
          <w:tcPr>
            <w:tcW w:w="1576"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481"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580"/>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1、提供温烟感一体化设备三年能力服务；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2、感知设备参数：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采集类型：烟雾、温度；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支持烟雾、温度报警；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方位比值≤1.1</w:t>
            </w:r>
            <w:r>
              <w:rPr>
                <w:rFonts w:hint="eastAsia" w:ascii="宋体" w:hAnsi="宋体" w:eastAsia="宋体" w:cs="宋体"/>
                <w:i w:val="0"/>
                <w:iCs w:val="0"/>
                <w:color w:val="000000"/>
                <w:sz w:val="21"/>
                <w:szCs w:val="21"/>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一致性比值≤1.3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报警音量：≥80dB@3米 （A计权）；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报警方式：声、光报警，支持静默报警；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电池规格：DC3V，2800mAh；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采用4G通讯；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执行标准：GB 20517-2006；</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温烟感一体化设备安装部署服务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温烟感一体化预警运营服务</w:t>
            </w: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1114</w:t>
            </w: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576"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81"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numPr>
          <w:ilvl w:val="0"/>
          <w:numId w:val="0"/>
        </w:numPr>
        <w:jc w:val="both"/>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B、燃气泄漏监测预警服务：</w:t>
      </w:r>
      <w:r>
        <w:rPr>
          <w:rFonts w:ascii="宋体" w:hAnsi="宋体" w:eastAsia="宋体" w:cs="宋体"/>
          <w:color w:val="000000"/>
          <w:sz w:val="21"/>
          <w:szCs w:val="21"/>
          <w:highlight w:val="none"/>
          <w:lang w:val="en-US" w:eastAsia="zh-CN"/>
        </w:rPr>
      </w:r>
      <w:r/>
    </w:p>
    <w:tbl>
      <w:tblPr>
        <w:tblW w:w="931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89"/>
        <w:gridCol w:w="5564"/>
        <w:gridCol w:w="1080"/>
        <w:gridCol w:w="1080"/>
      </w:tblGrid>
      <w:tr>
        <w:trPr>
          <w:trHeight w:val="300"/>
        </w:trPr>
        <w:tc>
          <w:tcPr>
            <w:tcW w:w="1589"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5564" w:type="dxa"/>
            <w:vAlign w:val="center"/>
            <w:textDirection w:val="lrTb"/>
            <w:noWrap/>
          </w:tcPr>
          <w:p>
            <w:pPr>
              <w:pStyle w:val="106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90"/>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燃气泄漏监测设备设备服务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提供燃气泄漏监测设备三年服务;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检测气体：甲烷，量程：0-20%LEL，报警方式：声、光报警，支持消音功能；</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▲支持识别、展示、上报各类故障，包括通信故障、传感器故障（短路、断路）、传感器寿命故障、设备断电，设备报警声音信号在距离其正前方1m处的最大声压级≥90 dB(A)，设备的报警声、光特性应能区分燃气报警和故障报警</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▲支持≥1组阀输出接口、≥1个SIM卡接口、≥1个Jlink接口、≥1个UART接口，支持用过阀输出接口与其他设备联动、阀输出接口支持电磁阀驱动模式和机械手驱动模式切换功能</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接收并执行管理平台下发的解除屏蔽指令，当进入屏蔽状态后，设备将不再进行报警和故障上报，并能通过指示灯指示屏蔽状态，设备在屏蔽期间连续10分钟没有检测到火警或故障后，将自动解除屏蔽状态。</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通讯方式：4G；</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▲工作电压：AC100～AC240V，工作温度：-20±2℃～65±2℃，支持阻燃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3C认证；执行标准：GB15322.2-2019；</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燃气泄漏</w:t>
            </w:r>
            <w:r>
              <w:rPr>
                <w:rFonts w:hint="eastAsia" w:ascii="宋体" w:hAnsi="宋体" w:eastAsia="宋体" w:cs="宋体"/>
                <w:i w:val="0"/>
                <w:iCs w:val="0"/>
                <w:color w:val="000000"/>
                <w:sz w:val="21"/>
                <w:szCs w:val="21"/>
                <w:highlight w:val="none"/>
                <w:u w:val="none"/>
                <w:lang w:val="en-US" w:eastAsia="zh-CN" w:bidi="ar"/>
              </w:rPr>
              <w:t xml:space="preserve">感知设备安装部署服务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物联感知通信服务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NB/4G流量卡；40w频次50M/月，36个月。</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rPr>
              <w:t xml:space="preserve">燃气泄漏</w:t>
            </w:r>
            <w:r>
              <w:rPr>
                <w:rFonts w:hint="eastAsia" w:ascii="宋体" w:hAnsi="宋体" w:eastAsia="宋体" w:cs="宋体"/>
                <w:i w:val="0"/>
                <w:iCs w:val="0"/>
                <w:color w:val="000000"/>
                <w:sz w:val="21"/>
                <w:szCs w:val="21"/>
                <w:highlight w:val="none"/>
                <w:u w:val="none"/>
                <w:lang w:val="en-US" w:eastAsia="zh-CN" w:bidi="ar"/>
              </w:rPr>
              <w:t xml:space="preserve">预警运营服务</w:t>
            </w: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提供三年的运营服务，包括：</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3、故障设备、灵敏度降低的设备8小时内更换；</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5"/>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tcW w:w="1589"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564"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tcPr>
          <w:p>
            <w:pPr>
              <w:pStyle w:val="106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67"/>
        <w:ind w:firstLine="422"/>
        <w:spacing w:line="40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val="en-US" w:eastAsia="zh-CN"/>
        </w:rPr>
        <w:t xml:space="preserve">信息化应用、AI大模型服务及其他相关要求</w:t>
      </w:r>
      <w:r>
        <w:rPr>
          <w:rFonts w:ascii="宋体" w:hAnsi="宋体" w:eastAsia="宋体" w:cs="宋体"/>
          <w:b/>
          <w:bCs/>
          <w:color w:val="000000"/>
          <w:sz w:val="21"/>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1.中标人需有能力为满足服务要求，提供业务所需的软件平台，平台需满足以下要求：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 平台需要部署到政务网，所有数据存储在政务网。</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 服务期内，提供持续的平台功能升级服务。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 服务期内，提供平台的信息安全保障服务，保障信息安全。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 结合本服务项目场景内容，为街道定制大屏可视化系统，满足街道日常管理要求。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 三年服务期满，部署的软件平台产权归街道所有，街道可持续使用。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2.AI及大模型服务：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1）中标人在项目服务期内提供满足27B大模型运行所需的算力资源，供各种智能体使用。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2）中标人需有能力提供故障诊断智能体服务、火情智能预警智能体服务、隐患识别智能体服务、安全教育培训智能体服务、安全态势分析及问答智能体服务。</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3.网络及信息安全服务要求</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中标人提供服务所配套的信息化支撑系统，须满足信息安全等级保护二级相关要求。整体信息系统网络环境应具备完善的安全防护与审计能力，至少包含堡垒机、防火墙、数据库审计、日志审计等关键安全设备或功能模块，确保系统运行安全、数据安全及可追溯管理。</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2）中标人为本项目服务过程中使用到的软硬件需可适配国产化。</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3）中标人需建立起以信息安全方针、安全策略、安全管理制度、安全技术规范以及流程为一体的信息安全管理制度体系。</w:t>
      </w:r>
      <w:r>
        <w:rPr>
          <w:rFonts w:hint="eastAsia" w:ascii="宋体" w:hAnsi="宋体" w:eastAsia="宋体" w:cs="宋体"/>
          <w:bCs/>
          <w:color w:val="000000"/>
          <w:szCs w:val="21"/>
          <w:highlight w:val="none"/>
          <w:lang w:val="en-US" w:eastAsia="zh-CN"/>
        </w:rPr>
      </w:r>
      <w:r/>
    </w:p>
    <w:p>
      <w:pPr>
        <w:pStyle w:val="1067"/>
        <w:ind w:firstLine="422"/>
        <w:spacing w:line="400" w:lineRule="exact"/>
        <w:rPr>
          <w:rFonts w:hint="eastAsia" w:ascii="宋体" w:hAnsi="宋体" w:eastAsia="宋体" w:cs="宋体"/>
          <w:b/>
          <w:bCs w:val="0"/>
          <w:color w:val="000000"/>
          <w:szCs w:val="21"/>
          <w:highlight w:val="none"/>
          <w:u w:val="single"/>
          <w:lang w:val="en-US" w:eastAsia="zh-CN"/>
        </w:rPr>
      </w:pPr>
      <w:r>
        <w:rPr>
          <w:rFonts w:hint="eastAsia" w:ascii="宋体" w:hAnsi="宋体" w:cs="宋体"/>
          <w:b/>
          <w:bCs/>
          <w:color w:val="000000"/>
          <w:szCs w:val="21"/>
          <w:highlight w:val="none"/>
          <w:u w:val="single"/>
        </w:rPr>
        <w:t xml:space="preserve">★</w:t>
      </w:r>
      <w:r>
        <w:rPr>
          <w:rFonts w:hint="eastAsia" w:ascii="宋体" w:hAnsi="宋体" w:eastAsia="宋体" w:cs="宋体"/>
          <w:b/>
          <w:bCs w:val="0"/>
          <w:color w:val="000000"/>
          <w:szCs w:val="21"/>
          <w:highlight w:val="none"/>
          <w:u w:val="single"/>
          <w:lang w:val="en-US" w:eastAsia="zh-CN"/>
        </w:rPr>
        <w:t xml:space="preserve">4.中标人承诺中标后建立集中运营中心并具备一块不低于5平方米可供集中监测的LED大屏；集中运营中心工作人员需满足2人1班，4班轮换，提供7*24小时的运营服务（投标人应在投标文件中提供承诺书原件，未提供，视为无效响应）。</w:t>
      </w:r>
      <w:r>
        <w:rPr>
          <w:rFonts w:hint="eastAsia" w:ascii="宋体" w:hAnsi="宋体" w:eastAsia="宋体" w:cs="宋体"/>
          <w:b/>
          <w:bCs w:val="0"/>
          <w:color w:val="000000"/>
          <w:szCs w:val="21"/>
          <w:highlight w:val="none"/>
          <w:u w:val="single"/>
          <w:lang w:val="en-US" w:eastAsia="zh-CN"/>
        </w:rPr>
      </w:r>
      <w:r/>
    </w:p>
    <w:p>
      <w:pPr>
        <w:pStyle w:val="1067"/>
        <w:ind w:firstLine="422"/>
        <w:spacing w:line="400" w:lineRule="exact"/>
        <w:rPr>
          <w:rFonts w:ascii="宋体" w:hAnsi="宋体" w:eastAsia="宋体" w:cs="宋体"/>
          <w:b/>
          <w:bCs w:val="0"/>
          <w:color w:val="000000"/>
          <w:szCs w:val="21"/>
          <w:highlight w:val="white"/>
          <w:u w:val="single"/>
        </w:rPr>
      </w:pPr>
      <w:r>
        <w:rPr>
          <w:rFonts w:hint="eastAsia" w:ascii="宋体" w:hAnsi="宋体" w:cs="宋体"/>
          <w:b/>
          <w:bCs/>
          <w:color w:val="000000"/>
          <w:szCs w:val="21"/>
          <w:highlight w:val="white"/>
          <w:u w:val="single"/>
        </w:rPr>
        <w:t xml:space="preserve">★</w:t>
      </w:r>
      <w:r>
        <w:rPr>
          <w:rFonts w:hint="eastAsia" w:ascii="宋体" w:hAnsi="宋体" w:eastAsia="宋体" w:cs="宋体"/>
          <w:b/>
          <w:bCs w:val="0"/>
          <w:color w:val="000000"/>
          <w:szCs w:val="21"/>
          <w:highlight w:val="white"/>
          <w:u w:val="single"/>
          <w:lang w:val="en-US" w:eastAsia="zh-CN"/>
        </w:rPr>
        <w:t xml:space="preserve">5.中标人承诺中标后三个自然日内向采购人提供服务产品样品及相应最新检测报告的原件供采购人登记在册（投标人应在投标文件中提供承诺书原件，未提供，视为无效响应）。</w:t>
      </w:r>
      <w:r>
        <w:rPr>
          <w:rFonts w:ascii="宋体" w:hAnsi="宋体" w:eastAsia="宋体" w:cs="宋体"/>
          <w:b/>
          <w:bCs w:val="0"/>
          <w:color w:val="000000"/>
          <w:szCs w:val="21"/>
          <w:highlight w:val="white"/>
          <w:u w:val="single"/>
          <w:lang w:val="en-US" w:eastAsia="zh-CN"/>
        </w:rPr>
      </w:r>
      <w:r>
        <w:rPr>
          <w:highlight w:val="white"/>
        </w:rPr>
      </w:r>
    </w:p>
    <w:p>
      <w:pPr>
        <w:pStyle w:val="1067"/>
        <w:numPr>
          <w:ilvl w:val="0"/>
          <w:numId w:val="0"/>
        </w:numPr>
        <w:ind w:firstLine="422"/>
        <w:spacing w:line="40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bidi="ar-SA"/>
        </w:rPr>
        <w:t xml:space="preserve">（四）</w:t>
      </w:r>
      <w:r>
        <w:rPr>
          <w:rFonts w:hint="eastAsia" w:ascii="宋体" w:hAnsi="宋体" w:eastAsia="宋体" w:cs="宋体"/>
          <w:b/>
          <w:bCs/>
          <w:color w:val="000000"/>
          <w:sz w:val="21"/>
          <w:szCs w:val="21"/>
          <w:highlight w:val="white"/>
          <w:lang w:val="en-US" w:eastAsia="zh-CN" w:bidi="ar-SA"/>
        </w:rPr>
        <w:t xml:space="preserve">服务指标与考评方式</w:t>
      </w:r>
      <w:r>
        <w:rPr>
          <w:rFonts w:hint="eastAsia" w:ascii="宋体" w:hAnsi="宋体" w:eastAsia="宋体" w:cs="宋体"/>
          <w:b/>
          <w:bCs/>
          <w:color w:val="000000"/>
          <w:sz w:val="21"/>
          <w:szCs w:val="21"/>
          <w:highlight w:val="white"/>
          <w:lang w:val="en-US" w:eastAsia="zh-CN" w:bidi="ar-SA"/>
        </w:rPr>
      </w:r>
      <w:r>
        <w:rPr>
          <w:highlight w:val="white"/>
        </w:rPr>
      </w:r>
    </w:p>
    <w:p>
      <w:pPr>
        <w:pStyle w:val="1067"/>
        <w:numPr>
          <w:ilvl w:val="0"/>
          <w:numId w:val="0"/>
        </w:numPr>
        <w:ind w:firstLine="422"/>
        <w:spacing w:line="400" w:lineRule="exact"/>
        <w:rPr>
          <w:rFonts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bidi="ar-SA"/>
        </w:rPr>
        <w:t xml:space="preserve">1.服务指标：</w:t>
      </w:r>
      <w:r>
        <w:rPr>
          <w:rFonts w:ascii="宋体" w:hAnsi="宋体" w:eastAsia="宋体" w:cs="宋体"/>
          <w:b/>
          <w:bCs/>
          <w:color w:val="000000"/>
          <w:sz w:val="21"/>
          <w:szCs w:val="21"/>
          <w:highlight w:val="white"/>
          <w:lang w:val="en-US" w:eastAsia="zh-CN" w:bidi="ar-SA"/>
        </w:rPr>
      </w:r>
      <w:r>
        <w:rPr>
          <w:highlight w:val="white"/>
        </w:rPr>
      </w:r>
    </w:p>
    <w:tbl>
      <w:tblPr>
        <w:tblStyle w:val="11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11"/>
        <w:gridCol w:w="1260"/>
        <w:gridCol w:w="1634"/>
        <w:gridCol w:w="1100"/>
        <w:gridCol w:w="1868"/>
      </w:tblGrid>
      <w:tr>
        <w:trPr/>
        <w:tc>
          <w:tcPr>
            <w:tcW w:w="745"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rPr>
                <w:rFonts w:hint="eastAsia" w:ascii="宋体" w:hAnsi="宋体" w:eastAsia="宋体" w:cs="宋体"/>
                <w:b/>
                <w:bCs/>
                <w:sz w:val="21"/>
                <w:szCs w:val="21"/>
                <w:lang w:val="en-US" w:eastAsia="zh-CN"/>
              </w:rPr>
            </w:r>
            <w:r/>
          </w:p>
        </w:tc>
        <w:tc>
          <w:tcPr>
            <w:tcW w:w="1911"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指标项</w:t>
            </w:r>
            <w:r>
              <w:rPr>
                <w:rFonts w:hint="eastAsia" w:ascii="宋体" w:hAnsi="宋体" w:eastAsia="宋体" w:cs="宋体"/>
                <w:b/>
                <w:bCs/>
                <w:sz w:val="21"/>
                <w:szCs w:val="21"/>
                <w:lang w:val="en-US" w:eastAsia="zh-CN"/>
              </w:rPr>
            </w:r>
            <w:r/>
          </w:p>
        </w:tc>
        <w:tc>
          <w:tcPr>
            <w:tcW w:w="1260"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指标值</w:t>
            </w:r>
            <w:r>
              <w:rPr>
                <w:rFonts w:hint="eastAsia" w:ascii="宋体" w:hAnsi="宋体" w:eastAsia="宋体" w:cs="宋体"/>
                <w:b/>
                <w:bCs/>
                <w:sz w:val="21"/>
                <w:szCs w:val="21"/>
                <w:lang w:val="en-US" w:eastAsia="zh-CN"/>
              </w:rPr>
            </w:r>
            <w:r/>
          </w:p>
        </w:tc>
        <w:tc>
          <w:tcPr>
            <w:tcW w:w="1634"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计算规则</w:t>
            </w:r>
            <w:r>
              <w:rPr>
                <w:rFonts w:hint="eastAsia" w:ascii="宋体" w:hAnsi="宋体" w:eastAsia="宋体" w:cs="宋体"/>
                <w:b/>
                <w:bCs/>
                <w:sz w:val="21"/>
                <w:szCs w:val="21"/>
                <w:lang w:val="en-US" w:eastAsia="zh-CN"/>
              </w:rPr>
            </w:r>
            <w:r/>
          </w:p>
        </w:tc>
        <w:tc>
          <w:tcPr>
            <w:tcW w:w="1100"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分值</w:t>
            </w:r>
            <w:r>
              <w:rPr>
                <w:rFonts w:hint="eastAsia" w:ascii="宋体" w:hAnsi="宋体" w:eastAsia="宋体" w:cs="宋体"/>
                <w:b/>
                <w:bCs/>
                <w:sz w:val="21"/>
                <w:szCs w:val="21"/>
                <w:lang w:val="en-US" w:eastAsia="zh-CN"/>
              </w:rPr>
            </w:r>
            <w:r/>
          </w:p>
        </w:tc>
        <w:tc>
          <w:tcPr>
            <w:tcW w:w="1868" w:type="dxa"/>
            <w:vAlign w:val="top"/>
            <w:textDirection w:val="lrTb"/>
            <w:noWrap w:val="false"/>
          </w:tcPr>
          <w:p>
            <w:pPr>
              <w:pStyle w:val="1346"/>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评分规则</w:t>
            </w:r>
            <w:r>
              <w:rPr>
                <w:rFonts w:hint="eastAsia" w:ascii="宋体" w:hAnsi="宋体" w:eastAsia="宋体" w:cs="宋体"/>
                <w:b/>
                <w:bCs/>
                <w:sz w:val="21"/>
                <w:szCs w:val="21"/>
                <w:lang w:val="en-US" w:eastAsia="zh-CN"/>
              </w:rPr>
            </w:r>
            <w:r/>
          </w:p>
        </w:tc>
      </w:tr>
      <w:tr>
        <w:trPr>
          <w:trHeight w:val="810"/>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智能感知终端综合在线率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≥95%</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在线终端数/终端总数</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在线率每低1%扣1分，扣完为止。</w:t>
            </w:r>
            <w:r>
              <w:rPr>
                <w:rFonts w:hint="eastAsia" w:ascii="宋体" w:hAnsi="宋体" w:eastAsia="宋体" w:cs="宋体"/>
                <w:sz w:val="21"/>
                <w:szCs w:val="21"/>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终端完好率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≥95%</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1-抽查故障终端数/抽查终端总数 （抽查总数不少于30）</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完好率每低1%扣1分，扣完为止。</w:t>
            </w:r>
            <w:r>
              <w:rPr>
                <w:rFonts w:hint="eastAsia" w:ascii="宋体" w:hAnsi="宋体" w:eastAsia="宋体" w:cs="宋体"/>
                <w:sz w:val="21"/>
                <w:szCs w:val="21"/>
                <w:lang w:val="en-US" w:eastAsia="zh-CN"/>
              </w:rPr>
            </w:r>
            <w:r/>
          </w:p>
        </w:tc>
      </w:tr>
      <w:tr>
        <w:trPr>
          <w:trHeight w:val="822"/>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6个月设备巡检率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6个月内终端巡检数/终端总数</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巡检率每低1%扣1分，扣完为止。</w:t>
            </w:r>
            <w:r>
              <w:rPr>
                <w:rFonts w:hint="eastAsia" w:ascii="宋体" w:hAnsi="宋体" w:eastAsia="宋体" w:cs="宋体"/>
                <w:sz w:val="21"/>
                <w:szCs w:val="21"/>
                <w:lang w:val="en-US" w:eastAsia="zh-CN"/>
              </w:rPr>
            </w:r>
            <w:r/>
          </w:p>
        </w:tc>
      </w:tr>
      <w:tr>
        <w:trPr>
          <w:trHeight w:val="1021"/>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预警响应率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≥99.9%</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及时响应预警数/预警总数</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预警响应率每低1%扣2分 ，扣完为止。</w:t>
            </w:r>
            <w:r>
              <w:rPr>
                <w:rFonts w:hint="eastAsia" w:ascii="宋体" w:hAnsi="宋体" w:eastAsia="宋体" w:cs="宋体"/>
                <w:sz w:val="21"/>
                <w:szCs w:val="21"/>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预警处置率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≥99.9%</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及时处置预警数/预警总数</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预警处置率每低1%扣2分，扣完为止。</w:t>
            </w:r>
            <w:r>
              <w:rPr>
                <w:rFonts w:hint="eastAsia" w:ascii="宋体" w:hAnsi="宋体" w:eastAsia="宋体" w:cs="宋体"/>
                <w:sz w:val="21"/>
                <w:szCs w:val="21"/>
                <w:lang w:val="en-US" w:eastAsia="zh-CN"/>
              </w:rPr>
            </w:r>
            <w:r/>
          </w:p>
        </w:tc>
      </w:tr>
      <w:tr>
        <w:trPr/>
        <w:tc>
          <w:tcPr>
            <w:tcW w:w="7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191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基础数据准确率</w:t>
            </w:r>
            <w:r>
              <w:rPr>
                <w:rFonts w:hint="eastAsia" w:ascii="宋体" w:hAnsi="宋体" w:eastAsia="宋体" w:cs="宋体"/>
                <w:sz w:val="21"/>
                <w:szCs w:val="21"/>
                <w:lang w:val="en-US" w:eastAsia="zh-CN"/>
              </w:rPr>
            </w:r>
            <w:r/>
          </w:p>
        </w:tc>
        <w:tc>
          <w:tcPr>
            <w:tcW w:w="126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≥95%</w:t>
            </w:r>
            <w:r>
              <w:rPr>
                <w:rFonts w:hint="eastAsia" w:ascii="宋体" w:hAnsi="宋体" w:eastAsia="宋体" w:cs="宋体"/>
                <w:sz w:val="21"/>
                <w:szCs w:val="21"/>
                <w:lang w:val="en-US" w:eastAsia="zh-CN"/>
              </w:rPr>
            </w:r>
            <w:r/>
          </w:p>
        </w:tc>
        <w:tc>
          <w:tcPr>
            <w:tcW w:w="163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抽查信息准确数/抽查总数 （抽查总数不少于30）</w:t>
            </w:r>
            <w:r>
              <w:rPr>
                <w:rFonts w:hint="eastAsia" w:ascii="宋体" w:hAnsi="宋体" w:eastAsia="宋体" w:cs="宋体"/>
                <w:sz w:val="21"/>
                <w:szCs w:val="21"/>
                <w:lang w:val="en-US" w:eastAsia="zh-CN"/>
              </w:rPr>
            </w:r>
            <w:r/>
          </w:p>
        </w:tc>
        <w:tc>
          <w:tcPr>
            <w:tcW w:w="1100"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1868"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基础数据准确率每低1%扣1分，扣完为止。</w:t>
            </w:r>
            <w:r>
              <w:rPr>
                <w:rFonts w:hint="eastAsia" w:ascii="宋体" w:hAnsi="宋体" w:eastAsia="宋体" w:cs="宋体"/>
                <w:sz w:val="21"/>
                <w:szCs w:val="21"/>
                <w:lang w:val="en-US" w:eastAsia="zh-CN"/>
              </w:rPr>
            </w:r>
            <w:r/>
          </w:p>
        </w:tc>
      </w:tr>
    </w:tbl>
    <w:p>
      <w:pPr>
        <w:pStyle w:val="1067"/>
        <w:numPr>
          <w:ilvl w:val="0"/>
          <w:numId w:val="0"/>
        </w:numPr>
        <w:ind w:firstLine="422"/>
        <w:spacing w:line="40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bidi="ar-SA"/>
        </w:rPr>
        <w:t xml:space="preserve">2.考评方式：</w:t>
      </w:r>
      <w:r>
        <w:rPr>
          <w:rFonts w:hint="eastAsia" w:ascii="宋体" w:hAnsi="宋体" w:eastAsia="宋体" w:cs="宋体"/>
          <w:b/>
          <w:bCs/>
          <w:color w:val="000000"/>
          <w:sz w:val="21"/>
          <w:szCs w:val="21"/>
          <w:highlight w:val="white"/>
          <w:lang w:val="en-US" w:eastAsia="zh-CN" w:bidi="ar-SA"/>
        </w:rPr>
      </w:r>
      <w:r>
        <w:rPr>
          <w:highlight w:val="white"/>
        </w:rPr>
      </w:r>
    </w:p>
    <w:p>
      <w:pPr>
        <w:pStyle w:val="1067"/>
        <w:numPr>
          <w:ilvl w:val="0"/>
          <w:numId w:val="0"/>
        </w:numPr>
        <w:ind w:firstLine="422"/>
        <w:spacing w:line="400" w:lineRule="exact"/>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en-US" w:eastAsia="zh-CN" w:bidi="ar-SA"/>
        </w:rPr>
        <w:t xml:space="preserve">每年度服务期结束时，由街道按照上述评分规则对服务商年度服务质量进行评分，并根据得分对服务费进行扣减。</w:t>
      </w:r>
      <w:r>
        <w:rPr>
          <w:rFonts w:hint="eastAsia" w:ascii="宋体" w:hAnsi="宋体" w:eastAsia="宋体" w:cs="宋体"/>
          <w:b/>
          <w:bCs/>
          <w:color w:val="000000"/>
          <w:sz w:val="21"/>
          <w:szCs w:val="21"/>
          <w:highlight w:val="white"/>
          <w:lang w:val="en-US" w:eastAsia="zh-CN" w:bidi="ar-SA"/>
        </w:rPr>
      </w:r>
      <w:r>
        <w:rPr>
          <w:highlight w:val="white"/>
        </w:rPr>
      </w:r>
    </w:p>
    <w:tbl>
      <w:tblPr>
        <w:tblStyle w:val="11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099"/>
        <w:gridCol w:w="3171"/>
        <w:gridCol w:w="2145"/>
      </w:tblGrid>
      <w:tr>
        <w:trPr>
          <w:trHeight w:val="434"/>
        </w:trPr>
        <w:tc>
          <w:tcPr>
            <w:tcW w:w="1164" w:type="dxa"/>
            <w:vAlign w:val="center"/>
            <w:textDirection w:val="lrTb"/>
            <w:noWrap w:val="false"/>
          </w:tcPr>
          <w:p>
            <w:pPr>
              <w:pStyle w:val="1346"/>
              <w:jc w:val="center"/>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序号</w:t>
            </w:r>
            <w:r>
              <w:rPr>
                <w:rFonts w:hint="eastAsia" w:ascii="宋体" w:hAnsi="宋体" w:eastAsia="宋体" w:cs="宋体"/>
                <w:sz w:val="21"/>
                <w:szCs w:val="21"/>
                <w:highlight w:val="white"/>
                <w:lang w:val="en-US" w:eastAsia="zh-CN"/>
              </w:rPr>
            </w:r>
            <w:r>
              <w:rPr>
                <w:highlight w:val="white"/>
              </w:rPr>
            </w:r>
          </w:p>
        </w:tc>
        <w:tc>
          <w:tcPr>
            <w:tcW w:w="2099" w:type="dxa"/>
            <w:vAlign w:val="center"/>
            <w:textDirection w:val="lrTb"/>
            <w:noWrap w:val="false"/>
          </w:tcPr>
          <w:p>
            <w:pPr>
              <w:pStyle w:val="1346"/>
              <w:jc w:val="center"/>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服务质量得分</w:t>
            </w:r>
            <w:r>
              <w:rPr>
                <w:rFonts w:hint="eastAsia" w:ascii="宋体" w:hAnsi="宋体" w:eastAsia="宋体" w:cs="宋体"/>
                <w:sz w:val="21"/>
                <w:szCs w:val="21"/>
                <w:highlight w:val="white"/>
                <w:lang w:val="en-US" w:eastAsia="zh-CN"/>
              </w:rPr>
            </w:r>
            <w:r>
              <w:rPr>
                <w:highlight w:val="white"/>
              </w:rPr>
            </w:r>
          </w:p>
        </w:tc>
        <w:tc>
          <w:tcPr>
            <w:tcW w:w="3171" w:type="dxa"/>
            <w:vAlign w:val="center"/>
            <w:textDirection w:val="lrTb"/>
            <w:noWrap w:val="false"/>
          </w:tcPr>
          <w:p>
            <w:pPr>
              <w:pStyle w:val="1346"/>
              <w:jc w:val="center"/>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服务费扣减比例</w:t>
            </w:r>
            <w:r>
              <w:rPr>
                <w:rFonts w:hint="eastAsia" w:ascii="宋体" w:hAnsi="宋体" w:eastAsia="宋体" w:cs="宋体"/>
                <w:sz w:val="21"/>
                <w:szCs w:val="21"/>
                <w:highlight w:val="white"/>
                <w:lang w:val="en-US" w:eastAsia="zh-CN"/>
              </w:rPr>
            </w:r>
            <w:r>
              <w:rPr>
                <w:highlight w:val="white"/>
              </w:rPr>
            </w:r>
          </w:p>
        </w:tc>
        <w:tc>
          <w:tcPr>
            <w:tcW w:w="2145" w:type="dxa"/>
            <w:vAlign w:val="center"/>
            <w:textDirection w:val="lrTb"/>
            <w:noWrap w:val="false"/>
          </w:tcPr>
          <w:p>
            <w:pPr>
              <w:pStyle w:val="1346"/>
              <w:jc w:val="center"/>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备注</w:t>
            </w:r>
            <w:r>
              <w:rPr>
                <w:rFonts w:hint="eastAsia" w:ascii="宋体" w:hAnsi="宋体" w:eastAsia="宋体" w:cs="宋体"/>
                <w:sz w:val="21"/>
                <w:szCs w:val="21"/>
                <w:highlight w:val="white"/>
                <w:lang w:val="en-US" w:eastAsia="zh-CN"/>
              </w:rPr>
            </w:r>
            <w:r>
              <w:rPr>
                <w:highlight w:val="white"/>
              </w:rP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90--100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80--90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70-80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34"/>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60--70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61"/>
        </w:trPr>
        <w:tc>
          <w:tcPr>
            <w:tcW w:w="1164"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2099"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w:t>
            </w:r>
            <w:r>
              <w:rPr>
                <w:rFonts w:hint="eastAsia" w:ascii="宋体" w:hAnsi="宋体" w:eastAsia="宋体" w:cs="宋体"/>
                <w:sz w:val="21"/>
                <w:szCs w:val="21"/>
                <w:lang w:val="en-US" w:eastAsia="zh-CN"/>
              </w:rPr>
            </w:r>
            <w:r/>
          </w:p>
        </w:tc>
        <w:tc>
          <w:tcPr>
            <w:tcW w:w="3171"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val="en-US" w:eastAsia="zh-CN"/>
              </w:rPr>
            </w:r>
            <w:r/>
          </w:p>
        </w:tc>
        <w:tc>
          <w:tcPr>
            <w:tcW w:w="2145" w:type="dxa"/>
            <w:vAlign w:val="center"/>
            <w:textDirection w:val="lrTb"/>
            <w:noWrap w:val="false"/>
          </w:tcPr>
          <w:p>
            <w:pPr>
              <w:pStyle w:val="1346"/>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1067"/>
        <w:spacing w:line="400" w:lineRule="exact"/>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lang w:val="en-US" w:eastAsia="zh-CN"/>
        </w:rPr>
        <w:t xml:space="preserve">四</w:t>
      </w:r>
      <w:r>
        <w:rPr>
          <w:rFonts w:hint="eastAsia" w:ascii="宋体" w:hAnsi="宋体" w:eastAsia="宋体" w:cs="Times New Roman"/>
          <w:b/>
          <w:bCs/>
          <w:color w:val="000000"/>
          <w:szCs w:val="22"/>
          <w:highlight w:val="none"/>
        </w:rPr>
        <w:t xml:space="preserve">、报价方式</w:t>
      </w:r>
      <w:r>
        <w:rPr>
          <w:rFonts w:hint="eastAsia" w:ascii="宋体" w:hAnsi="宋体" w:eastAsia="宋体" w:cs="Times New Roman"/>
          <w:b/>
          <w:bCs/>
          <w:color w:val="000000"/>
          <w:szCs w:val="22"/>
          <w:highlight w:val="none"/>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1.本项目投标报价为</w:t>
      </w:r>
      <w:r>
        <w:rPr>
          <w:rFonts w:hint="eastAsia" w:ascii="宋体" w:hAnsi="宋体" w:eastAsia="宋体" w:cs="宋体"/>
          <w:b/>
          <w:bCs w:val="0"/>
          <w:color w:val="000000"/>
          <w:szCs w:val="21"/>
          <w:highlight w:val="none"/>
          <w:u w:val="single"/>
          <w:lang w:val="en-US" w:eastAsia="zh-CN"/>
        </w:rPr>
        <w:t xml:space="preserve">固定总价</w:t>
      </w:r>
      <w:r>
        <w:rPr>
          <w:rFonts w:hint="eastAsia" w:ascii="宋体" w:hAnsi="宋体" w:eastAsia="宋体" w:cs="宋体"/>
          <w:bCs/>
          <w:color w:val="000000"/>
          <w:szCs w:val="21"/>
          <w:highlight w:val="none"/>
          <w:lang w:val="en-US" w:eastAsia="zh-CN"/>
        </w:rPr>
        <w:t xml:space="preserve">，投标总价应包括招标文件所确定的招标范围相应服务的提供、人员（包括工资、意外保险等）、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bCs w:val="0"/>
          <w:color w:val="000000"/>
          <w:szCs w:val="21"/>
          <w:highlight w:val="none"/>
          <w:lang w:val="en-US" w:eastAsia="zh-CN"/>
        </w:rPr>
        <w:t xml:space="preserve">(包括平台建设、对接、软件对接、设备接入、安装调试、3年项目运营服务等)</w:t>
      </w:r>
      <w:r>
        <w:rPr>
          <w:rFonts w:hint="eastAsia" w:ascii="宋体" w:hAnsi="宋体" w:eastAsia="宋体" w:cs="宋体"/>
          <w:bCs/>
          <w:color w:val="000000"/>
          <w:szCs w:val="21"/>
          <w:highlight w:val="none"/>
          <w:lang w:val="en-US" w:eastAsia="zh-CN"/>
        </w:rPr>
        <w:t xml:space="preserve">，采购人不再支付其他任何费用。</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2.报价货币为人民币，评标时以人民币为准。</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3.未尽事宜按相关法律法规执行。</w:t>
      </w:r>
      <w:r>
        <w:rPr>
          <w:rFonts w:hint="eastAsia" w:ascii="宋体" w:hAnsi="宋体" w:eastAsia="宋体" w:cs="宋体"/>
          <w:bCs/>
          <w:color w:val="000000"/>
          <w:szCs w:val="21"/>
          <w:highlight w:val="none"/>
          <w:lang w:val="en-US" w:eastAsia="zh-CN"/>
        </w:rPr>
      </w:r>
      <w:r/>
    </w:p>
    <w:p>
      <w:pPr>
        <w:pStyle w:val="1067"/>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r>
      <w:r/>
    </w:p>
    <w:p>
      <w:pPr>
        <w:pStyle w:val="1067"/>
        <w:jc w:val="center"/>
        <w:widowControl/>
        <w:rPr>
          <w:b/>
          <w:sz w:val="32"/>
          <w:szCs w:val="32"/>
        </w:rPr>
      </w:pPr>
      <w:r/>
      <w:bookmarkStart w:id="688" w:name="_Toc99301425"/>
      <w:r>
        <w:rPr>
          <w:b/>
          <w:sz w:val="32"/>
          <w:szCs w:val="32"/>
        </w:rPr>
        <w:br w:type="page" w:clear="all"/>
      </w:r>
      <w:r>
        <w:rPr>
          <w:b/>
          <w:sz w:val="32"/>
          <w:szCs w:val="32"/>
        </w:rPr>
        <w:t xml:space="preserve">第六章   拟签订的合同文本</w:t>
      </w:r>
      <w:bookmarkEnd w:id="688"/>
      <w:r>
        <w:rPr>
          <w:b/>
          <w:sz w:val="32"/>
          <w:szCs w:val="32"/>
        </w:rPr>
      </w:r>
      <w:r/>
    </w:p>
    <w:p>
      <w:pPr>
        <w:pStyle w:val="1067"/>
        <w:spacing w:line="360" w:lineRule="auto"/>
        <w:tabs>
          <w:tab w:val="left" w:pos="900" w:leader="none"/>
          <w:tab w:val="left" w:pos="1080" w:leader="none"/>
        </w:tabs>
        <w:rPr>
          <w:sz w:val="18"/>
          <w:szCs w:val="18"/>
        </w:rPr>
      </w:pPr>
      <w:r>
        <w:rPr>
          <w:sz w:val="18"/>
          <w:szCs w:val="18"/>
        </w:rPr>
      </w:r>
      <w:r/>
    </w:p>
    <w:p>
      <w:pPr>
        <w:pStyle w:val="1067"/>
        <w:jc w:val="center"/>
        <w:spacing w:line="360" w:lineRule="auto"/>
        <w:rPr>
          <w:sz w:val="18"/>
          <w:szCs w:val="18"/>
          <w:highlight w:val="none"/>
        </w:rPr>
      </w:pPr>
      <w:r>
        <w:rPr>
          <w:rFonts w:hint="eastAsia" w:ascii="宋体" w:hAnsi="宋体" w:cs="宋体"/>
          <w:b/>
          <w:bCs/>
          <w:szCs w:val="21"/>
          <w:highlight w:val="none"/>
        </w:rPr>
        <w:t xml:space="preserve">（仅供参考，具体以实际签订为准）</w:t>
      </w:r>
      <w:r>
        <w:rPr>
          <w:sz w:val="18"/>
          <w:szCs w:val="18"/>
          <w:highlight w:val="none"/>
        </w:rPr>
      </w:r>
      <w:r/>
    </w:p>
    <w:p>
      <w:pPr>
        <w:pStyle w:val="1108"/>
        <w:ind w:firstLine="422"/>
        <w:spacing w:line="360" w:lineRule="auto"/>
        <w:rPr>
          <w:rFonts w:hAnsi="宋体" w:cs="宋体"/>
          <w:color w:val="000000"/>
          <w:szCs w:val="21"/>
          <w:highlight w:val="none"/>
        </w:rPr>
      </w:pPr>
      <w:r/>
      <w:bookmarkStart w:id="689" w:name="_Toc99301426"/>
      <w:r/>
      <w:bookmarkStart w:id="690" w:name="_Toc12273"/>
      <w:r/>
      <w:bookmarkStart w:id="691" w:name="_Toc26227"/>
      <w:r/>
      <w:bookmarkStart w:id="692" w:name="_Toc15827"/>
      <w:r/>
      <w:bookmarkStart w:id="693" w:name="_Toc23784"/>
      <w:r/>
      <w:bookmarkStart w:id="694" w:name="_Toc16417"/>
      <w:r>
        <w:rPr>
          <w:rFonts w:hint="eastAsia" w:hAnsi="宋体" w:cs="宋体"/>
          <w:b/>
          <w:color w:val="000000"/>
          <w:szCs w:val="21"/>
          <w:highlight w:val="none"/>
          <w:lang w:val="en-US" w:eastAsia="zh-CN"/>
        </w:rPr>
        <w:t xml:space="preserve">采购</w:t>
      </w:r>
      <w:r>
        <w:rPr>
          <w:rFonts w:hAnsi="宋体" w:cs="宋体"/>
          <w:b/>
          <w:color w:val="000000"/>
          <w:szCs w:val="21"/>
          <w:highlight w:val="none"/>
        </w:rPr>
        <w:t xml:space="preserve">人</w:t>
      </w:r>
      <w:r>
        <w:rPr>
          <w:rFonts w:hAnsi="宋体" w:cs="宋体"/>
          <w:b/>
          <w:color w:val="000000"/>
          <w:szCs w:val="21"/>
          <w:highlight w:val="none"/>
          <w:lang w:val="zh-CN"/>
        </w:rPr>
        <w:t xml:space="preserve">（以下称甲</w:t>
      </w:r>
      <w:r>
        <w:rPr>
          <w:rFonts w:hAnsi="宋体" w:cs="宋体"/>
          <w:b/>
          <w:color w:val="000000"/>
          <w:szCs w:val="21"/>
          <w:highlight w:val="none"/>
        </w:rPr>
        <w:t xml:space="preserve">方）:                       </w:t>
      </w:r>
      <w:r>
        <w:rPr>
          <w:rFonts w:hAnsi="宋体" w:cs="宋体"/>
          <w:color w:val="000000"/>
          <w:szCs w:val="21"/>
          <w:highlight w:val="none"/>
        </w:rPr>
        <w:t xml:space="preserve">合同编号：</w:t>
      </w:r>
      <w:r>
        <w:rPr>
          <w:rFonts w:hAnsi="宋体" w:cs="宋体"/>
          <w:color w:val="000000"/>
          <w:szCs w:val="21"/>
          <w:highlight w:val="none"/>
        </w:rPr>
      </w:r>
      <w:r/>
    </w:p>
    <w:p>
      <w:pPr>
        <w:pStyle w:val="1108"/>
        <w:ind w:firstLine="422"/>
        <w:spacing w:line="360" w:lineRule="auto"/>
        <w:rPr>
          <w:rFonts w:hAnsi="宋体" w:cs="宋体"/>
          <w:color w:val="000000"/>
          <w:szCs w:val="21"/>
          <w:highlight w:val="none"/>
          <w:u w:val="single"/>
        </w:rPr>
      </w:pPr>
      <w:r>
        <w:rPr>
          <w:rFonts w:hAnsi="宋体" w:cs="宋体"/>
          <w:b/>
          <w:color w:val="000000"/>
          <w:szCs w:val="21"/>
          <w:highlight w:val="none"/>
        </w:rPr>
        <w:t xml:space="preserve">中标人（</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color w:val="000000"/>
          <w:szCs w:val="21"/>
          <w:highlight w:val="none"/>
        </w:rPr>
        <w:t xml:space="preserve">签订地点：</w:t>
      </w:r>
      <w:r>
        <w:rPr>
          <w:rFonts w:hAnsi="宋体" w:cs="宋体"/>
          <w:color w:val="000000"/>
          <w:szCs w:val="21"/>
          <w:highlight w:val="none"/>
          <w:u w:val="single"/>
        </w:rPr>
      </w:r>
      <w:r/>
    </w:p>
    <w:p>
      <w:pPr>
        <w:pStyle w:val="1090"/>
        <w:ind w:firstLine="5040"/>
        <w:spacing w:line="360" w:lineRule="auto"/>
        <w:rPr>
          <w:rFonts w:hint="eastAsia" w:hAnsi="宋体" w:cs="宋体"/>
          <w:b/>
          <w:color w:val="000000"/>
          <w:sz w:val="21"/>
          <w:szCs w:val="21"/>
          <w:highlight w:val="none"/>
        </w:rPr>
      </w:pPr>
      <w:r>
        <w:rPr>
          <w:rFonts w:hint="eastAsia" w:hAnsi="宋体" w:cs="宋体"/>
          <w:color w:val="000000"/>
          <w:sz w:val="21"/>
          <w:szCs w:val="21"/>
          <w:highlight w:val="none"/>
        </w:rPr>
        <w:t xml:space="preserve">合同时间: </w:t>
      </w:r>
      <w:r>
        <w:rPr>
          <w:rFonts w:hint="eastAsia" w:hAnsi="宋体" w:cs="宋体"/>
          <w:color w:val="000000"/>
          <w:sz w:val="21"/>
          <w:szCs w:val="21"/>
          <w:highlight w:val="none"/>
          <w:u w:val="single"/>
        </w:rPr>
        <w:t xml:space="preserve">     年    月    日</w:t>
      </w:r>
      <w:r>
        <w:rPr>
          <w:rFonts w:hint="eastAsia" w:hAnsi="宋体" w:cs="宋体"/>
          <w:b/>
          <w:color w:val="000000"/>
          <w:sz w:val="21"/>
          <w:szCs w:val="21"/>
          <w:highlight w:val="none"/>
        </w:rPr>
      </w:r>
      <w:r/>
    </w:p>
    <w:p>
      <w:pPr>
        <w:pStyle w:val="1108"/>
        <w:ind w:firstLine="424"/>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color w:val="000000"/>
          <w:sz w:val="21"/>
          <w:szCs w:val="21"/>
          <w:highlight w:val="none"/>
        </w:rPr>
      </w:pPr>
      <w:r/>
      <w:bookmarkStart w:id="695" w:name="_Hlk83324726"/>
      <w:r>
        <w:rPr>
          <w:rFonts w:hint="eastAsia" w:ascii="宋体" w:hAnsi="宋体" w:eastAsia="宋体" w:cs="宋体"/>
          <w:b/>
          <w:color w:val="000000"/>
          <w:sz w:val="21"/>
          <w:szCs w:val="21"/>
          <w:highlight w:val="none"/>
        </w:rPr>
        <w:t xml:space="preserve">第一条　采购内容</w:t>
      </w:r>
      <w:r>
        <w:rPr>
          <w:rFonts w:hint="eastAsia" w:ascii="宋体" w:hAnsi="宋体" w:eastAsia="宋体" w:cs="宋体"/>
          <w:b/>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0"/>
        <w:jc w:val="left"/>
        <w:keepLines w:val="0"/>
        <w:keepNext w:val="0"/>
        <w:pageBreakBefore w:val="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2、采购内容：</w:t>
      </w:r>
      <w:r>
        <w:rPr>
          <w:rFonts w:hint="eastAsia" w:ascii="宋体" w:hAnsi="宋体" w:eastAsia="宋体" w:cs="宋体"/>
          <w:color w:val="000000"/>
          <w:sz w:val="21"/>
          <w:szCs w:val="21"/>
          <w:highlight w:val="none"/>
          <w:u w:val="single"/>
        </w:rPr>
        <w:t xml:space="preserve">服务名称、内容、数量、价格</w:t>
      </w:r>
      <w:r>
        <w:rPr>
          <w:rFonts w:hint="eastAsia" w:ascii="宋体" w:hAnsi="宋体" w:eastAsia="宋体" w:cs="宋体"/>
          <w:color w:val="000000"/>
          <w:sz w:val="21"/>
          <w:szCs w:val="21"/>
          <w:highlight w:val="none"/>
          <w:u w:val="singl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3、服务内容：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4、服务期限：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zh-CN"/>
        </w:rPr>
        <w:t xml:space="preserve">5、其他：</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67"/>
        <w:ind w:firstLine="482"/>
        <w:jc w:val="left"/>
        <w:keepLines w:val="0"/>
        <w:keepNext w:val="0"/>
        <w:pageBreakBefore w:val="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第二条　合同价款</w:t>
      </w:r>
      <w:r>
        <w:rPr>
          <w:rFonts w:hint="eastAsia" w:ascii="宋体" w:hAnsi="宋体" w:eastAsia="宋体" w:cs="宋体"/>
          <w:b/>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本合同人民币总价款为</w:t>
      </w:r>
      <w:r>
        <w:rPr>
          <w:rFonts w:hint="eastAsia" w:ascii="宋体" w:hAnsi="宋体" w:eastAsia="宋体" w:cs="宋体"/>
          <w:color w:val="000000"/>
          <w:sz w:val="21"/>
          <w:szCs w:val="21"/>
          <w:highlight w:val="none"/>
          <w:lang w:val="zh-CN"/>
        </w:rPr>
        <w:t xml:space="preserve">（小写）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（大写）</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本合同总价款应包括</w:t>
      </w:r>
      <w:r>
        <w:rPr>
          <w:rFonts w:hint="eastAsia" w:ascii="宋体" w:hAnsi="宋体" w:eastAsia="宋体" w:cs="宋体"/>
          <w:bCs/>
          <w:color w:val="000000"/>
          <w:szCs w:val="21"/>
          <w:highlight w:val="none"/>
          <w:lang w:val="en-US" w:eastAsia="zh-CN"/>
        </w:rPr>
        <w:t xml:space="preserve">招标文件所确定的招标范围相应服务的提供、人员（包括工资、意外保险等）、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bCs w:val="0"/>
          <w:color w:val="000000"/>
          <w:szCs w:val="21"/>
          <w:highlight w:val="none"/>
          <w:lang w:val="en-US" w:eastAsia="zh-CN"/>
        </w:rPr>
        <w:t xml:space="preserve">(包括平台建设、对接、软件对接、设备接入、安装调试、3年项目运营服务等)</w:t>
      </w:r>
      <w:r>
        <w:rPr>
          <w:rFonts w:hint="eastAsia" w:ascii="宋体" w:hAnsi="宋体" w:eastAsia="宋体" w:cs="宋体"/>
          <w:bCs/>
          <w:color w:val="000000"/>
          <w:szCs w:val="21"/>
          <w:highlight w:val="none"/>
          <w:lang w:val="en-US" w:eastAsia="zh-CN"/>
        </w:rPr>
        <w:t xml:space="preserve">，甲方不再支付其他任何费用。</w:t>
      </w:r>
      <w:r>
        <w:rPr>
          <w:rFonts w:hint="eastAsia" w:ascii="宋体" w:hAnsi="宋体" w:eastAsia="宋体" w:cs="宋体"/>
          <w:color w:val="000000"/>
          <w:sz w:val="21"/>
          <w:szCs w:val="21"/>
          <w:highlight w:val="none"/>
          <w:lang w:val="zh-CN"/>
        </w:rPr>
      </w:r>
      <w:r/>
    </w:p>
    <w:p>
      <w:pPr>
        <w:pStyle w:val="1067"/>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（4）乙方在投标、评标过程中所作其它有关承诺、声明、书面澄清；</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第四条　权利保证</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质量保证和售后服务</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规定的服务要求、技术要求、质量标准向甲方提供服务，并持续改进运行工艺和运营方法，保证实现本合同规定的各项考核指标，并达到有效的国家和地方标准。</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2、乙方应按招标文件、投标文件及乙方在询标过程中做出的书面说明或承诺提供及时、快速、优质的售后服务。</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验收</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验收标准：按招标文件所规定的服务标准和乙方投标文件的承诺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rPr>
        <w:t xml:space="preserve">第七条　</w:t>
      </w:r>
      <w:r>
        <w:rPr>
          <w:rFonts w:hint="eastAsia" w:ascii="宋体" w:hAnsi="宋体" w:eastAsia="宋体" w:cs="宋体"/>
          <w:b/>
          <w:bCs/>
          <w:color w:val="000000"/>
          <w:sz w:val="21"/>
          <w:szCs w:val="21"/>
          <w:highlight w:val="none"/>
          <w:lang w:val="en-US" w:eastAsia="zh-CN"/>
        </w:rPr>
        <w:t xml:space="preserve">结算原则及</w:t>
      </w:r>
      <w:r>
        <w:rPr>
          <w:rFonts w:hint="eastAsia" w:ascii="宋体" w:hAnsi="宋体" w:eastAsia="宋体" w:cs="宋体"/>
          <w:b/>
          <w:bCs/>
          <w:color w:val="000000"/>
          <w:sz w:val="21"/>
          <w:szCs w:val="21"/>
          <w:highlight w:val="none"/>
          <w:lang w:val="zh-CN"/>
        </w:rPr>
        <w:t xml:space="preserve">付款</w:t>
      </w:r>
      <w:r>
        <w:rPr>
          <w:rFonts w:hint="eastAsia" w:ascii="宋体" w:hAnsi="宋体" w:eastAsia="宋体" w:cs="宋体"/>
          <w:b/>
          <w:bCs/>
          <w:color w:val="000000"/>
          <w:sz w:val="21"/>
          <w:szCs w:val="21"/>
          <w:highlight w:val="none"/>
          <w:lang w:val="en-US" w:eastAsia="zh-CN"/>
        </w:rPr>
        <w:t xml:space="preserve">条件</w:t>
      </w:r>
      <w:r>
        <w:rPr>
          <w:rFonts w:hint="eastAsia" w:ascii="宋体" w:hAnsi="宋体" w:eastAsia="宋体" w:cs="宋体"/>
          <w:b/>
          <w:bCs/>
          <w:color w:val="000000"/>
          <w:sz w:val="21"/>
          <w:szCs w:val="21"/>
          <w:highlight w:val="none"/>
          <w:lang w:val="en-US" w:eastAsia="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结算原则及</w:t>
      </w:r>
      <w:r>
        <w:rPr>
          <w:rFonts w:hint="eastAsia" w:ascii="宋体" w:hAnsi="宋体" w:eastAsia="宋体" w:cs="宋体"/>
          <w:color w:val="000000"/>
          <w:sz w:val="21"/>
          <w:szCs w:val="21"/>
          <w:highlight w:val="none"/>
        </w:rPr>
        <w:t xml:space="preserve">付款条件（进度和方式）：</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1.1结算原则：</w:t>
      </w:r>
      <w:r>
        <w:rPr>
          <w:rFonts w:hint="eastAsia" w:ascii="宋体" w:hAnsi="宋体" w:eastAsia="宋体" w:cs="宋体"/>
          <w:b/>
          <w:bCs/>
          <w:color w:val="000000"/>
          <w:sz w:val="21"/>
          <w:szCs w:val="21"/>
          <w:highlight w:val="none"/>
          <w:u w:val="single"/>
          <w:lang w:val="en-US" w:eastAsia="zh-CN"/>
        </w:rPr>
        <w:t xml:space="preserve">全费用固定综合单价，按实结算</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67"/>
        <w:ind w:firstLine="420"/>
        <w:spacing w:line="400" w:lineRule="exact"/>
        <w:rPr>
          <w:rFonts w:ascii="宋体" w:hAnsi="宋体" w:eastAsia="宋体" w:cs="宋体"/>
          <w:b/>
          <w:bCs/>
          <w:color w:val="000000"/>
          <w:sz w:val="21"/>
          <w:szCs w:val="21"/>
          <w:highlight w:val="white"/>
          <w:u w:val="single"/>
        </w:rPr>
      </w:pPr>
      <w:r>
        <w:rPr>
          <w:rFonts w:hint="eastAsia" w:ascii="宋体" w:hAnsi="宋体" w:eastAsia="宋体" w:cs="宋体"/>
          <w:color w:val="000000"/>
          <w:sz w:val="21"/>
          <w:szCs w:val="21"/>
          <w:highlight w:val="none"/>
          <w:lang w:val="en-US" w:eastAsia="zh-CN"/>
        </w:rPr>
        <w:t xml:space="preserve">1.2付款条件：</w:t>
      </w:r>
      <w:r>
        <w:rPr>
          <w:rFonts w:hint="eastAsia" w:ascii="宋体" w:hAnsi="宋体" w:eastAsia="宋体" w:cs="宋体"/>
          <w:b/>
          <w:bCs w:val="0"/>
          <w:color w:val="000000"/>
          <w:sz w:val="21"/>
          <w:szCs w:val="21"/>
          <w:highlight w:val="none"/>
          <w:u w:val="single"/>
          <w:lang w:val="en-US" w:eastAsia="zh-CN"/>
        </w:rPr>
        <w:t xml:space="preserve">（1）</w:t>
      </w:r>
      <w:r>
        <w:rPr>
          <w:rFonts w:hint="eastAsia" w:ascii="宋体" w:hAnsi="宋体" w:eastAsia="宋体" w:cs="宋体"/>
          <w:b/>
          <w:bCs w:val="0"/>
          <w:color w:val="000000"/>
          <w:sz w:val="21"/>
          <w:szCs w:val="21"/>
          <w:highlight w:val="none"/>
          <w:u w:val="single"/>
          <w:lang w:val="en-US" w:eastAsia="zh-CN" w:bidi="ar-SA"/>
        </w:rPr>
        <w:t xml:space="preserve">乙方在规定时间内完成</w:t>
      </w:r>
      <w:r>
        <w:rPr>
          <w:rFonts w:hint="eastAsia" w:ascii="宋体" w:hAnsi="宋体" w:eastAsia="宋体" w:cs="宋体"/>
          <w:b/>
          <w:bCs w:val="0"/>
          <w:color w:val="000000"/>
          <w:sz w:val="21"/>
          <w:szCs w:val="21"/>
          <w:highlight w:val="none"/>
          <w:u w:val="single"/>
          <w:lang w:eastAsia="zh-CN"/>
        </w:rPr>
        <w:t xml:space="preserve">感知设备的提供、安装调试、通过网络接入集中运营中心，具备集中监测能力</w:t>
      </w:r>
      <w:r>
        <w:rPr>
          <w:rFonts w:hint="eastAsia" w:ascii="宋体" w:hAnsi="宋体" w:eastAsia="宋体" w:cs="宋体"/>
          <w:b/>
          <w:bCs w:val="0"/>
          <w:color w:val="000000"/>
          <w:sz w:val="21"/>
          <w:szCs w:val="21"/>
          <w:highlight w:val="white"/>
          <w:u w:val="single"/>
          <w:lang w:eastAsia="zh-CN"/>
        </w:rPr>
        <w:t xml:space="preserve">并经甲方验收合格后</w:t>
      </w:r>
      <w:r>
        <w:rPr>
          <w:rFonts w:hint="eastAsia" w:ascii="宋体" w:hAnsi="宋体" w:eastAsia="宋体" w:cs="宋体"/>
          <w:b/>
          <w:bCs w:val="0"/>
          <w:color w:val="000000"/>
          <w:sz w:val="21"/>
          <w:szCs w:val="21"/>
          <w:highlight w:val="white"/>
          <w:u w:val="single"/>
          <w:lang w:val="en-US" w:eastAsia="zh-CN"/>
        </w:rPr>
        <w:t xml:space="preserve">支付合同总金额的40%；（2）运营服务期第二年的第一个月支付合同总金额的20%</w:t>
      </w:r>
      <w:r>
        <w:rPr>
          <w:rFonts w:hint="eastAsia" w:ascii="宋体" w:hAnsi="宋体" w:eastAsia="宋体" w:cs="宋体"/>
          <w:b/>
          <w:bCs w:val="0"/>
          <w:color w:val="000000"/>
          <w:sz w:val="21"/>
          <w:szCs w:val="21"/>
          <w:highlight w:val="white"/>
          <w:u w:val="single"/>
          <w:lang w:val="en-US" w:eastAsia="zh-CN"/>
        </w:rPr>
        <w:t xml:space="preserve">（扣除第一年考核相应扣款金额）</w:t>
      </w:r>
      <w:r>
        <w:rPr>
          <w:rFonts w:hint="eastAsia" w:ascii="宋体" w:hAnsi="宋体" w:eastAsia="宋体" w:cs="宋体"/>
          <w:b/>
          <w:bCs w:val="0"/>
          <w:color w:val="000000"/>
          <w:sz w:val="21"/>
          <w:szCs w:val="21"/>
          <w:highlight w:val="white"/>
          <w:u w:val="single"/>
          <w:lang w:val="en-US" w:eastAsia="zh-CN"/>
        </w:rPr>
        <w:t xml:space="preserve">；（3）运营服务期第三年的第一个月支付合同总金额的20%</w:t>
      </w:r>
      <w:r>
        <w:rPr>
          <w:rFonts w:hint="eastAsia" w:ascii="宋体" w:hAnsi="宋体" w:eastAsia="宋体" w:cs="宋体"/>
          <w:b/>
          <w:bCs w:val="0"/>
          <w:color w:val="000000"/>
          <w:sz w:val="21"/>
          <w:szCs w:val="21"/>
          <w:highlight w:val="white"/>
          <w:u w:val="single"/>
          <w:lang w:val="en-US" w:eastAsia="zh-CN"/>
        </w:rPr>
        <w:t xml:space="preserve">（扣除第二年考核相应扣款金额）</w:t>
      </w:r>
      <w:r>
        <w:rPr>
          <w:rFonts w:hint="eastAsia" w:ascii="宋体" w:hAnsi="宋体" w:eastAsia="宋体" w:cs="宋体"/>
          <w:b/>
          <w:bCs w:val="0"/>
          <w:color w:val="000000"/>
          <w:sz w:val="21"/>
          <w:szCs w:val="21"/>
          <w:highlight w:val="white"/>
          <w:u w:val="single"/>
          <w:lang w:val="en-US" w:eastAsia="zh-CN"/>
        </w:rPr>
        <w:t xml:space="preserve">；（4）</w:t>
      </w:r>
      <w:r>
        <w:rPr>
          <w:rFonts w:hint="eastAsia" w:ascii="宋体" w:hAnsi="宋体" w:eastAsia="宋体" w:cs="宋体"/>
          <w:b/>
          <w:bCs w:val="0"/>
          <w:color w:val="000000"/>
          <w:sz w:val="21"/>
          <w:szCs w:val="21"/>
          <w:highlight w:val="white"/>
          <w:u w:val="single"/>
          <w:lang w:val="en-US" w:eastAsia="zh-CN" w:bidi="ar-SA"/>
        </w:rPr>
        <w:t xml:space="preserve">(如需审计)则审计后，满足合同约定条件的，甲方在项目</w:t>
      </w:r>
      <w:r>
        <w:rPr>
          <w:rFonts w:hint="eastAsia" w:ascii="宋体" w:hAnsi="宋体" w:eastAsia="宋体" w:cs="宋体"/>
          <w:b/>
          <w:bCs w:val="0"/>
          <w:color w:val="000000"/>
          <w:sz w:val="21"/>
          <w:szCs w:val="21"/>
          <w:highlight w:val="white"/>
          <w:u w:val="single"/>
          <w:lang w:val="en-US" w:eastAsia="zh-CN"/>
        </w:rPr>
        <w:t xml:space="preserve">服务期满</w:t>
      </w:r>
      <w:r>
        <w:rPr>
          <w:rFonts w:hint="eastAsia" w:ascii="宋体" w:hAnsi="宋体" w:eastAsia="宋体" w:cs="宋体"/>
          <w:b/>
          <w:bCs w:val="0"/>
          <w:color w:val="000000"/>
          <w:sz w:val="21"/>
          <w:szCs w:val="21"/>
          <w:highlight w:val="white"/>
          <w:u w:val="single"/>
          <w:lang w:val="en-US" w:eastAsia="zh-CN" w:bidi="ar-SA"/>
        </w:rPr>
        <w:t xml:space="preserve">之日起60日付款至合同总金额（审定金额）的100%</w:t>
      </w:r>
      <w:r>
        <w:rPr>
          <w:rFonts w:hint="eastAsia" w:ascii="宋体" w:hAnsi="宋体" w:eastAsia="宋体" w:cs="宋体"/>
          <w:b/>
          <w:bCs w:val="0"/>
          <w:color w:val="000000"/>
          <w:sz w:val="21"/>
          <w:szCs w:val="21"/>
          <w:highlight w:val="white"/>
          <w:u w:val="single"/>
          <w:lang w:val="en-US" w:eastAsia="zh-CN"/>
        </w:rPr>
        <w:t xml:space="preserve">（扣除第三年考核相应扣款金额）</w:t>
      </w:r>
      <w:r>
        <w:rPr>
          <w:rFonts w:hint="eastAsia" w:ascii="宋体" w:hAnsi="宋体" w:eastAsia="宋体" w:cs="宋体"/>
          <w:b/>
          <w:bCs w:val="0"/>
          <w:color w:val="000000"/>
          <w:sz w:val="21"/>
          <w:szCs w:val="21"/>
          <w:highlight w:val="white"/>
          <w:u w:val="single"/>
          <w:lang w:val="en-US" w:eastAsia="zh-CN" w:bidi="ar-SA"/>
        </w:rPr>
        <w:t xml:space="preserve">。</w:t>
      </w:r>
      <w:r>
        <w:rPr>
          <w:rFonts w:ascii="宋体" w:hAnsi="宋体" w:eastAsia="宋体" w:cs="宋体"/>
          <w:b/>
          <w:bCs/>
          <w:color w:val="000000"/>
          <w:sz w:val="21"/>
          <w:szCs w:val="21"/>
          <w:highlight w:val="white"/>
          <w:u w:val="single"/>
          <w:lang w:val="en-US"/>
        </w:rPr>
      </w:r>
      <w:r>
        <w:rPr>
          <w:highlight w:val="white"/>
        </w:rP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lang w:val="zh-CN"/>
        </w:rPr>
        <w:t xml:space="preserve">第八条　违约责任</w:t>
      </w:r>
      <w:r>
        <w:rPr>
          <w:rFonts w:hint="eastAsia" w:ascii="宋体" w:hAnsi="宋体" w:eastAsia="宋体" w:cs="宋体"/>
          <w:b/>
          <w:bCs/>
          <w:color w:val="000000"/>
          <w:sz w:val="21"/>
          <w:szCs w:val="21"/>
          <w:highlight w:val="white"/>
          <w:lang w:val="zh-CN"/>
        </w:rPr>
      </w:r>
      <w:r>
        <w:rPr>
          <w:highlight w:val="white"/>
        </w:rP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1、乙方无法完成项目的，应向甲方支付合同总价10％的违约金，同时甲方有权解除合同。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2、乙方逾期开展项目的，每逾期1天应向甲方偿付逾期交付合同总额0.5％的滞纳金，但滞纳金累计不得超过逾期交付合同总额的5％；一旦滞纳金总额累计达到逾期交付合同总额的5％，甲方有权解除合同。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3、乙方完成的项目或提供的服务不符合要求的，除按本合同约定的惩罚办法进行惩罚外，还应按照甲方选择的下列一种或多种方式承担赔偿责任：</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(1)在甲方同意延长的期限内交提供服务并承担由此给甲方造成的一切损失；逾期未完成或完成的项目仍不符合要求，乙方应向甲方支付合同总价10％的违约金，同时甲方有权解除合同；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4、乙方未按规定和承诺提供伴随服务、售后服务的，应向甲方支付合同总价5％的违约金，给甲方造成的损失超过违约金的，还应赔偿甲方损失。</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6、违约方承担违约责任并不影响其合同项下的义务(合同解除的除外)。</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7、其他：无</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第九条　</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4、合同各方应根据不可抗力对本合同履行的影响程度，协商确定是否终止本合同或是继续履行本合同。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第十条　</w:t>
      </w:r>
      <w:r>
        <w:rPr>
          <w:rFonts w:hint="eastAsia" w:ascii="宋体" w:hAnsi="宋体" w:eastAsia="宋体" w:cs="宋体"/>
          <w:b/>
          <w:bCs/>
          <w:color w:val="000000"/>
          <w:sz w:val="21"/>
          <w:szCs w:val="21"/>
          <w:highlight w:val="none"/>
          <w:lang w:val="zh-CN"/>
        </w:rPr>
        <w:t xml:space="preserve">合同的变更和终止</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1、除《政府采购法》第五十条规定的情形外，本合同一经签订，甲乙双方不得擅自变更、中止或终止合同。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第十一条  合同的终止</w:t>
      </w:r>
      <w:r>
        <w:rPr>
          <w:rFonts w:hint="eastAsia" w:ascii="宋体" w:hAnsi="宋体" w:eastAsia="宋体" w:cs="宋体"/>
          <w:b/>
          <w:bCs/>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本合同因下列原因而终止：</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(1)本合同正常履行完毕；</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(2)因不可抗力导致本合同无法履行或履行不必要；</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(3)任何一方根据本合同约定或法律规定行使解除权解除本合同；</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(4）因相关部门要求对本合同作出重大修订或适用的中国法律发生重要变化，甲方不得进行委托或对甲方权利义务造成重大不利影响的；</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(5)合同的继续履行将损害国家利益和社会公共利益。</w:t>
      </w:r>
      <w:r>
        <w:rPr>
          <w:rFonts w:hint="eastAsia" w:ascii="宋体" w:hAnsi="宋体" w:eastAsia="宋体" w:cs="宋体"/>
          <w:b/>
          <w:bCs/>
          <w:color w:val="000000"/>
          <w:sz w:val="21"/>
          <w:szCs w:val="21"/>
          <w:highlight w:val="none"/>
          <w:u w:val="single"/>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除上述情形外，甲乙双方不得擅自终止合同。</w:t>
      </w:r>
      <w:r>
        <w:rPr>
          <w:rFonts w:hint="eastAsia" w:ascii="宋体" w:hAnsi="宋体" w:eastAsia="宋体" w:cs="宋体"/>
          <w:color w:val="000000"/>
          <w:sz w:val="21"/>
          <w:szCs w:val="21"/>
          <w:highlight w:val="none"/>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第十二条　争议的解决</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b/>
          <w:bCs/>
          <w:color w:val="000000"/>
          <w:sz w:val="21"/>
          <w:szCs w:val="21"/>
          <w:highlight w:val="none"/>
          <w:u w:val="single"/>
        </w:rPr>
        <w:t xml:space="preserve"> （2） </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（2）向甲方所在地仲裁委员会按其仲裁规则申请仲裁。</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2、在仲裁期间，本合同应继续履行。</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第十三条　合同生效及其他</w:t>
      </w:r>
      <w:r>
        <w:rPr>
          <w:rFonts w:hint="eastAsia" w:ascii="宋体" w:hAnsi="宋体" w:eastAsia="宋体" w:cs="宋体"/>
          <w:b/>
          <w:bCs/>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bookmarkEnd w:id="695"/>
      <w:r>
        <w:rPr>
          <w:rFonts w:hint="eastAsia" w:ascii="宋体" w:hAnsi="宋体" w:eastAsia="宋体" w:cs="宋体"/>
          <w:color w:val="000000"/>
          <w:sz w:val="21"/>
          <w:szCs w:val="21"/>
          <w:highlight w:val="none"/>
          <w:lang w:val="en-US" w:eastAsia="zh-CN"/>
        </w:rPr>
        <w:t xml:space="preserve">1、本合同自经甲乙双方授权代表签订并加盖公章后，自签订之日起生效。见证方仅对甲乙双方签订采购合同的事实进行见证，不代表任</w:t>
      </w:r>
      <w:r>
        <w:rPr>
          <w:rFonts w:hint="eastAsia" w:ascii="宋体" w:hAnsi="宋体" w:eastAsia="宋体" w:cs="宋体"/>
          <w:color w:val="000000"/>
          <w:sz w:val="21"/>
          <w:szCs w:val="21"/>
          <w:highlight w:val="none"/>
          <w:lang w:val="zh-CN"/>
        </w:rPr>
        <w:t xml:space="preserve">何承诺或保证，该合同的履行等相关情况均与见证方无任何关系。</w:t>
      </w:r>
      <w:r>
        <w:rPr>
          <w:rFonts w:hint="eastAsia" w:ascii="宋体" w:hAnsi="宋体" w:eastAsia="宋体" w:cs="宋体"/>
          <w:color w:val="000000"/>
          <w:sz w:val="21"/>
          <w:szCs w:val="21"/>
          <w:highlight w:val="none"/>
          <w:lang w:val="zh-CN"/>
        </w:rPr>
      </w:r>
      <w:r/>
    </w:p>
    <w:p>
      <w:pPr>
        <w:pStyle w:val="1067"/>
        <w:ind w:firstLine="480"/>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rPr>
        <w:t xml:space="preserve">叁</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rPr>
        <w:t xml:space="preserve">贰</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r>
        <w:rPr>
          <w:rFonts w:hint="eastAsia" w:ascii="宋体" w:hAnsi="宋体" w:cs="宋体"/>
          <w:color w:val="000000"/>
          <w:szCs w:val="21"/>
          <w:highlight w:val="none"/>
        </w:rPr>
      </w:r>
      <w:r/>
    </w:p>
    <w:p>
      <w:pPr>
        <w:pStyle w:val="1067"/>
        <w:ind w:firstLine="480"/>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本合同应按照中华人民共和国的现行法律进行解释。</w:t>
      </w:r>
      <w:r>
        <w:rPr>
          <w:rFonts w:hint="eastAsia" w:ascii="宋体" w:hAnsi="宋体" w:cs="宋体"/>
          <w:color w:val="000000"/>
          <w:szCs w:val="21"/>
          <w:highlight w:val="none"/>
        </w:rPr>
      </w:r>
      <w:r/>
    </w:p>
    <w:p>
      <w:pPr>
        <w:pStyle w:val="1067"/>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67"/>
        <w:ind w:firstLine="632"/>
        <w:jc w:val="left"/>
        <w:spacing w:line="400" w:lineRule="exact"/>
        <w:rPr>
          <w:rFonts w:hint="eastAsia" w:ascii="宋体" w:hAnsi="宋体" w:cs="宋体"/>
          <w:color w:val="000000"/>
          <w:szCs w:val="21"/>
          <w:highlight w:val="none"/>
        </w:rPr>
      </w:pPr>
      <w:r/>
      <w:bookmarkEnd w:id="690"/>
      <w:r/>
      <w:bookmarkEnd w:id="691"/>
      <w:r/>
      <w:bookmarkEnd w:id="692"/>
      <w:r/>
      <w:bookmarkEnd w:id="693"/>
      <w:r/>
      <w:bookmarkEnd w:id="694"/>
      <w:r/>
      <w:bookmarkStart w:id="696" w:name="_Toc331685783"/>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63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1067"/>
        <w:ind w:firstLine="63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1067"/>
        <w:ind w:firstLine="63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1067"/>
        <w:ind w:firstLine="63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1067"/>
        <w:ind w:firstLine="630"/>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1099"/>
        <w:tabs>
          <w:tab w:val="left" w:pos="567" w:leader="none"/>
        </w:tabs>
        <w:rPr>
          <w:rFonts w:hint="eastAsia"/>
          <w:color w:val="000000"/>
          <w:highlight w:val="none"/>
        </w:rPr>
      </w:pPr>
      <w:r>
        <w:rPr>
          <w:rFonts w:hint="eastAsia"/>
          <w:color w:val="000000"/>
          <w:highlight w:val="none"/>
        </w:rPr>
      </w:r>
      <w:r/>
    </w:p>
    <w:p>
      <w:pPr>
        <w:pStyle w:val="1067"/>
        <w:ind w:firstLine="632"/>
        <w:keepLines w:val="0"/>
        <w:keepNext w:val="0"/>
        <w:pageBreakBefore w:val="0"/>
        <w:spacing w:line="40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1067"/>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1067"/>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1067"/>
        <w:ind w:firstLine="63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ascii="宋体" w:hAnsi="宋体" w:cs="宋体"/>
          <w:color w:val="000000"/>
          <w:szCs w:val="21"/>
          <w:highlight w:val="none"/>
        </w:rPr>
      </w:r>
      <w:r/>
    </w:p>
    <w:p>
      <w:pPr>
        <w:pStyle w:val="1167"/>
        <w:ind w:firstLine="0"/>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7"/>
        <w:ind w:firstLine="422"/>
        <w:jc w:val="left"/>
        <w:spacing w:line="360" w:lineRule="auto"/>
        <w:rPr>
          <w:rFonts w:hint="eastAsia" w:cs="宋体"/>
          <w:b/>
          <w:color w:val="000000"/>
          <w:szCs w:val="21"/>
          <w:highlight w:val="none"/>
        </w:rPr>
        <w:outlineLvl w:val="0"/>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167"/>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167"/>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108"/>
        <w:spacing w:line="480" w:lineRule="auto"/>
        <w:rPr>
          <w:rFonts w:hAnsi="宋体" w:cs="宋体"/>
          <w:color w:val="000000"/>
          <w:szCs w:val="21"/>
          <w:highlight w:val="none"/>
        </w:rPr>
      </w:pPr>
      <w:r/>
      <w:bookmarkEnd w:id="696"/>
      <w:r>
        <w:rPr>
          <w:rFonts w:hAnsi="宋体" w:cs="宋体"/>
          <w:color w:val="000000"/>
          <w:szCs w:val="21"/>
          <w:highlight w:val="none"/>
        </w:rPr>
      </w:r>
      <w:r/>
    </w:p>
    <w:p>
      <w:pPr>
        <w:pStyle w:val="1067"/>
        <w:jc w:val="center"/>
        <w:spacing w:line="700" w:lineRule="exact"/>
        <w:widowControl/>
        <w:rPr>
          <w:rFonts w:hint="eastAsia" w:ascii="宋体" w:hAnsi="宋体" w:eastAsia="宋体" w:cs="宋体"/>
          <w:b/>
          <w:bCs/>
          <w:color w:val="000000"/>
          <w:sz w:val="32"/>
          <w:szCs w:val="32"/>
          <w:highlight w:val="none"/>
        </w:rPr>
      </w:pPr>
      <w:r>
        <w:rPr>
          <w:b/>
          <w:color w:val="000000"/>
          <w:sz w:val="32"/>
          <w:szCs w:val="32"/>
          <w:highlight w:val="none"/>
        </w:rPr>
        <w:br w:type="page" w:clear="all"/>
      </w:r>
      <w:r>
        <w:rPr>
          <w:rFonts w:hint="eastAsia" w:ascii="宋体" w:hAnsi="宋体" w:eastAsia="宋体" w:cs="宋体"/>
          <w:b/>
          <w:bCs/>
          <w:color w:val="000000"/>
          <w:sz w:val="32"/>
          <w:szCs w:val="32"/>
          <w:highlight w:val="none"/>
        </w:rPr>
        <w:t xml:space="preserve">廉 政 责 任 书</w:t>
      </w:r>
      <w:r>
        <w:rPr>
          <w:rFonts w:hint="eastAsia" w:ascii="宋体" w:hAnsi="宋体" w:eastAsia="宋体" w:cs="宋体"/>
          <w:b/>
          <w:bCs/>
          <w:color w:val="000000"/>
          <w:sz w:val="32"/>
          <w:szCs w:val="32"/>
          <w:highlight w:val="none"/>
        </w:rPr>
      </w:r>
      <w:r/>
    </w:p>
    <w:p>
      <w:pPr>
        <w:pStyle w:val="1067"/>
        <w:ind w:firstLine="560"/>
        <w:keepLines w:val="0"/>
        <w:keepNext w:val="0"/>
        <w:pageBreakBefore w:val="0"/>
        <w:spacing w:line="400" w:lineRule="exact"/>
        <w:widowControl/>
        <w:rPr>
          <w:rFonts w:hint="eastAsia" w:eastAsia="FangSong_GB2312"/>
          <w:color w:val="000000"/>
          <w:sz w:val="28"/>
          <w:szCs w:val="28"/>
          <w:highlight w:val="none"/>
        </w:rPr>
      </w:pPr>
      <w:r>
        <w:rPr>
          <w:rFonts w:hint="eastAsia" w:eastAsia="FangSong_GB2312"/>
          <w:color w:val="000000"/>
          <w:sz w:val="28"/>
          <w:szCs w:val="28"/>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为进一步加强零星采购的廉政建设，特订立如下责任书。</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一、甲、乙双方的权利和义务</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甲乙双方应严格遵守党的政策规定和国家有关法律法规。</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甲乙双方应严格执行项目的合同文件，自觉按合同办事。</w:t>
      </w:r>
      <w:r>
        <w:rPr>
          <w:rFonts w:hint="eastAsia" w:ascii="宋体" w:hAnsi="宋体" w:eastAsia="宋体" w:cs="宋体"/>
          <w:color w:val="000000"/>
          <w:sz w:val="21"/>
          <w:szCs w:val="21"/>
          <w:highlight w:val="none"/>
        </w:rPr>
      </w:r>
      <w:r/>
    </w:p>
    <w:p>
      <w:pPr>
        <w:pStyle w:val="1067"/>
        <w:ind w:firstLine="404"/>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3．甲乙双方的业务活动应坚持公开、公平、公正、诚信、透明的原则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5．甲乙双方不得以任何理由违反廉洁自律的有关规定。</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二、违约责任</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2．本协议一式三份，由甲、乙双方各执一份，送交甲方的监督单位一份。</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乙方单位（盖章）：</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067"/>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67"/>
        <w:ind w:right="482" w:firstLine="210"/>
        <w:jc w:val="both"/>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67"/>
        <w:jc w:val="center"/>
        <w:spacing w:line="360" w:lineRule="auto"/>
        <w:rPr>
          <w:b/>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1067"/>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1067"/>
        <w:ind w:left="142" w:firstLine="420"/>
        <w:spacing w:line="360" w:lineRule="auto"/>
        <w:tabs>
          <w:tab w:val="left" w:pos="900" w:leader="none"/>
          <w:tab w:val="left" w:pos="1980" w:leader="none"/>
        </w:tabs>
        <w:rPr>
          <w:color w:val="000000"/>
          <w:sz w:val="24"/>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color w:val="000000"/>
          <w:sz w:val="24"/>
          <w:highlight w:val="none"/>
        </w:rPr>
      </w:r>
      <w:r/>
    </w:p>
    <w:p>
      <w:pPr>
        <w:pStyle w:val="1067"/>
        <w:jc w:val="left"/>
        <w:keepLines/>
        <w:keepNext/>
        <w:spacing w:before="120" w:line="300" w:lineRule="auto"/>
        <w:rPr>
          <w:b/>
          <w:color w:val="000000"/>
          <w:sz w:val="28"/>
          <w:szCs w:val="28"/>
          <w:highlight w:val="none"/>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color w:val="000000"/>
          <w:spacing w:val="20"/>
          <w:sz w:val="28"/>
          <w:szCs w:val="28"/>
          <w:highlight w:val="none"/>
        </w:rPr>
        <w:t xml:space="preserve">一、资格证明文件格式</w:t>
      </w:r>
      <w:r>
        <w:rPr>
          <w:b/>
          <w:color w:val="000000"/>
          <w:sz w:val="28"/>
          <w:szCs w:val="28"/>
          <w:highlight w:val="none"/>
        </w:rPr>
      </w:r>
      <w:r/>
    </w:p>
    <w:p>
      <w:pPr>
        <w:pStyle w:val="1067"/>
        <w:rPr>
          <w:b/>
          <w:color w:val="000000"/>
          <w:spacing w:val="20"/>
          <w:sz w:val="28"/>
          <w:szCs w:val="28"/>
          <w:highlight w:val="none"/>
        </w:rPr>
      </w:pPr>
      <w:r>
        <w:rPr>
          <w:b/>
          <w:color w:val="000000"/>
          <w:spacing w:val="20"/>
          <w:sz w:val="28"/>
          <w:szCs w:val="28"/>
          <w:highlight w:val="none"/>
        </w:rPr>
      </w:r>
      <w:r/>
    </w:p>
    <w:p>
      <w:pPr>
        <w:pStyle w:val="1067"/>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1067"/>
        <w:jc w:val="center"/>
        <w:rPr>
          <w:color w:val="000000"/>
          <w:szCs w:val="21"/>
          <w:highlight w:val="none"/>
        </w:rPr>
      </w:pPr>
      <w:r>
        <w:rPr>
          <w:color w:val="000000"/>
          <w:szCs w:val="21"/>
          <w:highlight w:val="none"/>
        </w:rPr>
      </w:r>
      <w:r/>
    </w:p>
    <w:p>
      <w:pPr>
        <w:pStyle w:val="1067"/>
        <w:jc w:val="center"/>
        <w:rPr>
          <w:b/>
          <w:color w:val="000000"/>
          <w:spacing w:val="60"/>
          <w:sz w:val="84"/>
          <w:szCs w:val="84"/>
          <w:highlight w:val="none"/>
        </w:rPr>
      </w:pPr>
      <w:r>
        <w:rPr>
          <w:b/>
          <w:color w:val="000000"/>
          <w:spacing w:val="60"/>
          <w:sz w:val="84"/>
          <w:szCs w:val="84"/>
          <w:highlight w:val="none"/>
        </w:rPr>
      </w:r>
      <w:r/>
    </w:p>
    <w:p>
      <w:pPr>
        <w:pStyle w:val="1067"/>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6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6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67"/>
        <w:ind w:firstLine="542"/>
        <w:rPr>
          <w:b/>
          <w:color w:val="000000"/>
          <w:spacing w:val="20"/>
          <w:sz w:val="32"/>
          <w:szCs w:val="32"/>
          <w:highlight w:val="none"/>
        </w:rPr>
      </w:pPr>
      <w:r>
        <w:rPr>
          <w:b/>
          <w:color w:val="000000"/>
          <w:spacing w:val="20"/>
          <w:sz w:val="32"/>
          <w:szCs w:val="32"/>
          <w:highlight w:val="none"/>
        </w:rPr>
      </w:r>
      <w:r/>
    </w:p>
    <w:p>
      <w:pPr>
        <w:pStyle w:val="1067"/>
        <w:ind w:firstLine="542"/>
        <w:rPr>
          <w:b/>
          <w:color w:val="000000"/>
          <w:spacing w:val="20"/>
          <w:sz w:val="32"/>
          <w:szCs w:val="32"/>
          <w:highlight w:val="none"/>
        </w:rPr>
      </w:pPr>
      <w:r>
        <w:rPr>
          <w:b/>
          <w:color w:val="000000"/>
          <w:spacing w:val="20"/>
          <w:sz w:val="32"/>
          <w:szCs w:val="32"/>
          <w:highlight w:val="none"/>
        </w:rPr>
      </w:r>
      <w:r/>
    </w:p>
    <w:p>
      <w:pPr>
        <w:pStyle w:val="1067"/>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55"/>
        <w:ind w:firstLine="420"/>
        <w:rPr>
          <w:color w:val="000000"/>
          <w:highlight w:val="none"/>
        </w:rPr>
      </w:pPr>
      <w:r>
        <w:rPr>
          <w:color w:val="000000"/>
          <w:highlight w:val="none"/>
        </w:rPr>
      </w:r>
      <w:r/>
    </w:p>
    <w:p>
      <w:pPr>
        <w:pStyle w:val="106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7"/>
        <w:jc w:val="center"/>
        <w:rPr>
          <w:b/>
          <w:color w:val="000000"/>
          <w:sz w:val="32"/>
          <w:szCs w:val="32"/>
          <w:highlight w:val="none"/>
        </w:rPr>
      </w:pPr>
      <w:r>
        <w:rPr>
          <w:b/>
          <w:color w:val="000000"/>
          <w:sz w:val="32"/>
          <w:szCs w:val="32"/>
          <w:highlight w:val="none"/>
        </w:rPr>
      </w:r>
      <w:r/>
    </w:p>
    <w:p>
      <w:pPr>
        <w:pStyle w:val="106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7"/>
        <w:rPr>
          <w:b/>
          <w:color w:val="000000"/>
          <w:highlight w:val="none"/>
        </w:rPr>
      </w:pPr>
      <w:r>
        <w:rPr>
          <w:b/>
          <w:color w:val="000000"/>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1070"/>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1070"/>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106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0"/>
        <w:ind w:firstLine="480"/>
        <w:spacing w:line="460" w:lineRule="exact"/>
        <w:rPr>
          <w:color w:val="000000"/>
          <w:highlight w:val="none"/>
        </w:rPr>
      </w:pPr>
      <w:r>
        <w:rPr>
          <w:color w:val="000000"/>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1090"/>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1090"/>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90"/>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rFonts w:hint="eastAsia"/>
          <w:color w:val="000000"/>
          <w:sz w:val="24"/>
          <w:highlight w:val="none"/>
        </w:rPr>
      </w:pPr>
      <w:r>
        <w:rPr>
          <w:rFonts w:hint="eastAsia"/>
          <w:color w:val="000000"/>
          <w:sz w:val="24"/>
          <w:highlight w:val="none"/>
        </w:rPr>
      </w:r>
      <w:r/>
    </w:p>
    <w:p>
      <w:pPr>
        <w:pStyle w:val="1067"/>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1067"/>
        <w:spacing w:line="360" w:lineRule="auto"/>
        <w:tabs>
          <w:tab w:val="left" w:pos="5580" w:leader="none"/>
        </w:tabs>
        <w:rPr>
          <w:rFonts w:hint="eastAsia"/>
          <w:b/>
          <w:color w:val="000000"/>
          <w:sz w:val="21"/>
          <w:szCs w:val="21"/>
          <w:highlight w:val="none"/>
        </w:rPr>
      </w:pPr>
      <w:r>
        <w:rPr>
          <w:rFonts w:hint="eastAsia"/>
          <w:b/>
          <w:color w:val="000000"/>
          <w:sz w:val="21"/>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jc w:val="left"/>
        <w:widowControl/>
        <w:rPr>
          <w:color w:val="000000"/>
          <w:sz w:val="24"/>
          <w:highlight w:val="none"/>
        </w:rPr>
      </w:pPr>
      <w:r>
        <w:rPr>
          <w:color w:val="000000"/>
          <w:sz w:val="24"/>
          <w:highlight w:val="none"/>
        </w:rPr>
        <w:br w:type="page" w:clear="all"/>
      </w:r>
      <w:r>
        <w:rPr>
          <w:color w:val="000000"/>
          <w:sz w:val="24"/>
          <w:highlight w:val="none"/>
        </w:rPr>
      </w:r>
      <w:r/>
    </w:p>
    <w:p>
      <w:pPr>
        <w:pStyle w:val="1067"/>
        <w:jc w:val="center"/>
        <w:spacing w:before="240" w:after="240" w:line="360" w:lineRule="auto"/>
        <w:rPr>
          <w:rFonts w:hint="eastAsia"/>
          <w:b/>
          <w:bCs/>
          <w:color w:val="000000"/>
          <w:sz w:val="32"/>
          <w:szCs w:val="32"/>
          <w:highlight w:val="none"/>
        </w:rPr>
      </w:pPr>
      <w:r>
        <w:rPr>
          <w:rFonts w:hint="eastAsia"/>
          <w:b/>
          <w:bCs/>
          <w:color w:val="000000"/>
          <w:sz w:val="32"/>
          <w:szCs w:val="32"/>
          <w:highlight w:val="none"/>
        </w:rPr>
        <w:t xml:space="preserve">中小企业声明函（服务类）格式</w:t>
      </w:r>
      <w:r>
        <w:rPr>
          <w:rFonts w:hint="eastAsia"/>
          <w:b/>
          <w:bCs/>
          <w:color w:val="000000"/>
          <w:sz w:val="32"/>
          <w:szCs w:val="32"/>
          <w:highlight w:val="none"/>
        </w:rPr>
      </w:r>
      <w:r/>
    </w:p>
    <w:p>
      <w:pPr>
        <w:pStyle w:val="1067"/>
        <w:ind w:firstLine="52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cs="宋体"/>
          <w:color w:val="000000"/>
          <w:szCs w:val="21"/>
          <w:highlight w:val="none"/>
          <w:u w:val="single"/>
        </w:rPr>
        <w:t xml:space="preserve">（采购单位名称①）</w:t>
      </w:r>
      <w:r>
        <w:rPr>
          <w:rFonts w:hint="eastAsia" w:ascii="宋体" w:hAnsi="宋体" w:cs="宋体"/>
          <w:color w:val="000000"/>
          <w:szCs w:val="21"/>
          <w:highlight w:val="none"/>
        </w:rPr>
        <w:t xml:space="preserve">采购编号为</w:t>
      </w:r>
      <w:r>
        <w:rPr>
          <w:rFonts w:hint="eastAsia" w:ascii="宋体" w:hAnsi="宋体" w:cs="宋体"/>
          <w:color w:val="000000"/>
          <w:szCs w:val="21"/>
          <w:highlight w:val="none"/>
          <w:u w:val="single"/>
        </w:rPr>
        <w:t xml:space="preserve">②</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（项目名称③）（分包号：④）</w:t>
      </w:r>
      <w:r>
        <w:rPr>
          <w:rFonts w:hint="eastAsia" w:ascii="宋体" w:hAnsi="宋体" w:cs="宋体"/>
          <w:color w:val="000000"/>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color w:val="000000"/>
          <w:szCs w:val="21"/>
          <w:highlight w:val="none"/>
        </w:rPr>
      </w:r>
      <w:r/>
    </w:p>
    <w:p>
      <w:pPr>
        <w:pStyle w:val="1067"/>
        <w:ind w:firstLine="315"/>
        <w:spacing w:line="570" w:lineRule="exact"/>
        <w:rPr>
          <w:rFonts w:hint="eastAsia" w:ascii="宋体" w:hAnsi="宋体" w:cs="宋体"/>
          <w:i/>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（标的名称⑤）</w:t>
      </w:r>
      <w:r>
        <w:rPr>
          <w:rFonts w:hint="eastAsia" w:ascii="宋体" w:hAnsi="宋体" w:cs="宋体"/>
          <w:i/>
          <w:color w:val="000000"/>
          <w:szCs w:val="21"/>
          <w:highlight w:val="none"/>
        </w:rPr>
        <w:t xml:space="preserve">，</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中明确的所属行业⑥）</w:t>
      </w:r>
      <w:r>
        <w:rPr>
          <w:rFonts w:hint="eastAsia" w:ascii="宋体" w:hAnsi="宋体" w:cs="宋体"/>
          <w:color w:val="000000"/>
          <w:szCs w:val="21"/>
          <w:highlight w:val="none"/>
        </w:rPr>
        <w:t xml:space="preserve">行业；承接（承建）企业为</w:t>
      </w:r>
      <w:r>
        <w:rPr>
          <w:rFonts w:hint="eastAsia" w:ascii="宋体" w:hAnsi="宋体" w:cs="宋体"/>
          <w:color w:val="000000"/>
          <w:szCs w:val="21"/>
          <w:highlight w:val="none"/>
          <w:u w:val="single"/>
        </w:rPr>
        <w:t xml:space="preserve">（企业名称⑦）</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⑧</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⑨</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⑩</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（中型企业、小型企业、微型企业⑪）；</w:t>
      </w:r>
      <w:r>
        <w:rPr>
          <w:rFonts w:hint="eastAsia" w:ascii="宋体" w:hAnsi="宋体" w:cs="宋体"/>
          <w:i/>
          <w:color w:val="000000"/>
          <w:szCs w:val="21"/>
          <w:highlight w:val="none"/>
          <w:u w:val="single"/>
        </w:rPr>
      </w:r>
      <w:r/>
    </w:p>
    <w:p>
      <w:pPr>
        <w:pStyle w:val="1067"/>
        <w:ind w:firstLine="315"/>
        <w:spacing w:line="570" w:lineRule="exact"/>
        <w:rPr>
          <w:rFonts w:hint="eastAsia" w:ascii="宋体" w:hAnsi="宋体" w:cs="宋体"/>
          <w:i/>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（标的名称）</w:t>
      </w:r>
      <w:r>
        <w:rPr>
          <w:rFonts w:hint="eastAsia" w:ascii="宋体" w:hAnsi="宋体" w:cs="宋体"/>
          <w:i/>
          <w:color w:val="000000"/>
          <w:szCs w:val="21"/>
          <w:highlight w:val="none"/>
        </w:rPr>
        <w:t xml:space="preserve">，</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招标文件</w:t>
      </w:r>
      <w:r>
        <w:rPr>
          <w:rFonts w:hint="eastAsia" w:ascii="宋体" w:hAnsi="宋体" w:cs="宋体"/>
          <w:color w:val="000000"/>
          <w:szCs w:val="21"/>
          <w:highlight w:val="none"/>
          <w:u w:val="single"/>
        </w:rPr>
        <w:t xml:space="preserve">中明确的所属行业）</w:t>
      </w:r>
      <w:r>
        <w:rPr>
          <w:rFonts w:hint="eastAsia" w:ascii="宋体" w:hAnsi="宋体" w:cs="宋体"/>
          <w:color w:val="000000"/>
          <w:szCs w:val="21"/>
          <w:highlight w:val="none"/>
        </w:rPr>
        <w:t xml:space="preserve">行业；承接（承建）企业为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i/>
          <w:color w:val="000000"/>
          <w:szCs w:val="21"/>
          <w:highlight w:val="none"/>
          <w:u w:val="singl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1067"/>
        <w:ind w:firstLine="31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1067"/>
        <w:ind w:right="180" w:firstLine="315"/>
        <w:jc w:val="right"/>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企业名称（加盖CA电子公章）⑫：</w:t>
      </w:r>
      <w:r>
        <w:rPr>
          <w:rFonts w:hint="eastAsia" w:ascii="宋体" w:hAnsi="宋体" w:cs="宋体"/>
          <w:color w:val="000000"/>
          <w:szCs w:val="21"/>
          <w:highlight w:val="none"/>
        </w:rPr>
      </w:r>
      <w:r/>
    </w:p>
    <w:p>
      <w:pPr>
        <w:pStyle w:val="1067"/>
        <w:ind w:right="480" w:firstLine="5775"/>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rPr>
      </w:r>
      <w:r/>
    </w:p>
    <w:p>
      <w:pPr>
        <w:pStyle w:val="1067"/>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7"/>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填写说明：</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1.（采购单位名称①）：填写本项目采购人单位名称，如常州市XXX局。</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2.采购编号为②：填写本项目编号，如JSZC-3204XX-JZCG-G20XX-XX。</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3.（项目名称③）：填写本项目名称，如常州市XXX项目。</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4.（分包号：④）：填写分包编号，如有分包的，分别填写分包号，没有的填“无”。</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5.（标的名称⑤）：填写本项目标的名称，如有产品清单的请根据</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中明确的所属行业⑥）：填写本项目采购标的所属行业。须根据</w:t>
      </w:r>
      <w:r>
        <w:rPr>
          <w:rFonts w:hint="eastAsia" w:ascii="宋体" w:hAnsi="宋体" w:cs="宋体"/>
          <w:color w:val="000000"/>
          <w:szCs w:val="21"/>
          <w:highlight w:val="none"/>
          <w:lang w:eastAsia="zh-CN"/>
        </w:rPr>
        <w:t xml:space="preserve">招标文件</w:t>
      </w:r>
      <w:r>
        <w:rPr>
          <w:rFonts w:hint="eastAsia" w:ascii="宋体" w:hAnsi="宋体" w:cs="宋体"/>
          <w:color w:val="000000"/>
          <w:szCs w:val="21"/>
          <w:highlight w:val="none"/>
        </w:rPr>
        <w:t xml:space="preserve">“第四章采购需求”表格中列明的所属行业进行填写。如：软件和信息技术服务业、租赁和商务服务业等。</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7.（企业名称⑦）：填写</w:t>
      </w:r>
      <w:r>
        <w:rPr>
          <w:rFonts w:hint="eastAsia" w:ascii="宋体" w:hAnsi="宋体" w:cs="宋体"/>
          <w:b/>
          <w:bCs/>
          <w:color w:val="000000"/>
          <w:szCs w:val="21"/>
          <w:highlight w:val="none"/>
        </w:rPr>
        <w:t xml:space="preserve">投标人或供应商的名称</w:t>
      </w:r>
      <w:r>
        <w:rPr>
          <w:rFonts w:hint="eastAsia" w:ascii="宋体" w:hAnsi="宋体" w:cs="宋体"/>
          <w:color w:val="000000"/>
          <w:szCs w:val="21"/>
          <w:highlight w:val="none"/>
        </w:rPr>
        <w:t xml:space="preserve">，如XXX公司。</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8.从业人员⑧人，营业收入为⑨万元，资产总额为⑩万元：填报</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的从业人员、营业收入、资产总额上一年度数据，无上一年度数据的新成立企业可不填报。</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9.（中型企业、小型企业、微型企业</w:t>
      </w:r>
      <w:r>
        <w:rPr>
          <w:rFonts w:hint="eastAsia" w:ascii="宋体" w:hAnsi="宋体" w:cs="宋体"/>
          <w:color w:val="000000"/>
          <w:szCs w:val="21"/>
          <w:highlight w:val="none"/>
          <w:u w:val="single"/>
        </w:rPr>
        <w:t xml:space="preserve">⑪</w:t>
      </w:r>
      <w:r>
        <w:rPr>
          <w:rFonts w:hint="eastAsia" w:ascii="宋体" w:hAnsi="宋体" w:cs="宋体"/>
          <w:color w:val="000000"/>
          <w:szCs w:val="21"/>
          <w:highlight w:val="none"/>
        </w:rPr>
        <w:t xml:space="preserve">）：根据</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的企业规模情况填写中型企业、小型企业或微型企业</w:t>
      </w:r>
      <w:r>
        <w:rPr>
          <w:rFonts w:hint="eastAsia" w:ascii="宋体" w:hAnsi="宋体" w:cs="宋体"/>
          <w:b/>
          <w:bCs/>
          <w:color w:val="000000"/>
          <w:szCs w:val="21"/>
          <w:highlight w:val="none"/>
        </w:rPr>
        <w:t xml:space="preserve">（只能填写三种其中的一种）</w:t>
      </w:r>
      <w:r>
        <w:rPr>
          <w:rFonts w:hint="eastAsia" w:ascii="宋体" w:hAnsi="宋体" w:cs="宋体"/>
          <w:color w:val="000000"/>
          <w:szCs w:val="21"/>
          <w:highlight w:val="none"/>
        </w:rPr>
        <w:t xml:space="preserve">。中小企业划分见《关于印发中小企业划型标准规定的通知》（工信部联企业〔2011〕300号) 。</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10.企业名称（盖章）⑫：加盖</w:t>
      </w:r>
      <w:r>
        <w:rPr>
          <w:rFonts w:hint="eastAsia" w:ascii="宋体" w:hAnsi="宋体" w:cs="宋体"/>
          <w:b/>
          <w:bCs/>
          <w:color w:val="000000"/>
          <w:szCs w:val="21"/>
          <w:highlight w:val="none"/>
        </w:rPr>
        <w:t xml:space="preserve">投标人或供应商</w:t>
      </w:r>
      <w:r>
        <w:rPr>
          <w:rFonts w:hint="eastAsia" w:ascii="宋体" w:hAnsi="宋体" w:cs="宋体"/>
          <w:color w:val="000000"/>
          <w:szCs w:val="21"/>
          <w:highlight w:val="none"/>
        </w:rPr>
        <w:t xml:space="preserve">CA电子公章。</w:t>
      </w:r>
      <w:r>
        <w:rPr>
          <w:rFonts w:hint="eastAsia" w:ascii="宋体" w:hAnsi="宋体" w:cs="宋体"/>
          <w:color w:val="000000"/>
          <w:szCs w:val="21"/>
          <w:highlight w:val="none"/>
        </w:rPr>
      </w:r>
      <w:r/>
    </w:p>
    <w:p>
      <w:pPr>
        <w:pStyle w:val="1067"/>
        <w:ind w:firstLine="420"/>
        <w:spacing w:line="57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11.如是</w:t>
      </w:r>
      <w:r>
        <w:rPr>
          <w:rFonts w:hint="eastAsia" w:ascii="宋体" w:hAnsi="宋体" w:cs="宋体"/>
          <w:b/>
          <w:color w:val="000000"/>
          <w:szCs w:val="21"/>
          <w:highlight w:val="none"/>
        </w:rPr>
        <w:t xml:space="preserve">专门面向中小企业预留份额</w:t>
      </w:r>
      <w:r>
        <w:rPr>
          <w:rFonts w:hint="eastAsia" w:ascii="宋体" w:hAnsi="宋体" w:cs="宋体"/>
          <w:color w:val="000000"/>
          <w:szCs w:val="21"/>
          <w:highlight w:val="none"/>
        </w:rPr>
        <w:t xml:space="preserve">的采购项目，供应商未提供此声明函的，资格审查不予通过，作为</w:t>
      </w:r>
      <w:r>
        <w:rPr>
          <w:rFonts w:hint="eastAsia" w:ascii="宋体" w:hAnsi="宋体" w:cs="宋体"/>
          <w:b/>
          <w:color w:val="000000"/>
          <w:szCs w:val="21"/>
          <w:highlight w:val="none"/>
        </w:rPr>
        <w:t xml:space="preserve">无效投标（响应）</w:t>
      </w:r>
      <w:r>
        <w:rPr>
          <w:rFonts w:hint="eastAsia" w:ascii="宋体" w:hAnsi="宋体" w:cs="宋体"/>
          <w:color w:val="000000"/>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color w:val="000000"/>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12.温馨提示</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（1）对于已纳入统计部门统计范围的企业，所属行业、从业人员、营业收入、资产总额、规模类型应与统计部门报表保持一致。</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（4）对于</w:t>
      </w:r>
      <w:r>
        <w:rPr>
          <w:rFonts w:hint="eastAsia" w:ascii="宋体" w:hAnsi="宋体" w:cs="宋体"/>
          <w:color w:val="000000"/>
          <w:sz w:val="21"/>
          <w:szCs w:val="21"/>
          <w:highlight w:val="none"/>
          <w:lang w:eastAsia="zh-CN"/>
        </w:rPr>
        <w:t xml:space="preserve">招标文件</w:t>
      </w:r>
      <w:r>
        <w:rPr>
          <w:rFonts w:ascii="宋体" w:hAnsi="宋体" w:cs="宋体"/>
          <w:color w:val="000000"/>
          <w:sz w:val="21"/>
          <w:szCs w:val="21"/>
          <w:highlight w:val="none"/>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color w:val="000000"/>
          <w:sz w:val="21"/>
          <w:szCs w:val="21"/>
          <w:highlight w:val="none"/>
        </w:rPr>
      </w:r>
      <w:r/>
    </w:p>
    <w:p>
      <w:pPr>
        <w:pStyle w:val="1333"/>
        <w:ind w:firstLine="480"/>
        <w:spacing w:line="570" w:lineRule="exact"/>
        <w:rPr>
          <w:rFonts w:ascii="宋体" w:hAnsi="宋体" w:cs="宋体"/>
          <w:color w:val="000000"/>
          <w:sz w:val="21"/>
          <w:szCs w:val="21"/>
          <w:highlight w:val="none"/>
        </w:rPr>
      </w:pPr>
      <w:r>
        <w:rPr>
          <w:rFonts w:ascii="宋体" w:hAnsi="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color w:val="000000"/>
          <w:sz w:val="21"/>
          <w:szCs w:val="21"/>
          <w:highlight w:val="none"/>
        </w:rPr>
      </w:r>
      <w:r/>
    </w:p>
    <w:p>
      <w:pPr>
        <w:pStyle w:val="1333"/>
        <w:ind w:firstLine="480"/>
        <w:spacing w:line="570" w:lineRule="exact"/>
        <w:rPr>
          <w:rFonts w:ascii="仿宋_GB2312" w:hAnsi="宋体" w:eastAsia="仿宋_GB2312" w:cs="黑体"/>
          <w:color w:val="000000"/>
          <w:sz w:val="32"/>
          <w:szCs w:val="32"/>
          <w:highlight w:val="none"/>
        </w:rPr>
      </w:pPr>
      <w:r>
        <w:rPr>
          <w:rFonts w:ascii="宋体" w:hAnsi="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6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67"/>
        <w:jc w:val="center"/>
        <w:spacing w:before="240" w:after="240" w:line="360" w:lineRule="auto"/>
        <w:rPr>
          <w:b/>
          <w:color w:val="000000"/>
          <w:sz w:val="36"/>
          <w:szCs w:val="36"/>
          <w:highlight w:val="none"/>
        </w:rPr>
      </w:pP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1067"/>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067"/>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1067"/>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067"/>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067"/>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67"/>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67"/>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1067"/>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6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1067"/>
        <w:jc w:val="left"/>
        <w:widowControl/>
        <w:rPr>
          <w:color w:val="000000"/>
          <w:sz w:val="24"/>
          <w:highlight w:val="none"/>
        </w:rPr>
      </w:pPr>
      <w:r>
        <w:rPr>
          <w:color w:val="000000"/>
          <w:sz w:val="24"/>
          <w:highlight w:val="none"/>
        </w:rPr>
      </w:r>
      <w:r/>
    </w:p>
    <w:p>
      <w:pPr>
        <w:pStyle w:val="1067"/>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67"/>
        <w:spacing w:line="360" w:lineRule="auto"/>
        <w:rPr>
          <w:rFonts w:hint="eastAsia"/>
          <w:color w:val="000000"/>
          <w:sz w:val="24"/>
          <w:szCs w:val="20"/>
          <w:highlight w:val="none"/>
        </w:rPr>
      </w:pPr>
      <w:r>
        <w:rPr>
          <w:rFonts w:hint="eastAsia"/>
          <w:color w:val="000000"/>
          <w:sz w:val="24"/>
          <w:szCs w:val="20"/>
          <w:highlight w:val="none"/>
        </w:rPr>
      </w:r>
      <w:r/>
    </w:p>
    <w:p>
      <w:pPr>
        <w:pStyle w:val="1067"/>
        <w:ind w:firstLine="480"/>
        <w:jc w:val="center"/>
        <w:spacing w:line="360" w:lineRule="auto"/>
        <w:tabs>
          <w:tab w:val="left" w:pos="5580" w:leader="none"/>
        </w:tabs>
        <w:rPr>
          <w:rFonts w:hint="eastAsia" w:ascii="宋体" w:hAnsi="宋体"/>
          <w:b/>
          <w:color w:val="000000"/>
          <w:sz w:val="32"/>
          <w:szCs w:val="32"/>
          <w:highlight w:val="none"/>
        </w:rPr>
      </w:pPr>
      <w:r>
        <w:rPr>
          <w:color w:val="000000"/>
          <w:sz w:val="24"/>
          <w:szCs w:val="20"/>
          <w:highlight w:val="none"/>
        </w:rPr>
        <w:br w:type="page" w:clear="all"/>
      </w:r>
      <w:r>
        <w:rPr>
          <w:rFonts w:ascii="宋体" w:hAnsi="宋体"/>
          <w:b/>
          <w:color w:val="000000"/>
          <w:sz w:val="32"/>
          <w:szCs w:val="32"/>
          <w:highlight w:val="none"/>
        </w:rPr>
        <w:t xml:space="preserve">二、商务技术文件格式</w:t>
      </w:r>
      <w:bookmarkStart w:id="697" w:name="_Toc127151556"/>
      <w:r/>
      <w:bookmarkStart w:id="698" w:name="_Ref467988698"/>
      <w:r/>
      <w:bookmarkStart w:id="699" w:name="_Toc142311058"/>
      <w:r/>
      <w:bookmarkStart w:id="700" w:name="_Toc150774761"/>
      <w:r/>
      <w:bookmarkStart w:id="701" w:name="_Toc226309800"/>
      <w:r/>
      <w:bookmarkStart w:id="702" w:name="_Toc480942349"/>
      <w:r/>
      <w:bookmarkStart w:id="703" w:name="_Toc226965746"/>
      <w:r/>
      <w:bookmarkStart w:id="704" w:name="_Toc226337252"/>
      <w:r/>
      <w:bookmarkStart w:id="705" w:name="_Toc520356217"/>
      <w:r/>
      <w:bookmarkStart w:id="706" w:name="_Toc226965829"/>
      <w:r/>
      <w:bookmarkStart w:id="707" w:name="_Toc150480794"/>
      <w:r/>
      <w:bookmarkStart w:id="708" w:name="_Toc195842921"/>
      <w:r>
        <w:rPr>
          <w:rFonts w:hint="eastAsia" w:ascii="宋体" w:hAnsi="宋体"/>
          <w:b/>
          <w:color w:val="000000"/>
          <w:sz w:val="32"/>
          <w:szCs w:val="32"/>
          <w:highlight w:val="none"/>
        </w:rPr>
      </w:r>
      <w:r/>
    </w:p>
    <w:p>
      <w:pPr>
        <w:pStyle w:val="1067"/>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1067"/>
        <w:spacing w:line="360" w:lineRule="auto"/>
        <w:tabs>
          <w:tab w:val="left" w:pos="5580" w:leader="none"/>
        </w:tabs>
        <w:rPr>
          <w:color w:val="000000"/>
          <w:sz w:val="24"/>
          <w:highlight w:val="none"/>
        </w:rPr>
      </w:pPr>
      <w:r>
        <w:rPr>
          <w:color w:val="000000"/>
          <w:sz w:val="24"/>
          <w:highlight w:val="none"/>
        </w:rPr>
      </w:r>
      <w:r/>
    </w:p>
    <w:p>
      <w:pPr>
        <w:pStyle w:val="1067"/>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67"/>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67"/>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1067"/>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67"/>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67"/>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67"/>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6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67"/>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6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67"/>
        <w:jc w:val="left"/>
        <w:widowControl/>
        <w:rPr>
          <w:rFonts w:hint="eastAsia"/>
          <w:color w:val="000000"/>
          <w:sz w:val="24"/>
          <w:highlight w:val="none"/>
        </w:rPr>
      </w:pPr>
      <w:r/>
      <w:bookmarkStart w:id="709" w:name="_Hlt520356243"/>
      <w:r/>
      <w:bookmarkEnd w:id="709"/>
      <w:r/>
      <w:bookmarkStart w:id="710" w:name="_Hlt520355938"/>
      <w:r/>
      <w:bookmarkEnd w:id="710"/>
      <w:r>
        <w:rPr>
          <w:color w:val="000000"/>
          <w:sz w:val="24"/>
          <w:highlight w:val="none"/>
        </w:rPr>
        <w:br w:type="page" w:clear="all"/>
      </w:r>
      <w:r>
        <w:rPr>
          <w:rFonts w:hint="eastAsia"/>
          <w:color w:val="000000"/>
          <w:sz w:val="24"/>
          <w:highlight w:val="none"/>
        </w:rPr>
      </w:r>
      <w:r/>
    </w:p>
    <w:p>
      <w:pPr>
        <w:pStyle w:val="106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106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ascii="宋体" w:hAnsi="宋体"/>
          <w:color w:val="000000"/>
          <w:szCs w:val="21"/>
          <w:highlight w:val="none"/>
        </w:rPr>
      </w:r>
      <w:r/>
    </w:p>
    <w:p>
      <w:pPr>
        <w:pStyle w:val="1099"/>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1067"/>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1067"/>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1067"/>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067"/>
        <w:jc w:val="left"/>
        <w:widowControl/>
        <w:rPr>
          <w:rFonts w:hint="eastAsia"/>
          <w:color w:val="000000"/>
          <w:szCs w:val="21"/>
          <w:highlight w:val="none"/>
        </w:rPr>
      </w:pPr>
      <w:r>
        <w:rPr>
          <w:rFonts w:hint="eastAsia"/>
          <w:color w:val="000000"/>
          <w:szCs w:val="21"/>
          <w:highlight w:val="none"/>
        </w:rPr>
      </w:r>
      <w:r/>
    </w:p>
    <w:p>
      <w:pPr>
        <w:pStyle w:val="1105"/>
        <w:ind w:left="1260"/>
        <w:rPr>
          <w:rFonts w:hint="eastAsia"/>
          <w:color w:val="000000"/>
          <w:szCs w:val="21"/>
          <w:highlight w:val="none"/>
        </w:rPr>
      </w:pPr>
      <w:r>
        <w:rPr>
          <w:rFonts w:hint="eastAsia"/>
          <w:color w:val="000000"/>
          <w:szCs w:val="21"/>
          <w:highlight w:val="none"/>
        </w:rPr>
      </w:r>
      <w:r/>
    </w:p>
    <w:p>
      <w:pPr>
        <w:pStyle w:val="1067"/>
        <w:rPr>
          <w:rFonts w:hint="eastAsia"/>
          <w:color w:val="000000"/>
          <w:szCs w:val="21"/>
          <w:highlight w:val="none"/>
        </w:rPr>
      </w:pPr>
      <w:r>
        <w:rPr>
          <w:rFonts w:hint="eastAsia"/>
          <w:color w:val="000000"/>
          <w:szCs w:val="21"/>
          <w:highlight w:val="none"/>
        </w:rPr>
      </w:r>
      <w:r/>
    </w:p>
    <w:p>
      <w:pPr>
        <w:pStyle w:val="1105"/>
        <w:ind w:left="1260"/>
        <w:rPr>
          <w:rFonts w:hint="eastAsia"/>
          <w:color w:val="000000"/>
          <w:szCs w:val="21"/>
          <w:highlight w:val="none"/>
        </w:rPr>
      </w:pPr>
      <w:r>
        <w:rPr>
          <w:rFonts w:hint="eastAsia"/>
          <w:color w:val="000000"/>
          <w:szCs w:val="21"/>
          <w:highlight w:val="none"/>
        </w:rPr>
      </w:r>
      <w:r/>
    </w:p>
    <w:p>
      <w:pPr>
        <w:pStyle w:val="1067"/>
        <w:rPr>
          <w:rFonts w:hint="eastAsia"/>
          <w:color w:val="000000"/>
          <w:highlight w:val="none"/>
        </w:rPr>
      </w:pPr>
      <w:r>
        <w:rPr>
          <w:rFonts w:hint="eastAsia"/>
          <w:color w:val="000000"/>
          <w:highlight w:val="none"/>
        </w:rPr>
      </w:r>
      <w:r/>
    </w:p>
    <w:p>
      <w:pPr>
        <w:pStyle w:val="1067"/>
        <w:jc w:val="left"/>
        <w:widowControl/>
        <w:rPr>
          <w:rFonts w:hint="eastAsia"/>
          <w:color w:val="000000"/>
          <w:sz w:val="24"/>
          <w:highlight w:val="none"/>
        </w:rPr>
      </w:pPr>
      <w:r>
        <w:rPr>
          <w:rFonts w:hint="eastAsia"/>
          <w:color w:val="000000"/>
          <w:sz w:val="24"/>
          <w:highlight w:val="none"/>
        </w:rPr>
      </w:r>
      <w:r/>
    </w:p>
    <w:p>
      <w:pPr>
        <w:pStyle w:val="1067"/>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106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7"/>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1067"/>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323"/>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67"/>
        <w:jc w:val="left"/>
        <w:widowControl/>
        <w:rPr>
          <w:color w:val="000000"/>
          <w:sz w:val="24"/>
          <w:szCs w:val="20"/>
          <w:highlight w:val="none"/>
        </w:rPr>
      </w:pPr>
      <w:r/>
      <w:bookmarkStart w:id="711" w:name="_Hlt520343392"/>
      <w:r/>
      <w:bookmarkEnd w:id="711"/>
      <w:r/>
      <w:bookmarkStart w:id="712" w:name="_Hlt520274407"/>
      <w:r/>
      <w:bookmarkEnd w:id="712"/>
      <w:r/>
      <w:bookmarkStart w:id="713" w:name="_Hlt520355504"/>
      <w:r/>
      <w:bookmarkEnd w:id="713"/>
      <w:r/>
      <w:bookmarkStart w:id="714" w:name="_Hlt520274065"/>
      <w:r/>
      <w:bookmarkEnd w:id="714"/>
      <w:r/>
      <w:bookmarkStart w:id="715" w:name="_Hlt520350918"/>
      <w:r/>
      <w:bookmarkEnd w:id="715"/>
      <w:r/>
      <w:bookmarkStart w:id="716" w:name="_Hlt520343000"/>
      <w:r/>
      <w:bookmarkEnd w:id="716"/>
      <w:r/>
      <w:bookmarkStart w:id="717" w:name="_Hlt520274393"/>
      <w:r/>
      <w:bookmarkEnd w:id="717"/>
      <w:r/>
      <w:bookmarkStart w:id="718" w:name="_Hlt520271212"/>
      <w:r/>
      <w:bookmarkEnd w:id="718"/>
      <w:r/>
      <w:bookmarkStart w:id="719" w:name="_Hlt520273711"/>
      <w:r/>
      <w:bookmarkEnd w:id="719"/>
      <w:r/>
      <w:bookmarkStart w:id="720" w:name="_Hlt520274121"/>
      <w:r/>
      <w:bookmarkEnd w:id="720"/>
      <w:r/>
      <w:bookmarkStart w:id="721" w:name="_Ref467988705"/>
      <w:r/>
      <w:bookmarkStart w:id="722" w:name="_Toc150480795"/>
      <w:r/>
      <w:bookmarkStart w:id="723" w:name="_Toc226337253"/>
      <w:r/>
      <w:bookmarkStart w:id="724" w:name="_Toc305158825"/>
      <w:r/>
      <w:bookmarkStart w:id="725" w:name="_Toc226309801"/>
      <w:r/>
      <w:bookmarkStart w:id="726" w:name="_Toc226965830"/>
      <w:r/>
      <w:bookmarkStart w:id="727" w:name="_Toc127151557"/>
      <w:r/>
      <w:bookmarkStart w:id="728" w:name="_Toc150774762"/>
      <w:r/>
      <w:bookmarkStart w:id="729" w:name="_Toc195842922"/>
      <w:r/>
      <w:bookmarkStart w:id="730" w:name="_Toc142311059"/>
      <w:r/>
      <w:bookmarkStart w:id="731" w:name="_Toc520356218"/>
      <w:r/>
      <w:bookmarkStart w:id="732" w:name="_Toc305158899"/>
      <w:r/>
      <w:bookmarkStart w:id="733" w:name="_Toc265228395"/>
      <w:r/>
      <w:bookmarkStart w:id="734" w:name="_Toc480942350"/>
      <w:r/>
      <w:bookmarkStart w:id="735" w:name="_Toc226965747"/>
      <w:r/>
      <w:bookmarkStart w:id="736" w:name="_Toc264969247"/>
      <w:r>
        <w:rPr>
          <w:color w:val="000000"/>
          <w:sz w:val="24"/>
          <w:szCs w:val="20"/>
          <w:highlight w:val="none"/>
        </w:rPr>
        <w:br w:type="page" w:clear="all"/>
      </w:r>
      <w:r>
        <w:rPr>
          <w:color w:val="000000"/>
          <w:sz w:val="24"/>
          <w:szCs w:val="20"/>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1067"/>
        <w:jc w:val="center"/>
        <w:spacing w:line="360" w:lineRule="exact"/>
        <w:rPr>
          <w:b/>
          <w:color w:val="000000"/>
          <w:sz w:val="32"/>
          <w:szCs w:val="32"/>
          <w:highlight w:val="none"/>
        </w:rPr>
      </w:pPr>
      <w:r/>
      <w:bookmarkStart w:id="737" w:name="_Toc226309802"/>
      <w:r/>
      <w:bookmarkStart w:id="738" w:name="_Toc305158900"/>
      <w:r/>
      <w:bookmarkStart w:id="739" w:name="_Toc226337254"/>
      <w:r/>
      <w:bookmarkStart w:id="740" w:name="_Toc164608827"/>
      <w:r/>
      <w:bookmarkStart w:id="741" w:name="_Toc226965748"/>
      <w:r/>
      <w:bookmarkStart w:id="742" w:name="_Toc164608672"/>
      <w:r/>
      <w:bookmarkStart w:id="743" w:name="_Toc264969248"/>
      <w:r/>
      <w:bookmarkStart w:id="744" w:name="_Toc226965831"/>
      <w:r/>
      <w:bookmarkStart w:id="745" w:name="_Toc265228396"/>
      <w:r/>
      <w:bookmarkStart w:id="746" w:name="_Toc195842923"/>
      <w:r/>
      <w:bookmarkStart w:id="747" w:name="_Toc305158826"/>
      <w:r>
        <w:rPr>
          <w:rFonts w:hint="eastAsia"/>
          <w:b/>
          <w:color w:val="000000"/>
          <w:sz w:val="32"/>
          <w:szCs w:val="32"/>
          <w:highlight w:val="none"/>
        </w:rPr>
        <w:t xml:space="preserve">开标一览表</w:t>
      </w:r>
      <w:bookmarkEnd w:id="737"/>
      <w:r/>
      <w:bookmarkEnd w:id="738"/>
      <w:r/>
      <w:bookmarkEnd w:id="739"/>
      <w:r/>
      <w:bookmarkEnd w:id="740"/>
      <w:r/>
      <w:bookmarkEnd w:id="741"/>
      <w:r/>
      <w:bookmarkEnd w:id="742"/>
      <w:r/>
      <w:bookmarkEnd w:id="743"/>
      <w:r/>
      <w:bookmarkEnd w:id="744"/>
      <w:r/>
      <w:bookmarkEnd w:id="745"/>
      <w:r/>
      <w:bookmarkEnd w:id="746"/>
      <w:r/>
      <w:bookmarkEnd w:id="747"/>
      <w:r>
        <w:rPr>
          <w:b/>
          <w:color w:val="000000"/>
          <w:sz w:val="32"/>
          <w:szCs w:val="32"/>
          <w:highlight w:val="none"/>
        </w:rPr>
      </w:r>
      <w:r/>
    </w:p>
    <w:p>
      <w:pPr>
        <w:pStyle w:val="1067"/>
        <w:jc w:val="center"/>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tbl>
      <w:tblPr>
        <w:tblW w:w="4562"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734"/>
        </w:trPr>
        <w:tc>
          <w:tcPr>
            <w:tcW w:w="495" w:type="dxa"/>
            <w:vAlign w:val="center"/>
            <w:vMerge w:val="restart"/>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06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4216" w:type="dxa"/>
            <w:vAlign w:val="center"/>
            <w:textDirection w:val="lrTb"/>
            <w:noWrap w:val="false"/>
          </w:tcPr>
          <w:p>
            <w:pPr>
              <w:pStyle w:val="1067"/>
              <w:jc w:val="center"/>
              <w:tabs>
                <w:tab w:val="left" w:pos="5580" w:leader="none"/>
              </w:tabs>
              <w:rPr>
                <w:b/>
                <w:color w:val="000000"/>
                <w:sz w:val="24"/>
                <w:highlight w:val="none"/>
              </w:rPr>
            </w:pPr>
            <w:r>
              <w:rPr>
                <w:b/>
                <w:color w:val="000000"/>
                <w:sz w:val="24"/>
                <w:highlight w:val="none"/>
              </w:rPr>
              <w:t xml:space="preserve">投标报价</w:t>
            </w:r>
            <w:r>
              <w:rPr>
                <w:rFonts w:hint="eastAsia"/>
                <w:b/>
                <w:color w:val="000000"/>
                <w:sz w:val="24"/>
                <w:highlight w:val="none"/>
              </w:rPr>
              <w:t xml:space="preserve">（单位：元）</w:t>
            </w:r>
            <w:r>
              <w:rPr>
                <w:b/>
                <w:color w:val="000000"/>
                <w:sz w:val="24"/>
                <w:highlight w:val="none"/>
              </w:rPr>
            </w:r>
            <w:r/>
          </w:p>
        </w:tc>
      </w:tr>
      <w:tr>
        <w:trPr>
          <w:trHeight w:val="835"/>
        </w:trPr>
        <w:tc>
          <w:tcPr>
            <w:tcW w:w="495" w:type="dxa"/>
            <w:vAlign w:val="center"/>
            <w:vMerge w:val="continue"/>
            <w:textDirection w:val="lrTb"/>
            <w:noWrap w:val="false"/>
          </w:tcPr>
          <w:p>
            <w:pPr>
              <w:pStyle w:val="1067"/>
              <w:jc w:val="left"/>
              <w:widowControl/>
              <w:rPr>
                <w:b/>
                <w:color w:val="000000"/>
                <w:sz w:val="24"/>
                <w:highlight w:val="none"/>
              </w:rPr>
            </w:pPr>
            <w:r>
              <w:rPr>
                <w:b/>
                <w:color w:val="000000"/>
                <w:sz w:val="24"/>
                <w:highlight w:val="none"/>
              </w:rPr>
            </w:r>
            <w:r/>
          </w:p>
        </w:tc>
        <w:tc>
          <w:tcPr>
            <w:tcW w:w="1960" w:type="dxa"/>
            <w:vAlign w:val="center"/>
            <w:vMerge w:val="continue"/>
            <w:textDirection w:val="lrTb"/>
            <w:noWrap w:val="false"/>
          </w:tcPr>
          <w:p>
            <w:pPr>
              <w:pStyle w:val="1067"/>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067"/>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444"/>
        </w:trPr>
        <w:tc>
          <w:tcPr>
            <w:tcW w:w="495"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067"/>
              <w:jc w:val="center"/>
              <w:tabs>
                <w:tab w:val="left" w:pos="5580" w:leader="none"/>
              </w:tabs>
              <w:rPr>
                <w:color w:val="000000"/>
                <w:sz w:val="24"/>
                <w:highlight w:val="none"/>
                <w:u w:val="single"/>
              </w:rPr>
            </w:pPr>
            <w:r>
              <w:rPr>
                <w:color w:val="000000"/>
                <w:sz w:val="24"/>
                <w:highlight w:val="none"/>
                <w:u w:val="single"/>
              </w:rPr>
            </w:r>
            <w:r/>
          </w:p>
        </w:tc>
        <w:tc>
          <w:tcPr>
            <w:tcW w:w="1304" w:type="dxa"/>
            <w:vAlign w:val="center"/>
            <w:textDirection w:val="lrTb"/>
            <w:noWrap w:val="false"/>
          </w:tcPr>
          <w:p>
            <w:pPr>
              <w:pStyle w:val="1067"/>
              <w:jc w:val="center"/>
              <w:tabs>
                <w:tab w:val="left" w:pos="5580" w:leader="none"/>
              </w:tabs>
              <w:rPr>
                <w:color w:val="000000"/>
                <w:sz w:val="24"/>
                <w:highlight w:val="none"/>
              </w:rPr>
            </w:pPr>
            <w:r>
              <w:rPr>
                <w:color w:val="000000"/>
                <w:sz w:val="24"/>
                <w:highlight w:val="none"/>
              </w:rPr>
            </w:r>
            <w:r/>
          </w:p>
        </w:tc>
      </w:tr>
    </w:tbl>
    <w:p>
      <w:pPr>
        <w:pStyle w:val="1067"/>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.此表中，每包的报价应和《分项报价表》中的总价相一致。</w:t>
      </w:r>
      <w:r>
        <w:rPr>
          <w:rFonts w:hint="eastAsia" w:ascii="宋体" w:hAnsi="宋体" w:cs="宋体"/>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2.本表必须按包分别填写。</w:t>
      </w:r>
      <w:r>
        <w:rPr>
          <w:rFonts w:hint="eastAsia" w:ascii="宋体" w:hAnsi="宋体" w:cs="宋体"/>
          <w:color w:val="000000"/>
          <w:szCs w:val="21"/>
          <w:highlight w:val="none"/>
        </w:rPr>
      </w:r>
      <w:r/>
    </w:p>
    <w:p>
      <w:pPr>
        <w:pStyle w:val="1067"/>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67"/>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ind w:firstLine="42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67"/>
        <w:tabs>
          <w:tab w:val="left" w:pos="1800" w:leader="none"/>
          <w:tab w:val="left" w:pos="5580" w:leader="none"/>
        </w:tabs>
        <w:rPr>
          <w:rFonts w:hint="eastAsia"/>
        </w:rPr>
      </w:pPr>
      <w:r/>
      <w:bookmarkStart w:id="748" w:name="_Toc305158830"/>
      <w:r/>
      <w:bookmarkStart w:id="749" w:name="_Toc226309806"/>
      <w:r/>
      <w:bookmarkStart w:id="750" w:name="_Toc150774765"/>
      <w:r/>
      <w:bookmarkStart w:id="751" w:name="_Toc127151562"/>
      <w:r/>
      <w:bookmarkStart w:id="752" w:name="_Toc226965835"/>
      <w:r/>
      <w:bookmarkStart w:id="753" w:name="_Toc142311062"/>
      <w:r/>
      <w:bookmarkStart w:id="754" w:name="_Toc264969252"/>
      <w:r/>
      <w:bookmarkStart w:id="755" w:name="_Toc305158904"/>
      <w:r/>
      <w:bookmarkStart w:id="756" w:name="_Toc265228400"/>
      <w:r/>
      <w:bookmarkStart w:id="757" w:name="_Toc226965752"/>
      <w:r/>
      <w:bookmarkStart w:id="758" w:name="_Toc226337258"/>
      <w:r/>
      <w:bookmarkStart w:id="759" w:name="_Toc150480798"/>
      <w:r/>
      <w:bookmarkStart w:id="760" w:name="_Toc195842927"/>
      <w:r/>
      <w:bookmarkStart w:id="761" w:name="_Toc305158829"/>
      <w:r/>
      <w:bookmarkStart w:id="762" w:name="_Toc195842926"/>
      <w:r/>
      <w:bookmarkStart w:id="763" w:name="_Toc226309805"/>
      <w:r/>
      <w:bookmarkStart w:id="764" w:name="_Toc226965751"/>
      <w:r/>
      <w:bookmarkStart w:id="765" w:name="_Toc150774764"/>
      <w:r/>
      <w:bookmarkStart w:id="766" w:name="_Toc142311061"/>
      <w:r/>
      <w:bookmarkStart w:id="767" w:name="_Toc265228399"/>
      <w:r/>
      <w:bookmarkStart w:id="768" w:name="_Toc264969251"/>
      <w:r/>
      <w:bookmarkStart w:id="769" w:name="_Toc305158903"/>
      <w:r/>
      <w:bookmarkStart w:id="770" w:name="_Toc226965834"/>
      <w:r/>
      <w:bookmarkStart w:id="771" w:name="_Toc150480797"/>
      <w:r/>
      <w:bookmarkStart w:id="772" w:name="_Toc226337257"/>
      <w:r/>
      <w:bookmarkStart w:id="773" w:name="_Toc127151561"/>
      <w:r>
        <w:rPr>
          <w:color w:val="000000"/>
          <w:sz w:val="24"/>
          <w:szCs w:val="20"/>
          <w:highlight w:val="none"/>
        </w:rPr>
        <w:br w:type="page" w:clear="all"/>
      </w:r>
      <w:r>
        <w:rPr>
          <w:rFonts w:hint="eastAsia" w:ascii="宋体" w:hAnsi="宋体" w:cs="宋体"/>
          <w:szCs w:val="21"/>
        </w:rPr>
        <w:t xml:space="preserve">5.投标分项报价表（实质性格式）</w:t>
      </w:r>
      <w:r>
        <w:rPr>
          <w:rFonts w:hint="eastAsia"/>
        </w:rPr>
      </w:r>
      <w:r/>
    </w:p>
    <w:p>
      <w:pPr>
        <w:pStyle w:val="1067"/>
        <w:jc w:val="center"/>
        <w:spacing w:line="360" w:lineRule="exact"/>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pStyle w:val="1067"/>
        <w:jc w:val="center"/>
        <w:spacing w:line="3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lang w:eastAsia="zh-CN"/>
        </w:rPr>
      </w:r>
      <w:r/>
    </w:p>
    <w:p>
      <w:pPr>
        <w:pStyle w:val="10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1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3"/>
        <w:gridCol w:w="4126"/>
        <w:gridCol w:w="742"/>
        <w:gridCol w:w="683"/>
        <w:gridCol w:w="870"/>
        <w:gridCol w:w="917"/>
        <w:gridCol w:w="770"/>
      </w:tblGrid>
      <w:tr>
        <w:trPr>
          <w:trHeight w:val="700"/>
        </w:trPr>
        <w:tc>
          <w:tcPr>
            <w:tcW w:w="1073"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rPr>
                <w:rFonts w:hint="eastAsia" w:ascii="宋体" w:hAnsi="宋体" w:eastAsia="宋体" w:cs="宋体"/>
                <w:b/>
                <w:bCs/>
                <w:i w:val="0"/>
                <w:iCs w:val="0"/>
                <w:color w:val="000000"/>
                <w:sz w:val="21"/>
                <w:szCs w:val="21"/>
                <w:highlight w:val="none"/>
                <w:u w:val="none"/>
              </w:rPr>
            </w:r>
            <w:r/>
          </w:p>
        </w:tc>
        <w:tc>
          <w:tcPr>
            <w:tcW w:w="4126"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内容描述</w:t>
            </w:r>
            <w:r>
              <w:rPr>
                <w:rFonts w:hint="eastAsia" w:ascii="宋体" w:hAnsi="宋体" w:eastAsia="宋体" w:cs="宋体"/>
                <w:b/>
                <w:bCs/>
                <w:i w:val="0"/>
                <w:iCs w:val="0"/>
                <w:color w:val="000000"/>
                <w:sz w:val="21"/>
                <w:szCs w:val="21"/>
                <w:highlight w:val="none"/>
                <w:u w:val="none"/>
              </w:rPr>
            </w:r>
            <w:r/>
          </w:p>
        </w:tc>
        <w:tc>
          <w:tcPr>
            <w:tcW w:w="742"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683" w:type="dxa"/>
            <w:vAlign w:val="center"/>
            <w:textDirection w:val="lrTb"/>
            <w:noWrap/>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870" w:type="dxa"/>
            <w:vAlign w:val="center"/>
            <w:textDirection w:val="lrTb"/>
            <w:noWrap w:val="false"/>
          </w:tcPr>
          <w:p>
            <w:pPr>
              <w:pStyle w:val="1067"/>
              <w:jc w:val="center"/>
              <w:keepLines w:val="0"/>
              <w:keepNext w:val="0"/>
              <w:spacing w:line="240" w:lineRule="auto"/>
              <w:widowControl/>
              <w:rPr>
                <w:rFonts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全费用综合单价（元)</w:t>
            </w:r>
            <w:r>
              <w:rPr>
                <w:rFonts w:ascii="宋体" w:hAnsi="宋体" w:eastAsia="宋体" w:cs="宋体"/>
                <w:b/>
                <w:bCs/>
                <w:i w:val="0"/>
                <w:iCs w:val="0"/>
                <w:color w:val="000000"/>
                <w:sz w:val="21"/>
                <w:szCs w:val="21"/>
                <w:highlight w:val="none"/>
                <w:u w:val="none"/>
                <w:lang w:val="en-US" w:eastAsia="zh-CN"/>
              </w:rPr>
            </w:r>
            <w:r/>
          </w:p>
        </w:tc>
        <w:tc>
          <w:tcPr>
            <w:tcW w:w="917" w:type="dxa"/>
            <w:vAlign w:val="center"/>
            <w:textDirection w:val="lrTb"/>
            <w:noWrap w:val="false"/>
          </w:tcPr>
          <w:p>
            <w:pPr>
              <w:pStyle w:val="1067"/>
              <w:jc w:val="center"/>
              <w:keepLines w:val="0"/>
              <w:keepNext w:val="0"/>
              <w:spacing w:line="240" w:lineRule="auto"/>
              <w:widowControl/>
              <w:rPr>
                <w:rFonts w:ascii="宋体" w:hAnsi="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总价（元）</w:t>
            </w:r>
            <w:r>
              <w:rPr>
                <w:rFonts w:ascii="宋体" w:hAnsi="宋体" w:cs="宋体"/>
                <w:b/>
                <w:bCs/>
                <w:i w:val="0"/>
                <w:iCs w:val="0"/>
                <w:color w:val="000000"/>
                <w:sz w:val="21"/>
                <w:szCs w:val="21"/>
                <w:highlight w:val="none"/>
                <w:u w:val="none"/>
                <w:lang w:val="en-US" w:eastAsia="zh-CN"/>
              </w:rPr>
            </w:r>
            <w:r/>
          </w:p>
        </w:tc>
        <w:tc>
          <w:tcPr>
            <w:tcW w:w="770" w:type="dxa"/>
            <w:vAlign w:val="center"/>
            <w:textDirection w:val="lrTb"/>
            <w:noWrap w:val="false"/>
          </w:tcPr>
          <w:p>
            <w:pPr>
              <w:pStyle w:val="1067"/>
              <w:jc w:val="center"/>
              <w:keepLines w:val="0"/>
              <w:keepNext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r>
      <w:tr>
        <w:trPr>
          <w:trHeight w:val="295"/>
        </w:trPr>
        <w:tc>
          <w:tcPr>
            <w:gridSpan w:val="7"/>
            <w:tcW w:w="9181" w:type="dxa"/>
            <w:vAlign w:val="center"/>
            <w:textDirection w:val="lrTb"/>
            <w:noWrap w:val="false"/>
          </w:tcPr>
          <w:p>
            <w:pPr>
              <w:pStyle w:val="106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厂中厂安全服务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88"/>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Fonts w:hint="eastAsia" w:ascii="宋体" w:hAnsi="宋体" w:eastAsia="宋体" w:cs="宋体"/>
                <w:b/>
                <w:bCs/>
                <w:i w:val="0"/>
                <w:iCs w:val="0"/>
                <w:color w:val="000000"/>
                <w:sz w:val="18"/>
                <w:szCs w:val="18"/>
                <w:highlight w:val="none"/>
                <w:u w:val="none"/>
              </w:rPr>
              <w:t xml:space="preserve">电动车集中充电区监测预警服务：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1476"/>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1、提供AI红外感知（含前端存储卡）三年能力服务；历史视频存储大于1个月；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2、可视化火焰探测器参数：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设备参数：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▲热成像像素≥256×192【</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▲可见光图像≥500万像素，分辨率≥2592*1944【</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内置补光灯，监控距离不低于50米；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支持火点探测报警，支持冷热点报警和测温报警功能，支持测温功能；</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温度报警范围：可设置为-20℃到550℃，可设置热成像视频图像温度单位为摄氏度、华氏度，鼠标点击热成像视频图像画面上的任意一点，可叠加该点的探测温度，可在热成像视频图像画面上显示设定点的平均温、报警温度斜率，可在热成像视频图像画面上显示设定线条上的最高探测温度、最低探测温度和平均探测温度、报警温度斜率、温度差值，可在热成像视频图像画面上显示设定区域上的最高探测温度、最低探测温度和平均探测温度、报警温度斜率、温度差值【</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内置MIC和高音量扬声器， 支持声光语音报警联动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▲具备红黄绿三色指示灯可现实设备工作、故障、报警状态【</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▲热成像图像具有白热、铁红、蓝热、绿热等不少于26种伪彩可调【</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支持3路报警输入、2路报警输出功能，Micro SD卡，1路音频输入、支持1路音频输出； </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支持IP66防护等级；</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支持DC12V-24V/POE供电方式；</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支持4G全网通无线通讯；</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提供现场部署点位规划、现场部署安装（含辅材）、网络配置、预警参数配置、联调测试、拆除、移位等服务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5G流量卡，100GB/月，36个月。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AI红外感知预警运营服务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9"/>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Fonts w:hint="eastAsia" w:ascii="宋体" w:hAnsi="宋体" w:eastAsia="宋体" w:cs="宋体"/>
                <w:b/>
                <w:bCs/>
                <w:i w:val="0"/>
                <w:iCs w:val="0"/>
                <w:color w:val="000000"/>
                <w:sz w:val="18"/>
                <w:szCs w:val="18"/>
                <w:highlight w:val="none"/>
                <w:u w:val="none"/>
              </w:rPr>
              <w:t xml:space="preserve">丙类重点仓库火灾监测预警服务：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168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提供温烟感一体化设备三年能力服务；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2、感知设备参数：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w:t>
            </w:r>
            <w:r>
              <w:rPr>
                <w:rStyle w:val="1343"/>
                <w:rFonts w:hint="eastAsia" w:ascii="宋体" w:hAnsi="宋体" w:eastAsia="宋体" w:cs="宋体"/>
                <w:color w:val="000000"/>
                <w:sz w:val="18"/>
                <w:szCs w:val="18"/>
                <w:highlight w:val="none"/>
                <w:lang w:val="en-US" w:eastAsia="zh-CN" w:bidi="ar"/>
              </w:rPr>
              <w:t xml:space="preserve">CAD</w:t>
            </w:r>
            <w:r>
              <w:rPr>
                <w:rStyle w:val="1344"/>
                <w:rFonts w:hint="eastAsia" w:ascii="宋体" w:hAnsi="宋体" w:eastAsia="宋体" w:cs="宋体"/>
                <w:color w:val="000000"/>
                <w:sz w:val="18"/>
                <w:szCs w:val="18"/>
                <w:highlight w:val="none"/>
                <w:lang w:val="en-US" w:eastAsia="zh-CN" w:bidi="ar"/>
              </w:rPr>
              <w:t xml:space="preserve">图测绘、部署点位规划、现场部署安装（含辅材）、数据初始化、预警参数配置（根据现场情况配置运行模式）、联调测试、拆除、移位等服务。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NB/4G</w:t>
            </w:r>
            <w:r>
              <w:rPr>
                <w:rStyle w:val="1344"/>
                <w:rFonts w:hint="eastAsia" w:ascii="宋体" w:hAnsi="宋体" w:eastAsia="宋体" w:cs="宋体"/>
                <w:b w:val="0"/>
                <w:bCs w:val="0"/>
                <w:color w:val="000000"/>
                <w:sz w:val="18"/>
                <w:szCs w:val="18"/>
                <w:highlight w:val="none"/>
                <w:lang w:val="en-US" w:eastAsia="zh-CN" w:bidi="ar"/>
              </w:rPr>
              <w:t xml:space="preserve">流量卡；</w:t>
            </w:r>
            <w:r>
              <w:rPr>
                <w:rStyle w:val="1343"/>
                <w:rFonts w:hint="eastAsia" w:ascii="宋体" w:hAnsi="宋体" w:eastAsia="宋体" w:cs="宋体"/>
                <w:b w:val="0"/>
                <w:bCs w:val="0"/>
                <w:color w:val="000000"/>
                <w:sz w:val="18"/>
                <w:szCs w:val="18"/>
                <w:highlight w:val="none"/>
                <w:lang w:val="en-US" w:eastAsia="zh-CN" w:bidi="ar"/>
              </w:rPr>
              <w:t xml:space="preserve">40w</w:t>
            </w:r>
            <w:r>
              <w:rPr>
                <w:rStyle w:val="1344"/>
                <w:rFonts w:hint="eastAsia" w:ascii="宋体" w:hAnsi="宋体" w:eastAsia="宋体" w:cs="宋体"/>
                <w:b w:val="0"/>
                <w:bCs w:val="0"/>
                <w:color w:val="000000"/>
                <w:sz w:val="18"/>
                <w:szCs w:val="18"/>
                <w:highlight w:val="none"/>
                <w:lang w:val="en-US" w:eastAsia="zh-CN" w:bidi="ar"/>
              </w:rPr>
              <w:t xml:space="preserve">频次或</w:t>
            </w:r>
            <w:r>
              <w:rPr>
                <w:rStyle w:val="1343"/>
                <w:rFonts w:hint="eastAsia" w:ascii="宋体" w:hAnsi="宋体" w:eastAsia="宋体" w:cs="宋体"/>
                <w:b w:val="0"/>
                <w:bCs w:val="0"/>
                <w:color w:val="000000"/>
                <w:sz w:val="18"/>
                <w:szCs w:val="18"/>
                <w:highlight w:val="none"/>
                <w:lang w:val="en-US" w:eastAsia="zh-CN" w:bidi="ar"/>
              </w:rPr>
              <w:t xml:space="preserve">50M/</w:t>
            </w:r>
            <w:r>
              <w:rPr>
                <w:rStyle w:val="1344"/>
                <w:rFonts w:hint="eastAsia" w:ascii="宋体" w:hAnsi="宋体" w:eastAsia="宋体" w:cs="宋体"/>
                <w:b w:val="0"/>
                <w:bCs w:val="0"/>
                <w:color w:val="000000"/>
                <w:sz w:val="18"/>
                <w:szCs w:val="18"/>
                <w:highlight w:val="none"/>
                <w:lang w:val="en-US" w:eastAsia="zh-CN" w:bidi="ar"/>
              </w:rPr>
              <w:t xml:space="preserve">月，</w:t>
            </w:r>
            <w:r>
              <w:rPr>
                <w:rStyle w:val="1343"/>
                <w:rFonts w:hint="eastAsia" w:ascii="宋体" w:hAnsi="宋体" w:eastAsia="宋体" w:cs="宋体"/>
                <w:b w:val="0"/>
                <w:bCs w:val="0"/>
                <w:color w:val="000000"/>
                <w:sz w:val="18"/>
                <w:szCs w:val="18"/>
                <w:highlight w:val="none"/>
                <w:lang w:val="en-US" w:eastAsia="zh-CN" w:bidi="ar"/>
              </w:rPr>
              <w:t xml:space="preserve">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rPr>
                <w:rStyle w:val="1344"/>
                <w:rFonts w:hint="eastAsia" w:ascii="宋体" w:hAnsi="宋体" w:eastAsia="宋体" w:cs="宋体"/>
                <w:b w:val="0"/>
                <w:bCs w:val="0"/>
                <w:color w:val="000000"/>
                <w:sz w:val="18"/>
                <w:szCs w:val="18"/>
                <w:highlight w:val="none"/>
                <w:lang w:val="en-US" w:eastAsia="zh-CN" w:bidi="ar"/>
              </w:rPr>
              <w:t xml:space="preserve">、每六个月现场巡检</w:t>
            </w:r>
            <w:r>
              <w:rPr>
                <w:rStyle w:val="1343"/>
                <w:rFonts w:hint="eastAsia" w:ascii="宋体" w:hAnsi="宋体" w:eastAsia="宋体" w:cs="宋体"/>
                <w:b w:val="0"/>
                <w:bCs w:val="0"/>
                <w:color w:val="000000"/>
                <w:sz w:val="18"/>
                <w:szCs w:val="18"/>
                <w:highlight w:val="none"/>
                <w:lang w:val="en-US" w:eastAsia="zh-CN" w:bidi="ar"/>
              </w:rPr>
              <w:t xml:space="preserve">1</w:t>
            </w:r>
            <w:r>
              <w:rPr>
                <w:rStyle w:val="1344"/>
                <w:rFonts w:hint="eastAsia" w:ascii="宋体" w:hAnsi="宋体" w:eastAsia="宋体" w:cs="宋体"/>
                <w:b w:val="0"/>
                <w:bCs w:val="0"/>
                <w:color w:val="000000"/>
                <w:sz w:val="18"/>
                <w:szCs w:val="18"/>
                <w:highlight w:val="none"/>
                <w:lang w:val="en-US" w:eastAsia="zh-CN" w:bidi="ar"/>
              </w:rPr>
              <w:t xml:space="preserve">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rPr>
                <w:rStyle w:val="1344"/>
                <w:rFonts w:hint="eastAsia" w:ascii="宋体" w:hAnsi="宋体" w:eastAsia="宋体" w:cs="宋体"/>
                <w:b w:val="0"/>
                <w:bCs w:val="0"/>
                <w:color w:val="000000"/>
                <w:sz w:val="18"/>
                <w:szCs w:val="18"/>
                <w:highlight w:val="none"/>
                <w:lang w:val="en-US" w:eastAsia="zh-CN" w:bidi="ar"/>
              </w:rPr>
              <w:t xml:space="preserve">、按照甲方需求，提供服务期内设备安装部署位置迁移服务；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rPr>
                <w:rStyle w:val="1344"/>
                <w:rFonts w:hint="eastAsia" w:ascii="宋体" w:hAnsi="宋体" w:eastAsia="宋体" w:cs="宋体"/>
                <w:b w:val="0"/>
                <w:bCs w:val="0"/>
                <w:color w:val="000000"/>
                <w:sz w:val="18"/>
                <w:szCs w:val="18"/>
                <w:highlight w:val="none"/>
                <w:lang w:val="en-US" w:eastAsia="zh-CN" w:bidi="ar"/>
              </w:rPr>
              <w:t xml:space="preserve">、故障设备、灵敏度因迷宫污染降低的设备</w:t>
            </w:r>
            <w:r>
              <w:rPr>
                <w:rStyle w:val="1343"/>
                <w:rFonts w:hint="eastAsia" w:ascii="宋体" w:hAnsi="宋体" w:eastAsia="宋体" w:cs="宋体"/>
                <w:b w:val="0"/>
                <w:bCs w:val="0"/>
                <w:color w:val="000000"/>
                <w:sz w:val="18"/>
                <w:szCs w:val="18"/>
                <w:highlight w:val="none"/>
                <w:lang w:val="en-US" w:eastAsia="zh-CN" w:bidi="ar"/>
              </w:rPr>
              <w:t xml:space="preserve">8</w:t>
            </w:r>
            <w:r>
              <w:rPr>
                <w:rStyle w:val="1344"/>
                <w:rFonts w:hint="eastAsia" w:ascii="宋体" w:hAnsi="宋体" w:eastAsia="宋体" w:cs="宋体"/>
                <w:b w:val="0"/>
                <w:bCs w:val="0"/>
                <w:color w:val="000000"/>
                <w:sz w:val="18"/>
                <w:szCs w:val="18"/>
                <w:highlight w:val="none"/>
                <w:lang w:val="en-US" w:eastAsia="zh-CN" w:bidi="ar"/>
              </w:rPr>
              <w:t xml:space="preserve">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Style w:val="1344"/>
                <w:rFonts w:hint="eastAsia" w:ascii="宋体" w:hAnsi="宋体" w:eastAsia="宋体" w:cs="宋体"/>
                <w:color w:val="000000"/>
                <w:sz w:val="18"/>
                <w:szCs w:val="18"/>
                <w:highlight w:val="none"/>
                <w:lang w:val="en-US" w:eastAsia="zh-CN" w:bidi="ar"/>
              </w:rPr>
              <w:t xml:space="preserve">、所有预警事件跟踪处置闭环（分级处置，</w:t>
            </w:r>
            <w:r>
              <w:rPr>
                <w:rStyle w:val="1343"/>
                <w:rFonts w:hint="eastAsia" w:ascii="宋体" w:hAnsi="宋体" w:eastAsia="宋体" w:cs="宋体"/>
                <w:color w:val="000000"/>
                <w:sz w:val="18"/>
                <w:szCs w:val="18"/>
                <w:highlight w:val="none"/>
                <w:lang w:val="en-US" w:eastAsia="zh-CN" w:bidi="ar"/>
              </w:rPr>
              <w:t xml:space="preserve">AI</w:t>
            </w:r>
            <w:r>
              <w:rPr>
                <w:rStyle w:val="1344"/>
                <w:rFonts w:hint="eastAsia" w:ascii="宋体" w:hAnsi="宋体" w:eastAsia="宋体" w:cs="宋体"/>
                <w:color w:val="000000"/>
                <w:sz w:val="18"/>
                <w:szCs w:val="18"/>
                <w:highlight w:val="none"/>
                <w:lang w:val="en-US" w:eastAsia="zh-CN" w:bidi="ar"/>
              </w:rPr>
              <w:t xml:space="preserve">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Style w:val="1344"/>
                <w:rFonts w:hint="eastAsia" w:ascii="宋体" w:hAnsi="宋体" w:eastAsia="宋体" w:cs="宋体"/>
                <w:color w:val="000000"/>
                <w:sz w:val="18"/>
                <w:szCs w:val="18"/>
                <w:highlight w:val="none"/>
                <w:lang w:val="en-US" w:eastAsia="zh-CN" w:bidi="ar"/>
              </w:rPr>
              <w:t xml:space="preserve">、紧急预警服务：当研判为紧急预警时，提供紧急预警联通处置服务；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Style w:val="1344"/>
                <w:rFonts w:hint="eastAsia" w:ascii="宋体" w:hAnsi="宋体" w:eastAsia="宋体" w:cs="宋体"/>
                <w:color w:val="000000"/>
                <w:sz w:val="18"/>
                <w:szCs w:val="18"/>
                <w:highlight w:val="none"/>
                <w:lang w:val="en-US" w:eastAsia="zh-CN" w:bidi="ar"/>
              </w:rPr>
              <w:t xml:space="preserve">、提供配套软件平台服务，提供日常软件平台安全保障、运行维护、功能了迭代；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52"/>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Style w:val="1344"/>
                <w:rFonts w:hint="eastAsia" w:ascii="宋体" w:hAnsi="宋体" w:eastAsia="宋体" w:cs="宋体"/>
                <w:color w:val="000000"/>
                <w:sz w:val="18"/>
                <w:szCs w:val="18"/>
                <w:highlight w:val="none"/>
                <w:lang w:val="en-US" w:eastAsia="zh-CN" w:bidi="ar"/>
              </w:rPr>
              <w:t xml:space="preserve">、提供</w:t>
            </w:r>
            <w:r>
              <w:rPr>
                <w:rStyle w:val="1343"/>
                <w:rFonts w:hint="eastAsia" w:ascii="宋体" w:hAnsi="宋体" w:eastAsia="宋体" w:cs="宋体"/>
                <w:color w:val="000000"/>
                <w:sz w:val="18"/>
                <w:szCs w:val="18"/>
                <w:highlight w:val="none"/>
                <w:lang w:val="en-US" w:eastAsia="zh-CN" w:bidi="ar"/>
              </w:rPr>
              <w:t xml:space="preserve">AI</w:t>
            </w:r>
            <w:r>
              <w:rPr>
                <w:rStyle w:val="1344"/>
                <w:rFonts w:hint="eastAsia" w:ascii="宋体" w:hAnsi="宋体" w:eastAsia="宋体" w:cs="宋体"/>
                <w:color w:val="000000"/>
                <w:sz w:val="18"/>
                <w:szCs w:val="18"/>
                <w:highlight w:val="none"/>
                <w:lang w:val="en-US" w:eastAsia="zh-CN" w:bidi="ar"/>
              </w:rPr>
              <w:t xml:space="preserve">大模型（</w:t>
            </w:r>
            <w:r>
              <w:rPr>
                <w:rStyle w:val="1343"/>
                <w:rFonts w:hint="eastAsia" w:ascii="宋体" w:hAnsi="宋体" w:eastAsia="宋体" w:cs="宋体"/>
                <w:color w:val="000000"/>
                <w:sz w:val="18"/>
                <w:szCs w:val="18"/>
                <w:highlight w:val="none"/>
                <w:lang w:val="en-US" w:eastAsia="zh-CN" w:bidi="ar"/>
              </w:rPr>
              <w:t xml:space="preserve">27B</w:t>
            </w:r>
            <w:r>
              <w:rPr>
                <w:rStyle w:val="1344"/>
                <w:rFonts w:hint="eastAsia" w:ascii="宋体" w:hAnsi="宋体" w:eastAsia="宋体" w:cs="宋体"/>
                <w:color w:val="000000"/>
                <w:sz w:val="18"/>
                <w:szCs w:val="18"/>
                <w:highlight w:val="none"/>
                <w:lang w:val="en-US" w:eastAsia="zh-CN" w:bidi="ar"/>
              </w:rPr>
              <w:t xml:space="preserve">）及智能体服务：包括故障诊断智能体、真实火情智能识别智能体、隐患智能识别智能体、安全教育培训智能体服务、安全态势分析问答智能体服务等及其所需算力。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Fonts w:hint="eastAsia" w:ascii="宋体" w:hAnsi="宋体" w:eastAsia="宋体" w:cs="宋体"/>
                <w:b/>
                <w:bCs/>
                <w:i w:val="0"/>
                <w:iCs w:val="0"/>
                <w:color w:val="000000"/>
                <w:sz w:val="18"/>
                <w:szCs w:val="18"/>
                <w:highlight w:val="none"/>
                <w:u w:val="none"/>
              </w:rPr>
              <w:t xml:space="preserve">有限空间安全作业AI预警服务：</w:t>
            </w:r>
            <w:r>
              <w:rPr>
                <w:rFonts w:hint="eastAsia" w:ascii="宋体" w:hAnsi="宋体" w:eastAsia="宋体" w:cs="宋体"/>
                <w:b/>
                <w:bCs/>
                <w:i w:val="0"/>
                <w:iCs w:val="0"/>
                <w:color w:val="000000"/>
                <w:sz w:val="18"/>
                <w:szCs w:val="18"/>
                <w:highlight w:val="none"/>
                <w:u w:val="none"/>
                <w:lang w:val="en-US" w:eastAsia="zh-CN"/>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A：有毒气体检测预警服务：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2548"/>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有毒气体感知设备能力服务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1、提供有毒气体感知设备三年能力服务；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2、能检测有限空间可燃性气体、氧气、一氧化碳、硫化氢等；</w:t>
            </w:r>
            <w:r>
              <w:rPr>
                <w:rFonts w:hint="eastAsia" w:ascii="宋体" w:hAnsi="宋体" w:eastAsia="宋体" w:cs="宋体"/>
                <w:i w:val="0"/>
                <w:iCs w:val="0"/>
                <w:color w:val="000000"/>
                <w:sz w:val="18"/>
                <w:szCs w:val="18"/>
                <w:highlight w:val="none"/>
                <w:u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3、设备参数：</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检测原理 催化燃烧式/电化学式/红外传感器/PID传感器</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适用气体 可燃、氧气、一氧化碳、硫化氢、二氧化硫等有毒气体</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工作电压 DC24V（正常工作电压范围：DC18V~DC36V）</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结构材料 压铸铝</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防爆标志 Ex db IIC T6 Gb，Ex tb IIIC T80℃ Db</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防护等级 IP66</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产品尺寸 227mm*273mm*80mm</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输出信号及</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通信接口 RS485接口（通讯协议：ModBus RTU）</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二总线通信</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2组无源开关量输出（最大容量：250VAC 5A）</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使用环境 可燃气体：（-40～70）℃</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其他气体：（-10～55）℃ </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相对湿度(10-95)％RH(非凝露)</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大气压86kPa~106kPa</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应在无显著冲击和振动的场所</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周围环境不应有腐蚀金属和破坏绝缘的介质</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产品重量 ≤3.0kg</w:t>
            </w:r>
            <w:r>
              <w:rPr>
                <w:rStyle w:val="1345"/>
                <w:rFonts w:hint="eastAsia" w:ascii="宋体" w:hAnsi="宋体" w:eastAsia="宋体" w:cs="宋体"/>
                <w:color w:val="000000"/>
                <w:sz w:val="18"/>
                <w:szCs w:val="18"/>
                <w:highlight w:val="none"/>
                <w:lang w:val="en-US" w:eastAsia="zh-CN" w:bidi="ar"/>
              </w:rPr>
              <w:br w:type="textWrapping" w:clear="all"/>
            </w:r>
            <w:r>
              <w:rPr>
                <w:rStyle w:val="1345"/>
                <w:rFonts w:hint="eastAsia" w:ascii="宋体" w:hAnsi="宋体" w:eastAsia="宋体" w:cs="宋体"/>
                <w:color w:val="000000"/>
                <w:sz w:val="18"/>
                <w:szCs w:val="18"/>
                <w:highlight w:val="none"/>
                <w:lang w:val="en-US" w:eastAsia="zh-CN" w:bidi="ar"/>
              </w:rPr>
              <w:t xml:space="preserve">传感器寿命 清洁空气中2~3年。</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提供现场部署规划、现场部署安装（含辅材）、网络配置、预警参数配置、联调测、拆除、移位等服务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B:有限空间安全作业AI预警服务：</w:t>
            </w:r>
            <w:r>
              <w:rPr>
                <w:rFonts w:hint="eastAsia" w:ascii="宋体" w:hAnsi="宋体" w:eastAsia="宋体" w:cs="宋体"/>
                <w:b/>
                <w:bCs/>
                <w:i w:val="0"/>
                <w:iCs w:val="0"/>
                <w:color w:val="000000"/>
                <w:sz w:val="18"/>
                <w:szCs w:val="18"/>
                <w:highlight w:val="none"/>
                <w:u w:val="none"/>
              </w:rPr>
            </w:r>
            <w:r/>
          </w:p>
        </w:tc>
      </w:tr>
      <w:tr>
        <w:trPr>
          <w:trHeight w:val="1210"/>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1、提供有限空间作业AI视频监控设备三年服务；</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2、设备参数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支持专有场景算法，电子围栏、安全帽检测、烟火检测、区域人员计数、人员脱岗、吸烟检测等算法定制。</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码流 多路码流</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传输接口 2路百兆光口、2路百兆电口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多算法分析 支持多种算法同时分析</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联动 4个DI有源输入接口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4个DO无源输出接口</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额定工作电压 DC12V</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工作电流 ≤1.4A</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防护等级 IP65</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提供现场部署规划、现场部署安装（含辅材）、网络配置、AI算法参数配置、识别区域配置、联调测试等服务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5G流量卡，100GB/月，36个月。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AI视频摄像机预警运营服务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算法训练迭代升级服务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提供有限空间AI算法的训练优化服务，每半年迭代一次算法；</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4、安置房小区场景服务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A、地下、半地下电动车充电监测预警服务：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24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提供温烟感一体化设备三年服务;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NB/4G流量卡；40w频次或50M/月，36个月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B、小区楼栋视频AI加载服务：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79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边缘算力设备服务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提供边缘AI算力盒租赁三年服务，为现有小区楼栋视频提供AI边缘算力（叠加电动车火灾识别、电动车进楼道识别算法）</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设备参数：</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操作系统： Linux</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AI 芯片：内置国产 NPU 芯片</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智能分析 ：人员检测、区域入侵、人数统计、吸烟检测、烟火检测、电动车进楼道识别等</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联动 支持：modbus协议联动</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接口支持：支持H.265、H.264编码前端自适应接入</w:t>
            </w:r>
            <w:r>
              <w:rPr>
                <w:rFonts w:hint="eastAsia" w:ascii="宋体" w:hAnsi="宋体" w:eastAsia="宋体" w:cs="宋体"/>
                <w:i w:val="0"/>
                <w:iCs w:val="0"/>
                <w:color w:val="000000"/>
                <w:sz w:val="18"/>
                <w:szCs w:val="18"/>
                <w:highlight w:val="none"/>
                <w:u w:val="none"/>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网络接口： 1个，RJ45 10M/100M/1000M自适应以太网口</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现有视频接入、AI算法配置服务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1、提供当前已有的视频接入边缘计算盒服务（含接入辅材，如交换机、网络布线等）</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2、提供每路视频的识别区域配置、预警参数配置等服务；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每个小区提供一条500兆以上的宽带，36个月。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边缘算力预警运营服务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3、故障设备8小时维修更换；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算法训练迭代升级服务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提供AI算法的训练优化服务，每半年迭代一次算法；</w:t>
            </w:r>
            <w:r>
              <w:rPr>
                <w:rFonts w:hint="eastAsia" w:ascii="宋体" w:hAnsi="宋体" w:eastAsia="宋体" w:cs="宋体"/>
                <w:i w:val="0"/>
                <w:iCs w:val="0"/>
                <w:color w:val="000000"/>
                <w:sz w:val="18"/>
                <w:szCs w:val="18"/>
                <w:highlight w:val="none"/>
                <w:u w:val="none"/>
                <w:lang w:val="en-US" w:eastAsia="zh-CN" w:bidi="ar"/>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5、金属冶炼单位场景服务</w:t>
            </w:r>
            <w:r>
              <w:rPr>
                <w:rFonts w:hint="eastAsia" w:ascii="宋体" w:hAnsi="宋体" w:eastAsia="宋体" w:cs="宋体"/>
                <w:b/>
                <w:bCs/>
                <w:i w:val="0"/>
                <w:iCs w:val="0"/>
                <w:color w:val="000000"/>
                <w:sz w:val="18"/>
                <w:szCs w:val="18"/>
                <w:highlight w:val="none"/>
                <w:u w:val="none"/>
                <w:lang w:val="en-US" w:eastAsia="zh-CN" w:bidi="ar"/>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A、水压监测预警服务：</w:t>
            </w:r>
            <w:r>
              <w:rPr>
                <w:rFonts w:hint="eastAsia" w:ascii="宋体" w:hAnsi="宋体" w:eastAsia="宋体" w:cs="宋体"/>
                <w:b/>
                <w:bCs/>
                <w:i w:val="0"/>
                <w:iCs w:val="0"/>
                <w:color w:val="000000"/>
                <w:sz w:val="18"/>
                <w:szCs w:val="18"/>
                <w:highlight w:val="none"/>
                <w:u w:val="none"/>
                <w:lang w:val="en-US" w:eastAsia="zh-CN" w:bidi="ar"/>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水压感知设备数据接入服务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水压感知预警运营服务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B、水位监测预警服务：</w:t>
            </w:r>
            <w:r>
              <w:rPr>
                <w:rFonts w:hint="eastAsia" w:ascii="宋体" w:hAnsi="宋体" w:eastAsia="宋体" w:cs="宋体"/>
                <w:b/>
                <w:bCs/>
                <w:i w:val="0"/>
                <w:iCs w:val="0"/>
                <w:color w:val="000000"/>
                <w:sz w:val="18"/>
                <w:szCs w:val="18"/>
                <w:highlight w:val="none"/>
                <w:u w:val="none"/>
              </w:rPr>
            </w:r>
            <w:r/>
          </w:p>
        </w:tc>
      </w:tr>
      <w:tr>
        <w:trPr>
          <w:trHeight w:val="42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水位感知设备数据接入服务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已安装感知设备，实现数据接入。包括协议开发、通信模式改造、数据接入等。</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水位感知预警运营服务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3"/>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1、每六个月现场巡检1次，检查设备健康状态、更新预警联系人信息等；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2、提供设备故障智能诊断与预警服务，及时通知单位处理；</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3、所有预警事件分级处置闭环（AI+人工联动处置）；</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Fonts w:hint="eastAsia" w:ascii="宋体" w:hAnsi="宋体" w:eastAsia="宋体" w:cs="宋体"/>
                <w:b/>
                <w:bCs/>
                <w:i w:val="0"/>
                <w:iCs w:val="0"/>
                <w:color w:val="000000"/>
                <w:sz w:val="18"/>
                <w:szCs w:val="18"/>
                <w:highlight w:val="none"/>
                <w:u w:val="none"/>
              </w:rPr>
              <w:t xml:space="preserve">社会面小场所场景服务</w:t>
            </w:r>
            <w:r>
              <w:rPr>
                <w:rFonts w:hint="eastAsia" w:ascii="宋体" w:hAnsi="宋体" w:eastAsia="宋体" w:cs="宋体"/>
                <w:b/>
                <w:bCs/>
                <w:i w:val="0"/>
                <w:iCs w:val="0"/>
                <w:color w:val="000000"/>
                <w:sz w:val="18"/>
                <w:szCs w:val="18"/>
                <w:highlight w:val="none"/>
                <w:u w:val="none"/>
                <w:lang w:val="en-US" w:eastAsia="zh-CN"/>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A、火情监测预警服务：</w:t>
            </w:r>
            <w:r>
              <w:rPr>
                <w:rFonts w:hint="eastAsia" w:ascii="宋体" w:hAnsi="宋体" w:eastAsia="宋体" w:cs="宋体"/>
                <w:b/>
                <w:bCs/>
                <w:i w:val="0"/>
                <w:iCs w:val="0"/>
                <w:color w:val="000000"/>
                <w:sz w:val="18"/>
                <w:szCs w:val="18"/>
                <w:highlight w:val="none"/>
                <w:u w:val="none"/>
                <w:lang w:val="en-US" w:eastAsia="zh-CN"/>
              </w:rPr>
            </w:r>
            <w:r/>
          </w:p>
        </w:tc>
      </w:tr>
      <w:tr>
        <w:trPr>
          <w:trHeight w:val="234"/>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1、提供温烟感一体化设备三年能力服务；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2、感知设备参数：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采集类型：烟雾、温度；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支持烟雾、温度报警；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方位比值≤1.1</w:t>
            </w:r>
            <w:r>
              <w:rPr>
                <w:rFonts w:hint="eastAsia" w:ascii="宋体" w:hAnsi="宋体" w:eastAsia="宋体" w:cs="宋体"/>
                <w:i w:val="0"/>
                <w:iCs w:val="0"/>
                <w:color w:val="000000"/>
                <w:sz w:val="18"/>
                <w:szCs w:val="18"/>
                <w:highlight w:val="none"/>
                <w:u w:val="none"/>
                <w:lang w:val="en-US" w:eastAsia="zh-CN" w:bidi="ar"/>
              </w:rPr>
            </w:r>
            <w:r/>
          </w:p>
          <w:p>
            <w:pPr>
              <w:pStyle w:val="1067"/>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一致性比值≤1.3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具备防拆故障报警功能，当设备与安装底板分离时，可将拆除报警消息上传至远程管理平台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具备电路失效故障检测功能，当检测到电路故障时，可发出光故障报警信息，并将故障消息上传至远程管理平台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报警音量：≥80dB@3米 （A计权）；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报警方式：声、光报警，支持静默报警；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消音功能：支持手动消音；支持红外消音；支持远程消音；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电池规格：DC3V，2800mAh；</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工作温度：-10℃～+50℃；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采用4G通讯；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3C认证；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执行标准：GB 20517-2006；</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3"/>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温烟感一体化预警运营服务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1114</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3、故障设备、灵敏度因迷宫污染降低的设备8小时内更换；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gridSpan w:val="7"/>
            <w:tcW w:w="9181" w:type="dxa"/>
            <w:vAlign w:val="center"/>
            <w:textDirection w:val="lrTb"/>
            <w:noWrap w:val="false"/>
          </w:tcPr>
          <w:p>
            <w:pPr>
              <w:pStyle w:val="1067"/>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B、燃气泄漏监测预警服务</w:t>
            </w:r>
            <w:r>
              <w:rPr>
                <w:rFonts w:hint="eastAsia" w:ascii="宋体" w:hAnsi="宋体" w:eastAsia="宋体" w:cs="宋体"/>
                <w:b/>
                <w:bCs/>
                <w:i w:val="0"/>
                <w:iCs w:val="0"/>
                <w:color w:val="000000"/>
                <w:sz w:val="18"/>
                <w:szCs w:val="18"/>
                <w:highlight w:val="none"/>
                <w:u w:val="none"/>
                <w:lang w:eastAsia="zh-CN"/>
              </w:rPr>
              <w:t xml:space="preserve">：</w:t>
            </w:r>
            <w:r>
              <w:rPr>
                <w:rFonts w:hint="eastAsia" w:ascii="宋体" w:hAnsi="宋体" w:eastAsia="宋体" w:cs="宋体"/>
                <w:b/>
                <w:bCs/>
                <w:i w:val="0"/>
                <w:iCs w:val="0"/>
                <w:color w:val="000000"/>
                <w:sz w:val="18"/>
                <w:szCs w:val="18"/>
                <w:highlight w:val="none"/>
                <w:u w:val="none"/>
              </w:rPr>
            </w:r>
            <w:r/>
          </w:p>
        </w:tc>
      </w:tr>
      <w:tr>
        <w:trPr>
          <w:trHeight w:val="3237"/>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燃气泄漏监测设备设备服务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提供燃气泄漏监测设备三年服务;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设备参数：</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检测气体：甲烷，量程：0-20%LEL，报警方式：声、光报警，支持消音功能；</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▲支持识别、展示、上报各类故障，包括通信故障、传感器故障（短路、断路）、传感器寿命故障、设备断电，设备报警声音信号在距离其正前方1m处的最大声压级≥90 dB(A)，设备的报警声、光特性应能区分燃气报警和故障报警；【</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▲支持≥1组阀输出接口、≥1个SIM卡接口、≥1个Jlink接口、≥1个UART接口，支持用过阀输出接口与其他设备联动、阀输出接口支持电磁阀驱动模式和机械手驱动模式切换功能；【</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接收并执行管理平台下发的解除屏蔽指令，当进入屏蔽状态后，设备将不再进行报警和故障上报，并能通过指示灯指示屏蔽状态，设备在屏蔽期间连续10分钟没有检测到火警或故障后，将自动解除屏蔽状态。【</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】通讯方式：4G；</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▲工作电压：AC100～AC240V，工作温度：-20±2℃～65±2℃，支持阻燃；【</w:t>
            </w:r>
            <w:r>
              <w:rPr>
                <w:rFonts w:hint="eastAsia" w:ascii="宋体" w:hAnsi="宋体" w:eastAsia="宋体" w:cs="宋体"/>
                <w:b/>
                <w:bCs/>
                <w:i w:val="0"/>
                <w:iCs w:val="0"/>
                <w:color w:val="000000"/>
                <w:sz w:val="18"/>
                <w:szCs w:val="18"/>
                <w:highlight w:val="none"/>
                <w:u w:val="none"/>
                <w:lang w:val="en-US" w:eastAsia="zh-CN" w:bidi="ar"/>
              </w:rPr>
              <w:t xml:space="preserve">投标人提供公安部或国家认可的权威检测机构有效检测报告复印件加盖原厂公章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3C认证；执行标准：GB15322.2-2019；</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62"/>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lang w:val="en-US" w:eastAsia="zh-CN"/>
              </w:rPr>
              <w:t xml:space="preserve">燃气泄漏</w:t>
            </w:r>
            <w:r>
              <w:rPr>
                <w:rFonts w:hint="eastAsia" w:ascii="宋体" w:hAnsi="宋体" w:eastAsia="宋体" w:cs="宋体"/>
                <w:i w:val="0"/>
                <w:iCs w:val="0"/>
                <w:color w:val="000000"/>
                <w:sz w:val="18"/>
                <w:szCs w:val="18"/>
                <w:highlight w:val="none"/>
                <w:u w:val="none"/>
                <w:lang w:val="en-US" w:eastAsia="zh-CN" w:bidi="ar"/>
              </w:rPr>
              <w:t xml:space="preserve">感知设备安装部署服务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提供现场CAD图测绘、部署点位规划、现场部署安装（含辅材）、数据初始化、预警参数配置（根据现场情况配置运行模式）、联调测试等服务。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物联感知通信服务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NB/4G流量卡；40w频次50M/月，36个月。</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restart"/>
            <w:textDirection w:val="lrTb"/>
            <w:noWrap w:val="false"/>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lang w:val="en-US" w:eastAsia="zh-CN"/>
              </w:rPr>
              <w:t xml:space="preserve">燃气泄漏</w:t>
            </w:r>
            <w:r>
              <w:rPr>
                <w:rFonts w:hint="eastAsia" w:ascii="宋体" w:hAnsi="宋体" w:eastAsia="宋体" w:cs="宋体"/>
                <w:i w:val="0"/>
                <w:iCs w:val="0"/>
                <w:color w:val="000000"/>
                <w:sz w:val="18"/>
                <w:szCs w:val="18"/>
                <w:highlight w:val="none"/>
                <w:u w:val="none"/>
                <w:lang w:val="en-US" w:eastAsia="zh-CN" w:bidi="ar"/>
              </w:rPr>
              <w:t xml:space="preserve">预警运营服务</w:t>
            </w: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提供三年的运营服务，包括：</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683" w:type="dxa"/>
            <w:vAlign w:val="center"/>
            <w:vMerge w:val="restart"/>
            <w:textDirection w:val="lrTb"/>
            <w:noWrap/>
          </w:tcPr>
          <w:p>
            <w:pPr>
              <w:pStyle w:val="106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8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restart"/>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1、每六个月现场巡检1次，测试设备灵敏度、更新预警联系人信息等；</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2、按照甲方需求，提供服务期内设备安装部署位置迁移服务；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7"/>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3、故障设备、灵敏度降低的设备8小时内更换；</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4、所有预警事件跟踪处置闭环（分级处置，AI自动处置失败时，人工介入）；</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5、紧急预警服务：当研判为紧急预警时，提供紧急预警联通处置服务；</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5"/>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6、提供配套软件平台服务，提供日常软件平台安全保障、运行维护、功能了迭代；</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00"/>
        </w:trPr>
        <w:tc>
          <w:tcPr>
            <w:tcW w:w="1073" w:type="dxa"/>
            <w:vAlign w:val="center"/>
            <w:vMerge w:val="continue"/>
            <w:textDirection w:val="lrTb"/>
            <w:noWrap w:val="false"/>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26" w:type="dxa"/>
            <w:vAlign w:val="center"/>
            <w:textDirection w:val="lrTb"/>
            <w:noWrap w:val="false"/>
          </w:tcPr>
          <w:p>
            <w:pPr>
              <w:pStyle w:val="106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7、提供AI大模型（27B）及智能体服务：包括故障诊断智能体、真实火情智能识别智能体、隐患智能识别智能体、安全教育培训智能体服务、安全态势分析问答智能体服务等及其所需算力。</w:t>
            </w: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83"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17"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70" w:type="dxa"/>
            <w:vAlign w:val="center"/>
            <w:vMerge w:val="continue"/>
            <w:textDirection w:val="lrTb"/>
            <w:noWrap/>
          </w:tcPr>
          <w:p>
            <w:pPr>
              <w:pStyle w:val="106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65"/>
        </w:trPr>
        <w:tc>
          <w:tcPr>
            <w:gridSpan w:val="5"/>
            <w:tcW w:w="7494" w:type="dxa"/>
            <w:vAlign w:val="center"/>
            <w:textDirection w:val="lrTb"/>
            <w:noWrap w:val="false"/>
          </w:tcPr>
          <w:p>
            <w:pPr>
              <w:pStyle w:val="106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投标总价</w:t>
            </w:r>
            <w:r>
              <w:rPr>
                <w:rFonts w:hint="eastAsia" w:ascii="宋体" w:hAnsi="宋体" w:eastAsia="宋体" w:cs="宋体"/>
                <w:b/>
                <w:bCs/>
                <w:i w:val="0"/>
                <w:iCs w:val="0"/>
                <w:color w:val="000000"/>
                <w:sz w:val="22"/>
                <w:szCs w:val="22"/>
                <w:highlight w:val="none"/>
                <w:u w:val="none"/>
              </w:rPr>
            </w:r>
            <w:r/>
          </w:p>
        </w:tc>
        <w:tc>
          <w:tcPr>
            <w:gridSpan w:val="2"/>
            <w:tcW w:w="1687" w:type="dxa"/>
            <w:vAlign w:val="center"/>
            <w:textDirection w:val="lrTb"/>
            <w:noWrap/>
          </w:tcPr>
          <w:p>
            <w:pPr>
              <w:pStyle w:val="106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067"/>
        <w:ind w:firstLine="420"/>
        <w:jc w:val="left"/>
        <w:keepLines w:val="0"/>
        <w:keepNext w:val="0"/>
        <w:pageBreakBefore w:val="0"/>
        <w:spacing w:line="32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.如果不提供分项报价将视为没有实质性响应</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7"/>
        <w:numPr>
          <w:ilvl w:val="0"/>
          <w:numId w:val="0"/>
        </w:numPr>
        <w:ind w:firstLine="840"/>
        <w:jc w:val="left"/>
        <w:keepLines w:val="0"/>
        <w:keepNext w:val="0"/>
        <w:pageBreakBefore w:val="0"/>
        <w:spacing w:line="32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.上述各项的服务内容如表格中填写不下的，可以逐项另页描述。</w:t>
      </w:r>
      <w:r>
        <w:rPr>
          <w:rFonts w:hint="eastAsia" w:ascii="宋体" w:hAnsi="宋体" w:eastAsia="宋体" w:cs="宋体"/>
          <w:color w:val="000000"/>
          <w:sz w:val="21"/>
          <w:szCs w:val="21"/>
          <w:highlight w:val="none"/>
        </w:rPr>
      </w:r>
      <w:r/>
    </w:p>
    <w:p>
      <w:pPr>
        <w:pStyle w:val="1067"/>
        <w:numPr>
          <w:ilvl w:val="0"/>
          <w:numId w:val="0"/>
        </w:numPr>
        <w:ind w:firstLine="840"/>
        <w:jc w:val="left"/>
        <w:keepLines w:val="0"/>
        <w:keepNext w:val="0"/>
        <w:pageBreakBefore w:val="0"/>
        <w:spacing w:line="320" w:lineRule="exact"/>
        <w:widowControl w:val="off"/>
        <w:tabs>
          <w:tab w:val="left" w:pos="1800" w:leader="none"/>
          <w:tab w:val="left" w:pos="5580" w:leader="none"/>
        </w:tabs>
        <w:rPr>
          <w:rFonts w:hint="eastAsia" w:ascii="宋体" w:hAnsi="宋体" w:cs="宋体"/>
          <w:color w:val="000000"/>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本投标分项报价表的“</w:t>
      </w:r>
      <w:r>
        <w:rPr>
          <w:rFonts w:hint="eastAsia" w:ascii="宋体" w:hAnsi="宋体"/>
          <w:color w:val="000000"/>
          <w:sz w:val="21"/>
          <w:szCs w:val="21"/>
          <w:highlight w:val="none"/>
          <w:lang w:val="en-US" w:eastAsia="zh-CN"/>
        </w:rPr>
        <w:t xml:space="preserve">投标总价</w:t>
      </w:r>
      <w:r>
        <w:rPr>
          <w:rFonts w:hint="eastAsia" w:ascii="宋体" w:hAnsi="宋体"/>
          <w:color w:val="000000"/>
          <w:sz w:val="21"/>
          <w:szCs w:val="21"/>
          <w:highlight w:val="none"/>
        </w:rPr>
        <w:t xml:space="preserve">”应与开标一览表“总价”一致。</w:t>
      </w:r>
      <w:r>
        <w:rPr>
          <w:rFonts w:hint="eastAsia" w:ascii="宋体" w:hAnsi="宋体" w:cs="宋体"/>
          <w:color w:val="000000"/>
          <w:szCs w:val="21"/>
          <w:highlight w:val="none"/>
        </w:rPr>
      </w:r>
      <w:r/>
    </w:p>
    <w:p>
      <w:pPr>
        <w:pStyle w:val="1067"/>
        <w:ind w:firstLine="420"/>
        <w:keepLines w:val="0"/>
        <w:keepNext w:val="0"/>
        <w:pageBreakBefore w:val="0"/>
        <w:spacing w:before="25" w:after="25"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1067"/>
        <w:ind w:firstLine="420"/>
        <w:keepLines w:val="0"/>
        <w:keepNext w:val="0"/>
        <w:pageBreakBefore w:val="0"/>
        <w:spacing w:before="25" w:after="25" w:line="320" w:lineRule="exact"/>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67"/>
        <w:ind w:firstLine="420"/>
        <w:keepLines w:val="0"/>
        <w:keepNext w:val="0"/>
        <w:pageBreakBefore w:val="0"/>
        <w:spacing w:line="320" w:lineRule="exact"/>
        <w:widowControl w:val="off"/>
        <w:rPr>
          <w:color w:val="000000"/>
          <w:highlight w:val="none"/>
        </w:rPr>
      </w:pPr>
      <w:r>
        <w:rPr>
          <w:rFonts w:hint="eastAsia" w:ascii="宋体" w:hAnsi="宋体" w:cs="宋体"/>
          <w:color w:val="000000"/>
          <w:szCs w:val="21"/>
          <w:highlight w:val="none"/>
        </w:rPr>
        <w:t xml:space="preserve">日期：_____年______月______日</w:t>
      </w:r>
      <w:r>
        <w:rPr>
          <w:color w:val="000000"/>
          <w:highlight w:val="none"/>
        </w:rPr>
      </w:r>
      <w:r/>
    </w:p>
    <w:p>
      <w:pPr>
        <w:pStyle w:val="1067"/>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67"/>
        <w:ind w:firstLine="420"/>
        <w:jc w:val="both"/>
        <w:spacing w:line="360" w:lineRule="exact"/>
        <w:rPr>
          <w:sz w:val="24"/>
          <w:szCs w:val="20"/>
        </w:rPr>
      </w:pPr>
      <w:r>
        <w:rPr>
          <w:rFonts w:hint="eastAsia" w:ascii="宋体" w:hAnsi="宋体" w:cs="宋体"/>
          <w:color w:val="000000"/>
          <w:szCs w:val="21"/>
          <w:highlight w:val="none"/>
        </w:rPr>
        <w:br w:type="page" w:clear="all"/>
      </w:r>
      <w:r>
        <w:rPr>
          <w:rFonts w:hint="eastAsia" w:ascii="宋体" w:hAnsi="宋体" w:cs="宋体"/>
          <w:szCs w:val="21"/>
        </w:rPr>
        <w:t xml:space="preserve">6.合同条款偏离表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szCs w:val="21"/>
        </w:rPr>
        <w:t xml:space="preserve">（实质性格式）</w:t>
      </w:r>
      <w:r>
        <w:rPr>
          <w:sz w:val="24"/>
          <w:szCs w:val="20"/>
        </w:rPr>
      </w:r>
      <w:r/>
    </w:p>
    <w:p>
      <w:pPr>
        <w:pStyle w:val="1067"/>
        <w:spacing w:line="360" w:lineRule="auto"/>
        <w:rPr>
          <w:sz w:val="24"/>
          <w:szCs w:val="20"/>
        </w:rPr>
      </w:pPr>
      <w:r>
        <w:rPr>
          <w:sz w:val="24"/>
          <w:szCs w:val="20"/>
        </w:rPr>
      </w:r>
      <w:r/>
    </w:p>
    <w:p>
      <w:pPr>
        <w:pStyle w:val="1067"/>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1067"/>
        <w:spacing w:line="360" w:lineRule="auto"/>
        <w:rPr>
          <w:sz w:val="24"/>
          <w:szCs w:val="20"/>
        </w:rPr>
      </w:pPr>
      <w:r>
        <w:rPr>
          <w:sz w:val="24"/>
          <w:szCs w:val="20"/>
        </w:rPr>
      </w:r>
      <w:r/>
    </w:p>
    <w:p>
      <w:pPr>
        <w:pStyle w:val="106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67"/>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1067"/>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1067"/>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1067"/>
        <w:spacing w:line="360" w:lineRule="auto"/>
        <w:rPr>
          <w:sz w:val="24"/>
          <w:szCs w:val="20"/>
        </w:rPr>
        <w:outlineLvl w:val="2"/>
      </w:pPr>
      <w:r>
        <w:rPr>
          <w:sz w:val="24"/>
          <w:szCs w:val="20"/>
        </w:rPr>
        <w:br w:type="page" w:clear="all"/>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szCs w:val="21"/>
        </w:rPr>
        <w:t xml:space="preserve">7.采购需求偏离表（实质性格式）</w:t>
      </w:r>
      <w:r>
        <w:rPr>
          <w:sz w:val="24"/>
          <w:szCs w:val="20"/>
        </w:rPr>
      </w:r>
      <w:r/>
    </w:p>
    <w:p>
      <w:pPr>
        <w:pStyle w:val="1067"/>
        <w:jc w:val="center"/>
        <w:spacing w:line="360" w:lineRule="auto"/>
        <w:rPr>
          <w:rFonts w:hint="eastAsia"/>
          <w:b/>
          <w:sz w:val="36"/>
          <w:szCs w:val="36"/>
        </w:rPr>
      </w:pPr>
      <w:r>
        <w:rPr>
          <w:rFonts w:hint="eastAsia"/>
          <w:b/>
          <w:sz w:val="36"/>
          <w:szCs w:val="36"/>
        </w:rPr>
      </w:r>
      <w:r/>
    </w:p>
    <w:p>
      <w:pPr>
        <w:pStyle w:val="1067"/>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1067"/>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67"/>
              <w:jc w:val="center"/>
              <w:rPr>
                <w:rFonts w:hint="eastAsia" w:ascii="宋体" w:hAnsi="宋体" w:cs="宋体"/>
                <w:szCs w:val="21"/>
              </w:rPr>
            </w:pPr>
            <w:r>
              <w:rPr>
                <w:rFonts w:hint="eastAsia" w:ascii="宋体" w:hAnsi="宋体" w:cs="宋体"/>
                <w:szCs w:val="21"/>
              </w:rPr>
            </w:r>
            <w:r/>
          </w:p>
        </w:tc>
      </w:tr>
    </w:tbl>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sz w:val="24"/>
          <w:szCs w:val="20"/>
        </w:rPr>
      </w:pPr>
      <w:r>
        <w:rPr>
          <w:rFonts w:hint="eastAsia"/>
          <w:sz w:val="24"/>
          <w:szCs w:val="20"/>
        </w:rPr>
      </w:r>
      <w:r/>
    </w:p>
    <w:p>
      <w:pPr>
        <w:pStyle w:val="1138"/>
        <w:ind w:firstLine="480"/>
        <w:rPr>
          <w:rFonts w:hint="eastAsia"/>
        </w:rPr>
      </w:pPr>
      <w:r>
        <w:rPr>
          <w:rFonts w:hint="eastAsia"/>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1）项目整体方案；</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安装部署服务方案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运营服务方案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突发事件保障措施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7"/>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rPr>
          <w:rFonts w:hint="eastAsia" w:ascii="宋体" w:hAnsi="宋体" w:cs="宋体"/>
          <w:szCs w:val="21"/>
        </w:rPr>
      </w:pPr>
      <w:r>
        <w:rPr>
          <w:rFonts w:hint="eastAsia" w:ascii="宋体" w:hAnsi="宋体" w:cs="宋体"/>
          <w:szCs w:val="21"/>
        </w:rPr>
      </w:r>
      <w:r/>
    </w:p>
    <w:p>
      <w:pPr>
        <w:pStyle w:val="1149"/>
        <w:rPr>
          <w:rFonts w:hint="eastAsia"/>
        </w:rPr>
      </w:pPr>
      <w:r>
        <w:rPr>
          <w:rFonts w:hint="eastAsia"/>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1067"/>
        <w:jc w:val="center"/>
        <w:spacing w:line="360" w:lineRule="auto"/>
        <w:rPr>
          <w:rFonts w:hint="eastAsia" w:ascii="宋体" w:hAnsi="宋体"/>
          <w:b/>
          <w:sz w:val="32"/>
          <w:szCs w:val="32"/>
        </w:rPr>
      </w:pPr>
      <w:r>
        <w:rPr>
          <w:rFonts w:hint="eastAsia" w:ascii="宋体" w:hAnsi="宋体"/>
          <w:b/>
          <w:sz w:val="32"/>
          <w:szCs w:val="32"/>
        </w:rPr>
      </w:r>
      <w:r/>
    </w:p>
    <w:p>
      <w:pPr>
        <w:pStyle w:val="106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7"/>
        <w:spacing w:line="360" w:lineRule="auto"/>
        <w:rPr>
          <w:rFonts w:ascii="宋体" w:hAnsi="宋体"/>
          <w:sz w:val="22"/>
        </w:rPr>
      </w:pPr>
      <w:r>
        <w:rPr>
          <w:rFonts w:ascii="宋体" w:hAnsi="宋体"/>
          <w:sz w:val="22"/>
        </w:rPr>
      </w:r>
      <w:r/>
    </w:p>
    <w:p>
      <w:pPr>
        <w:pStyle w:val="1067"/>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329"/>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1067"/>
        <w:spacing w:line="360" w:lineRule="auto"/>
        <w:rPr>
          <w:rFonts w:hint="eastAsia" w:ascii="宋体" w:hAnsi="宋体" w:cs="宋体"/>
          <w:szCs w:val="21"/>
        </w:rPr>
      </w:pPr>
      <w:r>
        <w:rPr>
          <w:rFonts w:hint="eastAsia" w:ascii="宋体" w:hAnsi="宋体" w:cs="宋体"/>
          <w:szCs w:val="21"/>
        </w:rPr>
      </w:r>
      <w:r/>
    </w:p>
    <w:p>
      <w:pPr>
        <w:pStyle w:val="1149"/>
        <w:rPr>
          <w:rFonts w:hint="eastAsia"/>
        </w:rPr>
      </w:pPr>
      <w:r>
        <w:rPr>
          <w:rFonts w:hint="eastAsia"/>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br w:type="page" w:clear="all"/>
      </w:r>
      <w:bookmarkStart w:id="774" w:name="_Toc288738397"/>
      <w:r/>
      <w:bookmarkStart w:id="775" w:name="_Toc288738839"/>
      <w:r>
        <w:rPr>
          <w:rFonts w:hint="eastAsia" w:ascii="宋体" w:hAnsi="宋体" w:cs="宋体"/>
          <w:szCs w:val="21"/>
        </w:rPr>
        <w:t xml:space="preserve">10.相关业绩案例一览表</w:t>
      </w:r>
      <w:r>
        <w:rPr>
          <w:rFonts w:hint="eastAsia" w:ascii="宋体" w:hAnsi="宋体" w:cs="宋体"/>
          <w:szCs w:val="21"/>
        </w:rPr>
      </w:r>
      <w:r/>
    </w:p>
    <w:p>
      <w:pPr>
        <w:pStyle w:val="1067"/>
        <w:rPr>
          <w:sz w:val="24"/>
          <w:szCs w:val="20"/>
        </w:rPr>
      </w:pPr>
      <w:r>
        <w:rPr>
          <w:sz w:val="24"/>
          <w:szCs w:val="20"/>
        </w:rPr>
      </w:r>
      <w:r/>
    </w:p>
    <w:p>
      <w:pPr>
        <w:pStyle w:val="1067"/>
        <w:jc w:val="center"/>
        <w:rPr>
          <w:rFonts w:ascii="宋体" w:hAnsi="宋体"/>
          <w:b/>
          <w:sz w:val="32"/>
          <w:szCs w:val="32"/>
        </w:rPr>
      </w:pPr>
      <w:r>
        <w:rPr>
          <w:rFonts w:hint="eastAsia" w:ascii="宋体" w:hAnsi="宋体"/>
          <w:b/>
          <w:sz w:val="32"/>
          <w:szCs w:val="32"/>
        </w:rPr>
        <w:t xml:space="preserve">相关业绩案例一览表</w:t>
      </w:r>
      <w:bookmarkEnd w:id="774"/>
      <w:r/>
      <w:bookmarkEnd w:id="775"/>
      <w:r>
        <w:rPr>
          <w:rFonts w:ascii="宋体" w:hAnsi="宋体"/>
          <w:b/>
          <w:sz w:val="32"/>
          <w:szCs w:val="32"/>
        </w:rPr>
      </w:r>
      <w:r/>
    </w:p>
    <w:p>
      <w:pPr>
        <w:pStyle w:val="1067"/>
        <w:jc w:val="center"/>
        <w:spacing w:line="360" w:lineRule="auto"/>
        <w:rPr>
          <w:rFonts w:ascii="宋体" w:hAnsi="宋体"/>
          <w:b/>
          <w:sz w:val="28"/>
          <w:szCs w:val="30"/>
        </w:rPr>
      </w:pPr>
      <w:r>
        <w:rPr>
          <w:rFonts w:ascii="宋体" w:hAnsi="宋体"/>
          <w:b/>
          <w:sz w:val="28"/>
          <w:szCs w:val="30"/>
        </w:rPr>
      </w:r>
      <w:r/>
    </w:p>
    <w:p>
      <w:pPr>
        <w:pStyle w:val="1067"/>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7"/>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67"/>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1067"/>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1067"/>
        <w:tabs>
          <w:tab w:val="left" w:pos="9765" w:leader="none"/>
        </w:tabs>
        <w:rPr>
          <w:rFonts w:hint="eastAsia" w:ascii="宋体" w:hAnsi="宋体" w:cs="宋体"/>
          <w:szCs w:val="21"/>
          <w:lang w:val="zh-CN"/>
        </w:rPr>
      </w:pPr>
      <w:r>
        <w:rPr>
          <w:rFonts w:hint="eastAsia" w:ascii="宋体" w:hAnsi="宋体" w:cs="宋体"/>
          <w:szCs w:val="21"/>
          <w:lang w:val="zh-CN"/>
        </w:rPr>
      </w:r>
      <w:r/>
    </w:p>
    <w:p>
      <w:pPr>
        <w:pStyle w:val="1067"/>
        <w:spacing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rPr>
      </w:pPr>
      <w:r>
        <w:rPr>
          <w:rFonts w:hint="eastAsia" w:ascii="宋体" w:hAnsi="宋体" w:cs="宋体"/>
          <w:szCs w:val="21"/>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1067"/>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rPr>
          <w:rFonts w:hint="eastAsia" w:ascii="宋体" w:hAnsi="宋体" w:cs="宋体"/>
          <w:szCs w:val="21"/>
        </w:rPr>
      </w:pPr>
      <w:r>
        <w:rPr>
          <w:rFonts w:hint="eastAsia" w:ascii="宋体" w:hAnsi="宋体" w:cs="宋体"/>
          <w:szCs w:val="21"/>
        </w:rPr>
      </w:r>
      <w:r/>
    </w:p>
    <w:p>
      <w:pPr>
        <w:pStyle w:val="1067"/>
      </w:pPr>
      <w:r/>
      <w:r/>
    </w:p>
    <w:p>
      <w:pPr>
        <w:pStyle w:val="1067"/>
      </w:p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067"/>
        <w:spacing w:line="360" w:lineRule="auto"/>
        <w:rPr>
          <w:rFonts w:hint="eastAsia"/>
          <w:sz w:val="24"/>
          <w:szCs w:val="20"/>
        </w:rPr>
        <w:outlineLvl w:val="2"/>
      </w:pPr>
      <w:r>
        <w:rPr>
          <w:rFonts w:hint="eastAsia"/>
          <w:sz w:val="24"/>
          <w:szCs w:val="20"/>
        </w:rPr>
      </w:r>
      <w:r/>
    </w:p>
    <w:p>
      <w:pPr>
        <w:pStyle w:val="1155"/>
        <w:rPr>
          <w:rFonts w:hint="eastAsia"/>
          <w:sz w:val="24"/>
          <w:szCs w:val="20"/>
        </w:rPr>
      </w:pPr>
      <w:r>
        <w:rPr>
          <w:rFonts w:hint="eastAsia"/>
          <w:sz w:val="24"/>
          <w:szCs w:val="20"/>
        </w:rPr>
      </w:r>
      <w:r/>
    </w:p>
    <w:p>
      <w:pPr>
        <w:pStyle w:val="1067"/>
        <w:spacing w:line="360" w:lineRule="auto"/>
        <w:rPr>
          <w:sz w:val="24"/>
          <w:szCs w:val="20"/>
        </w:rPr>
        <w:outlineLvl w:val="2"/>
      </w:pPr>
      <w:r>
        <w:rPr>
          <w:sz w:val="24"/>
          <w:szCs w:val="20"/>
        </w:rPr>
      </w:r>
      <w:r/>
    </w:p>
    <w:p>
      <w:pPr>
        <w:pStyle w:val="1067"/>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1067"/>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1067"/>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1067"/>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67"/>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10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67"/>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1067"/>
        <w:jc w:val="left"/>
        <w:widowControl/>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155"/>
        <w:ind w:firstLine="723"/>
        <w:rPr>
          <w:b/>
          <w:sz w:val="36"/>
          <w:szCs w:val="36"/>
        </w:rPr>
      </w:pPr>
      <w:r>
        <w:rPr>
          <w:b/>
          <w:sz w:val="36"/>
          <w:szCs w:val="36"/>
        </w:rPr>
      </w:r>
      <w:r/>
    </w:p>
    <w:p>
      <w:pPr>
        <w:pStyle w:val="1067"/>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1067"/>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方正仿宋_GB2312">
    <w:panose1 w:val="020B0503020202020204"/>
  </w:font>
  <w:font w:name="FangSong_GB2312">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r>
    <w:r/>
  </w:p>
  <w:p>
    <w:pPr>
      <w:pStyle w:val="1117"/>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067"/>
                    </w:pPr>
                    <w:r/>
                    <w:r/>
                  </w:p>
                </w:txbxContent>
              </v:textbox>
            </v:shape>
          </w:pict>
        </mc:Fallback>
      </mc:AlternateContent>
    </w:r>
    <w:r>
      <w:rPr>
        <w:rFonts w:eastAsia="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7"/>
      <w:ind w:right="360"/>
      <w:tabs>
        <w:tab w:val="center" w:pos="4153" w:leader="none"/>
        <w:tab w:val="right" w:pos="8306" w:leader="none"/>
      </w:tabs>
    </w:pPr>
    <w:r/>
    <w:r/>
  </w:p>
  <w:p>
    <w:pPr>
      <w:pStyle w:val="106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p>
    <w:pPr>
      <w:pStyle w:val="106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4"/>
      <w:isLgl w:val="false"/>
      <w:suff w:val="tab"/>
      <w:lvlText w:val="%1."/>
      <w:lvlJc w:val="left"/>
      <w:pPr>
        <w:pStyle w:val="1067"/>
        <w:ind w:left="420" w:hanging="420"/>
      </w:pPr>
    </w:lvl>
    <w:lvl w:ilvl="1">
      <w:start w:val="1"/>
      <w:numFmt w:val="decimal"/>
      <w:isLgl w:val="false"/>
      <w:suff w:val="tab"/>
      <w:lvlText w:val="（%2）"/>
      <w:lvlJc w:val="left"/>
      <w:pPr>
        <w:pStyle w:val="1067"/>
        <w:ind w:left="1140" w:hanging="720"/>
        <w:tabs>
          <w:tab w:val="num" w:pos="1140" w:leader="none"/>
        </w:tabs>
      </w:pPr>
      <w:rPr>
        <w:rFonts w:hint="eastAsia"/>
      </w:r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1">
    <w:multiLevelType w:val="hybridMultilevel"/>
    <w:lvl w:ilvl="0">
      <w:start w:val="1"/>
      <w:numFmt w:val="lowerLetter"/>
      <w:pStyle w:val="1259"/>
      <w:isLgl w:val="false"/>
      <w:suff w:val="tab"/>
      <w:lvlText w:val="%1)"/>
      <w:lvlJc w:val="left"/>
      <w:pPr>
        <w:pStyle w:val="1067"/>
        <w:ind w:left="902" w:hanging="420"/>
      </w:pPr>
      <w:rPr>
        <w:color w:val="000000"/>
      </w:rPr>
    </w:lvl>
    <w:lvl w:ilvl="1">
      <w:start w:val="1"/>
      <w:numFmt w:val="lowerLetter"/>
      <w:isLgl w:val="false"/>
      <w:suff w:val="tab"/>
      <w:lvlText w:val="%2)"/>
      <w:lvlJc w:val="left"/>
      <w:pPr>
        <w:pStyle w:val="1067"/>
        <w:ind w:left="1322" w:hanging="420"/>
      </w:pPr>
    </w:lvl>
    <w:lvl w:ilvl="2">
      <w:start w:val="1"/>
      <w:numFmt w:val="lowerRoman"/>
      <w:isLgl w:val="false"/>
      <w:suff w:val="tab"/>
      <w:lvlText w:val="%3."/>
      <w:lvlJc w:val="right"/>
      <w:pPr>
        <w:pStyle w:val="1067"/>
        <w:ind w:left="1742" w:hanging="420"/>
      </w:pPr>
    </w:lvl>
    <w:lvl w:ilvl="3">
      <w:start w:val="1"/>
      <w:numFmt w:val="decimal"/>
      <w:isLgl w:val="false"/>
      <w:suff w:val="tab"/>
      <w:lvlText w:val="%4."/>
      <w:lvlJc w:val="left"/>
      <w:pPr>
        <w:pStyle w:val="1067"/>
        <w:ind w:left="2162" w:hanging="420"/>
      </w:pPr>
    </w:lvl>
    <w:lvl w:ilvl="4">
      <w:start w:val="1"/>
      <w:numFmt w:val="lowerLetter"/>
      <w:isLgl w:val="false"/>
      <w:suff w:val="tab"/>
      <w:lvlText w:val="%5)"/>
      <w:lvlJc w:val="left"/>
      <w:pPr>
        <w:pStyle w:val="1067"/>
        <w:ind w:left="2582" w:hanging="420"/>
      </w:pPr>
    </w:lvl>
    <w:lvl w:ilvl="5">
      <w:start w:val="1"/>
      <w:numFmt w:val="lowerRoman"/>
      <w:isLgl w:val="false"/>
      <w:suff w:val="tab"/>
      <w:lvlText w:val="%6."/>
      <w:lvlJc w:val="right"/>
      <w:pPr>
        <w:pStyle w:val="1067"/>
        <w:ind w:left="3002" w:hanging="420"/>
      </w:pPr>
    </w:lvl>
    <w:lvl w:ilvl="6">
      <w:start w:val="1"/>
      <w:numFmt w:val="decimal"/>
      <w:isLgl w:val="false"/>
      <w:suff w:val="tab"/>
      <w:lvlText w:val="%7."/>
      <w:lvlJc w:val="left"/>
      <w:pPr>
        <w:pStyle w:val="1067"/>
        <w:ind w:left="3422" w:hanging="420"/>
      </w:pPr>
    </w:lvl>
    <w:lvl w:ilvl="7">
      <w:start w:val="1"/>
      <w:numFmt w:val="lowerLetter"/>
      <w:isLgl w:val="false"/>
      <w:suff w:val="tab"/>
      <w:lvlText w:val="%8)"/>
      <w:lvlJc w:val="left"/>
      <w:pPr>
        <w:pStyle w:val="1067"/>
        <w:ind w:left="3842" w:hanging="420"/>
      </w:pPr>
    </w:lvl>
    <w:lvl w:ilvl="8">
      <w:start w:val="1"/>
      <w:numFmt w:val="lowerRoman"/>
      <w:isLgl w:val="false"/>
      <w:suff w:val="tab"/>
      <w:lvlText w:val="%9."/>
      <w:lvlJc w:val="right"/>
      <w:pPr>
        <w:pStyle w:val="1067"/>
        <w:ind w:left="4262" w:hanging="420"/>
      </w:pPr>
    </w:lvl>
  </w:abstractNum>
  <w:abstractNum w:abstractNumId="2">
    <w:multiLevelType w:val="hybridMultilevel"/>
    <w:lvl w:ilvl="0">
      <w:start w:val="1"/>
      <w:numFmt w:val="decimal"/>
      <w:pStyle w:val="1229"/>
      <w:isLgl w:val="false"/>
      <w:suff w:val="tab"/>
      <w:lvlText w:val="%1."/>
      <w:lvlJc w:val="left"/>
      <w:pPr>
        <w:pStyle w:val="106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8"/>
      <w:isLgl w:val="false"/>
      <w:suff w:val="nothing"/>
      <w:lvlText w:val="%1　"/>
      <w:lvlJc w:val="left"/>
      <w:pPr>
        <w:pStyle w:val="106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7"/>
        <w:ind w:left="-25" w:firstLine="0"/>
      </w:pPr>
      <w:rPr>
        <w:rFonts w:ascii="Times New Roman" w:hAnsi="Times New Roman" w:eastAsia="黑体"/>
        <w:b/>
        <w:i w:val="0"/>
        <w:sz w:val="28"/>
      </w:rPr>
    </w:lvl>
    <w:lvl w:ilvl="3">
      <w:start w:val="1"/>
      <w:numFmt w:val="decimal"/>
      <w:pStyle w:val="1214"/>
      <w:isLgl w:val="false"/>
      <w:suff w:val="nothing"/>
      <w:lvlText w:val="%1.%2.%3.%4　"/>
      <w:lvlJc w:val="left"/>
      <w:pPr>
        <w:pStyle w:val="106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7"/>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67"/>
        <w:ind w:left="-125" w:firstLine="400"/>
        <w:tabs>
          <w:tab w:val="num" w:pos="635" w:leader="none"/>
        </w:tabs>
      </w:pPr>
      <w:rPr>
        <w:rFonts w:ascii="Times New Roman" w:hAnsi="Times New Roman" w:eastAsia="宋体"/>
        <w:b/>
        <w:i w:val="0"/>
        <w:color w:val="000000"/>
        <w:sz w:val="28"/>
        <w:u w:val="none"/>
      </w:rPr>
    </w:lvl>
    <w:lvl w:ilvl="7">
      <w:start w:val="1"/>
      <w:numFmt w:val="decimal"/>
      <w:pStyle w:val="1198"/>
      <w:isLgl w:val="false"/>
      <w:suff w:val="tab"/>
      <w:lvlText w:val="%8) "/>
      <w:lvlJc w:val="left"/>
      <w:pPr>
        <w:pStyle w:val="106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067"/>
        <w:ind w:left="768" w:hanging="360"/>
        <w:tabs>
          <w:tab w:val="num" w:pos="768" w:leader="none"/>
        </w:tabs>
      </w:pPr>
      <w:rPr>
        <w:rFonts w:hint="eastAsia"/>
      </w:rPr>
    </w:lvl>
    <w:lvl w:ilvl="1">
      <w:start w:val="1"/>
      <w:numFmt w:val="decimal"/>
      <w:pStyle w:val="1216"/>
      <w:isLgl w:val="false"/>
      <w:suff w:val="tab"/>
      <w:lvlText w:val="%2、"/>
      <w:lvlJc w:val="left"/>
      <w:pPr>
        <w:pStyle w:val="1067"/>
        <w:ind w:left="1188" w:hanging="360"/>
        <w:tabs>
          <w:tab w:val="num" w:pos="1188" w:leader="none"/>
        </w:tabs>
      </w:pPr>
      <w:rPr>
        <w:rFonts w:hint="eastAsia"/>
      </w:rPr>
    </w:lvl>
    <w:lvl w:ilvl="2">
      <w:start w:val="1"/>
      <w:numFmt w:val="decimal"/>
      <w:isLgl w:val="false"/>
      <w:suff w:val="tab"/>
      <w:lvlText w:val="（%3）"/>
      <w:lvlJc w:val="left"/>
      <w:pPr>
        <w:pStyle w:val="1067"/>
        <w:ind w:left="1968" w:hanging="720"/>
        <w:tabs>
          <w:tab w:val="num" w:pos="1968" w:leader="none"/>
        </w:tabs>
      </w:pPr>
      <w:rPr>
        <w:rFonts w:hint="eastAsia"/>
        <w:u w:val="none"/>
      </w:rPr>
    </w:lvl>
    <w:lvl w:ilvl="3">
      <w:start w:val="1"/>
      <w:numFmt w:val="decimal"/>
      <w:isLgl w:val="false"/>
      <w:suff w:val="tab"/>
      <w:lvlText w:val="%4."/>
      <w:lvlJc w:val="left"/>
      <w:pPr>
        <w:pStyle w:val="1067"/>
        <w:ind w:left="2088" w:hanging="420"/>
        <w:tabs>
          <w:tab w:val="num" w:pos="2088" w:leader="none"/>
        </w:tabs>
      </w:pPr>
    </w:lvl>
    <w:lvl w:ilvl="4">
      <w:start w:val="1"/>
      <w:numFmt w:val="lowerLetter"/>
      <w:isLgl w:val="false"/>
      <w:suff w:val="tab"/>
      <w:lvlText w:val="%5)"/>
      <w:lvlJc w:val="left"/>
      <w:pPr>
        <w:pStyle w:val="1067"/>
        <w:ind w:left="2508" w:hanging="420"/>
        <w:tabs>
          <w:tab w:val="num" w:pos="2508" w:leader="none"/>
        </w:tabs>
      </w:pPr>
    </w:lvl>
    <w:lvl w:ilvl="5">
      <w:start w:val="1"/>
      <w:numFmt w:val="lowerRoman"/>
      <w:isLgl w:val="false"/>
      <w:suff w:val="tab"/>
      <w:lvlText w:val="%6."/>
      <w:lvlJc w:val="right"/>
      <w:pPr>
        <w:pStyle w:val="1067"/>
        <w:ind w:left="2928" w:hanging="420"/>
        <w:tabs>
          <w:tab w:val="num" w:pos="2928" w:leader="none"/>
        </w:tabs>
      </w:pPr>
    </w:lvl>
    <w:lvl w:ilvl="6">
      <w:start w:val="1"/>
      <w:numFmt w:val="decimal"/>
      <w:isLgl w:val="false"/>
      <w:suff w:val="tab"/>
      <w:lvlText w:val="%7."/>
      <w:lvlJc w:val="left"/>
      <w:pPr>
        <w:pStyle w:val="1067"/>
        <w:ind w:left="3348" w:hanging="420"/>
        <w:tabs>
          <w:tab w:val="num" w:pos="3348" w:leader="none"/>
        </w:tabs>
      </w:pPr>
    </w:lvl>
    <w:lvl w:ilvl="7">
      <w:start w:val="1"/>
      <w:numFmt w:val="lowerLetter"/>
      <w:isLgl w:val="false"/>
      <w:suff w:val="tab"/>
      <w:lvlText w:val="%8)"/>
      <w:lvlJc w:val="left"/>
      <w:pPr>
        <w:pStyle w:val="1067"/>
        <w:ind w:left="3768" w:hanging="420"/>
        <w:tabs>
          <w:tab w:val="num" w:pos="3768" w:leader="none"/>
        </w:tabs>
      </w:pPr>
    </w:lvl>
    <w:lvl w:ilvl="8">
      <w:start w:val="1"/>
      <w:numFmt w:val="lowerRoman"/>
      <w:isLgl w:val="false"/>
      <w:suff w:val="tab"/>
      <w:lvlText w:val="%9."/>
      <w:lvlJc w:val="right"/>
      <w:pPr>
        <w:pStyle w:val="1067"/>
        <w:ind w:left="4188" w:hanging="420"/>
        <w:tabs>
          <w:tab w:val="num" w:pos="4188" w:leader="none"/>
        </w:tabs>
      </w:pPr>
    </w:lvl>
  </w:abstractNum>
  <w:abstractNum w:abstractNumId="5">
    <w:multiLevelType w:val="hybridMultilevel"/>
    <w:lvl w:ilvl="0">
      <w:start w:val="1"/>
      <w:numFmt w:val="decimal"/>
      <w:pStyle w:val="1183"/>
      <w:isLgl w:val="false"/>
      <w:suff w:val="tab"/>
      <w:lvlText w:val="%1)"/>
      <w:lvlJc w:val="left"/>
      <w:pPr>
        <w:pStyle w:val="1067"/>
        <w:ind w:left="420" w:hanging="420"/>
      </w:pPr>
    </w:lvl>
    <w:lvl w:ilvl="1">
      <w:start w:val="1"/>
      <w:numFmt w:val="lowerLetter"/>
      <w:isLgl w:val="false"/>
      <w:suff w:val="tab"/>
      <w:lvlText w:val="%2)"/>
      <w:lvlJc w:val="left"/>
      <w:pPr>
        <w:pStyle w:val="1067"/>
        <w:ind w:left="840" w:hanging="420"/>
      </w:pPr>
    </w:lvl>
    <w:lvl w:ilvl="2">
      <w:start w:val="1"/>
      <w:numFmt w:val="lowerRoman"/>
      <w:isLgl w:val="false"/>
      <w:suff w:val="tab"/>
      <w:lvlText w:val="%3."/>
      <w:lvlJc w:val="right"/>
      <w:pPr>
        <w:pStyle w:val="1067"/>
        <w:ind w:left="1260" w:hanging="420"/>
      </w:pPr>
    </w:lvl>
    <w:lvl w:ilvl="3">
      <w:start w:val="1"/>
      <w:numFmt w:val="decimal"/>
      <w:isLgl w:val="false"/>
      <w:suff w:val="tab"/>
      <w:lvlText w:val="%4."/>
      <w:lvlJc w:val="left"/>
      <w:pPr>
        <w:pStyle w:val="1067"/>
        <w:ind w:left="1680" w:hanging="420"/>
      </w:pPr>
    </w:lvl>
    <w:lvl w:ilvl="4">
      <w:start w:val="1"/>
      <w:numFmt w:val="lowerLetter"/>
      <w:isLgl w:val="false"/>
      <w:suff w:val="tab"/>
      <w:lvlText w:val="%5)"/>
      <w:lvlJc w:val="left"/>
      <w:pPr>
        <w:pStyle w:val="1067"/>
        <w:ind w:left="2100" w:hanging="420"/>
      </w:pPr>
    </w:lvl>
    <w:lvl w:ilvl="5">
      <w:start w:val="1"/>
      <w:numFmt w:val="lowerRoman"/>
      <w:isLgl w:val="false"/>
      <w:suff w:val="tab"/>
      <w:lvlText w:val="%6."/>
      <w:lvlJc w:val="right"/>
      <w:pPr>
        <w:pStyle w:val="1067"/>
        <w:ind w:left="2520" w:hanging="420"/>
      </w:pPr>
    </w:lvl>
    <w:lvl w:ilvl="6">
      <w:start w:val="1"/>
      <w:numFmt w:val="decimal"/>
      <w:isLgl w:val="false"/>
      <w:suff w:val="tab"/>
      <w:lvlText w:val="%7."/>
      <w:lvlJc w:val="left"/>
      <w:pPr>
        <w:pStyle w:val="1067"/>
        <w:ind w:left="2940" w:hanging="420"/>
      </w:pPr>
    </w:lvl>
    <w:lvl w:ilvl="7">
      <w:start w:val="1"/>
      <w:numFmt w:val="lowerLetter"/>
      <w:isLgl w:val="false"/>
      <w:suff w:val="tab"/>
      <w:lvlText w:val="%8)"/>
      <w:lvlJc w:val="left"/>
      <w:pPr>
        <w:pStyle w:val="1067"/>
        <w:ind w:left="3360" w:hanging="420"/>
      </w:pPr>
    </w:lvl>
    <w:lvl w:ilvl="8">
      <w:start w:val="1"/>
      <w:numFmt w:val="lowerRoman"/>
      <w:isLgl w:val="false"/>
      <w:suff w:val="tab"/>
      <w:lvlText w:val="%9."/>
      <w:lvlJc w:val="right"/>
      <w:pPr>
        <w:pStyle w:val="1067"/>
        <w:ind w:left="3780" w:hanging="420"/>
      </w:pPr>
    </w:lvl>
  </w:abstractNum>
  <w:abstractNum w:abstractNumId="6">
    <w:multiLevelType w:val="hybridMultilevel"/>
    <w:lvl w:ilvl="0">
      <w:start w:val="1"/>
      <w:numFmt w:val="decimal"/>
      <w:pStyle w:val="1284"/>
      <w:isLgl w:val="false"/>
      <w:suff w:val="tab"/>
      <w:lvlText w:val="%1"/>
      <w:lvlJc w:val="left"/>
      <w:pPr>
        <w:pStyle w:val="1067"/>
        <w:ind w:left="680" w:hanging="680"/>
      </w:pPr>
      <w:rPr>
        <w:rFonts w:hint="eastAsia" w:ascii="宋体" w:hAnsi="宋体" w:eastAsia="宋体"/>
      </w:rPr>
    </w:lvl>
    <w:lvl w:ilvl="1">
      <w:start w:val="1"/>
      <w:numFmt w:val="decimal"/>
      <w:pStyle w:val="1285"/>
      <w:isLgl w:val="false"/>
      <w:suff w:val="tab"/>
      <w:lvlText w:val="%1.%2"/>
      <w:lvlJc w:val="left"/>
      <w:pPr>
        <w:pStyle w:val="1067"/>
        <w:ind w:left="851" w:hanging="851"/>
      </w:pPr>
      <w:rPr>
        <w:rFonts w:hint="eastAsia" w:ascii="宋体" w:hAnsi="宋体" w:eastAsia="宋体"/>
        <w:color w:val="000000"/>
      </w:rPr>
    </w:lvl>
    <w:lvl w:ilvl="2">
      <w:start w:val="1"/>
      <w:numFmt w:val="decimal"/>
      <w:pStyle w:val="1286"/>
      <w:isLgl w:val="false"/>
      <w:suff w:val="tab"/>
      <w:lvlText w:val="%1.%2.%3"/>
      <w:lvlJc w:val="left"/>
      <w:pPr>
        <w:pStyle w:val="1067"/>
        <w:ind w:left="851" w:hanging="851"/>
      </w:pPr>
      <w:rPr>
        <w:rFonts w:hint="eastAsia"/>
      </w:rPr>
    </w:lvl>
    <w:lvl w:ilvl="3">
      <w:start w:val="1"/>
      <w:numFmt w:val="decimal"/>
      <w:isLgl w:val="false"/>
      <w:suff w:val="tab"/>
      <w:lvlText w:val="%1.%2.%3.%4"/>
      <w:lvlJc w:val="left"/>
      <w:pPr>
        <w:pStyle w:val="1067"/>
        <w:ind w:left="680" w:hanging="680"/>
      </w:pPr>
      <w:rPr>
        <w:rFonts w:hint="eastAsia"/>
      </w:rPr>
    </w:lvl>
    <w:lvl w:ilvl="4">
      <w:start w:val="1"/>
      <w:numFmt w:val="decimal"/>
      <w:isLgl w:val="false"/>
      <w:suff w:val="tab"/>
      <w:lvlText w:val="%1.%2.%3.%4.%5"/>
      <w:lvlJc w:val="left"/>
      <w:pPr>
        <w:pStyle w:val="1067"/>
        <w:ind w:left="680" w:hanging="680"/>
      </w:pPr>
      <w:rPr>
        <w:rFonts w:hint="eastAsia"/>
      </w:rPr>
    </w:lvl>
    <w:lvl w:ilvl="5">
      <w:start w:val="1"/>
      <w:numFmt w:val="decimal"/>
      <w:isLgl w:val="false"/>
      <w:suff w:val="tab"/>
      <w:lvlText w:val="%1.%2.%3.%4.%5.%6"/>
      <w:lvlJc w:val="left"/>
      <w:pPr>
        <w:pStyle w:val="1067"/>
        <w:ind w:left="680" w:hanging="680"/>
      </w:pPr>
      <w:rPr>
        <w:rFonts w:hint="eastAsia"/>
      </w:rPr>
    </w:lvl>
    <w:lvl w:ilvl="6">
      <w:start w:val="1"/>
      <w:numFmt w:val="decimal"/>
      <w:isLgl w:val="false"/>
      <w:suff w:val="tab"/>
      <w:lvlText w:val="%1.%2.%3.%4.%5.%6.%7"/>
      <w:lvlJc w:val="left"/>
      <w:pPr>
        <w:pStyle w:val="1067"/>
        <w:ind w:left="680" w:hanging="680"/>
      </w:pPr>
      <w:rPr>
        <w:rFonts w:hint="eastAsia"/>
      </w:rPr>
    </w:lvl>
    <w:lvl w:ilvl="7">
      <w:start w:val="1"/>
      <w:numFmt w:val="decimal"/>
      <w:isLgl w:val="false"/>
      <w:suff w:val="tab"/>
      <w:lvlText w:val="%1.%2.%3.%4.%5.%6.%7.%8"/>
      <w:lvlJc w:val="left"/>
      <w:pPr>
        <w:pStyle w:val="1067"/>
        <w:ind w:left="680" w:hanging="680"/>
      </w:pPr>
      <w:rPr>
        <w:rFonts w:hint="eastAsia"/>
      </w:rPr>
    </w:lvl>
    <w:lvl w:ilvl="8">
      <w:start w:val="1"/>
      <w:numFmt w:val="decimal"/>
      <w:isLgl w:val="false"/>
      <w:suff w:val="tab"/>
      <w:lvlText w:val="%1.%2.%3.%4.%5.%6.%7.%8.%9"/>
      <w:lvlJc w:val="left"/>
      <w:pPr>
        <w:pStyle w:val="1067"/>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10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67"/>
        <w:ind w:left="900" w:hanging="900"/>
        <w:tabs>
          <w:tab w:val="num" w:pos="900" w:leader="none"/>
        </w:tabs>
      </w:pPr>
      <w:rPr>
        <w:rFonts w:hint="eastAsia"/>
      </w:rPr>
    </w:lvl>
    <w:lvl w:ilvl="1">
      <w:start w:val="1"/>
      <w:numFmt w:val="decimal"/>
      <w:isLgl w:val="false"/>
      <w:suff w:val="tab"/>
      <w:lvlText w:val="%1.%2"/>
      <w:lvlJc w:val="left"/>
      <w:pPr>
        <w:pStyle w:val="106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7"/>
        <w:ind w:left="1980" w:hanging="900"/>
        <w:tabs>
          <w:tab w:val="num" w:pos="1980" w:leader="none"/>
        </w:tabs>
      </w:pPr>
      <w:rPr>
        <w:rFonts w:hint="eastAsia"/>
      </w:rPr>
    </w:lvl>
    <w:lvl w:ilvl="3">
      <w:start w:val="1"/>
      <w:numFmt w:val="decimal"/>
      <w:isLgl w:val="false"/>
      <w:suff w:val="tab"/>
      <w:lvlText w:val="%1.%2.%3.%4"/>
      <w:lvlJc w:val="left"/>
      <w:pPr>
        <w:pStyle w:val="1067"/>
        <w:ind w:left="900" w:hanging="900"/>
        <w:tabs>
          <w:tab w:val="num" w:pos="900" w:leader="none"/>
        </w:tabs>
      </w:pPr>
      <w:rPr>
        <w:rFonts w:hint="eastAsia"/>
      </w:rPr>
    </w:lvl>
    <w:lvl w:ilvl="4">
      <w:start w:val="1"/>
      <w:numFmt w:val="decimal"/>
      <w:isLgl w:val="false"/>
      <w:suff w:val="tab"/>
      <w:lvlText w:val="%1.%2.%3.%4.%5"/>
      <w:lvlJc w:val="left"/>
      <w:pPr>
        <w:pStyle w:val="1067"/>
        <w:ind w:left="900" w:hanging="900"/>
        <w:tabs>
          <w:tab w:val="num" w:pos="900" w:leader="none"/>
        </w:tabs>
      </w:pPr>
      <w:rPr>
        <w:rFonts w:hint="eastAsia"/>
      </w:rPr>
    </w:lvl>
    <w:lvl w:ilvl="5">
      <w:start w:val="1"/>
      <w:numFmt w:val="decimal"/>
      <w:isLgl w:val="false"/>
      <w:suff w:val="tab"/>
      <w:lvlText w:val="%1.%2.%3.%4.%5.%6"/>
      <w:lvlJc w:val="left"/>
      <w:pPr>
        <w:pStyle w:val="1067"/>
        <w:ind w:left="900" w:hanging="900"/>
        <w:tabs>
          <w:tab w:val="num" w:pos="900" w:leader="none"/>
        </w:tabs>
      </w:pPr>
      <w:rPr>
        <w:rFonts w:hint="eastAsia"/>
      </w:rPr>
    </w:lvl>
    <w:lvl w:ilvl="6">
      <w:start w:val="1"/>
      <w:numFmt w:val="decimal"/>
      <w:isLgl w:val="false"/>
      <w:suff w:val="tab"/>
      <w:lvlText w:val="%1.%2.%3.%4.%5.%6.%7"/>
      <w:lvlJc w:val="left"/>
      <w:pPr>
        <w:pStyle w:val="1067"/>
        <w:ind w:left="900" w:hanging="900"/>
        <w:tabs>
          <w:tab w:val="num" w:pos="900" w:leader="none"/>
        </w:tabs>
      </w:pPr>
      <w:rPr>
        <w:rFonts w:hint="eastAsia"/>
      </w:rPr>
    </w:lvl>
    <w:lvl w:ilvl="7">
      <w:start w:val="1"/>
      <w:numFmt w:val="decimal"/>
      <w:isLgl w:val="false"/>
      <w:suff w:val="tab"/>
      <w:lvlText w:val="%1.%2.%3.%4.%5.%6.%7.%8"/>
      <w:lvlJc w:val="left"/>
      <w:pPr>
        <w:pStyle w:val="1067"/>
        <w:ind w:left="900" w:hanging="900"/>
        <w:tabs>
          <w:tab w:val="num" w:pos="900" w:leader="none"/>
        </w:tabs>
      </w:pPr>
      <w:rPr>
        <w:rFonts w:hint="eastAsia"/>
      </w:rPr>
    </w:lvl>
    <w:lvl w:ilvl="8">
      <w:start w:val="1"/>
      <w:numFmt w:val="decimal"/>
      <w:isLgl w:val="false"/>
      <w:suff w:val="tab"/>
      <w:lvlText w:val="%1.%2.%3.%4.%5.%6.%7.%8.%9"/>
      <w:lvlJc w:val="left"/>
      <w:pPr>
        <w:pStyle w:val="1067"/>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name w:val="Heading 1"/>
    <w:basedOn w:val="1067"/>
    <w:next w:val="1067"/>
    <w:link w:val="890"/>
    <w:uiPriority w:val="9"/>
    <w:qFormat/>
    <w:pPr>
      <w:keepLines/>
      <w:keepNext/>
      <w:spacing w:before="480" w:after="200"/>
      <w:outlineLvl w:val="0"/>
    </w:pPr>
    <w:rPr>
      <w:rFonts w:ascii="Arial" w:hAnsi="Arial" w:eastAsia="Arial" w:cs="Arial"/>
      <w:sz w:val="40"/>
      <w:szCs w:val="40"/>
    </w:rPr>
  </w:style>
  <w:style w:type="character" w:styleId="890">
    <w:name w:val="Heading 1 Char"/>
    <w:link w:val="889"/>
    <w:uiPriority w:val="9"/>
    <w:rPr>
      <w:rFonts w:ascii="Arial" w:hAnsi="Arial" w:eastAsia="Arial" w:cs="Arial"/>
      <w:sz w:val="40"/>
      <w:szCs w:val="40"/>
    </w:rPr>
  </w:style>
  <w:style w:type="paragraph" w:styleId="891">
    <w:name w:val="Heading 2"/>
    <w:basedOn w:val="1067"/>
    <w:next w:val="1067"/>
    <w:link w:val="892"/>
    <w:uiPriority w:val="9"/>
    <w:unhideWhenUsed/>
    <w:qFormat/>
    <w:pPr>
      <w:keepLines/>
      <w:keepNext/>
      <w:spacing w:before="360" w:after="200"/>
      <w:outlineLvl w:val="1"/>
    </w:pPr>
    <w:rPr>
      <w:rFonts w:ascii="Arial" w:hAnsi="Arial" w:eastAsia="Arial" w:cs="Arial"/>
      <w:sz w:val="34"/>
    </w:rPr>
  </w:style>
  <w:style w:type="character" w:styleId="892">
    <w:name w:val="Heading 2 Char"/>
    <w:link w:val="891"/>
    <w:uiPriority w:val="9"/>
    <w:rPr>
      <w:rFonts w:ascii="Arial" w:hAnsi="Arial" w:eastAsia="Arial" w:cs="Arial"/>
      <w:sz w:val="34"/>
    </w:rPr>
  </w:style>
  <w:style w:type="paragraph" w:styleId="893">
    <w:name w:val="Heading 3"/>
    <w:basedOn w:val="1067"/>
    <w:next w:val="1067"/>
    <w:link w:val="894"/>
    <w:uiPriority w:val="9"/>
    <w:unhideWhenUsed/>
    <w:qFormat/>
    <w:pPr>
      <w:keepLines/>
      <w:keepNext/>
      <w:spacing w:before="320" w:after="200"/>
      <w:outlineLvl w:val="2"/>
    </w:pPr>
    <w:rPr>
      <w:rFonts w:ascii="Arial" w:hAnsi="Arial" w:eastAsia="Arial" w:cs="Arial"/>
      <w:sz w:val="30"/>
      <w:szCs w:val="30"/>
    </w:rPr>
  </w:style>
  <w:style w:type="character" w:styleId="894">
    <w:name w:val="Heading 3 Char"/>
    <w:link w:val="893"/>
    <w:uiPriority w:val="9"/>
    <w:rPr>
      <w:rFonts w:ascii="Arial" w:hAnsi="Arial" w:eastAsia="Arial" w:cs="Arial"/>
      <w:sz w:val="30"/>
      <w:szCs w:val="30"/>
    </w:rPr>
  </w:style>
  <w:style w:type="paragraph" w:styleId="895">
    <w:name w:val="Heading 4"/>
    <w:basedOn w:val="1067"/>
    <w:next w:val="1067"/>
    <w:link w:val="896"/>
    <w:uiPriority w:val="9"/>
    <w:unhideWhenUsed/>
    <w:qFormat/>
    <w:pPr>
      <w:keepLines/>
      <w:keepNext/>
      <w:spacing w:before="320" w:after="200"/>
      <w:outlineLvl w:val="3"/>
    </w:pPr>
    <w:rPr>
      <w:rFonts w:ascii="Arial" w:hAnsi="Arial" w:eastAsia="Arial" w:cs="Arial"/>
      <w:b/>
      <w:bCs/>
      <w:sz w:val="26"/>
      <w:szCs w:val="26"/>
    </w:rPr>
  </w:style>
  <w:style w:type="character" w:styleId="896">
    <w:name w:val="Heading 4 Char"/>
    <w:link w:val="895"/>
    <w:uiPriority w:val="9"/>
    <w:rPr>
      <w:rFonts w:ascii="Arial" w:hAnsi="Arial" w:eastAsia="Arial" w:cs="Arial"/>
      <w:b/>
      <w:bCs/>
      <w:sz w:val="26"/>
      <w:szCs w:val="26"/>
    </w:rPr>
  </w:style>
  <w:style w:type="paragraph" w:styleId="897">
    <w:name w:val="Heading 5"/>
    <w:basedOn w:val="1067"/>
    <w:next w:val="1067"/>
    <w:link w:val="898"/>
    <w:uiPriority w:val="9"/>
    <w:unhideWhenUsed/>
    <w:qFormat/>
    <w:pPr>
      <w:keepLines/>
      <w:keepNext/>
      <w:spacing w:before="320" w:after="200"/>
      <w:outlineLvl w:val="4"/>
    </w:pPr>
    <w:rPr>
      <w:rFonts w:ascii="Arial" w:hAnsi="Arial" w:eastAsia="Arial" w:cs="Arial"/>
      <w:b/>
      <w:bCs/>
      <w:sz w:val="24"/>
      <w:szCs w:val="24"/>
    </w:rPr>
  </w:style>
  <w:style w:type="character" w:styleId="898">
    <w:name w:val="Heading 5 Char"/>
    <w:link w:val="897"/>
    <w:uiPriority w:val="9"/>
    <w:rPr>
      <w:rFonts w:ascii="Arial" w:hAnsi="Arial" w:eastAsia="Arial" w:cs="Arial"/>
      <w:b/>
      <w:bCs/>
      <w:sz w:val="24"/>
      <w:szCs w:val="24"/>
    </w:rPr>
  </w:style>
  <w:style w:type="paragraph" w:styleId="899">
    <w:name w:val="Heading 6"/>
    <w:basedOn w:val="1067"/>
    <w:next w:val="1067"/>
    <w:link w:val="900"/>
    <w:uiPriority w:val="9"/>
    <w:unhideWhenUsed/>
    <w:qFormat/>
    <w:pPr>
      <w:keepLines/>
      <w:keepNext/>
      <w:spacing w:before="320" w:after="200"/>
      <w:outlineLvl w:val="5"/>
    </w:pPr>
    <w:rPr>
      <w:rFonts w:ascii="Arial" w:hAnsi="Arial" w:eastAsia="Arial" w:cs="Arial"/>
      <w:b/>
      <w:bCs/>
      <w:sz w:val="22"/>
      <w:szCs w:val="22"/>
    </w:rPr>
  </w:style>
  <w:style w:type="character" w:styleId="900">
    <w:name w:val="Heading 6 Char"/>
    <w:link w:val="899"/>
    <w:uiPriority w:val="9"/>
    <w:rPr>
      <w:rFonts w:ascii="Arial" w:hAnsi="Arial" w:eastAsia="Arial" w:cs="Arial"/>
      <w:b/>
      <w:bCs/>
      <w:sz w:val="22"/>
      <w:szCs w:val="22"/>
    </w:rPr>
  </w:style>
  <w:style w:type="paragraph" w:styleId="901">
    <w:name w:val="Heading 7"/>
    <w:basedOn w:val="1067"/>
    <w:next w:val="1067"/>
    <w:link w:val="902"/>
    <w:uiPriority w:val="9"/>
    <w:unhideWhenUsed/>
    <w:qFormat/>
    <w:pPr>
      <w:keepLines/>
      <w:keepNext/>
      <w:spacing w:before="320" w:after="200"/>
      <w:outlineLvl w:val="6"/>
    </w:pPr>
    <w:rPr>
      <w:rFonts w:ascii="Arial" w:hAnsi="Arial" w:eastAsia="Arial" w:cs="Arial"/>
      <w:b/>
      <w:bCs/>
      <w:i/>
      <w:iCs/>
      <w:sz w:val="22"/>
      <w:szCs w:val="22"/>
    </w:rPr>
  </w:style>
  <w:style w:type="character" w:styleId="902">
    <w:name w:val="Heading 7 Char"/>
    <w:link w:val="901"/>
    <w:uiPriority w:val="9"/>
    <w:rPr>
      <w:rFonts w:ascii="Arial" w:hAnsi="Arial" w:eastAsia="Arial" w:cs="Arial"/>
      <w:b/>
      <w:bCs/>
      <w:i/>
      <w:iCs/>
      <w:sz w:val="22"/>
      <w:szCs w:val="22"/>
    </w:rPr>
  </w:style>
  <w:style w:type="paragraph" w:styleId="903">
    <w:name w:val="Heading 8"/>
    <w:basedOn w:val="1067"/>
    <w:next w:val="1067"/>
    <w:link w:val="904"/>
    <w:uiPriority w:val="9"/>
    <w:unhideWhenUsed/>
    <w:qFormat/>
    <w:pPr>
      <w:keepLines/>
      <w:keepNext/>
      <w:spacing w:before="320" w:after="200"/>
      <w:outlineLvl w:val="7"/>
    </w:pPr>
    <w:rPr>
      <w:rFonts w:ascii="Arial" w:hAnsi="Arial" w:eastAsia="Arial" w:cs="Arial"/>
      <w:i/>
      <w:iCs/>
      <w:sz w:val="22"/>
      <w:szCs w:val="22"/>
    </w:rPr>
  </w:style>
  <w:style w:type="character" w:styleId="904">
    <w:name w:val="Heading 8 Char"/>
    <w:link w:val="903"/>
    <w:uiPriority w:val="9"/>
    <w:rPr>
      <w:rFonts w:ascii="Arial" w:hAnsi="Arial" w:eastAsia="Arial" w:cs="Arial"/>
      <w:i/>
      <w:iCs/>
      <w:sz w:val="22"/>
      <w:szCs w:val="22"/>
    </w:rPr>
  </w:style>
  <w:style w:type="paragraph" w:styleId="905">
    <w:name w:val="Heading 9"/>
    <w:basedOn w:val="1067"/>
    <w:next w:val="1067"/>
    <w:link w:val="906"/>
    <w:uiPriority w:val="9"/>
    <w:unhideWhenUsed/>
    <w:qFormat/>
    <w:pPr>
      <w:keepLines/>
      <w:keepNext/>
      <w:spacing w:before="320" w:after="200"/>
      <w:outlineLvl w:val="8"/>
    </w:pPr>
    <w:rPr>
      <w:rFonts w:ascii="Arial" w:hAnsi="Arial" w:eastAsia="Arial" w:cs="Arial"/>
      <w:i/>
      <w:iCs/>
      <w:sz w:val="21"/>
      <w:szCs w:val="21"/>
    </w:rPr>
  </w:style>
  <w:style w:type="character" w:styleId="906">
    <w:name w:val="Heading 9 Char"/>
    <w:link w:val="905"/>
    <w:uiPriority w:val="9"/>
    <w:rPr>
      <w:rFonts w:ascii="Arial" w:hAnsi="Arial" w:eastAsia="Arial" w:cs="Arial"/>
      <w:i/>
      <w:iCs/>
      <w:sz w:val="21"/>
      <w:szCs w:val="21"/>
    </w:rPr>
  </w:style>
  <w:style w:type="paragraph" w:styleId="907">
    <w:name w:val="List Paragraph"/>
    <w:basedOn w:val="1067"/>
    <w:uiPriority w:val="34"/>
    <w:qFormat/>
    <w:pPr>
      <w:contextualSpacing/>
      <w:ind w:left="720"/>
    </w:pPr>
  </w:style>
  <w:style w:type="paragraph" w:styleId="908">
    <w:name w:val="No Spacing"/>
    <w:uiPriority w:val="1"/>
    <w:qFormat/>
    <w:pPr>
      <w:spacing w:before="0" w:after="0" w:line="240" w:lineRule="auto"/>
    </w:pPr>
  </w:style>
  <w:style w:type="paragraph" w:styleId="909">
    <w:name w:val="Title"/>
    <w:basedOn w:val="1067"/>
    <w:next w:val="1067"/>
    <w:link w:val="910"/>
    <w:uiPriority w:val="10"/>
    <w:qFormat/>
    <w:pPr>
      <w:contextualSpacing/>
      <w:spacing w:before="300" w:after="200"/>
    </w:pPr>
    <w:rPr>
      <w:sz w:val="48"/>
      <w:szCs w:val="48"/>
    </w:rPr>
  </w:style>
  <w:style w:type="character" w:styleId="910">
    <w:name w:val="Title Char"/>
    <w:link w:val="909"/>
    <w:uiPriority w:val="10"/>
    <w:rPr>
      <w:sz w:val="48"/>
      <w:szCs w:val="48"/>
    </w:rPr>
  </w:style>
  <w:style w:type="paragraph" w:styleId="911">
    <w:name w:val="Subtitle"/>
    <w:basedOn w:val="1067"/>
    <w:next w:val="1067"/>
    <w:link w:val="912"/>
    <w:uiPriority w:val="11"/>
    <w:qFormat/>
    <w:pPr>
      <w:spacing w:before="200" w:after="200"/>
    </w:pPr>
    <w:rPr>
      <w:sz w:val="24"/>
      <w:szCs w:val="24"/>
    </w:rPr>
  </w:style>
  <w:style w:type="character" w:styleId="912">
    <w:name w:val="Subtitle Char"/>
    <w:link w:val="911"/>
    <w:uiPriority w:val="11"/>
    <w:rPr>
      <w:sz w:val="24"/>
      <w:szCs w:val="24"/>
    </w:rPr>
  </w:style>
  <w:style w:type="paragraph" w:styleId="913">
    <w:name w:val="Quote"/>
    <w:basedOn w:val="1067"/>
    <w:next w:val="1067"/>
    <w:link w:val="914"/>
    <w:uiPriority w:val="29"/>
    <w:qFormat/>
    <w:pPr>
      <w:ind w:left="720" w:right="720"/>
    </w:pPr>
    <w:rPr>
      <w:i/>
    </w:rPr>
  </w:style>
  <w:style w:type="character" w:styleId="914">
    <w:name w:val="Quote Char"/>
    <w:link w:val="913"/>
    <w:uiPriority w:val="29"/>
    <w:rPr>
      <w:i/>
    </w:rPr>
  </w:style>
  <w:style w:type="paragraph" w:styleId="915">
    <w:name w:val="Intense Quote"/>
    <w:basedOn w:val="1067"/>
    <w:next w:val="1067"/>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Intense Quote Char"/>
    <w:link w:val="915"/>
    <w:uiPriority w:val="30"/>
    <w:rPr>
      <w:i/>
    </w:rPr>
  </w:style>
  <w:style w:type="paragraph" w:styleId="917">
    <w:name w:val="Header"/>
    <w:basedOn w:val="1067"/>
    <w:link w:val="918"/>
    <w:uiPriority w:val="99"/>
    <w:unhideWhenUsed/>
    <w:pPr>
      <w:spacing w:after="0" w:line="240" w:lineRule="auto"/>
      <w:tabs>
        <w:tab w:val="center" w:pos="7143" w:leader="none"/>
        <w:tab w:val="right" w:pos="14287" w:leader="none"/>
      </w:tabs>
    </w:pPr>
  </w:style>
  <w:style w:type="character" w:styleId="918">
    <w:name w:val="Header Char"/>
    <w:link w:val="917"/>
    <w:uiPriority w:val="99"/>
  </w:style>
  <w:style w:type="paragraph" w:styleId="919">
    <w:name w:val="Footer"/>
    <w:basedOn w:val="1067"/>
    <w:link w:val="922"/>
    <w:uiPriority w:val="99"/>
    <w:unhideWhenUsed/>
    <w:pPr>
      <w:spacing w:after="0" w:line="240" w:lineRule="auto"/>
      <w:tabs>
        <w:tab w:val="center" w:pos="7143" w:leader="none"/>
        <w:tab w:val="right" w:pos="14287" w:leader="none"/>
      </w:tabs>
    </w:pPr>
  </w:style>
  <w:style w:type="character" w:styleId="920">
    <w:name w:val="Footer Char"/>
    <w:link w:val="919"/>
    <w:uiPriority w:val="99"/>
  </w:style>
  <w:style w:type="paragraph" w:styleId="921">
    <w:name w:val="Caption"/>
    <w:basedOn w:val="1067"/>
    <w:next w:val="1067"/>
    <w:uiPriority w:val="35"/>
    <w:semiHidden/>
    <w:unhideWhenUsed/>
    <w:qFormat/>
    <w:pPr>
      <w:spacing w:line="276" w:lineRule="auto"/>
    </w:pPr>
    <w:rPr>
      <w:b/>
      <w:bCs/>
      <w:color w:val="4f81bd" w:themeColor="accent1"/>
      <w:sz w:val="18"/>
      <w:szCs w:val="18"/>
    </w:rPr>
  </w:style>
  <w:style w:type="character" w:styleId="922">
    <w:name w:val="Caption Char"/>
    <w:basedOn w:val="921"/>
    <w:link w:val="919"/>
    <w:uiPriority w:val="99"/>
  </w:style>
  <w:style w:type="table" w:styleId="9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9">
    <w:name w:val="Hyperlink"/>
    <w:uiPriority w:val="99"/>
    <w:unhideWhenUsed/>
    <w:rPr>
      <w:color w:val="0000ff" w:themeColor="hyperlink"/>
      <w:u w:val="single"/>
    </w:rPr>
  </w:style>
  <w:style w:type="paragraph" w:styleId="1050">
    <w:name w:val="footnote text"/>
    <w:basedOn w:val="1067"/>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uiPriority w:val="99"/>
    <w:unhideWhenUsed/>
    <w:rPr>
      <w:vertAlign w:val="superscript"/>
    </w:rPr>
  </w:style>
  <w:style w:type="paragraph" w:styleId="1053">
    <w:name w:val="endnote text"/>
    <w:basedOn w:val="1067"/>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uiPriority w:val="99"/>
    <w:semiHidden/>
    <w:unhideWhenUsed/>
    <w:rPr>
      <w:vertAlign w:val="superscript"/>
    </w:rPr>
  </w:style>
  <w:style w:type="paragraph" w:styleId="1056">
    <w:name w:val="toc 1"/>
    <w:basedOn w:val="1067"/>
    <w:next w:val="1067"/>
    <w:uiPriority w:val="39"/>
    <w:unhideWhenUsed/>
    <w:pPr>
      <w:ind w:left="0" w:right="0" w:firstLine="0"/>
      <w:spacing w:after="57"/>
    </w:pPr>
  </w:style>
  <w:style w:type="paragraph" w:styleId="1057">
    <w:name w:val="toc 2"/>
    <w:basedOn w:val="1067"/>
    <w:next w:val="1067"/>
    <w:uiPriority w:val="39"/>
    <w:unhideWhenUsed/>
    <w:pPr>
      <w:ind w:left="283" w:right="0" w:firstLine="0"/>
      <w:spacing w:after="57"/>
    </w:pPr>
  </w:style>
  <w:style w:type="paragraph" w:styleId="1058">
    <w:name w:val="toc 3"/>
    <w:basedOn w:val="1067"/>
    <w:next w:val="1067"/>
    <w:uiPriority w:val="39"/>
    <w:unhideWhenUsed/>
    <w:pPr>
      <w:ind w:left="567" w:right="0" w:firstLine="0"/>
      <w:spacing w:after="57"/>
    </w:pPr>
  </w:style>
  <w:style w:type="paragraph" w:styleId="1059">
    <w:name w:val="toc 4"/>
    <w:basedOn w:val="1067"/>
    <w:next w:val="1067"/>
    <w:uiPriority w:val="39"/>
    <w:unhideWhenUsed/>
    <w:pPr>
      <w:ind w:left="850" w:right="0" w:firstLine="0"/>
      <w:spacing w:after="57"/>
    </w:pPr>
  </w:style>
  <w:style w:type="paragraph" w:styleId="1060">
    <w:name w:val="toc 5"/>
    <w:basedOn w:val="1067"/>
    <w:next w:val="1067"/>
    <w:uiPriority w:val="39"/>
    <w:unhideWhenUsed/>
    <w:pPr>
      <w:ind w:left="1134" w:right="0" w:firstLine="0"/>
      <w:spacing w:after="57"/>
    </w:pPr>
  </w:style>
  <w:style w:type="paragraph" w:styleId="1061">
    <w:name w:val="toc 6"/>
    <w:basedOn w:val="1067"/>
    <w:next w:val="1067"/>
    <w:uiPriority w:val="39"/>
    <w:unhideWhenUsed/>
    <w:pPr>
      <w:ind w:left="1417" w:right="0" w:firstLine="0"/>
      <w:spacing w:after="57"/>
    </w:pPr>
  </w:style>
  <w:style w:type="paragraph" w:styleId="1062">
    <w:name w:val="toc 7"/>
    <w:basedOn w:val="1067"/>
    <w:next w:val="1067"/>
    <w:uiPriority w:val="39"/>
    <w:unhideWhenUsed/>
    <w:pPr>
      <w:ind w:left="1701" w:right="0" w:firstLine="0"/>
      <w:spacing w:after="57"/>
    </w:pPr>
  </w:style>
  <w:style w:type="paragraph" w:styleId="1063">
    <w:name w:val="toc 8"/>
    <w:basedOn w:val="1067"/>
    <w:next w:val="1067"/>
    <w:uiPriority w:val="39"/>
    <w:unhideWhenUsed/>
    <w:pPr>
      <w:ind w:left="1984" w:right="0" w:firstLine="0"/>
      <w:spacing w:after="57"/>
    </w:pPr>
  </w:style>
  <w:style w:type="paragraph" w:styleId="1064">
    <w:name w:val="toc 9"/>
    <w:basedOn w:val="1067"/>
    <w:next w:val="1067"/>
    <w:uiPriority w:val="39"/>
    <w:unhideWhenUsed/>
    <w:pPr>
      <w:ind w:left="2268" w:right="0" w:firstLine="0"/>
      <w:spacing w:after="57"/>
    </w:pPr>
  </w:style>
  <w:style w:type="paragraph" w:styleId="1065">
    <w:name w:val="TOC Heading"/>
    <w:uiPriority w:val="39"/>
    <w:unhideWhenUsed/>
  </w:style>
  <w:style w:type="paragraph" w:styleId="1066">
    <w:name w:val="table of figures"/>
    <w:basedOn w:val="1067"/>
    <w:next w:val="1067"/>
    <w:uiPriority w:val="99"/>
    <w:unhideWhenUsed/>
    <w:pPr>
      <w:spacing w:after="0" w:afterAutospacing="0"/>
    </w:pPr>
  </w:style>
  <w:style w:type="paragraph" w:styleId="1067" w:default="1">
    <w:name w:val="Normal"/>
    <w:next w:val="1067"/>
    <w:link w:val="1067"/>
    <w:qFormat/>
    <w:pPr>
      <w:jc w:val="both"/>
      <w:widowControl w:val="off"/>
    </w:pPr>
    <w:rPr>
      <w:sz w:val="21"/>
      <w:szCs w:val="24"/>
      <w:lang w:val="en-US" w:eastAsia="zh-CN" w:bidi="ar-SA"/>
    </w:rPr>
  </w:style>
  <w:style w:type="paragraph" w:styleId="1068">
    <w:name w:val="标题 1"/>
    <w:basedOn w:val="1067"/>
    <w:next w:val="1067"/>
    <w:link w:val="1079"/>
    <w:qFormat/>
    <w:pPr>
      <w:jc w:val="center"/>
      <w:keepLines/>
      <w:keepNext/>
      <w:spacing w:before="240" w:after="120" w:line="300" w:lineRule="auto"/>
      <w:outlineLvl w:val="0"/>
    </w:pPr>
    <w:rPr>
      <w:rFonts w:ascii="宋体"/>
      <w:b/>
      <w:sz w:val="32"/>
      <w:szCs w:val="20"/>
    </w:rPr>
  </w:style>
  <w:style w:type="paragraph" w:styleId="1069">
    <w:name w:val="标题 2"/>
    <w:basedOn w:val="1067"/>
    <w:next w:val="1067"/>
    <w:link w:val="1080"/>
    <w:qFormat/>
    <w:pPr>
      <w:jc w:val="center"/>
      <w:keepLines/>
      <w:keepNext/>
      <w:spacing w:before="120" w:line="300" w:lineRule="auto"/>
      <w:outlineLvl w:val="1"/>
    </w:pPr>
    <w:rPr>
      <w:rFonts w:ascii="Arial" w:hAnsi="Arial" w:eastAsia="黑体"/>
      <w:b/>
      <w:sz w:val="30"/>
      <w:szCs w:val="20"/>
    </w:rPr>
  </w:style>
  <w:style w:type="paragraph" w:styleId="1070">
    <w:name w:val="标题 3"/>
    <w:basedOn w:val="1067"/>
    <w:next w:val="1067"/>
    <w:link w:val="1081"/>
    <w:qFormat/>
    <w:pPr>
      <w:jc w:val="left"/>
      <w:keepLines/>
      <w:keepNext/>
      <w:spacing w:before="360" w:after="120"/>
      <w:outlineLvl w:val="2"/>
    </w:pPr>
    <w:rPr>
      <w:rFonts w:ascii="宋体"/>
      <w:b/>
      <w:sz w:val="24"/>
      <w:szCs w:val="20"/>
      <w:u w:val="single"/>
    </w:rPr>
  </w:style>
  <w:style w:type="paragraph" w:styleId="1071">
    <w:name w:val="标题 4"/>
    <w:basedOn w:val="1067"/>
    <w:next w:val="1067"/>
    <w:link w:val="1082"/>
    <w:qFormat/>
    <w:pPr>
      <w:keepLines/>
      <w:keepNext/>
      <w:spacing w:before="280" w:after="290" w:line="376" w:lineRule="atLeast"/>
      <w:outlineLvl w:val="3"/>
    </w:pPr>
    <w:rPr>
      <w:rFonts w:ascii="Arial" w:hAnsi="Arial" w:eastAsia="黑体"/>
      <w:b/>
      <w:sz w:val="28"/>
      <w:szCs w:val="20"/>
    </w:rPr>
  </w:style>
  <w:style w:type="paragraph" w:styleId="1072">
    <w:name w:val="标题 5"/>
    <w:basedOn w:val="1067"/>
    <w:next w:val="1067"/>
    <w:link w:val="1083"/>
    <w:qFormat/>
    <w:pPr>
      <w:keepLines/>
      <w:keepNext/>
      <w:spacing w:before="280" w:after="290" w:line="376" w:lineRule="atLeast"/>
      <w:outlineLvl w:val="4"/>
    </w:pPr>
    <w:rPr>
      <w:b/>
      <w:sz w:val="28"/>
      <w:szCs w:val="20"/>
    </w:rPr>
  </w:style>
  <w:style w:type="paragraph" w:styleId="1073">
    <w:name w:val="标题 6"/>
    <w:basedOn w:val="1067"/>
    <w:next w:val="1067"/>
    <w:link w:val="1084"/>
    <w:qFormat/>
    <w:pPr>
      <w:keepLines/>
      <w:keepNext/>
      <w:spacing w:before="240" w:after="64" w:line="320" w:lineRule="atLeast"/>
      <w:outlineLvl w:val="5"/>
    </w:pPr>
    <w:rPr>
      <w:rFonts w:ascii="Arial" w:hAnsi="Arial" w:eastAsia="黑体"/>
      <w:b/>
      <w:sz w:val="24"/>
      <w:szCs w:val="20"/>
    </w:rPr>
  </w:style>
  <w:style w:type="paragraph" w:styleId="1074">
    <w:name w:val="标题 7"/>
    <w:basedOn w:val="1067"/>
    <w:next w:val="1067"/>
    <w:link w:val="1085"/>
    <w:qFormat/>
    <w:pPr>
      <w:keepLines/>
      <w:keepNext/>
      <w:spacing w:before="240" w:after="64" w:line="320" w:lineRule="atLeast"/>
      <w:outlineLvl w:val="6"/>
    </w:pPr>
    <w:rPr>
      <w:b/>
      <w:sz w:val="24"/>
      <w:szCs w:val="20"/>
    </w:rPr>
  </w:style>
  <w:style w:type="paragraph" w:styleId="1075">
    <w:name w:val="标题 8"/>
    <w:basedOn w:val="1067"/>
    <w:next w:val="1067"/>
    <w:link w:val="1086"/>
    <w:qFormat/>
    <w:pPr>
      <w:keepLines/>
      <w:keepNext/>
      <w:spacing w:before="240" w:after="64" w:line="320" w:lineRule="atLeast"/>
      <w:outlineLvl w:val="7"/>
    </w:pPr>
    <w:rPr>
      <w:rFonts w:ascii="Arial" w:hAnsi="Arial" w:eastAsia="黑体"/>
      <w:sz w:val="24"/>
      <w:szCs w:val="20"/>
    </w:rPr>
  </w:style>
  <w:style w:type="paragraph" w:styleId="1076">
    <w:name w:val="标题 9"/>
    <w:basedOn w:val="1067"/>
    <w:next w:val="1067"/>
    <w:link w:val="1087"/>
    <w:qFormat/>
    <w:pPr>
      <w:keepLines/>
      <w:keepNext/>
      <w:spacing w:before="240" w:after="64" w:line="320" w:lineRule="atLeast"/>
      <w:outlineLvl w:val="8"/>
    </w:pPr>
    <w:rPr>
      <w:rFonts w:ascii="Arial" w:hAnsi="Arial" w:eastAsia="黑体"/>
      <w:szCs w:val="20"/>
    </w:rPr>
  </w:style>
  <w:style w:type="character" w:styleId="1077">
    <w:name w:val="默认段落字体"/>
    <w:next w:val="1077"/>
    <w:link w:val="1067"/>
    <w:uiPriority w:val="1"/>
    <w:unhideWhenUsed/>
    <w:qFormat/>
  </w:style>
  <w:style w:type="table" w:styleId="1078">
    <w:name w:val="普通表格"/>
    <w:next w:val="1078"/>
    <w:link w:val="1067"/>
    <w:uiPriority w:val="99"/>
    <w:unhideWhenUsed/>
    <w:qFormat/>
    <w:tblPr/>
  </w:style>
  <w:style w:type="character" w:styleId="1079">
    <w:name w:val="标题 1 Char"/>
    <w:next w:val="1079"/>
    <w:link w:val="1068"/>
    <w:qFormat/>
    <w:rPr>
      <w:rFonts w:ascii="宋体"/>
      <w:b/>
      <w:sz w:val="32"/>
    </w:rPr>
  </w:style>
  <w:style w:type="character" w:styleId="1080">
    <w:name w:val="标题 2 Char1"/>
    <w:next w:val="1080"/>
    <w:link w:val="1069"/>
    <w:qFormat/>
    <w:rPr>
      <w:rFonts w:ascii="Arial" w:hAnsi="Arial" w:eastAsia="黑体"/>
      <w:b/>
      <w:sz w:val="30"/>
      <w:lang w:val="en-US" w:eastAsia="zh-CN" w:bidi="ar-SA"/>
    </w:rPr>
  </w:style>
  <w:style w:type="character" w:styleId="1081">
    <w:name w:val="标题 3 Char1"/>
    <w:next w:val="1081"/>
    <w:link w:val="1070"/>
    <w:qFormat/>
    <w:rPr>
      <w:rFonts w:ascii="宋体" w:eastAsia="宋体"/>
      <w:b/>
      <w:sz w:val="24"/>
      <w:u w:val="single"/>
      <w:lang w:val="en-US" w:eastAsia="zh-CN" w:bidi="ar-SA"/>
    </w:rPr>
  </w:style>
  <w:style w:type="character" w:styleId="1082">
    <w:name w:val="标题 4 Char"/>
    <w:next w:val="1082"/>
    <w:link w:val="1071"/>
    <w:qFormat/>
    <w:rPr>
      <w:rFonts w:ascii="Arial" w:hAnsi="Arial" w:eastAsia="黑体"/>
      <w:b/>
      <w:sz w:val="28"/>
    </w:rPr>
  </w:style>
  <w:style w:type="character" w:styleId="1083">
    <w:name w:val="标题 5 Char"/>
    <w:next w:val="1083"/>
    <w:link w:val="1072"/>
    <w:qFormat/>
    <w:rPr>
      <w:b/>
      <w:sz w:val="28"/>
    </w:rPr>
  </w:style>
  <w:style w:type="character" w:styleId="1084">
    <w:name w:val="标题 6 Char"/>
    <w:next w:val="1084"/>
    <w:link w:val="1073"/>
    <w:qFormat/>
    <w:rPr>
      <w:rFonts w:ascii="Arial" w:hAnsi="Arial" w:eastAsia="黑体"/>
      <w:b/>
      <w:sz w:val="24"/>
    </w:rPr>
  </w:style>
  <w:style w:type="character" w:styleId="1085">
    <w:name w:val="标题 7 Char"/>
    <w:next w:val="1085"/>
    <w:link w:val="1074"/>
    <w:qFormat/>
    <w:rPr>
      <w:b/>
      <w:sz w:val="24"/>
    </w:rPr>
  </w:style>
  <w:style w:type="character" w:styleId="1086">
    <w:name w:val="标题 8 Char"/>
    <w:next w:val="1086"/>
    <w:link w:val="1075"/>
    <w:qFormat/>
    <w:rPr>
      <w:rFonts w:ascii="Arial" w:hAnsi="Arial" w:eastAsia="黑体"/>
      <w:sz w:val="24"/>
    </w:rPr>
  </w:style>
  <w:style w:type="character" w:styleId="1087">
    <w:name w:val="标题 9 Char"/>
    <w:next w:val="1087"/>
    <w:link w:val="1076"/>
    <w:qFormat/>
    <w:rPr>
      <w:rFonts w:ascii="Arial" w:hAnsi="Arial" w:eastAsia="黑体"/>
      <w:sz w:val="21"/>
    </w:rPr>
  </w:style>
  <w:style w:type="paragraph" w:styleId="1088">
    <w:name w:val="目录 7"/>
    <w:basedOn w:val="1067"/>
    <w:next w:val="1067"/>
    <w:link w:val="1067"/>
    <w:qFormat/>
    <w:pPr>
      <w:ind w:left="2520"/>
    </w:pPr>
  </w:style>
  <w:style w:type="paragraph" w:styleId="1089">
    <w:name w:val="引文目录"/>
    <w:basedOn w:val="1067"/>
    <w:next w:val="1067"/>
    <w:link w:val="1067"/>
    <w:uiPriority w:val="99"/>
    <w:unhideWhenUsed/>
    <w:qFormat/>
    <w:pPr>
      <w:ind w:left="420"/>
    </w:pPr>
  </w:style>
  <w:style w:type="paragraph" w:styleId="1090">
    <w:name w:val="正文缩进"/>
    <w:basedOn w:val="1067"/>
    <w:next w:val="1067"/>
    <w:link w:val="1091"/>
    <w:qFormat/>
    <w:pPr>
      <w:ind w:firstLine="420"/>
      <w:jc w:val="left"/>
    </w:pPr>
    <w:rPr>
      <w:rFonts w:ascii="宋体"/>
      <w:sz w:val="24"/>
    </w:rPr>
  </w:style>
  <w:style w:type="character" w:styleId="1091">
    <w:name w:val="正文缩进 Char1"/>
    <w:next w:val="1091"/>
    <w:link w:val="1090"/>
    <w:qFormat/>
    <w:rPr>
      <w:rFonts w:ascii="宋体" w:eastAsia="宋体"/>
      <w:sz w:val="24"/>
      <w:szCs w:val="24"/>
      <w:lang w:val="en-US" w:eastAsia="zh-CN" w:bidi="ar-SA"/>
    </w:rPr>
  </w:style>
  <w:style w:type="paragraph" w:styleId="1092">
    <w:name w:val="题注"/>
    <w:basedOn w:val="1067"/>
    <w:next w:val="1067"/>
    <w:link w:val="1067"/>
    <w:qFormat/>
    <w:pPr>
      <w:spacing w:line="480" w:lineRule="auto"/>
    </w:pPr>
    <w:rPr>
      <w:rFonts w:ascii="华文中宋" w:hAnsi="华文中宋" w:eastAsia="华文中宋"/>
      <w:sz w:val="36"/>
      <w:szCs w:val="20"/>
    </w:rPr>
  </w:style>
  <w:style w:type="paragraph" w:styleId="1093">
    <w:name w:val="文档结构图"/>
    <w:basedOn w:val="1067"/>
    <w:next w:val="1093"/>
    <w:link w:val="1094"/>
    <w:qFormat/>
    <w:pPr>
      <w:shd w:val="clear" w:color="auto" w:fill="000080"/>
    </w:pPr>
  </w:style>
  <w:style w:type="character" w:styleId="1094">
    <w:name w:val="文档结构图 Char"/>
    <w:next w:val="1094"/>
    <w:link w:val="1093"/>
    <w:qFormat/>
    <w:rPr>
      <w:sz w:val="21"/>
      <w:szCs w:val="24"/>
      <w:shd w:val="clear" w:color="auto" w:fill="000080"/>
    </w:rPr>
  </w:style>
  <w:style w:type="paragraph" w:styleId="1095">
    <w:name w:val="批注文字"/>
    <w:basedOn w:val="1067"/>
    <w:next w:val="1095"/>
    <w:link w:val="1096"/>
    <w:uiPriority w:val="99"/>
    <w:qFormat/>
    <w:pPr>
      <w:jc w:val="left"/>
    </w:pPr>
  </w:style>
  <w:style w:type="character" w:styleId="1096">
    <w:name w:val="批注文字 Char1"/>
    <w:next w:val="1096"/>
    <w:link w:val="1095"/>
    <w:uiPriority w:val="99"/>
    <w:qFormat/>
    <w:rPr>
      <w:sz w:val="21"/>
      <w:szCs w:val="24"/>
    </w:rPr>
  </w:style>
  <w:style w:type="paragraph" w:styleId="1097">
    <w:name w:val="正文文本 3"/>
    <w:basedOn w:val="1067"/>
    <w:next w:val="1097"/>
    <w:link w:val="1098"/>
    <w:qFormat/>
    <w:pPr>
      <w:spacing w:after="120"/>
    </w:pPr>
    <w:rPr>
      <w:sz w:val="16"/>
      <w:szCs w:val="16"/>
    </w:rPr>
  </w:style>
  <w:style w:type="character" w:styleId="1098">
    <w:name w:val="正文文本 3 Char"/>
    <w:next w:val="1098"/>
    <w:link w:val="1097"/>
    <w:qFormat/>
    <w:rPr>
      <w:sz w:val="16"/>
      <w:szCs w:val="16"/>
    </w:rPr>
  </w:style>
  <w:style w:type="paragraph" w:styleId="1099">
    <w:name w:val="正文文本"/>
    <w:basedOn w:val="1067"/>
    <w:next w:val="1099"/>
    <w:link w:val="1100"/>
    <w:qFormat/>
    <w:pPr>
      <w:spacing w:before="120" w:line="22" w:lineRule="atLeast"/>
      <w:tabs>
        <w:tab w:val="left" w:pos="567" w:leader="none"/>
      </w:tabs>
    </w:pPr>
    <w:rPr>
      <w:rFonts w:ascii="宋体" w:hAnsi="宋体"/>
      <w:sz w:val="24"/>
    </w:rPr>
  </w:style>
  <w:style w:type="character" w:styleId="1100">
    <w:name w:val="正文文本 Char"/>
    <w:next w:val="1100"/>
    <w:link w:val="1099"/>
    <w:qFormat/>
    <w:rPr>
      <w:rFonts w:ascii="宋体" w:hAnsi="宋体"/>
      <w:sz w:val="24"/>
      <w:szCs w:val="24"/>
    </w:rPr>
  </w:style>
  <w:style w:type="paragraph" w:styleId="1101">
    <w:name w:val="正文文本缩进"/>
    <w:basedOn w:val="1067"/>
    <w:next w:val="1067"/>
    <w:link w:val="1102"/>
    <w:qFormat/>
    <w:pPr>
      <w:ind w:firstLine="570"/>
      <w:spacing w:line="360" w:lineRule="auto"/>
    </w:pPr>
    <w:rPr>
      <w:sz w:val="24"/>
    </w:rPr>
  </w:style>
  <w:style w:type="character" w:styleId="1102">
    <w:name w:val="正文文本缩进 Char2"/>
    <w:next w:val="1102"/>
    <w:link w:val="1101"/>
    <w:qFormat/>
    <w:rPr>
      <w:rFonts w:eastAsia="宋体"/>
      <w:sz w:val="24"/>
      <w:szCs w:val="24"/>
      <w:lang w:val="en-US" w:eastAsia="zh-CN" w:bidi="ar-SA"/>
    </w:rPr>
  </w:style>
  <w:style w:type="paragraph" w:styleId="1103">
    <w:name w:val="列表 2"/>
    <w:basedOn w:val="1067"/>
    <w:next w:val="1103"/>
    <w:link w:val="1067"/>
    <w:qFormat/>
    <w:pPr>
      <w:ind w:left="100" w:hanging="200"/>
    </w:pPr>
  </w:style>
  <w:style w:type="paragraph" w:styleId="1104">
    <w:name w:val="文本块"/>
    <w:basedOn w:val="1067"/>
    <w:next w:val="1104"/>
    <w:link w:val="1067"/>
    <w:qFormat/>
    <w:pPr>
      <w:ind w:left="480" w:right="-341" w:firstLine="513"/>
      <w:widowControl/>
    </w:pPr>
    <w:rPr>
      <w:sz w:val="24"/>
      <w:szCs w:val="20"/>
    </w:rPr>
  </w:style>
  <w:style w:type="paragraph" w:styleId="1105">
    <w:name w:val="索引 4"/>
    <w:basedOn w:val="1067"/>
    <w:next w:val="1067"/>
    <w:link w:val="1067"/>
    <w:uiPriority w:val="99"/>
    <w:unhideWhenUsed/>
    <w:qFormat/>
    <w:pPr>
      <w:ind w:left="600"/>
    </w:pPr>
  </w:style>
  <w:style w:type="paragraph" w:styleId="1106">
    <w:name w:val="目录 5"/>
    <w:basedOn w:val="1067"/>
    <w:next w:val="1067"/>
    <w:link w:val="1067"/>
    <w:qFormat/>
    <w:pPr>
      <w:ind w:left="1680"/>
    </w:pPr>
  </w:style>
  <w:style w:type="paragraph" w:styleId="1107">
    <w:name w:val="目录 3"/>
    <w:basedOn w:val="1067"/>
    <w:next w:val="1067"/>
    <w:link w:val="1067"/>
    <w:uiPriority w:val="39"/>
    <w:qFormat/>
    <w:pPr>
      <w:ind w:left="840"/>
    </w:pPr>
  </w:style>
  <w:style w:type="paragraph" w:styleId="1108">
    <w:name w:val="纯文本"/>
    <w:basedOn w:val="1067"/>
    <w:next w:val="1108"/>
    <w:link w:val="1109"/>
    <w:qFormat/>
    <w:rPr>
      <w:rFonts w:hint="eastAsia" w:ascii="宋体" w:hAnsi="Courier New"/>
      <w:szCs w:val="20"/>
    </w:rPr>
  </w:style>
  <w:style w:type="character" w:styleId="1109">
    <w:name w:val="纯文本 Char"/>
    <w:next w:val="1109"/>
    <w:link w:val="1108"/>
    <w:qFormat/>
    <w:rPr>
      <w:rFonts w:hint="eastAsia" w:ascii="宋体" w:hAnsi="Courier New" w:eastAsia="宋体" w:cs="宋体"/>
      <w:sz w:val="21"/>
    </w:rPr>
  </w:style>
  <w:style w:type="paragraph" w:styleId="1110">
    <w:name w:val="目录 8"/>
    <w:basedOn w:val="1067"/>
    <w:next w:val="1067"/>
    <w:link w:val="1067"/>
    <w:qFormat/>
    <w:pPr>
      <w:ind w:left="2940"/>
    </w:pPr>
  </w:style>
  <w:style w:type="paragraph" w:styleId="1111">
    <w:name w:val="日期"/>
    <w:basedOn w:val="1067"/>
    <w:next w:val="1067"/>
    <w:link w:val="1112"/>
    <w:qFormat/>
    <w:pPr>
      <w:ind w:left="100"/>
    </w:pPr>
    <w:rPr>
      <w:rFonts w:ascii="仿宋_GB2312" w:hAnsi="宋体" w:eastAsia="仿宋_GB2312"/>
      <w:color w:val="000000"/>
      <w:sz w:val="24"/>
    </w:rPr>
  </w:style>
  <w:style w:type="character" w:styleId="1112">
    <w:name w:val="日期 Char"/>
    <w:next w:val="1112"/>
    <w:link w:val="1111"/>
    <w:qFormat/>
    <w:rPr>
      <w:rFonts w:ascii="仿宋_GB2312" w:hAnsi="宋体" w:eastAsia="仿宋_GB2312"/>
      <w:color w:val="000000"/>
      <w:sz w:val="24"/>
      <w:szCs w:val="24"/>
    </w:rPr>
  </w:style>
  <w:style w:type="paragraph" w:styleId="1113">
    <w:name w:val="正文文本缩进 2"/>
    <w:basedOn w:val="1067"/>
    <w:next w:val="1113"/>
    <w:link w:val="1114"/>
    <w:qFormat/>
    <w:pPr>
      <w:ind w:firstLine="480"/>
    </w:pPr>
    <w:rPr>
      <w:rFonts w:ascii="仿宋_GB2312" w:eastAsia="仿宋_GB2312"/>
      <w:sz w:val="24"/>
    </w:rPr>
  </w:style>
  <w:style w:type="character" w:styleId="1114">
    <w:name w:val="正文文本缩进 2 Char"/>
    <w:next w:val="1114"/>
    <w:link w:val="1113"/>
    <w:qFormat/>
    <w:rPr>
      <w:rFonts w:ascii="仿宋_GB2312" w:eastAsia="仿宋_GB2312"/>
      <w:sz w:val="24"/>
      <w:szCs w:val="24"/>
    </w:rPr>
  </w:style>
  <w:style w:type="paragraph" w:styleId="1115">
    <w:name w:val="批注框文本"/>
    <w:basedOn w:val="1067"/>
    <w:next w:val="1115"/>
    <w:link w:val="1116"/>
    <w:qFormat/>
    <w:rPr>
      <w:sz w:val="18"/>
      <w:szCs w:val="18"/>
    </w:rPr>
  </w:style>
  <w:style w:type="character" w:styleId="1116">
    <w:name w:val="批注框文本 Char"/>
    <w:next w:val="1116"/>
    <w:link w:val="1115"/>
    <w:qFormat/>
    <w:rPr>
      <w:sz w:val="18"/>
      <w:szCs w:val="18"/>
    </w:rPr>
  </w:style>
  <w:style w:type="paragraph" w:styleId="1117">
    <w:name w:val="页脚"/>
    <w:basedOn w:val="1067"/>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Char1"/>
    <w:next w:val="1118"/>
    <w:link w:val="1117"/>
    <w:uiPriority w:val="99"/>
    <w:qFormat/>
    <w:rPr>
      <w:rFonts w:ascii="宋体" w:eastAsia="宋体"/>
      <w:sz w:val="18"/>
      <w:lang w:val="en-US" w:eastAsia="zh-CN" w:bidi="ar-SA"/>
    </w:rPr>
  </w:style>
  <w:style w:type="paragraph" w:styleId="1119">
    <w:name w:val="页眉"/>
    <w:basedOn w:val="1067"/>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Char1"/>
    <w:next w:val="1120"/>
    <w:link w:val="1119"/>
    <w:qFormat/>
    <w:rPr>
      <w:rFonts w:eastAsia="宋体"/>
      <w:sz w:val="18"/>
      <w:szCs w:val="18"/>
      <w:lang w:val="en-US" w:eastAsia="zh-CN" w:bidi="ar-SA"/>
    </w:rPr>
  </w:style>
  <w:style w:type="paragraph" w:styleId="1121">
    <w:name w:val="目录 1"/>
    <w:basedOn w:val="1067"/>
    <w:next w:val="1067"/>
    <w:link w:val="1067"/>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7"/>
    <w:next w:val="1067"/>
    <w:link w:val="1067"/>
    <w:qFormat/>
    <w:pPr>
      <w:ind w:left="1260"/>
    </w:pPr>
  </w:style>
  <w:style w:type="paragraph" w:styleId="1123">
    <w:name w:val="副标题"/>
    <w:basedOn w:val="1067"/>
    <w:next w:val="1067"/>
    <w:link w:val="1067"/>
    <w:uiPriority w:val="11"/>
    <w:qFormat/>
    <w:pPr>
      <w:jc w:val="center"/>
      <w:spacing w:before="240" w:after="240"/>
      <w:outlineLvl w:val="1"/>
    </w:pPr>
    <w:rPr>
      <w:rFonts w:ascii="等线 Light" w:hAnsi="等线 Light" w:cs="Times New Roman"/>
      <w:b/>
      <w:bCs/>
      <w:sz w:val="28"/>
      <w:szCs w:val="32"/>
    </w:rPr>
  </w:style>
  <w:style w:type="paragraph" w:styleId="1124">
    <w:name w:val="目录 6"/>
    <w:basedOn w:val="1067"/>
    <w:next w:val="1067"/>
    <w:link w:val="1067"/>
    <w:qFormat/>
    <w:pPr>
      <w:ind w:left="2100"/>
    </w:pPr>
  </w:style>
  <w:style w:type="paragraph" w:styleId="1125">
    <w:name w:val="正文文本缩进 3"/>
    <w:basedOn w:val="1067"/>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67"/>
    <w:next w:val="1067"/>
    <w:link w:val="1067"/>
    <w:uiPriority w:val="39"/>
    <w:qFormat/>
    <w:pPr>
      <w:ind w:left="420"/>
      <w:spacing w:line="312" w:lineRule="auto"/>
      <w:tabs>
        <w:tab w:val="right" w:pos="8937" w:leader="dot"/>
      </w:tabs>
    </w:pPr>
  </w:style>
  <w:style w:type="paragraph" w:styleId="1128">
    <w:name w:val="目录 9"/>
    <w:basedOn w:val="1067"/>
    <w:next w:val="1067"/>
    <w:link w:val="1067"/>
    <w:qFormat/>
    <w:pPr>
      <w:ind w:left="3360"/>
    </w:pPr>
  </w:style>
  <w:style w:type="paragraph" w:styleId="1129">
    <w:name w:val="HTML 预设格式"/>
    <w:basedOn w:val="1067"/>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67"/>
    <w:next w:val="1131"/>
    <w:link w:val="1067"/>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67"/>
    <w:next w:val="1067"/>
    <w:link w:val="1067"/>
    <w:qFormat/>
    <w:rPr>
      <w:szCs w:val="20"/>
    </w:rPr>
  </w:style>
  <w:style w:type="paragraph" w:styleId="1133">
    <w:name w:val="标题"/>
    <w:basedOn w:val="1067"/>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5"/>
    <w:next w:val="1095"/>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w:basedOn w:val="1099"/>
    <w:next w:val="1137"/>
    <w:link w:val="1067"/>
    <w:qFormat/>
    <w:pPr>
      <w:ind w:firstLine="420"/>
      <w:spacing w:after="120"/>
      <w:tabs>
        <w:tab w:val="left" w:pos="567" w:leader="none"/>
      </w:tabs>
    </w:pPr>
    <w:rPr>
      <w:rFonts w:ascii="Times New Roman"/>
      <w:sz w:val="21"/>
    </w:rPr>
  </w:style>
  <w:style w:type="paragraph" w:styleId="1138">
    <w:name w:val="正文首行缩进 2"/>
    <w:basedOn w:val="1101"/>
    <w:next w:val="1067"/>
    <w:link w:val="1139"/>
    <w:qFormat/>
    <w:pPr>
      <w:ind w:left="420" w:firstLine="420"/>
      <w:spacing w:after="120" w:line="480" w:lineRule="exact"/>
    </w:pPr>
    <w:rPr>
      <w:szCs w:val="20"/>
    </w:rPr>
  </w:style>
  <w:style w:type="character" w:styleId="1139">
    <w:name w:val="正文首行缩进 2 Char"/>
    <w:next w:val="1139"/>
    <w:link w:val="1138"/>
    <w:qFormat/>
    <w:rPr>
      <w:rFonts w:eastAsia="宋体"/>
      <w:sz w:val="24"/>
      <w:szCs w:val="24"/>
      <w:lang w:val="en-US" w:eastAsia="zh-CN" w:bidi="ar-SA"/>
    </w:rPr>
  </w:style>
  <w:style w:type="table" w:styleId="1140">
    <w:name w:val="网格型"/>
    <w:basedOn w:val="1078"/>
    <w:next w:val="1140"/>
    <w:link w:val="1067"/>
    <w:uiPriority w:val="39"/>
    <w:qFormat/>
    <w:tblPr/>
  </w:style>
  <w:style w:type="table" w:styleId="1141">
    <w:name w:val="中等深浅网格 1 - 强调文字颜色 2"/>
    <w:basedOn w:val="1078"/>
    <w:next w:val="1141"/>
    <w:link w:val="1067"/>
    <w:qFormat/>
    <w:rPr>
      <w:sz w:val="21"/>
      <w:szCs w:val="24"/>
    </w:rPr>
    <w:tblPr/>
  </w:style>
  <w:style w:type="character" w:styleId="1142">
    <w:name w:val="要点"/>
    <w:next w:val="1142"/>
    <w:link w:val="1067"/>
    <w:qFormat/>
    <w:rPr>
      <w:b/>
      <w:bCs/>
    </w:rPr>
  </w:style>
  <w:style w:type="character" w:styleId="1143">
    <w:name w:val="页码"/>
    <w:next w:val="1143"/>
    <w:link w:val="1067"/>
    <w:qFormat/>
  </w:style>
  <w:style w:type="character" w:styleId="1144">
    <w:name w:val="已访问的超链接"/>
    <w:next w:val="1144"/>
    <w:link w:val="1067"/>
    <w:qFormat/>
    <w:rPr>
      <w:color w:val="333333"/>
      <w:u w:val="none"/>
    </w:rPr>
  </w:style>
  <w:style w:type="character" w:styleId="1145">
    <w:name w:val="强调"/>
    <w:next w:val="1145"/>
    <w:link w:val="1067"/>
    <w:qFormat/>
    <w:rPr>
      <w:color w:val="cc0033"/>
    </w:rPr>
  </w:style>
  <w:style w:type="character" w:styleId="1146">
    <w:name w:val="超链接"/>
    <w:next w:val="1146"/>
    <w:link w:val="1067"/>
    <w:uiPriority w:val="99"/>
    <w:qFormat/>
    <w:rPr>
      <w:color w:val="333333"/>
      <w:u w:val="none"/>
    </w:rPr>
  </w:style>
  <w:style w:type="character" w:styleId="1147">
    <w:name w:val="批注引用"/>
    <w:next w:val="1147"/>
    <w:link w:val="1067"/>
    <w:uiPriority w:val="99"/>
    <w:qFormat/>
    <w:rPr>
      <w:sz w:val="21"/>
      <w:szCs w:val="21"/>
    </w:rPr>
  </w:style>
  <w:style w:type="character" w:styleId="1148">
    <w:name w:val="HTML 引文"/>
    <w:next w:val="1148"/>
    <w:link w:val="1067"/>
    <w:qFormat/>
    <w:rPr>
      <w:i/>
      <w:iCs/>
    </w:rPr>
  </w:style>
  <w:style w:type="paragraph" w:styleId="1149">
    <w:name w:val="正文文本缩进11"/>
    <w:basedOn w:val="1067"/>
    <w:next w:val="1067"/>
    <w:link w:val="1067"/>
    <w:qFormat/>
    <w:pPr>
      <w:ind w:firstLine="570"/>
      <w:spacing w:line="360" w:lineRule="auto"/>
    </w:pPr>
    <w:rPr>
      <w:sz w:val="24"/>
    </w:rPr>
  </w:style>
  <w:style w:type="character" w:styleId="1150">
    <w:name w:val="纯文本 Char1"/>
    <w:next w:val="1150"/>
    <w:link w:val="1067"/>
    <w:qFormat/>
    <w:rPr>
      <w:rFonts w:ascii="宋体" w:hAnsi="Courier New" w:eastAsia="宋体"/>
      <w:sz w:val="21"/>
      <w:lang w:val="en-US" w:eastAsia="zh-CN" w:bidi="ar-SA"/>
    </w:rPr>
  </w:style>
  <w:style w:type="paragraph" w:styleId="1151">
    <w:name w:val="正文首行缩进11"/>
    <w:basedOn w:val="1152"/>
    <w:next w:val="1151"/>
    <w:link w:val="1067"/>
    <w:qFormat/>
    <w:pPr>
      <w:ind w:firstLine="420"/>
      <w:spacing w:before="0" w:after="120" w:line="240" w:lineRule="auto"/>
      <w:tabs>
        <w:tab w:val="left" w:pos="567" w:leader="none"/>
      </w:tabs>
    </w:pPr>
    <w:rPr>
      <w:rFonts w:ascii="Times New Roman" w:hAnsi="Times New Roman"/>
      <w:sz w:val="21"/>
    </w:rPr>
  </w:style>
  <w:style w:type="paragraph" w:styleId="1152">
    <w:name w:val="正文文本111"/>
    <w:basedOn w:val="1067"/>
    <w:next w:val="1152"/>
    <w:link w:val="1067"/>
    <w:qFormat/>
    <w:pPr>
      <w:spacing w:before="120" w:line="22" w:lineRule="atLeast"/>
      <w:tabs>
        <w:tab w:val="left" w:pos="567" w:leader="none"/>
      </w:tabs>
    </w:pPr>
    <w:rPr>
      <w:rFonts w:ascii="宋体" w:hAnsi="宋体"/>
      <w:sz w:val="24"/>
    </w:rPr>
  </w:style>
  <w:style w:type="paragraph" w:styleId="1153">
    <w:name w:val="样式 标题 1 + 宋体 居中 段前: 17 磅 段后: 16.5 磅"/>
    <w:basedOn w:val="1068"/>
    <w:next w:val="1153"/>
    <w:link w:val="1067"/>
    <w:qFormat/>
    <w:pPr>
      <w:ind w:left="840" w:hanging="420"/>
      <w:pageBreakBefore/>
      <w:widowControl/>
      <w:tabs>
        <w:tab w:val="left" w:pos="840" w:leader="none"/>
      </w:tabs>
    </w:pPr>
    <w:rPr>
      <w:rFonts w:ascii="华文中宋" w:hAnsi="华文中宋" w:eastAsia="华文中宋" w:cs="宋体"/>
      <w:sz w:val="28"/>
      <w:szCs w:val="20"/>
    </w:rPr>
  </w:style>
  <w:style w:type="character" w:styleId="1154">
    <w:name w:val="批注文字 字符"/>
    <w:next w:val="1154"/>
    <w:link w:val="1067"/>
    <w:uiPriority w:val="99"/>
    <w:qFormat/>
    <w:rPr>
      <w:rFonts w:ascii="Times New Roman" w:hAnsi="Times New Roman" w:eastAsia="宋体" w:cs="Times New Roman"/>
      <w:sz w:val="24"/>
      <w:lang w:val="en-US" w:eastAsia="zh-CN" w:bidi="ar-SA"/>
    </w:rPr>
  </w:style>
  <w:style w:type="paragraph" w:styleId="1155">
    <w:name w:val="首行缩进"/>
    <w:basedOn w:val="1067"/>
    <w:next w:val="1155"/>
    <w:link w:val="1067"/>
    <w:qFormat/>
    <w:pPr>
      <w:ind w:firstLine="480"/>
    </w:pPr>
    <w:rPr>
      <w:lang w:val="zh-CN"/>
    </w:rPr>
  </w:style>
  <w:style w:type="character" w:styleId="1156">
    <w:name w:val="c21"/>
    <w:next w:val="1156"/>
    <w:link w:val="1067"/>
    <w:qFormat/>
    <w:rPr>
      <w:rFonts w:ascii="ˎ̥" w:hAnsi="ˎ̥"/>
      <w:color w:val="000000"/>
      <w:sz w:val="20"/>
      <w:szCs w:val="20"/>
      <w:u w:val="none"/>
    </w:rPr>
  </w:style>
  <w:style w:type="character" w:styleId="1157">
    <w:name w:val="title4"/>
    <w:next w:val="1157"/>
    <w:link w:val="1067"/>
    <w:qFormat/>
    <w:rPr>
      <w:b/>
      <w:bCs/>
      <w:color w:val="1d87b3"/>
      <w:sz w:val="15"/>
      <w:szCs w:val="15"/>
    </w:rPr>
  </w:style>
  <w:style w:type="character" w:styleId="1158">
    <w:name w:val="标题 2 Char Char"/>
    <w:next w:val="1158"/>
    <w:link w:val="1067"/>
    <w:qFormat/>
    <w:rPr>
      <w:rFonts w:ascii="Arial" w:hAnsi="Arial" w:eastAsia="黑体"/>
      <w:b/>
      <w:bCs/>
      <w:sz w:val="32"/>
      <w:szCs w:val="32"/>
      <w:lang w:val="en-US" w:eastAsia="zh-CN" w:bidi="ar-SA"/>
    </w:rPr>
  </w:style>
  <w:style w:type="character" w:styleId="1159">
    <w:name w:val="black1"/>
    <w:next w:val="1159"/>
    <w:link w:val="1067"/>
    <w:qFormat/>
    <w:rPr>
      <w:color w:val="000000"/>
    </w:rPr>
  </w:style>
  <w:style w:type="character" w:styleId="1160">
    <w:name w:val="street-address"/>
    <w:next w:val="1160"/>
    <w:link w:val="1067"/>
    <w:qFormat/>
  </w:style>
  <w:style w:type="character" w:styleId="1161">
    <w:name w:val="locality"/>
    <w:next w:val="1161"/>
    <w:link w:val="1067"/>
    <w:qFormat/>
  </w:style>
  <w:style w:type="character" w:styleId="1162">
    <w:name w:val="正文文本缩进 Char1"/>
    <w:next w:val="1162"/>
    <w:link w:val="1163"/>
    <w:qFormat/>
    <w:rPr>
      <w:rFonts w:ascii="宋体" w:hAnsi="宋体" w:eastAsia="宋体"/>
      <w:sz w:val="24"/>
      <w:szCs w:val="24"/>
      <w:lang w:bidi="ar-SA"/>
    </w:rPr>
  </w:style>
  <w:style w:type="paragraph" w:styleId="1163">
    <w:name w:val="正文文本缩进1"/>
    <w:basedOn w:val="1067"/>
    <w:next w:val="1163"/>
    <w:link w:val="1162"/>
    <w:qFormat/>
    <w:pPr>
      <w:ind w:firstLine="480"/>
      <w:spacing w:line="480" w:lineRule="exact"/>
    </w:pPr>
    <w:rPr>
      <w:rFonts w:ascii="宋体" w:hAnsi="宋体"/>
      <w:sz w:val="24"/>
    </w:rPr>
  </w:style>
  <w:style w:type="character" w:styleId="1164">
    <w:name w:val="Char Char11"/>
    <w:next w:val="1164"/>
    <w:link w:val="1067"/>
    <w:qFormat/>
    <w:rPr>
      <w:rFonts w:ascii="宋体" w:eastAsia="宋体"/>
      <w:b/>
      <w:sz w:val="24"/>
      <w:u w:val="single"/>
      <w:lang w:val="en-US" w:eastAsia="zh-CN" w:bidi="ar-SA"/>
    </w:rPr>
  </w:style>
  <w:style w:type="character" w:styleId="1165">
    <w:name w:val="txt"/>
    <w:next w:val="1165"/>
    <w:link w:val="1067"/>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1067"/>
    <w:next w:val="1167"/>
    <w:link w:val="1166"/>
    <w:qFormat/>
    <w:pPr>
      <w:ind w:firstLine="567"/>
      <w:spacing w:line="480" w:lineRule="exact"/>
      <w:widowControl/>
    </w:pPr>
    <w:rPr>
      <w:rFonts w:ascii="宋体"/>
      <w:color w:val="000000"/>
      <w:sz w:val="28"/>
      <w:szCs w:val="20"/>
    </w:rPr>
  </w:style>
  <w:style w:type="character" w:styleId="1168">
    <w:name w:val="普通文字1 Char1"/>
    <w:next w:val="1168"/>
    <w:link w:val="1067"/>
    <w:qFormat/>
    <w:rPr>
      <w:rFonts w:ascii="宋体" w:hAnsi="Courier New" w:eastAsia="宋体"/>
      <w:sz w:val="21"/>
      <w:lang w:val="en-US" w:eastAsia="zh-CN" w:bidi="ar-SA"/>
    </w:rPr>
  </w:style>
  <w:style w:type="character" w:styleId="1169">
    <w:name w:val="chanpin1"/>
    <w:next w:val="1169"/>
    <w:link w:val="1067"/>
    <w:qFormat/>
    <w:rPr>
      <w:rFonts w:ascii="ˎ̥" w:hAnsi="ˎ̥"/>
      <w:color w:val="000000"/>
      <w:sz w:val="20"/>
      <w:szCs w:val="20"/>
      <w:u w:val="none"/>
    </w:rPr>
  </w:style>
  <w:style w:type="character" w:styleId="1170">
    <w:name w:val="列出段落 Char1"/>
    <w:next w:val="1170"/>
    <w:link w:val="1171"/>
    <w:uiPriority w:val="34"/>
    <w:qFormat/>
    <w:rPr>
      <w:rFonts w:ascii="Calibri" w:hAnsi="Calibri" w:eastAsia="宋体"/>
      <w:sz w:val="21"/>
      <w:szCs w:val="22"/>
      <w:lang w:val="en-US" w:eastAsia="zh-CN" w:bidi="ar-SA"/>
    </w:rPr>
  </w:style>
  <w:style w:type="paragraph" w:styleId="1171">
    <w:name w:val="列出段落"/>
    <w:basedOn w:val="1067"/>
    <w:next w:val="1171"/>
    <w:link w:val="1170"/>
    <w:uiPriority w:val="34"/>
    <w:qFormat/>
    <w:pPr>
      <w:ind w:firstLine="420"/>
    </w:pPr>
    <w:rPr>
      <w:rFonts w:ascii="Calibri" w:hAnsi="Calibri"/>
      <w:szCs w:val="22"/>
    </w:rPr>
  </w:style>
  <w:style w:type="character" w:styleId="1172">
    <w:name w:val="标题 3 Char Char"/>
    <w:next w:val="1172"/>
    <w:link w:val="1067"/>
    <w:qFormat/>
    <w:rPr>
      <w:rFonts w:eastAsia="宋体"/>
      <w:b/>
      <w:bCs/>
      <w:sz w:val="32"/>
      <w:szCs w:val="32"/>
      <w:lang w:val="en-US" w:eastAsia="zh-CN" w:bidi="ar-SA"/>
    </w:rPr>
  </w:style>
  <w:style w:type="character" w:styleId="1173">
    <w:name w:val="段1 Char"/>
    <w:next w:val="1173"/>
    <w:link w:val="1067"/>
    <w:qFormat/>
    <w:rPr>
      <w:rFonts w:ascii="宋体" w:eastAsia="宋体"/>
      <w:sz w:val="24"/>
      <w:lang w:val="en-US" w:eastAsia="zh-CN" w:bidi="ar-SA"/>
    </w:rPr>
  </w:style>
  <w:style w:type="character" w:styleId="1174">
    <w:name w:val="chanpin拷贝"/>
    <w:next w:val="1174"/>
    <w:link w:val="1067"/>
    <w:qFormat/>
  </w:style>
  <w:style w:type="character" w:styleId="1175">
    <w:name w:val="apple-style-span"/>
    <w:next w:val="1175"/>
    <w:link w:val="1067"/>
    <w:qFormat/>
    <w:rPr>
      <w:rFonts w:cs="Times New Roman"/>
    </w:rPr>
  </w:style>
  <w:style w:type="paragraph" w:styleId="1176">
    <w:name w:val="二级条标题"/>
    <w:basedOn w:val="1177"/>
    <w:next w:val="1067"/>
    <w:link w:val="1067"/>
    <w:qFormat/>
    <w:pPr>
      <w:numPr>
        <w:ilvl w:val="0"/>
        <w:numId w:val="0"/>
      </w:numPr>
      <w:ind w:hanging="840"/>
      <w:tabs>
        <w:tab w:val="left" w:pos="360" w:leader="none"/>
        <w:tab w:val="left" w:pos="840" w:leader="none"/>
      </w:tabs>
      <w:outlineLvl w:val="2"/>
    </w:pPr>
    <w:rPr>
      <w:rFonts w:ascii="宋体" w:eastAsia="宋体"/>
      <w:b w:val="0"/>
    </w:rPr>
  </w:style>
  <w:style w:type="paragraph" w:styleId="1177">
    <w:name w:val="一级条标题"/>
    <w:basedOn w:val="1178"/>
    <w:next w:val="1067"/>
    <w:link w:val="1067"/>
    <w:qFormat/>
    <w:pPr>
      <w:numPr>
        <w:ilvl w:val="1"/>
      </w:numPr>
      <w:ind w:left="0" w:hanging="840"/>
      <w:tabs>
        <w:tab w:val="left" w:pos="360" w:leader="none"/>
        <w:tab w:val="left" w:pos="840" w:leader="none"/>
      </w:tabs>
      <w:outlineLvl w:val="1"/>
    </w:pPr>
  </w:style>
  <w:style w:type="paragraph" w:styleId="1178">
    <w:name w:val="章标题"/>
    <w:next w:val="1067"/>
    <w:link w:val="106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9">
    <w:name w:val="font7"/>
    <w:basedOn w:val="1067"/>
    <w:next w:val="1179"/>
    <w:link w:val="1067"/>
    <w:qFormat/>
    <w:pPr>
      <w:jc w:val="left"/>
      <w:spacing w:before="100" w:beforeAutospacing="1" w:after="100" w:afterAutospacing="1"/>
      <w:widowControl/>
    </w:pPr>
    <w:rPr>
      <w:rFonts w:eastAsia="Arial Unicode MS"/>
      <w:b/>
      <w:bCs/>
      <w:color w:val="000000"/>
      <w:sz w:val="20"/>
      <w:szCs w:val="20"/>
    </w:rPr>
  </w:style>
  <w:style w:type="paragraph" w:styleId="1180">
    <w:name w:val="字元 字元"/>
    <w:basedOn w:val="1067"/>
    <w:next w:val="1180"/>
    <w:link w:val="1067"/>
    <w:qFormat/>
    <w:rPr>
      <w:rFonts w:ascii="Tahoma" w:hAnsi="Tahoma"/>
      <w:sz w:val="24"/>
      <w:szCs w:val="20"/>
    </w:rPr>
  </w:style>
  <w:style w:type="paragraph" w:styleId="1181">
    <w:name w:val="Char3 Char Char Char"/>
    <w:basedOn w:val="1067"/>
    <w:next w:val="1181"/>
    <w:link w:val="1067"/>
    <w:qFormat/>
    <w:rPr>
      <w:rFonts w:ascii="Tahoma" w:hAnsi="Tahoma"/>
      <w:sz w:val="24"/>
      <w:szCs w:val="20"/>
    </w:rPr>
  </w:style>
  <w:style w:type="paragraph" w:styleId="1182">
    <w:name w:val="font6"/>
    <w:basedOn w:val="1067"/>
    <w:next w:val="1182"/>
    <w:link w:val="1067"/>
    <w:qFormat/>
    <w:pPr>
      <w:jc w:val="left"/>
      <w:spacing w:before="100" w:beforeAutospacing="1" w:after="100" w:afterAutospacing="1"/>
      <w:widowControl/>
    </w:pPr>
    <w:rPr>
      <w:rFonts w:ascii="宋体" w:hAnsi="宋体" w:cs="宋体"/>
      <w:sz w:val="20"/>
      <w:szCs w:val="20"/>
    </w:rPr>
  </w:style>
  <w:style w:type="paragraph" w:styleId="1183">
    <w:name w:val="项目编号2"/>
    <w:basedOn w:val="1184"/>
    <w:next w:val="1183"/>
    <w:link w:val="1067"/>
    <w:qFormat/>
    <w:pPr>
      <w:numPr>
        <w:numId w:val="3"/>
      </w:numPr>
    </w:pPr>
  </w:style>
  <w:style w:type="paragraph" w:styleId="1184">
    <w:name w:val="项目编号1"/>
    <w:basedOn w:val="1067"/>
    <w:next w:val="1184"/>
    <w:link w:val="1067"/>
    <w:qFormat/>
    <w:pPr>
      <w:numPr>
        <w:ilvl w:val="0"/>
        <w:numId w:val="2"/>
      </w:numPr>
      <w:spacing w:before="100" w:beforeAutospacing="1" w:after="100" w:afterAutospacing="1" w:line="360" w:lineRule="auto"/>
    </w:pPr>
    <w:rPr>
      <w:sz w:val="24"/>
    </w:rPr>
  </w:style>
  <w:style w:type="paragraph" w:styleId="1185">
    <w:name w:val="图中文字"/>
    <w:basedOn w:val="1067"/>
    <w:next w:val="1185"/>
    <w:link w:val="1067"/>
    <w:qFormat/>
    <w:pPr>
      <w:jc w:val="center"/>
      <w:spacing w:line="0" w:lineRule="atLeast"/>
    </w:pPr>
    <w:rPr>
      <w:sz w:val="24"/>
      <w:szCs w:val="20"/>
    </w:rPr>
  </w:style>
  <w:style w:type="paragraph" w:styleId="1186">
    <w:name w:val="xl46"/>
    <w:basedOn w:val="1067"/>
    <w:next w:val="1186"/>
    <w:link w:val="106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7">
    <w:name w:val="xl25"/>
    <w:basedOn w:val="1067"/>
    <w:next w:val="1187"/>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Char2"/>
    <w:basedOn w:val="1067"/>
    <w:next w:val="1188"/>
    <w:link w:val="1067"/>
    <w:qFormat/>
    <w:rPr>
      <w:rFonts w:ascii="Tahoma" w:hAnsi="Tahoma"/>
      <w:sz w:val="24"/>
      <w:szCs w:val="20"/>
    </w:rPr>
  </w:style>
  <w:style w:type="paragraph" w:styleId="1189">
    <w:name w:val="xl35"/>
    <w:basedOn w:val="1067"/>
    <w:next w:val="1189"/>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xl40"/>
    <w:basedOn w:val="1067"/>
    <w:next w:val="1190"/>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52"/>
    <w:basedOn w:val="1067"/>
    <w:next w:val="1191"/>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2">
    <w:name w:val="xl43"/>
    <w:basedOn w:val="1067"/>
    <w:next w:val="1192"/>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name w:val="background1"/>
    <w:basedOn w:val="1067"/>
    <w:next w:val="1193"/>
    <w:link w:val="1067"/>
    <w:qFormat/>
    <w:pPr>
      <w:jc w:val="left"/>
      <w:spacing w:before="100" w:beforeAutospacing="1" w:after="100" w:afterAutospacing="1"/>
      <w:widowControl/>
    </w:pPr>
    <w:rPr>
      <w:rFonts w:ascii="宋体" w:hAnsi="宋体" w:cs="宋体"/>
      <w:sz w:val="24"/>
    </w:rPr>
  </w:style>
  <w:style w:type="paragraph" w:styleId="1194">
    <w:name w:val="Char Char Char Char Char Char Char"/>
    <w:basedOn w:val="1067"/>
    <w:next w:val="1194"/>
    <w:link w:val="1067"/>
    <w:qFormat/>
    <w:pPr>
      <w:ind w:firstLine="200"/>
      <w:spacing w:line="360" w:lineRule="auto"/>
    </w:pPr>
    <w:rPr>
      <w:rFonts w:eastAsia="仿宋_GB2312"/>
      <w:sz w:val="24"/>
    </w:rPr>
  </w:style>
  <w:style w:type="paragraph" w:styleId="1195">
    <w:name w:val="xl38"/>
    <w:basedOn w:val="1067"/>
    <w:next w:val="1195"/>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6">
    <w:name w:val="xl36"/>
    <w:basedOn w:val="1067"/>
    <w:next w:val="1196"/>
    <w:link w:val="106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正文 + 宋体"/>
    <w:basedOn w:val="1067"/>
    <w:next w:val="1197"/>
    <w:link w:val="1067"/>
    <w:qFormat/>
    <w:pPr>
      <w:ind w:left="360" w:hanging="360"/>
      <w:jc w:val="left"/>
      <w:widowControl/>
    </w:pPr>
    <w:rPr>
      <w:rFonts w:ascii="宋体" w:hAnsi="宋体" w:cs="宋体"/>
      <w:b/>
      <w:bCs/>
      <w:color w:val="000000"/>
      <w:sz w:val="18"/>
      <w:szCs w:val="18"/>
    </w:rPr>
  </w:style>
  <w:style w:type="paragraph" w:styleId="1198">
    <w:name w:val="正文列项_数字"/>
    <w:basedOn w:val="1067"/>
    <w:next w:val="1198"/>
    <w:link w:val="1067"/>
    <w:qFormat/>
    <w:pPr>
      <w:numPr>
        <w:ilvl w:val="7"/>
        <w:numId w:val="1"/>
      </w:numPr>
      <w:ind w:left="680" w:hanging="150"/>
      <w:spacing w:line="460" w:lineRule="exact"/>
      <w:tabs>
        <w:tab w:val="clear" w:pos="860" w:leader="none"/>
      </w:tabs>
      <w:outlineLvl w:val="7"/>
    </w:pPr>
    <w:rPr>
      <w:rFonts w:ascii="宋体"/>
      <w:sz w:val="28"/>
      <w:szCs w:val="20"/>
    </w:rPr>
  </w:style>
  <w:style w:type="paragraph" w:styleId="1199">
    <w:name w:val="xl39"/>
    <w:basedOn w:val="1067"/>
    <w:next w:val="119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37"/>
    <w:basedOn w:val="1067"/>
    <w:next w:val="1200"/>
    <w:link w:val="106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name w:val="xl32"/>
    <w:basedOn w:val="1067"/>
    <w:next w:val="1201"/>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font8"/>
    <w:basedOn w:val="1067"/>
    <w:next w:val="1202"/>
    <w:link w:val="1067"/>
    <w:qFormat/>
    <w:pPr>
      <w:jc w:val="left"/>
      <w:spacing w:before="100" w:beforeAutospacing="1" w:after="100" w:afterAutospacing="1"/>
      <w:widowControl/>
    </w:pPr>
    <w:rPr>
      <w:sz w:val="36"/>
      <w:szCs w:val="36"/>
    </w:rPr>
  </w:style>
  <w:style w:type="paragraph" w:styleId="1203">
    <w:name w:val="Char"/>
    <w:basedOn w:val="1067"/>
    <w:next w:val="1203"/>
    <w:link w:val="1067"/>
    <w:qFormat/>
    <w:pPr>
      <w:tabs>
        <w:tab w:val="left" w:pos="360" w:leader="none"/>
      </w:tabs>
    </w:pPr>
    <w:rPr>
      <w:sz w:val="24"/>
    </w:rPr>
  </w:style>
  <w:style w:type="paragraph" w:styleId="1204">
    <w:name w:val="Char Char Char Char Char Char Char Char Char Char Char Char Char Char Char Char"/>
    <w:basedOn w:val="1067"/>
    <w:next w:val="1204"/>
    <w:link w:val="1067"/>
    <w:qFormat/>
    <w:pPr>
      <w:jc w:val="center"/>
      <w:spacing w:after="160" w:line="240" w:lineRule="exact"/>
      <w:widowControl/>
    </w:pPr>
    <w:rPr>
      <w:rFonts w:ascii="宋体" w:hAnsi="宋体"/>
      <w:b/>
      <w:sz w:val="30"/>
      <w:szCs w:val="30"/>
      <w:lang w:eastAsia="en-US"/>
    </w:rPr>
  </w:style>
  <w:style w:type="paragraph" w:styleId="1205">
    <w:name w:val="xl45"/>
    <w:basedOn w:val="1067"/>
    <w:next w:val="1205"/>
    <w:link w:val="106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6">
    <w:name w:val="Char Char1 Char Char Char Char Char Char"/>
    <w:basedOn w:val="1067"/>
    <w:next w:val="1206"/>
    <w:link w:val="1067"/>
    <w:qFormat/>
    <w:pPr>
      <w:jc w:val="left"/>
      <w:spacing w:after="160" w:line="240" w:lineRule="exact"/>
      <w:widowControl/>
    </w:pPr>
    <w:rPr>
      <w:rFonts w:ascii="Verdana" w:hAnsi="Verdana" w:eastAsia="仿宋_GB2312"/>
      <w:sz w:val="24"/>
      <w:szCs w:val="20"/>
      <w:lang w:eastAsia="en-US"/>
    </w:rPr>
  </w:style>
  <w:style w:type="paragraph" w:styleId="1207">
    <w:name w:val="Char Char1"/>
    <w:basedOn w:val="1093"/>
    <w:next w:val="1207"/>
    <w:link w:val="1067"/>
    <w:qFormat/>
    <w:rPr>
      <w:rFonts w:ascii="Tahoma" w:hAnsi="Tahoma"/>
      <w:sz w:val="24"/>
    </w:rPr>
  </w:style>
  <w:style w:type="paragraph" w:styleId="1208">
    <w:name w:val="xl26"/>
    <w:basedOn w:val="1067"/>
    <w:next w:val="1208"/>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9">
    <w:name w:val="xl30"/>
    <w:basedOn w:val="1067"/>
    <w:next w:val="1209"/>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41"/>
    <w:basedOn w:val="1067"/>
    <w:next w:val="1210"/>
    <w:link w:val="106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1">
    <w:name w:val="样式 宋体 五号 行距: 单倍行距"/>
    <w:basedOn w:val="1067"/>
    <w:next w:val="1211"/>
    <w:link w:val="1067"/>
    <w:qFormat/>
    <w:pPr>
      <w:jc w:val="left"/>
    </w:pPr>
    <w:rPr>
      <w:rFonts w:ascii="宋体" w:hAnsi="宋体"/>
      <w:szCs w:val="20"/>
    </w:rPr>
  </w:style>
  <w:style w:type="paragraph" w:styleId="1212">
    <w:name w:val="Char1 Char Char Char1"/>
    <w:basedOn w:val="1067"/>
    <w:next w:val="1212"/>
    <w:link w:val="1067"/>
    <w:qFormat/>
    <w:rPr>
      <w:rFonts w:ascii="Tahoma" w:hAnsi="Tahoma" w:cs="仿宋_GB2312"/>
      <w:sz w:val="24"/>
      <w:szCs w:val="28"/>
    </w:rPr>
  </w:style>
  <w:style w:type="paragraph" w:styleId="1213">
    <w:name w:val="四级条标题"/>
    <w:basedOn w:val="1214"/>
    <w:next w:val="1067"/>
    <w:link w:val="1067"/>
    <w:qFormat/>
    <w:pPr>
      <w:numPr>
        <w:ilvl w:val="4"/>
      </w:numPr>
      <w:ind w:left="0" w:hanging="840"/>
      <w:tabs>
        <w:tab w:val="left" w:pos="360" w:leader="none"/>
        <w:tab w:val="left" w:pos="840" w:leader="none"/>
      </w:tabs>
      <w:outlineLvl w:val="4"/>
    </w:pPr>
  </w:style>
  <w:style w:type="paragraph" w:styleId="1214">
    <w:name w:val="三级条标题"/>
    <w:basedOn w:val="1176"/>
    <w:next w:val="1067"/>
    <w:link w:val="1067"/>
    <w:qFormat/>
    <w:pPr>
      <w:numPr>
        <w:ilvl w:val="3"/>
        <w:numId w:val="1"/>
      </w:numPr>
      <w:ind w:left="0" w:hanging="840"/>
      <w:tabs>
        <w:tab w:val="left" w:pos="360" w:leader="none"/>
        <w:tab w:val="left" w:pos="840" w:leader="none"/>
      </w:tabs>
      <w:outlineLvl w:val="3"/>
    </w:pPr>
  </w:style>
  <w:style w:type="paragraph" w:styleId="1215">
    <w:name w:val="??"/>
    <w:next w:val="1215"/>
    <w:link w:val="1067"/>
    <w:qFormat/>
    <w:pPr>
      <w:jc w:val="both"/>
      <w:widowControl w:val="off"/>
    </w:pPr>
    <w:rPr>
      <w:sz w:val="21"/>
      <w:lang w:val="en-US" w:eastAsia="en-US" w:bidi="ar-SA"/>
    </w:rPr>
  </w:style>
  <w:style w:type="paragraph" w:styleId="1216">
    <w:name w:val="样式 标题 2 + 宋体 五号 行距: 单倍行距"/>
    <w:basedOn w:val="1069"/>
    <w:next w:val="1216"/>
    <w:link w:val="106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7">
    <w:name w:val="List Paragraph1"/>
    <w:basedOn w:val="1067"/>
    <w:next w:val="1217"/>
    <w:link w:val="1067"/>
    <w:qFormat/>
    <w:pPr>
      <w:ind w:firstLine="420"/>
    </w:pPr>
    <w:rPr>
      <w:rFonts w:ascii="Calibri" w:hAnsi="Calibri"/>
      <w:szCs w:val="22"/>
    </w:rPr>
  </w:style>
  <w:style w:type="paragraph" w:styleId="1218">
    <w:name w:val="项目符号1"/>
    <w:basedOn w:val="1219"/>
    <w:next w:val="1218"/>
    <w:link w:val="1067"/>
    <w:qFormat/>
    <w:pPr>
      <w:ind w:left="-25" w:firstLine="0"/>
    </w:pPr>
  </w:style>
  <w:style w:type="paragraph" w:styleId="1219">
    <w:name w:val="正文文本样式"/>
    <w:basedOn w:val="1067"/>
    <w:next w:val="1219"/>
    <w:link w:val="1067"/>
    <w:qFormat/>
    <w:pPr>
      <w:ind w:firstLine="482"/>
      <w:spacing w:line="360" w:lineRule="auto"/>
    </w:pPr>
    <w:rPr>
      <w:rFonts w:cs="宋体"/>
      <w:sz w:val="24"/>
      <w:szCs w:val="20"/>
    </w:rPr>
  </w:style>
  <w:style w:type="paragraph" w:styleId="1220">
    <w:name w:val="xl27"/>
    <w:basedOn w:val="1067"/>
    <w:next w:val="1220"/>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font5"/>
    <w:basedOn w:val="1067"/>
    <w:next w:val="1221"/>
    <w:link w:val="1067"/>
    <w:qFormat/>
    <w:pPr>
      <w:jc w:val="left"/>
      <w:spacing w:before="100" w:beforeAutospacing="1" w:after="100" w:afterAutospacing="1"/>
      <w:widowControl/>
    </w:pPr>
    <w:rPr>
      <w:rFonts w:ascii="宋体" w:hAnsi="宋体" w:cs="宋体"/>
      <w:sz w:val="18"/>
      <w:szCs w:val="18"/>
    </w:rPr>
  </w:style>
  <w:style w:type="paragraph" w:styleId="1222">
    <w:name w:val="五级条标题"/>
    <w:basedOn w:val="1213"/>
    <w:next w:val="1067"/>
    <w:link w:val="1067"/>
    <w:qFormat/>
    <w:pPr>
      <w:numPr>
        <w:ilvl w:val="5"/>
      </w:numPr>
      <w:ind w:left="0" w:hanging="840"/>
      <w:tabs>
        <w:tab w:val="left" w:pos="360" w:leader="none"/>
        <w:tab w:val="left" w:pos="840" w:leader="none"/>
      </w:tabs>
      <w:outlineLvl w:val="5"/>
    </w:pPr>
  </w:style>
  <w:style w:type="paragraph" w:styleId="1223">
    <w:name w:val="xl49"/>
    <w:basedOn w:val="1067"/>
    <w:next w:val="1223"/>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文档正文"/>
    <w:basedOn w:val="1067"/>
    <w:next w:val="1224"/>
    <w:link w:val="1067"/>
    <w:qFormat/>
    <w:pPr>
      <w:spacing w:before="120" w:after="120" w:line="180" w:lineRule="auto"/>
    </w:pPr>
    <w:rPr>
      <w:rFonts w:ascii="Arial" w:hAnsi="Arial"/>
      <w:szCs w:val="20"/>
    </w:rPr>
  </w:style>
  <w:style w:type="paragraph" w:styleId="1225">
    <w:name w:val="xl33"/>
    <w:basedOn w:val="1067"/>
    <w:next w:val="1225"/>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xl42"/>
    <w:basedOn w:val="1067"/>
    <w:next w:val="1226"/>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7">
    <w:name w:val="Char Char Char1 Char"/>
    <w:basedOn w:val="1067"/>
    <w:next w:val="1227"/>
    <w:link w:val="1067"/>
    <w:qFormat/>
    <w:rPr>
      <w:rFonts w:ascii="Tahoma" w:hAnsi="Tahoma"/>
      <w:sz w:val="24"/>
      <w:szCs w:val="20"/>
    </w:rPr>
  </w:style>
  <w:style w:type="paragraph" w:styleId="1228">
    <w:name w:val="xl44"/>
    <w:basedOn w:val="1067"/>
    <w:next w:val="1228"/>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9">
    <w:name w:val="1名"/>
    <w:basedOn w:val="1067"/>
    <w:next w:val="1229"/>
    <w:link w:val="1067"/>
    <w:qFormat/>
    <w:pPr>
      <w:numPr>
        <w:ilvl w:val="0"/>
        <w:numId w:val="5"/>
      </w:numPr>
      <w:spacing w:before="120"/>
      <w:tabs>
        <w:tab w:val="left" w:pos="360" w:leader="none"/>
      </w:tabs>
    </w:pPr>
    <w:rPr>
      <w:rFonts w:ascii="宋体"/>
      <w:sz w:val="28"/>
      <w:szCs w:val="20"/>
    </w:rPr>
  </w:style>
  <w:style w:type="paragraph" w:styleId="1230">
    <w:name w:val="font9"/>
    <w:basedOn w:val="1067"/>
    <w:next w:val="1230"/>
    <w:link w:val="1067"/>
    <w:qFormat/>
    <w:pPr>
      <w:jc w:val="left"/>
      <w:spacing w:before="100" w:beforeAutospacing="1" w:after="100" w:afterAutospacing="1"/>
      <w:widowControl/>
    </w:pPr>
    <w:rPr>
      <w:rFonts w:hint="eastAsia" w:ascii="宋体" w:hAnsi="宋体" w:cs="Arial Unicode MS"/>
      <w:color w:val="000000"/>
      <w:sz w:val="20"/>
      <w:szCs w:val="20"/>
    </w:rPr>
  </w:style>
  <w:style w:type="paragraph" w:styleId="1231">
    <w:name w:val="Char Char Char1 Char1"/>
    <w:basedOn w:val="1067"/>
    <w:next w:val="1231"/>
    <w:link w:val="1067"/>
    <w:qFormat/>
    <w:rPr>
      <w:rFonts w:ascii="Tahoma" w:hAnsi="Tahoma"/>
      <w:sz w:val="24"/>
      <w:szCs w:val="20"/>
    </w:rPr>
  </w:style>
  <w:style w:type="paragraph" w:styleId="1232">
    <w:name w:val="Char Char Char Char Char Char Char Char Char Char"/>
    <w:basedOn w:val="1067"/>
    <w:next w:val="1232"/>
    <w:link w:val="1067"/>
    <w:qFormat/>
  </w:style>
  <w:style w:type="paragraph" w:styleId="1233">
    <w:name w:val="Char Char1 Char Char Char Char Char Char Char Char"/>
    <w:basedOn w:val="1067"/>
    <w:next w:val="1233"/>
    <w:link w:val="1067"/>
    <w:qFormat/>
    <w:pPr>
      <w:jc w:val="left"/>
      <w:spacing w:after="160" w:line="240" w:lineRule="exact"/>
      <w:widowControl/>
    </w:pPr>
    <w:rPr>
      <w:rFonts w:ascii="Verdana" w:hAnsi="Verdana"/>
      <w:sz w:val="20"/>
      <w:szCs w:val="20"/>
      <w:lang w:eastAsia="en-US"/>
    </w:rPr>
  </w:style>
  <w:style w:type="paragraph" w:styleId="1234">
    <w:name w:val="Char1"/>
    <w:basedOn w:val="1067"/>
    <w:next w:val="1234"/>
    <w:link w:val="1067"/>
    <w:qFormat/>
    <w:pPr>
      <w:tabs>
        <w:tab w:val="left" w:pos="360" w:leader="none"/>
      </w:tabs>
    </w:pPr>
    <w:rPr>
      <w:sz w:val="24"/>
    </w:rPr>
  </w:style>
  <w:style w:type="paragraph" w:styleId="1235">
    <w:name w:val="正文列项_字母"/>
    <w:basedOn w:val="1067"/>
    <w:next w:val="1235"/>
    <w:link w:val="1067"/>
    <w:qFormat/>
    <w:pPr>
      <w:numPr>
        <w:ilvl w:val="6"/>
        <w:numId w:val="1"/>
      </w:numPr>
      <w:ind w:left="480" w:hanging="180"/>
      <w:spacing w:line="460" w:lineRule="exact"/>
      <w:tabs>
        <w:tab w:val="clear" w:pos="635" w:leader="none"/>
      </w:tabs>
      <w:outlineLvl w:val="6"/>
    </w:pPr>
    <w:rPr>
      <w:rFonts w:ascii="宋体"/>
      <w:sz w:val="28"/>
      <w:szCs w:val="20"/>
    </w:rPr>
  </w:style>
  <w:style w:type="paragraph" w:styleId="1236">
    <w:name w:val="xl28"/>
    <w:basedOn w:val="1067"/>
    <w:next w:val="1236"/>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47"/>
    <w:basedOn w:val="1067"/>
    <w:next w:val="1237"/>
    <w:link w:val="106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默认段落字体 Para Char Char Char Char"/>
    <w:basedOn w:val="1067"/>
    <w:next w:val="1238"/>
    <w:link w:val="1067"/>
    <w:qFormat/>
    <w:rPr>
      <w:rFonts w:ascii="Arial" w:hAnsi="Arial" w:cs="Arial"/>
      <w:szCs w:val="21"/>
    </w:rPr>
  </w:style>
  <w:style w:type="paragraph" w:styleId="1239">
    <w:name w:val="xl48"/>
    <w:basedOn w:val="1067"/>
    <w:next w:val="1239"/>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0">
    <w:name w:val="xl31"/>
    <w:basedOn w:val="1067"/>
    <w:next w:val="1240"/>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xl53"/>
    <w:basedOn w:val="1067"/>
    <w:next w:val="1241"/>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Char Char Char"/>
    <w:basedOn w:val="1067"/>
    <w:next w:val="1242"/>
    <w:link w:val="1067"/>
    <w:qFormat/>
    <w:rPr>
      <w:rFonts w:ascii="Tahoma" w:hAnsi="Tahoma"/>
      <w:sz w:val="24"/>
      <w:szCs w:val="20"/>
    </w:rPr>
  </w:style>
  <w:style w:type="paragraph" w:styleId="1243">
    <w:name w:val="xl50"/>
    <w:basedOn w:val="1067"/>
    <w:next w:val="1243"/>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4">
    <w:name w:val="缺省文本"/>
    <w:basedOn w:val="1067"/>
    <w:next w:val="1244"/>
    <w:link w:val="1067"/>
    <w:qFormat/>
    <w:pPr>
      <w:jc w:val="left"/>
    </w:pPr>
    <w:rPr>
      <w:sz w:val="24"/>
    </w:rPr>
  </w:style>
  <w:style w:type="paragraph" w:styleId="1245">
    <w:name w:val="Char Char Char1"/>
    <w:basedOn w:val="1067"/>
    <w:next w:val="1245"/>
    <w:link w:val="1067"/>
    <w:qFormat/>
    <w:rPr>
      <w:rFonts w:ascii="Tahoma" w:hAnsi="Tahoma"/>
      <w:sz w:val="24"/>
      <w:szCs w:val="20"/>
    </w:rPr>
  </w:style>
  <w:style w:type="paragraph" w:styleId="1246">
    <w:name w:val="Char Char Char Char Char Char Char1"/>
    <w:basedOn w:val="1067"/>
    <w:next w:val="1246"/>
    <w:link w:val="1067"/>
    <w:qFormat/>
    <w:pPr>
      <w:ind w:firstLine="200"/>
      <w:spacing w:line="360" w:lineRule="auto"/>
    </w:pPr>
    <w:rPr>
      <w:rFonts w:eastAsia="仿宋_GB2312"/>
      <w:sz w:val="24"/>
    </w:rPr>
  </w:style>
  <w:style w:type="paragraph" w:styleId="1247">
    <w:name w:val="xl51"/>
    <w:basedOn w:val="1067"/>
    <w:next w:val="1247"/>
    <w:link w:val="106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样式2"/>
    <w:basedOn w:val="1132"/>
    <w:next w:val="1248"/>
    <w:link w:val="1067"/>
    <w:qFormat/>
    <w:pPr>
      <w:jc w:val="center"/>
      <w:spacing w:line="360" w:lineRule="auto"/>
    </w:pPr>
    <w:rPr>
      <w:sz w:val="24"/>
    </w:rPr>
  </w:style>
  <w:style w:type="paragraph" w:styleId="1249">
    <w:name w:val="xl24"/>
    <w:basedOn w:val="1067"/>
    <w:next w:val="1249"/>
    <w:link w:val="10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xl29"/>
    <w:basedOn w:val="1067"/>
    <w:next w:val="1250"/>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正文 + 楷体_GB2312"/>
    <w:basedOn w:val="1067"/>
    <w:next w:val="1251"/>
    <w:link w:val="1067"/>
    <w:qFormat/>
    <w:pPr>
      <w:jc w:val="left"/>
      <w:widowControl/>
    </w:pPr>
    <w:rPr>
      <w:rFonts w:ascii="楷体_GB2312" w:eastAsia="楷体_GB2312" w:cs="Arial"/>
      <w:sz w:val="24"/>
    </w:rPr>
  </w:style>
  <w:style w:type="paragraph" w:styleId="1252">
    <w:name w:val="xl34"/>
    <w:basedOn w:val="1067"/>
    <w:next w:val="1252"/>
    <w:link w:val="106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3">
    <w:name w:val="1 Char Char Char Char"/>
    <w:basedOn w:val="1067"/>
    <w:next w:val="1253"/>
    <w:link w:val="1067"/>
    <w:qFormat/>
    <w:rPr>
      <w:rFonts w:ascii="Tahoma" w:hAnsi="Tahoma"/>
      <w:sz w:val="24"/>
      <w:szCs w:val="20"/>
    </w:rPr>
  </w:style>
  <w:style w:type="paragraph" w:styleId="1254">
    <w:name w:val="Default"/>
    <w:next w:val="1254"/>
    <w:link w:val="1067"/>
    <w:qFormat/>
    <w:pPr>
      <w:widowControl w:val="off"/>
    </w:pPr>
    <w:rPr>
      <w:rFonts w:ascii="Symbol" w:hAnsi="Symbol" w:cs="Symbol"/>
      <w:color w:val="000000"/>
      <w:sz w:val="24"/>
      <w:szCs w:val="24"/>
      <w:lang w:val="en-US" w:eastAsia="zh-CN" w:bidi="ar-SA"/>
    </w:rPr>
  </w:style>
  <w:style w:type="paragraph" w:styleId="1255">
    <w:name w:val="列出段落1"/>
    <w:basedOn w:val="1067"/>
    <w:next w:val="1255"/>
    <w:link w:val="1067"/>
    <w:qFormat/>
    <w:pPr>
      <w:ind w:firstLine="420"/>
    </w:pPr>
    <w:rPr>
      <w:rFonts w:ascii="Calibri" w:hAnsi="Calibri"/>
      <w:szCs w:val="22"/>
    </w:rPr>
  </w:style>
  <w:style w:type="paragraph" w:styleId="1256">
    <w:name w:val="default"/>
    <w:basedOn w:val="1067"/>
    <w:next w:val="1256"/>
    <w:link w:val="1067"/>
    <w:qFormat/>
    <w:pPr>
      <w:jc w:val="left"/>
      <w:spacing w:before="100" w:beforeAutospacing="1" w:after="100" w:afterAutospacing="1"/>
      <w:widowControl/>
    </w:pPr>
    <w:rPr>
      <w:rFonts w:ascii="宋体" w:hAnsi="宋体" w:cs="宋体"/>
      <w:sz w:val="24"/>
    </w:rPr>
  </w:style>
  <w:style w:type="paragraph" w:styleId="1257">
    <w:name w:val="字元 字元1"/>
    <w:basedOn w:val="1067"/>
    <w:next w:val="1257"/>
    <w:link w:val="1067"/>
    <w:qFormat/>
    <w:rPr>
      <w:rFonts w:ascii="Tahoma" w:hAnsi="Tahoma"/>
      <w:sz w:val="24"/>
      <w:szCs w:val="20"/>
    </w:rPr>
  </w:style>
  <w:style w:type="paragraph" w:styleId="1258">
    <w:name w:val="_Style 160"/>
    <w:next w:val="1258"/>
    <w:link w:val="1067"/>
    <w:qFormat/>
    <w:rPr>
      <w:sz w:val="21"/>
      <w:szCs w:val="24"/>
      <w:lang w:val="en-US" w:eastAsia="zh-CN" w:bidi="ar-SA"/>
    </w:rPr>
  </w:style>
  <w:style w:type="paragraph" w:styleId="1259">
    <w:name w:val="项目编号3"/>
    <w:basedOn w:val="1219"/>
    <w:next w:val="1259"/>
    <w:link w:val="1067"/>
    <w:qFormat/>
    <w:pPr>
      <w:numPr>
        <w:ilvl w:val="0"/>
        <w:numId w:val="6"/>
      </w:numPr>
    </w:pPr>
  </w:style>
  <w:style w:type="paragraph" w:styleId="1260">
    <w:name w:val="Char21"/>
    <w:basedOn w:val="1067"/>
    <w:next w:val="1260"/>
    <w:link w:val="1067"/>
    <w:qFormat/>
    <w:rPr>
      <w:rFonts w:ascii="Tahoma" w:hAnsi="Tahoma"/>
      <w:sz w:val="24"/>
      <w:szCs w:val="20"/>
    </w:rPr>
  </w:style>
  <w:style w:type="paragraph" w:styleId="1261">
    <w:name w:val="表格文字"/>
    <w:basedOn w:val="1101"/>
    <w:next w:val="1261"/>
    <w:link w:val="1067"/>
    <w:qFormat/>
    <w:pPr>
      <w:ind w:firstLine="0"/>
      <w:spacing w:before="20" w:after="20" w:line="240" w:lineRule="auto"/>
    </w:pPr>
    <w:rPr>
      <w:rFonts w:ascii="Century Gothic" w:hAnsi="Century Gothic"/>
      <w:sz w:val="20"/>
      <w:szCs w:val="20"/>
    </w:rPr>
  </w:style>
  <w:style w:type="paragraph" w:styleId="1262">
    <w:name w:val="Char Char Char Char Char Char Char Char Char Char1"/>
    <w:basedOn w:val="1067"/>
    <w:next w:val="1262"/>
    <w:link w:val="1067"/>
    <w:qFormat/>
    <w:rPr>
      <w:rFonts w:ascii="宋体" w:hAnsi="宋体" w:cs="Courier New"/>
      <w:sz w:val="32"/>
      <w:szCs w:val="32"/>
    </w:rPr>
  </w:style>
  <w:style w:type="paragraph" w:styleId="1263">
    <w:name w:val="正文文本样式 加粗"/>
    <w:basedOn w:val="1219"/>
    <w:next w:val="1263"/>
    <w:link w:val="1067"/>
    <w:qFormat/>
    <w:rPr>
      <w:b/>
    </w:rPr>
  </w:style>
  <w:style w:type="paragraph" w:styleId="1264">
    <w:name w:val="Char2 Char Char Char Char Char Char"/>
    <w:basedOn w:val="1067"/>
    <w:next w:val="1264"/>
    <w:link w:val="1067"/>
    <w:qFormat/>
    <w:pPr>
      <w:jc w:val="center"/>
      <w:spacing w:line="400" w:lineRule="exact"/>
      <w:widowControl/>
    </w:pPr>
  </w:style>
  <w:style w:type="paragraph" w:styleId="1265">
    <w:name w:val="Char Char4"/>
    <w:basedOn w:val="1067"/>
    <w:next w:val="1265"/>
    <w:link w:val="1067"/>
    <w:qFormat/>
    <w:pPr>
      <w:jc w:val="center"/>
      <w:spacing w:line="400" w:lineRule="exact"/>
      <w:widowControl/>
    </w:pPr>
  </w:style>
  <w:style w:type="paragraph" w:styleId="1266">
    <w:name w:val="Char3 Char Char Char1"/>
    <w:basedOn w:val="1067"/>
    <w:next w:val="1266"/>
    <w:link w:val="1067"/>
    <w:qFormat/>
    <w:rPr>
      <w:rFonts w:ascii="Tahoma" w:hAnsi="Tahoma"/>
      <w:sz w:val="24"/>
      <w:szCs w:val="20"/>
    </w:rPr>
  </w:style>
  <w:style w:type="paragraph" w:styleId="1267">
    <w:name w:val="无间隔"/>
    <w:next w:val="1267"/>
    <w:link w:val="1067"/>
    <w:qFormat/>
    <w:pPr>
      <w:jc w:val="both"/>
      <w:widowControl w:val="off"/>
    </w:pPr>
    <w:rPr>
      <w:sz w:val="21"/>
      <w:szCs w:val="24"/>
      <w:lang w:val="en-US" w:eastAsia="zh-CN" w:bidi="ar-SA"/>
    </w:rPr>
  </w:style>
  <w:style w:type="paragraph" w:styleId="1268">
    <w:name w:val="22222222222222"/>
    <w:basedOn w:val="1067"/>
    <w:next w:val="1268"/>
    <w:link w:val="1067"/>
    <w:qFormat/>
    <w:pPr>
      <w:ind w:firstLine="480"/>
      <w:jc w:val="left"/>
      <w:spacing w:line="360" w:lineRule="auto"/>
      <w:widowControl/>
    </w:pPr>
    <w:rPr>
      <w:color w:val="ff0000"/>
      <w:sz w:val="24"/>
      <w:szCs w:val="20"/>
    </w:rPr>
  </w:style>
  <w:style w:type="character" w:styleId="1269">
    <w:name w:val="中等深浅网格 1 - 强调文字颜色 2 Char"/>
    <w:next w:val="1269"/>
    <w:link w:val="1270"/>
    <w:qFormat/>
    <w:rPr>
      <w:sz w:val="21"/>
      <w:szCs w:val="24"/>
      <w:lang w:val="zh-CN" w:eastAsia="zh-CN" w:bidi="ar-SA"/>
    </w:rPr>
  </w:style>
  <w:style w:type="paragraph" w:styleId="1270">
    <w:name w:val="1"/>
    <w:next w:val="1270"/>
    <w:link w:val="1269"/>
    <w:qFormat/>
    <w:rPr>
      <w:sz w:val="21"/>
      <w:szCs w:val="24"/>
      <w:lang w:val="zh-CN" w:eastAsia="zh-CN" w:bidi="ar-SA"/>
    </w:rPr>
  </w:style>
  <w:style w:type="paragraph" w:styleId="1271">
    <w:name w:val="图文"/>
    <w:basedOn w:val="1067"/>
    <w:next w:val="1271"/>
    <w:link w:val="1067"/>
    <w:qFormat/>
    <w:pPr>
      <w:spacing w:after="50" w:line="360" w:lineRule="auto"/>
    </w:pPr>
    <w:rPr>
      <w:sz w:val="24"/>
    </w:rPr>
  </w:style>
  <w:style w:type="paragraph" w:styleId="1272">
    <w:name w:val="xl23"/>
    <w:basedOn w:val="1067"/>
    <w:next w:val="1272"/>
    <w:link w:val="1067"/>
    <w:qFormat/>
    <w:pPr>
      <w:spacing w:before="100" w:beforeAutospacing="1" w:after="100" w:afterAutospacing="1" w:line="360" w:lineRule="auto"/>
      <w:widowControl/>
    </w:pPr>
    <w:rPr>
      <w:sz w:val="24"/>
      <w:szCs w:val="20"/>
    </w:rPr>
  </w:style>
  <w:style w:type="paragraph" w:styleId="1273">
    <w:name w:val="正文表格"/>
    <w:basedOn w:val="1067"/>
    <w:next w:val="1273"/>
    <w:link w:val="1274"/>
    <w:qFormat/>
    <w:pPr>
      <w:jc w:val="left"/>
    </w:pPr>
    <w:rPr>
      <w:rFonts w:ascii="宋体" w:hAnsi="宋体"/>
      <w:color w:val="000000"/>
      <w:szCs w:val="21"/>
    </w:rPr>
  </w:style>
  <w:style w:type="character" w:styleId="1274">
    <w:name w:val="正文表格 Char"/>
    <w:next w:val="1274"/>
    <w:link w:val="1273"/>
    <w:qFormat/>
    <w:rPr>
      <w:rFonts w:ascii="宋体" w:hAnsi="宋体"/>
      <w:color w:val="000000"/>
      <w:sz w:val="21"/>
      <w:szCs w:val="21"/>
    </w:rPr>
  </w:style>
  <w:style w:type="paragraph" w:styleId="1275">
    <w:name w:val="正文重点"/>
    <w:basedOn w:val="1067"/>
    <w:next w:val="1275"/>
    <w:link w:val="1276"/>
    <w:qFormat/>
    <w:pPr>
      <w:ind w:firstLine="482"/>
      <w:jc w:val="left"/>
      <w:spacing w:line="360" w:lineRule="auto"/>
    </w:pPr>
    <w:rPr>
      <w:b/>
      <w:sz w:val="24"/>
      <w:szCs w:val="20"/>
    </w:rPr>
  </w:style>
  <w:style w:type="character" w:styleId="1276">
    <w:name w:val="正文重点 Char"/>
    <w:next w:val="1276"/>
    <w:link w:val="1275"/>
    <w:qFormat/>
    <w:rPr>
      <w:b/>
      <w:sz w:val="24"/>
    </w:rPr>
  </w:style>
  <w:style w:type="paragraph" w:styleId="1277">
    <w:name w:val="标题1-附件"/>
    <w:basedOn w:val="1068"/>
    <w:next w:val="1277"/>
    <w:link w:val="1067"/>
    <w:qFormat/>
    <w:pPr>
      <w:jc w:val="left"/>
    </w:pPr>
    <w:rPr>
      <w:sz w:val="24"/>
      <w:szCs w:val="24"/>
    </w:rPr>
  </w:style>
  <w:style w:type="paragraph" w:styleId="1278">
    <w:name w:val="正文小标题"/>
    <w:basedOn w:val="1067"/>
    <w:next w:val="1090"/>
    <w:link w:val="1279"/>
    <w:qFormat/>
    <w:pPr>
      <w:ind w:firstLine="482"/>
      <w:jc w:val="left"/>
      <w:spacing w:before="312" w:after="312"/>
    </w:pPr>
    <w:rPr>
      <w:rFonts w:ascii="宋体" w:hAnsi="宋体"/>
      <w:b/>
      <w:i/>
      <w:color w:val="ff0000"/>
      <w:sz w:val="24"/>
      <w:szCs w:val="20"/>
    </w:rPr>
  </w:style>
  <w:style w:type="character" w:styleId="1279">
    <w:name w:val="正文小标题 Char"/>
    <w:next w:val="1279"/>
    <w:link w:val="1278"/>
    <w:qFormat/>
    <w:rPr>
      <w:rFonts w:ascii="宋体" w:hAnsi="宋体"/>
      <w:b/>
      <w:i/>
      <w:color w:val="ff0000"/>
      <w:sz w:val="24"/>
    </w:rPr>
  </w:style>
  <w:style w:type="paragraph" w:styleId="1280">
    <w:name w:val="正文大标题"/>
    <w:basedOn w:val="1278"/>
    <w:next w:val="1090"/>
    <w:link w:val="1281"/>
    <w:qFormat/>
    <w:pPr>
      <w:jc w:val="center"/>
    </w:pPr>
    <w:rPr>
      <w:i w:val="0"/>
      <w:color w:val="000000"/>
      <w:sz w:val="28"/>
      <w:szCs w:val="21"/>
    </w:rPr>
  </w:style>
  <w:style w:type="character" w:styleId="1281">
    <w:name w:val="正文大标题 Char"/>
    <w:next w:val="1281"/>
    <w:link w:val="1280"/>
    <w:qFormat/>
    <w:rPr>
      <w:rFonts w:ascii="宋体" w:hAnsi="宋体"/>
      <w:b/>
      <w:color w:val="000000"/>
      <w:sz w:val="28"/>
      <w:szCs w:val="21"/>
    </w:rPr>
  </w:style>
  <w:style w:type="paragraph" w:styleId="1282">
    <w:name w:val="注释"/>
    <w:basedOn w:val="1067"/>
    <w:next w:val="1282"/>
    <w:link w:val="1283"/>
    <w:qFormat/>
    <w:pPr>
      <w:ind w:left="420" w:hanging="420"/>
      <w:jc w:val="left"/>
    </w:pPr>
    <w:rPr>
      <w:rFonts w:ascii="宋体" w:hAnsi="宋体"/>
      <w:szCs w:val="21"/>
    </w:rPr>
  </w:style>
  <w:style w:type="character" w:styleId="1283">
    <w:name w:val="注释 Char"/>
    <w:next w:val="1283"/>
    <w:link w:val="1282"/>
    <w:qFormat/>
    <w:rPr>
      <w:rFonts w:ascii="宋体" w:hAnsi="宋体"/>
      <w:sz w:val="21"/>
      <w:szCs w:val="21"/>
    </w:rPr>
  </w:style>
  <w:style w:type="paragraph" w:styleId="1284">
    <w:name w:val="正文须知-1级"/>
    <w:basedOn w:val="1067"/>
    <w:next w:val="1067"/>
    <w:link w:val="1067"/>
    <w:qFormat/>
    <w:pPr>
      <w:numPr>
        <w:ilvl w:val="0"/>
        <w:numId w:val="7"/>
      </w:numPr>
      <w:spacing w:line="300" w:lineRule="auto"/>
    </w:pPr>
    <w:rPr>
      <w:rFonts w:ascii="宋体" w:hAnsi="Calibri"/>
      <w:sz w:val="24"/>
      <w:szCs w:val="21"/>
    </w:rPr>
  </w:style>
  <w:style w:type="paragraph" w:styleId="1285">
    <w:name w:val="正文须知-2级"/>
    <w:basedOn w:val="1067"/>
    <w:next w:val="1285"/>
    <w:link w:val="1067"/>
    <w:qFormat/>
    <w:pPr>
      <w:numPr>
        <w:ilvl w:val="1"/>
        <w:numId w:val="7"/>
      </w:numPr>
      <w:spacing w:line="300" w:lineRule="auto"/>
    </w:pPr>
    <w:rPr>
      <w:rFonts w:ascii="宋体" w:hAnsi="Calibri"/>
      <w:sz w:val="24"/>
      <w:szCs w:val="21"/>
    </w:rPr>
  </w:style>
  <w:style w:type="paragraph" w:styleId="1286">
    <w:name w:val="正文须知-3级"/>
    <w:basedOn w:val="1067"/>
    <w:next w:val="1286"/>
    <w:link w:val="1067"/>
    <w:qFormat/>
    <w:pPr>
      <w:numPr>
        <w:ilvl w:val="2"/>
        <w:numId w:val="7"/>
      </w:numPr>
      <w:ind w:hanging="355"/>
      <w:spacing w:line="300" w:lineRule="auto"/>
    </w:pPr>
    <w:rPr>
      <w:rFonts w:ascii="宋体" w:hAnsi="Calibri"/>
      <w:sz w:val="24"/>
      <w:szCs w:val="21"/>
    </w:rPr>
  </w:style>
  <w:style w:type="character" w:styleId="1287">
    <w:name w:val="纯文本 字符"/>
    <w:next w:val="1287"/>
    <w:link w:val="1067"/>
    <w:uiPriority w:val="99"/>
    <w:qFormat/>
    <w:rPr>
      <w:rFonts w:ascii="宋体" w:hAnsi="Courier New" w:eastAsia="宋体" w:cs="Times New Roman"/>
      <w:sz w:val="21"/>
      <w:szCs w:val="21"/>
      <w:lang w:val="en-US" w:eastAsia="zh-CN" w:bidi="ar-SA"/>
    </w:rPr>
  </w:style>
  <w:style w:type="paragraph" w:styleId="1288">
    <w:name w:val="表格1"/>
    <w:basedOn w:val="1067"/>
    <w:next w:val="1288"/>
    <w:link w:val="1067"/>
    <w:qFormat/>
    <w:pPr>
      <w:ind w:firstLine="480"/>
      <w:jc w:val="center"/>
    </w:pPr>
    <w:rPr>
      <w:sz w:val="24"/>
      <w:szCs w:val="20"/>
    </w:rPr>
  </w:style>
  <w:style w:type="character" w:styleId="1289">
    <w:name w:val="纯文本 字符1"/>
    <w:next w:val="1289"/>
    <w:link w:val="1067"/>
    <w:qFormat/>
    <w:rPr>
      <w:rFonts w:ascii="宋体" w:hAnsi="Courier New"/>
    </w:rPr>
  </w:style>
  <w:style w:type="character" w:styleId="1290">
    <w:name w:val="bjh-p"/>
    <w:next w:val="1290"/>
    <w:link w:val="1067"/>
    <w:qFormat/>
  </w:style>
  <w:style w:type="paragraph" w:styleId="1291">
    <w:name w:val="无标题条"/>
    <w:next w:val="1067"/>
    <w:link w:val="1067"/>
    <w:qFormat/>
    <w:pPr>
      <w:jc w:val="both"/>
    </w:pPr>
    <w:rPr>
      <w:sz w:val="21"/>
      <w:lang w:val="en-US" w:eastAsia="zh-CN" w:bidi="ar-SA"/>
    </w:rPr>
  </w:style>
  <w:style w:type="character" w:styleId="1292">
    <w:name w:val="正文格式 Char"/>
    <w:next w:val="1292"/>
    <w:link w:val="1293"/>
    <w:qFormat/>
    <w:rPr>
      <w:rFonts w:ascii="宋体" w:hAnsi="宋体"/>
      <w:sz w:val="24"/>
      <w:szCs w:val="24"/>
      <w:lang w:val="en-GB"/>
    </w:rPr>
  </w:style>
  <w:style w:type="paragraph" w:styleId="1293">
    <w:name w:val="正文格式"/>
    <w:basedOn w:val="1067"/>
    <w:next w:val="1293"/>
    <w:link w:val="1292"/>
    <w:qFormat/>
    <w:pPr>
      <w:ind w:firstLine="480"/>
      <w:spacing w:line="360" w:lineRule="auto"/>
    </w:pPr>
    <w:rPr>
      <w:rFonts w:ascii="宋体" w:hAnsi="宋体"/>
      <w:sz w:val="24"/>
      <w:lang w:val="en-GB"/>
    </w:rPr>
  </w:style>
  <w:style w:type="character" w:styleId="1294">
    <w:name w:val="标题 3 Char"/>
    <w:next w:val="1294"/>
    <w:link w:val="1067"/>
    <w:qFormat/>
    <w:rPr>
      <w:rFonts w:ascii="宋体" w:eastAsia="宋体"/>
      <w:b/>
      <w:sz w:val="24"/>
      <w:u w:val="single"/>
      <w:lang w:val="en-US" w:eastAsia="zh-CN" w:bidi="ar-SA"/>
    </w:rPr>
  </w:style>
  <w:style w:type="character" w:styleId="1295">
    <w:name w:val="正文缩进 Char"/>
    <w:next w:val="1295"/>
    <w:link w:val="1067"/>
    <w:qFormat/>
    <w:rPr>
      <w:rFonts w:ascii="宋体" w:eastAsia="宋体"/>
      <w:sz w:val="24"/>
      <w:szCs w:val="24"/>
      <w:lang w:val="en-US" w:eastAsia="zh-CN" w:bidi="ar-SA"/>
    </w:rPr>
  </w:style>
  <w:style w:type="character" w:styleId="1296">
    <w:name w:val="Char Char111"/>
    <w:next w:val="1296"/>
    <w:link w:val="1067"/>
    <w:qFormat/>
    <w:rPr>
      <w:rFonts w:ascii="宋体" w:eastAsia="宋体"/>
      <w:b/>
      <w:sz w:val="24"/>
      <w:u w:val="single"/>
      <w:lang w:val="en-US" w:eastAsia="zh-CN" w:bidi="ar-SA"/>
    </w:rPr>
  </w:style>
  <w:style w:type="character" w:styleId="1297">
    <w:name w:val="正文文本缩进 Char"/>
    <w:next w:val="1297"/>
    <w:link w:val="1067"/>
    <w:qFormat/>
    <w:rPr>
      <w:rFonts w:eastAsia="宋体"/>
      <w:sz w:val="24"/>
      <w:szCs w:val="24"/>
      <w:lang w:val="en-US" w:eastAsia="zh-CN" w:bidi="ar-SA"/>
    </w:rPr>
  </w:style>
  <w:style w:type="character" w:styleId="1298">
    <w:name w:val="列出段落 Char"/>
    <w:next w:val="1298"/>
    <w:link w:val="1067"/>
    <w:qFormat/>
    <w:rPr>
      <w:rFonts w:ascii="Calibri" w:hAnsi="Calibri" w:eastAsia="宋体"/>
      <w:sz w:val="21"/>
      <w:szCs w:val="22"/>
      <w:lang w:val="en-US" w:eastAsia="zh-CN" w:bidi="ar-SA"/>
    </w:rPr>
  </w:style>
  <w:style w:type="character" w:styleId="1299">
    <w:name w:val="页眉 Char"/>
    <w:next w:val="1299"/>
    <w:link w:val="1067"/>
    <w:qFormat/>
    <w:rPr>
      <w:rFonts w:eastAsia="宋体"/>
      <w:sz w:val="18"/>
      <w:szCs w:val="18"/>
      <w:lang w:val="en-US" w:eastAsia="zh-CN" w:bidi="ar-SA"/>
    </w:rPr>
  </w:style>
  <w:style w:type="character" w:styleId="1300">
    <w:name w:val="标题 2 Char"/>
    <w:next w:val="1300"/>
    <w:link w:val="1067"/>
    <w:qFormat/>
    <w:rPr>
      <w:rFonts w:ascii="Arial" w:hAnsi="Arial" w:eastAsia="黑体"/>
      <w:b/>
      <w:sz w:val="30"/>
      <w:lang w:val="en-US" w:eastAsia="zh-CN" w:bidi="ar-SA"/>
    </w:rPr>
  </w:style>
  <w:style w:type="paragraph" w:styleId="1301">
    <w:name w:val="字元 字元2"/>
    <w:basedOn w:val="1067"/>
    <w:next w:val="1301"/>
    <w:link w:val="1067"/>
    <w:qFormat/>
    <w:rPr>
      <w:rFonts w:ascii="Tahoma" w:hAnsi="Tahoma"/>
      <w:sz w:val="24"/>
      <w:szCs w:val="20"/>
    </w:rPr>
  </w:style>
  <w:style w:type="paragraph" w:styleId="1302">
    <w:name w:val="Char3 Char Char Char2"/>
    <w:basedOn w:val="1067"/>
    <w:next w:val="1302"/>
    <w:link w:val="1067"/>
    <w:qFormat/>
    <w:rPr>
      <w:rFonts w:ascii="Tahoma" w:hAnsi="Tahoma"/>
      <w:sz w:val="24"/>
      <w:szCs w:val="20"/>
    </w:rPr>
  </w:style>
  <w:style w:type="paragraph" w:styleId="1303">
    <w:name w:val="正文文本缩进2"/>
    <w:basedOn w:val="1067"/>
    <w:next w:val="1303"/>
    <w:link w:val="1067"/>
    <w:qFormat/>
    <w:pPr>
      <w:ind w:firstLine="480"/>
      <w:spacing w:line="480" w:lineRule="exact"/>
    </w:pPr>
    <w:rPr>
      <w:rFonts w:ascii="宋体" w:hAnsi="宋体"/>
      <w:sz w:val="24"/>
      <w:lang w:val="zh-CN" w:eastAsia="zh-CN"/>
    </w:rPr>
  </w:style>
  <w:style w:type="paragraph" w:styleId="1304">
    <w:name w:val="Char3"/>
    <w:basedOn w:val="1067"/>
    <w:next w:val="1304"/>
    <w:link w:val="1067"/>
    <w:qFormat/>
    <w:pPr>
      <w:tabs>
        <w:tab w:val="left" w:pos="360" w:leader="none"/>
      </w:tabs>
    </w:pPr>
    <w:rPr>
      <w:sz w:val="24"/>
    </w:rPr>
  </w:style>
  <w:style w:type="paragraph" w:styleId="1305">
    <w:name w:val="Char Char Char Char Char Char Char Char Char Char Char Char Char Char Char Char1"/>
    <w:basedOn w:val="1067"/>
    <w:next w:val="1305"/>
    <w:link w:val="1067"/>
    <w:qFormat/>
    <w:pPr>
      <w:jc w:val="center"/>
      <w:spacing w:after="160" w:line="240" w:lineRule="exact"/>
      <w:widowControl/>
    </w:pPr>
    <w:rPr>
      <w:rFonts w:ascii="宋体" w:hAnsi="宋体"/>
      <w:b/>
      <w:sz w:val="30"/>
      <w:szCs w:val="30"/>
      <w:lang w:eastAsia="en-US"/>
    </w:rPr>
  </w:style>
  <w:style w:type="paragraph" w:styleId="1306">
    <w:name w:val="Char Char1 Char Char Char Char Char Char1"/>
    <w:basedOn w:val="1067"/>
    <w:next w:val="1306"/>
    <w:link w:val="1067"/>
    <w:qFormat/>
    <w:pPr>
      <w:jc w:val="left"/>
      <w:spacing w:after="160" w:line="240" w:lineRule="exact"/>
      <w:widowControl/>
    </w:pPr>
    <w:rPr>
      <w:rFonts w:ascii="Verdana" w:hAnsi="Verdana" w:eastAsia="仿宋_GB2312"/>
      <w:sz w:val="24"/>
      <w:szCs w:val="20"/>
      <w:lang w:eastAsia="en-US"/>
    </w:rPr>
  </w:style>
  <w:style w:type="paragraph" w:styleId="1307">
    <w:name w:val="列出段落2"/>
    <w:basedOn w:val="1067"/>
    <w:next w:val="1307"/>
    <w:link w:val="1067"/>
    <w:qFormat/>
    <w:pPr>
      <w:ind w:firstLine="420"/>
    </w:pPr>
    <w:rPr>
      <w:rFonts w:ascii="Calibri" w:hAnsi="Calibri"/>
      <w:szCs w:val="22"/>
    </w:rPr>
  </w:style>
  <w:style w:type="paragraph" w:styleId="1308">
    <w:name w:val="Char Char Char1 Char2"/>
    <w:basedOn w:val="1067"/>
    <w:next w:val="1308"/>
    <w:link w:val="1067"/>
    <w:qFormat/>
    <w:rPr>
      <w:rFonts w:ascii="Tahoma" w:hAnsi="Tahoma"/>
      <w:sz w:val="24"/>
      <w:szCs w:val="20"/>
    </w:rPr>
  </w:style>
  <w:style w:type="paragraph" w:styleId="1309">
    <w:name w:val="Char Char Char2"/>
    <w:basedOn w:val="1067"/>
    <w:next w:val="1309"/>
    <w:link w:val="1067"/>
    <w:qFormat/>
    <w:rPr>
      <w:rFonts w:ascii="Tahoma" w:hAnsi="Tahoma"/>
      <w:sz w:val="24"/>
      <w:szCs w:val="20"/>
    </w:rPr>
  </w:style>
  <w:style w:type="paragraph" w:styleId="1310">
    <w:name w:val="Char Char Char Char Char Char Char2"/>
    <w:basedOn w:val="1067"/>
    <w:next w:val="1310"/>
    <w:link w:val="1067"/>
    <w:qFormat/>
    <w:pPr>
      <w:ind w:firstLine="200"/>
      <w:spacing w:line="360" w:lineRule="auto"/>
    </w:pPr>
    <w:rPr>
      <w:rFonts w:eastAsia="仿宋_GB2312"/>
      <w:sz w:val="24"/>
    </w:rPr>
  </w:style>
  <w:style w:type="paragraph" w:styleId="1311">
    <w:name w:val="正文缩进2"/>
    <w:basedOn w:val="1067"/>
    <w:next w:val="1311"/>
    <w:link w:val="1067"/>
    <w:qFormat/>
    <w:pPr>
      <w:ind w:firstLine="567"/>
      <w:spacing w:line="480" w:lineRule="exact"/>
      <w:widowControl/>
    </w:pPr>
    <w:rPr>
      <w:rFonts w:ascii="宋体"/>
      <w:color w:val="000000"/>
      <w:sz w:val="28"/>
      <w:szCs w:val="20"/>
      <w:lang w:val="zh-CN" w:eastAsia="zh-CN"/>
    </w:rPr>
  </w:style>
  <w:style w:type="paragraph" w:styleId="1312">
    <w:name w:val="Revision"/>
    <w:next w:val="1312"/>
    <w:link w:val="1067"/>
    <w:qFormat/>
    <w:rPr>
      <w:sz w:val="21"/>
      <w:szCs w:val="24"/>
      <w:lang w:val="en-US" w:eastAsia="zh-CN" w:bidi="ar-SA"/>
    </w:rPr>
  </w:style>
  <w:style w:type="paragraph" w:styleId="1313">
    <w:name w:val="Char22"/>
    <w:basedOn w:val="1067"/>
    <w:next w:val="1313"/>
    <w:link w:val="1067"/>
    <w:qFormat/>
    <w:rPr>
      <w:rFonts w:ascii="Tahoma" w:hAnsi="Tahoma"/>
      <w:sz w:val="24"/>
      <w:szCs w:val="20"/>
    </w:rPr>
  </w:style>
  <w:style w:type="paragraph" w:styleId="1314">
    <w:name w:val="Char Char Char Char Char Char Char Char Char Char2"/>
    <w:basedOn w:val="1067"/>
    <w:next w:val="1314"/>
    <w:link w:val="1067"/>
    <w:qFormat/>
    <w:rPr>
      <w:rFonts w:ascii="宋体" w:hAnsi="宋体" w:cs="Courier New"/>
      <w:sz w:val="32"/>
      <w:szCs w:val="32"/>
    </w:rPr>
  </w:style>
  <w:style w:type="paragraph" w:styleId="1315">
    <w:name w:val="Char2 Char Char Char Char Char Char1"/>
    <w:basedOn w:val="1067"/>
    <w:next w:val="1315"/>
    <w:link w:val="1067"/>
    <w:qFormat/>
    <w:pPr>
      <w:jc w:val="center"/>
      <w:spacing w:line="400" w:lineRule="exact"/>
      <w:widowControl/>
    </w:pPr>
  </w:style>
  <w:style w:type="character" w:styleId="1316">
    <w:name w:val="页脚 Char"/>
    <w:next w:val="1316"/>
    <w:link w:val="1067"/>
    <w:qFormat/>
    <w:rPr>
      <w:rFonts w:ascii="宋体" w:eastAsia="宋体"/>
      <w:sz w:val="18"/>
      <w:lang w:val="en-US" w:eastAsia="zh-CN" w:bidi="ar-SA"/>
    </w:rPr>
  </w:style>
  <w:style w:type="paragraph" w:styleId="1317">
    <w:name w:val="Char Char41"/>
    <w:basedOn w:val="1067"/>
    <w:next w:val="1317"/>
    <w:link w:val="1067"/>
    <w:qFormat/>
    <w:pPr>
      <w:jc w:val="center"/>
      <w:spacing w:line="400" w:lineRule="exact"/>
      <w:widowControl/>
    </w:pPr>
  </w:style>
  <w:style w:type="character" w:styleId="1318">
    <w:name w:val="批注文字 Char"/>
    <w:next w:val="1318"/>
    <w:link w:val="1067"/>
    <w:uiPriority w:val="99"/>
    <w:qFormat/>
    <w:rPr>
      <w:sz w:val="21"/>
      <w:szCs w:val="24"/>
    </w:rPr>
  </w:style>
  <w:style w:type="character" w:styleId="1319">
    <w:name w:val="标题 Char"/>
    <w:next w:val="1319"/>
    <w:link w:val="1067"/>
    <w:qFormat/>
    <w:rPr>
      <w:b/>
      <w:sz w:val="32"/>
    </w:rPr>
  </w:style>
  <w:style w:type="paragraph" w:styleId="1320">
    <w:name w:val="图例"/>
    <w:basedOn w:val="1067"/>
    <w:next w:val="1320"/>
    <w:link w:val="1067"/>
    <w:qFormat/>
    <w:pPr>
      <w:jc w:val="center"/>
      <w:spacing w:before="120" w:after="120" w:line="360" w:lineRule="auto"/>
    </w:pPr>
    <w:rPr>
      <w:rFonts w:eastAsia="仿宋_GB2312"/>
      <w:b/>
      <w:sz w:val="24"/>
      <w:szCs w:val="20"/>
    </w:rPr>
  </w:style>
  <w:style w:type="table" w:styleId="1321">
    <w:name w:val="Table Normal"/>
    <w:next w:val="1321"/>
    <w:link w:val="1067"/>
    <w:uiPriority w:val="2"/>
    <w:unhideWhenUsed/>
    <w:qFormat/>
    <w:pPr>
      <w:widowControl w:val="off"/>
    </w:pPr>
    <w:rPr>
      <w:rFonts w:ascii="Calibri" w:hAnsi="Calibri"/>
      <w:sz w:val="22"/>
      <w:szCs w:val="22"/>
      <w:lang w:val="en-US" w:eastAsia="en-US" w:bidi="ar-SA"/>
    </w:rPr>
    <w:tblPr/>
  </w:style>
  <w:style w:type="paragraph" w:styleId="1322">
    <w:name w:val="Table Paragraph"/>
    <w:basedOn w:val="1067"/>
    <w:next w:val="1322"/>
    <w:link w:val="1067"/>
    <w:uiPriority w:val="1"/>
    <w:qFormat/>
    <w:pPr>
      <w:jc w:val="left"/>
    </w:pPr>
    <w:rPr>
      <w:rFonts w:ascii="宋体" w:hAnsi="宋体" w:cs="宋体"/>
      <w:sz w:val="22"/>
      <w:szCs w:val="22"/>
      <w:lang w:eastAsia="en-US"/>
    </w:rPr>
  </w:style>
  <w:style w:type="paragraph" w:styleId="1323">
    <w:name w:val="成文日期"/>
    <w:basedOn w:val="1067"/>
    <w:next w:val="1323"/>
    <w:link w:val="1324"/>
    <w:qFormat/>
    <w:pPr>
      <w:ind w:right="400" w:firstLine="200"/>
      <w:jc w:val="right"/>
      <w:spacing w:line="570" w:lineRule="exact"/>
    </w:pPr>
    <w:rPr>
      <w:rFonts w:ascii="仿宋_GB2312" w:eastAsia="仿宋_GB2312"/>
      <w:sz w:val="32"/>
      <w:szCs w:val="20"/>
    </w:rPr>
  </w:style>
  <w:style w:type="character" w:styleId="1324">
    <w:name w:val="成文日期 Char"/>
    <w:next w:val="1324"/>
    <w:link w:val="1323"/>
    <w:rPr>
      <w:rFonts w:ascii="仿宋_GB2312" w:eastAsia="仿宋_GB2312"/>
      <w:sz w:val="32"/>
    </w:rPr>
  </w:style>
  <w:style w:type="paragraph" w:styleId="1325">
    <w:name w:val="修订"/>
    <w:next w:val="1325"/>
    <w:link w:val="1067"/>
    <w:uiPriority w:val="99"/>
    <w:unhideWhenUsed/>
    <w:rPr>
      <w:sz w:val="21"/>
      <w:szCs w:val="24"/>
      <w:lang w:val="en-US" w:eastAsia="zh-CN" w:bidi="ar-SA"/>
    </w:rPr>
  </w:style>
  <w:style w:type="character" w:styleId="1326">
    <w:name w:val="thisclass"/>
    <w:next w:val="1326"/>
    <w:link w:val="1067"/>
    <w:rPr>
      <w:b/>
      <w:bCs/>
      <w:color w:val="ffffff"/>
      <w:shd w:val="clear" w:color="auto" w:fill="2e6ab1"/>
    </w:rPr>
  </w:style>
  <w:style w:type="character" w:styleId="1327">
    <w:name w:val="disabled"/>
    <w:next w:val="1327"/>
    <w:link w:val="1067"/>
    <w:rPr>
      <w:color w:val="929292"/>
    </w:rPr>
  </w:style>
  <w:style w:type="character" w:styleId="1328">
    <w:name w:val="nav-on"/>
    <w:next w:val="1328"/>
    <w:link w:val="1067"/>
    <w:rPr>
      <w:vanish/>
    </w:rPr>
  </w:style>
  <w:style w:type="paragraph" w:styleId="1329">
    <w:name w:val="段"/>
    <w:next w:val="1067"/>
    <w:link w:val="1067"/>
    <w:qFormat/>
    <w:pPr>
      <w:ind w:firstLine="200"/>
      <w:jc w:val="both"/>
    </w:pPr>
    <w:rPr>
      <w:rFonts w:ascii="宋体"/>
      <w:sz w:val="21"/>
      <w:lang w:val="en-US" w:eastAsia="zh-CN" w:bidi="ar-SA"/>
    </w:rPr>
  </w:style>
  <w:style w:type="paragraph" w:styleId="1330">
    <w:name w:val="_Style 260"/>
    <w:basedOn w:val="1067"/>
    <w:next w:val="1171"/>
    <w:link w:val="1067"/>
    <w:uiPriority w:val="99"/>
    <w:qFormat/>
    <w:pPr>
      <w:ind w:firstLine="420"/>
    </w:pPr>
    <w:rPr>
      <w:rFonts w:ascii="Calibri" w:hAnsi="Calibri"/>
      <w:szCs w:val="22"/>
    </w:rPr>
  </w:style>
  <w:style w:type="character" w:styleId="1331">
    <w:name w:val="font11"/>
    <w:next w:val="1331"/>
    <w:link w:val="1067"/>
    <w:rPr>
      <w:rFonts w:hint="eastAsia" w:ascii="宋体" w:hAnsi="宋体" w:eastAsia="宋体" w:cs="宋体"/>
      <w:b/>
      <w:bCs/>
      <w:i w:val="0"/>
      <w:iCs w:val="0"/>
      <w:color w:val="000000"/>
      <w:sz w:val="18"/>
      <w:szCs w:val="18"/>
      <w:u w:val="none"/>
    </w:rPr>
  </w:style>
  <w:style w:type="character" w:styleId="1332">
    <w:name w:val="font41"/>
    <w:next w:val="1332"/>
    <w:link w:val="1067"/>
    <w:rPr>
      <w:rFonts w:hint="eastAsia" w:ascii="宋体" w:hAnsi="宋体" w:eastAsia="宋体" w:cs="宋体"/>
      <w:b/>
      <w:bCs/>
      <w:i w:val="0"/>
      <w:iCs w:val="0"/>
      <w:color w:val="000000"/>
      <w:sz w:val="18"/>
      <w:szCs w:val="18"/>
      <w:u w:val="none"/>
      <w:vertAlign w:val="superscript"/>
    </w:rPr>
  </w:style>
  <w:style w:type="paragraph" w:styleId="1333">
    <w:name w:val="null3"/>
    <w:next w:val="1333"/>
    <w:link w:val="1067"/>
    <w:qFormat/>
    <w:rPr>
      <w:rFonts w:hint="eastAsia" w:ascii="Calibri" w:hAnsi="Calibri"/>
      <w:lang w:val="en-US" w:eastAsia="zh-CN" w:bidi="ar-SA"/>
    </w:rPr>
  </w:style>
  <w:style w:type="paragraph" w:styleId="1334">
    <w:name w:val="普通(网站)11"/>
    <w:basedOn w:val="1067"/>
    <w:next w:val="1334"/>
    <w:link w:val="1067"/>
    <w:uiPriority w:val="99"/>
    <w:unhideWhenUsed/>
    <w:qFormat/>
    <w:pPr>
      <w:jc w:val="left"/>
      <w:spacing w:before="100" w:beforeAutospacing="1" w:after="100" w:afterAutospacing="1"/>
      <w:widowControl/>
    </w:pPr>
    <w:rPr>
      <w:rFonts w:ascii="宋体" w:hAnsi="宋体" w:cs="宋体"/>
      <w:sz w:val="24"/>
    </w:rPr>
  </w:style>
  <w:style w:type="character" w:styleId="1335">
    <w:name w:val="font91"/>
    <w:next w:val="1335"/>
    <w:link w:val="1067"/>
    <w:rPr>
      <w:sz w:val="21"/>
      <w:szCs w:val="24"/>
      <w:lang w:val="en-US" w:eastAsia="zh-CN" w:bidi="ar-SA"/>
    </w:rPr>
  </w:style>
  <w:style w:type="paragraph" w:styleId="1336">
    <w:name w:val="正文缩进12"/>
    <w:basedOn w:val="1067"/>
    <w:next w:val="1336"/>
    <w:link w:val="1067"/>
    <w:uiPriority w:val="99"/>
    <w:qFormat/>
    <w:pPr>
      <w:ind w:firstLine="420"/>
      <w:jc w:val="left"/>
    </w:pPr>
    <w:rPr>
      <w:rFonts w:ascii="宋体"/>
      <w:sz w:val="24"/>
    </w:rPr>
  </w:style>
  <w:style w:type="character" w:styleId="1337">
    <w:name w:val="font112"/>
    <w:next w:val="1337"/>
    <w:link w:val="1067"/>
    <w:qFormat/>
    <w:rPr>
      <w:rFonts w:hint="eastAsia" w:ascii="宋体" w:hAnsi="宋体" w:eastAsia="宋体" w:cs="宋体"/>
      <w:color w:val="000000"/>
      <w:sz w:val="12"/>
      <w:szCs w:val="12"/>
      <w:u w:val="none"/>
    </w:rPr>
  </w:style>
  <w:style w:type="character" w:styleId="1338">
    <w:name w:val="font121"/>
    <w:next w:val="1338"/>
    <w:link w:val="1067"/>
    <w:qFormat/>
    <w:rPr>
      <w:rFonts w:hint="eastAsia" w:ascii="宋体" w:hAnsi="宋体" w:eastAsia="宋体" w:cs="宋体"/>
      <w:color w:val="000000"/>
      <w:sz w:val="12"/>
      <w:szCs w:val="12"/>
      <w:u w:val="none"/>
    </w:rPr>
  </w:style>
  <w:style w:type="character" w:styleId="1339">
    <w:name w:val="font01"/>
    <w:next w:val="1339"/>
    <w:link w:val="1067"/>
    <w:qFormat/>
    <w:rPr>
      <w:rFonts w:ascii="Times New Roman" w:hAnsi="Times New Roman" w:cs="Times New Roman"/>
      <w:color w:val="000000"/>
      <w:sz w:val="20"/>
      <w:szCs w:val="20"/>
      <w:u w:val="none"/>
    </w:rPr>
  </w:style>
  <w:style w:type="character" w:styleId="1340">
    <w:name w:val="font161"/>
    <w:next w:val="1340"/>
    <w:link w:val="1067"/>
    <w:qFormat/>
    <w:rPr>
      <w:rFonts w:hint="eastAsia" w:ascii="宋体" w:hAnsi="宋体" w:eastAsia="宋体" w:cs="宋体"/>
      <w:color w:val="000000"/>
      <w:sz w:val="12"/>
      <w:szCs w:val="12"/>
      <w:u w:val="none"/>
    </w:rPr>
  </w:style>
  <w:style w:type="character" w:styleId="1341">
    <w:name w:val="font151"/>
    <w:next w:val="1341"/>
    <w:link w:val="1067"/>
    <w:qFormat/>
    <w:rPr>
      <w:rFonts w:ascii="Times New Roman" w:hAnsi="Times New Roman" w:cs="Times New Roman"/>
      <w:color w:val="000000"/>
      <w:sz w:val="12"/>
      <w:szCs w:val="12"/>
      <w:u w:val="none"/>
    </w:rPr>
  </w:style>
  <w:style w:type="paragraph" w:styleId="1342">
    <w:name w:val="标题 111"/>
    <w:basedOn w:val="1067"/>
    <w:next w:val="1067"/>
    <w:link w:val="1067"/>
    <w:uiPriority w:val="9"/>
    <w:qFormat/>
    <w:pPr>
      <w:keepLines/>
      <w:keepNext/>
      <w:spacing w:before="480" w:after="200"/>
      <w:outlineLvl w:val="0"/>
    </w:pPr>
    <w:rPr>
      <w:rFonts w:ascii="Arial" w:hAnsi="Arial" w:eastAsia="Arial" w:cs="Arial"/>
      <w:sz w:val="40"/>
      <w:szCs w:val="40"/>
    </w:rPr>
  </w:style>
  <w:style w:type="character" w:styleId="1343">
    <w:name w:val="font31"/>
    <w:basedOn w:val="1077"/>
    <w:next w:val="1343"/>
    <w:link w:val="1067"/>
    <w:qFormat/>
    <w:rPr>
      <w:rFonts w:hint="eastAsia" w:ascii="宋体" w:hAnsi="宋体" w:eastAsia="宋体" w:cs="宋体"/>
      <w:color w:val="000000"/>
      <w:sz w:val="21"/>
      <w:szCs w:val="21"/>
      <w:u w:val="none"/>
    </w:rPr>
  </w:style>
  <w:style w:type="character" w:styleId="1344">
    <w:name w:val="font21"/>
    <w:basedOn w:val="1077"/>
    <w:next w:val="1344"/>
    <w:link w:val="1067"/>
    <w:qFormat/>
    <w:rPr>
      <w:rFonts w:ascii="方正仿宋_GB2312" w:hAnsi="方正仿宋_GB2312" w:eastAsia="方正仿宋_GB2312" w:cs="方正仿宋_GB2312"/>
      <w:color w:val="000000"/>
      <w:sz w:val="21"/>
      <w:szCs w:val="21"/>
      <w:u w:val="none"/>
    </w:rPr>
  </w:style>
  <w:style w:type="character" w:styleId="1345">
    <w:name w:val="font51"/>
    <w:basedOn w:val="1077"/>
    <w:next w:val="1345"/>
    <w:link w:val="1067"/>
    <w:rPr>
      <w:rFonts w:ascii="方正仿宋_GB2312" w:hAnsi="方正仿宋_GB2312" w:eastAsia="方正仿宋_GB2312" w:cs="方正仿宋_GB2312"/>
      <w:color w:val="000000"/>
      <w:sz w:val="21"/>
      <w:szCs w:val="21"/>
      <w:u w:val="none"/>
    </w:rPr>
  </w:style>
  <w:style w:type="paragraph" w:styleId="1346">
    <w:name w:val="表格样式"/>
    <w:basedOn w:val="1067"/>
    <w:next w:val="1067"/>
    <w:link w:val="1067"/>
    <w:qFormat/>
    <w:pPr>
      <w:ind w:firstLine="0"/>
      <w:jc w:val="center"/>
      <w:spacing w:line="240" w:lineRule="auto"/>
      <w:widowControl/>
    </w:pPr>
    <w:rPr>
      <w:rFonts w:hint="eastAsia" w:ascii="宋体" w:hAnsi="宋体" w:cs="宋体"/>
      <w:color w:val="000000"/>
      <w:sz w:val="21"/>
      <w:szCs w:val="22"/>
      <w:lang w:bidi="ar"/>
    </w:rPr>
  </w:style>
  <w:style w:type="character" w:styleId="1347" w:default="1">
    <w:name w:val="Default Paragraph Font"/>
    <w:uiPriority w:val="1"/>
    <w:semiHidden/>
    <w:unhideWhenUsed/>
  </w:style>
  <w:style w:type="numbering" w:styleId="1348" w:default="1">
    <w:name w:val="No List"/>
    <w:uiPriority w:val="99"/>
    <w:semiHidden/>
    <w:unhideWhenUsed/>
  </w:style>
  <w:style w:type="table" w:styleId="1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3.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2026-04-30T01:29:34Z</dcterms:modified>
</cp:coreProperties>
</file>