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ind w:firstLine="0"/>
        <w:rPr>
          <w:rFonts w:hint="eastAsia" w:eastAsia="黑体"/>
          <w:b/>
          <w:bCs/>
          <w:sz w:val="84"/>
          <w:shd w:val="clear" w:color="ffffff" w:fill="d9d9d9"/>
        </w:rPr>
      </w:pPr>
      <w:r>
        <w:rPr>
          <w:rFonts w:hint="eastAsia" w:eastAsia="黑体"/>
          <w:b/>
          <w:bCs/>
          <w:sz w:val="84"/>
          <w:shd w:val="clear" w:color="ffffff" w:fill="d9d9d9"/>
        </w:rPr>
      </w:r>
      <w:r/>
    </w:p>
    <w:p>
      <w:pPr>
        <w:pStyle w:val="763"/>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3"/>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lang w:eastAsia="zh-CN"/>
        </w:rPr>
        <w:t xml:space="preserve">JSZC-320214-JZCG-G2026-0014</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工博园警务站智慧警务室升级改造项 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无锡市新吴区人民政府江溪街道办事处 </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3"/>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四</w:t>
      </w:r>
      <w:r>
        <w:rPr>
          <w:rFonts w:hint="eastAsia" w:ascii="黑体" w:hAnsi="华文中宋" w:eastAsia="黑体"/>
          <w:bCs/>
          <w:color w:val="auto"/>
          <w:sz w:val="32"/>
          <w:szCs w:val="32"/>
          <w:highlight w:val="none"/>
        </w:rPr>
        <w:t xml:space="preserve">月</w:t>
      </w:r>
      <w:r/>
    </w:p>
    <w:p>
      <w:pPr>
        <w:pStyle w:val="763"/>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28"/>
          <w:szCs w:val="28"/>
        </w:rPr>
        <w:outlineLvl w:val="0"/>
      </w:pPr>
      <w:r>
        <w:rPr>
          <w:rFonts w:hint="eastAsia" w:ascii="宋体" w:hAnsi="宋体"/>
          <w:sz w:val="28"/>
          <w:szCs w:val="28"/>
        </w:rPr>
        <w:t xml:space="preserve">投标邀请------------------------------------</w:t>
      </w: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rPr>
          <w:sz w:val="20"/>
          <w:szCs w:val="20"/>
        </w:rP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投标人须知----------------------------------</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6</w:t>
      </w:r>
      <w:r>
        <w:rPr>
          <w:rFonts w:hint="eastAsia" w:ascii="宋体" w:hAnsi="宋体"/>
          <w:color w:val="auto"/>
          <w:sz w:val="28"/>
          <w:szCs w:val="28"/>
          <w:lang w:eastAsia="zh-CN"/>
        </w:rPr>
        <w:t xml:space="preserve">）</w:t>
      </w:r>
      <w:r>
        <w:rPr>
          <w:sz w:val="20"/>
          <w:szCs w:val="20"/>
        </w:rP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合同文本------------------------------------</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20</w:t>
      </w:r>
      <w:r>
        <w:rPr>
          <w:rFonts w:hint="eastAsia" w:ascii="宋体" w:hAnsi="宋体"/>
          <w:color w:val="auto"/>
          <w:sz w:val="28"/>
          <w:szCs w:val="28"/>
          <w:lang w:eastAsia="zh-CN"/>
        </w:rPr>
        <w:t xml:space="preserve">）</w:t>
      </w:r>
      <w:r>
        <w:rPr>
          <w:sz w:val="20"/>
          <w:szCs w:val="20"/>
        </w:rP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采购需求------------------------------------</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24</w:t>
      </w:r>
      <w:r>
        <w:rPr>
          <w:rFonts w:hint="eastAsia" w:ascii="宋体" w:hAnsi="宋体"/>
          <w:color w:val="auto"/>
          <w:sz w:val="28"/>
          <w:szCs w:val="28"/>
          <w:lang w:eastAsia="zh-CN"/>
        </w:rPr>
        <w:t xml:space="preserve">）</w:t>
      </w:r>
      <w:r>
        <w:rPr>
          <w:sz w:val="20"/>
          <w:szCs w:val="20"/>
        </w:rP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评标方法与评标标准--------------------------</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106</w:t>
      </w:r>
      <w:r>
        <w:rPr>
          <w:rFonts w:hint="eastAsia" w:ascii="宋体" w:hAnsi="宋体"/>
          <w:color w:val="auto"/>
          <w:sz w:val="28"/>
          <w:szCs w:val="28"/>
          <w:lang w:eastAsia="zh-CN"/>
        </w:rPr>
        <w:t xml:space="preserve">）</w:t>
      </w:r>
      <w:r>
        <w:rPr>
          <w:sz w:val="20"/>
          <w:szCs w:val="20"/>
        </w:rP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投标文件内容与格式--------------------------</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117</w:t>
      </w:r>
      <w:r>
        <w:rPr>
          <w:rFonts w:hint="eastAsia" w:ascii="宋体" w:hAnsi="宋体"/>
          <w:color w:val="auto"/>
          <w:sz w:val="28"/>
          <w:szCs w:val="28"/>
          <w:lang w:eastAsia="zh-CN"/>
        </w:rPr>
        <w:t xml:space="preserve">）</w:t>
      </w:r>
      <w:r>
        <w:rPr>
          <w:sz w:val="20"/>
          <w:szCs w:val="20"/>
        </w:rPr>
      </w:r>
    </w:p>
    <w:p>
      <w:pPr>
        <w:jc w:val="center"/>
        <w:spacing w:line="500" w:lineRule="exact"/>
        <w:tabs>
          <w:tab w:val="left" w:pos="1440" w:leader="none"/>
        </w:tabs>
        <w:rPr>
          <w:rFonts w:hint="eastAsia" w:ascii="黑体" w:hAnsi="黑体" w:eastAsia="黑体"/>
          <w:sz w:val="36"/>
          <w:szCs w:val="36"/>
        </w:rPr>
        <w:outlineLvl w:val="0"/>
      </w:pPr>
      <w:r/>
      <w:bookmarkStart w:id="207" w:name="_GoBack"/>
      <w:r/>
      <w:bookmarkEnd w:id="207"/>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无锡市新吴区人民政府江溪街道办事处 </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工博园警务站智慧警务室升级改造项目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JSZC-320214-JZCG-G2026-0014</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工博园警务站智慧警务室升级改造项目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04</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24</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9"/>
        <w:ind w:firstLine="452"/>
        <w:keepLines w:val="0"/>
        <w:keepNext w:val="0"/>
        <w:spacing w:before="0" w:after="0" w:line="500" w:lineRule="exact"/>
        <w:rPr>
          <w:color w:val="auto"/>
          <w:sz w:val="30"/>
          <w:szCs w:val="30"/>
          <w:highlight w:val="none"/>
        </w:rPr>
      </w:pPr>
      <w:r/>
      <w:bookmarkStart w:id="6" w:name="_Toc28359002"/>
      <w:r/>
      <w:bookmarkStart w:id="7" w:name="_Toc35393790"/>
      <w:r/>
      <w:bookmarkStart w:id="8" w:name="_Toc38985263"/>
      <w:r/>
      <w:bookmarkStart w:id="9" w:name="_Toc28359079"/>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JSZC-320214-JZCG-G2026-0014</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工博园警务站智慧警务室升级改造项目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355.00</w:t>
      </w:r>
      <w:r>
        <w:rPr>
          <w:rFonts w:hint="eastAsia" w:ascii="宋体" w:hAnsi="宋体"/>
          <w:color w:val="auto"/>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bidi="ar-SA"/>
        </w:rPr>
        <w:t xml:space="preserve">329.900239</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5.采购方式：公开招标（暗标）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79"/>
        <w:ind w:firstLine="452"/>
        <w:keepLines w:val="0"/>
        <w:keepNext w:val="0"/>
        <w:spacing w:before="0" w:after="0" w:line="500" w:lineRule="exact"/>
        <w:rPr>
          <w:color w:val="auto"/>
          <w:sz w:val="30"/>
          <w:szCs w:val="30"/>
          <w:highlight w:val="none"/>
        </w:rPr>
      </w:pPr>
      <w:r/>
      <w:bookmarkStart w:id="12" w:name="_Toc35393791"/>
      <w:r/>
      <w:bookmarkStart w:id="13" w:name="_Toc28359080"/>
      <w:r/>
      <w:bookmarkStart w:id="14" w:name="_Toc28359003"/>
      <w:r/>
      <w:bookmarkStart w:id="15" w:name="_Toc35393622"/>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81"/>
      <w:r/>
      <w:bookmarkStart w:id="19" w:name="_Toc28359004"/>
      <w:r/>
      <w:bookmarkStart w:id="20" w:name="_Toc35393792"/>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26"/>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04</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79"/>
        <w:ind w:firstLine="452"/>
        <w:keepLines w:val="0"/>
        <w:keepNext w:val="0"/>
        <w:spacing w:before="0" w:after="0" w:line="500" w:lineRule="exact"/>
        <w:rPr>
          <w:color w:val="auto"/>
          <w:sz w:val="30"/>
          <w:szCs w:val="30"/>
          <w:highlight w:val="none"/>
        </w:rPr>
      </w:pPr>
      <w:r/>
      <w:bookmarkStart w:id="27" w:name="_Toc38985267"/>
      <w:r/>
      <w:bookmarkStart w:id="28" w:name="_Toc28359084"/>
      <w:r/>
      <w:bookmarkStart w:id="29" w:name="_Toc35393625"/>
      <w:r/>
      <w:bookmarkStart w:id="30" w:name="_Toc35393794"/>
      <w:r/>
      <w:bookmarkStart w:id="31" w:name="_Toc2835900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79"/>
        <w:ind w:firstLine="452"/>
        <w:keepLines w:val="0"/>
        <w:keepNext w:val="0"/>
        <w:spacing w:before="0" w:after="0" w:line="500" w:lineRule="exact"/>
        <w:rPr>
          <w:color w:val="auto"/>
          <w:sz w:val="30"/>
          <w:szCs w:val="30"/>
          <w:highlight w:val="none"/>
        </w:rPr>
      </w:pPr>
      <w:r/>
      <w:bookmarkStart w:id="35" w:name="_Toc35393627"/>
      <w:r/>
      <w:bookmarkStart w:id="36" w:name="_Toc28359085"/>
      <w:r/>
      <w:bookmarkStart w:id="37" w:name="_Toc38985269"/>
      <w:r/>
      <w:bookmarkStart w:id="38" w:name="_Toc28359008"/>
      <w:r/>
      <w:bookmarkStart w:id="39" w:name="_Toc35393796"/>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无锡市新吴区人民政府江溪街道办事处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址：无锡市新吴区江溪街道苏巷路1号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周晓静</w:t>
      </w:r>
      <w:r>
        <w:rPr>
          <w:rFonts w:hint="eastAsia" w:ascii="宋体" w:hAnsi="宋体" w:cs="宋体"/>
          <w:color w:val="auto"/>
          <w:sz w:val="24"/>
          <w:szCs w:val="24"/>
          <w:highlight w:val="none"/>
        </w:rPr>
        <w:t xml:space="preserve">；电话：0510-82110033</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lang w:val="en-US" w:eastAsia="zh-CN"/>
        </w:rPr>
        <w:t xml:space="preserve">周晓静</w:t>
      </w:r>
      <w:r>
        <w:rPr>
          <w:rFonts w:hint="eastAsia" w:ascii="宋体" w:hAnsi="宋体" w:cs="宋体"/>
          <w:color w:val="auto"/>
          <w:sz w:val="24"/>
          <w:szCs w:val="24"/>
          <w:highlight w:val="none"/>
        </w:rPr>
        <w:t xml:space="preserve">；电话：0510-82110033</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79"/>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20614213"/>
      <w:r/>
      <w:bookmarkStart w:id="44" w:name="_Toc513029202"/>
      <w:r/>
      <w:bookmarkStart w:id="45" w:name="_Toc16938518"/>
      <w:r/>
      <w:bookmarkStart w:id="46" w:name="_Toc20823274"/>
      <w:r>
        <w:rPr>
          <w:rFonts w:hint="eastAsia" w:ascii="黑体" w:hAnsi="黑体" w:eastAsia="黑体"/>
          <w:sz w:val="36"/>
          <w:szCs w:val="36"/>
        </w:rPr>
        <w:t xml:space="preserve">投标人须知</w:t>
      </w:r>
      <w:bookmarkEnd w:id="43"/>
      <w:r/>
      <w:bookmarkEnd w:id="44"/>
      <w:r/>
      <w:bookmarkEnd w:id="45"/>
      <w:r/>
      <w:bookmarkEnd w:id="46"/>
      <w:r/>
      <w:r/>
    </w:p>
    <w:p>
      <w:pPr>
        <w:pStyle w:val="679"/>
        <w:ind w:firstLine="452"/>
        <w:keepLines w:val="0"/>
        <w:keepNext w:val="0"/>
        <w:spacing w:before="0" w:after="0" w:line="500" w:lineRule="exact"/>
        <w:rPr>
          <w:rFonts w:hint="eastAsia"/>
          <w:sz w:val="30"/>
          <w:szCs w:val="30"/>
        </w:rPr>
      </w:pPr>
      <w:r/>
      <w:bookmarkStart w:id="47" w:name="_Toc16938519"/>
      <w:r/>
      <w:bookmarkStart w:id="48" w:name="_Toc513029203"/>
      <w:r/>
      <w:bookmarkStart w:id="49" w:name="_Toc20823275"/>
      <w:r/>
      <w:bookmarkStart w:id="50" w:name="_Toc120614214"/>
      <w:r>
        <w:rPr>
          <w:rFonts w:hint="eastAsia"/>
          <w:sz w:val="30"/>
          <w:szCs w:val="30"/>
        </w:rPr>
        <w:t xml:space="preserve">一、总则</w:t>
      </w:r>
      <w:bookmarkEnd w:id="47"/>
      <w:r/>
      <w:bookmarkEnd w:id="48"/>
      <w:r/>
      <w:bookmarkEnd w:id="49"/>
      <w:r/>
      <w:bookmarkEnd w:id="50"/>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0"/>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0"/>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0"/>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513029207"/>
      <w:r/>
      <w:bookmarkStart w:id="64" w:name="_Toc46256406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9"/>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513029209"/>
      <w:r/>
      <w:bookmarkStart w:id="68" w:name="_Toc20823281"/>
      <w:r>
        <w:rPr>
          <w:rFonts w:hint="eastAsia"/>
          <w:sz w:val="30"/>
          <w:szCs w:val="30"/>
        </w:rPr>
        <w:t xml:space="preserve">二、招标文件</w:t>
      </w:r>
      <w:bookmarkEnd w:id="65"/>
      <w:r/>
      <w:bookmarkEnd w:id="66"/>
      <w:r/>
      <w:bookmarkEnd w:id="67"/>
      <w:r/>
      <w:bookmarkEnd w:id="68"/>
      <w:r/>
      <w:r/>
    </w:p>
    <w:p>
      <w:pPr>
        <w:pStyle w:val="680"/>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72" w:name="_Toc20823283"/>
      <w:r/>
      <w:bookmarkStart w:id="73" w:name="_Toc513029211"/>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0"/>
        <w:ind w:firstLine="422"/>
        <w:keepLines w:val="0"/>
        <w:keepNext w:val="0"/>
        <w:spacing w:before="0" w:after="0" w:line="500" w:lineRule="exact"/>
        <w:rPr>
          <w:rFonts w:hint="eastAsia" w:ascii="宋体" w:hAnsi="宋体" w:eastAsia="宋体"/>
          <w:bCs w:val="0"/>
        </w:rPr>
      </w:pPr>
      <w:r/>
      <w:bookmarkStart w:id="76" w:name="_Toc462564071"/>
      <w:r/>
      <w:bookmarkStart w:id="77" w:name="_Toc16938528"/>
      <w:r/>
      <w:bookmarkStart w:id="78" w:name="_Toc20823284"/>
      <w:r/>
      <w:bookmarkStart w:id="79" w:name="_Toc513029212"/>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9"/>
        <w:ind w:firstLine="452"/>
        <w:keepLines w:val="0"/>
        <w:keepNext w:val="0"/>
        <w:spacing w:before="0" w:after="0" w:line="500" w:lineRule="exact"/>
        <w:rPr>
          <w:rFonts w:hint="eastAsia"/>
          <w:sz w:val="30"/>
          <w:szCs w:val="30"/>
        </w:rPr>
      </w:pPr>
      <w:r/>
      <w:bookmarkStart w:id="80" w:name="_Toc120614216"/>
      <w:r/>
      <w:bookmarkStart w:id="81" w:name="_Toc16938529"/>
      <w:r/>
      <w:bookmarkStart w:id="82" w:name="_Toc462564072"/>
      <w:r/>
      <w:bookmarkStart w:id="83" w:name="_Toc513029213"/>
      <w:r/>
      <w:bookmarkStart w:id="84" w:name="_Toc20823285"/>
      <w:r>
        <w:rPr>
          <w:rFonts w:hint="eastAsia"/>
          <w:sz w:val="30"/>
          <w:szCs w:val="30"/>
        </w:rPr>
        <w:t xml:space="preserve">三、投标文件的编制</w:t>
      </w:r>
      <w:bookmarkEnd w:id="80"/>
      <w:r/>
      <w:bookmarkEnd w:id="81"/>
      <w:r/>
      <w:bookmarkEnd w:id="82"/>
      <w:r/>
      <w:bookmarkEnd w:id="83"/>
      <w:r/>
      <w:bookmarkEnd w:id="84"/>
      <w:r/>
      <w:r/>
    </w:p>
    <w:p>
      <w:pPr>
        <w:pStyle w:val="680"/>
        <w:ind w:firstLine="422"/>
        <w:keepLines w:val="0"/>
        <w:keepNext w:val="0"/>
        <w:spacing w:before="0" w:after="0" w:line="500" w:lineRule="exact"/>
        <w:rPr>
          <w:rFonts w:hint="eastAsia" w:ascii="宋体" w:hAnsi="宋体" w:eastAsia="宋体"/>
          <w:bCs w:val="0"/>
        </w:rPr>
      </w:pPr>
      <w:r/>
      <w:bookmarkStart w:id="85" w:name="_Toc16938530"/>
      <w:r/>
      <w:bookmarkStart w:id="86" w:name="_Toc20823286"/>
      <w:r/>
      <w:bookmarkStart w:id="87" w:name="_Toc513029214"/>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0"/>
        <w:ind w:firstLine="422"/>
        <w:keepLines w:val="0"/>
        <w:keepNext w:val="0"/>
        <w:spacing w:before="0" w:after="0" w:line="500" w:lineRule="exact"/>
        <w:rPr>
          <w:rFonts w:hint="eastAsia" w:ascii="宋体" w:hAnsi="宋体" w:eastAsia="宋体"/>
          <w:bCs w:val="0"/>
        </w:rPr>
      </w:pPr>
      <w:r/>
      <w:bookmarkStart w:id="89" w:name="_Toc16938531"/>
      <w:r/>
      <w:bookmarkStart w:id="90" w:name="_Toc20823287"/>
      <w:r/>
      <w:bookmarkStart w:id="91" w:name="_Toc462564074"/>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p>
    <w:p>
      <w:pPr>
        <w:pStyle w:val="680"/>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14577357"/>
      <w:r/>
      <w:bookmarkStart w:id="97" w:name="_Toc49090509"/>
      <w:r/>
      <w:bookmarkStart w:id="98" w:name="_Toc513029219"/>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0"/>
        <w:ind w:firstLine="422"/>
        <w:keepLines w:val="0"/>
        <w:keepNext w:val="0"/>
        <w:spacing w:before="0" w:after="0" w:line="500" w:lineRule="exact"/>
        <w:rPr>
          <w:rFonts w:hint="eastAsia" w:ascii="宋体" w:hAnsi="宋体" w:eastAsia="宋体"/>
          <w:bCs w:val="0"/>
        </w:rPr>
      </w:pPr>
      <w:r/>
      <w:bookmarkStart w:id="108" w:name="_Hlt26670482"/>
      <w:r/>
      <w:bookmarkEnd w:id="108"/>
      <w:r/>
      <w:bookmarkStart w:id="109" w:name="_Hlt26954846"/>
      <w:r/>
      <w:bookmarkEnd w:id="109"/>
      <w:r/>
      <w:bookmarkStart w:id="110" w:name="_Hlt26670486"/>
      <w:r/>
      <w:bookmarkEnd w:id="110"/>
      <w:r/>
      <w:bookmarkStart w:id="111" w:name="_Hlt26954844"/>
      <w:r/>
      <w:bookmarkEnd w:id="111"/>
      <w:r/>
      <w:bookmarkStart w:id="112" w:name="_Hlt26670403"/>
      <w:r/>
      <w:bookmarkEnd w:id="112"/>
      <w:r/>
      <w:bookmarkStart w:id="113" w:name="_Hlt26670425"/>
      <w:r/>
      <w:bookmarkEnd w:id="113"/>
      <w:r/>
      <w:bookmarkStart w:id="114" w:name="_Hlt26668983"/>
      <w:r/>
      <w:bookmarkEnd w:id="114"/>
      <w:r/>
      <w:bookmarkStart w:id="115" w:name="_Hlt26954848"/>
      <w:r/>
      <w:bookmarkEnd w:id="115"/>
      <w:r/>
      <w:bookmarkStart w:id="116" w:name="_Hlt26954731"/>
      <w:r/>
      <w:bookmarkEnd w:id="116"/>
      <w:r/>
      <w:bookmarkStart w:id="117" w:name="_Hlt26954842"/>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0"/>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9"/>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
    </w:p>
    <w:p>
      <w:pPr>
        <w:pStyle w:val="680"/>
        <w:ind w:firstLine="422"/>
        <w:keepLines w:val="0"/>
        <w:keepNext w:val="0"/>
        <w:spacing w:before="0" w:after="0" w:line="500" w:lineRule="exact"/>
        <w:rPr>
          <w:rFonts w:hint="eastAsia" w:ascii="宋体" w:hAnsi="宋体" w:eastAsia="宋体"/>
          <w:bCs w:val="0"/>
        </w:rPr>
      </w:pPr>
      <w:r/>
      <w:bookmarkStart w:id="129" w:name="_Toc462564084"/>
      <w:r/>
      <w:bookmarkStart w:id="130" w:name="_Toc20823297"/>
      <w:r/>
      <w:bookmarkStart w:id="131" w:name="_Toc513029225"/>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8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513029226"/>
      <w:r/>
      <w:bookmarkStart w:id="135" w:name="_Toc16938542"/>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0"/>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0"/>
        <w:ind w:firstLine="422"/>
        <w:keepLines w:val="0"/>
        <w:keepNext w:val="0"/>
        <w:spacing w:before="0" w:after="0" w:line="500" w:lineRule="exact"/>
        <w:rPr>
          <w:rFonts w:hint="eastAsia" w:ascii="宋体" w:hAnsi="宋体" w:eastAsia="宋体"/>
          <w:bCs w:val="0"/>
        </w:rPr>
      </w:pPr>
      <w:r/>
      <w:bookmarkStart w:id="139" w:name="_Toc20823300"/>
      <w:r/>
      <w:bookmarkStart w:id="140" w:name="_Toc16938544"/>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9"/>
        <w:ind w:firstLine="452"/>
        <w:keepLines w:val="0"/>
        <w:keepNext w:val="0"/>
        <w:spacing w:before="0" w:after="0" w:line="500" w:lineRule="exact"/>
        <w:rPr>
          <w:rFonts w:hint="eastAsia"/>
          <w:sz w:val="30"/>
          <w:szCs w:val="30"/>
        </w:rPr>
      </w:pPr>
      <w:r/>
      <w:bookmarkStart w:id="142" w:name="_Toc513029229"/>
      <w:r/>
      <w:bookmarkStart w:id="143" w:name="_Toc120614218"/>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
    </w:p>
    <w:p>
      <w:pPr>
        <w:pStyle w:val="680"/>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0"/>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0"/>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20823306"/>
      <w:r/>
      <w:bookmarkStart w:id="159" w:name="_Toc16938550"/>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91"/>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0"/>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513029235"/>
      <w:r/>
      <w:bookmarkStart w:id="162" w:name="_Toc20823307"/>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9"/>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bookmarkEnd w:id="170"/>
      <w:bookmarkEnd w:id="171"/>
      <w:bookmarkEnd w:id="172"/>
      <w:r/>
    </w:p>
    <w:p>
      <w:pPr>
        <w:pStyle w:val="680"/>
        <w:ind w:firstLine="422"/>
        <w:keepLines w:val="0"/>
        <w:keepNext w:val="0"/>
        <w:spacing w:before="0" w:after="0" w:line="500" w:lineRule="exact"/>
        <w:rPr>
          <w:rFonts w:hint="eastAsia" w:ascii="宋体" w:hAnsi="宋体" w:eastAsia="宋体"/>
          <w:bCs w:val="0"/>
        </w:rPr>
      </w:pPr>
      <w:r/>
      <w:bookmarkStart w:id="173" w:name="_Toc513029237"/>
      <w:r/>
      <w:bookmarkStart w:id="174" w:name="_Toc16938553"/>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479757207"/>
      <w:r/>
      <w:bookmarkStart w:id="177" w:name="_Toc20823314"/>
      <w:r/>
      <w:bookmarkStart w:id="178" w:name="_Toc16938558"/>
      <w:r/>
      <w:bookmarkStart w:id="179" w:name="_Toc513029242"/>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rPr>
      </w:pPr>
      <w:r>
        <w:rPr>
          <w:rFonts w:hint="eastAsia" w:ascii="宋体" w:hAnsi="宋体"/>
          <w:b/>
          <w:color w:val="auto"/>
          <w:sz w:val="30"/>
        </w:rPr>
        <w:t xml:space="preserve">江苏省政府采购合同（货物）（合同编号）</w:t>
      </w:r>
      <w:r/>
    </w:p>
    <w:p>
      <w:pPr>
        <w:spacing w:line="400" w:lineRule="exact"/>
        <w:rPr>
          <w:rFonts w:ascii="宋体" w:hAnsi="宋体" w:cs="Courier New"/>
          <w:color w:val="auto"/>
          <w:sz w:val="24"/>
          <w:szCs w:val="24"/>
        </w:rPr>
      </w:pPr>
      <w:r>
        <w:rPr>
          <w:rFonts w:ascii="宋体" w:hAnsi="宋体" w:cs="Courier New"/>
          <w:color w:val="auto"/>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p>
    <w:p>
      <w:pPr>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p>
    <w:p>
      <w:pPr>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p>
    <w:p>
      <w:pPr>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p>
    <w:p>
      <w:pPr>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ascii="宋体" w:hAnsi="宋体" w:cs="宋体"/>
          <w:color w:val="000000"/>
          <w:sz w:val="24"/>
        </w:rPr>
      </w:pPr>
      <w:r>
        <w:rPr>
          <w:rFonts w:ascii="宋体" w:hAnsi="宋体"/>
          <w:bCs/>
          <w:sz w:val="24"/>
          <w:szCs w:val="24"/>
        </w:rPr>
        <w:br w:type="page" w:clear="all"/>
      </w:r>
      <w:bookmarkEnd w:id="181"/>
      <w:bookmarkEnd w:id="182"/>
      <w:bookmarkEnd w:id="183"/>
      <w:r/>
    </w:p>
    <w:p>
      <w:pPr>
        <w:jc w:val="center"/>
        <w:spacing w:line="500" w:lineRule="exact"/>
        <w:tabs>
          <w:tab w:val="left" w:pos="1440" w:leader="none"/>
        </w:tabs>
        <w:rPr>
          <w:rFonts w:hint="eastAsia" w:ascii="黑体" w:hAnsi="黑体" w:eastAsia="黑体"/>
          <w:sz w:val="36"/>
          <w:szCs w:val="36"/>
        </w:rPr>
        <w:outlineLvl w:val="0"/>
      </w:pPr>
      <w:r/>
      <w:bookmarkStart w:id="184" w:name="_Hlt16619369"/>
      <w:r/>
      <w:bookmarkEnd w:id="184"/>
      <w:r/>
      <w:bookmarkStart w:id="185" w:name="_Hlt16619350"/>
      <w:r/>
      <w:bookmarkStart w:id="186" w:name="_Toc20823346"/>
      <w:r/>
      <w:bookmarkStart w:id="187" w:name="_Toc120614244"/>
      <w:r/>
      <w:bookmarkStart w:id="188" w:name="_Toc16938590"/>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auto"/>
          <w:sz w:val="30"/>
          <w:szCs w:val="30"/>
        </w:rPr>
        <w:t xml:space="preserve">货物类项目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本项目标的物所属行业：详见项目技术要求</w:t>
      </w:r>
      <w:r/>
    </w:p>
    <w:p>
      <w:pPr>
        <w:ind w:firstLine="482"/>
        <w:spacing w:line="360" w:lineRule="auto"/>
        <w:rPr>
          <w:rFonts w:hint="eastAsia" w:ascii="宋体" w:hAnsi="宋体"/>
          <w:b/>
          <w:bCs/>
          <w:i/>
          <w:color w:val="ff0000"/>
          <w:sz w:val="24"/>
          <w:szCs w:val="24"/>
        </w:rPr>
      </w:pPr>
      <w:r>
        <w:rPr>
          <w:rFonts w:hint="eastAsia" w:ascii="宋体" w:hAnsi="宋体"/>
          <w:b/>
          <w:bCs/>
          <w:color w:val="ff0000"/>
          <w:sz w:val="24"/>
          <w:szCs w:val="24"/>
        </w:rPr>
        <w:t xml:space="preserve">本项目中的400万半球型网络摄像机为核心产品。</w:t>
      </w:r>
      <w:r/>
    </w:p>
    <w:p>
      <w:pPr>
        <w:ind w:firstLine="602"/>
        <w:spacing w:line="360" w:lineRule="auto"/>
        <w:rPr>
          <w:rFonts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pStyle w:val="679"/>
        <w:ind w:firstLine="482"/>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1.</w:t>
      </w:r>
      <w:r>
        <w:rPr>
          <w:rFonts w:hint="eastAsia" w:asciiTheme="minorEastAsia" w:hAnsiTheme="minorEastAsia" w:eastAsiaTheme="minorEastAsia" w:cstheme="minorEastAsia"/>
          <w:sz w:val="24"/>
          <w:szCs w:val="24"/>
          <w:highlight w:val="none"/>
        </w:rPr>
        <w:t xml:space="preserve">项目建设概况</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基于无锡市工博园警务工作站业务实际需求，对其改造后的业务办公区域开展硬件系统规划与信息化建设。</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项目聚焦于构建一套高效协同的智能化系统，涵盖监控、出入口管理、汽车充电桩、门禁、综合布线、综合指挥大厅及装备室等多个子系统。利用局域网高效数据传输优势，实现各子系统有机联动与统筹管理。</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视频监控系统全面覆盖警务工作站主要道路及公共区域，保障人员与财产安全；出入口管理系统通过道闸控制车辆进出权限；汽车充电桩为新能源车提供充电服务；门禁系统强化重要区域安全管理；综合布线系统满足各区域信息网络与语音点位需求；综合指挥大厅集成多种信息化设备，作为警务工作核心枢纽，承担接处警、指挥调度等重要职能，全面提升警务工作效能与智能化水平</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专为警务场景打造的智能化装备管理系统，集成RFID射频识别、生物识别等技术，实现装备快速存取与全流程监管</w:t>
      </w:r>
      <w:r>
        <w:rPr>
          <w:rFonts w:hint="eastAsia" w:asciiTheme="minorEastAsia" w:hAnsiTheme="minorEastAsia" w:eastAsiaTheme="minorEastAsia" w:cstheme="minorEastAsia"/>
          <w:sz w:val="24"/>
          <w:szCs w:val="24"/>
          <w:highlight w:val="none"/>
        </w:rPr>
        <w:t xml:space="preserve">。</w:t>
      </w:r>
      <w:r/>
    </w:p>
    <w:p>
      <w:pPr>
        <w:pStyle w:val="679"/>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.项目建设内容</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博园警务工作站智能化系统建设，充分发挥局域网高效数据传输的优势，对各子系统进行整合集成，实现各系统间有机联动与按需交互，形成一个有机的整体，达成技术联防与统筹管理的目标。本项目主要建设内容如下：</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监控系统</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视频监控系统需全面覆盖警务工作站</w:t>
      </w:r>
      <w:r>
        <w:rPr>
          <w:rFonts w:hint="eastAsia" w:asciiTheme="minorEastAsia" w:hAnsiTheme="minorEastAsia" w:eastAsiaTheme="minorEastAsia" w:cstheme="minorEastAsia"/>
          <w:sz w:val="24"/>
          <w:szCs w:val="24"/>
          <w:highlight w:val="none"/>
          <w:lang w:val="en-US" w:eastAsia="zh-CN"/>
        </w:rPr>
        <w:t xml:space="preserve">内</w:t>
      </w:r>
      <w:r>
        <w:rPr>
          <w:rFonts w:hint="eastAsia" w:asciiTheme="minorEastAsia" w:hAnsiTheme="minorEastAsia" w:eastAsiaTheme="minorEastAsia" w:cstheme="minorEastAsia"/>
          <w:sz w:val="24"/>
          <w:szCs w:val="24"/>
          <w:highlight w:val="none"/>
        </w:rPr>
        <w:t xml:space="preserve">公共区域，具体包括大门出入口、便民服务大厅、指挥大厅、民警办公室、装备室、案管室等</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监控存储满足180天要求</w:t>
      </w:r>
      <w:r>
        <w:rPr>
          <w:rFonts w:hint="eastAsia" w:asciiTheme="minorEastAsia" w:hAnsiTheme="minorEastAsia" w:eastAsiaTheme="minorEastAsia" w:cstheme="minorEastAsia"/>
          <w:sz w:val="24"/>
          <w:szCs w:val="24"/>
          <w:highlight w:val="none"/>
        </w:rPr>
        <w:t xml:space="preserve">。</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门禁系统</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门禁系统部署于综合指挥室、综合服务大厅、民警办公室、装备管理室、案管室等重要区域，这些区域限制非本所人员及非特定人员进入。该系统主要实现重要场所出入口的安全管理，对门禁资源、卡片、人员、权限、报警等进行一体化管控。控制端可对门禁资源进行统一操作管理，对报警及事件实现中心化管理。</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出入口管理系统</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在派出所大门出入口设置</w:t>
      </w:r>
      <w:r>
        <w:rPr>
          <w:rFonts w:hint="eastAsia" w:asciiTheme="minorEastAsia" w:hAnsiTheme="minorEastAsia" w:eastAsiaTheme="minorEastAsia" w:cstheme="minorEastAsia"/>
          <w:sz w:val="24"/>
          <w:szCs w:val="24"/>
          <w:highlight w:val="none"/>
          <w:lang w:val="en-US" w:eastAsia="zh-CN"/>
        </w:rPr>
        <w:t xml:space="preserve">车辆</w:t>
      </w:r>
      <w:r>
        <w:rPr>
          <w:rFonts w:hint="eastAsia" w:asciiTheme="minorEastAsia" w:hAnsiTheme="minorEastAsia" w:eastAsiaTheme="minorEastAsia" w:cstheme="minorEastAsia"/>
          <w:sz w:val="24"/>
          <w:szCs w:val="24"/>
          <w:highlight w:val="none"/>
        </w:rPr>
        <w:t xml:space="preserve">道闸系统，主要功能是对进出警务工作站的车辆进行权限控制，确保车辆出入有序、安全。</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汽车充电桩</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考虑在派出所停车区域规划专门的新能源车位，并安装充电桩，为符合条件的电动汽车提供日常快速充电储能服务，满足绿色出行需求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同时</w:t>
      </w:r>
      <w:r>
        <w:rPr>
          <w:rFonts w:hint="eastAsia" w:asciiTheme="minorEastAsia" w:hAnsiTheme="minorEastAsia" w:eastAsiaTheme="minorEastAsia" w:cstheme="minorEastAsia"/>
          <w:sz w:val="24"/>
          <w:szCs w:val="24"/>
          <w:highlight w:val="none"/>
        </w:rPr>
        <w:t xml:space="preserve">为保障充电桩使用的规范性与安全性，将配置专门的充电桩授权卡片，仅授权用户可持卡进行充电操作</w:t>
      </w:r>
      <w:r>
        <w:rPr>
          <w:rFonts w:hint="eastAsia" w:asciiTheme="minorEastAsia" w:hAnsiTheme="minorEastAsia" w:eastAsiaTheme="minorEastAsia" w:cstheme="minorEastAsia"/>
          <w:sz w:val="24"/>
          <w:szCs w:val="24"/>
          <w:highlight w:val="none"/>
          <w:lang w:val="en-US" w:eastAsia="zh-CN"/>
        </w:rPr>
        <w:t xml:space="preserve">。</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综合布线系统</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综合布线系统涵盖指挥大厅整个区域的操作席位、指挥席位、服务窗口席位、民警办公室工位、基础管控中心席位、案管室席位的信息网络及语音点位布设。每个席位配置3套网络接入模块与1套电话接入模块。同时，该系统还包括信息发布及会议室信息点位建设，为信息传输与交流提供基础保障。</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（6）网络系统建设</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在整个派出所的网络架构体系中，共规划部署了4套相互独立的网络，分别为公安信息网、视频网、政务网以及设备网，共同为派出所的各项业务开展提供坚实的网络支撑。</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公安信息网作为派出所的核心业务网络，承载着各类敏感且重要的公安业务数据传输与处理任务。视频网专注于视频监控数据的传输与存储，政务网主要用于与政府部门之间的信息交互与业务协同，设备网则是为派出所内各类智能设备提供网络连接的基础设施。</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指挥中心信息化建设</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指挥中心作为派出所内接处警、指挥调度和综合勤务保障的核心部门，承担着统筹指挥、分析研判、警情处置以及规范视频巡控等重要工作职责。指挥中心信息化建设包含大屏显示系统、扩声系统、会议发言系统、一键点调系统、智慧操作终端、机房工程及操作席位建设等内容。</w:t>
      </w:r>
      <w:r/>
    </w:p>
    <w:p>
      <w:pPr>
        <w:ind w:firstLine="48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（8）装备系统建设</w:t>
      </w:r>
      <w:r/>
    </w:p>
    <w:p>
      <w:pPr>
        <w:ind w:firstLine="48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highlight w:val="none"/>
          <w:lang w:val="en-US" w:eastAsia="zh-CN"/>
        </w:rPr>
        <w:t xml:space="preserve">专为警务场景打造智能化装备管理系统，集成RFID射频识别、生物识别等技术，实现装备快速存取与全流程监管。柜体配备多重身份验证（指纹、人脸、刷卡等），确保仅授权人员可操作，并自动记录领取归还信息。通过智能盘点与定位功能，民警可秒级找到所需装备，出警响应效率显著提升。</w:t>
      </w:r>
      <w:r/>
    </w:p>
    <w:p>
      <w:pPr>
        <w:pStyle w:val="792"/>
        <w:numPr>
          <w:ilvl w:val="0"/>
          <w:numId w:val="5"/>
        </w:numPr>
        <w:pageBreakBefore w:val="0"/>
        <w:spacing w:line="360" w:lineRule="auto"/>
        <w:widowControl w:val="off"/>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建设清单</w:t>
      </w:r>
      <w:r/>
    </w:p>
    <w:tbl>
      <w:tblPr>
        <w:tblStyle w:val="68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74"/>
        <w:gridCol w:w="3786"/>
        <w:gridCol w:w="932"/>
        <w:gridCol w:w="784"/>
        <w:gridCol w:w="681"/>
        <w:gridCol w:w="2316"/>
      </w:tblGrid>
      <w:tr>
        <w:trPr>
          <w:trHeight w:val="3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标的名称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计量单位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工程量</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是否进口</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所属行业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400万半球型网络摄像机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人脸识别相机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7寸200万32倍双光轻智能球机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设备箱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400万筒型网络摄像机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400万防油污半球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安防管理平台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门禁电源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刷卡门禁一体机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四门门禁控制器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双门磁力锁支架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单门磁力锁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单门磁力锁支架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人脸授权主机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IC卡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道闸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出入口一体机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立柱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出入口LED显示屏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出入口控制终端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安全岛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吸顶红外探测器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布撤防键盘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WiFi指纹锁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信息网48口交换机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信息网24口交换机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视频网48口交换机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视频网24口交换机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视频网48口POE交换机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互联网24口交换机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互联网24口POE交换机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AC控制器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互联网安全网关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55寸信息发布一体机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85寸信息发布一体机(触摸)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信息发布液压支架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55寸显示屏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信息发布系统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软件和信息技术服务业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环境全景摄像机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证据抓拍摄像机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标采一体机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Ⅴ型足迹采集仪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声纹采集仪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虹膜采集仪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环境全景摄像机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特写摄像机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指挥摄像机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时间温湿度LED数码屏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环境全景摄像机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高保真拾音器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生命健康雷达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舒适型醒酒椅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P1.25LED屏幕-COB封装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发送卡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大屏支架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大屏配电箱-PLC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拼接控制器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输入板卡（1080P）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输入板卡（4K）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输出板卡（1080P）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大屏进线电源线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大屏电源线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大屏网线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86寸触控一体机</w:t>
            </w:r>
            <w:r>
              <w:rPr>
                <w:rStyle w:val="793"/>
                <w:rFonts w:hint="eastAsia" w:asciiTheme="minorEastAsia" w:hAnsiTheme="minorEastAsia" w:eastAsiaTheme="minorEastAsia" w:cstheme="minorEastAsia"/>
                <w:sz w:val="21"/>
                <w:szCs w:val="21"/>
                <w:highlight w:val="none"/>
                <w:lang w:val="en-US" w:eastAsia="zh-CN" w:bidi="ar"/>
              </w:rPr>
              <w:br/>
            </w:r>
            <w:r>
              <w:rPr>
                <w:rStyle w:val="793"/>
                <w:rFonts w:hint="eastAsia" w:asciiTheme="minorEastAsia" w:hAnsiTheme="minorEastAsia" w:eastAsiaTheme="minorEastAsia" w:cstheme="minorEastAsia"/>
                <w:sz w:val="21"/>
                <w:szCs w:val="21"/>
                <w:highlight w:val="none"/>
                <w:lang w:val="en-US" w:eastAsia="zh-CN" w:bidi="ar"/>
              </w:rPr>
              <w:t xml:space="preserve">（含OPS功能模块）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高清线-2米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高清线-5米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高清线-15米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高清线-30米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一拖二无线话筒（手持）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一拖二无线话筒（头戴）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天线放大器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数字触控型会议主机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全自动数字反馈抑制器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数字触控型主席单元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数字触控型代表单元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音频分线盒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数据延长线缆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指挥大厅音柱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专业数字功放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顺序电源启动器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中控主机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集中控制系统软件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中控控制器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无线路由器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话筒线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电子水墨屏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4人位操作席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7人位指挥席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会商桌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人体工学椅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指挥席座椅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23.8寸升降屏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业务处理图形工作站（不含显示器）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34寸带鱼屏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蓄电池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电池连接线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基础低座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室内接地网工程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绝缘子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设备接地线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接地端子箱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基地台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手持对讲机（350M）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视频会议终端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视频会议摄像机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HDMI线缆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42U服务器机柜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42U网络机柜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多媒体信息盒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86寸触控一体机</w:t>
            </w:r>
            <w:r>
              <w:rPr>
                <w:rStyle w:val="793"/>
                <w:rFonts w:hint="eastAsia" w:asciiTheme="minorEastAsia" w:hAnsiTheme="minorEastAsia" w:eastAsiaTheme="minorEastAsia" w:cstheme="minorEastAsia"/>
                <w:sz w:val="21"/>
                <w:szCs w:val="21"/>
                <w:highlight w:val="none"/>
                <w:lang w:val="en-US" w:eastAsia="zh-CN" w:bidi="ar"/>
              </w:rPr>
              <w:br/>
            </w:r>
            <w:r>
              <w:rPr>
                <w:rStyle w:val="793"/>
                <w:rFonts w:hint="eastAsia" w:asciiTheme="minorEastAsia" w:hAnsiTheme="minorEastAsia" w:eastAsiaTheme="minorEastAsia" w:cstheme="minorEastAsia"/>
                <w:sz w:val="21"/>
                <w:szCs w:val="21"/>
                <w:highlight w:val="none"/>
                <w:lang w:val="en-US" w:eastAsia="zh-CN" w:bidi="ar"/>
              </w:rPr>
              <w:t xml:space="preserve">（含OPS功能模块）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壁挂支架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一拖二无线话筒（手持）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定阻功放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顺序电源启动器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一拖四方管无线鹅颈话筒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会议地插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24U机柜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同轴电缆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话筒线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真分集无线话筒（头戴）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天线放大器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6路调音台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全自动数字反馈抑制器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全频吸顶音箱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定阻功放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同轴电缆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装备管理系统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软件和信息技术服务业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装备室信息管理终端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装备室信息展示终端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智能单警装备柜主机柜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智能单警装备柜（二门）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智能单警装备柜（三门）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智能户外风冷套件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智能户外装备柜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智能单警装备柜过道灯光门板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智能货架-货架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智能货架-货架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人员定位相机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库房人员视觉定位系统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软件和信息技术服务业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RFID读写器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RFID系统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RFID天线及延长馈线（1）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RFID天线及延长馈线（2）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RFID芯片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畅飞套装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无人机模拟器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执法记录仪采集站（主机）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采集站拓展物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执法记录仪连接线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6类信息模块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地插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6类24口非屏蔽数据配线架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金属理线器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3米六类非屏蔽网络跳线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2米六类非屏蔽网络跳线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六类非屏蔽线缆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110语音配线架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RJ45转110语音跳线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4芯光纤盒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光纤跳线（3米）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光纤熔纤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4芯室外光纤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PVC-25管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PVC-20管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KBG25管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PVC-25管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PVC-20管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KBG25管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85.78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公安政务服务自助机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设备搬迁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软件和信息技术服务业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三色声光报警器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报警控制终端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智能考勤终端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7KW充电桩-慢充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工业</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执法办案区利旧设备搬运安装调试费用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软件和信息技术服务业</w:t>
            </w:r>
            <w:r/>
          </w:p>
        </w:tc>
      </w:tr>
    </w:tbl>
    <w:p>
      <w:pPr>
        <w:rPr>
          <w:rFonts w:hint="default"/>
        </w:rPr>
      </w:pPr>
      <w:r>
        <w:rPr>
          <w:rFonts w:hint="default"/>
        </w:rPr>
      </w:r>
      <w:r/>
    </w:p>
    <w:p>
      <w:pPr>
        <w:pStyle w:val="792"/>
        <w:numPr>
          <w:ilvl w:val="0"/>
          <w:numId w:val="5"/>
        </w:numPr>
        <w:ind w:left="0" w:firstLine="0"/>
        <w:spacing w:line="360" w:lineRule="auto"/>
        <w:rPr>
          <w:rFonts w:hint="default" w:ascii="Times New Roman" w:hAnsi="Times New Roman" w:cs="Times New Roman"/>
          <w:b w:val="0"/>
          <w:bCs w:val="0"/>
          <w:sz w:val="24"/>
          <w:szCs w:val="24"/>
          <w:highlight w:val="none"/>
        </w:rPr>
      </w:pPr>
      <w:r>
        <w:rPr>
          <w:rFonts w:hint="default" w:ascii="Times New Roman" w:hAnsi="Times New Roman" w:cs="Times New Roman"/>
          <w:b w:val="0"/>
          <w:bCs w:val="0"/>
          <w:sz w:val="24"/>
          <w:szCs w:val="24"/>
          <w:highlight w:val="none"/>
        </w:rPr>
        <w:t xml:space="preserve">具体参数</w:t>
      </w:r>
      <w:r/>
    </w:p>
    <w:tbl>
      <w:tblPr>
        <w:tblStyle w:val="68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09"/>
        <w:gridCol w:w="1269"/>
        <w:gridCol w:w="6722"/>
        <w:gridCol w:w="402"/>
        <w:gridCol w:w="371"/>
      </w:tblGrid>
      <w:tr>
        <w:trPr>
          <w:trHeight w:val="320"/>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0"/>
                <w:highlight w:val="none"/>
                <w:u w:val="none"/>
              </w:rPr>
              <w:suppressLineNumbers w:val="0"/>
            </w:pPr>
            <w:r>
              <w:rPr>
                <w:rFonts w:hint="eastAsia" w:asciiTheme="minorEastAsia" w:hAnsiTheme="minorEastAsia" w:eastAsiaTheme="minorEastAsia" w:cstheme="minorEastAsia"/>
                <w:b/>
                <w:bCs/>
                <w:i w:val="0"/>
                <w:iCs w:val="0"/>
                <w:color w:val="000000"/>
                <w:sz w:val="21"/>
                <w:szCs w:val="20"/>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0"/>
                <w:highlight w:val="none"/>
                <w:u w:val="none"/>
              </w:rPr>
              <w:suppressLineNumbers w:val="0"/>
            </w:pPr>
            <w:r>
              <w:rPr>
                <w:rFonts w:hint="eastAsia" w:asciiTheme="minorEastAsia" w:hAnsiTheme="minorEastAsia" w:eastAsiaTheme="minorEastAsia" w:cstheme="minorEastAsia"/>
                <w:b/>
                <w:bCs/>
                <w:i w:val="0"/>
                <w:iCs w:val="0"/>
                <w:color w:val="000000"/>
                <w:sz w:val="21"/>
                <w:szCs w:val="20"/>
                <w:highlight w:val="none"/>
                <w:u w:val="none"/>
                <w:lang w:val="en-US" w:eastAsia="zh-CN" w:bidi="ar"/>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0"/>
                <w:highlight w:val="none"/>
                <w:u w:val="none"/>
              </w:rPr>
              <w:suppressLineNumbers w:val="0"/>
            </w:pPr>
            <w:r>
              <w:rPr>
                <w:rFonts w:hint="eastAsia" w:asciiTheme="minorEastAsia" w:hAnsiTheme="minorEastAsia" w:eastAsiaTheme="minorEastAsia" w:cstheme="minorEastAsia"/>
                <w:b/>
                <w:bCs/>
                <w:i w:val="0"/>
                <w:iCs w:val="0"/>
                <w:color w:val="000000"/>
                <w:sz w:val="21"/>
                <w:szCs w:val="20"/>
                <w:highlight w:val="none"/>
                <w:u w:val="none"/>
                <w:lang w:val="en-US" w:eastAsia="zh-CN" w:bidi="ar"/>
              </w:rPr>
              <w:t xml:space="preserve">参数</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0"/>
                <w:highlight w:val="none"/>
                <w:u w:val="none"/>
              </w:rPr>
              <w:suppressLineNumbers w:val="0"/>
            </w:pPr>
            <w:r>
              <w:rPr>
                <w:rFonts w:hint="eastAsia" w:asciiTheme="minorEastAsia" w:hAnsiTheme="minorEastAsia" w:eastAsiaTheme="minorEastAsia" w:cstheme="minorEastAsia"/>
                <w:b/>
                <w:bCs/>
                <w:i w:val="0"/>
                <w:iCs w:val="0"/>
                <w:color w:val="000000"/>
                <w:sz w:val="21"/>
                <w:szCs w:val="20"/>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0"/>
                <w:highlight w:val="none"/>
                <w:u w:val="none"/>
              </w:rPr>
              <w:suppressLineNumbers w:val="0"/>
            </w:pPr>
            <w:r>
              <w:rPr>
                <w:rFonts w:hint="eastAsia" w:asciiTheme="minorEastAsia" w:hAnsiTheme="minorEastAsia" w:eastAsiaTheme="minorEastAsia" w:cstheme="minorEastAsia"/>
                <w:b/>
                <w:bCs/>
                <w:i w:val="0"/>
                <w:iCs w:val="0"/>
                <w:color w:val="000000"/>
                <w:sz w:val="21"/>
                <w:szCs w:val="20"/>
                <w:highlight w:val="none"/>
                <w:u w:val="none"/>
                <w:lang w:val="en-US" w:eastAsia="zh-CN" w:bidi="ar"/>
              </w:rPr>
              <w:t xml:space="preserve">数量</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安防监控系统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400万半球型网络摄像机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1、最高分辨率不少于2560 × 1440 @25 fps，在该分辨率下可输出实时图像；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2、支持背光补偿，强光抑制，3D数字降噪，120 dB宽动态，适应不同环境；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3、支持采用高效阵列红外灯，使用寿命长，红外照射距离最远可达30 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4、≥1路报警输入，≥1路报警输出（报警输出最大支持DC12 V，30 mA），≥1路音频输入，≥1路音频输出；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5、补光灯类型：红外灯；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6、最远补光距离：≥30 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7.红外波长范围≥850 nm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8、支持电源输出：DC12 V，100 mA电源输出，建议用于拾音器供电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9、支持PoE：IEEE 802.3af，CLASS 3，最大功耗：7.5 W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10、支持供电方式：DC：12 V ± 25%，支持防反接保护；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人脸识别相机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1、人脸抓拍：支持对运动人脸进行检测、跟踪、抓拍、评分、筛选，输出最的优的人脸抓图，最多同时检测数量≥60个/帧，支持前端人脸比对；</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2、混合目标检测：支持人脸+人体抓拍+属性提取，对目标进行跟踪、评分，输出最的优抓拍图，最多同时检测≥60个/帧；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3、道路监控：支持背向行驶车辆抓拍，支持车牌、子品牌、车身颜色、车辆类型。支持行人、非机动车、机动车的混行检测；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4、Smart事件：支持越界侦测，区域入侵侦测，进入区域侦测，离开区域侦测，徘徊侦测，人员聚集侦测，快速运动侦测，停车侦测，物品遗的留侦测，物品拿取侦测；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5、支持低码率、低延时、ROI感兴趣区域增强编码、SVC自适应编码技术的；</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6、支持透雾、电子防抖；</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7、支持宽动态≥120dB；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8、支持最高分辨率400万像素（2688*1520@30fps）；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9、支持五码流技术，双路高清，支持同时20路取流；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10、支持三级用户权限管理，支持授权的用户和密码，支持IP地址过滤，支持GB35114安全加密（/JM型号支持）；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11、支持10 M/100 M/1000 M自适应以太网口；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12、支持≥2个内置麦克风，≥1个内置扬声器；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13、接口不少于：2路音频输入，1路音频输出，3路报警输入，2路报警输出（报警输入支持开关量，报警输出最大支持DC12 V，30mA）；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7寸200万32倍双光轻智能球机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1、采用双光补光，红外补光≥150 m，白光≥100 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2、支持内置加热玻璃，有效除雾；</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3、支持32倍光学变倍，16倍数字变倍；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4、支持三码流技术，每路码流可独立配置分辨率及帧率；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5、支持3D数字降噪，支持真宽动态；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6、报警输入信号不少于2路，报警输出信号不少于1路，音频输入≥1路，音频输出≥1路，最大MicroSD卡存储支持≥512 GB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7、宽动态：支持真宽动态；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8、补光灯类型：支持红外，白光补光；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9、补光灯距离：红外：150 m，白光：100 m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10、水平范围：360°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11、垂直范围：-15°-90°(自动翻转)</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12、主码流帧率分辨率支持：50 Hz:25 fps(1920 × 1080,1280 × 720)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60 Hz:30 fps(1920 × 1080,1280 × 720)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13、视频压缩标准支持：H.265;H.264;MJPEG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摄像机电源</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1、名称：摄像机电源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2、规格：DC12V</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光纤收发器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1、名称：单模单纤千兆光纤收发器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2、规格：1000M光电转换器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设备箱</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不小于300mm*200mm*200mm，内含不锈钢板，空气开关、插座、组合接线插座、光纤终端盒及托架、箱内活动支架等配件,背包式机箱，含机箱电源漏电保护器；在设备箱门上加公安标识、承建方标识和维修电话。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400万筒型网络摄像机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400万筒型网络摄像机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1、最高分辨率≥2560 × 1440 @25 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2、支持SmartIR，防止夜间红外过曝；</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3、支持背光补偿，强光抑制，3D数字降噪，数字宽动态，适应不同使用环境；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4、智能补光，支持白光/红外双补光，红外光最远可达50 m，白光最远可达30 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5、宽动态：数字宽动态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6、补光灯类型：智能补光，可切换白光灯、红外灯；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7、补光距离：最远红外≥50 m，最远白光≥30 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8、支持防补光过曝；</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9、视频压缩标准：主码流：H.265/H.264/Smart264/Smart265；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10、内置麦克风≥1个；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11、电流及功耗：DC：12 V ± 25%，支持防反接保护；</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12、PoE：IEEE 802.3af，CLASS 3；</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13、防护：IP67；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摄像机支架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铝合金；最大承重不小于1.0kg;壁装;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400万防油污半球</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400万防油污半球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1、最高分辨率≥2688 × 1520 @25 fps，在该分辨率下可输出实时图像；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Smart侦测：场景变更侦测，区域入侵侦测，越界侦测，进入区域侦测，离开区域侦测，物品遗留侦测，物品拿取侦测，徘徊侦测，停车侦测，人员聚集侦测，快速移动侦测，音频异常侦测，音频陡升侦测，音频陡降侦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3、采用高效阵列红外灯，使用寿命长，红外照射距离最远可达≥30 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4、支持1个内置麦克风；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5、报警输入≥1路，报警输出≥1路（报警输出最大支持DC12 V，30 mA），音频输入≥1路，音频输出≥1路；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6、宽动态：120 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7、补光灯类型：支持红外灯补光；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8、最远补光距离：≥30 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9、支持防补光过曝；</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10、电流及功耗：DC：12 V ± 25，0.54 A，最大功耗：6.5 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11、PoE：IEEE802.3af，CLASS3，最大功耗：7.5 W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12、防护：IP66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13、设备镜头前部具有防尘玻璃，玻璃外框采用3个磁吸柱固定；</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14、内置1个防尘玻璃，1个麦克风，一个RJ45网络接口；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硬盘录像机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1、存储接口：≥16个SATA接口；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2、存储：配备≥16块12T硬盘；</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3、视频接口：≥2×HDMI，≥2×VGA；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4、网络接口：≥2×RJ45 10/100/1000Mbps自适应以太网口；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5、报警接口：≥16路报警输入，≥9路报警输出（其中第9路支持CTRL 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6、反向供电：≥1路DC12V 1A；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7、串行接口：≥1路RS-232接口，≥1路半双工RS-485接口；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8、USB接口：≥2×USB 2.0，≥2×USB 3.0；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9、输入带宽：≥320Mbps；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10、输出带宽：≥256Mbps；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11、接入能力：≥64路H.264、H.265格式高清码流接入；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12、最大解码能力：≥12路1080P画面；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13、最大显示能力：≥1路4K+1路1080P异源输出画面；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25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安防管理平台</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1、基础包、视频监控路数≥100路、设备网络管理路数≥100路、中低空点≥1路；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2、≥1个HDMI接口，≥1个VGA接口，同源输出；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3、支持满配8T硬盘（不支持IoT硬盘）；</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4、≥2个10M/100M/1000Mbps网口；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5、≥2个USB2.0接口、≥1个USB2.0接口；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6、≥16路报警输入，≥4路报警输出；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7、存储能力：≥32路（仅支持局域网设备接入存储）；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8、解码能力：≥8×1080P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9、应用于智能看护场景，支持生活起居区域、室外活动场景实时监测生命体征及活动状态，发现异常行为后及时通知中心管理人员处理，记录处理信息进入人员档案；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10、支持人员管理，实现基础信息、家属信息以及历史预警记录和护理处置记录展示；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11、支持智能预警中心，实现手环、雷达及视频智能事件预警，事件签收及添加处置记录，形成事件处置闭环记录；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12、支持雷达设备管理，实现生命体征和跌倒预警雷达设备添加和人员信息关联功能。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▲13、支持接入高级移动侦测的相机，移动侦测报警能够区分是人、车还是其它目标产生，可录像和记录报警信息</w:t>
            </w:r>
            <w:r>
              <w:rPr>
                <w:rFonts w:hint="eastAsia" w:asciiTheme="minorEastAsia" w:hAnsiTheme="minorEastAsia" w:eastAsiaTheme="minorEastAsia" w:cstheme="minorEastAsia"/>
                <w:b/>
                <w:bCs/>
                <w:i w:val="0"/>
                <w:iCs w:val="0"/>
                <w:color w:val="ff0000"/>
                <w:sz w:val="21"/>
                <w:szCs w:val="18"/>
                <w:highlight w:val="none"/>
                <w:u w:val="none"/>
                <w:lang w:val="en-US" w:eastAsia="zh-CN" w:bidi="ar"/>
              </w:rPr>
              <w:t xml:space="preserve">（提供具备CNAS或CMA标识的检测报告扫描件并加盖投标人公章）</w:t>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w:t>
            </w:r>
            <w:r>
              <w:rPr>
                <w:rFonts w:hint="eastAsia" w:asciiTheme="minorEastAsia" w:hAnsiTheme="minorEastAsia" w:eastAsiaTheme="minorEastAsia" w:cstheme="minorEastAsia"/>
                <w:b/>
                <w:bCs/>
                <w:i w:val="0"/>
                <w:iCs w:val="0"/>
                <w:color w:val="ff0000"/>
                <w:sz w:val="21"/>
                <w:szCs w:val="20"/>
                <w:highlight w:val="none"/>
                <w:u w:val="none"/>
                <w:lang w:val="en-US" w:eastAsia="zh-CN" w:bidi="ar"/>
              </w:rPr>
              <w:br/>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▲14、支持开启SVC解码功能，可同时回放5路400W分辨率、H.264/H.265编码格式的视频图像，解码总资源为10个1920×1080格式的视频图像</w:t>
            </w:r>
            <w:r>
              <w:rPr>
                <w:rFonts w:hint="eastAsia" w:asciiTheme="minorEastAsia" w:hAnsiTheme="minorEastAsia" w:eastAsiaTheme="minorEastAsia" w:cstheme="minorEastAsia"/>
                <w:b/>
                <w:bCs/>
                <w:i w:val="0"/>
                <w:iCs w:val="0"/>
                <w:color w:val="ff0000"/>
                <w:sz w:val="21"/>
                <w:szCs w:val="18"/>
                <w:highlight w:val="none"/>
                <w:u w:val="none"/>
                <w:lang w:val="en-US" w:eastAsia="zh-CN" w:bidi="ar"/>
              </w:rPr>
              <w:t xml:space="preserve">（提供具备CNAS或CMA标识的检测报告扫描件并加盖投标人公章）。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门禁系统+道闸</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智能门禁一体机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1、智能门禁一体机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2、屏幕参数：≥7英寸触摸显示屏，屏幕比例9:16，屏幕分辨率≥600*1024；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3、摄像头参数：≥2路200万双目摄像头；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4、认证方式：支持人脸、刷卡（IC卡、手机NFC）、密码认证方式；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5、人脸验证：支持人脸比对功能；支持照片、视频防假；1:N人脸比对速度≤0.2s，人脸验证准确率≥99%；</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6、存储容量：本地人脸库≥6000个、IC卡≥10000张，记录事件≥50000条；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7、组合认证：支持刷卡+密码、刷卡+人脸、人脸+密码等组合认证方式；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8、多重认证：支持多个人员认证（人脸、刷卡等）通过后才开门；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9、报警功能：支持防拆报警、门被外力开起报警、胁迫卡和胁迫密码报警；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10、事件上传：在线状态下将设备认证结果及联动抓拍照片实时上传给平台，支持断网续传功能，设备离线状态下产生事件在与平台连接后会重新上传；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11、单机使用：设备可进行本地管理，支持本地注册人脸、查询、设置、管理设备参数等；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12、操作方式：触摸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13、读卡类型：M1卡;CPU卡序列号；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14、补光灯：红外补光；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门禁电源</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1、名称：国产门禁电源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2、规格:不小于DC12V,5A；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刷卡门禁一体机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1、屏幕参数：≥2.8寸LCD非触摸显示屏；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2、按键属性：触摸按键；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3、认证方式：支持刷卡（IC卡（支持扇区加密）、手机NFC卡、CPU卡(仅卡号、不支持加密功能)、身份证卡序列号）、密码认证方式；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4、硬件接口：≥1路LAN口、≥1路RS485口、≥1路Wiegand口(支持双向)、≥1路USB2.0口、≥1路电锁、≥1路开门按钮、≥1路门磁、≥2路报警输入、≥1路报警（门铃）输出；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5、读卡器模式：支持通过RS485或韦根（W26/W34）接入门禁控制器或其他一体机，当读卡器使用（一体机需要单独接网线连接平台，实现人员卡片权限等下发）；</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6、外接安全模块：支持通过RS485接入门控安全模块，防止主机被恶意破坏的情况下，门锁不被打开；</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7、外接读卡器：支持通过RS485或韦根（W26/W34）接口外接1个读卡器；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8、组合认证：支持刷卡、密码、刷卡+密码等多种认证方式；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9、高级功能：支持多重认证（不同人员的卡片）功能、中心远程开门、多重认证+平台远程认证（N+1）开门功能、多重认证+超级密码开门、首卡常开功能、超级卡/超级密码开门、单门反潜回功能；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10、脱机运行：支持脱机运行，支持单机操作管理，可查询刷卡记录，且操作具有语音提示；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11、报警功能：支持支持防拆报警、门被外力开起报警、胁迫卡和胁迫密码报警；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12、事件上传：支持在线状态下将设备认证结果实时上传给平台，支持断网续传功能，设备离线状态下产生事件在与平台连接后会重新上传。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四门门禁控制器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1、管控门数：≥4门；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2、通讯方式：支持上行TCP/IP；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3、可接读卡器：≥8路RS485读卡器接口、≥4路Wiegand读卡器接口；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4、存储容量：IC卡≥10万张和记录存储≥30万；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5、门禁高级功能：支持多门互锁、跨主机反潜回、多重卡认证等；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6、输入接口：≥4路报警输入接口、≥4路门磁接口、≥4路开门按钮接口、≥8路Case输入接口；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7、输出接口：≥4路开门继电器接口、≥4路报警继电器接口；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8、其他功能：支持消防联动继电器接口、接蓄电池功能接口；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双门磁力锁</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1、铝外壳采用高强度合金材料，阳极硬化处理；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2、最大静态直线拉力：230kg±10%*2；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3、断电开锁，满足消防要求；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4、指示灯：红灯为开锁状态， 绿灯为上锁状态；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5、支持锁状态侦测信号(门磁)输出：NO/NC/COM接点；</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6、磁力锁无机械故障，完全采用电磁吸力工作；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7、加大电磁吸力，专业设计、双重锁体绝缘处理；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双门磁力锁支架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1、选用材料：高强铝合金，表面喷砂；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2、外壳处理：阳极硬化电镀处理；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3、适用门型：木门、金属门；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4、开门方式：90度内开式门；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5、L型支架尺寸：不小于长500*宽46*厚30(mm)；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6、Z型支架尺寸：不小于长180*宽47*厚47(mm)；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单门磁力锁</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1、铝外壳采用高强度合金材料，阳极硬化处理；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2、最大静态直线拉力：230kg±10%；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3、断电开锁，满足消防要求；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4、指示灯：红灯为开锁状态， 绿灯为上锁状态；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5、支持锁状态侦测信号(门磁)输出：NO/NC/COM接点；</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6、磁力锁无机械故障，完全采用电磁吸力工作；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7、加大电磁吸力，专业设计、双重锁体绝缘处理；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单门磁力锁支架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1、选用材料：高强铝合金，表面喷砂；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2、外壳处理：阳极硬化电镀处理；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3、适用门型：木门、金属门；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4、开门方式：90度内开式门；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5、L型支架尺寸：不小于长250*宽46*厚30(mm)；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6、Z型支架尺寸：不小于长180*宽47*厚47(mm)；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开门按钮</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1、结构：塑料面板；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2、性能：最大耐电流小于等于1.25A，电压250V；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3、输出：常开；</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4、类型：适合埋入式电器盒使用；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人脸授权主机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1、不低于3.97英寸触摸显示屏，屏幕分辨率不低于800*480；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2、采用不低于200万双目摄像头，有照片视频防假功能；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3、支持人脸采集、卡片录入（ID/IC/普通CPU/国密CPU卡/二三代身份证序列号）；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4、支持有线网络、无线WiFi、USB口通信；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5、支持在线采集，通过网络协议或USB口对接到平台，平台进行在线采集，采集信息实时上传；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IC卡</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1、名称：门禁IC卡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道闸</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1、叶片轴承传动翻转，灵活可靠；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2、主梁异形结构，壁厚加强，抗风等级极高；</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3、导光版灯箱，画面效果均匀；</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4、杆件组合包装，便于安装；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5、侧方离合，手摇方便；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6、压力电波，安全可靠；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7、具备多种接口，您可接入红外线、地感及收费系统；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8、数码管显示，内容丰富；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9、编码器定位方式，定位精确，反应迅速，调试简便；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10、栅栏转页可做广告画面，箱体门也可做广告画面；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11、配手摇柄，停电或故障时，实现手动开启/关闭闸杆；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12、延时自动关门，配合地感或红外等外接保护装置，实现无人值守；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13、支持断电抬杆功能（电池单独运输）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出入口一体机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1、集成度高：集摄像机、护罩、LED补光灯、镜头于一体，有效节省施工布线成本；</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2、调试方便：采用3.1-6mm电动变焦镜头，支持软件自动调焦，调试更加方便，场景适应性更广；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3、接口丰富：丰富的控制接口，可直接控制道闸开/关，支持外接报警设备、LED显示屏、音频输入输出等；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4、黑白名单控制：可选配TF卡，支持黑、白名单的导入及对比，可直接联动道闸开闸，支持脱机运行；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5、多种触发模式：支持线圈触发、视频触发等多种触发模式；捕获率高，纯视频识别，纯视频抓拍时可捕获无车牌，捕获率99.5%以上；</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6、双灯一体化：内置红外白光一体化灯珠，有效满足不同的场景需求；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7、ICR切换：支持；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8、日夜转换模式：支持ICR红外滤片式；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9、数字降噪：支持3D数字降噪；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10、视频压缩标准：支持H.264/H.265/MJPEG；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11、视频压缩码率：≥32 Kbps~16M bps；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12、最大图像尺寸：≥1920*1200；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13、智能识别：车牌识别、车型识别、车标识别、车辆子品牌，车身颜色识别；</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14、补光灯控制：补光灯自动光控、时控可选；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15、音频输出：不少于1路音频输入输出；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16、补光灯：支持不少于2个内置LED灯，白光红外可切换；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立柱</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立柱高度：不低于1.3米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立柱直径：不小于60mm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出入口LED显示屏</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1、双基色显示，可以显示红色、绿色、黄色；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2、分辨率不小于64*64，支持最小16点阵显示；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3、支持自定义语音报备，比如车牌信息、广告宣传信息、余位信息等；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4、可显示数字、字符、图形（BMP格式）、汉字，支持GB2312字符集，支持16x16点阵、32x32点阵常用汉字；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5、室外使用，防护等级IP54；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6、内置语音模块，可通过网线控制语音输出支持自定义语音播报；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7、显示分辨率：不小于64*64；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8、显示亮度：不小于1200cd/m2；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9、显示：不少于4行4字；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雷达</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1、采用79GHz MMIC技术，分辨率更高，检测更稳定；</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2、雷达检测距离可调，检测宽度可调，操作方便，通用性强；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3、无需学习背景，适应更多复杂现场环境；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4、提供RS485串口或者蓝牙通讯功能，蓝牙版本配备手机APP，可对雷达进行在线调试、固件升级，操作更方便；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5、安装与维护方便，所需人力少，工时短。</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6、采用LED灯指示雷达工作状态，状态更直观。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7、自动记录雷达的配置参数，断电重启后可恢复至之前的工作状态；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8、环境适应性强，检测性能不受电磁干扰、光照、灰尘、雨雪等外界环境影响。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1、名称：支架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2、参数：配合出入口LED显示屏使用，承重不少于20KG，高度不低于30cm；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出入口控制终端</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1、嵌入式平台：支持AR嵌入式处理器，BS/CS双架构；</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2、安全性高：支持防网络病毒，防U盘病毒。安全的人机接口，防丢失数据，防串改数据；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3、视频录像：支持录像存储，支持录像计划，保存进出车完整数据链，节省录像服务器；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4、远程访问：支持互联网远程访问设备，远程处理异常，远程下载日志，远程升级设备；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5、本地显示控制：支持VGA/HDMI接显示器，标准鼠标键盘输入控制，即插即用，方便快捷；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6、异常处理：支付通道异常切换，网络异常切换4G；终端1对1热备份，数据支持RAID1备份(可选)；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7、标准的SDK接口：标准的SDK协议，支持对接云平台，对外扩展性强；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8、存储功能：≥128G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9、音频输入：≥1路3.5MM标准输入；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10、音频输出：≥1路3.5MM标准输出；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11、报警输入：≥2路报警输入；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12、报警输出：≥1路报警输出；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13、RS232接口：≥2路；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14、RS485接口：≥1路；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15、USB接口：≥4个USB接口；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16、视频接口：≥1路VGA，≥1路HDMI；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安全岛</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1、名称：安全岛</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2、规格：混凝土浇筑,尺寸0.6*1*0.2m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3、其他：含基础开挖等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光纤收发器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1、名称：单模单纤千兆光纤收发器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2、规格：1000M光电转换器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吸顶红外探测器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1、探测技术：采用被动红外（PIR）探测技术；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2、智能算法：支持智能算法，不受环境温度变化影响（温度补偿及灵敏度自适应）；</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3、灵敏度配置：支持手动配置灵敏度；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4、光学密封设计：支持防飞虫或爬虫进入探测器引起误报；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5、下视窗保护：支持下视窗防护，避免近距离探测死角；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6、设备类型：有线被动红外探测器；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7、使用环境：室内；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8、探测距离：≥12米；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9、探测角度：360°；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10、探测速度：0.3-3m/s；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11、报警输出：IO输出（常闭NC），支持防拆报警；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12、安装方式：吸顶安装；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布撤防键盘</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1、防区报警：支持探测器/紧急报警装置触发信号接收，进行入侵/紧急报警事件管理；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2、断电报警：支持当市电断电时，设备可通过蓄电池正常工作8小时以上（需选配蓄电池），并将断电事件进行通知上报；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3、报警管理：支持报警键盘、客户端软件、中心平台进行报警管理操作；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4、报警指示：支持报警键盘、警号、继电器联动、中心平台上报等报警事件指示功能；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5、联动控制：支持报警事件联动，平台控制继电器输出，实现场景化联动输出，实现个性化管理；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6、事件上传：支持断网续传功能，设备离线状态下产生事件在与平台连接后会重新上传；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7、子系统管理：支持8个子系统，实现对防区进行分区管理，支持外出布防、在家布防、撤防、消警、旁路等功能；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8、防区设置：支持即时防区、延时防区、紧急防区、超时防区等场景化防区类型设置；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9、配置管理：支持配置文件导出和导入功能，实现参数备份和快速移机；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10、操作系统：支持Linux操作系统，含一体化键盘；</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11、防区数量：板载≥8路（探测器100m以内）；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12、继电器数量：板载≥1路（距离50m以内），可通过继电器模块扩展至8路；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13、日志容量：≥8000条；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14、传输距离：≥100m以内；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15、硬件接口：≥1路RS485、≥1路RJ45，≥1路PSTN，≥1路4G模块接口；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16、安装方式：壁挂安装；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声光报警器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1、声光报警：提供警灯闪烁和报警音频输出，用于提示警情处置；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2、模式切换：支持关闭报警音频输出，仅提供警灯闪烁模式输出；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3、内置水平仪：可通过内置水平仪调节安装角度，方便调试安装；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4、设备类型：声光警号（声光报警器）；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5、警灯颜色：支持红色；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6、报警音量：105dB；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7、硬件接口：红/黑线；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8、使用环境：室内/外（IP54室外防水）；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WiFi指纹锁</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1、集中管理WiFi联网版；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2、锁体 支持6068机械锁体、6068机械霸王锁体、6068机械检测锁体（支持开关门检测）；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3、适用门厚 40-110mm；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4、指纹头 半导体；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5、锁芯级别 C级；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6、开锁方式 指纹、密码、感应卡、身份证、机械钥匙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7、用户容量 ≥100个；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8、单个用户 ≥2个指纹，≥5张卡，≥1个密码；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9、指纹容量 ≥100枚；</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10、密码容量 ≥100组；</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11、感应卡容量≥100张；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12、刷卡时间 反应时间&lt; 1S；；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13、断电记忆 操作信息自动保存不丢失（本地开门记录存储1000条）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14、指纹识别时间 ＜1秒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15、指纹头分辨率 ≥160X160（508dpi)；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网络系统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信息网48口交换机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1、10/100/1000M以太网电口≥48，1000M/2.5G SFP千兆光接口≥4个；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2、交换容量≥336Gbps，包转发率≥87Mpps；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3、要求设备采用绿色环保设计，整机最大功耗≤30W；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4、要求所投产品端口浪涌抗扰度≥10KV；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5、设备采用静音节能设计，整机最大噪声≤37dB；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信息网24口交换机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1、交换容量≥336Gbps，转发性能≥126Mpps；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2、10/100/1000M自适应以太网端口≥24个，1G SFP光接口≥4个；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3、要求设备MAC地址≥16K；</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4、要求所投设备支持1对1、1对多、多对1和基于流的本地、远程镜像；且支持RSPAN和ERSPAN；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5、支持CPU保护功能，能限制非法报文对CPU的攻击，保护交换机在各种环境下稳定工作；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千兆光模块</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1、名称：千兆光模块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2、规格：1000BASE-LX 转换模块（1310nm），10km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视频网48口交换机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1、10/100/1000M以太网电口≥48，1000M/2.5G SFP千兆光接口≥4个；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2、交换容量≥336Gbps，包转发率≥87Mpps（以官网最小值为准）；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3、要求设备采用绿色环保设计，整机最大功耗≤30W；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4、要求所投产品端口浪涌抗扰度≥10KV（即具备10KV的防雷能力）；</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5、设备采用静音节能设计，整机最大噪声≤37dB；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视频网24口交换机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1、交换容量≥336Gbps，转发性能≥126Mpps；（以官网最小值为准）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2、10/100/1000M自适应以太网端口≥24个，1G SFP光接口≥4个；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3、要求设备MAC地址≥16K；</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4、要求所投设备支持1对1、1对多、多对1和基于流的本地、远程镜像；且支持RSPAN和ERSPAN；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5、支持CPU保护功能，能限制非法报文对CPU的攻击，保护交换机在各种环境下稳定工作；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视频网48口POE交换机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1、交换容量≥336Gbps，转发性能≥126Mpps，（以官网最小值为准）；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2、10/100/1000M以太网端口≥48个，1G SFP接口≥4个；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3、≥48个电口支持POE和POE+远程供电，整机POE功率输出≥370W；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4、支持IPv4和IPv6的静态路由、RIP/RIPng、OSPFv2/OSPFv3等三层路由协议；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5、支持CPU保护功能，能够针对发往CPU处理的各种报文进行流区分和优先级队列分级处理，保护交换机在各种环境下稳定工作。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千兆光模块</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1、名称：千兆光模块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2、规格：1000BASE-LX mini GBIC转换模块（1310nm），10km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互联网24口交换机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1、交换容量≥336Gbps，转发性能≥126Mpps；（以官网最小值为准）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2、10/100/1000M自适应以太网端口≥24个，1G SFP光接口≥4个；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3、要求设备MAC地址≥16K；</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4、要求所投设备支持1对1、1对多、多对1和基于流的本地、远程镜像；且支持RSPAN和ERSPAN；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5、支持CPU保护功能，能限制非法报文对CPU的攻击，保护交换机在各种环境下稳定工作；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互联网24口POE交换机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1、交换容量≥336Gbps，转发性能≥126Mpps，（以官网最小值为准）；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2、10/100/1000M以太网端口≥24个，1G SFP接口≥4个；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3、≥24个电口支持POE和POE+远程供电，整机POE功率输出≥370W；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4、支持IPv4和IPv6的静态路由、RIP/RIPng、OSPFv2/OSPFv3等三层路由协议；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5、支持CPU保护功能，能够针对发往CPU处理的各种报文进行流区分和优先级队列分级处理，保护交换机在各种环境下稳定工作。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无线AP</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1、支持802.11ax协议；整机支持≥4条空间流；整机最大无线速率≥2.97Gbps；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2、至少支持1个1000M自适应以太网端口；至少支持1个2.5G SFP光口；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3、支持802.3af供电和本地供电；</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4、内置蓝牙5.1；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AC控制器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1、千兆电口≥5个，支持≥4口PoE，支持4G扩展槽，支持1个USB扩展槽，便于系统更新和升级；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2、整机供电64.2W；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3、执行无线控制功能，配置64个无线AP管理授权；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4、支持流量控制、上网行为管理、上网内容审计、实名审计；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5、支持IPSEC VPN、SSL VPN、PPTP VPN、L2TP VPN；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互联网安全网关</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主机1台，固化8个千兆电口，1个千兆光口，1个万兆光口，1U高度，标配1个电源，可支持扩展1T企业级硬盘，含防火墙增强版属性授权1个(该授权为商白版本授权，导入后永久生效)，防火墙1TB机械硬盘，可按需扩展满足硬盘配置需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入侵防御、防病毒、应用识别特征库三合一授权，每个授权提供3年IPS,AV,APP升级服务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千兆光模块</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1、名称：千兆光模块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2、规格：1000BASE-LX mini GBIC转换模块（1310nm），10km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信息发布系统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55寸信息发布一体机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1、显示尺寸（mm）≥1211.6(宽)×682.4高)；</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2、屏幕长宽比例 16：9；</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3、最大分辨率 ≥3840*2160；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4、兼容分辨率 480i, 480p, 720p, 1080i, 1080p, 2160P；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5、视频制式 NTSC；PAL；SECAM；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6、亮度（标准值） 300 cd/m2；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7、对比度 5000:1；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8、可视角度 178/178（水平/垂直）；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9、响应时间 8ms；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10、显示色彩 1677万色；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11、色域 99%；</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12、扫描频率 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13、硬件配置 OS：Android 9.0/12.0；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14、CPU：A55*4 1.2GHz；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15、DDR SIZE ：1.5G Byte/2GByte；</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16、eMMC Flash ：8G Byte/16GByte；</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17、接口 RJ45 IN、COAX、AV1IN、AV2 IN、TV、EARPHONE、HDMI1、HDMI2、 HDMI3、USB1、USB2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85寸信息发布一体机(触摸)</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1、LCD  尺寸:≥ 85"；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2、最大分辨率:≥3840x2160；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3、最大亮度:350cd/m²(typ.)；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4、最大屏对比度:1400:1(typ.)；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5、响应时间:8ms(typ.)；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6、帧频:60Hz；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7、视角:178°(H) / 178°(V)；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8、可视面积:≥1874mm*1055mm；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9、色彩度:16.7M；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10、运行内存:≥8G；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11、硬盘:≥128G；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信息发布液压支架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1、名称：信息发布液压支架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2、参数：适配于85寸的液压支架，能够支撑100KG重量，黑色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55寸显示屏</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1、名称：55寸显示屏（食堂就餐区）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2、参数：屏幕尺寸：55英寸</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推荐观看距离：2m以下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刷屏率：144Hz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摄像头：无摄像头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能效等级：二级能效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背光方式：直下式/DLED</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存储内存：32GB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CPU架构：四核A35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运行内存/RAM：2GB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WIFI频段：2.4G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HDMI2.0接口数：2个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USB2.0接口数：2个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屏幕尺寸：55英寸</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屏幕分辨率：超高清4K</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响应时间：7ms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亮度:200-300尼特</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色域值:78%</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屏幕比例:16:9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信息发布系统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1、名称：信息发布系统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2、参数：信息发布可以实现节目的制作并发布到信息发布终端，支持素材管理、节目制作、播放日程管理、发布管理、终端管理、插播等功能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执法办案区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一、人身检查、物品暂存，信息采集</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环境全景摄像机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1、采用1/2.8英寸CMOS传感器；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2、最低照度彩色: 0.002Lux@F1.6、黑白0.001Lux@F1.6、0 with IR；</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3、使用2.8/4/6mm定焦镜头；100.4°-55.8°(2.8mm)/87.5°-45.5°(4mm)/52.6°-29.5°(6mm)；支持三码流；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4、彩转黑支持内同步、黑白、彩色；支持背光补偿，宽动态（120dB）；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5、拥有1颗阵列红外灯，红外距离30米；视频编码格式为H.265/H.264/M-JPEG;最大分辨率1080p(1920×1080)；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PAL制：1080p@25fps、960p@25fps、720p@25fps、VGA@25fps，4CIF@25fps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NTSC： 1080p@30fps，960p@30fps，720p@30fps，VGA@30fps，4CIF@30fps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6、智能分析：支持8种行为分析（拌线、双拌线、周界、物品遗留、物品丢失、徘徊、奔跑、停车）、人数统计、人群聚集、车牌识别、值岗检测、视频诊断、音频异常侦测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7、音频1入1出、报警2入1出、1路RS485，TF卡（128G）；IP66，4级防雷、防浪涌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8、电源DC12V±20%，支持POE；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高保真拾音器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用两只高保真预极化电容传声器，对前期音频无差别拾取；内置可调电位器，音量调节最小可关闭（无声音输出）；重点突出还原度，清晰度、声音高频不刺耳、中低频不含糊、清晰度高，声像定位准确；高速DSP浮点运算，实时对拾取到的音频信号进行噪音滤除；内置浪涌防护、电源极性反接保护和静电保护；灵敏度0dB；监听面积5-150㎡（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证据抓拍摄像机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1、不低于500万像素CMOS传感器，变焦范围4.3-142mm。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2、接口要求不小于：1对音频输入/输出接口、1个TF卡槽、1个复位按钮、内置MIC，3路报警输入，2路报警输出。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3、至少支持H.265、H.264（Main Profile，High Profile，Baseline Profile）、M-JPEG视频编码方式。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4、变焦≥33倍。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5、球机（F=1.6）彩色模式所需最低照度不高于0.002 lx，能基本分辨被摄目标的轮廓特征；黑白模式最低照度不高于0.001 lx，能基本分辨被摄目标的轮廓特征。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6、支持三码流同时输出，主码流最大支持不低于3072×1728@30fps。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7、支持通过连接温湿度屏、 温湿度传感器，将温湿度信息在视频上进行叠加；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8、具有白平衡、开启/关闭背光补偿、开启/关闭强光抑制、画面镜像及旋转功能。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9、可将视频图像及抓拍图片存储至TF卡或客户端；设备能够最大支持512GB内存卡；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手动报警按钮</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1、名称：手动报警按钮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声光报警器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1、名称：声光报警器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2、参数：额定工作电压(V/DC) 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工作电压范围(V) 9-15V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工作电流范围(mA) ≤300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工作温度(℃) ﹣20~﹢60℃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声压(dB) ≥105dB/m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连续工作时间 ≥45min DC12V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标采一体机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标采一体机含1套一体机采集柜、1台标采一体机管理单元（含软件）、1台指掌纹采集仪（含软件）和1套人像采集系统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一体机采集柜参数：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柜体台面采用木质面板和钢板结合，冷轧钢板厚度不小于1.2mm，表面处理符合IP23级安全保护标准，采用高温高光涂料喷粉处理，涂层厚度：机柜涂层厚度在60μm～80μm之间，防刻划、防酸、耐磨、耐用、易清洁；柜体框架全部采用Q235优质冷轧钢板折弯、冲压制作而成，坚固耐用，面板中间可放置显示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2、由桌面低压按钮一键式控制外部电源的开启和关闭；外部交流220V输入，经漏电保护和短路保护，再由交流接触器送电，确保设备安全、稳定和可靠：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2.1、应有过压保护装置，当交流输入电压超过额定值的10%时，设备供电电路应自动断开或采取其他保护措施，保证设备不受损伤；</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2.2、应有过流保护装置，当设备输入电流超过额定工作电流的2倍时，应将设备供电电路自动断开或采取其他保护措施，保证设备不受损伤；</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一体机内置可手动或自动控制的升降杆装置（含云台），支持照相设备、补光灯的固定安装；人像采集时,升降杆装置可根据被照相人身高自动调节照相设备高度至合适高度，具有手动调节按钮，可手动调节高度到合适位置；摄像开始时，补光灯可自动开启，被采集人员的身高、体重、足长数据自动传输至电脑；</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4、一体机工作台所预留的内部位置能够安装工控电脑主机、打印机、指掌纹采集仪、二代证阅读器、DNA干燥箱、条码打印机、银行卡采集器、随身物品采集仪、条码阅读器、照相设备、补光灯等多种设备；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5、可以集成嵌入式条码扫描仪，用于DNA条码录入；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6、键盘使用桌面下方活动托盘；采集柜桌面集成随身物品采集区域；该区域包含刻度尺，刻度尺范围≥L300mm*W300mm,最小刻度为1mm；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7、柜体设有应急报警装置，实现一键报警功能；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8、集成电脑音箱，两声道有源放大器功率输出；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9、控制台整体尺寸：≤1750mm(L)×≤900mm(W)×≤850mm(H)</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标采一体机管理单元参数：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一、标采一体机管理单元硬件参数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1、工控机：可连接指掌纹采集仪、二代居民身份证阅读器、条码扫描仪、照相设备、随身物品采集仪等主要采集设备通过USB与主机连接；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2、内存：≥16GB；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3、硬盘：固态硬盘，≥1TB；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4、USB接口≥21个，HDMI≥1，DP≥2，音频≥1，LAN≥1；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5、分辨率：≥1920×1080分辨率或以上；</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二、 标采一体机管理单元软件功能：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符合《新一代警综微服务规范》要求，主控单元采集软件与新一代警综平台一体化采集模块嵌入融合；软件支持指掌纹、人像、足迹、声纹、虹膜5类生物特征信息一体化采集，实现民警在一个采集界面就可以操作所有采集设备，一站式采集人员基本信息、指掌纹信息、人像信息、DNA信息、足迹信息、笔迹信息、随身物品信息、身高体重足长信息等，采集数据能完整同步至新一代警综平台生物特征数据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2、人员信息综合采集系统采集的数据项和数据质量应满足公安部有关《人员基础信息采集数据项要求》和《人员基础信息采集数据质量要求》标准要求；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3、具备基本信息的自动查询比对功能，获取人员在全国在逃库人员数据库、全国常住人口库、全国违法犯罪嫌疑人员库等数据库中的相关人员信息；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4、具备人像人证核验功能：可以通过拍摄的人像信息与二代居民身份证保留的人像信息进行比对，显示人证核验结果，验证未通过时，应在软件界面中显示人证核验未通过；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在复杂背景图像环境下，具有基于眼睛定位方法的人脸自动检测和定位功能，实现标准正面人像图片自动裁剪6、采集系统的指掌纹数据能实时上传至本市公安局在用的指掌纹自动识别系统，实现数据自动上传、自动比对、比对结果自动反馈，实现无缝对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7、与全国法庭科学DNA数据库检索比对系统实现无缝对接，具备通过身份证号码查重和将比中结果反馈至采集前端的功能；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指掌纹采集仪参数：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一、硬件参数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1、采集窗口尺寸：≥121mm×121mm；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2、有效图像尺寸：≥117mm×117mm；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3、滚动指纹采集窗口：≥40.64mm×40.64mm；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4、滚动指纹的图像尺寸：≥32.5mm×32.5mm（最大不超过40.64mm×40.64mm）；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5、图像最大像素数： 2304×2304像素（掌纹）； 1024×1968像素（侧掌纹）；1600×1500像素（四连指）；640×640像素（滚动指纹，最大800×800像素）；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6、图像畸变：≤1%；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7、分辨率：500dpi±1%；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8、动态范围：≥180级；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9、采集速率：单指、滚动采集≥15帧/秒；四连指和掌纹≥2帧/秒；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二、指掌纹采集仪软件功能：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符合《活体指纹图像采集技术规范》GA/T625-2010，《活体指纹图像应用程序接口规范第1部分：采集设备》GA/T626.1-2010，《活体指纹图像应用程序接口规范第2部分：图像拼接》GA/T626.2-2010，《活体掌纹图像采集技术规范》GA/T864-2010，《活体掌纹图像采集接口规范》GA/T865-2010，《活体指纹/掌纹采集设备测试技术规范》GA/T866-2010要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2、支持十指平面指纹、滚动指纹和掌纹采集，提供规范的指掌纹采集流程，按照十指平面指纹、三面滚动指纹、掌纹的顺序进行采集；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3、应具备指掌纹质量自动判断功能，对不符合捺印质量的数据限制入库、并具有重新采集的提示功能，提供必要的语音提示；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4、软件显示指掌纹图像质量评价分数，提示是否合格、质量不合格时采集到设定的次数后，可以强制通过，不合格原因可设置为手指变形、脱皮、严重磨损、手指受伤、设备原因、图像质量评价分数不准确等；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5、可设置指掌纹为缺指/伤残掌；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6、应支持对已采集完成的指纹进行重新采集；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7、单指采集完成应显示指纹缩略图，可点击打开大图预览窗口，显示当前指纹图像及指位、图像质量评价分数、不合格原因（合格指纹不显示）；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8、具备指掌纹特征点显示功能；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9、应支持指掌纹标准格式导出，指掌纹信息交换文件格式应符合《指掌纹信息交换文件格式技术规范（版本5.0）》要求；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10、采集的指掌纹信息数据项应符合《指掌纹信息数据项（版本5.0）》要求；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人像采集系统：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4人像信息采集系统满足以下技术要求：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4.1、采集模式符合GA/T706—2007中3的要求，正面人像应自动生成电子胸牌，侧面人像可选择是否生成电子胸牌；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4.2、应在软件界面中显示人像图像质量评价分数，判断人像图像质量是否合格；</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4.3特殊体征采集可通过照相设备或高拍仪采集人员特殊体征，高拍仪可旋转至人像采集位置。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Ⅴ型足迹采集仪</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1、名称：Ⅴ型足迹采集仪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2、参数：【1】通过USB和电脑主机相连接，具备鞋面、鞋底、穿袜、赤足等图像分类采集功能；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【2】鞋面采集摄像头，视场角为90度，采集图片无畸变，支撑架结构可折叠方便移动；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【3】一键式自动更换采集薄膜功能：设备每次采集后能自动滚动更换采集膜；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【4】支持与本地在用足迹系统无缝对接，实现采集数据上报入库应用；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【5】主要规格</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（1）外型尺寸(L×W×H): 不小于440mm×360mm×130mm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（2）鞋底图像区域(L×W): 不小于350mm×150mm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（3）鞋底图像像素:不小于1929*4236；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（4）鞋面图像像素：不小于2000*1488；</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（5）图像灰度级: 256级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（6）物理分辨率: &gt;300DPI</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（7）光学畸变: &lt;1%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（8）采集速度: &lt;10秒；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（9）采集范围：鞋底、鞋面、赤足、袜印。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声纹采集仪</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1、名称：声纹采集仪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2、参数：(1).产品列入公安部《声纹数据采集终端合格产品及制造商名录》。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(2).支持交谈询问模式采集，语音打断和插话不影响声纹数据采集。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(3).支持16k采样率，16位量化精度，无压缩编码wav声纹数据录制，满足公安部声纹数据格式要求。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(4).支持远场和近场声纹数据采集，有效采集距离≥80厘米。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(5).定向采集目标人方向语音，问答时准确分离出目标人声，隔离环境噪声。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(6).采集器通过高灵敏麦克风能够实现8个语音通道的同步采集。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(7).产品同心圆麦克风阵列设计，具备多尺度和多孔径空间采样，优化定向采集及人声分离的采集效果。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(8).LED灯实时指示声源方位。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(9).采用USB供电，供电电压5VDC，最大工作电流不应超过500mA。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(10).连接线材可更换，灵活的数据连接设计，可适应不同的应用场景。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(11).环境温度范围: -20~60°C。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虹膜采集仪</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1、名称：虹膜采集仪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2、参数：(1).产品尺寸：不大于241*146*73mm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(2).双130万像素虹膜摄像头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(3).图像分辨率：640*480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(4).传输速率：不小于7帧/秒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(5).注册速度：≤2s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(6).匹配速度≤0.3s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(7).工作距离：不小于15cm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(8).通讯接口：标准 USB2.0 接口，即插即用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(9).采集方式：可采集双眼虹膜图像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(10).使用方式：360度旋转、上下自由拉伸，角度自由调整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(11).适用环境：工作温度：-20℃-55℃，工作湿度：25%-85%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(12).供电：采用双USB口供电</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(13).电源输入：DC5V@1A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二、卫生间</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环境全景摄像机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1、采用1/2.8英寸CMOS传感器；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2、最低照度彩色: 0.002Lux@F1.6、黑白0.001Lux@F1.6、0 with IR；</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3、使用2.8/4/6mm定焦镜头；100.4°-55.8°(2.8mm)/87.5°-45.5°(4mm)/52.6°-29.5°(6mm)；支持三码流；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4、彩转黑支持内同步、黑白、彩色；支持背光补偿，宽动态（120dB）；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5、拥有1颗阵列红外灯，红外距离30米；视频编码格式为H.265/H.264/M-JPEG;最大分辨率1080p(1920×1080)；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PAL制：1080p@25fps、960p@25fps、720p@25fps、VGA@25fps，4CIF@25fps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NTSC： 1080p@30fps，960p@30fps，720p@30fps，VGA@30fps，4CIF@30fps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6、智能分析：支持8种行为分析（拌线、双拌线、周界、物品遗留、物品丢失、徘徊、奔跑、停车）、人数统计、人群聚集、车牌识别、值岗检测、视频诊断、音频异常侦测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7、音频1入1出、报警2入1出、1路RS485，TF卡（128G）；IP66，4级防雷、防浪涌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8、电源DC12V±20%，支持POE；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高保真拾音器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用两只高保真预极化电容传声器，对前期音频无差别拾取；内置可调电位器，音量调节最小可关闭（无声音输出）；重点突出还原度，清晰度、声音高频不刺耳、中低频不含糊、清晰度高，声像定位准确；高速DSP浮点运算，实时对拾取到的音频信号进行噪音滤除；内置浪涌防护、电源极性反接保护和静电保护；灵敏度0dB；监听面积5-150㎡（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手动报警按钮</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1、名称：手动报警按钮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声光报警器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1、名称：声光报警器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2、参数：额定工作电压(V/DC) 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工作电压范围(V) 9-15V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工作电流范围(mA) ≤300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工作温度(℃) ﹣20~﹢60℃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声压(dB) ≥105dB/m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连续工作时间 ≥45min DC12V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三、候问室&amp;候问看守区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全景摄像机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1、采用1/2.8英寸CMOS传感器；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2、最低照度彩色: 0.002Lux@F1.6、黑白0.001Lux@F1.6、0 with IR；</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3、使用2.8/4/6mm定焦镜头；100.4°-55.8°(2.8mm)/87.5°-45.5°(4mm)/52.6°-29.5°(6mm)；支持三码流；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4、彩转黑支持内同步、黑白、彩色；支持背光补偿，宽动态（120dB）；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5、拥有1颗阵列红外灯，红外距离30米；视频编码格式为H.265/H.264/M-JPEG;最大分辨率1080p(1920×1080)；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PAL制：1080p@25fps、960p@25fps、720p@25fps、VGA@25fps，4CIF@25fps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NTSC： 1080p@30fps，960p@30fps，720p@30fps，VGA@30fps，4CIF@30fps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6、智能分析：支持8种行为分析（拌线、双拌线、周界、物品遗留、物品丢失、徘徊、奔跑、停车）、人数统计、人群聚集、车牌识别、值岗检测、视频诊断、音频异常侦测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7、音频1入1出、报警2入1出、1路RS485，TF卡（128G）；IP66，4级防雷、防浪涌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8、电源DC12V±20%，支持POE；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高保真拾音器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用两只高保真预极化电容传声器，对前期音频无差别拾取；内置可调电位器，音量调节最小可关闭（无声音输出）；重点突出还原度，清晰度、声音高频不刺耳、中低频不含糊、清晰度高，声像定位准确；高速DSP浮点运算，实时对拾取到的音频信号进行噪音滤除；内置浪涌防护、电源极性反接保护和静电保护；灵敏度0dB；监听面积5-150㎡（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手动报警按钮</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1、名称：手动报警按钮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声光报警器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1、名称：声光报警器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2、参数：额定工作电压(V/DC) 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工作电压范围(V) 9-15V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工作电流范围(mA) ≤300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工作温度(℃) ﹣20~﹢60℃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声压(dB) ≥105dB/m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连续工作时间 ≥45min DC12V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四、询问室（1间）</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特写摄像机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1、不低于500万像素CMOS传感器，变焦范围2.8-17mm，尺寸不超过3寸</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2、接口要求不少于： 1个音频输入接口、1个音频输出接口、1个RS485接口、2路报警输入接口，1路报警输出接口、1个TF卡槽、1个复位按钮、内置MIC；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3、支持H.265、H.264（MP/HP/BP）、M-JPEG等视频编码标准和AAC、G.711A、G.711U、ADPCM等音频编码标准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4、分辨率不低于3072×1728</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5、支持音频异常侦测、视频丢失报警、磁盘满、IP地址冲突、FTP服务器异常报警功能；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6、支持设置不少于4块感兴趣区域；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7、支持设置黑白名单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8、支持字符显示，并支持自定义字符颜色；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9、支持绊线、双绊线、周界、物品遗留、物品丢失、徘徊、奔跑、人数统计、人群聚集、值岗检测等智能算法；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10、支持不低于30米红外距离</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11、摄像机检测到警戒区域有人员出现时，自动抓拍、录像，并进行语音警示；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全景摄像机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1、采用1/2.8英寸CMOS传感器；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2、最低照度彩色: 0.002Lux@F1.6、黑白0.001Lux@F1.6、0 with IR；</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3、使用2.8/4/6mm定焦镜头；100.4°-55.8°(2.8mm)/87.5°-45.5°(4mm)/52.6°-29.5°(6mm)；支持三码流；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4、彩转黑支持内同步、黑白、彩色；支持背光补偿，宽动态（120dB）；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5、拥有1颗阵列红外灯，红外距离30米；视频编码格式为H.265/H.264/M-JPEG;最大分辨率1080p(1920×1080)；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PAL制：1080p@25fps、960p@25fps、720p@25fps、VGA@25fps，4CIF@25fps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NTSC： 1080p@30fps，960p@30fps，720p@30fps，VGA@30fps，4CIF@30fps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6、智能分析：支持8种行为分析（拌线、双拌线、周界、物品遗留、物品丢失、徘徊、奔跑、停车）、人数统计、人群聚集、车牌识别、值岗检测、视频诊断、音频异常侦测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7、音频1入1出、报警2入1出、1路RS485，TF卡（128G）；IP66，4级防雷、防浪涌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8、电源DC12V±20%，支持POE；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指挥摄像机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1、不低于500万像素CMOS传感器，变焦范围4.3-142mm。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2、接口要求不小于：1对音频输入/输出接口、1个TF卡槽、1个复位按钮、内置MIC，3路报警输入，2路报警输出。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3、至少支持H.265、H.264（Main Profile，High Profile，Baseline Profile）、M-JPEG视频编码方式。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4、变焦≥33倍。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5、球机（F=1.6）彩色模式所需最低照度不高于0.002 lx，能基本分辨被摄目标的轮廓特征；黑白模式最低照度不高于0.001 lx，能基本分辨被摄目标的轮廓特征。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6、支持三码流同时输出，主码流最大支持不低于3072×1728@30fps。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7、支持通过连接温湿度屏、 温湿度传感器，将温湿度信息在视频上进行叠加；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8、具有白平衡、开启/关闭背光补偿、开启/关闭强光抑制、画面镜像及旋转功能。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9、可将视频图像及抓拍图片存储至TF卡或客户端；设备能够最大支持512GB内存卡；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时间温湿度LED数码屏</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1、名称：时间温湿度LED数码屏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具有RS485/232接口；静态数字显示，表面贴膜，防止图像闪烁，减少白光，适于同步录音录像；采用超高精度时钟，精度可达2PPM；支持自动校准时钟或与计算机时间同步；温湿度和紧急情况报警设定及处理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▲支持将实时温湿度信息叠加到视频画面上</w:t>
            </w:r>
            <w:r>
              <w:rPr>
                <w:rFonts w:hint="eastAsia" w:asciiTheme="minorEastAsia" w:hAnsiTheme="minorEastAsia" w:eastAsiaTheme="minorEastAsia" w:cstheme="minorEastAsia"/>
                <w:b/>
                <w:bCs/>
                <w:i w:val="0"/>
                <w:iCs w:val="0"/>
                <w:color w:val="ff0000"/>
                <w:sz w:val="21"/>
                <w:szCs w:val="18"/>
                <w:highlight w:val="none"/>
                <w:u w:val="none"/>
                <w:lang w:val="en-US" w:eastAsia="zh-CN" w:bidi="ar"/>
              </w:rPr>
              <w:t xml:space="preserve">（提供具备CNAS或CMA标识的检测报告扫描件并加盖投标人公章）</w:t>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w:t>
            </w:r>
            <w:r>
              <w:rPr>
                <w:rFonts w:hint="eastAsia" w:asciiTheme="minorEastAsia" w:hAnsiTheme="minorEastAsia" w:eastAsiaTheme="minorEastAsia" w:cstheme="minorEastAsia"/>
                <w:b/>
                <w:bCs/>
                <w:i w:val="0"/>
                <w:iCs w:val="0"/>
                <w:color w:val="ff0000"/>
                <w:sz w:val="21"/>
                <w:szCs w:val="20"/>
                <w:highlight w:val="none"/>
                <w:u w:val="none"/>
                <w:lang w:val="en-US" w:eastAsia="zh-CN" w:bidi="ar"/>
              </w:rPr>
              <w:br/>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▲摄像机支持畸变矫正、远端放大功能</w:t>
            </w:r>
            <w:r>
              <w:rPr>
                <w:rFonts w:hint="eastAsia" w:asciiTheme="minorEastAsia" w:hAnsiTheme="minorEastAsia" w:eastAsiaTheme="minorEastAsia" w:cstheme="minorEastAsia"/>
                <w:b/>
                <w:bCs/>
                <w:i w:val="0"/>
                <w:iCs w:val="0"/>
                <w:color w:val="ff0000"/>
                <w:sz w:val="21"/>
                <w:szCs w:val="18"/>
                <w:highlight w:val="none"/>
                <w:u w:val="none"/>
                <w:lang w:val="en-US" w:eastAsia="zh-CN" w:bidi="ar"/>
              </w:rPr>
              <w:t xml:space="preserve">（提供具备CNAS或CMA标识的检测报告扫描件并加盖投标人公章）。</w:t>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w:t>
            </w:r>
            <w:r>
              <w:rPr>
                <w:rFonts w:hint="eastAsia" w:asciiTheme="minorEastAsia" w:hAnsiTheme="minorEastAsia" w:eastAsiaTheme="minorEastAsia" w:cstheme="minorEastAsia"/>
                <w:b/>
                <w:bCs/>
                <w:i w:val="0"/>
                <w:iCs w:val="0"/>
                <w:color w:val="ff0000"/>
                <w:sz w:val="21"/>
                <w:szCs w:val="20"/>
                <w:highlight w:val="none"/>
                <w:u w:val="none"/>
                <w:lang w:val="en-US" w:eastAsia="zh-CN" w:bidi="ar"/>
              </w:rPr>
              <w:br/>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▲支持值岗、攀高、人数统计等智能分析功能；</w:t>
            </w:r>
            <w:r>
              <w:rPr>
                <w:rFonts w:hint="eastAsia" w:asciiTheme="minorEastAsia" w:hAnsiTheme="minorEastAsia" w:eastAsiaTheme="minorEastAsia" w:cstheme="minorEastAsia"/>
                <w:b/>
                <w:bCs/>
                <w:i w:val="0"/>
                <w:iCs w:val="0"/>
                <w:color w:val="ff0000"/>
                <w:sz w:val="21"/>
                <w:szCs w:val="18"/>
                <w:highlight w:val="none"/>
                <w:u w:val="none"/>
                <w:lang w:val="en-US" w:eastAsia="zh-CN" w:bidi="ar"/>
              </w:rPr>
              <w:t xml:space="preserve">（提供具备CNAS或CMA标识的检测报告扫描件并加盖投标人公章）。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高保真拾音器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用两只高保真预极化电容传声器，对前期音频无差别拾取；内置可调电位器，音量调节最小可关闭（无声音输出）；重点突出还原度，清晰度、声音高频不刺耳、中低频不含糊、清晰度高，声像定位准确；高速DSP浮点运算，实时对拾取到的音频信号进行噪音滤除；内置浪涌防护、电源极性反接保护和静电保护；灵敏度0dB；监听面积5-150㎡（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手动报警按钮</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1、名称：手动报警按钮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2、参数：支持报警信号传至警务值班室提示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声光报警器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1、名称：声光报警器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2、参数：额定工作电压(V/DC) 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工作电压范围(V) 9-15V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工作电流范围(mA) ≤300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工作温度(℃) ﹣20~﹢60℃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声压(dB) ≥105dB/m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连续工作时间 ≥45min DC12V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闪灯次数(分钟) 200±30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五、走廊</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环境全景摄像机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1、采用1/2.8英寸CMOS传感器；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2、最低照度彩色: 0.002Lux@F1.6、黑白0.001Lux@F1.6、0 with IR；</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3、使用2.8/4/6mm定焦镜头；100.4°-55.8°(2.8mm)/87.5°-45.5°(4mm)/52.6°-29.5°(6mm)；支持三码流；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4、彩转黑支持内同步、黑白、彩色；支持背光补偿，宽动态（120dB）；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5、拥有1颗阵列红外灯，红外距离30米；视频编码格式为H.265/H.264/M-JPEG;最大分辨率1080p(1920×1080)；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PAL制：1080p@25fps、960p@25fps、720p@25fps、VGA@25fps，4CIF@25fps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NTSC： 1080p@30fps，960p@30fps，720p@30fps，VGA@30fps，4CIF@30fps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6、智能分析：支持8种行为分析（拌线、双拌线、周界、物品遗留、物品丢失、徘徊、奔跑、停车）、人数统计、人群聚集、车牌识别、值岗检测、视频诊断、音频异常侦测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7、音频1入1出、报警2入1出、1路RS485，TF卡（128G）；IP66，4级防雷、防浪涌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8、电源DC12V±20%，支持POE；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高保真拾音器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用两只高保真预极化电容传声器，对前期音频无差别拾取；内置可调电位器，音量调节最小可关闭（无声音输出）；重点突出还原度，清晰度、声音高频不刺耳、中低频不含糊、清晰度高，声像定位准确；高速DSP浮点运算，实时对拾取到的音频信号进行噪音滤除；内置浪涌防护、电源极性反接保护和静电保护；灵敏度0dB；监听面积5-150㎡（内置电位器可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六、醒酒椅</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生命健康雷达</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雷达通过发射信号和接收回波信号，可实现目标距离的测量。例如，毫米波雷达通过准确测量胸腔起伏的距离变化，可实现呼吸和心率的检测。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醒酒室*3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舒适型醒酒椅</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木质把手；坐式，躺卧比较灵活，采用人性化设计，180度可以旋转，四角固定地面，采用超纤皮包裹。</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特点：全软包醒酒椅，就是一把固定的铁制椅子，对面板和扶手进行了软包装，只是腿部、胸部、手臂处有伸缩带固定，坐上可使人不能动弹，有效地防止酒醉人员给他人带来麻烦,同时也提醒应给酒醉人员结合使用其它的醒酒措施,如多饮水.服药等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勤务指挥室</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一、视频系统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P1.25LED屏幕-COB封装</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(1).有效显示尺寸为宽≥9.6m，高≥2.36m；屏幕分辨率：≥7680*1890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(2).像素间距：≤1.25mm，像素密度≥640000点/㎡；箱体尺寸：(W×H) 600×337.5mm，单元比例：16∶9</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(3).像素构成：高密度全倒装集成三合一 COB 封装（1R1G1B），采用 RGB 晶片全倒装技术，晶片直接焊在 PCB 上，无焊线，发光晶片单边尺寸≤100μm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(4).亮度：≥800nits，支持通过配套软件0-100%调节，亮度均匀性≥99%，整屏显示亮度应均匀一致；亮度鉴别等级C 级，BJ≥22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(5).对比度：≥20000：1；暗室对比度≥2000000∶1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(6).视角：水平≥170°，垂直≥170°；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(7).色温：1000—30000K可调。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(8).刷新频率：＞3840Hz。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(9).功耗：最大功耗≤300W/㎡，平均功耗≤100W/㎡，带有智能（黑屏）节电功能，开启智能节电功能比没有开启节能60%以上，休眠模式带电黑屏功耗（W）≤25W/㎡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(10)..驱动方式：共阴恒流驱动，动态节能，降低功耗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(11).拼装精度≤0.05mm，箱体平整度≤0.05mm，单元/模块平整度≤0.03mm，相邻像素之间平整度≤0.03mm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(12).平均使用寿命：≥120000小时，平均无故障时间≥100000小时，故障平均修复时间MTTR：不超过2分钟。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(13).高度集成：为提供整体的美观性与可维护性，采用三合一集成板卡设计，将电源、接收卡以及 HUB 板高度集成于一体，简化箱体内部的连接结构，减少线缆冗乱。</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(14).箱体材质：整机采用密封式压铸铝结构，一次性整体压铸成型，全金属自然散热结构，无风扇、防尘、静音设计，内部系统卡、元器件都有很好的保护作用。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(15).箱体抗拉强度≥250Mpa；屈服强度≥150Mpa；抗拉力测试数值≥5000N/㎡，抗压力测试数值≥50000N/㎡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(16).色域覆盖率：NTSC 色域覆盖率：≥120%，屏幕支持色域范围调节，可任意按标准色域显示；支持 BT.2020、BT.709、DCI-P3、 sRGB 等多种色域之间的转换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(17).维护方式：前维护，无需预留空间，使用通用前拆工具，真空吸。模组和集成控制板可单独进行维护、更换，支持热插拔。</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显示效果：具有蓝光护眼技术，同时符合4K超清显示、显示无闪烁、无颗粒感，画面细腻、画质清晰真实、播放效果流畅，色温均匀性好、亮度均匀性好、对比度高、色域广等要求，具有提高显示效果的技术特点，较短距离观看时，可以一定程度上缓解颗粒感问题，以及可以提高整个图像显示的视觉过渡效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22.68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发送卡</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(1).是一款4K X 2K 的独立主控，单台设备最大带载为4096 X 2160@ 60Hz，可自定义分辨率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(2).支持发送卡模式和光电转换模式互相切换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(3).支持3D功能，配合3D发射器EMT200和3D眼镜，实现3D显示效果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(4).输入接口包括DP1.2，4路DVI接口（2个双链DVI，4个单链DVI）</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(5).支持16路千兆网口输出和4路10G光纤输出，2主2备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(6).支持视频源位深 8bit\10bit\12bit</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(7).支持新一代逐点亮色度校正技术，校正过程快速高效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(8).支持中控对接，可平板控制实现一键3D\2D画面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(9).根据显示屏所用LED的不同特性，实现白平衡校准及色域匹配，确保色彩真实还原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(10).支持液晶配屏，无需电脑，随时配屏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(11).采用G4引擎，画面稳定无闪烁、无扫描线、图像细腻、层次感好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(12).自动备份功能--让系统不担心信号中断问题，现场使用更稳定</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(13).独有的同步处理技术，可以解决显示屏因拼接带载而带来的撕裂问题</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(14).采用创新型架构，实现智能配置，极大缩短舞台准备时间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大屏支架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1、名称：大屏支架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2、规格：大屏定制支架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28.8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大屏配电箱-PLC</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输入电压：380V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输出电压：220V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额定功率：30KW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输出回路：3个单相回路（AC220V）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每路输出最大带载功率：≤3.33KW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回路状态监测：单回路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远程控制：有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分步逐级上电：有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计划任务上电：有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串口服务器：RS232-网口转换器*1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拼接控制器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10槽位机箱（带平台功能，输入）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硬件结构</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采用4.5U标准机架式设计，运营级ATCA机箱系统，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插拔式模块化设计，具备10个混插槽位，业务板卡支持热插拔</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双电源冗余设计，配备4组智能风扇自动调温，可拓展双主控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音视频输入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支持HDMI内嵌音频和3.5mm外置音频输入，音频输入支持双声道，立体声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支持电脑、视频会议终端、超高分服务器等视频输入信号源，支持VGA、DVI、HDMI、DP 4K信号输入，支持网络IPC、NVR等设备类型作为网络信号源输入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图像采集及输出均支持YUV 422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支持超高分融合，支持16个4K超高清信号接入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支持输入OSD叠加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支持输入图像裁剪，能将输入图像黑边进行剪裁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音视频输出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支持HDMI内嵌音频和3.5mm外置音频输出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支持VGA、DVI、HDMI视频信号输出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采用帧同步技术，保证所有输出口的图像完全同步，画面完整，播放流畅，无卡顿丢帧情况，无撕裂和拼缝现象音视频编解码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输入板支持H.264/H.265编码，支持子码流及主码流编码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最大支持40个编码通道，支持40路200W视频编码能力（输入板满配）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输出板支持IPC/NVR等网络源解码，支持子码流及主码流解码，包含H.264、H.265、Smart264、Smart265、MJPEG等主流格式解码，支持PS、TS、ES、RTP、HIK等主流封装格式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最大支持640个解码通道，可支持320路200W视频同时解码上墙（输出板满配）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支持3200W高清视频解码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支持智能解码，支持码流修改和切换，可设置分割画面自动取子码流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电视墙功能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支持多电视墙，最大支持8个电视墙</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支持电视墙预编辑、窗口可视化预览、预监</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支持开窗和漫游功能，单屏最大支持8个图层开窗，单个窗口支持1/4/6/8/9/16/25/36/49/64画面分割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支持8张底图显示，底图分辨率为1080P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支持虚拟条屏，整机最大支持24个字幕，单墙最大支持3个，支持背景颜色/透明度、字体类型/颜色/大小/方向、滚动速度设置、时钟添加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支持通过客户端软件抓屏，进行桌面投屏上墙</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最大支持128个预设场景，用户可以自定义每个场景电视墙布局</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最大支持64个预案轮巡组，每个预案可自定义设置点位、场景、时间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支持RTP\RTSP协议进行网络源预览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设备接入和开放</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支持通过网络键盘/串口键盘实现分屏切换、组操作及轮巡、场景切换、PTZ控制、电视墙回放等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支持串口连接LCD，通过软件实现屏幕开关控制，亮度、对比度、色彩、锐度的调节和画面水平、上下位置调节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支持GB28181协议接入平台实现管理和操作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支持ONVIF标准协议接入设备解码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运维支持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内置万兆交换网络，外置千兆网口支持链路聚合，支持NAT功能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支持Android、IOS、PC客户端、WEB方式访问和操作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支持远程配置，重启，恢复默认设置、升级、获取系统状态、日志、校时等日常维护操作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支持故障自动检测和设备异常报警功能，包括网络断开、IP冲突、非法访问、温度超限、风扇状态异常、解码信号源异常、设备异常等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支持可视化运维，维护界面展示主控及子系统网络拓补结构和关键节点网络状态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机箱高度：4.5U</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总线类型：万兆网交换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信号采样质量：YUV422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主控板槽位数：2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配置主控板数量：1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电源槽位数：2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配置电源数量：2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业务板槽位数：10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最大输出槽位数：10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最大输入槽位数：10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整机解码能力：320路1080P30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整机编码能力：40路1080P60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整机拼接能力：60路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风扇：4个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USB接口：1个，USB 2.0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串行接口：2个，1个Console控制口（RJ45接口） + 1个RS485/232复用口（RJ45接口）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电源接口：AC100~240V，50/60Hz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整机功耗：≤420W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管理网口：1个，RJ45，10M/100M/1000M自适应以太网口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交换网口：2个，RJ45，10M/100M/1000M自适应以太网口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网络传输协议：SDK、RTSP、ONVIF、GB28181-2022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电视墙数量：8个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电视墙规模：≤60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开窗数量：≤512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单口画面分割数：1/4/6/8/9/16/25/36/49/64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输入源复制能力：2K输入板12路上墙能力，4K输入板3路上墙能力</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单屏图层数：8个图层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整机图层数：480个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场景数量：128个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场景切换延时：400ms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预案数量：64个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电视墙预监：支持（客户端电视墙可视化）</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预览路数：每个输入通道支持预览路数≤6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预览分辨率：预览支持子码流及主码流类型，其中子码流含CIF(352×288)/FCIF(704×576)/WD1(960×576)/720P(1280×720)/XVGA(</w:t>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1280×960)/UXGA(1600×1200)/1080P(1920×1080)，主码流含720P(1280×720) /XVGA(1280×960)/UXGA(1600×1200)/1080P(1920×1080)/XGA(1024×768)/WXGA(1360×768)/SXGA(1280×1024)/SXGA+(1400×1050)/WSXGA(1440×900)/WSXGA+(1680×1050)/1920×1200/2560×1440/2560×1920/3840×2160/4096×2160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超高清融合规模：≤16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底图：≤8个，单个底图最大分辨率1080P，底图格式JPG/JPEG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字幕数量：≤24个，单墙≤3个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输入OSD叠加：支持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输入图像裁剪：支持，上下左右各200个像素点</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本地源上墙延时：90ms(1080P 60帧信号源)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工作温度：0℃~＋50℃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工作湿度：10％~90％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输入板卡（1080P）</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1、名称：输入板卡（1080P）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2、参数：HDMI输入板（16路1080P输入）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支持4路HDMI信号输入，单路分辨率≤1920 × 1200@60Hz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单板编码能力为4路1080p@60Hz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支持H.264/H.265编码，默认采用H.265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支持两种音频输入方式：HDMI内嵌音频和外置音频输入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音频输入支持16bit，48K Hz采样，支持双声道，立体声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音频输入接口数：4音频输入接口类型：HDMI内嵌 或 mini-DP转3.5mm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音频采样率：48KHz/44.1KHz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音频声道：双声道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视频输入接口类型：HDMI1.4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视频输入接口数：4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视频输入最大分辨率：1080P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视频输入分辨率：1024×768@60Hz、1280×1024@60Hz、1366×768@60Hz、1440×900@60Hz、1680×1050@60Hz、1280×960@60Hz、1600×1200@60Hz、1280×720P@50Hz、1280×720P@60Hz、1920×1080P@50Hz、1920×1080P@60Hz、1920×1200@60Hz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支持自定义分辨率（宽×高），宽：800~2560, 高：600~2160，同时需满足总分辨率要求：输入@60时，宽*高(800*600  ~2048*1152) ，输入@30时，宽*高(1280*720 ~ 2048*1152)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视频编码格式：支持H.265/H.264，默认H.265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视频编码通道数：4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w:t>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编码能力：编码双码流，其中子码流含 CIF(352×288)/FCIF(704×576)/WD1(960×576)/720P(1280×720)，主码流含 720P(1280×720) /XVGA(1280×960)/UXGA(1600×1200)/1080P(1920×1080)/XGA(1024×768)/WXGA(1360×768)/SXGA(1280×1024)/SXGA+(1400×1050)/WSXGA(1440×900)/WSXGA+(1680×1050)/1920×1200，帧率最大30帧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音频编码格式：G722.1,G711u,G711A可配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输入板卡（4K）</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1、名称：输入板卡（4K）</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2、参数：DP超高清输入板（4路4K输入）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支持2路DP信号输入，单路分辨率≤4096 × 2160@30Hz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单板编码能力为2路4096 × 2160@30Hz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支持H.264/H.265编码，默认采用H.265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支持两种音频输入方式：DP内嵌音频和外置音频输入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音频输入支持16bit，48K Hz采样；支持双声道，立体声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音频输入接口数：2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音频输入接口类型：DP内嵌 或 mini-DP转3.5mm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音频采样率：48KHz/44.1KHz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音频声道：双声道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视频输入接口类型：DP1.2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视频输入接口数：2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视频输入最大分辨率：4K</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视频输入分辨率：1920×1080P@60Hz、1920×1200@60Hz、3840×2160@30Hz、4096×2160@30Hz；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支持自定义分辨率（宽×高）：宽800~8192（4对齐），高600~8192（2对齐）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1）30Hz时接入面积宽*高(96W ~ 880W)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2）60Hz时接入面积宽*高(48W~ 440W)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视频编码格式：支持H.265/H.264，默认H.265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视频编码通道数：2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视频编码能力：编码双码流，其中子码流含CIF(352×288)/FCIF(704×576)/WD1(960×576)/720P(1280×720)/XVGA(1280×960)</w:t>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/UXGA(1600×1200)/1080P(1920×1080)，主码流含720P(1280×720) /XVGA(1280×960)/UXGA(1600×1200)/1080P(1920×1080)/XGA(1024×768)/WXGA(1360×768)/SXGA(1280×1024)/SXGA+(1400×1050)/WSXGA(1440×900)/WSXGA+(1680×1050)/1920×1200/2560×1440/2560×1920/3840×2160/4096×2160，帧率最大30帧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音频编码格式：G722.1,G711u,G711A可配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输出板卡（1080P）</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1、名称：输出板卡（1080P）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2、参数：HDMI输出板（12路1080P输出）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支持4路HDMI信号输出，单路分辨率≤1920 × 1200@60Hz，奇数口支持4K输出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适配LED，可自定义输出分辨率，单口带载能力260W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具有64路视频解码通道，解码能力达32路200W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支持3200W高清视频解码支持H.265、H.264、MPEG等主流格式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支持两种音频输出方式：HDMI内嵌音频和外置音频输出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视频输出接口类型：HDMI1.4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视频输出接口数：4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视频输出最大分辨率：1080P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视频输出分辨率：支持4096*2160@30HZ（奇数口）、3840*2160@30HZ（奇数口）、1920*1200@60HZ、1920×1080@60Hz、1680×1050@60Hz、1600*1200@60Hz、1280×720@60Hz、1280×1024@60Hz、1024×768@60Hz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视频输出LED带载能力：单口带载260W，宽度288~3840，高度288~2160，宽度2对齐，高度2对齐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视频解码格式：H264,H265,Smart264,Smart265,MJPEG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视频解码通道：64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视频解码能力：H264/H265/Smart264/Smart265格式，支持2路3200W/2400W，或4 路1600W/1200W，或8路800W，或12路600W/500W，或16路400W，或20 路300W，或32 路1080P，或64路720P/D1 及以下分辨率实时解码。（每4个输出口一组，共享解码能力）</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MJPEG格式，支持4路200W解码。MJPEG格式，支持4路200W解码。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音频输出接口类型：HDMI内嵌 或 mini-DP转3.5mm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音频输出接口数：4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音频解码格式：G711-A,G711-U,G722.1,G726-16/U/A,MPEG,AAC-LC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大屏进线电源线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YJV5*16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大屏电源线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240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大屏网线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六类非屏蔽网线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86寸触控一体机</w:t>
            </w:r>
            <w:r>
              <w:rPr>
                <w:rStyle w:val="794"/>
                <w:rFonts w:hint="eastAsia" w:asciiTheme="minorEastAsia" w:hAnsiTheme="minorEastAsia" w:eastAsiaTheme="minorEastAsia" w:cstheme="minorEastAsia"/>
                <w:sz w:val="21"/>
                <w:highlight w:val="none"/>
                <w:lang w:val="en-US" w:eastAsia="zh-CN" w:bidi="ar"/>
              </w:rPr>
              <w:br/>
            </w:r>
            <w:r>
              <w:rPr>
                <w:rStyle w:val="794"/>
                <w:rFonts w:hint="eastAsia" w:asciiTheme="minorEastAsia" w:hAnsiTheme="minorEastAsia" w:eastAsiaTheme="minorEastAsia" w:cstheme="minorEastAsia"/>
                <w:sz w:val="21"/>
                <w:highlight w:val="none"/>
                <w:lang w:val="en-US" w:eastAsia="zh-CN" w:bidi="ar"/>
              </w:rPr>
              <w:t xml:space="preserve">（含OPS功能模块）</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1、名称：86寸触控一体机（含OPS功能模块））—指挥大厅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2、参数：LCD  尺寸: 86"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分辨率:3840x2160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亮度:450cd/m²(typ.)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屏对比度:1400:1(typ.)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响应时间: 8ms(typ.)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帧频: 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视角: 178°(H) / 178°(V)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寿命: 30,000 hrs(min.)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色彩饱和度:(x% NTSC) 65%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可视面积:1874mm*1055mm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色彩度: 16.7M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中央处理器:Intel i5-6代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运行内存: 8G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硬盘:128G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系统版本:Win10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工作温度: -20℃ ~ 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储藏湿度: 0% ~ 95% RH Non-Condensing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工作湿度: 20% ~ 80% RH Non-Condensing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移动支架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1、名称：移动支架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2、颜色：银灰色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表面处理：喷涂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载荷承重：135 kg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外壳材料：SPCC优质钢板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高清线-2米</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1、名称：高清线-2米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2、规格：传输分辨率不小于1080@60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高清线-5米</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1、名称：高清线-5米（拼接控制器到发送卡）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2、规格：传输分辨率不小于1080@60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高清线-15米</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1、名称：高清线-15米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2、规格：传输分辨率不小于1080@60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高清线-30米</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1、名称：高清线-30米（工位+桌插+会议摄像机）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2、规格：传输分辨率不小于1080@60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二、多媒体会议系统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一拖二无线话筒（手持）</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(1).自动频道扫描（SCAN)功能,自动搜索空闲频道；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(2).二通道接收信号；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(3).振荡方式：锁相环频率合成；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(4).采用红外自动对频技术，每通道有32个信道可选，每个信道以0.5MHz步进；</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(5).UHF频段传输信号，频率范围：UHF600-699.75MHz；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(6).接收机LCD显示屏指示工作信道、工作频点、接收信号指示,每个显示屏显示两个通道的工作状态；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(7).发射器LCD显示屏指示工作信道、工作频点、当前电量；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(8).接收机背面设置2条橡胶接收天线；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(9).同时设置2个平衡输出和1个混合非平衡输出，适合连接各种外置设备。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(1).话筒耗电量：5号干电池*2，可连续使用6小时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(2).使用距离：可视距离80-100米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(3).话筒搭配：一拖二设计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(4).载波频率：UHF600-699.75MHz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(5).频率稳定度：±25KHz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(6).信噪比：&gt;105dB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(7).邻频干扰比：&gt;80dB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(8).动态范围：≥100dB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(9).类型：动圈式（Dynamic)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(10).极性模式：单一指向性(One direction)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(11).频率响应：40Hz～20KHz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(12).话筒灵敏度：-47±3dB@1KHz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(13).接收机电源：DC12V、1000mA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(14).电源功耗：≤20W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一拖二无线话筒（头戴）</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(1).自动频道扫描（SCAN)功能,自动搜索空闲频道；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(2).二通道接收信号；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(3).振荡方式：锁相环频率合成；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(4).采用红外自动对频技术，每通道有32个信道可选，每个信道以0.5MHz步进；</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(5).UHF频段传输信号，频率范围：UHF600-699.75MHz；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(6).接收机LCD显示屏指示工作信道、工作频点、接收信号指示,每个显示屏显示两个通道的工作状态；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(7).发射器LCD显示屏指示工作信道、工作频点、当前电量；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(8).接收机背面设置2条橡胶接收天线；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(9).同时设置2个平衡输出和1个混合非平衡输出，适合连接各种外置设备。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(1).话筒耗电量：5号干电池*2，可连续使用6小时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(2).使用距离：可视距离80-100米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(3).话筒搭配：一拖二设计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(4).载波频率：UHF600-699.75MHz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(5).频率稳定度：±25KHz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(6).信噪比：&gt;105dB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(7).邻频干扰比：&gt;80dB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(8).动态范围：≥100dB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(9).类型：动圈式（Dynamic)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(10).极性模式：单一指向性(One direction)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(11).频率响应：40Hz～20KHz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(12).话筒灵敏度：-47±3dB@1KHz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(13).接收机电源：DC12V、1000mA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(14).电源功耗：≤20W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天线放大器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(1).低噪放大电路设计；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(2).10通道低损耗天线分配电路设计；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(3).BNC接口，保证连接的可靠性,天线覆盖范围，可视距离80-100米；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(4).安装方式，天线吸顶或壁装，二选一。</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(1).天线输入/输出阻抗：50Ω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(2).天线输入/输出插座：TNC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(3).天线增益：13dB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(4).天线带宽：400MHz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(5).分配器增益：3dB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(6).分配器带宽：40MHz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调音台</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(1).输入通道：16通道。线路输入：单声道：8，立体声：4；话筒输入：10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(2).输出通道：STEREO OUT：2；PHONES：1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(3).频响：+0.5dB/-0.5dB（20Hz-20kHz）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(4).总谐波失真：0.03%@+14dBu（20 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(5).母线：立体声：1；编组：4，AUX（包括FX）</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(6).电平表：2x12 - 点距LED电平表[PEAK，+10，+6，+3，0，-3，-6，-10，-15，-20，-25，-30dB]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(7).幻象电源电压：+48V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(8).功率要求：AC 100-240V，50/60Hz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音频处理器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(1).8路模拟平衡输入8路模拟平衡输出，最大输入输出17dBu（5.48Vrms）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(2).可选配4路dante/16路dante</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(3).输入每通道带48V幻像电源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(4).输入每通道带麦克风放大器，0~40dB增益可调，步进1dB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(5).立体声USB声卡功能，支持播放和录音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(6).USB接口，电脑软件控制和USB声卡传输功能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(7).RS232,RS485,TCP/IP接口，电脑软件控制和中控功能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(8).外置8路GPIO接口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(9).液晶屏，支持配置设备名称、设备预设、设备IP、输入音量、输出音量、输入模式、设备版本查看等功能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(10).DSP功能有，AFC（反馈抑制）、AEC（回声消除）、ANC（噪声消除）、AGC（自动增益）AUTOMIX（自动混音）、MATRIXMIX（矩阵混音）、噪声门、PEQ（参量均衡器）、延时器、FIR滤波器、高低通分频、压缩器、限幅器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(11).输入15段PEQ，输出10段PEQ</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(12).每通道输入2000ms延时器，输出2000ms延时器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(13).输出每通道512TapFIR</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(14).输入每通道语音激励功能（摄像跟踪），支持带PELCO-D、PELCO-P、VISCA协议摄像头控制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(15).60个预设记忆位置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(16).支持线控盒控制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(17).安卓APP网络控制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(18).支持存档加锁，隐藏设置参数，保证项目技术安全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(1).信号处理：32bitfloatpointdsp400Mh</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音频系统延迟:&lt;3ms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数模转换:24-bit</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(2).输入通道：8路平衡输入.Mic/linelevel、音频接口:3.81mm凤凰插,12-pin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(3).输入阻抗:16kΩ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(4).最大输入电平：17dBu（5.48Vrms）/Line；-3dBu（0.54Vrms）/Mic@20dB增益档位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(5).幻象电源：+48VDC,5.5mA,每通道配置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(6).输出通道：8路平衡输出,linelevel</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(7).输出阻抗：150Ω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(8).频响曲线：20Hz-20kHz(±0.5dB)/Line，输入0dBu（0.775Vrms）20Hz-20kHz(±1.5dB)/Mic，20dB增益档位，输入-10dBu（0.245Vrms）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(9).信噪比：110dB(@17dBu,1kHz,A-wt)/Line；100dB(@-6dBu,1kHz,A-wt)/Mic，20dB增益</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(10).USB：Type-B2.0,免驱、RS232：Serialportcommunication串口通信、TCP/IP网口：RJ-45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(11).指示灯：Link,+48V,输入输出音频信号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(12).供电范围：90V-264VAC50-60Hz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数字触控型会议主机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(1).系统采用ID寻址控制方式，主机开机自动检测单元，可自定义会议单元编号，能有效避免ID地址冲突；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(2).8路会议单元输出接口，其中2路RJ45网口（CAT6-20mMAX），6路8芯母头接口；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(3).单元间采用分线盒，环形手拉手连接连接方式；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(4).带反馈抑制（AFC）、环境噪音消除（AEC）、数字均衡电路（EQ）、自动增益控制（AGC）功能；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(5).带摄像跟踪功能，支持VISCA、PELCO-D/P等控制协议，可以脱离视频跟踪软件及控制键盘进行摄像跟踪设置、保存及自动调用；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(6).具备先入先出工作模式，发言数量可自定义设置，发言人数可设置为1至9台；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(7).可设置为自由讨论模式，所有会议单元可以全部自由开启发言不受数量限制；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(8).支持选配PC会议管理软件支持申请发言模式、排队模式、电脑允许模式、发言限时模式；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(9).支持选配web网页控制功能，无需安装程序可通过浏览器访问即可设定和调节会议各项功能；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(10).通过面板可控制辅助输入音量、MIC输入音量、会议单元输出音量及主音量的调节；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(11).系统可同时接入150台主席单元，主席单元具有优先权功能，也可关闭其它正在发言的代表单元；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(12).可设置代表单元为VIP单元，VIP单元发言不受限制可自由开启，也不受其它代表单元开启影响；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(13).支持定制双机热备份功能，可将一台会议主机设置为备份主机，当会议主机出现异常备份主机自动接管。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(1).系统容量：单机240台，可扩展65535台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(2).显示屏：4.5"TFT触控屏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(3).显示菜单：简体、繁体、英文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(4).频率响应：20Hz~20KHz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(5).信噪比：&gt;96 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(6).动态范围：106dB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(7).总谐波失真：&lt; 0.05%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(8).输出阻抗：47 KΩ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(9).音频输入：RCA×2，XLR×1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(10).音频输出 ：RCA×2，XLR×1，OPTIC光纤口*1，dante网口*2（选配）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(11).控制接口：RS-232公头、RS-232母头*2、RS-485凤凰头*1、双机备份接口*1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(12).工作温度：-40℃~+70℃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(13).净重：6.0Kg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(14).电源：AC100V~240V/50Hz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(15).电源功耗：≤50W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全自动数字反馈抑制器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(1).2寸TFT彩屏，中英文可选；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(2).反馈加移频设计方案，移频4档可选；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(3).每通道设12个陷波器,工作频率20-20KHZ，自动扫描啸叫点并抑制；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(4).独特的噪声门功能可抑制系统微弱噪声干扰；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(5).输入压缩功能，消除反馈同时更可扩展人声动态；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(6).响应时间快中慢3速可定，更具人性化；</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(7).配有专业的PC调试软件，USB免驱动即插即用，方便快捷。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(1).模拟输入：2CH-XLR和1/4“TRS(母)输入,电子平衡/不平衡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(2).输入阻抗：平衡47Ω,不平衡20KΩ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(3).最大线路电平输入：+18dBu</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(4).模拟输出：2CH-XLR和1/4“TRS(母)输入,电子平衡/不平衡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(5).输出阻抗：平衡&gt;120Ω,不平衡&gt;60Ω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(6).最大输出电平：+20dBu</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(7).频率响应：20Hz-20KHz,±0.3db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(8).信噪比：&gt;105db(A)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(9).动态范围：103db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(10).总谐波失真+噪声：0.005％,1KHz;20Hz-10KH,&lt;0.01％;10KHz-20KHz,&lt;0.025％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(11).电源：AC 220V/50Hz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(12).电源功耗：≤30W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数字触控型主席单元</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(1).枪式方管单元，分线盒环形手拉手方式连接；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(2).具有发言讨论、摄像跟踪、会议服务（定制）、表决（定制）等功能；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(3).专用8芯延长线与其它单元或主机进行通；</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(4).锌铝合金内嵌莫氏硬度6级触控玻璃面板，具备防尘功能；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(5).具备与其它单元或主机进行通讯，支持选配显示本地时间、发言时间、可以对发言时间定时、显示万年历功能；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(6).心形指向性驻极体，14mm镀金咪芯，内置双振膜高保真拾音头，仰俯角度可调；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(7).支持选配发送茶水、纸笔、服务员等需求通知以及短消息功能；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(8).支持选配具备投票表决功能，支持按键签到、补签到功能，数据动态显示；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(9).具备语音激励功能，发言自动开启话筒，未检测到发言时自动关闭；</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(10).具备初始化功能，可以恢复到出厂状态；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(11).可设置一台执行主席和若干个副主席，执行主席有优先权与控制权，副主席有优先权；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(12).双色指示灯，发言与编号状态显示为红色、VIP单元发言为绿色；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(13).支持多语种菜单选择，包括中文简体、繁体（定制）、英文（定制）显示菜单；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(14).咪杆装备20500个直径0.4mm高密度声干孔，且密度小于液体，在提高了信噪比的同时还能有效防止液体渗入。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(1).屏幕尺寸：3.5"LCD触控屏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(2).发言按钮：电容式感应触摸按键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(3).单元开启数量：1/2/3/4/5/6/7/8/9个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(4).耳机输出接口：Φ3.5mm立体式插孔</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(5).工作电压：24V DC±5％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(6).频率响应：40Hz~20KHz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(7).信噪比：&gt;90dB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(8).延时时间：少于5.5mS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数字触控型代表单元</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(1).枪式方管单元，分线盒环形手拉手方式连接；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(2).具有发言讨论、摄像跟踪、会议服务（定制）、表决（定制）等功能；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(3).专用8芯延长线与其它单元或主机进行通；</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(4).锌铝合金内嵌莫氏硬度6级触控玻璃面板，具备防尘功能；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(5).具备与其它单元或主机进行通讯，支持选配显示本地时间、发言时间、可以对发言时间定时、显示万年历功能；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(6).心形指向性驻极体，14mm镀金咪芯，内置双振膜高保真拾音头，仰俯角度可调；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(7).支持选配发送茶水、纸笔、服务员等需求通知以及短消息功能；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(8).支持选配具备投票表决功能，支持按键签到、补签到功能，数据动态显示；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(9).具备语音激励功能，发言自动开启话筒，未检测到发言时自动关闭；</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(10).具备初始化功能，可以恢复到出厂状态；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(11).可设置一台执行主席和若干个副主席，执行主席有优先权与控制权，副主席有优先权；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(12).双色指示灯，发言与编号状态显示为红色、VIP单元发言为绿色；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(13).支持多语种菜单选择，包括中文简体、繁体（定制）、英文（定制）显示菜单；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(14).咪杆装备20500个直径0.4mm高密度声干孔，且密度小于液体，在提高了信噪比的同时还能有效防止液体渗入。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(1).屏幕尺寸：3.5"LCD触控屏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(2).发言按钮：电容式感应触摸按键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(3).单元开启数量：1/2/3/4/5/6/7/8/9个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(4).耳机输出接口：Φ3.5mm立体式插孔</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(5).工作电压：24V DC±5％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(6).频率响应：40Hz~20KHz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(7).信噪比：&gt;90dB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(8).延时时间：少于5.5mS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音频分线盒</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(1).自带3个8芯接口；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(2).自带2.5米8芯线缆，可连接两台会议单元。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数据延长线缆</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(1).用于数字会议单元与会议单元之间延长连接；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(2).具有30米长度；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(3).具备8P-DIN公头×1、母头×1；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(4).M23612/1、M23832系列专用。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指挥大厅音柱</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频率响应 (+/-3 dB)：75 Hz -13 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频率范围 (-10 dB)：58 Hz - 16 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额定覆盖角度：160° 水平 x 20° 垂直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长时功率：≥150 W（600 W 峰值）</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灵敏度 (SPL / 1 W @ 1 m)：≥87 dB SPL</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距离为 1 米时的最大 SPL：≥112 dB SPL（118 dB SPL 峰值）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额定阻抗：≥8 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吸顶扬声器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频率响应（-3 dB）：80-16.000 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频率范围（-10 dB）：70-17.000 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标称记录角度：145o</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标称覆盖（1-10 kHz）：115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长期连续承载能力：≥40W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功耗，峰值：≥160W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灵敏度（SPL/1W@1 m）：≥88 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1米处计算的最大声压级：≥104分贝</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计算的最大声压@1 m，峰值：≥110 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建议的高通保护：70赫兹，至少24分贝/倍频程滤波器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过载保护：自动预留电阻网络降功率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标称踏板：8欧姆（变压器旁路）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专业数字功放</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(1).带LCD显示屏，可实时监测内部温度，音量大小，工作模式显示；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(2).后盖板带灵敏度拨动开关，三种工作模式：立体声、桥接、并接，一键切换保存功能；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(3).整机静态功耗低，动态能量充沛；具备开机软启动，欠压，过压，过热，过载，过流，直流保护等特性；适用于大型厅堂，多功能厅，演艺娱乐厅，大型KTV等场合。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(1).额定功率RMS：(8Ω)2×600W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(2).额定功率RMS：(4Ω)2×900W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(3).桥接功率RMS：(8Ω)1200W×1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(4).桥接功率RMS：(4Ω)1800W×1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(5).频响：20Hz-20kHz, ±0.5dB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(6).输入灵敏度:0.775V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(7).信噪比≥105dB，失真度（THD）≤0.03%</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(8).阻尼系数（f=1KHz 8Ω）＞240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(9).转换速率：15V/uS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顺序电源启动器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(1).2寸彩色液晶智能显示窗，可实时显示当前电压，日期时间，通道开关状态。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(2).8路开关通道输出，每路延时开启和关闭时间可自由设置。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(3).支持面板Lock锁定功能，防止误操作。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(4).内置时钟芯片，可根据日期时间定时设置自动开关机,不须人为操作。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(5).支持多台设备级联顺序控制，级联自动检测设置。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(6).RS232接口具有PC配置软件控制或中控控制功能。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(7).RS485接口具有主从机器级联控制或中控控制功能。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(8).每台设备自带ID设置和检测，可实现远程集中控制。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(9).8组设备开关场景数据保存/调用，场景管理应用简单便捷。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(10).欠压、超压检测及报警。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(11).网络控制接口功能。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(1).额定输出电压：AC 220V 50/60Hz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(2).可控制电源：8路，外加2路输出辅助通道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(3).每路动作延时时间：0-999秒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(4).状态显示：2寸TFT彩色液晶实时显示当前电压、日期、时间、每路开关状态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(5).单路额定输出电流：16A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(6).额定总输出电流：30A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中控主机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(1).网络化云中控主机是我司基于云端网络通讯型自主研发的高端网络云平台中央控制系统主机，采用A8双核CPU，采用800MHz主频的64位内嵌式处理器；1G运行内存，4G Flash闪存；先进可靠的集成技术，提供高速、准确、稳定的云端控制管理；内置红外学习功能，开放式 + 模块化的用户编程界面，可轻易完成各种复杂的控制功能编程。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丰富的控制接口，兼容多种控制协议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(1).网络通讯：CAN、Zigbee、Ethernet、TCP/IP、UDP、WIFI、MODBUS、MQTT、JSON、HTTP；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标准配置11路串口（2块4路串口扩展卡），可通过编程定义为RS-232、RS-485以及DMX512控制协议，且主机配置2路SPI扩展功能卡槽，可将出厂标配的2块串口扩展卡更换为8路红外扩展卡、8路IO扩展卡等，适应不同项目具体需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(3).配置2路带供电CAN总线控制接口和8路红外接口，其中1-4路支持自定义为红外端口或者IO端口，5-8路支持红外端口；配置1路LAN网络接口，内置红外学习接口；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(4).支持2路带供电CAN总线信号管理，最大管理终端数量可达110台；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(5).支持TCP/IP和PJ LINK控制协议，可控制电脑开机与程序关机；配合系统相关软件，支持多媒体播放控制功能，可对播放参数进行设置，如文件选择、音量调节、循环、快进/退、上/下一曲、窗口/全屏等；支持阅读受控电脑内PPT文件，进行翻页、窗口缩放等操作，可打开受控电脑的网页浏览器，访问指定网站，进行翻页、窗口缩放等操作，以及后续不断更新和完善的</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系统支持环境监测传感模块配置，可对室内亮度、温湿度、空气质量、烟雾火警、设备压力等参数进行检测，实时同步至中控系统操作触摸屏界面，并进行智能化调节；同时支持空调与新风系统的控制调节（配合实现本功能的第三方设备必须提供与中控系统对接控制接口，且协议兼容）；</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(7).具备时间轴多线程事件编辑功能与自动时钟同步功能，可精准执行用户自定义时间预约控制，可实现真正无人值守的自动化管理；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(8).配置语音终端可支持语音控制功能；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(9).同时兼容IOS系统、Android系统与windows系统的控制终端（触摸屏）；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(10).云管理：用户可在云服务器注册账号，登陆云系统进行异地远程管理、控制；设置唯一管理员账号，可分配和删除其他账号控制权限；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(11).云调试：设备安装完成接入互联网，工程师即可配合用户进行系统软件编程与调试；系统功能需要修改时，用户可在账户上授权工程师进行更改，无用户授权第三方无法修改程序；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(12).云备份：用户程序存储在云服务器，不会因为人员更换导致程序丢失，更换旧设备时在云端下载程序即可；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系统扩展与备份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(13).主机插卡式设计，方便更换和增加板卡；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(14).支持无线双向Zigbee协议扩展系统，方便无法布线的项目或更新项目施工；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(15).支持双核心备份，当设备主核心出现故障时，备用核心将自行启动支持系统运行；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(16).电源：100V-240V  50/60Hz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集中控制系统软件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1、名称：集中控制系统软件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2、产品说明：定制编程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中控控制器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屏幕尺寸：11.5英寸</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分辨率：2800*1840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网络类型：WiFi版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厚度：7.0mm以下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屏幕分辨率：低于2K</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运行内存：8GB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存储容量：128GB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无线路由器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(1).5G MIMO技术：4x4 MIMO</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(2).防火墙：支持防火墙</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(3).LAN输出口：千兆网口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(4).天线：外置天线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(5).内存容量：512MB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(6).无线速率：5400M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(7).WAN接入口：千兆网口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(8).LAN口数量：3个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话筒线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规格：RVPE2*0.75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音箱线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规格：YXB 2X1.5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三、多媒体会议系统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电子水墨屏</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屏幕 ：7.5 寸三色电子墨水屏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可视区域： 161.0 mm ×96.0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分辨率： 800*480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DPI ：125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灰阶度： 黑白红 2 灰阶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工作温度 ：0℃ to 35℃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存储温度 ：-25℃ to 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传图模式：蓝牙、NFC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四、指挥大厅操作席</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4人位操作席</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1、名称：4人位操作席</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2、参数：控制台两端延米长度：4000mm；席位宽度：900mm；工作台面高度：750mm；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控制台电子设备舱为全金属材质，表面陶化静电喷粉工艺，设备舱内置专业理线架及国标86面板安装板。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台板及侧板：采用优质SPC抗倍特板。防火、防潮、防刻划、绝缘、高耐磨、高强度。台板边沿一体延伸鸭嘴型抛光手枕。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背面预留检修口。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键盘盆*4；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PDU*4；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显示器支架*4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7人位指挥席</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1、名称：7人位指挥席</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2、参数：控制台两端延米长度：6000mm，席位深度：850mm；工作台面高度：750mm；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控制台电子设备舱为全金属材质，表面陶化静电喷粉工艺，设备舱内置专业理线架及国标86面板安装板。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台板及侧板：采用优质SPC抗倍特板。防火、防潮、防刻划、绝缘、高耐磨、高强度。台板边沿一体延伸鸭嘴型抛光手枕。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背面预留检修口。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国标六位PDU*2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会商桌</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1、名称：会商桌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2、参数：控制台两端延米长度：4800mm，席位深度：1700mm；工作台面高度：750mm；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控制台电子设备舱为全金属材质，表面陶化静电喷粉工艺，设备舱内置专业理线架及国标86面板安装板。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台板及侧板：采用优质SPC抗倍特板。防火、防潮、防刻划、绝缘、高耐磨、高强度。台板边沿一体延伸鸭嘴型抛光手枕。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背面预留检修口。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国标六位PDU*2；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电力轨道*2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人体工学椅</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1、名称：人体工学椅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2、参数：(1).头枕、椅背、椅座均为进口优质网布；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(2).黑色尼龙塑胶框架，PU扶手垫；</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(3).线控底盘为钢板材质；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(4).铝合金五星脚，85mm气压棒,；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(5).60mmPU静音电镀滑轮；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(6).整椅通过国际BIFMA测试；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指挥席座椅</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1、名称：指挥席座椅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主体铁架由一根40*20*2mm圆管加工而成;铁架表面电镀，采用静电喷涂，涂层厚;扶手用5mm冷轧板弯曲成型，两头用精车件，表面精抛后镀铬;扶手面用6mm木板压制而成;扶手面用木板贴绵后+301-7黑色牛皮扪制而成:扶手单只可通过136kg垂直压力和68kg水平拉力而不断不变形;推背可通过BIFMA X5.1破坏性推背136kg一分钟;由PU材料发泡而成，面绵密度&gt;21kg/m3，底绵密度&gt;48kg/m3，泡绵回弹性可达35%;牛皮具有防水、抗拉强度高、耐用性能稳定等特点。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23.8寸升降屏</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1、名称：23.8寸升降屏（显示屏尺寸：50.9*28.6）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2、参数：(1).采用23.8寸超薄高清IPS显示屏，分辨率1920*1080，超窄边屏幕及全贴合工艺，色彩还原好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(2).屏框超窄边设计加工，触摸玻璃边缘弧形工艺，屏幕与屏框缝隙极小，表面结合细沙阳极氧化，视觉效果更美观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(3).精密直线导轨结合链条传动的升降方式，升降快速平稳，噪音小,运行3万次导轨无明显损耗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(4).所有线路采用弱电方案设计，12V供电，无漏电隐患，安全可靠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(5).面板集成终端主机电源开关及金属推拉USB，可用于开关机及临时上下传文件，也避免使用塑料USB防尘盖存在脱落情况</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(6).防障碍设计，如有障碍物阻挡或掉进机箱内，会在一定时间内停止运作，避免损坏设备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(7).多种控制方式，支持屏幕按键独立控制或遥控器、中控集中控制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(8).采用坦克链的内部走线方式可避免线缆在升降运行过程中无序的弯曲而导致折断或偏色等问题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(9).显示屏具有仰角调节的功能，支持手掰及按钮电动调节到适合个人的最佳角度，符合人机工程学原理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(10).所有线路都采用标准双重绝缘和安全接地防漏电保护装置，不带感应电，不漏电；控制线路板采用全球先进集成智能识别芯片组，限位开关双重保护，稳定性最佳，电子线路采用国际EMC技术标准，安全可靠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(11).设备尺寸不小于长422mm*宽70mm*高550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五、指挥大厅图形工作站</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业务处理图形工作站（不含显示器）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lang w:val="en-US"/>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详见业务处理图形工作站（不含显示器）参数表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34寸带鱼屏</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屏幕比例：21:9</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分辨率：3440*1440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对比度：3000:1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类型：曲面屏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响应时间：2ms-4ms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面板：VA屏幕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刷新率：100Hz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接口：DP，HDMI，USB扩展/充电，音频/耳机输出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六、UPS系统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配电箱</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1、名称：配电箱</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2、参数：UPS 输入63A/1P*1、输出63A/1P*1、旁路63A/1P+锁；机柜20A/1P*1 ;预留备份16A/1P*3配套防雷、浪涌等，开关元器，挂壁式安装 ；尺寸400(W)*180(D)*500(H)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UPS主机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1、名称：UPS主机（主要供监控，门禁，QIANG柜使用，后粗2小时）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2、参数：容量：10KVA/长机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输入输出电压制式单进单出，超高的输入输出功率因数，峰值比3:1，配置5A大功率充电器，电池电压192VDC-288VDC.丰富的选配件，通信方式RS232\SNMP卡（选件）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蓄电池</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1、名称：蓄电池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2、参数：满载UPS主机10kVA，后备时间2小时，配置1组24节100AH ，每组节20节，；控阀式铅酸蓄电池，单只电池额定电压为12V，壳采用防阻燃壳体，蓄电池在使用中应无渗液、漏液、爬液和膨胀现象。电池容量保存率：电池在25℃环境下。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电池连接线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1、名称：电池连接线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2、参数：直流开关箱与UPS主机之间，电池组与直流开关箱、电池与电池之间连接线缆，线径截面6mm²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电池柜</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1、名称：电池柜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2、参数：可装24节100AH电池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基础低座</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1、名称：基础底座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2、参数：采用成品可调节基础底座、单个承重不低于2000kg。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室内接地网工程</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1、名称：室内接地网工程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2、参数：紫铜排30*3，地板下等电位均压环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绝缘子</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1、名称：绝缘子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设备接地线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1、名称：设备接地线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2、规格：BVR-6mm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接地端子箱</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1、名称：接地端子箱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七、电台</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基地台</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(1).具备PDT集群/PDT常规/模拟集群/模拟常规/DMR常规五种通信模式，适应领域广泛，实现模拟向数字平滑过渡。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(2).采用专有的数字语音技术，具备强大的降噪和抑制回声啸叫能力，注重对语音的重现，即使在非常嘈杂的环境下讲话也能收听到清晰的话音。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(3).增强的4行显示屏，灵活的菜单界面，友好的图标和易于使用的导航按钮，可方便地进行文本消息阅读和菜单导航。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(4).同时支持GPS/北斗定位，优先北斗定位，确保卫星信号接收性能优良。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(5).车载台内置蓝牙功能，可实现蓝牙耳机通话。</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(6).支持NVOC/AMBE++声码器，满足不同场景对声码器的需求。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(7).车载台加装机壳，便于摆放；内置交流稳压电源，即插即用。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(8).频率：350-400 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(9).最大耗用电流消耗：待机 0.8A；接收2A;传输（低功率11A;电源 DC12V）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(10).信道间隔：12.5 kHz/25 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(11).频率稳定性（-30℃，+60℃，+25℃）：±0.5ppm；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(12).模拟灵敏度（12dB SINAD)：0.3 μV（0.22 μV（典型）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手持对讲机（350M）</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频率范围350-400MHz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信道容量1024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区域容量64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信道间隔12.5kHz/20KHz/25KHz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频率稳定度±0.5ppm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工作电压7.4V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外形尺寸（高*宽*厚）130*54.5*37.4mm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整机重量（标配电池与天线）约360g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显示屏2.0吋半透彩屏，240*320分辨率，6行文本显示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定位系统支持北斗定位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八、视频会议系统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视频会议终端</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超清视频会议终端(8M,1080p,2个10/100/1000M,USB-C输入,HDMI输入/输出,19英寸1U),国密,不带WIFI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视频会议摄像机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PTZ摄像机,1080p60,12倍光学变焦,最低照度0.1Lx,F1.6,支持HDBaseT、HDMI输出,支持正装或倒装,黑色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HDMI线缆</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1、名称：HDMI线缆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2、参数：HDMI 1.3 1080P60Hz铜缆（30米）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九、辅材</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42U服务器机柜</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1、名称：42U服务器机柜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2、规格：600*1000*2000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42U网络机柜</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1、名称：42U网络机柜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2、规格：600*600*2000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多媒体信息盒</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1、名称：多媒体信息盒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2、参数：含3.5音频、HDMI、电源等；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音频隔离器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1、名称：音频隔离器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多媒体会议室</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一、会议室</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86寸触控一体机</w:t>
            </w:r>
            <w:r>
              <w:rPr>
                <w:rStyle w:val="794"/>
                <w:rFonts w:hint="eastAsia" w:asciiTheme="minorEastAsia" w:hAnsiTheme="minorEastAsia" w:eastAsiaTheme="minorEastAsia" w:cstheme="minorEastAsia"/>
                <w:sz w:val="21"/>
                <w:highlight w:val="none"/>
                <w:lang w:val="en-US" w:eastAsia="zh-CN" w:bidi="ar"/>
              </w:rPr>
              <w:br/>
            </w:r>
            <w:r>
              <w:rPr>
                <w:rStyle w:val="794"/>
                <w:rFonts w:hint="eastAsia" w:asciiTheme="minorEastAsia" w:hAnsiTheme="minorEastAsia" w:eastAsiaTheme="minorEastAsia" w:cstheme="minorEastAsia"/>
                <w:sz w:val="21"/>
                <w:highlight w:val="none"/>
                <w:lang w:val="en-US" w:eastAsia="zh-CN" w:bidi="ar"/>
              </w:rPr>
              <w:t xml:space="preserve">（含OPS功能模块）</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1、名称：86寸触控一体机（含OPS功能模块）—会议室</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2、参数：LCD  尺寸: 86"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分辨率:3840x2160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亮度:450cd/m²(typ.)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屏对比度:1400:1(typ.)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响应时间: 8ms(typ.)</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帧频: 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视角: 178°(H) / 178°(V)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寿命: 30,000 hrs(min.)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色彩饱和度:(x% NTSC) 65%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可视面积:1874mm*1055mm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色彩度: 16.7M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中央处理器:Intel i5-6代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运行内存: 8G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硬盘:128G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系统版本:Win10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工作温度: -20℃ ~ 60℃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储藏湿度: 0% ~ 95% RH Non-Condensing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工作湿度: 20% ~ 80% RH Non-Condensing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壁挂支架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颜色：可定义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表面处理：喷涂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载荷承重：135 kg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外壳材料：SPCC优质钢板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适用尺寸：75/86 寸</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一拖二无线话筒（手持）</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(1).自动频道扫描（SCAN)功能,自动搜索空闲频道；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(2).二通道接收信号；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(3).振荡方式：锁相环频率合成；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(4).采用红外自动对频技术，每通道有32个信道可选，每个信道以0.5MHz步进；</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(5).UHF频段传输信号，频率范围：UHF600-699.75MHz；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(6).接收机LCD显示屏指示工作信道、工作频点、接收信号指示,每个显示屏显示两个通道的工作状态；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(7).发射器LCD显示屏指示工作信道、工作频点、当前电量；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(8).接收机背面设置2条橡胶接收天线；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(9).同时设置2个平衡输出和1个混合非平衡输出，适合连接各种外置设备。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(1).话筒耗电量：5号干电池*2，可连续使用6小时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(2).使用距离：可视距离80-100米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(3).话筒搭配：一拖二设计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(4).载波频率：UHF600-699.75MHz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(5).频率稳定度：±25KHz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(6).信噪比：&gt;105dB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(7).邻频干扰比：&gt;80dB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(8).动态范围：≥100dB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(9).类型：动圈式（Dynamic)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(10).极性模式：单一指向性(One direction)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(11).频率响应：40Hz～20KHz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(12).话筒灵敏度：-47±3dB@1KHz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(13).接收机电源：DC12V、1000mA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(14).电源功耗：≤20W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调音台</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1、名称：调音台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(1).输入通道：12通道。线路输入：单声道：4，立体声：4；话筒输入：6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(2).输出通道：STEREO OUT：2；PHONES：1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(3).频响：+0.5dB/-0.5dB（20Hz-20kHz）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(4).总谐波失真：0.03%@+14dBu（20 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(5).母线：立体声：1；编组：2，AUX</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(6).电平表：2x12 - 点距LED电平表[PEAK，+10，+6，+3，0，-3，-6，-10，-15，-20，-25，-30dB]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(7).幻象电源电压：+48V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(8).功率要求：AC 100-240V，50/60Hz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(9).外观尺寸：308×118×422mm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(10).功耗：22W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(11).操作温度：0-40℃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(12).净重：2.1kg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音频处理器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(1).8路模拟平衡输入8路模拟平衡输出，最大输入输出17dBu（5.48Vrms）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(2).可选配4路dante/16路dante</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(3).输入每通道带48V幻像电源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(4).输入每通道带麦克风放大器，0~40dB增益可调，步进1dB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(5).立体声USB声卡功能，支持播放和录音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(6).USB接口，电脑软件控制和USB声卡传输功能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(7).RS232,RS485,TCP/IP接口，电脑软件控制和中控功能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(8).外置8路GPIO接口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(9).液晶屏，支持配置设备名称、设备预设、设备IP、输入音量、输出音量、输入模式、设备版本查看等功能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(10).DSP功能有，AFC（反馈抑制）、AEC（回声消除）、ANC（噪声消除）、AGC（自动增益）AUTOMIX（自动混音）、MATRIXMIX（矩阵混音）、噪声门、PEQ（参量均衡器）、延时器、FIR滤波器、高低通分频、压缩器、限幅器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(11).输入15段PEQ，输出10段PEQ</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(12).每通道输入2000ms延时器，输出2000ms延时器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(13).输出每通道512TapFIR</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(14).输入每通道语音激励功能（摄像跟踪），支持带PELCO-D、PELCO-P、VISCA协议摄像头控制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(15).60个预设记忆位置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(16).支持线控盒控制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(17).安卓APP网络控制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(18).支持存档加锁，隐藏设置参数，保证项目技术安全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(1).信号处理：32bitfloatpointdsp400Mh</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音频系统延迟:&lt;3ms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数模转换:24-bit</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(2).输入通道：8路平衡输入.Mic/linelevel、音频接口:3.81mm凤凰插,12-pin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(3).输入阻抗:16kΩ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(4).最大输入电平：17dBu（5.48Vrms）/Line；-3dBu（0.54Vrms）/Mic@20dB增益档位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(5).幻象电源：+48VDC,5.5mA,每通道配置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(6).输出通道：8路平衡输出,linelevel</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(7).输出阻抗：150Ω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(8).频响曲线：20Hz-20kHz(±0.5dB)/Line，输入0dBu（0.775Vrms）20Hz-20kHz(±1.5dB)/Mic，20dB增益档位，输入-10dBu（0.245Vrms）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(9).信噪比：110dB(@17dBu,1kHz,A-wt)/Line；100dB(@-6dBu,1kHz,A-wt)/Mic，20dB增益</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(10).USB：Type-B2.0,免驱、RS232：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Serialportcommunication串口通信、TCP/IP网口：RJ-45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(11).指示灯：Link,+48V,输入输出音频信号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(12).供电范围：90V-264VAC50-60Hz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吸顶扬声器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频率响应（-3 dB）：80-16.000 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频率范围（-10 dB）：70-17.000 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标称记录角度：145o</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标称覆盖（1-10 kHz）：115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长期连续承载能力：40W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功耗，峰值：160W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灵敏度（SPL/1W@1 m）：88 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1米处计算的最大声压级：104分贝</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计算的最大声压@1 m，峰值：110 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EQ扬声器：不需要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建议的高通保护：70赫兹，至少24分贝/倍频程滤波器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过载保护：自动预留电阻网络降功率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变压器连接：70V:2,5,5,10,20,40W，桥/100V:5,10,20,40W，桥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完整范围字母：1 x 114毫米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标称踏板：8欧姆（变压器旁路）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定阻功放</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(1).采用2.1寸LCD彩色液晶屏显示，独特创新，显示机内温度，动态电频指示灯，音量大小；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(2).采用共射共基电路设计，使功放的频带更宽更平衡，低频厚实而富有弹性，中频亮丽纤细而富于层次感；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(3).电源级推动采用A类工作方式，输出级采用AB类工作方式减少了开关失真及交越失真；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(4).首创动态跟随技术，杜绝了晶体管的极间电容对音频信号的调制，并解决了大功率功放必须采用的二级电源供电而产生的电源内阻；</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(5).电源滤波电容采用音频专用电容，失真更少，内阻更低，充放电电流更快更强劲；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(1).输出功率：8Ω/300W*2，4Ω/450W*2、8Ω/桥接700W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(2).信噪比S/N：＞103dB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(3).失真度THD：＜0.01%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(4).灵敏度：0.775v/1.0v/1.4v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(5).输入阻抗(Ω)：20KΩ 平衡 Balance</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(6).阻尼系数：＞200/8Ω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(7).频率响应：20Hz-20KHz(+0dB~-0.5dB,1kHz)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(8).通道分离度：＞95dB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(9).冷却方式：智能无极调速风扇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(10).功放保护：具有短路、过流、欠压、过压和过温</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(11).电源：AC 220V/50Hz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(12).电源功耗：≤800W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顺序电源启动器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(1).2寸彩色液晶智能显示窗，可实时显示当前电压，日期时间，通道开关状态。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(2).8路开关通道输出，每路延时开启和关闭时间可自由设置。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(3).支持面板Lock锁定功能，防止误操作。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(4).内置时钟芯片，可根据日期时间定时设置自动开关机,不须人为操作。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(5).支持多台设备级联顺序控制，级联自动检测设置。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(6).RS232接口具有PC配置软件控制或中控控制功能。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(7).RS485接口具有主从机器级联控制或中控控制功能。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(8).每台设备自带ID设置和检测，可实现远程集中控制。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(9).8组设备开关场景数据保存/调用，场景管理应用简单便捷。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(10).欠压、超压检测及报警。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(11).网络控制接口功能。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(1).额定输出电压：AC 220V 50/60Hz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(2).可控制电源：8路，外加2路输出辅助通道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(3).每路动作延时时间：0-999秒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(4).状态显示：2寸TFT彩色液晶实时显示当前电压、日期、时间、每路开关状态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(5).单路额定输出电流：16A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(6).额定总输出电流：30A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一拖四方管无线鹅颈话筒</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(1).高清COG显示，中文菜单；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(2).采用四通道的接收设计，可连接四支枪式方管无线会议单元；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(3).内置20组预设频率模组，PLL锁相环回路设计，纯自动选讯接收方式；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 一键修改四通道频率组，四通道同时修改频率组，同时亦支持手动修改每个通道的频率；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(5).带灯环飞梭旋钮设计，配合LCD液晶显示屏，显示音量、模组、频率和AF/RF讯号强度以及设置操作；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(6).使用电子音量控制，每个通道音量增益通过前置飞梭旋钮可调0dB至20dB；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(7).红外数据自动同步功能（SYNC）：4个独立的红外对频按键，一键自动对频，省去所有复杂操作；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(8).采用UHF530-670MHz频段载波；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(9).标配4条BNC天线，并可配备外置延长的抗干扰天线，可绕开金属机柜对无线信号的屏蔽，有效工作距离60米(可视距离)；</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(10).配合天线分配系统可实现会场无线信号全覆盖；</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(11).金属外壳1U的标准机柜安装，枪式方管单元。</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(1).待机功率：≦350mW, 讲话功率：≦620mW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(2).工作电压：DC 3.7V -- 4.5V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(3).显示屏：2.4英寸（320x240 IPS TFT）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(4).工作时间：8-10h</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(5).工作温度：-9℃-40℃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(6).单元尺寸（L×W×H）：101.7*148*56.5mm（底座）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(7).方管尺寸： 220*34.5*24mm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(8).频率范围：UHF530-670MHz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(9).振荡方式：PLL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(10).谐波幅射：&lt;-65dBm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(11).最大偏移度：+-45KHz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(12).Rf功率输出：15mW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会议地插</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(1).底盒尺寸：135*135*90mm；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(2).面板尺寸：146*146mm；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(3).模   块：支持3个会议延长线接口模块；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(4).面板颜色：金属本色；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(5).会议模块类型支持定制，具体需求备注。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24U机柜</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1、名称：24U机柜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2、规格：600*600*1000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同轴电缆</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SYV50-5，PVC保护套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话筒线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RVPE2*0.75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音箱线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规格：YXB 2X1.5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二、大楼音频系统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真分集无线话筒（头戴）</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(1).自动频道扫描（SCAN)功能,自动搜索空闲频道；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(2).二通道接收信号；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(3).振荡方式：锁相环频率合成；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(4).采用红外自动对频技术，每通道有32个信道可选，每个信道以0.5MHz步进；</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(5).UHF频段传输信号，频率范围：UHF600-699.75MHz；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(6).接收机LCD显示屏指示工作信道、工作频点、接收信号指示,每个显示屏显示两个通道的工作状态；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(7).发射器LCD显示屏指示工作信道、工作频点、当前电量；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(8).接收机背面设置2条橡胶接收天线；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(9).同时设置2个平衡输出和1个混合非平衡输出，适合连接各种外置设备。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(1).话筒耗电量：5号干电池*2，可连续使用6小时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(2).使用距离：可视距离80-100米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(3).话筒搭配：一拖二设计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(4).载波频率：UHF600-699.75MHz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(5).频率稳定度：±25KHz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(6).信噪比：&gt;105dB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(7).邻频干扰比：&gt;80dB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(8).动态范围：≥100dB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(9).类型：动圈式（Dynamic)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(10).极性模式：单一指向性(One direction)</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(11).频率响应：40Hz～20KHz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(12).话筒灵敏度：-47±3dB@1KHz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(13).接收机电源：DC12V、1000mA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(14).电源功耗：≤20W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天线放大器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(1).低噪放大电路设计；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(2).10通道低损耗天线分配电路设计；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(3).BNC接口，保证连接的可靠性,天线覆盖范围，可视距离80-100米；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(4).安装方式，天线吸顶或壁装，二选一。</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(1).天线输入/输出阻抗：50Ω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(2).天线输入/输出插座：TNC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(3).天线增益：13dB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(4).天线带宽：400MHz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(5).分配器增益：3dB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(6).分配器带宽：40MHz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6路调音台</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(1).输入通道：6通道。线路输入：单声道：2，立体声：2；话筒输入：2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(2).输出通道：STEREO OUT：2；PHONES：1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(3).频响：+0.5dB/-0.5dB（20Hz-20kHz）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(4).总谐波失真：0.01%@+8dBu（20 Hz-20kHz）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(5).母线：立体声：1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(6).电平表：2x7 - 点距LED电平表[PEAK，+6，+3，0，-3，-10，-20dB]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(7).幻象电源电压：+48V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(8).电源适配器：PA-130（DC12 V/1.0A，线长=1.8m）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(9).外观尺寸：149×62×202mm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(10).功耗：12W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(11).操作温度：0-40℃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全自动数字反馈抑制器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(1).2寸TFT彩屏，中英文可选；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(2).反馈加移频设计方案，移频4档可选；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(3).每通道设12个陷波器,工作频率20-20KHZ，自动扫描啸叫点并抑制；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(4).独特的噪声门功能可抑制系统微弱噪声干扰；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(5).输入压缩功能，消除反馈同时更可扩展人声动态；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(6).响应时间快中慢3速可定，更具人性化；</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(7).配有专业的PC调试软件，USB免驱动即插即用，方便快捷。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(1).模拟输入：2CH-XLR和1/4“TRS(母)输入,电子平衡/不平衡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(2).输入阻抗：平衡47Ω,不平衡20KΩ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(3).最大线路电平输入：+18dBu</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(4).模拟输出：2CH-XLR和1/4“TRS(母)输入,电子平衡/不平衡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(5).输出阻抗：平衡&gt;120Ω,不平衡&gt;60Ω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(6).最大输出电平：+20dBu</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(7).频率响应：20Hz-20KHz,±0.3db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(8).信噪比：&gt;105db(A)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(9).动态范围：103db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(10).总谐波失真+噪声：0.005％,1KHz;20Hz-10KH,&lt;0.01％;10KHz-20KHz,&lt;0.025％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(11).电源：AC 220V/50Hz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(12).电源功耗：≤30W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音频处理器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产品说明：</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(1).增益调节范围：-48dB到+12dB，步距为0.1dB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(2).支持12个场景储存；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(3).输出通道支持RMS压限，阀值范围-6dB~12dB,压缩率1：1-128：1，启动时间3ms-100ms；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(4).分频器 : 低通滤波器（LPF）, 高通滤波器（HPF）,  滤波器类型(PF Mode)：LinkwitzRiley/Bessel/Butterworth</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(5).独立的限制器：Attac Hold Decay的时间及Threshold  Ratio，Boost 值参数方便您灵活配置；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(6).输出通道支持信号分频功能，提供IIR和FIR两种算法分频，IIR高/低通滤波器的斜率均可设置；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(7).均衡器支持复制、粘贴、EQ存档、重置等功能；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(1).通道：2路输入，4路输出（XLR接口）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(2).屏幕：2X24LCD背光显示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(3).均衡器：输入31段PEQ，输出10段PEQ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(4).混音：矩阵混音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(5).延时器：最大1000ms，支持：毫秒(ms)，米(m)，英尺(ft)</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(6).采样率：32KHz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(7).输出阻抗：100Ω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(8).数模转换：24-bit</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(9).采样率：96KHz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(10).频响：20Hz-20KHz(0~-0.5dB)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(11).信噪比：＞110dB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(12).接口：方口USB*1（免驱），RS485*1，RJ45*1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(13).电源：AC220V/50Hz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(14).电源功耗：≤30W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全频吸顶音箱</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(1).新款优质明装天花喇叭，全铁质金属外壳，高档室内天花喇叭；</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(2).采用二分频设计，纤维防水盆，铝膜高音，高保真还原人声；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(3).多功率选择适用于酒店、旅馆、会所等；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(4).同轴带高音吸顶音箱；</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(5).定阻、定压可选；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(1).材料：塑料边框+铁质网罩</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(2).额定功率：60W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(3).输入方式：70V/100V/8Ω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(4).灵敏度：82dB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(5).频响：100Hz-18KHz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(6).喇叭规格: 8"×1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(7).开孔尺寸：Φ240mm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定阻功放</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(1).采用2.1寸LCD彩色液晶屏显示，独特创新，显示机内温度，动态电频指示灯，音量大小；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(2).采用共射共基电路设计，使功放的频带更宽更平衡，低频厚实而富有弹性，中频亮丽纤细而富于层次感；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(3).电源级推动采用A类工作方式，输出级采用AB类工作方式减少了开关失真及交越失真；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(4).首创动态跟随技术，杜绝了晶体管的极间电容对音频信号的调制，并解决了大功率功放必须采用的二级电源供电而产生的电源内阻；</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(5).电源滤波电容采用音频专用电容，失真更少，内阻更低，充放电电流更快更强劲；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3、产品参数：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(1).输出功率：8Ω/300W*2，4Ω/450W*2、8Ω/桥接700W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(2).信噪比S/N：＞103dB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(3).失真度THD：＜0.01%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(4).灵敏度：0.775v/1.0v/1.4v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(5).输入阻抗(Ω)：20KΩ 平衡 Balance</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(6).阻尼系数：＞200/8Ω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(7).频率响应：20Hz-20KHz(+0dB~-0.5dB,1kHz)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(8).通道分离度：＞95dB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(9).冷却方式：智能无极调速风扇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(10).功放保护：具有短路、过流、欠压、过压和过温</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(11).电源：AC 220V/50Hz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(12).电源功耗：≤800W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同轴电缆</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SYV50-5，PVC保护套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音箱线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YXB 2X1.5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智能装备系统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一、智能装备系统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装备管理系统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1)可以在不同平台操作(android, IOS, MS windows, Linux)</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2)新增/修改/删除 装备数据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3)入库/出库/调拨 装备异常出库预警并同步相关视频信息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4)自动产生各种台帐-装备领取、装备归还、装备遗失、…等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5)一键盘库-自动盘点库存，遗失的装备，推送报警信息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6)低于安全库存量，推送报警信息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7)装备领取超时未归还，推送报警信息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8)系统操作日志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9)人员权限分组管理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10)统计分析报表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11)应急处置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装备室信息管理终端</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参数：无风扇散热</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CPU不低于(四核八线程)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内存不低于16 GB.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硬盘不少于4T</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双网六串口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支持同步/异步双显输出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1、超窄铝合金面框角块设计、防眩钢化玻璃，电子白板；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2、支持Android8.0嵌入式系统；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3、内存≥3G DDR4 ,存储空间≥32GB, 外部存储最大≥128G；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4、输入端口不少于:VGA端口∶ 1组，Aduio端口∶1组，HDMI端口∶ 1组，USB端口∶1组；</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5、液晶显示屏尺寸：≥55英寸(16∶9)DLED；</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6、支持RS485/422/232,支持通电开机；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7、支持VGA+HDMI显示，支持同步/异步双显输出；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8、支持库房环境监测: 烟雾浓度/温湿度/现场人员/智能充电状态/消杀作业状态；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9、支持装备状态查询:库存状态/生命周期/待检装备/领取归还次数；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10、显示库房当前状态: 启用/应急处置/非法入库/装备安全库存警示；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11、自动报警功能:火灾预警/非法入库/装备安全库存警示；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装备室信息展示终端</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（1）用于存放主机、线路汇总等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（2）尺寸≥560*2000*550mm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（3）柜体结构：柜体拆分式结构，满足现场主机、线路存放等等；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（4）摄像头黑白最高1080P/30FPS ，3.0mm无畸变镜头（图像形变&lt;1%）低功耗,彩色0.6W，发热量低。使用1/2.7工业高清宽动态图像传感器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（5）i5-12400处理器拥有6个物理核心和12个线程，基础主频为2.0GHz，加速主频可达4.0GHz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（6）华硕1700 主板内存支持Skylake-S桌面全系列LGA 1151处理器‌，提供4条DDR4内存插槽，支持双通道内存技术‌。扩展性丰富‌，支持双路/四芯AMDCrossFire技术，满足多显卡需求‌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（7）16G3200 硬盘870 EV0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智能单警装备柜主机柜</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（1）柜体颜色：柜体深灰色；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（2）尺寸≥600*2000*590mm；可存放2套新款单警套装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（3）柜体结构：柜体拆分式结构，满足现场增加柜门数量等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（4）材质：钢板采用1.0mm的武钢、鞍钢、宝钢以上品牌产品中选择其中一个作为优质冷轧板，柜体经冷加工成型，经酸洗磷化，确保长期使用不易生锈；特殊部位进行加强筋处理保证柜体绝对牢固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（5）喷塑工艺：前处理：去锈-中和-去油-中和-磷化-水洗-烘干-打磨-补腻-打磨。后处理：静电粉体喷塑</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（6）结构与外观：表面处理:外表采用喷塑处理，外观无漏塑、气、皮、针孔、皱皮等缺陷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（7）柜门电动控制，通过主柜控制柜门开启及关闭</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（8）装备状态提示，三色灯光状态提示，红光：异常提示，黄光：维护提示（定期充电、维护）、蓝光：正常兼方位提示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（9）智能感知装备电量状态、充电完成后物理断电，充电数据分析、充电AI提醒、记录仪数据自动上传（须另外配置存储软硬件）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智能单警装备柜（二门）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（1）柜体颜色：柜体深灰色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（2）尺寸≥600*2000*590mm；可存放3套新款单警套装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（3）柜体结构：柜体拆分式结构，满足现场增加柜门数量等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（4）材质：钢板采用1.0mm的武钢、鞍钢、宝钢以上品牌产品中选择其中一个作为优质冷轧板，柜体经冷加工成型，经酸洗磷化，确保长期使用不易生锈；特殊部位进行加强筋处理保证柜体绝对牢固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（5）喷塑工艺：前处理：去锈-中和-去油-中和-磷化-水洗-烘干-打磨-补腻-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智能单警装备柜（三门）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（1）柜体颜色：柜体深灰色</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（2）尺寸≥600*2000*590mm；可存放3套新款单警套装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（3）柜体结构：柜体拆分式结构，满足现场增加柜门数量等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（4）材质：钢板采用1.0mm的武钢、鞍钢、宝钢以上品牌产品中选择其中一个作为优质冷轧板，柜体经冷加工成型，经酸洗磷化，确保长期使用不易生锈；特殊部位进行加强筋处理保证柜体绝对牢固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（5）喷塑工艺：前处理：去锈-中和-去油-中和-磷化-水洗-烘干-打磨-补腻-打磨。后处理：静电粉体喷塑</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（6）结构与外观：表面处理:外表采用喷塑处理，外观无漏塑、气、皮、针孔、皱皮等缺陷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（7）柜门电动控制，通过主柜控制柜门开启及关闭</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（8）装备状态提示，三色灯光状态提示，红光：异常提示，黄光：维护提示（定期充电、维护）、蓝光：正常兼方位提示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智能户外风冷套件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设备面料具有强四向弹力，纤维强度大、韧性好，拉伸后易恢复原状，且不易起皱，利用差动毛细效应，通过面料内外层不同的吸湿性能实现汗液单向传导，以聚酯纤维、原液聚丙烯纤维、氨纶为原料。形成六边形网络布局，编织纤维截面为不规则形状，交错形成大小不一的缝隙，反面有透光小孔，内部呈麦穗状编织。能有效遮挡与隔热，设备有通风降温系统，三档可调节风量，工作时间不低于3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智能户外装备柜</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户外装备柜内有涉水涉火装备及防暴装备存储功能，可远程指令自动开启关闭功能，可实现远程视频通。包含充气式救生衣*2、充气式救生圏*2、漂浮救生绳*2、灭火器*2、灭火毯*2、防弹钢叉*2、防刺服*2、防暴盾牌*2、防暴头盔*2防暴棍*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(2).柜体采用合金碳素钢制作，光洁无毛刺。防破坏能力≥I级，长宽高2000*980*590mm，柜体下面要配四个钢制轮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(3).柜体表面进行防腐处理，具有防腐蚀防潮功能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柜门上配全不锈钢内胆机械锁，保证永不生锈。锁能正常使用百万次以上，永不生锈。锁结构要完全不一样，系统要有智能识别功能。任何非法插入钥匙触碰都会自动报警。大门机械锁部分要求具有防撬防钻挡板或者类似装置结构</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(5).柜体结构，箱体对角线误差小于1mm。外结构采用无缝对接，具有防钻、防电焊、防切割、防潮、防腐蚀等功能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(6).柜体配有专用环境监控摄像头、人脸识别专用摄像头、硬盘录像机、太阳能风能充电系统、无线传输系统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智能单警装备柜过道灯光门板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单警装备柜整体发光板，尺寸≥2000*1200*9mm，超薄抽画发光牌采用可替换画面设计，后期可根据需要更换发光宣传资料，外部结构采用圆角铝合金边框和钢化玻璃面板组合结构，厚度仅9MM,轻便耐用，无惧划痕。内部采用大面积高清低能耗LED发光板，能耗低、光线明亮，画面高亮清晰。发光牌尺寸可定制，电源可用220V市电，也可选配移动电源供电，方便灵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智能货架-货架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(1).材料：柜体使用DC01标准冷扎板（鞍钢）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(2).生产：板材经过高精度激光下料、数控折弯、压铆等工艺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(3).焊接：所有需焊接工件均采用氩气焊接，保证焊接牢靠！部份工件经过自动焊接，保证焊接精度表面平整度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(4).亚克力发光灯：采用高透明度材料，内部无杂质，图案文字采用镭雕工艺，显示内容清晰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(5).货架智能lcd显示屏，4.3 寸TFT 显示屏,480 x 272 分辨率,16M 种颜色,铁框保护,高亮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电源 12V,支持 USB/UART 升级系统,支持 RS485,支持库房作业切换不同画面 职务人名/装备正常/装备异常/装备归还/装备保养</w:t>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/装备领取/显示储位号/连动PDU                                                                                                    (6).表面处理：表面采用喷涂工艺，产品先打磨后酸洗、磷化去油防锈处理。后经喷涂、烘烤定型，层与层之间的高度可按货物的尺度调节，4层层板、每层承重200KG立柱5x3cm、横梁5x3cm，长度200cm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(7).货架尺寸≥高200x宽185x深50cm，功能:可拆装、移动、升降、储藏、多功能，有侧面封堵板，层板规格≥0.5mm，层载重量≥250kg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智能货架-货架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智能充电模块，配有4个USB2.0充电接口、三个五孔插座,设备电量充满后自动物理断电，仅保留微电流检测设备电量情况，当设备电量低于80％后模块自动启动充电模式，保证设备保持满电状态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国际五孔10A二三插带保护插座三个，支持快充USB type A四个，状态指示灯一个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提供电压信号过零检测、过压指示、欠压指示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提供电流信号过零检测、过流指示、欠流指示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具备漏电检测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测量有功功率、视在功率、电压、电流有效值.</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在3000:1的动态范围内,有功功率的测量误差在0.1%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在1000:1的动态范围内,有效电压的测量误差在0.1%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在1000:1的动态范围内,有效电流的测量误差在0.1%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 UART / 485通讯方式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使用微控制语言根据电流通过情形，精准判定装备是否已经充饱电，并将接口转换为微电源缓充状态。一方面可以确保装备不会有过度充电现象，导致的危险；另一方面，可以确保长时间不使用装备，也不会有缺电的情形发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人员定位相机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200万像素，定焦；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处理器：GPU多核专用芯片组；</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传感器类型：1/1.8Progressive Scan CMOS；</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有效像素：1920X1080；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最低照度：彩色：0.001Lux；</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噪音比;≥50db；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宽动态范围≥120db;快门：1秒至1/10000秒;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镜头接口：c/cs接口;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码流：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主码流：1920x1080,1280x760,1280x720;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次码流：960x528,640x480,320x240;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视频编码：H.265MP、H.264BP/MP/HP、MJPEG;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音频编码：G.711A/G.711U/G.726;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最小检测瞳距：30像素;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单帐最大检测人脸数：16；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接口：1个RJ45,1个报警输入接口，1个报警输出接口，1个SD卡槽等等;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字幕叠加：叠加抓拍时间、地点、路况编码、设备编号;</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接口协议：ONVIF,GB/T28181;</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工作温湿度：-40~55°C,0%~90%;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特征：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支持智能人脸抓拍，迅速判断人员所在柜位或货架位置，连动所在柜位或货架的RFID天线扫描，并与数据库比对装备异动情况(领取/归还/报警);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并连动库房人脸库判断该人员是否具备进入库房/柜位/货架位置的权限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库房人员视觉定位系统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支持智能人脸抓拍，迅速判断人员的黑白名单.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通过Ai感知绑定人脸、行为，结合RFID和smat智能运算、智慧眼等多维度信息提取和精准运算对人所在位置与行为轨迹进行定位追踪.</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通过人机交互与传感实现对人员行为及终端设备引导控制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连动所在柜位或货架的RFID天线扫描，并与数据库比对装备异动情况(领取/归还/报警);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连动库房人脸库判断该人员是否具备进入库房/柜位/货架区域位置的权限。</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采用先进场景自适应码率控制算法，搭配深度学习算法，将行为分析、人脸检测、物品监控的数据存入模型的数据库中，藉此来提升数据参考的可信度与准确度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RFID读写器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超高频RFID读写器 桌面式读写器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采用一体化结构，自带读写模块与天线，远距离精准识别电子标签</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内置2dBi天线，读卡距离0-3米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RFID系统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高性能十六信道，独一无二的I-Search多标签识别算法，提供高识别效率。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为读取少量标签优化的算法，读取少量标签的应用设计的算法。超高的标签反应速度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双CPU架构设计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主CPU负责轮询标签，副CPU负责数据管理。轮询标签和发送数据并行，互不占用对方的时间，极大的提高了整体性能。副CPU负责产生真正的随机数并监控系统的运行状态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快速4天线轮询功能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高速轮询8天线。每个天线最短轮询时间约25ms。可单独配置各天线的轮询时间。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两种标签盘存模式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缓存模式和实时模式。缓存模式读到标签后先放入缓存并过滤重复数据，数据无冗余。实时模式读到标签后立即上传，用户可第一时间得到标签数据。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硬件死机监测</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硬件监测CPU运行状态。24小时×365天常年运行不死机。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18000-6B大数据一次性读写</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保证射频输出功率精确可控。两个互相备份的功率校验模块。除非同时损坏，系统均可正常运行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RFID天线及延长馈线（1）</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（1）射频芯片采用INDY R2000，射频信道基于Impinj性能优异的R2000专用UHF RFID芯片</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（2）工作温度： -20 °C-  +55  °C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（3）存储温度： -20 °C  -  +85  °C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（4）工作湿度：&lt; 95% @ 25 °C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（5）输入电压：DC 12V – 18V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（6）最大工作电流： 600mA  +/-5% @ DC 12V Input</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（7）空中接口协议：EPCglobal UHF Class 1 Gen 2 / ISO 18000-6C ISO 18000-6B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（8）工作频谱范围：860Mhz – 960Mhz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（9）输出功率：0 – 33dBm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（10）接收灵敏度：&lt; -85 dBm，盘存标签峰值速度： &gt; 700张/秒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（11）标签缓存区：1000张标签 @ 96 bit EPC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（12）标签RSSI：支持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（13）天线连接保护：支持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RFID天线及延长馈线（2）</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频率范围902-928MHz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增益15dBi</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波瓣宽度Hor:75°Ver: 25°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极化方式 圆极化</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电压驻波比  &lt;1.4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前后比 &gt;20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阻抗  50 Q</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最大输入功率  50W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天线尺寸    1600*190*20mm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天线净重   3.5kg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包装尺寸  170*20*2.5cm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天线毛重  3.8kg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天线罩材料   有机玻璃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RFID芯片</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通信协议标准: ISO18000-6C GEN2</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频 率: 902-928MHz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芯 片: KX2005X-B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存 储: EPC:96-240bit，TID:96bit 可扩展 192bit，用户区:1312bit，保留区:64bit</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存储器: XLPM，数据保存100年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功 能: 读写、查询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应用表面: 金属表面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读取距离（手持式）: ＞4m</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读取距离（固定式）: ＞8m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二、智能装备</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畅飞套装</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第一视角飞行体验体感操控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一键动感花飞</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4K超广低空视角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1/1.3 英寸影像传感器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一体化桨保更安全双目鱼眼定位反乌龟模式无线连接，一键成片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无人机模拟器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(1).显示无人机实时飞行速度、高度、垂直速度、水平速度、当前飞行模式、图传信号、遥控器信号、遥控器电量、视角等；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(2).飞行信息要求与现场实际飞行时遥控器屏幕上显示保持一致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(3).支持无人机避障提示，显示无人机障碍方向、距离等信息。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(4).机型支持：Mavic 2、Mavic 3E、Phantom 4、M210、M300、M600、M30T  FlyCart 30等不少于8种大疆系列无人机进行虚拟飞行。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(5).天气影响设置：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1）支持风向、风速等级、光照设置（含随机），还原真实无人机抗风等级，仿真不同风力等级对不同型号无人机的影响；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2）风向：东风、南风、西风、北风、东南风、东北风、西南风、西北风等8个风向；风速：1-9级；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3）支持雨、雪、雾、尘天气设置；雨：设置大雨、小雨天气；雪：设置大雪、小雪天气；雾：设置大雾、轻雾天气；尘：设置厚尘、轻尘天气；</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4）支持场景光照设置；可设置上午、中午、下午不同时间段光照效果。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(6).场景自定义：1）支持无人机场景飞行、航测飞行；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2）支持魔方龙门、环形龙门、刀旗、隧道门、隧道网、圆锥桶、停机坪、树木、灌木丛等不少于9种飞行道具选择；</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3）支持四边航线、圆周航线、水平八字航线等不少于3种飞行航线；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(7).飞行场景：支持森林、海滨、街道、山地、废墟、商场、石化</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等不少于7种自由飞行场景切换。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3、电脑推荐配置：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(1).主频：不低于2.5GHz；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(2).内存：≥16GB，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(3).存储：≥固态512G；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(4).显示驱动装置：不低于RTX 4060；  显存12G</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(5).USB 端口：不低于2x USB 3.0 或；含操作系统及数据平台；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(6).显示终端：不低于27寸，分辨率：1920*1080 HDMI 1.4、DisplayPort 1.2 或以上</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4、HTC VIVE Cosmos VR眼镜：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(1).屏幕：2个3.4英寸屏幕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(2).分辨率：单眼分辨率1440x1700(双眼分辨率2880x1700)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(3).刷新率：90 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(4).视场角：最大110 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(5).传感器：G-sensor校正 陀螺仪瞳距校正</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(6).人体工学设计：翻盖式面罩、可调整瞳距、可调式头带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(7).空间规模：空间规模最小为2.米x 1.5米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遥控器：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最长续航时间：约 3.5 小时*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充电耗时：约 2 小时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执法记录仪</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5G执法视音频记录仪（旗舰版），1、自主自研</w:t>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操作系统，2.4英寸触摸显示屏，240*320分辨率，IP68标准，64GB UFS + 4GB LPDDR4，支持TF卡拓展256G存储；2、前置800万，后置500万镜头，支持双摄、防抖，契合执法取证、指挥调度等执法应用；3、支持WIFI、蓝牙、NFC、3G/4G/5G全网通、支持独立北斗定位等功能；4、支持一键PTT、一键摄录、一键拍摄、一键标记重要事件等多种快捷按键操作；5、支持GB/T 28181、GA/T 1400、GA/T947标准协议；6、支持人脸/车牌智能抓拍识别，支持在线/离线智能比对。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执法记录仪采集站（主机）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1、设备应具有安全锁定装置，防止未经授权拆卸；</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2、设备数据接口应符合GA/T 947.4-2015中5.2的要求；</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3、执法记录仪接入后，采集工作站应能自动获取执法记录仪的产品序号和警号，查验是否进行关联配置，如未关联，应能通过密码验证和关联配置完成注册。</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4、执法数据采集设备应能自动采集已注册执法记录仪的视音频、音频、照片和日志等数据，并能验证采集站与执法仪存储的原始数据的一致性，保证采集的数据应能正常浏览；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5、执法数据采集设备应能自动或手动清空已完成数据上传的执法记录仪内部数据；</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6、执法数据采集设备应能自动对接入的执法记录仪时间校正，时间应精准到“年、月、日、时、分、秒”；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7、执法数据采集设备应能对接入的执法记录仪进行自动充电并显示充电状态,并应能同时对多个接入的执法记录仪进行充电；</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8、执法数据采集设备软件界面应详细展示设备当前存储容量、告警信息、设备IP地址、设备MAC地址、设备时间及执法记录仪文件同步状态等信息；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9、设备网络故障或远程服务器连接故障可进行声音或可视告警，设备前方1米处告警声压应保持在65dB-90dB，持续时间≥5min，可手动取消告警。</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10、执法数据采集站设备应具有彩色触摸显示屏，屏幕尺寸≥13寸；</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11、设备具有优先采集接口，当优先采集接口接入执法仪时，可自动暂停其他接口的数据采集而优先此接口的数据，优先采集接口采集完毕后，可自动恢复其他接口的采集；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▲12、执法数据采集设备应采用扩展坞的模块化结构设计，扩展坞支持按需插接，最多可支持3个扩展坞；</w:t>
            </w:r>
            <w:r>
              <w:rPr>
                <w:rFonts w:hint="eastAsia" w:asciiTheme="minorEastAsia" w:hAnsiTheme="minorEastAsia" w:eastAsiaTheme="minorEastAsia" w:cstheme="minorEastAsia"/>
                <w:b/>
                <w:bCs/>
                <w:i w:val="0"/>
                <w:iCs w:val="0"/>
                <w:color w:val="ff0000"/>
                <w:sz w:val="21"/>
                <w:szCs w:val="18"/>
                <w:highlight w:val="none"/>
                <w:u w:val="none"/>
                <w:lang w:val="en-US" w:eastAsia="zh-CN" w:bidi="ar"/>
              </w:rPr>
              <w:t xml:space="preserve">（提供具备CNAS或CMA标识的检测报告扫描件并加盖投标人公章）。</w:t>
            </w:r>
            <w:r>
              <w:rPr>
                <w:rFonts w:hint="eastAsia" w:asciiTheme="minorEastAsia" w:hAnsiTheme="minorEastAsia" w:eastAsiaTheme="minorEastAsia" w:cstheme="minorEastAsia"/>
                <w:b/>
                <w:bCs/>
                <w:i w:val="0"/>
                <w:iCs w:val="0"/>
                <w:color w:val="ff0000"/>
                <w:sz w:val="21"/>
                <w:szCs w:val="20"/>
                <w:highlight w:val="none"/>
                <w:u w:val="none"/>
                <w:lang w:val="en-US" w:eastAsia="zh-CN" w:bidi="ar"/>
              </w:rPr>
              <w:br/>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▲13、执法数据采集设备内置指纹识别器，支持采集录入用户的指纹信息；成功录入指纹信息的用户可通过指纹验证方式进行人员登录、执法仪申领、归还验证操作，指纹验证响应时间不大于2s；</w:t>
            </w:r>
            <w:r>
              <w:rPr>
                <w:rFonts w:hint="eastAsia" w:asciiTheme="minorEastAsia" w:hAnsiTheme="minorEastAsia" w:eastAsiaTheme="minorEastAsia" w:cstheme="minorEastAsia"/>
                <w:b/>
                <w:bCs/>
                <w:i w:val="0"/>
                <w:iCs w:val="0"/>
                <w:color w:val="ff0000"/>
                <w:sz w:val="21"/>
                <w:szCs w:val="18"/>
                <w:highlight w:val="none"/>
                <w:u w:val="none"/>
                <w:lang w:val="en-US" w:eastAsia="zh-CN" w:bidi="ar"/>
              </w:rPr>
              <w:t xml:space="preserve">（提供具备CNAS或CMA标识的检测报告扫描件并加盖投标人公章）。</w:t>
            </w:r>
            <w:r>
              <w:rPr>
                <w:rFonts w:hint="eastAsia" w:asciiTheme="minorEastAsia" w:hAnsiTheme="minorEastAsia" w:eastAsiaTheme="minorEastAsia" w:cstheme="minorEastAsia"/>
                <w:b/>
                <w:bCs/>
                <w:i w:val="0"/>
                <w:iCs w:val="0"/>
                <w:color w:val="ff0000"/>
                <w:sz w:val="21"/>
                <w:szCs w:val="20"/>
                <w:highlight w:val="none"/>
                <w:u w:val="none"/>
                <w:lang w:val="en-US" w:eastAsia="zh-CN" w:bidi="ar"/>
              </w:rPr>
              <w:br/>
            </w:r>
            <w:r>
              <w:rPr>
                <w:rFonts w:hint="eastAsia" w:asciiTheme="minorEastAsia" w:hAnsiTheme="minorEastAsia" w:eastAsiaTheme="minorEastAsia" w:cstheme="minorEastAsia"/>
                <w:b/>
                <w:bCs/>
                <w:i w:val="0"/>
                <w:iCs w:val="0"/>
                <w:color w:val="ff0000"/>
                <w:sz w:val="21"/>
                <w:szCs w:val="20"/>
                <w:highlight w:val="none"/>
                <w:u w:val="none"/>
                <w:lang w:val="en-US" w:eastAsia="zh-CN" w:bidi="ar"/>
              </w:rPr>
              <w:t xml:space="preserve">▲14、执法数据采集设备在接入能力满负荷条件下的平均单路数据采集速率应大于等于5.8MB/s。</w:t>
            </w:r>
            <w:r>
              <w:rPr>
                <w:rFonts w:hint="eastAsia" w:asciiTheme="minorEastAsia" w:hAnsiTheme="minorEastAsia" w:eastAsiaTheme="minorEastAsia" w:cstheme="minorEastAsia"/>
                <w:b/>
                <w:bCs/>
                <w:i w:val="0"/>
                <w:iCs w:val="0"/>
                <w:color w:val="ff0000"/>
                <w:sz w:val="21"/>
                <w:szCs w:val="18"/>
                <w:highlight w:val="none"/>
                <w:u w:val="none"/>
                <w:lang w:val="en-US" w:eastAsia="zh-CN" w:bidi="ar"/>
              </w:rPr>
              <w:t xml:space="preserve">（提供具备CNAS或CMA标识的检测报告扫描件并加盖投标人公章）。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采集站拓展物</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(1).采用壁挂式设计，占地小，安装简单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(2).模块化设计，支持6台执法记录仪接入，可对6、12、18槽位的管理平台进行按需灵活拓展配置、平滑扩容，最多扩容到24槽位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(3).槽位上配置标准USB接口，可接入不同类型的USB线缆，最大限度满足2011标准（Mini）、2015标准（Mini或Micro）和Type_C接口的执法记录仪的兼容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(4).槽位开放式设计，可有效兼容符合GAT 947-2015标准的不同尺寸的执法记录仪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执法记录仪连接线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：USB3.0 Type_A公头转Type_C公头连接线，18cm。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综合布线系统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6类信息模块</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1.6类信息模块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286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双口面板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1、名称：双口面板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地插</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1、名称：地插</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6类24口非屏蔽数据配线架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1、名称：6类24口非屏蔽数据配线架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金属理线器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1、名称：金属理线器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26</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3米六类非屏蔽网络跳线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1、名称：3米六类非屏蔽网络跳线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2米六类非屏蔽网络跳线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1、名称：2米六类非屏蔽网络跳线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260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六类非屏蔽线缆</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1、名称：六类非屏蔽线缆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18000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电源线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1、名称：电源线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2、规格：RVV 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电源线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1、名称：电源线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2、规格：RVV 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电源线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1、名称：电源线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2、规格：RVV 4X1.0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110语音配线架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1、名称：110语音配线架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RJ45转110语音跳线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1、名称：RJ45转110语音跳线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4芯光纤盒</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1、名称：4芯光纤盒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光纤尾纤</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1、名称：光纤尾纤</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2、规格：LC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光纤跳线（3米）</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1、名称：光纤跳线（3米）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2、规格：LC-LC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光纤熔纤</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1、名称：光纤熔纤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4芯室外光纤</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1、名称：4芯室外光纤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PVC-25管</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1、名称：PVC25管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2、敷设方式：暗敷、包含开槽、修复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1600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PVC-20管</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1、名称：PVC20管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2、敷设方式：暗敷、包含开槽、修复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KBG25管</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1、名称：KBG25管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2、敷设方式：暗敷、包含开槽、修复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PVC-25管</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1、名称：PVC25管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2、敷设方式：吊顶内明配、包含吊架安装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1200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PVC-20管</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1、名称：PVC20管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2、敷设方式：吊顶内明配、包含吊架安装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KBG25管</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1、名称：KBG20管</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2、敷设方式：吊顶内明配、包含吊架安装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200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接线盒</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1、名称：开关盒、灯头盒、插座盒、过渡盒等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2、材质：金属</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3、规格：86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4、安装形式：暗装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487</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接线盒</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1、名称：开关盒、灯头盒、插座盒、过渡盒等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2、材质：PVC</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3、规格：86</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4、安装形式：暗装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398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桥架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1、名称：桥架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2、规格：300*100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140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桥架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1、名称：桥架（顶部桥架）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2、规格：200*100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35</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铁构件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1、名称：桥架支架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2、材质：型钢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3、规格：除轻锈，刷防锈漆、调和漆各两遍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85.78</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办事大厅+自助一体机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公安政务服务自助机</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1、名称：公安政务服务自助机（不动产打印，水电费缴费查询）</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本设备创新将公安、户政、交管、出入境、监管等部门人工窗口高频业务进行优化整合，可以以派出所综合窗口为载体，实现9个警种26类业务160个事项全流程“一机通办”。进一步缩小“就近办”半径，助力打造更高密度的3公里便民圈。群众通过刷身份证+人脸认证就可以办理所需业务。业务全流程安全、高效、便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设备搬迁</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1、名称：设备搬迁</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驾驶人体检机、智能蜂巢搬运+调试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三色联动报警系统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三色声光报警器</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(1).将三色声光报警器（语音型）安装于应急点，用于显示警情类别及警情方位。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(2).当报警时报警警灯，文字，语音立体化显示，接收到警情信息的执勤人员及应急人员便会在第一时间收到警情，启动处置预案。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(3).设备功能：将一级警情、二级警情、三级警情等3种报警方式进行区分，报警时通过语音提示报警状态及预案措施.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(4).供电方式：AC-220V供电。</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(5).连接方式：485信号连接。</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(6).声音输出：≥100dB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报警控制终端</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2、功能介绍：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可触发3种报警警情，一级警情、二级警情、三级警情三种警情信号（警情可定制）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传输方式为RS485信号。可通过线材或光纤传输。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可驱动3色声光报警灯。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可联动显示报警方位信息。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可输出门禁开关信号，用于报警时驱动打开大门。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3、参数：</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传输方式：RS485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信号线</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1、名称：信号线</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2、规格：RVVP-2*1.0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150</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考勤系统</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智能考勤终端</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1、名称：智能考勤终端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2、参数：操作系统：嵌入式Linux操作系统；</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屏幕参数： 7英寸触摸显示屏，屏幕比例9:16，屏幕分辨率600*1024；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摄像头参数：采用宽动态200万双目摄像头；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认证方式：支持人脸、刷卡（IC卡、手机NFC卡、CPU卡(含加密内容)、身份证卡序列号）、密码、指纹认证方式，可外接身份证、社保卡功能模块；</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人脸验证：采用深度学习算法，支持照片、视频防假；1:N人脸比对速度≤0.2s，人脸验证准确率≥99%；</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存储容量：本地支持2万人脸库、5万张卡，1万枚指纹、15万条事件记录；</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硬件接口：LAN*1、RS485*1、Wiegand * 1(支持双向)、typeA类型USB接口*1、门锁*1、门磁*1、报警输入*2、报警输出*1、开门按钮*1、SD卡槽*1（最大支持512GB）；</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通信方式：有线网络；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使用环境：IP65，室内外环境（室外使用必须搭配遮阳罩）；</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安装方式：壁挂安装（标配挂板，适配86底盒）/桌面摆放/闸机安装/地面支架；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【功能介绍】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可视对讲：支持和云眸、4200客户端、室内机、管理机进行可视对讲；支持配置一键呼叫室内机或管理机；支持副门口机或围墙机模式；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视频预览：支持管理中心远程视频预览，支持接入NVR设备，实现视频监控录像，编码格式H.264、H.265；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口罩检测：支持口罩检测模式，可配置提醒戴口罩模式、强制戴口罩模式，关联门禁控制；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提醒戴口罩模式：未带口罩可做身份验证，身份验证通过后提醒佩戴口罩；</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强制戴口罩模式：未带口罩无法做身份验证，提醒佩戴口罩；</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识别界面可配：识别主界面的“呼叫”、“密码”的按键图标可分别配置是否显示；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认证结果显示可配：支持认证成功界面的“照片”、“姓名”、“工号”信息可配置是否显示；</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认证结果语音自定义：集成文字转语音（TTS）和语音合成技术，认证成功和认证失败的语音可以分别配置4个时间段进行自定义播报，同时认证成功的语音可叠加播报姓名；</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工作模式：支持广告模式、简洁模式主题模式；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广告模式：识别区域与广告区域分屏展示，支持图片（JPG格式，分辨率建议600*640，最多8张轮播）广告信息播放，图片切换时间可配置；支持视频广告信息播放（视频格式为mp4，单个大小限制在600MB内，最多支持3个视频）；</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简洁模式：识别界面不显示视频预览画面，仅显示背景图及比对结果，背景图片可自定义；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外接安全模块：支持通过RS485接入门控安全模块，防止主机被恶意破坏的情况下，门锁被打开；</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外接读卡器：支持通过RS485或韦根（W26/W34）接口外接1个读卡器，同时可实现单门反潜回功能；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读卡器模式：支持通过RS485或韦根（W26/W34）接入门禁控制器，作为读卡器模式使用；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门禁计划模板：支持255组计划模板管理，128个周计划，1024个假日计划；支持常开、常闭时段管理；</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组合认证：刷卡+密码、刷卡+人脸、人脸+密码等组合认证方式；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多重认证：支持多个人员认证（人脸、刷卡等）通过后才开门；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报警功能：设备支持防拆报警、门被外力开起报警、胁迫卡和胁迫密码报警等；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事件上传：在线状态下将设备认证结果及联动抓拍照片实时上传给平台，支持断网续传功能，设备离线状态下产生事件在与平台连接后会重新上传;</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单机使用：设备可进行本地管理，支持本地注册人脸、查询、设置、管理设备参数等；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WEB管理：支持Web端管理，可进行人员管理、参数配置、事件查询、系统维护等操作。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汽车慢充</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7KW充电桩-慢充</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7KW-汽车充电桩</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落地式电动汽车交流充电桩</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交流充电桩采用模块化设计，主要由状态指示单元、显示单元、读卡单元、计量单元、通讯单元（选配）、控制单元、枪线单元和各保护模块等组成，各功能单元紧密配合。</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状态指示单元：系统运行状态的指示，绿色（待机）、红色（充电）、黄色（故障）；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显示单元：4.3英寸彩色触控屏，可显示充电二维码、卡片余额、费率、订单、充电信息和其他系统运行状态信息，系统参数设置灵活；</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读卡单元：识别和验证用户信息，进行充电的启停控制；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计量单元：计量输送给车辆的电能；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通讯单元：与充电运营平台通讯；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控制单元：系统充电的采样、处理和控制；</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枪线单元：充电枪接口为GB/T 20234.2-2015标准接口，支持国标车充电；</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多种运营模式：离线不计费、在线计费；</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保护单元：过（欠）压、过载、漏电、过温、接地检测、继电器黏连等多重保护功能；</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多种充电方式：支持即插即充、刷卡充电、在线扫码充电；</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输入电压：220 VAC ±20％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输入频率：50/60Hz</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额定输入电流：32A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功率因数：≥0.99</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输入电缆：L+N+PE</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建议输入电缆规格：3*6mm²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输出电压范围：220 VAC ± 20％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输出电流范围：6～32A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整机最大输出电流：32A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额定输出功率：7 kW</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输出枪数：单枪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输入过压保护：支持，264V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输入欠压保护：支持，170V</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输出过流保护：支持，35.2A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漏电保护：支持，AC30mA+DC6mA</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其他保护：过温、过载、接地、急停、防雷、继电器黏连检测等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信号指示灯：绿色（待机）、红色（充电）、黄色（故障）</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急停开关：位于易见位置，紧急状况下可切断输出电路</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人机界面：4.3寸彩色触摸屏</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刷卡器：ISO14443,Type A, Mifarel</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防护等级：IP54</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工作环境：室内或室外</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工作环境温度：-25℃～+55℃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储存环境温度：-40℃～+70℃</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相对湿度：5％～95％，无凝结</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绝缘电阻：≥10ΜΩ</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冷却方式：自然冷却</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海拔高度：≤2000米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噪声：≤35dB </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充电接口：GB/T 20234.2-2015</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充电线缆长度：枪线3.5米</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通讯接口：以太网</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充电方式：刷卡、扫码、即插即充、预约充电</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运营模式：离线充电、联网计费</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外形尺寸：240*135*1200mm（W*D*H）（不含枪线及挂枪座）</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安装方式：落地安装</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执行标准：GB/T 20234.2-2015;GB/T 18487.1-2023;JJG 1148-2022;NB/T 33002-2018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执法办案区利旧设备搬运安装调试费用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Theme="minorEastAsia" w:hAnsiTheme="minorEastAsia" w:eastAsiaTheme="minorEastAsia" w:cstheme="minorEastAsia"/>
                <w:i w:val="0"/>
                <w:iCs w:val="0"/>
                <w:color w:val="000000"/>
                <w:sz w:val="21"/>
                <w:szCs w:val="20"/>
                <w:highlight w:val="none"/>
                <w:u w:val="none"/>
              </w:rPr>
            </w:pPr>
            <w:r>
              <w:rPr>
                <w:rFonts w:hint="eastAsia" w:asciiTheme="minorEastAsia" w:hAnsiTheme="minorEastAsia" w:eastAsiaTheme="minorEastAsia" w:cstheme="minorEastAsia"/>
                <w:i w:val="0"/>
                <w:iCs w:val="0"/>
                <w:color w:val="000000"/>
                <w:sz w:val="21"/>
                <w:szCs w:val="20"/>
                <w:highlight w:val="none"/>
                <w:u w:val="none"/>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执法办案区利旧设备搬运安装调试费用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1、名称：执法办案区利旧设备搬运安装调试费用</w:t>
            </w:r>
            <w:r>
              <w:rPr>
                <w:rFonts w:hint="eastAsia" w:asciiTheme="minorEastAsia" w:hAnsiTheme="minorEastAsia" w:eastAsiaTheme="minorEastAsia" w:cstheme="minorEastAsia"/>
                <w:i w:val="0"/>
                <w:iCs w:val="0"/>
                <w:color w:val="000000"/>
                <w:sz w:val="21"/>
                <w:szCs w:val="20"/>
                <w:highlight w:val="none"/>
                <w:u w:val="none"/>
                <w:lang w:val="en-US" w:eastAsia="zh-CN" w:bidi="ar"/>
              </w:rPr>
              <w:br/>
            </w: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2、参数：含二代身份证阅读器、人脸采集像机、随身物品柜、审讯主机、网络存储服务器等设备的拆除、搬运、安装、调试、平台对接等人工服务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0"/>
                <w:highlight w:val="none"/>
                <w:u w:val="none"/>
              </w:rPr>
              <w:suppressLineNumbers w:val="0"/>
            </w:pPr>
            <w:r>
              <w:rPr>
                <w:rFonts w:hint="eastAsia" w:asciiTheme="minorEastAsia" w:hAnsiTheme="minorEastAsia" w:eastAsiaTheme="minorEastAsia" w:cstheme="minorEastAsia"/>
                <w:i w:val="0"/>
                <w:iCs w:val="0"/>
                <w:color w:val="000000"/>
                <w:sz w:val="21"/>
                <w:szCs w:val="20"/>
                <w:highlight w:val="none"/>
                <w:u w:val="none"/>
                <w:lang w:val="en-US" w:eastAsia="zh-CN" w:bidi="ar"/>
              </w:rPr>
              <w:t xml:space="preserve">1</w:t>
            </w:r>
            <w:r/>
          </w:p>
        </w:tc>
      </w:tr>
    </w:tbl>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tbl>
      <w:tblPr>
        <w:tblStyle w:val="68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4"/>
        <w:gridCol w:w="687"/>
        <w:gridCol w:w="831"/>
        <w:gridCol w:w="1034"/>
        <w:gridCol w:w="729"/>
        <w:gridCol w:w="4745"/>
        <w:gridCol w:w="553"/>
      </w:tblGrid>
      <w:tr>
        <w:trPr>
          <w:trHeight w:val="384"/>
        </w:trPr>
        <w:tc>
          <w:tcPr>
            <w:gridSpan w:val="7"/>
            <w:shd w:val="clear" w:color="auto" w:fill="auto"/>
            <w:tcBorders>
              <w:top w:val="none" w:color="000000" w:sz="4" w:space="0"/>
              <w:left w:val="none" w:color="000000" w:sz="4" w:space="0"/>
              <w:bottom w:val="none" w:color="000000" w:sz="4" w:space="0"/>
              <w:right w:val="none" w:color="000000" w:sz="4" w:space="0"/>
            </w:tcBorders>
            <w:tcW w:w="9073"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业务处理图形工作站（不含显示器）（数量22台）</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指标分类</w:t>
            </w:r>
            <w:r/>
          </w:p>
        </w:tc>
        <w:tc>
          <w:tcPr>
            <w:shd w:val="clear" w:color="auto" w:fill="auto"/>
            <w:tcBorders>
              <w:top w:val="singl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一级指标</w:t>
            </w:r>
            <w:r/>
          </w:p>
        </w:tc>
        <w:tc>
          <w:tcPr>
            <w:shd w:val="clear" w:color="auto" w:fill="auto"/>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二级指标 </w:t>
            </w:r>
            <w:r/>
          </w:p>
        </w:tc>
        <w:tc>
          <w:tcPr>
            <w:shd w:val="clear" w:color="auto" w:fill="auto"/>
            <w:tcBorders>
              <w:top w:val="singl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是否可以作为评分因素</w:t>
            </w:r>
            <w:r/>
          </w:p>
        </w:tc>
        <w:tc>
          <w:tcPr>
            <w:shd w:val="clear" w:color="auto" w:fill="auto"/>
            <w:tcBorders>
              <w:top w:val="single" w:color="000000" w:sz="4" w:space="0"/>
              <w:left w:val="none" w:color="000000" w:sz="4" w:space="0"/>
              <w:bottom w:val="single" w:color="000000" w:sz="4" w:space="0"/>
              <w:right w:val="single" w:color="000000" w:sz="4" w:space="0"/>
            </w:tcBorders>
            <w:tcW w:w="474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指标要求</w:t>
            </w:r>
            <w:r/>
          </w:p>
        </w:tc>
        <w:tc>
          <w:tcPr>
            <w:shd w:val="clear" w:color="auto" w:fill="auto"/>
            <w:tcBorders>
              <w:top w:val="single" w:color="000000" w:sz="4" w:space="0"/>
              <w:left w:val="none" w:color="000000" w:sz="4" w:space="0"/>
              <w:bottom w:val="single" w:color="000000" w:sz="4" w:space="0"/>
              <w:right w:val="single" w:color="000000"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指标使用说明</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产品规格</w:t>
            </w:r>
            <w:r/>
          </w:p>
        </w:tc>
        <w:tc>
          <w:tcPr>
            <w:shd w:val="clear" w:color="auto" w:fill="auto"/>
            <w:tcBorders>
              <w:top w:val="single" w:color="auto" w:sz="4" w:space="0"/>
              <w:left w:val="none" w:color="000000" w:sz="4" w:space="0"/>
              <w:bottom w:val="single" w:color="auto" w:sz="4" w:space="0"/>
              <w:right w:val="single" w:color="auto"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*CPU规格</w:t>
            </w:r>
            <w:r/>
          </w:p>
        </w:tc>
        <w:tc>
          <w:tcPr>
            <w:shd w:val="clear" w:color="auto" w:fill="auto"/>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*CPU 信息</w:t>
            </w:r>
            <w:r/>
          </w:p>
        </w:tc>
        <w:tc>
          <w:tcPr>
            <w:shd w:val="clear" w:color="auto" w:fill="auto"/>
            <w:tcBorders>
              <w:top w:val="single" w:color="auto" w:sz="4" w:space="0"/>
              <w:left w:val="none" w:color="000000" w:sz="4" w:space="0"/>
              <w:bottom w:val="single" w:color="auto" w:sz="4" w:space="0"/>
              <w:right w:val="single" w:color="auto"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single" w:color="auto" w:sz="4" w:space="0"/>
              <w:left w:val="none" w:color="000000"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国产化处理器，CPU物理核心数≥8核，主频≥3.0GHz，末级缓存缓存容量≥16MB</w:t>
            </w:r>
            <w:r/>
          </w:p>
        </w:tc>
        <w:tc>
          <w:tcPr>
            <w:shd w:val="clear" w:color="auto" w:fill="auto"/>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 </w:t>
            </w:r>
            <w:r/>
          </w:p>
        </w:tc>
        <w:tc>
          <w:tcPr>
            <w:shd w:val="clear" w:color="auto" w:fill="auto"/>
            <w:tcBorders>
              <w:top w:val="singl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*内存规格</w:t>
            </w:r>
            <w:r/>
          </w:p>
        </w:tc>
        <w:tc>
          <w:tcPr>
            <w:shd w:val="clear" w:color="auto" w:fill="auto"/>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*内存配置容量</w:t>
            </w:r>
            <w:r/>
          </w:p>
        </w:tc>
        <w:tc>
          <w:tcPr>
            <w:shd w:val="clear" w:color="auto" w:fill="auto"/>
            <w:tcBorders>
              <w:top w:val="singl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≥32GB</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*内存类型</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 DDR4/LPDDR4/LPDDR4X及以上内存类型</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*内存条配置数量（板载内存不涉及）</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*主板规格</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*主板集成模块</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集成资源扩展模块、计算处理模块、音频扩展模块等，主板的互联拓扑可通过处理器或交换电路实现</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*主板支持的 CPU和内存情况</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供应商给出主板支持的CPU 和内存型号和数量</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*主板其他内置接口</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a）预留满足 USB3.0 数据传输规范的接口，工作电压 5V，最大过电流应不小于 3A；b) 预留多功能导入装置板卡安装孔位，采用内置方式与主机一体化集成，容量不小于 145mm×125mm×16.5mm（长×宽×高）</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*单内存插槽最大可支持容量（板载内存不涉及）</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≥32GB</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*内存插槽满配时提供的最高内存总容量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≥128GB</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*存储设备规格</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*固态盘数量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≥1个</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*固态存储容量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≥512GB</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*机械硬盘数量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*机械硬盘总容量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≥0</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*机械硬盘转速</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≥7200rpm</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机械硬盘接口协议</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 SATA3.0 及以上或 SAS3.0 及以上接口</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*机械硬盘形态</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 英寸或 3.5 英寸等</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固态存储接口协议</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UFS/SATA/PCIe/NVMe 等类型接口协议</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*固态存储形态</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采用插卡或板载等形态，可选用符合M.2 或 2.5 寸 SATA 或 mSATA 等标准的插卡形态</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存储设备扩展盘位</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singl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*存储设备其他参数要求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a)固态盘应符合 SJ/T 11654 相关规定；b)机械硬盘准备时间应不大于30s；侧面固定螺丝孔数量可为 4 孔或 6 孔；工作状态环境温度应满足 5℃~55℃ ;其它参数应符合GB/T 12628 相关规定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*显卡规格</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*显卡类型</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独立显卡</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*独立显卡显存类型</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显存类型应为DDR3/DDR4/GDDR5/GDDR6/LPDDR4</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*独立显卡显存位宽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显存位宽≥128位</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*独立显卡显存容量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显存容量≥8GB</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w:t>
            </w:r>
            <w:r/>
          </w:p>
        </w:tc>
        <w:tc>
          <w:tcPr>
            <w:shd w:val="clear" w:color="000000"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lang w:val="en-US"/>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*显示设备规格（设备中不包含）</w:t>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*显示屏屏占比</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000000" w:fill="auto"/>
            <w:tcBorders>
              <w:top w:val="singl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≥80%</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26 </w:t>
            </w:r>
            <w:r/>
          </w:p>
        </w:tc>
        <w:tc>
          <w:tcPr>
            <w:shd w:val="clear" w:color="000000"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*显示屏分辨率</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000000"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≥1920*1080</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27</w:t>
            </w:r>
            <w:r/>
          </w:p>
        </w:tc>
        <w:tc>
          <w:tcPr>
            <w:shd w:val="clear" w:color="000000"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显示屏像素密度</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000000"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≥85 像素/英寸</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28 </w:t>
            </w:r>
            <w:r/>
          </w:p>
        </w:tc>
        <w:tc>
          <w:tcPr>
            <w:shd w:val="clear" w:color="000000"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显示屏可视角度</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000000"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水平≥170 °</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29</w:t>
            </w:r>
            <w:r/>
          </w:p>
        </w:tc>
        <w:tc>
          <w:tcPr>
            <w:shd w:val="clear" w:color="000000"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*显示屏尺寸</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000000"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30 </w:t>
            </w:r>
            <w:r/>
          </w:p>
        </w:tc>
        <w:tc>
          <w:tcPr>
            <w:shd w:val="clear" w:color="000000"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*显示屏屏幕比例</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000000"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16:9/3:2/21:9/16:10 等</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31</w:t>
            </w:r>
            <w:r/>
          </w:p>
        </w:tc>
        <w:tc>
          <w:tcPr>
            <w:shd w:val="clear" w:color="000000"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*显示器外观颜色</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000000"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黑色/白色/银色等商务色系</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32 </w:t>
            </w:r>
            <w:r/>
          </w:p>
        </w:tc>
        <w:tc>
          <w:tcPr>
            <w:shd w:val="clear" w:color="000000"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*显示屏防蓝光</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000000"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支持防蓝光模式，蓝光加权辐射亮度比应≤0.0012W/( ·cd ·sr)（瓦每坎特拉每球面度）</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33</w:t>
            </w:r>
            <w:r/>
          </w:p>
        </w:tc>
        <w:tc>
          <w:tcPr>
            <w:shd w:val="clear" w:color="000000"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*显示屏低频闪</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000000"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显示屏应支持低频闪≤-35dB</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000000"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34 </w:t>
            </w:r>
            <w:r/>
          </w:p>
        </w:tc>
        <w:tc>
          <w:tcPr>
            <w:shd w:val="clear" w:color="000000"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000000"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000000"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*显示屏防炫目</w:t>
            </w:r>
            <w:r/>
          </w:p>
        </w:tc>
        <w:tc>
          <w:tcPr>
            <w:shd w:val="clear" w:color="000000"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000000"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显示屏镜面反射率≤10%</w:t>
            </w:r>
            <w:r/>
          </w:p>
        </w:tc>
        <w:tc>
          <w:tcPr>
            <w:shd w:val="clear" w:color="000000"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　</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*鼠标数量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≥1个</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≥1个</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光驱数量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≥1个</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*键盘按键数目</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61 键/86 键/101 键/104 键等</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*键盘连接方式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有线或无线</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*键盘键程</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2.3mm ~ 4.0mm</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*键盘按键压力</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按键压力应在 0.54 N±0.14N</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*有线键盘连接线</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 米</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*键盘颜色</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黑色/白色/银色等商务色系</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键盘其他要求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键盘外观结构、连接方式、主要功能、安全、电磁兼容性、可靠性应符合GB/T14081 的相关规定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*鼠标连接方式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有线或无线</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*有线鼠标连接线</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 米</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*鼠标 DPI分辨率</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800~1600</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*鼠标颜色</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黑色/银色/白色等商务色系</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*鼠标其他要求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其它参数应符合GB/T 26245 的相关规定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内置光驱</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支持内置光驱</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*网络设备规格</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*有线网卡数量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non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*外部接口规格</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*USB 接口数量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机箱前面板应提供不少4个 USB 接口（含 2 个 USB3.0 ，2个USB2.0接口）</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USB 母座接口要求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机箱前面板额外预留 2 个专用 USB 母座接口孔位和 1 个通用A 型 USB 母座接口孔位，采用横向排列中心间距应不小于 27mm</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*视频接口数量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none" w:color="000000" w:sz="4" w:space="0"/>
              <w:left w:val="single" w:color="000000" w:sz="4" w:space="0"/>
              <w:bottom w:val="non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*音频接口数量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*整机基础规格</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*整机外观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 a) 产品表面不应有凹痕、划伤、裂缝、变形和污染等。表面涂层均匀，不应起泡、龟裂、脱落和磨损，金属零部件无锈蚀及其它机械损伤； b) 产品表面说明功能的文字、符号、标志，应清晰、端正、牢固</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*状态指示灯</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提供开机按钮/电源指示灯</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58 </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*整机结构</w:t>
            </w:r>
            <w:r/>
          </w:p>
        </w:tc>
        <w:tc>
          <w:tcPr>
            <w:shd w:val="clear" w:color="auto" w:fill="auto"/>
            <w:tcBorders>
              <w:top w:val="none" w:color="000000" w:sz="4" w:space="0"/>
              <w:left w:val="single" w:color="000000" w:sz="4" w:space="0"/>
              <w:bottom w:val="single" w:color="000000" w:sz="4" w:space="0"/>
              <w:right w:val="single" w:color="000000" w:sz="4" w:space="0"/>
            </w:tcBorders>
            <w:tcW w:w="729"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000000" w:sz="4" w:space="0"/>
              <w:bottom w:val="single" w:color="000000" w:sz="4" w:space="0"/>
              <w:right w:val="single" w:color="000000" w:sz="4" w:space="0"/>
            </w:tcBorders>
            <w:tcW w:w="4745"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 a) 机箱应符合 GB/T</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 4208、GB/T 26246的相关规定； b) 产品内部结构应符合通用部件的安装需求； c) 所有输入输出接口应符合相关国家或行业标准； d) 产品零部件应紧固无松动，可插拔部件应可靠连接，开关、按钮和其它控制部件应灵活可靠，布局应方便使用； e) 所有 I/O 连接器及需插接线缆的部位应预留采购人操作空间，方便插拔解锁与插拔线缆； f) 可插拔板卡插槽部位应预留安装、拆卸或更换板卡空间； g) 拆装可能接触到的金属剪口或金属尖角部位应做防划伤处理，以保证安全； h) 整机内部走线应规整，固线结构和位置</w:t>
            </w: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要合理可靠并做防割线处理，需便于理线和插拔操作，走线应不影响系统各主要部件组装和拆卸； i) 如需通过孔走线，过线孔应做防割线处理； j) 各插头位置和插拔方向应合理，应做到插拔无障碍设计，具备防呆设计，有效避免误操作； k) 各主要部件拆装无障碍，使用常规工具拆装，无特殊拆装工具需求； l) 各主要部件拆装步骤要少，各自拆装需避免相互干扰； m) 对于整机或零部件外表面为高亮面的，应粘贴保护膜，保护膜需粘贴牢固，运输、组装等过程不易脱落，撕下无残留；n) 其它要求应符合 GB/T 9813.1 的相关规定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729" w:type="dxa"/>
            <w:vAlign w:val="center"/>
            <w:vMerge w:val="continue"/>
            <w:textDirection w:val="lrTb"/>
            <w:noWrap w:val="false"/>
          </w:tcPr>
          <w:p>
            <w:pPr>
              <w:jc w:val="center"/>
              <w:rPr>
                <w:rFonts w:hint="eastAsia" w:asciiTheme="minorEastAsia" w:hAnsiTheme="minorEastAsia" w:eastAsiaTheme="minorEastAsia" w:cstheme="minorEastAsia"/>
                <w:i w:val="0"/>
                <w:iCs w:val="0"/>
                <w:color w:val="auto"/>
                <w:sz w:val="21"/>
                <w:szCs w:val="21"/>
                <w:highlight w:val="none"/>
                <w:u w:val="none"/>
              </w:rPr>
            </w:pPr>
            <w:r>
              <w:rPr>
                <w:rFonts w:hint="eastAsia" w:asciiTheme="minorEastAsia" w:hAnsiTheme="minorEastAsia" w:eastAsiaTheme="minorEastAsia" w:cstheme="minorEastAsia"/>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4745"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*机箱防护要求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机箱应符合 GB/T 4208 中 IP20 防护要求</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*整机噪音</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产品工作在空闲状态下，产品的声功率级应不超过 4.5 Bel</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*整机散热</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在环境温度 25℃及处理器满载情况下，产品表面温度应符合如下要求：a) 出风口在机箱后面板情况下，出风口温度不高于55℃ ; b) 可触及面温度不高于45℃ ; c) 显示器表面温度：显示屏不高于 38℃ , 显示屏上下灯带位置温度（如涉及）不高于40℃ , 出风口温度不高于 45℃</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*整机能效限定值</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产品能效限定值应达到 GB 28380-2012标准中能效等级 2 级及以上</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*机身材质</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塑料/金属等</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*机身颜色</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灰色/黑色等商务色系</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*机箱尺寸容量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机箱体积应不大于 30L</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*CPU性能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*CPU 物理核数</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single" w:color="auto"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核数或线程数≥ 8</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*CPU 主频</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≥3.0GHz</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*CPU 末级缓存容量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≥16MB</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*CPU 支持的内存最高速率</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≥2666MT/s</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*内存性能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*内存读写速率</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≥2666MT/s</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*显卡性能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*显示分辨率</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≥2560×1440</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*显卡显示芯片核心频率</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≥1860MHz</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*显存等效频率</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≥1400MT/s</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*显卡可支持多屏同时显示数量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singl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显卡应支持2块屏幕同时显示，分辨率应不低于 1920×1080</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*显示设备性能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*显示屏刷新率</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single" w:color="auto" w:sz="4" w:space="0"/>
              <w:left w:val="single" w:color="auto" w:sz="4" w:space="0"/>
              <w:bottom w:val="single" w:color="auto" w:sz="4" w:space="0"/>
              <w:right w:val="single" w:color="auto"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≥120Hz</w:t>
            </w:r>
            <w:r/>
          </w:p>
        </w:tc>
        <w:tc>
          <w:tcPr>
            <w:shd w:val="clear" w:color="auto" w:fill="auto"/>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*显示屏位深</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singl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≥8位</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*显示屏色域</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≥99% sRGB</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*显示屏色准</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△E ≤ 4</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*显示屏响应时间</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≤8ms</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*显示屏亮度</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≥250 尼特</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*显示屏亮度一致性</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≥70%</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*显示屏对比度</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≥500：1</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*显示屏其他参数</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其它参数应符合SJ/T 11292 的相关规定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性能要求</w:t>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*网络设备性能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*有线网卡速率</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最高速率应不低于 1000Mbps，应支持10Mbps、100Mbps、1000Mbps 速率自适应</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*主板功能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*内存扩展接口(板载内存不涉及)</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≥2个</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*主板 USB瞬间过流保护</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支持有瞬间过流保护功能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*主板防静电保护</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支持防静电保护功能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64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*I/O 接口功能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提供基于标准 USB 接口外设连接功能、基于音频输入输出接口的音频扩展功能、基于 PCIe 接口板卡扩展功能、基于 HDMI 或 VGA 或 Type-C 或 DVI 或 DP等接口外接显示器扩展功能、基于存储接口对产品进行增容功能等。产品I/O 接口，应具备外接标准 USB 设备、显示器、音频设备等内外部设备能力</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*显卡功能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*显卡外接显示接口</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支持DP、HDMI显示接口，并与显示器接口相匹配</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独立显卡数量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*显示设备功能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*显示器接口</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显示器应与显卡外接显示接口匹配</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*显示器支架</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显示器应提供显示器支架，根据采购人需求支持屏幕旋转、升降等</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*显示器参数调节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a)提供 OSD 选单按钮用于调节色彩、模式等；b)支持色温、亮度、对比度调节</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*存储功能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*存储功能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通过 SATA 固态存储/PCIe 固态存储/UFS 固态存储/SATA 硬磁盘等存储部件提供存储功能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*网络设备功能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*网络功能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a)支持网络连接、网络开启/关闭功能；b)支持访问网络和数据交换功能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*数据传输</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支持数据传输能力，并提供数据流量和异常日志记录功能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蓝牙协议</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若支持蓝牙模块，蓝牙协议不低于 5.0版本</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*有线网卡接口类型</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 RJ45 接口</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*网络设备拆装</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网络设备支持物理拆装，包括无线网卡和蓝牙模块等</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*外部接口功能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*音频接口类型</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 3.5mm 孔径 3 段式或 4 段式接口</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*视频接口类型</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 VGA、HDMI显示接口</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*HDMI、DP、Type-C 显示接口要求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提供HDMI接口，接口支持音频和视频同步输出</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其他接口</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 a) 支持串行接口，可实现 GB/T 6107的功能； b) 支持并行接口，可实现 GB/T 18235.1 的功能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*电源功能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*电源线适配能力</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电源适配器电线组件应符合GB/T15934 的要求，可拆线的插头和连接器可以不做要求</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*操作系统及软件功能</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*中文信息处理要求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符合 GB 18030 的相关规定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*操作系统备份及还原功能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支持操作系统备份及还原功能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108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*固件备份还原能力</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支持备份及还原固件的功能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*操作系统及驱动升级</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支持通过网络、闪存盘等方式对操作系统、驱动进行升级</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*固件升级</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支持通过网络、闪存盘等方式对固件进行升级</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*BIOS 支持关闭通讯接口</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 BIOS 关闭以太网及 USB 接口</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*固件查看信息</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支持查看固件版本、内存信息、主板信息、处理器信息和系统时间信息等功能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*固件设置启动顺序</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支持设置启动顺序功能，并按照设置的启动顺序启动</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*固件设置口令</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支持设置口令、修改口令、验证口令功能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功能要求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*固件设置网络引导</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支持网络引导启动和关闭功能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*存储设备可靠性</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*固态存储寿命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TBW ≥ 80TB（条件：240GB 硬盘容量）</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*机械硬盘寿命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通电时间≥5 万小时</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118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*显示设备可靠性</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*显示屏屏幕失效点</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符合 GB/T 9813.2 的要求</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*外设可靠性</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*键盘按键寿命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≥1000 万次</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*鼠标按键寿命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≥500 万次</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*键盘鼠标线材寿命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键盘鼠标所用线材经±60 °弯折不低于 3000 次，功能、外观完好</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*风扇寿命</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 万小时</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*整机可靠性要求</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*电磁兼容性要求的抗扰度</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符合 GB/T 9254.2 的规定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*环境条件要求的气候环境适应性</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符合 GB/T 9813.1 中规定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*环境条件要求的振动适应性</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符合 GB/T 9813.1 中规定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*环境条件要求的冲击适应性</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符合 GB/T 9813.1 中规定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*环境条件要求的碰撞适应性</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符合 GB/T 9813.1 中规定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128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*环境条件要求的运输包装件跌落适应性</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符合 GB/T 9813.1 中规定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可靠性要求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*MTBF 测试</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MTBF(m1)≥3 万小时</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兼容要求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*兼容要求</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*常用软件兼容</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支持流式软件、版式软件、浏览器、邮件采购人端、解压软件、多媒体、图形图像处理等常用软件</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兼容要求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*数据库兼容</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兼容 3 个及以上厂商的数据库产品</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兼容要求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*中间件兼容</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兼容 3 个及以上厂商中间件产品</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兼容要求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*平台软件兼容</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兼容 3 个及以上厂商云计算及大数据平台</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包装及运输要求</w:t>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*包装及运输要求</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*标志、包装、运输和贮存</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符合 GB/T 9813.1 和商品包装政府采购需求标准的相关规定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*配置检查工具</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供应商提供自检测试工具</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*服务响应</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a)供应商提供电话、电子邮件、远程连接等多种形式服务；b)供应商提供同城4h、异地 12h 技术响应服务，2 个工作日解决问题，对于未能解决的问题和故障应提供可行的升级方案，并提供周转设备或更换设备；c)建立全国技术服务体系和服务团体，符合专业服务体系标准要求，提供原厂中文服务；d)服务周期内提供产品的维修、换件和升级服务</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*服务周期</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 a) 设备停产后应继续提供质量保障服务（含备品备件），服务终止时间与最后一批设备交付时间间隔不低于 6 年； b) 产品停止服务时间应提前 1 年告知； c) 应明确产品发布日期</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138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*预装操作系统</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预装符合桌面操作系统政府采购需求标准的正版操作系统</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*培训服务</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供应商提供培训材料、产品手册、培训视频等培训相关内容</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*典型问题解决手册</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供应商提供典型问题解决说明文档或视频</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*厂家升级软件与扩容服务</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供应商提供上门升级部件/软件与扩容的增值服务</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*整机质量服务要求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免费服务周期（含换件和维修）应不小于 3 年</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*合格证书要求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供应商提供产品合格证</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*开箱组装/使用指导要求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供应商提供开箱组装/使用指导</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*驱动下载服务要求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供应商提供驱动光盘或下载方式</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146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*兼容适配软件下载服务要求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供应商提供兼容适配软件下载渠道（光盘、网站）</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147</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服务要求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跨架构平台应用兼容</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供应商提供跨架构平台的应用兼容工具，支持一种或者一种以上不同架构平台的应用</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148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供应保障要求</w:t>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*供应链合规性</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*产品部件保障</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是</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供应商保障产品主要部件，提供 6 年的备件服务能力（自购买之日起），或提供可兼容原设备的升级换代产品</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149</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供应保障要求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*供应链质量</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*抗干扰性</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当产品部件出现供应风险时，供应商应通知采购人并提供风险应对方案确保产品的服务保障</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150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供应保障要求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*供应能力证明</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供应商提供供应链稳定承诺书，确保产品的部件在产品服务周期内稳定供货</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151</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安全要求</w:t>
            </w:r>
            <w:r/>
          </w:p>
        </w:tc>
        <w:tc>
          <w:tcPr>
            <w:shd w:val="clear" w:color="auto" w:fill="auto"/>
            <w:tcBorders>
              <w:top w:val="none" w:color="000000" w:sz="4" w:space="0"/>
              <w:left w:val="none" w:color="000000" w:sz="4" w:space="0"/>
              <w:bottom w:val="single" w:color="000000" w:sz="4" w:space="0"/>
              <w:right w:val="single" w:color="000000" w:sz="4" w:space="0"/>
            </w:tcBorders>
            <w:tcW w:w="83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*关键部件安全要求</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*关键部件安全要求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CPU 和操作系统等关键部件应当符合安全可靠测评要求</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152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安全要求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*整机安全性要求</w:t>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*密码算法实现</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CPU 芯片应符合 GM/T 0008 的相关规定，或芯片密码模块应符合GB/T 37092或 GM/T 0028 的相关规定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432"/>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153</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安全要求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*信息安全基本要求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 a) 产品应符合 GB/T 39276 的 5.2 的规定； b) 生产厂商应建立漏洞跟踪表，保证产品版本涉及到的漏洞(如驱动程序等)可查看； c) 产品不得包含已知的恶意代码或漏洞，不存在未声明的指令、功能、接口</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154 </w:t>
            </w:r>
            <w:r/>
          </w:p>
        </w:tc>
        <w:tc>
          <w:tcPr>
            <w:shd w:val="clear" w:color="auto" w:fill="auto"/>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安全要求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*固件安全启动</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支持固件安全启动功能，固件启动过程中只有通过启动校验才能正常启动</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r>
        <w:trPr>
          <w:trHeight w:val="288"/>
        </w:trPr>
        <w:tc>
          <w:tcPr>
            <w:shd w:val="clear" w:color="auto" w:fill="auto"/>
            <w:tcBorders>
              <w:top w:val="single" w:color="auto" w:sz="4" w:space="0"/>
              <w:left w:val="single" w:color="auto" w:sz="4" w:space="0"/>
              <w:bottom w:val="single" w:color="auto" w:sz="4" w:space="0"/>
              <w:right w:val="single" w:color="auto" w:sz="4" w:space="0"/>
            </w:tcBorders>
            <w:tcW w:w="49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155</w:t>
            </w:r>
            <w:r/>
          </w:p>
        </w:tc>
        <w:tc>
          <w:tcPr>
            <w:shd w:val="clear" w:color="auto" w:fill="auto"/>
            <w:tcBorders>
              <w:top w:val="none" w:color="000000" w:sz="4" w:space="0"/>
              <w:left w:val="single" w:color="000000" w:sz="4" w:space="0"/>
              <w:bottom w:val="single" w:color="000000" w:sz="4" w:space="0"/>
              <w:right w:val="single" w:color="000000" w:sz="4" w:space="0"/>
            </w:tcBorders>
            <w:tcW w:w="6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安全要求</w:t>
            </w:r>
            <w:r/>
          </w:p>
        </w:tc>
        <w:tc>
          <w:tcPr>
            <w:shd w:val="clear" w:color="auto" w:fill="auto"/>
            <w:tcBorders>
              <w:top w:val="none" w:color="000000" w:sz="4" w:space="0"/>
              <w:left w:val="single" w:color="000000" w:sz="4" w:space="0"/>
              <w:bottom w:val="single" w:color="000000" w:sz="4" w:space="0"/>
              <w:right w:val="single" w:color="000000" w:sz="4" w:space="0"/>
            </w:tcBorders>
            <w:tcW w:w="83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non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*限用物质的限量要求</w:t>
            </w:r>
            <w:r/>
          </w:p>
        </w:tc>
        <w:tc>
          <w:tcPr>
            <w:shd w:val="clear" w:color="auto" w:fill="auto"/>
            <w:tcBorders>
              <w:top w:val="none" w:color="000000" w:sz="4" w:space="0"/>
              <w:left w:val="none" w:color="000000" w:sz="4" w:space="0"/>
              <w:bottom w:val="single" w:color="000000" w:sz="4" w:space="0"/>
              <w:right w:val="single" w:color="000000" w:sz="4" w:space="0"/>
            </w:tcBorders>
            <w:tcW w:w="72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否</w:t>
            </w:r>
            <w:r/>
          </w:p>
        </w:tc>
        <w:tc>
          <w:tcPr>
            <w:shd w:val="clear" w:color="auto" w:fill="auto"/>
            <w:tcBorders>
              <w:top w:val="none" w:color="000000" w:sz="4" w:space="0"/>
              <w:left w:val="none" w:color="000000" w:sz="4" w:space="0"/>
              <w:bottom w:val="single" w:color="000000" w:sz="4" w:space="0"/>
              <w:right w:val="single" w:color="000000" w:sz="4" w:space="0"/>
            </w:tcBorders>
            <w:tcW w:w="474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符合 GB/T 26572 中规定</w:t>
            </w:r>
            <w:r/>
          </w:p>
        </w:tc>
        <w:tc>
          <w:tcPr>
            <w:shd w:val="clear" w:color="auto" w:fill="auto"/>
            <w:tcBorders>
              <w:top w:val="none" w:color="000000" w:sz="4" w:space="0"/>
              <w:left w:val="single" w:color="auto" w:sz="4" w:space="0"/>
              <w:bottom w:val="single" w:color="auto" w:sz="4" w:space="0"/>
              <w:right w:val="single" w:color="auto" w:sz="4" w:space="0"/>
            </w:tcBorders>
            <w:tcW w:w="55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w:t>
            </w:r>
            <w:r/>
          </w:p>
        </w:tc>
      </w:tr>
    </w:tbl>
    <w:p>
      <w:pPr>
        <w:numPr>
          <w:ilvl w:val="0"/>
          <w:numId w:val="0"/>
        </w:numPr>
        <w:jc w:val="both"/>
        <w:widowControl w:val="off"/>
        <w:rPr>
          <w:rFonts w:hint="default" w:ascii="Times New Roman" w:hAnsi="Times New Roman" w:cs="Times New Roman"/>
          <w:highlight w:val="none"/>
        </w:rPr>
      </w:pPr>
      <w:r>
        <w:rPr>
          <w:rFonts w:hint="default" w:ascii="Times New Roman" w:hAnsi="Times New Roman" w:cs="Times New Roman"/>
          <w:highlight w:val="none"/>
        </w:rPr>
      </w:r>
      <w:r/>
    </w:p>
    <w:p>
      <w:pPr>
        <w:numPr>
          <w:ilvl w:val="0"/>
          <w:numId w:val="0"/>
        </w:numPr>
        <w:jc w:val="both"/>
        <w:widowControl w:val="off"/>
        <w:rPr>
          <w:rFonts w:hint="default" w:ascii="Times New Roman" w:hAnsi="Times New Roman" w:cs="Times New Roman"/>
          <w:highlight w:val="none"/>
        </w:rPr>
      </w:pPr>
      <w:r>
        <w:rPr>
          <w:rFonts w:hint="default" w:ascii="Times New Roman" w:hAnsi="Times New Roman" w:cs="Times New Roman"/>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color w:val="ff0000"/>
          <w:sz w:val="24"/>
          <w:szCs w:val="24"/>
          <w:highlight w:val="none"/>
        </w:rPr>
      </w:pPr>
      <w:r>
        <w:rPr>
          <w:rFonts w:hint="eastAsia" w:asciiTheme="minorEastAsia" w:hAnsiTheme="minorEastAsia" w:eastAsiaTheme="minorEastAsia" w:cstheme="minorEastAsia"/>
          <w:b/>
          <w:bCs w:val="0"/>
          <w:color w:val="ff0000"/>
          <w:sz w:val="24"/>
          <w:szCs w:val="24"/>
          <w:highlight w:val="none"/>
        </w:rPr>
        <w:t xml:space="preserve">注：1</w:t>
      </w:r>
      <w:r>
        <w:rPr>
          <w:rFonts w:hint="eastAsia" w:asciiTheme="minorEastAsia" w:hAnsiTheme="minorEastAsia" w:eastAsiaTheme="minorEastAsia" w:cstheme="minorEastAsia"/>
          <w:b/>
          <w:color w:val="ff0000"/>
          <w:sz w:val="24"/>
          <w:szCs w:val="24"/>
          <w:highlight w:val="none"/>
        </w:rPr>
        <w:t xml:space="preserve">.本项目中打</w:t>
      </w:r>
      <w:r>
        <w:rPr>
          <w:rFonts w:hint="eastAsia" w:asciiTheme="minorEastAsia" w:hAnsiTheme="minorEastAsia" w:eastAsiaTheme="minorEastAsia" w:cstheme="minorEastAsia"/>
          <w:b/>
          <w:color w:val="ff0000"/>
          <w:sz w:val="24"/>
          <w:szCs w:val="24"/>
          <w:highlight w:val="none"/>
          <w:lang w:bidi="ar"/>
        </w:rPr>
        <w:t xml:space="preserve">▲项需提供证明材料扫描件，</w:t>
      </w:r>
      <w:r>
        <w:rPr>
          <w:rFonts w:hint="eastAsia" w:asciiTheme="minorEastAsia" w:hAnsiTheme="minorEastAsia" w:eastAsiaTheme="minorEastAsia" w:cstheme="minorEastAsia"/>
          <w:b/>
          <w:color w:val="ff0000"/>
          <w:sz w:val="24"/>
          <w:szCs w:val="24"/>
          <w:highlight w:val="none"/>
        </w:rPr>
        <w:t xml:space="preserve">否则作无效投标文件处理</w:t>
      </w:r>
      <w:r/>
    </w:p>
    <w:p>
      <w:pPr>
        <w:ind w:firstLine="482"/>
        <w:keepLines w:val="0"/>
        <w:keepNext w:val="0"/>
        <w:pageBreakBefore w:val="0"/>
        <w:spacing w:line="360" w:lineRule="auto"/>
        <w:widowControl w:val="off"/>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
          <w:color w:val="ff0000"/>
          <w:sz w:val="24"/>
          <w:szCs w:val="24"/>
          <w:highlight w:val="none"/>
        </w:rPr>
        <w:t xml:space="preserve">2.本项目采购的</w:t>
      </w:r>
      <w:r>
        <w:rPr>
          <w:rFonts w:hint="eastAsia" w:asciiTheme="minorEastAsia" w:hAnsiTheme="minorEastAsia" w:eastAsiaTheme="minorEastAsia" w:cstheme="minorEastAsia"/>
          <w:b/>
          <w:color w:val="ff0000"/>
          <w:sz w:val="24"/>
          <w:szCs w:val="24"/>
          <w:highlight w:val="none"/>
          <w:lang w:bidi="ar"/>
        </w:rPr>
        <w:t xml:space="preserve">55寸信息发布一体机</w:t>
      </w:r>
      <w:r>
        <w:rPr>
          <w:rFonts w:hint="eastAsia" w:asciiTheme="minorEastAsia" w:hAnsiTheme="minorEastAsia" w:eastAsiaTheme="minorEastAsia" w:cstheme="minorEastAsia"/>
          <w:b/>
          <w:color w:val="ff0000"/>
          <w:sz w:val="24"/>
          <w:szCs w:val="24"/>
          <w:highlight w:val="none"/>
          <w:lang w:eastAsia="zh-CN" w:bidi="ar"/>
        </w:rPr>
        <w:t xml:space="preserve">、85寸信息发布一体机(触摸)、55寸显示屏、86寸触控一体机（含OPS功能模块）、业务处理图形工作站（不含显示器）、34寸带鱼屏</w:t>
      </w:r>
      <w:r>
        <w:rPr>
          <w:rFonts w:hint="eastAsia" w:asciiTheme="minorEastAsia" w:hAnsiTheme="minorEastAsia" w:eastAsiaTheme="minorEastAsia" w:cstheme="minorEastAsia"/>
          <w:b/>
          <w:color w:val="ff0000"/>
          <w:sz w:val="24"/>
          <w:szCs w:val="24"/>
          <w:highlight w:val="none"/>
          <w:lang w:val="en-US" w:eastAsia="zh-CN" w:bidi="ar"/>
        </w:rPr>
        <w:t xml:space="preserve">为财政部、发展改革委发布的《节能产品政府采购品目清单》内强制节能产品,投标人只能选择具有节能产品认证证书的产品进行投标;投标时须提供所投产品由国家确定的认证机构出具的、处于有效期之内的节能产品认证证书扫描件。</w:t>
      </w:r>
      <w:r>
        <w:rPr>
          <w:rFonts w:hint="eastAsia" w:asciiTheme="minorEastAsia" w:hAnsiTheme="minorEastAsia" w:eastAsiaTheme="minorEastAsia" w:cstheme="minorEastAsia"/>
          <w:b/>
          <w:color w:val="ff0000"/>
          <w:sz w:val="24"/>
          <w:szCs w:val="24"/>
          <w:highlight w:val="none"/>
        </w:rPr>
        <w:t xml:space="preserve">否则作无效投标文件处理。此为符合性证明文件。</w:t>
      </w:r>
      <w:r/>
    </w:p>
    <w:p>
      <w:pPr>
        <w:ind w:firstLine="480"/>
        <w:spacing w:line="360" w:lineRule="auto"/>
        <w:rPr>
          <w:rFonts w:ascii="宋体" w:hAnsi="宋体"/>
          <w:b/>
          <w:color w:val="auto"/>
          <w:sz w:val="30"/>
          <w:szCs w:val="30"/>
          <w:u w:val="none"/>
        </w:rPr>
      </w:pPr>
      <w:r>
        <w:rPr>
          <w:rFonts w:ascii="宋体" w:hAnsi="宋体"/>
          <w:bCs/>
          <w:sz w:val="24"/>
          <w:szCs w:val="24"/>
        </w:rPr>
        <w:br w:type="page" w:clear="all"/>
      </w:r>
      <w:r>
        <w:rPr>
          <w:rFonts w:hint="eastAsia" w:ascii="宋体" w:hAnsi="宋体"/>
          <w:b/>
          <w:color w:val="auto"/>
          <w:sz w:val="30"/>
          <w:szCs w:val="30"/>
          <w:u w:val="none"/>
        </w:rPr>
        <w:t xml:space="preserve">第二部分  有关说明</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rPr>
      </w:pPr>
      <w:r>
        <w:rPr>
          <w:rFonts w:hint="eastAsia" w:ascii="宋体" w:hAnsi="宋体"/>
          <w:bCs/>
          <w:color w:val="auto"/>
          <w:sz w:val="24"/>
          <w:szCs w:val="24"/>
        </w:rPr>
        <w:t xml:space="preserve">通过中国海关报关验放进入中国境内且产自中国境外的产品不在本项目的报价范围。</w:t>
      </w:r>
      <w:r/>
    </w:p>
    <w:p>
      <w:pPr>
        <w:numPr>
          <w:ilvl w:val="1"/>
          <w:numId w:val="6"/>
        </w:numPr>
        <w:ind w:left="0" w:firstLine="480"/>
        <w:spacing w:line="360" w:lineRule="auto"/>
        <w:tabs>
          <w:tab w:val="left" w:pos="525" w:leader="none"/>
          <w:tab w:val="clear" w:pos="780" w:leader="none"/>
          <w:tab w:val="left" w:pos="945" w:leader="none"/>
        </w:tabs>
        <w:rPr>
          <w:rFonts w:hint="eastAsia" w:ascii="宋体"/>
          <w:bCs/>
          <w:color w:val="auto"/>
          <w:sz w:val="24"/>
          <w:szCs w:val="24"/>
        </w:rPr>
      </w:pPr>
      <w:r>
        <w:rPr>
          <w:rFonts w:hint="eastAsia" w:ascii="宋体"/>
          <w:bCs/>
          <w:color w:val="auto"/>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6"/>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投标人必须在满足招标文件要求的基础上进行报价，如有技术偏离请于投标偏离表中说明。</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完工期：合同签订生效后60个日历天内交货并安装调试完毕。</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rPr>
      </w:pPr>
      <w:r>
        <w:rPr>
          <w:rFonts w:hint="eastAsia" w:ascii="宋体"/>
          <w:bCs/>
          <w:color w:val="auto"/>
          <w:sz w:val="24"/>
          <w:szCs w:val="24"/>
        </w:rPr>
        <w:t xml:space="preserve">项目整体质保期：</w:t>
      </w:r>
      <w:r>
        <w:rPr>
          <w:rFonts w:hint="eastAsia" w:ascii="宋体" w:hAnsi="宋体"/>
          <w:bCs/>
          <w:color w:val="auto"/>
          <w:sz w:val="24"/>
          <w:szCs w:val="24"/>
        </w:rPr>
        <w:t xml:space="preserve">免费质保期两年，竣工验收合格之日起算。</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rPr>
      </w:pPr>
      <w:r>
        <w:rPr>
          <w:rFonts w:hint="eastAsia" w:ascii="宋体" w:hAnsi="宋体"/>
          <w:bCs/>
          <w:color w:val="auto"/>
          <w:sz w:val="24"/>
          <w:szCs w:val="24"/>
        </w:rPr>
        <w:t xml:space="preserve">付款方式</w:t>
      </w:r>
      <w:r>
        <w:rPr>
          <w:rFonts w:hint="eastAsia" w:ascii="宋体" w:hAnsi="宋体"/>
          <w:bCs/>
          <w:color w:val="auto"/>
          <w:sz w:val="24"/>
          <w:szCs w:val="24"/>
          <w:lang w:eastAsia="zh-CN"/>
        </w:rPr>
        <w:t xml:space="preserve">：合同签订后，支付合同总金额的30%，设备安装结束验收合格后付至合同价的70%，审计结束付至审定价的90%，余款审计满一年后一次性付清。</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rPr>
      </w:pPr>
      <w:r>
        <w:rPr>
          <w:rFonts w:hint="eastAsia" w:ascii="宋体"/>
          <w:bCs/>
          <w:color w:val="auto"/>
          <w:sz w:val="24"/>
          <w:szCs w:val="24"/>
        </w:rPr>
        <w:t xml:space="preserve">中标（成交）供应商以履约保函（保险）形式按签约合同价的</w:t>
      </w:r>
      <w:r>
        <w:rPr>
          <w:rFonts w:hint="eastAsia" w:ascii="宋体"/>
          <w:bCs/>
          <w:color w:val="auto"/>
          <w:sz w:val="24"/>
          <w:szCs w:val="24"/>
          <w:lang w:val="en-US" w:eastAsia="zh-CN"/>
        </w:rPr>
        <w:t xml:space="preserve">5</w:t>
      </w:r>
      <w:r>
        <w:rPr>
          <w:rFonts w:hint="eastAsia" w:ascii="宋体"/>
          <w:bCs/>
          <w:color w:val="auto"/>
          <w:sz w:val="24"/>
          <w:szCs w:val="24"/>
          <w:highlight w:val="cyan"/>
        </w:rPr>
        <w:t xml:space="preserve">%</w:t>
      </w:r>
      <w:r>
        <w:rPr>
          <w:rFonts w:hint="eastAsia" w:ascii="宋体"/>
          <w:bCs/>
          <w:color w:val="auto"/>
          <w:sz w:val="24"/>
          <w:szCs w:val="24"/>
        </w:rPr>
        <w:t xml:space="preserve">提供履约担保。中标（成交）供应商可采用电子履约保函（保险）形式,具体操作可登录江苏政府采购网的保险保函模块进行办理。</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本项目合同履行地点：江溪街道工博园警务工作站，具体地点以合同书约定为准。中标方必须按采购人要求将本项目中货物送到指定地点</w:t>
      </w:r>
      <w:r>
        <w:rPr>
          <w:rFonts w:ascii="宋体" w:hAnsi="宋体"/>
          <w:bCs/>
          <w:color w:val="auto"/>
          <w:sz w:val="24"/>
          <w:szCs w:val="24"/>
        </w:rPr>
        <w:t xml:space="preserve">(</w:t>
      </w:r>
      <w:r>
        <w:rPr>
          <w:rFonts w:hint="eastAsia" w:ascii="宋体" w:hAnsi="宋体"/>
          <w:bCs/>
          <w:color w:val="auto"/>
          <w:sz w:val="24"/>
          <w:szCs w:val="24"/>
        </w:rPr>
        <w:t xml:space="preserve">包括可能的分布范围</w:t>
      </w:r>
      <w:r>
        <w:rPr>
          <w:rFonts w:ascii="宋体" w:hAnsi="宋体"/>
          <w:bCs/>
          <w:color w:val="auto"/>
          <w:sz w:val="24"/>
          <w:szCs w:val="24"/>
        </w:rPr>
        <w:t xml:space="preserve">)</w:t>
      </w:r>
      <w:r>
        <w:rPr>
          <w:rFonts w:hint="eastAsia" w:ascii="宋体" w:hAnsi="宋体"/>
          <w:bCs/>
          <w:color w:val="auto"/>
          <w:sz w:val="24"/>
          <w:szCs w:val="24"/>
        </w:rPr>
        <w:t xml:space="preserve">，并分地实施安装调试。</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highlight w:val="none"/>
        </w:rPr>
        <w:t xml:space="preserve">中标供应商</w:t>
      </w:r>
      <w:r>
        <w:rPr>
          <w:rFonts w:hint="eastAsia" w:ascii="宋体" w:hAnsi="宋体"/>
          <w:bCs/>
          <w:sz w:val="24"/>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7"/>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7"/>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7"/>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3"/>
        <w:spacing w:before="0" w:after="0" w:line="500" w:lineRule="exact"/>
        <w:rPr>
          <w:rFonts w:hint="eastAsia" w:cs="Arial"/>
        </w:rPr>
      </w:pPr>
      <w:r>
        <w:rPr>
          <w:rFonts w:hint="eastAsia" w:cs="Arial"/>
        </w:rPr>
        <w:t xml:space="preserve">投标人通过初审的，方可进入比较与评价程序。</w:t>
      </w:r>
      <w:r/>
    </w:p>
    <w:p>
      <w:pPr>
        <w:pStyle w:val="763"/>
        <w:spacing w:before="0" w:after="0" w:line="500" w:lineRule="exact"/>
        <w:rPr>
          <w:rFonts w:hint="eastAsia" w:cs="Arial"/>
        </w:rPr>
      </w:pPr>
      <w:r>
        <w:rPr>
          <w:rFonts w:hint="eastAsia" w:cs="Arial"/>
        </w:rPr>
        <w:t xml:space="preserve">比较与评价采用综合评分法。</w:t>
      </w:r>
      <w:r/>
    </w:p>
    <w:p>
      <w:pPr>
        <w:pStyle w:val="763"/>
        <w:spacing w:before="0" w:after="0" w:line="500" w:lineRule="exact"/>
        <w:rPr>
          <w:rStyle w:val="726"/>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1.4</w:t>
      </w:r>
      <w:r>
        <w:rPr>
          <w:rFonts w:hint="eastAsia" w:ascii="宋体" w:hAnsi="宋体"/>
          <w:bCs/>
          <w:color w:val="000000"/>
          <w:sz w:val="24"/>
          <w:szCs w:val="24"/>
        </w:rPr>
        <w:t xml:space="preserve">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20"/>
        <w:jc w:val="left"/>
        <w:spacing w:line="500" w:lineRule="exact"/>
        <w:rPr>
          <w:rFonts w:hint="eastAsia" w:ascii="宋体" w:hAnsi="宋体"/>
          <w:b/>
          <w:bCs/>
          <w:color w:val="000000"/>
          <w:sz w:val="24"/>
          <w:szCs w:val="24"/>
          <w:highlight w:val="none"/>
        </w:rPr>
      </w:pPr>
      <w:r>
        <w:rPr>
          <w:rFonts w:ascii="宋体" w:hAnsi="宋体"/>
          <w:shd w:val="clear" w:color="ffffff" w:fill="d9d9d9"/>
        </w:rPr>
        <w:br w:type="page" w:clear="all"/>
      </w:r>
      <w:r>
        <w:rPr>
          <w:rFonts w:hint="eastAsia" w:ascii="宋体" w:hAnsi="宋体"/>
          <w:b/>
          <w:bCs/>
          <w:color w:val="000000"/>
          <w:sz w:val="24"/>
          <w:szCs w:val="24"/>
          <w:highlight w:val="none"/>
        </w:rPr>
        <w:t xml:space="preserve">2.对本国产品的支持政策（仅适用于采购包1）：根据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rFonts w:ascii="宋体" w:hAnsi="宋体"/>
          <w:highlight w:val="none"/>
          <w:shd w:val="clear" w:color="ffffff" w:fill="d9d9d9"/>
        </w:rPr>
      </w:pPr>
      <w:r>
        <w:rPr>
          <w:rFonts w:hint="eastAsia" w:ascii="宋体" w:hAnsi="宋体"/>
          <w:bCs/>
          <w:color w:val="000000"/>
          <w:sz w:val="24"/>
          <w:szCs w:val="24"/>
          <w:highlight w:val="none"/>
        </w:rPr>
        <w:t xml:space="preserve">1000000×[1-（10%+20%）]=700000元</w:t>
      </w:r>
      <w:r/>
    </w:p>
    <w:p>
      <w:pPr>
        <w:pStyle w:val="763"/>
        <w:ind w:firstLine="360"/>
        <w:spacing w:before="0" w:after="0" w:line="500" w:lineRule="exact"/>
        <w:rPr>
          <w:rFonts w:ascii="宋体" w:hAnsi="宋体"/>
          <w:highlight w:val="none"/>
          <w:shd w:val="clear" w:color="ffffff" w:fill="d9d9d9"/>
        </w:rPr>
      </w:pPr>
      <w:r>
        <w:rPr>
          <w:rFonts w:ascii="宋体" w:hAnsi="宋体"/>
          <w:highlight w:val="none"/>
          <w:shd w:val="clear" w:color="ffffff" w:fill="d9d9d9"/>
        </w:rPr>
      </w:r>
      <w:r/>
    </w:p>
    <w:p>
      <w:pPr>
        <w:pStyle w:val="763"/>
        <w:numPr>
          <w:ilvl w:val="0"/>
          <w:numId w:val="8"/>
        </w:numPr>
        <w:ind w:firstLine="422"/>
        <w:spacing w:before="0" w:after="0" w:line="500" w:lineRule="exact"/>
        <w:rPr>
          <w:rFonts w:hint="eastAsia" w:ascii="宋体" w:hAnsi="宋体"/>
          <w:b/>
          <w:sz w:val="28"/>
          <w:szCs w:val="28"/>
        </w:rPr>
      </w:pPr>
      <w:r>
        <w:rPr>
          <w:rFonts w:hint="eastAsia" w:ascii="宋体" w:hAnsi="宋体"/>
          <w:b/>
          <w:sz w:val="28"/>
          <w:szCs w:val="28"/>
        </w:rPr>
        <w:t xml:space="preserve">评分标准</w:t>
      </w:r>
      <w:r/>
    </w:p>
    <w:p>
      <w:pPr>
        <w:pStyle w:val="763"/>
        <w:numPr>
          <w:ilvl w:val="0"/>
          <w:numId w:val="0"/>
        </w:numPr>
        <w:ind w:firstLine="843"/>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pStyle w:val="763"/>
        <w:ind w:firstLine="422"/>
        <w:spacing w:before="0" w:after="0" w:line="500" w:lineRule="exact"/>
        <w:rPr>
          <w:rFonts w:hint="eastAsia" w:ascii="宋体" w:hAnsi="宋体"/>
          <w:b/>
          <w:color w:val="auto"/>
          <w:sz w:val="28"/>
          <w:szCs w:val="28"/>
        </w:rPr>
      </w:pPr>
      <w:r>
        <w:rPr>
          <w:rFonts w:hint="eastAsia" w:ascii="宋体" w:hAnsi="宋体"/>
          <w:b/>
          <w:color w:val="auto"/>
          <w:sz w:val="28"/>
          <w:szCs w:val="28"/>
        </w:rPr>
        <w:t xml:space="preserve">（一）商务部分（</w:t>
      </w:r>
      <w:r>
        <w:rPr>
          <w:rFonts w:hint="eastAsia" w:ascii="宋体" w:hAnsi="宋体"/>
          <w:b/>
          <w:color w:val="auto"/>
          <w:sz w:val="28"/>
          <w:szCs w:val="28"/>
          <w:lang w:val="en-US" w:eastAsia="zh-CN"/>
        </w:rPr>
        <w:t xml:space="preserve">85</w:t>
      </w:r>
      <w:r>
        <w:rPr>
          <w:rFonts w:hint="eastAsia" w:ascii="宋体" w:hAnsi="宋体"/>
          <w:b/>
          <w:color w:val="auto"/>
          <w:sz w:val="28"/>
          <w:szCs w:val="28"/>
        </w:rPr>
        <w:t xml:space="preserve">分）</w:t>
      </w:r>
      <w:r/>
    </w:p>
    <w:p>
      <w:pPr>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投标报价得分=(评标基准价／投标报价)×价格权值×100。</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关于价格扣除详见本章第二部分“一、落实政府采购政策的价格调整”。</w:t>
      </w:r>
      <w:r/>
    </w:p>
    <w:p>
      <w:pPr>
        <w:numPr>
          <w:ilvl w:val="4"/>
          <w:numId w:val="9"/>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项目人员配置情况（</w:t>
      </w:r>
      <w:r>
        <w:rPr>
          <w:rFonts w:hint="eastAsia" w:asciiTheme="minorEastAsia" w:hAnsiTheme="minorEastAsia" w:eastAsiaTheme="minorEastAsia" w:cstheme="minorEastAsia"/>
          <w:b/>
          <w:bCs/>
          <w:color w:val="000000"/>
          <w:sz w:val="24"/>
          <w:szCs w:val="24"/>
          <w:lang w:val="en-US" w:eastAsia="zh-CN"/>
        </w:rPr>
        <w:t xml:space="preserve">8</w:t>
      </w:r>
      <w:r>
        <w:rPr>
          <w:rFonts w:hint="eastAsia" w:asciiTheme="minorEastAsia" w:hAnsiTheme="minorEastAsia" w:eastAsiaTheme="minorEastAsia" w:cstheme="minorEastAsia"/>
          <w:b/>
          <w:bCs/>
          <w:color w:val="000000"/>
          <w:sz w:val="24"/>
          <w:szCs w:val="24"/>
        </w:rPr>
        <w:t xml:space="preserve">分）：</w:t>
      </w:r>
      <w:r>
        <w:rPr>
          <w:rFonts w:hint="eastAsia" w:asciiTheme="minorEastAsia" w:hAnsiTheme="minorEastAsia" w:eastAsiaTheme="minorEastAsia" w:cstheme="minorEastAsia"/>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p>
    <w:p>
      <w:pPr>
        <w:numPr>
          <w:ilvl w:val="0"/>
          <w:numId w:val="10"/>
        </w:num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w:t>
      </w:r>
      <w:r>
        <w:rPr>
          <w:rFonts w:hint="eastAsia" w:asciiTheme="minorEastAsia" w:hAnsiTheme="minorEastAsia" w:eastAsiaTheme="minorEastAsia" w:cstheme="minorEastAsia"/>
          <w:color w:val="000000"/>
          <w:sz w:val="24"/>
          <w:szCs w:val="24"/>
          <w:highlight w:val="none"/>
        </w:rPr>
        <w:t xml:space="preserve">项目组成员</w:t>
      </w:r>
      <w:r>
        <w:rPr>
          <w:rFonts w:hint="eastAsia" w:asciiTheme="minorEastAsia" w:hAnsiTheme="minorEastAsia" w:eastAsiaTheme="minorEastAsia" w:cstheme="minorEastAsia"/>
          <w:sz w:val="24"/>
          <w:szCs w:val="24"/>
          <w:highlight w:val="none"/>
        </w:rPr>
        <w:t xml:space="preserve">具有一级建造师</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机电工程专业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证书</w:t>
      </w:r>
      <w:r>
        <w:rPr>
          <w:rFonts w:hint="eastAsia" w:asciiTheme="minorEastAsia" w:hAnsiTheme="minorEastAsia" w:eastAsiaTheme="minorEastAsia" w:cstheme="minorEastAsia"/>
          <w:sz w:val="24"/>
          <w:szCs w:val="24"/>
          <w:highlight w:val="none"/>
          <w:lang w:val="en-US" w:eastAsia="zh-CN"/>
        </w:rPr>
        <w:t xml:space="preserve">的得1分，具有</w:t>
      </w:r>
      <w:r>
        <w:rPr>
          <w:rFonts w:hint="eastAsia" w:asciiTheme="minorEastAsia" w:hAnsiTheme="minorEastAsia" w:eastAsiaTheme="minorEastAsia" w:cstheme="minorEastAsia"/>
          <w:sz w:val="24"/>
          <w:szCs w:val="24"/>
          <w:highlight w:val="none"/>
        </w:rPr>
        <w:t xml:space="preserve">安全员B证</w:t>
      </w:r>
      <w:r>
        <w:rPr>
          <w:rFonts w:hint="eastAsia" w:asciiTheme="minorEastAsia" w:hAnsiTheme="minorEastAsia" w:eastAsiaTheme="minorEastAsia" w:cstheme="minorEastAsia"/>
          <w:sz w:val="24"/>
          <w:szCs w:val="24"/>
          <w:highlight w:val="none"/>
          <w:lang w:val="en-US" w:eastAsia="zh-CN"/>
        </w:rPr>
        <w:t xml:space="preserve">书</w:t>
      </w:r>
      <w:r>
        <w:rPr>
          <w:rFonts w:hint="eastAsia" w:asciiTheme="minorEastAsia" w:hAnsiTheme="minorEastAsia" w:eastAsiaTheme="minorEastAsia" w:cstheme="minorEastAsia"/>
          <w:sz w:val="24"/>
          <w:szCs w:val="24"/>
          <w:highlight w:val="none"/>
        </w:rPr>
        <w:t xml:space="preserve">的</w:t>
      </w:r>
      <w:r>
        <w:rPr>
          <w:rFonts w:hint="eastAsia" w:asciiTheme="minorEastAsia" w:hAnsiTheme="minorEastAsia" w:eastAsiaTheme="minorEastAsia" w:cstheme="minorEastAsia"/>
          <w:sz w:val="24"/>
          <w:szCs w:val="24"/>
          <w:highlight w:val="none"/>
          <w:lang w:val="en-US" w:eastAsia="zh-CN"/>
        </w:rPr>
        <w:t xml:space="preserve">得1分</w:t>
      </w:r>
      <w:r>
        <w:rPr>
          <w:rFonts w:hint="eastAsia" w:asciiTheme="minorEastAsia" w:hAnsiTheme="minorEastAsia" w:eastAsiaTheme="minorEastAsia" w:cstheme="minorEastAsia"/>
          <w:sz w:val="24"/>
          <w:szCs w:val="24"/>
          <w:highlight w:val="none"/>
        </w:rPr>
        <w:t xml:space="preserve">，本项最高得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（2）投标人项目组成员具有高级工程师</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机电安装</w:t>
      </w:r>
      <w:r>
        <w:rPr>
          <w:rFonts w:hint="eastAsia" w:asciiTheme="minorEastAsia" w:hAnsiTheme="minorEastAsia" w:eastAsiaTheme="minorEastAsia" w:cstheme="minorEastAsia"/>
          <w:sz w:val="24"/>
          <w:szCs w:val="24"/>
          <w:highlight w:val="none"/>
          <w:lang w:val="en-US" w:eastAsia="zh-CN"/>
        </w:rPr>
        <w:t xml:space="preserve">相关专业</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证书的，得2分。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（3）投标人项目组成员具有注册信息安全专业人员证书的，得2分。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（4）投标人项目组成员具有信息安全保障人员认证证书的，得2分。</w:t>
      </w:r>
      <w:r/>
    </w:p>
    <w:p>
      <w:p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highlight w:val="none"/>
        </w:rPr>
        <w:t xml:space="preserve">注：上述项目组成员证书不可兼得，提供以上人员相关证书原件扫描件及近</w:t>
      </w:r>
      <w:r>
        <w:rPr>
          <w:rFonts w:hint="eastAsia" w:asciiTheme="minorEastAsia" w:hAnsiTheme="minorEastAsia" w:eastAsiaTheme="minorEastAsia" w:cstheme="minorEastAsia"/>
          <w:sz w:val="24"/>
          <w:szCs w:val="24"/>
          <w:highlight w:val="none"/>
          <w:lang w:val="en-US" w:eastAsia="zh-CN"/>
        </w:rPr>
        <w:t xml:space="preserve">一年中</w:t>
      </w:r>
      <w:r>
        <w:rPr>
          <w:rFonts w:hint="eastAsia" w:asciiTheme="minorEastAsia" w:hAnsiTheme="minorEastAsia" w:eastAsiaTheme="minorEastAsia" w:cstheme="minorEastAsia"/>
          <w:sz w:val="24"/>
          <w:szCs w:val="24"/>
          <w:highlight w:val="none"/>
        </w:rPr>
        <w:t xml:space="preserve">（不含投标当月）任何一个月投标人为其缴纳的社保证明材料原件扫描件并加盖公章上传至投标文件中，不提供或提供不全的不得分。</w:t>
      </w:r>
      <w:r>
        <w:rPr>
          <w:rFonts w:hint="eastAsia" w:asciiTheme="minorEastAsia" w:hAnsiTheme="minorEastAsia" w:eastAsiaTheme="minorEastAsia" w:cstheme="minorEastAsia"/>
          <w:color w:val="000000"/>
          <w:sz w:val="24"/>
          <w:szCs w:val="24"/>
        </w:rPr>
        <w:t xml:space="preserve"> </w:t>
      </w:r>
      <w:r/>
    </w:p>
    <w:p>
      <w:pPr>
        <w:numPr>
          <w:ilvl w:val="4"/>
          <w:numId w:val="9"/>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投标人综合情况（</w:t>
      </w:r>
      <w:r>
        <w:rPr>
          <w:rFonts w:hint="eastAsia" w:asciiTheme="minorEastAsia" w:hAnsiTheme="minorEastAsia" w:eastAsiaTheme="minorEastAsia" w:cstheme="minorEastAsia"/>
          <w:b/>
          <w:bCs/>
          <w:color w:val="000000"/>
          <w:sz w:val="24"/>
          <w:szCs w:val="24"/>
          <w:lang w:val="en-US" w:eastAsia="zh-CN"/>
        </w:rPr>
        <w:t xml:space="preserve">5</w:t>
      </w:r>
      <w:r>
        <w:rPr>
          <w:rFonts w:hint="eastAsia" w:asciiTheme="minorEastAsia" w:hAnsiTheme="minorEastAsia" w:eastAsiaTheme="minorEastAsia" w:cstheme="minorEastAsia"/>
          <w:b/>
          <w:bCs/>
          <w:color w:val="000000"/>
          <w:sz w:val="24"/>
          <w:szCs w:val="24"/>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以下证明材料扫描件加盖公章后上传至投标文件中，否则不得分。</w:t>
      </w:r>
      <w:r/>
    </w:p>
    <w:p>
      <w:pPr>
        <w:numPr>
          <w:ilvl w:val="0"/>
          <w:numId w:val="11"/>
        </w:num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业绩（2分）：投标人自2023年4月以来，承接过类似项目的，每提供1个得1分，本项最高得2分（业绩时间以合同签订时间为准，提供中标通知书、合同原件扫描件加盖公章上传至投标文件中，不提供或提供不全的不得分）；</w:t>
      </w:r>
      <w:r/>
    </w:p>
    <w:p>
      <w:pPr>
        <w:numPr>
          <w:ilvl w:val="0"/>
          <w:numId w:val="11"/>
        </w:num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体系认证（3分）：投标人具有</w:t>
      </w:r>
      <w:r>
        <w:rPr>
          <w:rFonts w:hint="eastAsia" w:asciiTheme="minorEastAsia" w:hAnsiTheme="minorEastAsia" w:eastAsiaTheme="minorEastAsia" w:cstheme="minorEastAsia"/>
          <w:color w:val="000000"/>
          <w:sz w:val="24"/>
          <w:szCs w:val="24"/>
          <w:highlight w:val="none"/>
        </w:rPr>
        <w:t xml:space="preserve">有效的</w:t>
      </w:r>
      <w:r>
        <w:rPr>
          <w:rFonts w:hint="eastAsia" w:asciiTheme="minorEastAsia" w:hAnsiTheme="minorEastAsia" w:eastAsiaTheme="minorEastAsia" w:cstheme="minorEastAsia"/>
          <w:sz w:val="24"/>
          <w:szCs w:val="24"/>
          <w:highlight w:val="none"/>
        </w:rPr>
        <w:t xml:space="preserve">质量管理体系认证、信息技术服务管理体系认证证书、信息安全管理体系认证证书，每提供一个得1分，本项最高得3分（提供相关证书原件扫描件加盖公章上传至投标文件中，</w:t>
      </w:r>
      <w:r>
        <w:rPr>
          <w:rFonts w:hint="eastAsia" w:asciiTheme="minorEastAsia" w:hAnsiTheme="minorEastAsia" w:eastAsiaTheme="minorEastAsia" w:cstheme="minorEastAsia"/>
          <w:sz w:val="24"/>
          <w:szCs w:val="24"/>
          <w:highlight w:val="none"/>
          <w:lang w:val="en-US" w:eastAsia="zh-CN"/>
        </w:rPr>
        <w:t xml:space="preserve">否则</w:t>
      </w:r>
      <w:r>
        <w:rPr>
          <w:rFonts w:hint="eastAsia" w:asciiTheme="minorEastAsia" w:hAnsiTheme="minorEastAsia" w:eastAsiaTheme="minorEastAsia" w:cstheme="minorEastAsia"/>
          <w:sz w:val="24"/>
          <w:szCs w:val="24"/>
          <w:highlight w:val="none"/>
        </w:rPr>
        <w:t xml:space="preserve">不得分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w:t>
      </w:r>
      <w:r/>
    </w:p>
    <w:p>
      <w:pPr>
        <w:ind w:firstLine="241"/>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4.技术性能（20分）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（1）投标人所投出入口控制终端具有以下功能（3分）：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①网口与车道自动关联功能检查：指定网口与车道进行绑定，当其他设备接入相应网口后，可直接绑定设备与车道，免除重新配置牛车道等步骤；</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②防车辆假出场逃费功能检查：当接入的出口摄像机识别到车辆倒退行为时，可联动设备对车辆进行入场处理，防止车辆假出场逃费行为；</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③轮轴识别仪接入功能检查：支持接入轮轴识别仪识别车辆轮轴数量，支持配置按轮轴数量来收取不同的停车费用。</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每满足一项得1分，本项最高得3分（提供具备CNAS或CMA标识的检测报告原件扫描件并加盖原厂公章上传至投标文件中，不提供或提供不全的不得分）。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（2）投标人所投发送卡具有以下功能（3分）：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①支持在级联模式下指定主从关系，可以任意指定一台发送卡作为主发送卡，其他发送卡作为从发送卡，支持在级联模式下登录主发送卡设备，查看所管理的全部从发送卡的设备运行状态；</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②支持通过网络IP地址访问设备，支持通过支持批量重启，支持手动批量校时，支持批量开机logo、屏保等设置；</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③支持标准带载模式，该模式下单网口最大支持带载292.5W像素点。</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每满足一项得1分，本项最高得3分（提供具备CNAS或CMA标识的检测报告原件扫描件并加盖原厂公章上传至投标文件中，不提供或提供不全的不得分）。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（3）投标人所投拼接控制器具有以下功能（2分）：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①支持通过自动识别屏幕的行列号信息生成对应的电视墙规模和绑定输出口关系，进行绑定；</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②支持以网络连接的方式（非串口连接），通过客户端远程控制拼接墙整墙或单屏亮度调节、图像模式配置或系统参数展示。</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每满足一项得1分，本项最高得2分（提供具备CNAS或CMA标识的检测报告原件扫描件并加盖原厂公章上传至投标文件中，不提供或提供不全的不得分）。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（4）投标人所投互联网安全网关具有以下功能（3分）：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①支持基于流量学习的方式对网内资产的互访关系进行梳理，可视化展示目标资产的端口的访问关系，包括：访问源IP、命中策略、阻断次数、最近一次阻断时间等信息；</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具备策略优化能力，支持对配置的策略进行梳理，能够识别策略问题，问题类型包括但不限于一般问题、严重问题、建议优化等。分析维度包括但不限于从未匹配、7天未匹配、30天未匹配、90天未匹配、冗余策略、冲突策略、组合策略、归纳策略、过期策略等；</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③支持策略的全生命周期展现，包括策略的变更时间、变更类型、变更账号、变更策略、变更内容等；支持通过颜色区分策略的变更项、删除等；支持策略项变更前后的对比展示。</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每满足一项得1分，本项最高得3分（提供具备CNAS或CMA标识的检测报告原件扫描件并加盖原厂公章上传至投标文件中，不提供或提供不全的不得分）。</w:t>
      </w:r>
      <w:r/>
    </w:p>
    <w:p>
      <w:pPr>
        <w:numPr>
          <w:ilvl w:val="0"/>
          <w:numId w:val="12"/>
        </w:num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投标人所投证据抓拍摄像机具有以下功能（2分）：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①操作系统支持文件双重备份，当操作系统文件损坏或异常时，重启后仍可正常运行；</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②同一静止场景相同图像质量下，在H.265编码方式时，开启智能编码功能和不开启智能编码相比，码率节约不少于90%。</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每满足一项得1分，本项最高得2分（提供具备CNAS或CMA标识的检测报告原件扫描件并加盖原厂公章上传至投标文件中，不提供或提供不全的不得分）。</w:t>
      </w:r>
      <w:r/>
    </w:p>
    <w:p>
      <w:pPr>
        <w:numPr>
          <w:ilvl w:val="0"/>
          <w:numId w:val="12"/>
        </w:num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投标人所投特写摄像机具有以下功能（1分）：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支持通过IE浏览器发起单向语音广播（提供具备CNAS或CMA标识的检测报告原件扫描件并加盖原厂公章上传至投标文件中，不提供或提供不全的不得分）。</w:t>
      </w:r>
      <w:r/>
    </w:p>
    <w:p>
      <w:pPr>
        <w:numPr>
          <w:ilvl w:val="0"/>
          <w:numId w:val="12"/>
        </w:num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投标人所投视频会议终端具有以下功能（3分）：</w:t>
      </w:r>
      <w:r/>
    </w:p>
    <w:p>
      <w:pPr>
        <w:ind w:left="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①应支持在终端控制软件上对本地和远端会场图像进行实时图像+声音的监控及</w:t>
      </w:r>
      <w:r/>
    </w:p>
    <w:p>
      <w:pPr>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预览，实时图像帧率可达到30fps；</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②应支持背景替换，通过人像检测技术，可将与会方与背景分离，可以虚化模糊背景或替换已有的背景；</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③应支持智能视频编码（ROI），可对感兴趣的与会方增强编码，其他区域弱化编码，节省带宽的同时提高与会方图像的显示效果。</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每满足一项得1分，本项最高得3分（提供具备CNAS或CMA标识的检测报告原件扫描件并加盖原厂公章上传至投标文件中，不提供或提供不全的不得分）。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（8）投标人所投</w:t>
      </w:r>
      <w:r>
        <w:rPr>
          <w:rFonts w:hint="eastAsia" w:asciiTheme="minorEastAsia" w:hAnsiTheme="minorEastAsia" w:eastAsiaTheme="minorEastAsia" w:cstheme="minorEastAsia"/>
          <w:sz w:val="24"/>
          <w:szCs w:val="24"/>
          <w:highlight w:val="none"/>
          <w:lang w:val="en-US" w:eastAsia="zh-CN"/>
        </w:rPr>
        <w:t xml:space="preserve">标采一体机</w:t>
      </w:r>
      <w:r>
        <w:rPr>
          <w:rFonts w:hint="eastAsia" w:asciiTheme="minorEastAsia" w:hAnsiTheme="minorEastAsia" w:eastAsiaTheme="minorEastAsia" w:cstheme="minorEastAsia"/>
          <w:sz w:val="24"/>
          <w:szCs w:val="24"/>
          <w:highlight w:val="none"/>
        </w:rPr>
        <w:t xml:space="preserve">具有以下功能（3分）：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①具备左右手指和左右手掌校验功能；</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②能现场采集数字像片，并传输至主控单元。采集到的人像应清晰，层次丰富，无明显畸变。数字像片规格、颜色模式、压缩 方式、头像大小及位置应分别符合GA/T706-2007中3.2.2.2～3.2.2.4、3.2.2.6 的要求 ；</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③可以通过拍摄的人像信息与第二代居民身份证保留的人像信息进行比对，显示人证核验结果，验证未通过时，应在软件界面中显示人证核验未通过。</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highlight w:val="none"/>
        </w:rPr>
        <w:t xml:space="preserve">每满足一项得1分，本项最高得3分（提供具备CNAS或CMA标识的检测报告原件扫描件并加盖原厂公章上传至投标文件中，不提供或提供不全的不得分）。</w:t>
      </w:r>
      <w:r/>
    </w:p>
    <w:p>
      <w:pPr>
        <w:ind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 xml:space="preserve">5.节能、环保产品（2分）：</w:t>
      </w:r>
      <w:r>
        <w:rPr>
          <w:rFonts w:hint="eastAsia" w:asciiTheme="minorEastAsia" w:hAnsiTheme="minorEastAsia" w:eastAsiaTheme="minorEastAsia" w:cstheme="minorEastAsia"/>
          <w:color w:val="000000"/>
          <w:sz w:val="24"/>
          <w:szCs w:val="24"/>
          <w:highlight w:val="none"/>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扫描件、环境标志产品认证证书扫描件，否则不得分）。</w:t>
      </w:r>
      <w:r/>
    </w:p>
    <w:p>
      <w:pPr>
        <w:pStyle w:val="763"/>
        <w:ind w:firstLine="422"/>
        <w:keepLines w:val="0"/>
        <w:keepNext w:val="0"/>
        <w:pageBreakBefore w:val="0"/>
        <w:spacing w:before="0" w:after="0" w:line="360" w:lineRule="auto"/>
        <w:widowControl w:val="off"/>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 xml:space="preserve">（二）技术部分（</w:t>
      </w:r>
      <w:r>
        <w:rPr>
          <w:rFonts w:hint="eastAsia" w:asciiTheme="minorEastAsia" w:hAnsiTheme="minorEastAsia" w:eastAsiaTheme="minorEastAsia" w:cstheme="minorEastAsia"/>
          <w:b/>
          <w:color w:val="auto"/>
          <w:sz w:val="28"/>
          <w:szCs w:val="28"/>
          <w:lang w:val="en-US" w:eastAsia="zh-CN"/>
        </w:rPr>
        <w:t xml:space="preserve">15</w:t>
      </w:r>
      <w:r>
        <w:rPr>
          <w:rFonts w:hint="eastAsia" w:asciiTheme="minorEastAsia" w:hAnsiTheme="minorEastAsia" w:eastAsiaTheme="minorEastAsia" w:cstheme="minorEastAsia"/>
          <w:b/>
          <w:color w:val="auto"/>
          <w:sz w:val="28"/>
          <w:szCs w:val="28"/>
        </w:rPr>
        <w:t xml:space="preserve">分）</w:t>
      </w:r>
      <w:r/>
    </w:p>
    <w:p>
      <w:pPr>
        <w:pStyle w:val="763"/>
        <w:ind w:firstLine="422"/>
        <w:keepLines w:val="0"/>
        <w:keepNext w:val="0"/>
        <w:pageBreakBefore w:val="0"/>
        <w:spacing w:before="0" w:after="0" w:line="360" w:lineRule="auto"/>
        <w:widowControl w:val="off"/>
        <w:rPr>
          <w:rFonts w:hint="eastAsia" w:asciiTheme="minorEastAsia" w:hAnsiTheme="minorEastAsia" w:eastAsiaTheme="minorEastAsia" w:cstheme="minorEastAsia"/>
          <w:b/>
          <w:color w:val="ff0000"/>
          <w:sz w:val="28"/>
          <w:szCs w:val="28"/>
          <w:u w:val="single"/>
        </w:rPr>
      </w:pPr>
      <w:r>
        <w:rPr>
          <w:rFonts w:hint="eastAsia" w:asciiTheme="minorEastAsia" w:hAnsiTheme="minorEastAsia" w:eastAsiaTheme="minorEastAsia" w:cstheme="minorEastAsia"/>
          <w:b/>
          <w:color w:val="ff0000"/>
          <w:sz w:val="28"/>
          <w:szCs w:val="28"/>
          <w:u w:val="single"/>
        </w:rPr>
        <w:t xml:space="preserve">注：技术部分属于暗标，投标人在制作技术部分相关内容时不得有体现投标人身份的内容，否则投标无效。</w:t>
      </w:r>
      <w:r/>
    </w:p>
    <w:p>
      <w:pPr>
        <w:ind w:firstLine="482"/>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6.项目技术方案（15分）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（1）系统整体设计（7分）：投标人根据现场勘探的实际情况对①现状理解、②需求分析、③建设目标、④总体方案，根据整体设计是否科学合理进行打分。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方案完整，科学合理，设计清晰详细，完全符合本项目需求，且能够提供上述4项全部方案的，得7分；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方案较完整，科学合理性较强，设计较清晰详细，能够符合本项目需求，能够提供上述3-4项方案的，得5分；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方案完整性一般，科学合理性一般，设计清晰详细程度一般，能够符合本项目需求，能够提供上述2-4项方案的，得3分；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方案完整性、科学合理性、设计的清晰详细程度等只能基本满足要求，能够提供上述1-4项方案的，得2分;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提供方案不足1项或无方案的，不得分。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（2）项目实施方案（4分）：根据投标人实施方案的①响应情况、②组织架构、③实施人员、④进度安排、⑤质量控制等方面的响应情况进行打分。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方案完整，科学合理，设计清晰详细，完全符合本项目需求，且能够提供上述5项全部方案的，得4分；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方案较完整，科学合理性较强，设计较清晰详细，能够符合本项目需求，能够提供上述4-5项方案的，得3分；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方案完整性一般，科学合理性一般，设计清晰详细程度一般，能够符合本项目需求，能够提供上述3-5项方案的，得2分；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方案完整性、科学合理性、设计的清晰详细程度等只能基本满足要求，能够提供上述2-5项方案的，得1分;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提供方案不足2项或无方案的，不得分。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（3）项目安装、调试、验收方案（2分）：根据投标人提出的完善可实施的①安装、②调试、③验收方案等方面进行打分。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方案完整，科学合理，设计清晰详细，完全符合本项目需求，且能够提供上述3项全部方案的，得2分；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方案较完整，科学合理性较强，设计较清晰详细，能够符合本项目需求，能够提供上述2-3项方案的，得1.5分；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方案完整性一般，科学合理性一般，设计清晰详细程度一般，能够符合本项目需求，能够提供上述1-3项方案的，得1分；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方案完整性、科学合理性、设计的清晰详细程度等只能基本满足要求，能够提供上述1-3项方案的，得0.5分;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提供方案不足1项或无方案的，不得分。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（4）售后服务方案（2分）：根据供应商提供的售后服务方案，包括①售后服务的内容和备件备品、②故障响应时间、③重大故障的应急预案和措施等情况进行打分。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方案完整，科学合理，设计清晰详细，完全符合本项目需求，且能够提供上述3项全部方案的，得2分；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方案较完整，科学合理性较强，设计较清晰详细，能够符合本项目需求，能够提供上述2-3项方案的，得1.5分；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方案完整性一般，科学合理性一般，设计清晰详细程度一般，能够符合本项目需求，能够提供上述1-3项方案的，得1分；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方案完整性、科学合理性、设计的清晰详细程度等只能基本满足要求，能够提供上述1-3项方案的，得0.5分;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提供方案不足1项或无方案的，不得分。</w:t>
      </w:r>
      <w:r/>
    </w:p>
    <w:p>
      <w:pPr>
        <w:pStyle w:val="763"/>
        <w:spacing w:before="0" w:after="0" w:line="500" w:lineRule="exact"/>
        <w:rPr>
          <w:rFonts w:hint="eastAsia" w:ascii="宋体" w:hAnsi="宋体"/>
          <w:color w:val="000000"/>
        </w:rPr>
      </w:pPr>
      <w:r>
        <w:rPr>
          <w:rFonts w:hint="eastAsia" w:ascii="宋体" w:hAnsi="宋体"/>
          <w:color w:val="000000"/>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3"/>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120614282"/>
      <w:r/>
      <w:bookmarkStart w:id="199" w:name="_Toc26554094"/>
      <w:r/>
      <w:bookmarkStart w:id="200" w:name="_Toc49090576"/>
      <w:r>
        <w:rPr>
          <w:rFonts w:hint="eastAsia" w:cs="Arial"/>
          <w:b/>
          <w:sz w:val="30"/>
          <w:szCs w:val="30"/>
        </w:rPr>
        <w:t xml:space="preserve">第一部分  投标文件内容</w:t>
      </w:r>
      <w:r/>
    </w:p>
    <w:p>
      <w:pPr>
        <w:pStyle w:val="76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3"/>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6"/>
                <w:rFonts w:hint="eastAsia" w:ascii="宋体" w:hAnsi="宋体" w:cs="宋体"/>
                <w:sz w:val="24"/>
                <w:szCs w:val="24"/>
              </w:rPr>
              <w:t xml:space="preserve">。</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3"/>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763"/>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763"/>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3"/>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3"/>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3"/>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3"/>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3"/>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3"/>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3"/>
              <w:ind w:firstLine="0"/>
              <w:jc w:val="both"/>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763"/>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JSZC-320214-JZCG-G2026-0014</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工博园警务站智慧警务室升级改造项目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761"/>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 xml:space="preserve">JSZC-320214-JZCG-G2026-0014</w:t>
      </w:r>
      <w:r>
        <w:rPr>
          <w:rFonts w:hint="eastAsia" w:ascii="宋体" w:hAnsi="宋体"/>
          <w:bCs/>
          <w:color w:val="auto"/>
          <w:sz w:val="24"/>
          <w:szCs w:val="24"/>
        </w:rPr>
        <w:t xml:space="preserve">项目，兹授权：</w:t>
      </w:r>
      <w:r/>
    </w:p>
    <w:p>
      <w:pPr>
        <w:pStyle w:val="761"/>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61"/>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61"/>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61"/>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61"/>
        <w:ind w:firstLine="480"/>
        <w:rPr>
          <w:rFonts w:hint="eastAsia"/>
          <w:color w:val="auto"/>
          <w:sz w:val="24"/>
          <w:szCs w:val="24"/>
        </w:rPr>
      </w:pPr>
      <w:r>
        <w:rPr>
          <w:rFonts w:hint="eastAsia"/>
          <w:color w:val="auto"/>
          <w:sz w:val="24"/>
          <w:szCs w:val="24"/>
        </w:rPr>
        <w:t xml:space="preserve">特此授权委托。</w:t>
      </w:r>
      <w:r/>
    </w:p>
    <w:p>
      <w:pPr>
        <w:pStyle w:val="761"/>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61"/>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61"/>
        <w:ind w:firstLine="0"/>
        <w:rPr>
          <w:rFonts w:hint="eastAsia"/>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w:t>
      </w:r>
      <w:r>
        <w:rPr>
          <w:rFonts w:hint="eastAsia" w:ascii="宋体" w:hAnsi="宋体" w:cs="宋体"/>
          <w:b/>
          <w:szCs w:val="28"/>
          <w:u w:val="single"/>
        </w:rPr>
        <w:t xml:space="preserve">说明所述的单位负责人）时，则提供法定代表人（或以下说明所述的单位负责人）有效身份证复印件。</w:t>
      </w:r>
      <w:r/>
    </w:p>
    <w:p>
      <w:pPr>
        <w:pStyle w:val="761"/>
        <w:ind w:firstLine="0"/>
        <w:spacing w:line="360" w:lineRule="auto"/>
        <w:rPr>
          <w:rFonts w:hint="eastAsia"/>
          <w:sz w:val="21"/>
          <w:szCs w:val="21"/>
        </w:rPr>
      </w:pPr>
      <w:r>
        <w:rPr>
          <w:rFonts w:hint="eastAsia"/>
          <w:sz w:val="21"/>
          <w:szCs w:val="21"/>
        </w:rPr>
      </w:r>
      <w:r/>
    </w:p>
    <w:p>
      <w:pPr>
        <w:pStyle w:val="761"/>
        <w:ind w:firstLine="0"/>
        <w:spacing w:line="360" w:lineRule="auto"/>
        <w:rPr>
          <w:rFonts w:hint="eastAsia"/>
          <w:sz w:val="21"/>
          <w:szCs w:val="21"/>
        </w:rPr>
      </w:pPr>
      <w:r>
        <w:rPr>
          <w:rFonts w:hint="eastAsia"/>
          <w:sz w:val="21"/>
          <w:szCs w:val="21"/>
        </w:rPr>
        <w:t xml:space="preserve">说明：</w:t>
      </w:r>
      <w:r/>
    </w:p>
    <w:p>
      <w:pPr>
        <w:pStyle w:val="761"/>
        <w:numPr>
          <w:ilvl w:val="0"/>
          <w:numId w:val="15"/>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61"/>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1"/>
        <w:numPr>
          <w:ilvl w:val="0"/>
          <w:numId w:val="15"/>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61"/>
        <w:numPr>
          <w:ilvl w:val="0"/>
          <w:numId w:val="15"/>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1"/>
        <w:ind w:firstLine="0"/>
        <w:rPr>
          <w:rFonts w:hint="eastAsia" w:ascii="宋体" w:hAnsi="宋体" w:cs="宋体"/>
          <w:b/>
          <w:color w:val="auto"/>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JSZC-320214-JZCG-G2026-0014</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中小企业声明函（货物）</w:t>
      </w:r>
      <w:r/>
    </w:p>
    <w:p>
      <w:pPr>
        <w:ind w:firstLine="480"/>
        <w:spacing w:line="360" w:lineRule="auto"/>
        <w:rPr>
          <w:rFonts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（联合体）参加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color w:val="auto"/>
          <w:sz w:val="24"/>
          <w:szCs w:val="24"/>
        </w:rPr>
        <w:t xml:space="preserve">1. </w:t>
      </w:r>
      <w:r>
        <w:rPr>
          <w:rFonts w:ascii="宋体" w:hAnsi="宋体"/>
          <w:bCs/>
          <w:color w:val="auto"/>
          <w:sz w:val="24"/>
          <w:szCs w:val="24"/>
          <w:u w:val="single"/>
        </w:rPr>
        <w:t xml:space="preserve">（标的名称） </w:t>
      </w:r>
      <w:r>
        <w:rPr>
          <w:rFonts w:ascii="宋体" w:hAnsi="宋体"/>
          <w:bCs/>
          <w:color w:val="auto"/>
          <w:sz w:val="24"/>
          <w:szCs w:val="24"/>
        </w:rPr>
        <w:t xml:space="preserve">，属于</w:t>
      </w:r>
      <w:r>
        <w:rPr>
          <w:rFonts w:ascii="宋体" w:hAnsi="宋体"/>
          <w:bCs/>
          <w:color w:val="auto"/>
          <w:sz w:val="24"/>
          <w:szCs w:val="24"/>
          <w:u w:val="single"/>
        </w:rPr>
        <w:t xml:space="preserve">（</w:t>
      </w:r>
      <w:r>
        <w:rPr>
          <w:rFonts w:hint="eastAsia" w:ascii="宋体" w:hAnsi="宋体"/>
          <w:bCs/>
          <w:color w:val="auto"/>
          <w:sz w:val="24"/>
          <w:szCs w:val="24"/>
          <w:u w:val="single"/>
        </w:rPr>
        <w:t xml:space="preserve">招标</w:t>
      </w:r>
      <w:r>
        <w:rPr>
          <w:rFonts w:ascii="宋体" w:hAnsi="宋体"/>
          <w:bCs/>
          <w:color w:val="auto"/>
          <w:sz w:val="24"/>
          <w:szCs w:val="24"/>
          <w:u w:val="single"/>
        </w:rPr>
        <w:t xml:space="preserve">文件中明确的所属行业） 行业</w:t>
      </w:r>
      <w:r>
        <w:rPr>
          <w:rFonts w:ascii="宋体" w:hAnsi="宋体"/>
          <w:bCs/>
          <w:color w:val="auto"/>
          <w:sz w:val="24"/>
          <w:szCs w:val="24"/>
        </w:rPr>
        <w:t xml:space="preserve">；制造商为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rPr>
        <w:t xml:space="preserve">人，</w:t>
      </w:r>
      <w:r>
        <w:rPr>
          <w:rFonts w:ascii="宋体" w:hAnsi="宋体"/>
          <w:bCs/>
          <w:sz w:val="24"/>
          <w:szCs w:val="24"/>
        </w:rPr>
        <w:t xml:space="preserve">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rFonts w:ascii="宋体" w:hAnsi="宋体"/>
          <w:bCs/>
          <w:sz w:val="24"/>
          <w:szCs w:val="24"/>
        </w:rPr>
      </w:pPr>
      <w:r>
        <w:rPr>
          <w:rFonts w:ascii="宋体" w:hAnsi="宋体"/>
          <w:bCs/>
          <w:sz w:val="24"/>
          <w:szCs w:val="24"/>
        </w:rPr>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pPr>
      <w:r>
        <w:br w:type="page" w:clear="all"/>
      </w:r>
      <w:r/>
    </w:p>
    <w:p>
      <w:pPr>
        <w:jc w:val="both"/>
        <w:spacing w:line="360" w:lineRule="auto"/>
        <w:rPr>
          <w:rFonts w:hint="eastAsia" w:eastAsia="宋体" w:asciiTheme="minorEastAsia" w:hAnsiTheme="minorEastAsia" w:cstheme="minorEastAsia"/>
          <w:b/>
          <w:bCs w:val="0"/>
          <w:color w:val="000000"/>
          <w:sz w:val="28"/>
          <w:szCs w:val="28"/>
          <w:highlight w:val="none"/>
          <w:lang w:eastAsia="zh-CN"/>
        </w:rPr>
      </w:pPr>
      <w:r>
        <w:rPr>
          <w:rFonts w:hint="eastAsia" w:asciiTheme="minorEastAsia" w:hAnsiTheme="minorEastAsia" w:eastAsiaTheme="minorEastAsia" w:cstheme="minorEastAsia"/>
          <w:b/>
          <w:bCs w:val="0"/>
          <w:color w:val="auto"/>
          <w:sz w:val="28"/>
          <w:szCs w:val="28"/>
          <w:highlight w:val="none"/>
          <w:lang w:val="en-US" w:eastAsia="zh-CN"/>
        </w:rPr>
        <w:t xml:space="preserve">五、</w:t>
      </w:r>
      <w:r>
        <w:rPr>
          <w:rFonts w:hint="eastAsia" w:asciiTheme="minorEastAsia" w:hAnsiTheme="minorEastAsia" w:eastAsiaTheme="minorEastAsia" w:cstheme="minorEastAsia"/>
          <w:b/>
          <w:bCs w:val="0"/>
          <w:color w:val="auto"/>
          <w:sz w:val="28"/>
          <w:szCs w:val="28"/>
          <w:highlight w:val="none"/>
        </w:rPr>
        <w:t xml:space="preserve">关于符合本国产品标准的声明函</w:t>
      </w:r>
      <w:r>
        <w:rPr>
          <w:rFonts w:hint="eastAsia" w:ascii="宋体" w:hAnsi="宋体" w:cs="宋体"/>
          <w:b/>
          <w:color w:val="auto"/>
          <w:sz w:val="28"/>
          <w:szCs w:val="28"/>
          <w:highlight w:val="none"/>
        </w:rPr>
        <w:t xml:space="preserve">（</w:t>
      </w:r>
      <w:r>
        <w:rPr>
          <w:rFonts w:hint="eastAsia" w:ascii="宋体" w:hAnsi="宋体" w:cs="宋体"/>
          <w:b/>
          <w:sz w:val="28"/>
          <w:szCs w:val="28"/>
        </w:rPr>
        <w:t xml:space="preserve">给定格式）</w:t>
      </w:r>
      <w:r>
        <w:rPr>
          <w:rFonts w:hint="eastAsia" w:ascii="宋体" w:hAnsi="宋体" w:cs="宋体"/>
          <w:b/>
          <w:sz w:val="28"/>
          <w:szCs w:val="28"/>
          <w:lang w:eastAsia="zh-CN"/>
        </w:rPr>
        <w:t xml:space="preserve">：</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20"/>
          <w:szCs w:val="20"/>
          <w:highlight w:val="none"/>
        </w:rPr>
      </w:pPr>
      <w:r>
        <w:rPr>
          <w:rFonts w:ascii="宋体" w:hAnsi="宋体" w:cs="宋体"/>
          <w:color w:val="000000"/>
          <w:sz w:val="20"/>
          <w:szCs w:val="20"/>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20"/>
          <w:szCs w:val="20"/>
          <w:highlight w:val="none"/>
        </w:rPr>
      </w:pPr>
      <w:r>
        <w:rPr>
          <w:rFonts w:ascii="宋体" w:hAnsi="宋体" w:cs="宋体"/>
          <w:color w:val="000000"/>
          <w:sz w:val="20"/>
          <w:szCs w:val="20"/>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20"/>
          <w:szCs w:val="20"/>
          <w:highlight w:val="none"/>
        </w:rPr>
      </w:pPr>
      <w:r>
        <w:rPr>
          <w:rFonts w:ascii="宋体" w:hAnsi="宋体" w:cs="宋体"/>
          <w:color w:val="000000"/>
          <w:sz w:val="20"/>
          <w:szCs w:val="20"/>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20"/>
          <w:szCs w:val="20"/>
          <w:highlight w:val="none"/>
        </w:rPr>
      </w:pPr>
      <w:r>
        <w:rPr>
          <w:rFonts w:ascii="宋体" w:hAnsi="宋体" w:cs="宋体"/>
          <w:color w:val="000000"/>
          <w:sz w:val="20"/>
          <w:szCs w:val="20"/>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20"/>
          <w:szCs w:val="20"/>
          <w:highlight w:val="none"/>
        </w:rPr>
      </w:pPr>
      <w:r>
        <w:rPr>
          <w:rFonts w:ascii="宋体" w:hAnsi="宋体" w:cs="宋体"/>
          <w:color w:val="000000"/>
          <w:sz w:val="20"/>
          <w:szCs w:val="20"/>
          <w:highlight w:val="none"/>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sz w:val="20"/>
          <w:szCs w:val="20"/>
          <w:highlight w:val="none"/>
        </w:rPr>
      </w:pPr>
      <w:r>
        <w:rPr>
          <w:rFonts w:hint="eastAsia" w:ascii="宋体" w:hAnsi="宋体" w:cs="宋体"/>
          <w:b/>
          <w:color w:val="000000"/>
          <w:sz w:val="20"/>
          <w:szCs w:val="20"/>
          <w:highlight w:val="none"/>
        </w:rPr>
        <w:t xml:space="preserve">6.划删除线的地方无需填写。</w:t>
      </w:r>
      <w:r/>
    </w:p>
    <w:p>
      <w:pPr>
        <w:spacing w:line="360" w:lineRule="auto"/>
        <w:rPr>
          <w:rFonts w:hint="eastAsia"/>
          <w:b/>
          <w:sz w:val="32"/>
          <w:szCs w:val="32"/>
        </w:rPr>
      </w:pPr>
      <w:r>
        <w:rPr>
          <w:rFonts w:hint="eastAsia"/>
          <w:b/>
          <w:sz w:val="32"/>
          <w:szCs w:val="32"/>
        </w:rPr>
      </w:r>
      <w:r/>
    </w:p>
    <w:p>
      <w:pPr>
        <w:spacing w:line="360" w:lineRule="auto"/>
        <w:rPr>
          <w:rFonts w:hint="eastAsia"/>
          <w:b/>
          <w:sz w:val="28"/>
          <w:szCs w:val="28"/>
        </w:rPr>
      </w:pPr>
      <w:r>
        <w:rPr>
          <w:rFonts w:hint="eastAsia"/>
          <w:b/>
          <w:sz w:val="28"/>
          <w:szCs w:val="28"/>
        </w:rPr>
      </w:r>
      <w:r/>
    </w:p>
    <w:p>
      <w:pPr>
        <w:spacing w:line="360" w:lineRule="auto"/>
        <w:rPr>
          <w:rFonts w:hint="eastAsia" w:ascii="宋体" w:hAnsi="宋体" w:cs="宋体"/>
          <w:b/>
          <w:color w:val="auto"/>
          <w:sz w:val="28"/>
          <w:szCs w:val="28"/>
        </w:rPr>
      </w:pPr>
      <w:r>
        <w:rPr>
          <w:rFonts w:hint="eastAsia" w:ascii="宋体" w:hAnsi="宋体" w:cs="宋体"/>
          <w:b/>
          <w:sz w:val="28"/>
          <w:szCs w:val="28"/>
          <w:lang w:val="en-US" w:eastAsia="zh-CN"/>
        </w:rPr>
        <w:t xml:space="preserve">六</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pPr>
      <w:r>
        <w:rPr>
          <w:rFonts w:hint="eastAsia" w:ascii="黑体" w:eastAsia="黑体"/>
          <w:bCs/>
          <w:color w:val="auto"/>
          <w:sz w:val="28"/>
          <w:szCs w:val="28"/>
        </w:rPr>
        <w:t xml:space="preserve">残疾人福利性单位声明函</w:t>
      </w:r>
      <w:r/>
    </w:p>
    <w:p>
      <w:pPr>
        <w:jc w:val="center"/>
        <w:rPr>
          <w:rFonts w:ascii="黑体" w:eastAsia="黑体"/>
          <w:bCs/>
          <w:color w:val="auto"/>
          <w:sz w:val="28"/>
          <w:szCs w:val="28"/>
        </w:rPr>
      </w:pPr>
      <w:r>
        <w:rPr>
          <w:rFonts w:ascii="黑体"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spacing w:line="360" w:lineRule="auto"/>
        <w:rPr>
          <w:rFonts w:hint="eastAsia"/>
          <w:b/>
          <w:color w:val="auto"/>
          <w:sz w:val="28"/>
          <w:szCs w:val="28"/>
        </w:rPr>
      </w:pPr>
      <w:r>
        <w:rPr>
          <w:rFonts w:ascii="宋体" w:hAnsi="宋体"/>
          <w:bCs/>
          <w:color w:val="auto"/>
          <w:sz w:val="24"/>
          <w:szCs w:val="24"/>
        </w:rPr>
        <w:br w:type="page" w:clear="all"/>
      </w:r>
      <w:r>
        <w:rPr>
          <w:rFonts w:hint="eastAsia" w:ascii="宋体" w:hAnsi="宋体"/>
          <w:b/>
          <w:bCs w:val="0"/>
          <w:color w:val="auto"/>
          <w:sz w:val="24"/>
          <w:szCs w:val="24"/>
          <w:lang w:val="en-US" w:eastAsia="zh-CN"/>
        </w:rPr>
        <w:t xml:space="preserve">七</w:t>
      </w:r>
      <w:r>
        <w:rPr>
          <w:b/>
          <w:bCs w:val="0"/>
          <w:color w:val="auto"/>
          <w:sz w:val="28"/>
          <w:szCs w:val="28"/>
        </w:rPr>
        <w:t xml:space="preserve">、投标函</w:t>
      </w:r>
      <w:r>
        <w:rPr>
          <w:rFonts w:hint="eastAsia"/>
          <w:b/>
          <w:color w:val="auto"/>
          <w:sz w:val="28"/>
          <w:szCs w:val="28"/>
        </w:rPr>
        <w:t xml:space="preserve">（给定格式）：</w:t>
      </w:r>
      <w:r/>
    </w:p>
    <w:p>
      <w:pPr>
        <w:spacing w:line="360" w:lineRule="auto"/>
        <w:rPr>
          <w:rFonts w:hint="eastAsia"/>
          <w:b/>
          <w:color w:val="auto"/>
          <w:sz w:val="30"/>
          <w:szCs w:val="30"/>
        </w:rPr>
      </w:pPr>
      <w:r>
        <w:rPr>
          <w:rFonts w:hint="eastAsia"/>
          <w:b/>
          <w:color w:val="auto"/>
          <w:sz w:val="30"/>
          <w:szCs w:val="30"/>
        </w:rPr>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 xml:space="preserve">JSZC-320214-JZCG-G2026-0014</w:t>
      </w:r>
      <w:r>
        <w:rPr>
          <w:rFonts w:hint="eastAsia" w:ascii="宋体" w:hAnsi="宋体"/>
          <w:bCs/>
          <w:color w:val="auto"/>
          <w:sz w:val="24"/>
          <w:szCs w:val="24"/>
        </w:rPr>
        <w:t xml:space="preserve">招标文件，经仔细阅读和研究，我方决定参加此项目的投标。</w:t>
      </w:r>
      <w:r/>
    </w:p>
    <w:p>
      <w:pPr>
        <w:numPr>
          <w:ilvl w:val="0"/>
          <w:numId w:val="1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ascii="宋体" w:hAnsi="宋体"/>
          <w:b/>
          <w:bCs w:val="0"/>
          <w:color w:val="000000"/>
          <w:sz w:val="24"/>
          <w:szCs w:val="24"/>
          <w:lang w:val="en-US" w:eastAsia="zh-CN"/>
        </w:rPr>
        <w:t xml:space="preserve">八</w:t>
      </w:r>
      <w:r>
        <w:rPr>
          <w:rFonts w:hint="eastAsia"/>
          <w:b/>
          <w:sz w:val="28"/>
          <w:szCs w:val="28"/>
        </w:rPr>
        <w:t xml:space="preserve">、承诺书（给定格式）：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auto"/>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auto"/>
          <w:sz w:val="24"/>
          <w:szCs w:val="24"/>
          <w:lang w:eastAsia="zh-CN"/>
        </w:rPr>
        <w:t xml:space="preserve">JSZC-320214-JZCG-G2026-0014</w:t>
      </w:r>
      <w:r>
        <w:rPr>
          <w:rFonts w:hint="eastAsia" w:ascii="宋体" w:hAnsi="宋体"/>
          <w:color w:val="auto"/>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auto"/>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w:t>
      </w:r>
      <w:r>
        <w:rPr>
          <w:rFonts w:hint="eastAsia" w:ascii="宋体"/>
          <w:bCs/>
          <w:color w:val="auto"/>
          <w:sz w:val="24"/>
          <w:szCs w:val="24"/>
        </w:rPr>
        <w:t xml:space="preserve">进行验收，且必要时将委托依法取得检测、认证资质的机构进行检测、认证的，本公司（单位</w:t>
      </w:r>
      <w:r>
        <w:rPr>
          <w:rFonts w:hint="eastAsia" w:ascii="宋体" w:hAnsi="宋体"/>
          <w:bCs/>
          <w:color w:val="auto"/>
          <w:sz w:val="24"/>
          <w:szCs w:val="24"/>
        </w:rPr>
        <w:t xml:space="preserve">、联合体</w:t>
      </w:r>
      <w:r>
        <w:rPr>
          <w:rFonts w:hint="eastAsia" w:ascii="宋体"/>
          <w:bCs/>
          <w:color w:val="auto"/>
          <w:sz w:val="24"/>
          <w:szCs w:val="24"/>
        </w:rPr>
        <w:t xml:space="preserve">）将予以配合。</w:t>
      </w:r>
      <w:r/>
    </w:p>
    <w:p>
      <w:pPr>
        <w:ind w:firstLine="480"/>
        <w:spacing w:line="480" w:lineRule="auto"/>
        <w:rPr>
          <w:rFonts w:hint="eastAsia" w:ascii="宋体"/>
          <w:bCs/>
          <w:color w:val="auto"/>
          <w:sz w:val="24"/>
          <w:szCs w:val="24"/>
        </w:rPr>
      </w:pPr>
      <w:r>
        <w:rPr>
          <w:rFonts w:hint="eastAsia" w:ascii="宋体"/>
          <w:bCs/>
          <w:color w:val="auto"/>
          <w:sz w:val="24"/>
          <w:szCs w:val="24"/>
        </w:rPr>
      </w:r>
      <w:r/>
    </w:p>
    <w:p>
      <w:pPr>
        <w:ind w:firstLine="480"/>
        <w:spacing w:line="480" w:lineRule="auto"/>
        <w:rPr>
          <w:rFonts w:hint="eastAsia" w:ascii="宋体"/>
          <w:bCs/>
          <w:color w:val="auto"/>
          <w:sz w:val="24"/>
          <w:szCs w:val="24"/>
        </w:rPr>
      </w:pPr>
      <w:r>
        <w:rPr>
          <w:rFonts w:ascii="宋体"/>
          <w:bCs/>
          <w:color w:val="auto"/>
          <w:sz w:val="24"/>
          <w:szCs w:val="24"/>
        </w:rPr>
        <w:t xml:space="preserve">……</w:t>
      </w:r>
      <w:r>
        <w:rPr>
          <w:rFonts w:hint="eastAsia" w:ascii="宋体"/>
          <w:bCs/>
          <w:color w:val="auto"/>
          <w:sz w:val="24"/>
          <w:szCs w:val="24"/>
        </w:rPr>
        <w:t xml:space="preserve">（投标人如有其他承诺的可在此处添加）</w:t>
      </w:r>
      <w:r/>
    </w:p>
    <w:p>
      <w:pPr>
        <w:ind w:firstLine="480"/>
        <w:spacing w:line="480" w:lineRule="auto"/>
        <w:rPr>
          <w:rFonts w:hint="eastAsia" w:ascii="宋体"/>
          <w:bCs/>
          <w:color w:val="auto"/>
          <w:sz w:val="24"/>
          <w:szCs w:val="24"/>
        </w:rPr>
      </w:pPr>
      <w:r>
        <w:rPr>
          <w:rFonts w:hint="eastAsia" w:ascii="宋体"/>
          <w:bCs/>
          <w:color w:val="auto"/>
          <w:sz w:val="24"/>
          <w:szCs w:val="24"/>
        </w:rPr>
      </w:r>
      <w:r/>
    </w:p>
    <w:p>
      <w:pPr>
        <w:ind w:firstLine="480"/>
        <w:spacing w:line="480" w:lineRule="auto"/>
        <w:rPr>
          <w:rFonts w:ascii="宋体" w:hAnsi="宋体"/>
          <w:color w:val="auto"/>
          <w:sz w:val="24"/>
          <w:szCs w:val="20"/>
        </w:rPr>
      </w:pPr>
      <w:r>
        <w:rPr>
          <w:rFonts w:hint="eastAsia" w:ascii="宋体" w:hAnsi="宋体"/>
          <w:bCs/>
          <w:color w:val="auto"/>
          <w:sz w:val="24"/>
          <w:szCs w:val="24"/>
        </w:rPr>
        <w:t xml:space="preserve">如违背上述承诺，本公司</w:t>
      </w:r>
      <w:r>
        <w:rPr>
          <w:rFonts w:hint="eastAsia" w:ascii="宋体" w:hAnsi="宋体"/>
          <w:color w:val="auto"/>
          <w:sz w:val="24"/>
          <w:szCs w:val="24"/>
        </w:rPr>
        <w:t xml:space="preserve">（单位</w:t>
      </w:r>
      <w:r>
        <w:rPr>
          <w:rFonts w:hint="eastAsia" w:ascii="宋体" w:hAnsi="宋体"/>
          <w:bCs/>
          <w:color w:val="auto"/>
          <w:sz w:val="24"/>
          <w:szCs w:val="24"/>
        </w:rPr>
        <w:t xml:space="preserve">、联合体</w:t>
      </w:r>
      <w:r>
        <w:rPr>
          <w:rFonts w:hint="eastAsia" w:ascii="宋体" w:hAnsi="宋体"/>
          <w:color w:val="auto"/>
          <w:sz w:val="24"/>
          <w:szCs w:val="24"/>
        </w:rPr>
        <w:t xml:space="preserve">）</w:t>
      </w:r>
      <w:r>
        <w:rPr>
          <w:rFonts w:hint="eastAsia" w:ascii="宋体" w:hAnsi="宋体"/>
          <w:bCs/>
          <w:color w:val="auto"/>
          <w:sz w:val="24"/>
          <w:szCs w:val="24"/>
        </w:rPr>
        <w:t xml:space="preserve">将承担一切法律责任。</w:t>
      </w:r>
      <w:r/>
    </w:p>
    <w:p>
      <w:pPr>
        <w:ind w:firstLine="5400"/>
        <w:spacing w:line="480" w:lineRule="auto"/>
        <w:rPr>
          <w:rFonts w:ascii="宋体" w:hAnsi="宋体"/>
          <w:bCs/>
          <w:color w:val="auto"/>
          <w:sz w:val="24"/>
          <w:szCs w:val="24"/>
        </w:rPr>
      </w:pPr>
      <w:r>
        <w:rPr>
          <w:rFonts w:ascii="宋体" w:hAnsi="宋体"/>
          <w:bCs/>
          <w:color w:val="auto"/>
          <w:sz w:val="24"/>
          <w:szCs w:val="24"/>
        </w:rPr>
      </w:r>
      <w:r/>
    </w:p>
    <w:p>
      <w:pPr>
        <w:ind w:firstLine="3720"/>
        <w:spacing w:line="480" w:lineRule="auto"/>
        <w:rPr>
          <w:rFonts w:ascii="宋体" w:hAnsi="宋体"/>
          <w:bCs/>
          <w:color w:val="auto"/>
          <w:sz w:val="24"/>
          <w:szCs w:val="24"/>
        </w:rPr>
      </w:pPr>
      <w:r>
        <w:rPr>
          <w:rFonts w:hint="eastAsia" w:ascii="宋体" w:hAnsi="宋体"/>
          <w:bCs/>
          <w:color w:val="auto"/>
          <w:sz w:val="24"/>
          <w:szCs w:val="24"/>
        </w:rPr>
        <w:t xml:space="preserve">投标人名称（盖章）：</w:t>
      </w:r>
      <w:r/>
    </w:p>
    <w:p>
      <w:pPr>
        <w:ind w:firstLine="480"/>
        <w:spacing w:line="480" w:lineRule="auto"/>
        <w:rPr>
          <w:rFonts w:ascii="宋体"/>
          <w:bCs/>
          <w:color w:val="auto"/>
          <w:sz w:val="24"/>
          <w:szCs w:val="24"/>
        </w:rPr>
      </w:pPr>
      <w:r>
        <w:rPr>
          <w:rFonts w:ascii="宋体" w:hAnsi="宋体"/>
          <w:bCs/>
          <w:color w:val="auto"/>
          <w:sz w:val="24"/>
          <w:szCs w:val="24"/>
        </w:rPr>
        <w:br w:type="page" w:clear="all"/>
      </w:r>
      <w:r/>
    </w:p>
    <w:p>
      <w:pPr>
        <w:spacing w:line="360" w:lineRule="auto"/>
        <w:rPr>
          <w:rFonts w:hint="eastAsia"/>
          <w:b/>
          <w:color w:val="auto"/>
          <w:sz w:val="28"/>
          <w:szCs w:val="28"/>
        </w:rPr>
      </w:pPr>
      <w:r>
        <w:rPr>
          <w:rFonts w:hint="eastAsia"/>
          <w:b/>
          <w:color w:val="auto"/>
          <w:sz w:val="28"/>
          <w:szCs w:val="28"/>
          <w:lang w:val="en-US" w:eastAsia="zh-CN"/>
        </w:rPr>
        <w:t xml:space="preserve">九</w:t>
      </w:r>
      <w:r>
        <w:rPr>
          <w:rFonts w:hint="eastAsia"/>
          <w:b/>
          <w:color w:val="auto"/>
          <w:sz w:val="28"/>
          <w:szCs w:val="28"/>
        </w:rPr>
        <w:t xml:space="preserve">、开标一览表：</w:t>
      </w:r>
      <w:r/>
    </w:p>
    <w:p>
      <w:pPr>
        <w:ind w:firstLine="482"/>
        <w:spacing w:line="440" w:lineRule="exact"/>
        <w:rPr>
          <w:rFonts w:hint="eastAsia" w:ascii="Arial" w:hAnsi="Arial"/>
          <w:b/>
          <w:color w:val="auto"/>
          <w:sz w:val="24"/>
        </w:rPr>
      </w:pPr>
      <w:r>
        <w:rPr>
          <w:rFonts w:hint="eastAsia" w:ascii="Arial" w:hAnsi="Arial"/>
          <w:b/>
          <w:color w:val="auto"/>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 xml:space="preserve">JSZC-320214-JZCG-G2026-0014</w:t>
      </w:r>
      <w:r/>
    </w:p>
    <w:tbl>
      <w:tblPr>
        <w:tblStyle w:val="68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789"/>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工博园警务站智慧警务室升级改造项目</w:t>
            </w:r>
            <w:r/>
          </w:p>
        </w:tc>
        <w:tc>
          <w:tcPr>
            <w:tcW w:w="3188" w:type="dxa"/>
            <w:vAlign w:val="center"/>
            <w:textDirection w:val="lrTb"/>
            <w:noWrap w:val="false"/>
          </w:tcPr>
          <w:p>
            <w:pPr>
              <w:pStyle w:val="789"/>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000000"/>
          <w:sz w:val="24"/>
          <w:szCs w:val="24"/>
        </w:rPr>
        <w:br w:type="page" w:clear="all"/>
      </w:r>
      <w:r>
        <w:rPr>
          <w:rFonts w:hint="eastAsia" w:asciiTheme="minorEastAsia" w:hAnsiTheme="minorEastAsia" w:eastAsiaTheme="minorEastAsia" w:cstheme="minorEastAsia"/>
          <w:b/>
          <w:bCs w:val="0"/>
          <w:color w:val="000000"/>
          <w:sz w:val="28"/>
          <w:szCs w:val="28"/>
          <w:lang w:val="en-US" w:eastAsia="zh-CN"/>
        </w:rPr>
        <w:t xml:space="preserve">十</w:t>
      </w:r>
      <w:r>
        <w:rPr>
          <w:rFonts w:hint="eastAsia" w:asciiTheme="minorEastAsia" w:hAnsiTheme="minorEastAsia" w:eastAsiaTheme="minorEastAsia" w:cstheme="minorEastAsia"/>
          <w:b/>
          <w:bCs w:val="0"/>
          <w:sz w:val="28"/>
          <w:szCs w:val="28"/>
        </w:rPr>
        <w:t xml:space="preserve">、分项报</w:t>
      </w:r>
      <w:r>
        <w:rPr>
          <w:b/>
          <w:sz w:val="28"/>
          <w:szCs w:val="28"/>
        </w:rPr>
        <w:t xml:space="preserve">价表</w:t>
      </w:r>
      <w:r>
        <w:rPr>
          <w:rFonts w:hint="eastAsia"/>
          <w:b/>
          <w:sz w:val="28"/>
          <w:szCs w:val="28"/>
        </w:rPr>
        <w:t xml:space="preserve">（给定格式）</w:t>
      </w:r>
      <w:r>
        <w:rPr>
          <w:rFonts w:hint="eastAsia"/>
          <w:b/>
          <w:color w:val="auto"/>
          <w:sz w:val="28"/>
          <w:szCs w:val="28"/>
          <w:highlight w:val="none"/>
        </w:rPr>
        <w:t xml:space="preserve">：</w:t>
      </w:r>
      <w:bookmarkEnd w:id="198"/>
      <w:bookmarkEnd w:id="199"/>
      <w:bookmarkEnd w:id="200"/>
      <w:r/>
    </w:p>
    <w:p>
      <w:pPr>
        <w:jc w:val="center"/>
        <w:spacing w:line="400" w:lineRule="exact"/>
        <w:rPr>
          <w:rFonts w:ascii="黑体" w:eastAsia="黑体"/>
          <w:bCs/>
          <w:color w:val="auto"/>
          <w:sz w:val="28"/>
          <w:szCs w:val="28"/>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JSZC-320214-JZCG-G2026-0014</w:t>
      </w:r>
      <w:r/>
    </w:p>
    <w:tbl>
      <w:tblPr>
        <w:tblStyle w:val="687"/>
        <w:tblW w:w="9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65"/>
        </w:trPr>
        <w:tc>
          <w:tcPr>
            <w:gridSpan w:val="9"/>
            <w:tcMar>
              <w:left w:w="15" w:type="dxa"/>
              <w:top w:w="15" w:type="dxa"/>
              <w:right w:w="15" w:type="dxa"/>
              <w:bottom w:w="0" w:type="dxa"/>
            </w:tcMar>
            <w:tcW w:w="9975" w:type="dxa"/>
            <w:vAlign w:val="center"/>
            <w:textDirection w:val="lrTb"/>
            <w:noWrap/>
          </w:tcPr>
          <w:p>
            <w:pPr>
              <w:spacing w:before="5"/>
              <w:rPr>
                <w:color w:val="auto"/>
                <w:sz w:val="18"/>
                <w:highlight w:val="none"/>
              </w:rPr>
            </w:pPr>
            <w:r>
              <w:rPr>
                <w:rFonts w:hint="eastAsia"/>
                <w:b/>
                <w:bCs/>
                <w:color w:val="auto"/>
                <w:sz w:val="24"/>
                <w:szCs w:val="24"/>
                <w:highlight w:val="none"/>
              </w:rPr>
              <w:t xml:space="preserve">货物部分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auto"/>
                <w:sz w:val="18"/>
                <w:highlight w:val="none"/>
                <w:u w:val="none"/>
              </w:rPr>
            </w:pPr>
            <w:r>
              <w:rPr>
                <w:rFonts w:hint="eastAsia"/>
                <w:color w:val="auto"/>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auto"/>
                <w:sz w:val="18"/>
                <w:highlight w:val="none"/>
                <w:u w:val="none"/>
              </w:rPr>
            </w:pPr>
            <w:r>
              <w:rPr>
                <w:rFonts w:hint="eastAsia"/>
                <w:color w:val="auto"/>
                <w:sz w:val="18"/>
                <w:highlight w:val="none"/>
                <w:u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color w:val="auto"/>
                <w:sz w:val="18"/>
                <w:highlight w:val="none"/>
              </w:rPr>
            </w:pPr>
            <w:r>
              <w:rPr>
                <w:rFonts w:hint="eastAsia"/>
                <w:color w:val="auto"/>
                <w:sz w:val="18"/>
                <w:highlight w:val="none"/>
                <w:u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数量</w:t>
            </w:r>
            <w:r/>
          </w:p>
        </w:tc>
        <w:tc>
          <w:tcPr>
            <w:tcW w:w="1276"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color w:val="auto"/>
                <w:sz w:val="18"/>
                <w:highlight w:val="none"/>
              </w:rPr>
            </w:pPr>
            <w:r>
              <w:rPr>
                <w:rFonts w:hint="eastAsia"/>
                <w:color w:val="auto"/>
                <w:sz w:val="18"/>
                <w:highlight w:val="none"/>
              </w:rPr>
              <w:t xml:space="preserve">质保期</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05"/>
              <w:spacing w:before="5"/>
              <w:tabs>
                <w:tab w:val="clear" w:pos="4153" w:leader="none"/>
                <w:tab w:val="clear" w:pos="8306" w:leader="none"/>
              </w:tabs>
              <w:rPr>
                <w:rFonts w:ascii="宋体"/>
                <w:color w:val="auto"/>
                <w:highlight w:val="none"/>
                <w:lang w:val="en-US" w:eastAsia="zh-CN"/>
              </w:rPr>
              <w:pBdr>
                <w:bottom w:val="none" w:color="auto" w:sz="0" w:space="0"/>
              </w:pBdr>
            </w:pPr>
            <w:r>
              <w:rPr>
                <w:rFonts w:hint="eastAsia" w:ascii="宋体"/>
                <w:color w:val="auto"/>
                <w:highlight w:val="none"/>
                <w:lang w:val="en-US" w:eastAsia="zh-CN"/>
              </w:rPr>
              <w:t xml:space="preserve">1</w:t>
            </w:r>
            <w:r/>
          </w:p>
        </w:tc>
        <w:tc>
          <w:tcPr>
            <w:tcMar>
              <w:left w:w="15" w:type="dxa"/>
              <w:top w:w="15" w:type="dxa"/>
              <w:right w:w="15" w:type="dxa"/>
              <w:bottom w:w="0" w:type="dxa"/>
            </w:tcMar>
            <w:tcW w:w="1050" w:type="dxa"/>
            <w:vAlign w:val="center"/>
            <w:textDirection w:val="lrTb"/>
            <w:noWrap/>
          </w:tcPr>
          <w:p>
            <w:pPr>
              <w:pStyle w:val="705"/>
              <w:tabs>
                <w:tab w:val="clear" w:pos="4153" w:leader="none"/>
                <w:tab w:val="clear" w:pos="8306" w:leader="none"/>
              </w:tabs>
              <w:rPr>
                <w:rFonts w:ascii="宋体"/>
                <w:bCs/>
                <w:color w:val="auto"/>
                <w:highlight w:val="none"/>
                <w:lang w:val="en-US" w:eastAsia="zh-CN"/>
              </w:rPr>
              <w:pBdr>
                <w:bottom w:val="none" w:color="auto" w:sz="0" w:space="0"/>
              </w:pBdr>
            </w:pPr>
            <w:r>
              <w:rPr>
                <w:rFonts w:ascii="宋体"/>
                <w:bCs/>
                <w:color w:val="auto"/>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705"/>
              <w:tabs>
                <w:tab w:val="clear" w:pos="4153" w:leader="none"/>
                <w:tab w:val="clear" w:pos="8306" w:leader="none"/>
              </w:tabs>
              <w:rPr>
                <w:rFonts w:ascii="宋体"/>
                <w:bCs/>
                <w:color w:val="auto"/>
                <w:highlight w:val="none"/>
                <w:lang w:val="en-US" w:eastAsia="zh-CN"/>
              </w:rPr>
              <w:pBdr>
                <w:bottom w:val="none" w:color="auto"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ascii="宋体"/>
                <w:color w:val="auto"/>
                <w:highlight w:val="none"/>
              </w:rPr>
            </w:r>
            <w:r/>
          </w:p>
        </w:tc>
        <w:tc>
          <w:tcPr>
            <w:tcMar>
              <w:left w:w="15" w:type="dxa"/>
              <w:top w:w="15" w:type="dxa"/>
              <w:right w:w="15" w:type="dxa"/>
              <w:bottom w:w="0" w:type="dxa"/>
            </w:tcMar>
            <w:tcW w:w="945" w:type="dxa"/>
            <w:vAlign w:val="center"/>
            <w:textDirection w:val="lrTb"/>
            <w:noWrap w:val="false"/>
          </w:tcPr>
          <w:p>
            <w:pPr>
              <w:pStyle w:val="705"/>
              <w:tabs>
                <w:tab w:val="clear" w:pos="4153" w:leader="none"/>
                <w:tab w:val="clear" w:pos="8306" w:leader="none"/>
              </w:tabs>
              <w:rPr>
                <w:rFonts w:ascii="宋体"/>
                <w:bCs/>
                <w:color w:val="auto"/>
                <w:highlight w:val="none"/>
                <w:lang w:val="en-US" w:eastAsia="zh-CN"/>
              </w:rPr>
              <w:pBdr>
                <w:bottom w:val="none" w:color="auto"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34"/>
        </w:trPr>
        <w:tc>
          <w:tcPr>
            <w:tcMar>
              <w:left w:w="15" w:type="dxa"/>
              <w:top w:w="15" w:type="dxa"/>
              <w:right w:w="15" w:type="dxa"/>
              <w:bottom w:w="0" w:type="dxa"/>
            </w:tcMar>
            <w:tcW w:w="420" w:type="dxa"/>
            <w:vAlign w:val="center"/>
            <w:textDirection w:val="lrTb"/>
            <w:noWrap/>
          </w:tcPr>
          <w:p>
            <w:pPr>
              <w:jc w:val="center"/>
              <w:rPr>
                <w:rFonts w:hint="eastAsia" w:ascii="宋体"/>
                <w:color w:val="auto"/>
                <w:sz w:val="18"/>
                <w:highlight w:val="none"/>
              </w:rPr>
            </w:pPr>
            <w:r>
              <w:rPr>
                <w:rFonts w:hint="eastAsia" w:ascii="宋体"/>
                <w:color w:val="auto"/>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auto"/>
                <w:highlight w:val="none"/>
              </w:rPr>
            </w:pPr>
            <w:r>
              <w:rPr>
                <w:rFonts w:hint="eastAsia" w:ascii="宋体"/>
                <w:color w:val="auto"/>
                <w:highlight w:val="none"/>
              </w:rPr>
              <w:t xml:space="preserve">......</w:t>
            </w:r>
            <w:r/>
          </w:p>
        </w:tc>
        <w:tc>
          <w:tcPr>
            <w:tcMar>
              <w:left w:w="15" w:type="dxa"/>
              <w:top w:w="15" w:type="dxa"/>
              <w:right w:w="15" w:type="dxa"/>
              <w:bottom w:w="0" w:type="dxa"/>
            </w:tcMar>
            <w:tcW w:w="945" w:type="dxa"/>
            <w:vAlign w:val="center"/>
            <w:textDirection w:val="lrTb"/>
            <w:noWrap w:val="false"/>
          </w:tcPr>
          <w:p>
            <w:pPr>
              <w:pStyle w:val="705"/>
              <w:tabs>
                <w:tab w:val="clear" w:pos="4153" w:leader="none"/>
                <w:tab w:val="clear" w:pos="8306" w:leader="none"/>
              </w:tabs>
              <w:rPr>
                <w:rFonts w:ascii="宋体"/>
                <w:bCs/>
                <w:color w:val="auto"/>
                <w:highlight w:val="none"/>
                <w:lang w:val="en-US" w:eastAsia="zh-CN"/>
              </w:rPr>
              <w:pBdr>
                <w:bottom w:val="none" w:color="auto" w:sz="0" w:space="0"/>
              </w:pBdr>
            </w:pPr>
            <w:r>
              <w:rPr>
                <w:rFonts w:ascii="宋体"/>
                <w:bCs/>
                <w:color w:val="auto"/>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rPr>
            </w:pPr>
            <w:r>
              <w:rPr>
                <w:rFonts w:ascii="宋体"/>
                <w:bCs/>
                <w:color w:val="auto"/>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auto"/>
                <w:highlight w:val="none"/>
              </w:rPr>
            </w:pPr>
            <w:r>
              <w:rPr>
                <w:rFonts w:hint="eastAsia" w:ascii="黑体" w:eastAsia="黑体"/>
                <w:b/>
                <w:bCs/>
                <w:color w:val="auto"/>
                <w:highlight w:val="none"/>
              </w:rPr>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200"/>
        </w:trPr>
        <w:tc>
          <w:tcPr>
            <w:gridSpan w:val="9"/>
            <w:shd w:val="clear" w:color="auto" w:fill="bebebe"/>
            <w:tcMar>
              <w:left w:w="15" w:type="dxa"/>
              <w:top w:w="15" w:type="dxa"/>
              <w:right w:w="15" w:type="dxa"/>
              <w:bottom w:w="0" w:type="dxa"/>
            </w:tcMar>
            <w:tcW w:w="9975" w:type="dxa"/>
            <w:vAlign w:val="center"/>
            <w:textDirection w:val="lrTb"/>
            <w:noWrap/>
          </w:tcPr>
          <w:p>
            <w:pPr>
              <w:spacing w:before="5"/>
              <w:rPr>
                <w:rFonts w:hint="eastAsia"/>
                <w:b/>
                <w:bCs/>
                <w:color w:val="auto"/>
                <w:sz w:val="24"/>
                <w:szCs w:val="24"/>
                <w:highlight w:val="none"/>
              </w:rPr>
            </w:pPr>
            <w:r>
              <w:rPr>
                <w:rFonts w:hint="eastAsia"/>
                <w:b/>
                <w:bCs/>
                <w:color w:val="auto"/>
                <w:sz w:val="24"/>
                <w:szCs w:val="24"/>
                <w:highlight w:val="none"/>
              </w:rPr>
            </w:r>
            <w:r/>
          </w:p>
        </w:tc>
      </w:tr>
      <w:tr>
        <w:trPr>
          <w:cantSplit/>
          <w:jc w:val="center"/>
          <w:trHeight w:val="495"/>
        </w:trPr>
        <w:tc>
          <w:tcPr>
            <w:gridSpan w:val="9"/>
            <w:tcMar>
              <w:left w:w="15" w:type="dxa"/>
              <w:top w:w="15" w:type="dxa"/>
              <w:right w:w="15" w:type="dxa"/>
              <w:bottom w:w="0" w:type="dxa"/>
            </w:tcMar>
            <w:tcW w:w="9975" w:type="dxa"/>
            <w:vAlign w:val="center"/>
            <w:textDirection w:val="lrTb"/>
            <w:noWrap/>
          </w:tcPr>
          <w:p>
            <w:pPr>
              <w:spacing w:before="5"/>
              <w:rPr>
                <w:rFonts w:hint="eastAsia"/>
                <w:color w:val="auto"/>
                <w:sz w:val="18"/>
                <w:highlight w:val="none"/>
              </w:rPr>
            </w:pPr>
            <w:r>
              <w:rPr>
                <w:rFonts w:hint="eastAsia"/>
                <w:b/>
                <w:bCs/>
                <w:color w:val="auto"/>
                <w:sz w:val="24"/>
                <w:szCs w:val="24"/>
                <w:highlight w:val="none"/>
              </w:rPr>
              <w:t xml:space="preserve">服务部分</w:t>
            </w:r>
            <w:r/>
          </w:p>
        </w:tc>
      </w:tr>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auto"/>
                <w:sz w:val="18"/>
                <w:highlight w:val="none"/>
              </w:rPr>
            </w:pPr>
            <w:r>
              <w:rPr>
                <w:rFonts w:hint="eastAsia"/>
                <w:color w:val="auto"/>
                <w:sz w:val="18"/>
                <w:highlight w:val="none"/>
              </w:rPr>
              <w:t xml:space="preserve">序号</w:t>
            </w:r>
            <w:r/>
          </w:p>
        </w:tc>
        <w:tc>
          <w:tcPr>
            <w:gridSpan w:val="4"/>
            <w:tcMar>
              <w:left w:w="15" w:type="dxa"/>
              <w:top w:w="15" w:type="dxa"/>
              <w:right w:w="15" w:type="dxa"/>
              <w:bottom w:w="0" w:type="dxa"/>
            </w:tcMar>
            <w:tcW w:w="5639" w:type="dxa"/>
            <w:vAlign w:val="center"/>
            <w:textDirection w:val="lrTb"/>
            <w:noWrap/>
          </w:tcPr>
          <w:p>
            <w:pPr>
              <w:jc w:val="center"/>
              <w:spacing w:before="5"/>
              <w:rPr>
                <w:rFonts w:hint="eastAsia"/>
                <w:color w:val="auto"/>
                <w:sz w:val="18"/>
                <w:highlight w:val="none"/>
              </w:rPr>
            </w:pPr>
            <w:r>
              <w:rPr>
                <w:rFonts w:hint="eastAsia"/>
                <w:color w:val="auto"/>
                <w:sz w:val="18"/>
                <w:highlight w:val="none"/>
              </w:rPr>
              <w:t xml:space="preserve">服务内容</w:t>
            </w:r>
            <w:r/>
          </w:p>
        </w:tc>
        <w:tc>
          <w:tcPr>
            <w:tcW w:w="1276" w:type="dxa"/>
            <w:vAlign w:val="center"/>
            <w:textDirection w:val="lrTb"/>
            <w:noWrap w:val="false"/>
          </w:tcPr>
          <w:p>
            <w:pPr>
              <w:jc w:val="center"/>
              <w:spacing w:before="5"/>
              <w:rPr>
                <w:rFonts w:hint="eastAsia"/>
                <w:color w:val="auto"/>
                <w:sz w:val="18"/>
                <w:highlight w:val="none"/>
              </w:rPr>
            </w:pPr>
            <w:r>
              <w:rPr>
                <w:rFonts w:hint="eastAsia"/>
                <w:color w:val="auto"/>
                <w:sz w:val="18"/>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rPr>
                <w:rFonts w:hint="eastAsia"/>
                <w:color w:val="auto"/>
                <w:sz w:val="18"/>
                <w:highlight w:val="none"/>
              </w:rPr>
            </w:pPr>
            <w:r>
              <w:rPr>
                <w:rFonts w:hint="eastAsia"/>
                <w:color w:val="auto"/>
                <w:sz w:val="18"/>
                <w:highlight w:val="none"/>
              </w:rPr>
              <w:t xml:space="preserve">单位</w:t>
            </w:r>
            <w:r/>
          </w:p>
        </w:tc>
        <w:tc>
          <w:tcPr>
            <w:tcW w:w="70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单报价</w:t>
            </w:r>
            <w:r/>
          </w:p>
        </w:tc>
        <w:tc>
          <w:tcPr>
            <w:tcW w:w="939" w:type="dxa"/>
            <w:vAlign w:val="center"/>
            <w:textDirection w:val="lrTb"/>
            <w:noWrap w:val="false"/>
          </w:tcPr>
          <w:p>
            <w:pPr>
              <w:jc w:val="center"/>
              <w:spacing w:before="5"/>
              <w:rPr>
                <w:color w:val="auto"/>
                <w:sz w:val="18"/>
                <w:highlight w:val="none"/>
              </w:rPr>
            </w:pPr>
            <w:r>
              <w:rPr>
                <w:rFonts w:hint="eastAsia"/>
                <w:color w:val="auto"/>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705"/>
              <w:spacing w:before="5"/>
              <w:tabs>
                <w:tab w:val="clear" w:pos="4153" w:leader="none"/>
                <w:tab w:val="clear" w:pos="8306" w:leader="none"/>
              </w:tabs>
              <w:rPr>
                <w:rFonts w:ascii="宋体"/>
                <w:color w:val="auto"/>
                <w:highlight w:val="none"/>
                <w:lang w:val="en-US" w:eastAsia="zh-CN"/>
              </w:rPr>
              <w:pBdr>
                <w:bottom w:val="none" w:color="auto" w:sz="0" w:space="0"/>
              </w:pBdr>
            </w:pPr>
            <w:r>
              <w:rPr>
                <w:rFonts w:hint="eastAsia" w:ascii="宋体"/>
                <w:color w:val="auto"/>
                <w:highlight w:val="none"/>
                <w:lang w:val="en-US" w:eastAsia="zh-CN"/>
              </w:rPr>
              <w:t xml:space="preserve">1</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hint="eastAsia" w:ascii="宋体"/>
                <w:color w:val="auto"/>
                <w:sz w:val="18"/>
                <w:highlight w:val="none"/>
              </w:rPr>
              <w:t xml:space="preserve">2</w:t>
            </w:r>
            <w:r/>
          </w:p>
        </w:tc>
        <w:tc>
          <w:tcPr>
            <w:gridSpan w:val="4"/>
            <w:tcMar>
              <w:left w:w="15" w:type="dxa"/>
              <w:top w:w="15" w:type="dxa"/>
              <w:right w:w="15" w:type="dxa"/>
              <w:bottom w:w="0" w:type="dxa"/>
            </w:tcMar>
            <w:tcW w:w="5639"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775"/>
        </w:trPr>
        <w:tc>
          <w:tcPr>
            <w:tcMar>
              <w:left w:w="15" w:type="dxa"/>
              <w:top w:w="15" w:type="dxa"/>
              <w:right w:w="15" w:type="dxa"/>
              <w:bottom w:w="0" w:type="dxa"/>
            </w:tcMar>
            <w:tcW w:w="420" w:type="dxa"/>
            <w:vAlign w:val="center"/>
            <w:textDirection w:val="lrTb"/>
            <w:noWrap/>
          </w:tcPr>
          <w:p>
            <w:pPr>
              <w:jc w:val="center"/>
              <w:rPr>
                <w:rFonts w:ascii="宋体"/>
                <w:color w:val="auto"/>
                <w:sz w:val="18"/>
                <w:highlight w:val="none"/>
              </w:rPr>
            </w:pPr>
            <w:r>
              <w:rPr>
                <w:rFonts w:ascii="宋体"/>
                <w:color w:val="auto"/>
                <w:sz w:val="18"/>
                <w:highlight w:val="none"/>
              </w:rPr>
            </w:r>
            <w:r/>
          </w:p>
        </w:tc>
        <w:tc>
          <w:tcPr>
            <w:gridSpan w:val="4"/>
            <w:tcMar>
              <w:left w:w="15" w:type="dxa"/>
              <w:top w:w="15" w:type="dxa"/>
              <w:right w:w="15" w:type="dxa"/>
              <w:bottom w:w="0" w:type="dxa"/>
            </w:tcMar>
            <w:tcW w:w="5639" w:type="dxa"/>
            <w:vAlign w:val="center"/>
            <w:textDirection w:val="lrTb"/>
            <w:noWrap/>
          </w:tcPr>
          <w:p>
            <w:pPr>
              <w:jc w:val="center"/>
              <w:rPr>
                <w:rFonts w:hint="eastAsia" w:ascii="黑体" w:eastAsia="黑体"/>
                <w:b/>
                <w:bCs/>
                <w:color w:val="auto"/>
                <w:highlight w:val="none"/>
              </w:rPr>
            </w:pPr>
            <w:r>
              <w:rPr>
                <w:rFonts w:ascii="宋体"/>
                <w:color w:val="auto"/>
                <w:highlight w:val="none"/>
              </w:rPr>
              <w:t xml:space="preserve">……</w:t>
            </w:r>
            <w:r/>
          </w:p>
        </w:tc>
        <w:tc>
          <w:tcPr>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auto"/>
                <w:highlight w:val="none"/>
              </w:rPr>
            </w:pPr>
            <w:r>
              <w:rPr>
                <w:rFonts w:hint="eastAsia" w:ascii="黑体" w:eastAsia="黑体"/>
                <w:b/>
                <w:bCs/>
                <w:color w:val="auto"/>
                <w:highlight w:val="none"/>
              </w:rPr>
            </w:r>
            <w:r/>
          </w:p>
        </w:tc>
        <w:tc>
          <w:tcPr>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775"/>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auto"/>
                <w:sz w:val="28"/>
                <w:szCs w:val="28"/>
                <w:highlight w:val="none"/>
              </w:rPr>
            </w:pPr>
            <w:r>
              <w:rPr>
                <w:rFonts w:hint="eastAsia" w:ascii="楷体" w:hAnsi="楷体" w:eastAsia="楷体"/>
                <w:bCs/>
                <w:color w:val="auto"/>
                <w:sz w:val="28"/>
                <w:szCs w:val="28"/>
                <w:highlight w:val="none"/>
              </w:rPr>
              <w:t xml:space="preserve">投标人承诺：</w:t>
            </w:r>
            <w:r/>
          </w:p>
          <w:p>
            <w:pPr>
              <w:jc w:val="left"/>
              <w:rPr>
                <w:rFonts w:ascii="黑体" w:hAnsi="宋体" w:eastAsia="黑体"/>
                <w:b/>
                <w:bCs/>
                <w:color w:val="auto"/>
                <w:sz w:val="24"/>
                <w:szCs w:val="24"/>
                <w:highlight w:val="none"/>
              </w:rPr>
            </w:pPr>
            <w:r>
              <w:rPr>
                <w:rFonts w:hint="eastAsia" w:ascii="楷体" w:hAnsi="楷体" w:eastAsia="楷体"/>
                <w:bCs/>
                <w:color w:val="auto"/>
                <w:sz w:val="28"/>
                <w:szCs w:val="28"/>
                <w:highlight w:val="none"/>
              </w:rPr>
              <w:t xml:space="preserve">本采购项目或采购包中提供的符合本国产品标准的产品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占提供的全部产品</w:t>
            </w:r>
            <w:r>
              <w:rPr>
                <w:rFonts w:hint="eastAsia" w:ascii="楷体" w:hAnsi="楷体" w:eastAsia="楷体"/>
                <w:b/>
                <w:bCs/>
                <w:color w:val="auto"/>
                <w:sz w:val="28"/>
                <w:szCs w:val="28"/>
                <w:highlight w:val="none"/>
              </w:rPr>
              <w:t xml:space="preserve">成本之和</w:t>
            </w:r>
            <w:r>
              <w:rPr>
                <w:rFonts w:hint="eastAsia" w:ascii="楷体" w:hAnsi="楷体" w:eastAsia="楷体"/>
                <w:bCs/>
                <w:color w:val="auto"/>
                <w:sz w:val="28"/>
                <w:szCs w:val="28"/>
                <w:highlight w:val="none"/>
              </w:rPr>
              <w:t xml:space="preserve">的比例：</w:t>
            </w:r>
            <w:r>
              <w:rPr>
                <w:rFonts w:hint="eastAsia" w:ascii="楷体" w:hAnsi="楷体" w:eastAsia="楷体"/>
                <w:bCs/>
                <w:color w:val="auto"/>
                <w:sz w:val="28"/>
                <w:szCs w:val="28"/>
                <w:highlight w:val="none"/>
                <w:u w:val="single"/>
              </w:rPr>
              <w:t xml:space="preserve">      </w:t>
            </w:r>
            <w:r>
              <w:rPr>
                <w:rFonts w:hint="eastAsia" w:ascii="楷体" w:hAnsi="楷体" w:eastAsia="楷体"/>
                <w:bCs/>
                <w:color w:val="auto"/>
                <w:sz w:val="28"/>
                <w:szCs w:val="28"/>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hint="eastAsia" w:ascii="宋体" w:hAnsi="宋体"/>
          <w:b/>
          <w:color w:val="auto"/>
          <w:highlight w:val="none"/>
        </w:rPr>
        <w:outlineLvl w:val="0"/>
      </w:pPr>
      <w:r>
        <w:rPr>
          <w:rFonts w:hint="eastAsia" w:ascii="宋体" w:hAnsi="宋体"/>
          <w:b/>
          <w:color w:val="auto"/>
          <w:highlight w:val="none"/>
        </w:rPr>
      </w:r>
      <w:r/>
    </w:p>
    <w:p>
      <w:pPr>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 xml:space="preserve">无锡市公共资源交易中心新吴分中心</w:t>
      </w:r>
      <w:r>
        <w:rPr>
          <w:rFonts w:hint="eastAsia" w:ascii="宋体"/>
          <w:bCs/>
          <w:color w:val="auto"/>
          <w:highlight w:val="none"/>
        </w:rPr>
        <w:t xml:space="preserve">有权将相关内容进行公示；</w:t>
      </w:r>
      <w:r/>
    </w:p>
    <w:p>
      <w:pPr>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）投标人应当根据“采购需求”的内容在上表中详细填写；</w:t>
      </w:r>
      <w:r/>
    </w:p>
    <w:p>
      <w:pPr>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p>
    <w:p>
      <w:pPr>
        <w:ind w:firstLine="315"/>
        <w:spacing w:line="400" w:lineRule="exact"/>
        <w:rPr>
          <w:rFonts w:hint="eastAsia" w:ascii="宋体" w:hAnsi="宋体"/>
          <w:bCs/>
          <w:color w:val="auto"/>
          <w:highlight w:val="none"/>
        </w:rPr>
        <w:outlineLvl w:val="0"/>
      </w:pPr>
      <w:r>
        <w:rPr>
          <w:rFonts w:hint="eastAsia" w:ascii="宋体" w:hAnsi="宋体"/>
          <w:bCs/>
          <w:color w:val="auto"/>
          <w:highlight w:val="none"/>
        </w:rPr>
        <w:t xml:space="preserve">（4）</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auto"/>
          <w:highlight w:val="none"/>
          <w:u w:val="single"/>
        </w:rPr>
        <w:outlineLvl w:val="0"/>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spacing w:line="360" w:lineRule="auto"/>
        <w:rPr>
          <w:rFonts w:hint="eastAsia"/>
          <w:b/>
          <w:color w:val="auto"/>
          <w:sz w:val="28"/>
          <w:szCs w:val="28"/>
        </w:rPr>
      </w:pPr>
      <w:r>
        <w:rPr>
          <w:rFonts w:ascii="宋体" w:hAnsi="宋体"/>
          <w:bCs/>
          <w:color w:val="000000"/>
        </w:rPr>
        <w:br w:type="page" w:clear="all"/>
      </w:r>
      <w:r>
        <w:rPr>
          <w:rFonts w:hint="eastAsia"/>
          <w:b/>
          <w:sz w:val="28"/>
          <w:szCs w:val="28"/>
        </w:rPr>
        <w:t xml:space="preserve">十</w:t>
      </w:r>
      <w:r>
        <w:rPr>
          <w:rFonts w:hint="eastAsia"/>
          <w:b/>
          <w:sz w:val="28"/>
          <w:szCs w:val="28"/>
          <w:lang w:val="en-US" w:eastAsia="zh-CN"/>
        </w:rPr>
        <w:t xml:space="preserve">一</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JSZC-320214-JZCG-G2026-0014</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）如无任何技术偏离，请于本表 “偏离说明”中注明“无偏离”；</w:t>
      </w:r>
      <w:r/>
    </w:p>
    <w:p>
      <w:pPr>
        <w:ind w:firstLine="420"/>
        <w:rPr>
          <w:rFonts w:hint="eastAsia" w:ascii="宋体" w:hAnsi="宋体"/>
          <w:bCs/>
          <w:color w:val="auto"/>
          <w:sz w:val="24"/>
          <w:szCs w:val="24"/>
        </w:rPr>
        <w:outlineLvl w:val="0"/>
      </w:pPr>
      <w:r>
        <w:rPr>
          <w:rFonts w:hint="eastAsia" w:ascii="宋体" w:hAnsi="宋体"/>
          <w:bCs/>
          <w:color w:val="auto"/>
          <w:sz w:val="24"/>
          <w:szCs w:val="24"/>
        </w:rPr>
        <w:t xml:space="preserve">   （3）如有技术偏离项，请于本表中列明偏离内容，如需要可自行延长，其余无偏离内容不须赘述。</w:t>
      </w:r>
      <w:bookmarkEnd w:id="189"/>
      <w:r/>
      <w:bookmarkEnd w:id="190"/>
      <w:r/>
      <w:bookmarkEnd w:id="202"/>
      <w:r/>
      <w:bookmarkStart w:id="203" w:name="_格式2__法定代表人授权书"/>
      <w:r/>
      <w:bookmarkEnd w:id="203"/>
      <w:r/>
      <w:bookmarkStart w:id="204" w:name="_Hlt26955066"/>
      <w:r/>
      <w:bookmarkEnd w:id="204"/>
      <w:r/>
      <w:bookmarkStart w:id="205" w:name="_Hlt26671374"/>
      <w:r/>
      <w:bookmarkEnd w:id="205"/>
      <w:r/>
      <w:bookmarkStart w:id="206" w:name="_Hlt26609389"/>
      <w:r/>
      <w:bookmarkEnd w:id="206"/>
      <w:r/>
      <w:r/>
    </w:p>
    <w:p>
      <w:pPr>
        <w:ind w:firstLine="420"/>
        <w:rPr>
          <w:rFonts w:hint="eastAsia" w:ascii="宋体" w:hAnsi="宋体"/>
          <w:bCs/>
          <w:color w:val="auto"/>
          <w:sz w:val="24"/>
          <w:szCs w:val="24"/>
        </w:rPr>
        <w:outlineLvl w:val="0"/>
      </w:pPr>
      <w:r>
        <w:rPr>
          <w:rFonts w:hint="eastAsia" w:ascii="宋体" w:hAnsi="宋体"/>
          <w:bCs/>
          <w:color w:val="auto"/>
          <w:sz w:val="24"/>
          <w:szCs w:val="24"/>
        </w:rPr>
      </w:r>
      <w:r/>
    </w:p>
    <w:p>
      <w:pPr>
        <w:ind w:firstLine="420"/>
        <w:rPr>
          <w:rFonts w:ascii="宋体" w:hAnsi="宋体"/>
          <w:bCs/>
          <w:color w:val="auto"/>
          <w:sz w:val="24"/>
          <w:szCs w:val="24"/>
        </w:rPr>
        <w:outlineLvl w:val="0"/>
      </w:pPr>
      <w:r>
        <w:rPr>
          <w:rFonts w:ascii="宋体" w:hAnsi="宋体"/>
          <w:bCs/>
          <w:color w:val="auto"/>
          <w:sz w:val="24"/>
          <w:szCs w:val="24"/>
        </w:rPr>
      </w:r>
      <w:r/>
    </w:p>
    <w:p>
      <w:pPr>
        <w:spacing w:line="360" w:lineRule="auto"/>
        <w:rPr>
          <w:b/>
          <w:color w:val="auto"/>
          <w:sz w:val="28"/>
          <w:szCs w:val="28"/>
        </w:rPr>
      </w:pPr>
      <w:r>
        <w:rPr>
          <w:rFonts w:ascii="宋体" w:hAnsi="宋体"/>
          <w:bCs/>
          <w:color w:val="auto"/>
          <w:sz w:val="24"/>
          <w:szCs w:val="24"/>
        </w:rPr>
        <w:br w:type="page" w:clear="all"/>
      </w:r>
      <w:r>
        <w:rPr>
          <w:rFonts w:hint="eastAsia"/>
          <w:b/>
          <w:color w:val="auto"/>
          <w:sz w:val="28"/>
          <w:szCs w:val="28"/>
        </w:rPr>
        <w:t xml:space="preserve">十</w:t>
      </w:r>
      <w:r>
        <w:rPr>
          <w:rFonts w:hint="eastAsia"/>
          <w:b/>
          <w:color w:val="auto"/>
          <w:sz w:val="28"/>
          <w:szCs w:val="28"/>
          <w:lang w:val="en-US" w:eastAsia="zh-CN"/>
        </w:rPr>
        <w:t xml:space="preserve">二</w:t>
      </w:r>
      <w:r>
        <w:rPr>
          <w:rFonts w:hint="eastAsia"/>
          <w:b/>
          <w:color w:val="auto"/>
          <w:sz w:val="28"/>
          <w:szCs w:val="28"/>
        </w:rPr>
        <w:t xml:space="preserve">、项目人员配置清单（格式）</w:t>
      </w:r>
      <w:r/>
    </w:p>
    <w:p>
      <w:pPr>
        <w:spacing w:line="400" w:lineRule="exact"/>
        <w:rPr>
          <w:rFonts w:ascii="黑体" w:eastAsia="黑体"/>
          <w:bCs/>
          <w:color w:val="auto"/>
          <w:sz w:val="28"/>
          <w:szCs w:val="28"/>
        </w:rPr>
      </w:pPr>
      <w:r>
        <w:rPr>
          <w:rFonts w:ascii="黑体" w:eastAsia="黑体"/>
          <w:bCs/>
          <w:color w:val="auto"/>
          <w:sz w:val="28"/>
          <w:szCs w:val="28"/>
        </w:rPr>
      </w:r>
      <w:r/>
    </w:p>
    <w:p>
      <w:pPr>
        <w:jc w:val="center"/>
        <w:spacing w:line="400" w:lineRule="exact"/>
        <w:rPr>
          <w:rFonts w:hint="eastAsia" w:ascii="黑体" w:eastAsia="黑体"/>
          <w:bCs/>
          <w:color w:val="auto"/>
          <w:sz w:val="28"/>
          <w:szCs w:val="28"/>
        </w:rPr>
      </w:pPr>
      <w:r>
        <w:rPr>
          <w:rFonts w:hint="eastAsia" w:ascii="黑体" w:eastAsia="黑体"/>
          <w:bCs/>
          <w:color w:val="auto"/>
          <w:sz w:val="28"/>
          <w:szCs w:val="28"/>
        </w:rPr>
        <w:t xml:space="preserve">项目人员配置清单</w:t>
      </w:r>
      <w:r/>
    </w:p>
    <w:p>
      <w:pPr>
        <w:jc w:val="center"/>
        <w:spacing w:line="400" w:lineRule="exact"/>
        <w:rPr>
          <w:rFonts w:ascii="黑体" w:eastAsia="黑体"/>
          <w:bCs/>
          <w:color w:val="auto"/>
          <w:sz w:val="28"/>
          <w:szCs w:val="28"/>
        </w:rPr>
      </w:pPr>
      <w:r>
        <w:rPr>
          <w:rFonts w:ascii="黑体" w:eastAsia="黑体"/>
          <w:bCs/>
          <w:color w:val="auto"/>
          <w:sz w:val="28"/>
          <w:szCs w:val="28"/>
        </w:rPr>
      </w:r>
      <w:r/>
    </w:p>
    <w:p>
      <w:pPr>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JSZC-320214-JZCG-G2026-0014</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rPr>
            </w:pPr>
            <w:r>
              <w:rPr>
                <w:rFonts w:hint="eastAsia"/>
                <w:b/>
                <w:color w:val="auto"/>
                <w:sz w:val="24"/>
              </w:rPr>
              <w:t xml:space="preserve">序号</w:t>
            </w:r>
            <w:r/>
          </w:p>
        </w:tc>
        <w:tc>
          <w:tcPr>
            <w:tcW w:w="1476" w:type="dxa"/>
            <w:vAlign w:val="center"/>
            <w:textDirection w:val="lrTb"/>
            <w:noWrap w:val="false"/>
          </w:tcPr>
          <w:p>
            <w:pPr>
              <w:jc w:val="center"/>
              <w:rPr>
                <w:b/>
                <w:color w:val="auto"/>
                <w:sz w:val="24"/>
              </w:rPr>
            </w:pPr>
            <w:r>
              <w:rPr>
                <w:rFonts w:hint="eastAsia"/>
                <w:b/>
                <w:color w:val="auto"/>
                <w:sz w:val="24"/>
              </w:rPr>
              <w:t xml:space="preserve">姓名</w:t>
            </w:r>
            <w:r/>
          </w:p>
        </w:tc>
        <w:tc>
          <w:tcPr>
            <w:tcW w:w="720" w:type="dxa"/>
            <w:vAlign w:val="center"/>
            <w:textDirection w:val="lrTb"/>
            <w:noWrap w:val="false"/>
          </w:tcPr>
          <w:p>
            <w:pPr>
              <w:jc w:val="center"/>
              <w:rPr>
                <w:b/>
                <w:color w:val="auto"/>
                <w:sz w:val="24"/>
              </w:rPr>
            </w:pPr>
            <w:r>
              <w:rPr>
                <w:rFonts w:hint="eastAsia"/>
                <w:b/>
                <w:color w:val="auto"/>
                <w:sz w:val="24"/>
              </w:rPr>
              <w:t xml:space="preserve">年龄</w:t>
            </w:r>
            <w:r/>
          </w:p>
        </w:tc>
        <w:tc>
          <w:tcPr>
            <w:tcW w:w="2520" w:type="dxa"/>
            <w:vAlign w:val="center"/>
            <w:textDirection w:val="lrTb"/>
            <w:noWrap w:val="false"/>
          </w:tcPr>
          <w:p>
            <w:pPr>
              <w:jc w:val="center"/>
              <w:rPr>
                <w:b/>
                <w:color w:val="auto"/>
                <w:sz w:val="24"/>
              </w:rPr>
            </w:pPr>
            <w:r>
              <w:rPr>
                <w:rFonts w:hint="eastAsia"/>
                <w:b/>
                <w:color w:val="auto"/>
                <w:sz w:val="24"/>
              </w:rPr>
              <w:t xml:space="preserve">本项目职责</w:t>
            </w:r>
            <w:r/>
          </w:p>
        </w:tc>
        <w:tc>
          <w:tcPr>
            <w:tcW w:w="3274" w:type="dxa"/>
            <w:vAlign w:val="center"/>
            <w:textDirection w:val="lrTb"/>
            <w:noWrap w:val="false"/>
          </w:tcPr>
          <w:p>
            <w:pPr>
              <w:jc w:val="center"/>
              <w:rPr>
                <w:b/>
                <w:color w:val="auto"/>
                <w:sz w:val="24"/>
              </w:rPr>
            </w:pPr>
            <w:r>
              <w:rPr>
                <w:rFonts w:hint="eastAsia"/>
                <w:b/>
                <w:color w:val="auto"/>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1476"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7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2520"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c>
          <w:tcPr>
            <w:tcW w:w="3274" w:type="dxa"/>
            <w:vAlign w:val="top"/>
            <w:textDirection w:val="lrTb"/>
            <w:noWrap w:val="false"/>
          </w:tcPr>
          <w:p>
            <w:pPr>
              <w:rPr>
                <w:rFonts w:ascii="黑体" w:eastAsia="黑体"/>
                <w:bCs/>
                <w:color w:val="auto"/>
                <w:sz w:val="24"/>
                <w:szCs w:val="24"/>
              </w:rPr>
              <w:outlineLvl w:val="0"/>
            </w:pPr>
            <w:r>
              <w:rPr>
                <w:rFonts w:ascii="黑体" w:eastAsia="黑体"/>
                <w:bCs/>
                <w:color w:val="auto"/>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795"/>
        <w:ind w:left="0" w:firstLine="0"/>
        <w:rPr>
          <w:rFonts w:hint="default" w:ascii="Times New Roman" w:hAnsi="Times New Roman" w:cs="Times New Roman"/>
          <w:b w:val="0"/>
          <w:bCs w:val="0"/>
          <w:sz w:val="28"/>
          <w:szCs w:val="28"/>
          <w:highlight w:val="none"/>
        </w:rPr>
      </w:pPr>
      <w:r>
        <w:rPr>
          <w:rFonts w:ascii="宋体" w:hAnsi="宋体"/>
          <w:bCs/>
          <w:color w:val="000000"/>
          <w:sz w:val="24"/>
          <w:szCs w:val="24"/>
        </w:rPr>
        <w:br w:type="page" w:clear="all"/>
      </w:r>
      <w:r>
        <w:rPr>
          <w:rFonts w:hint="eastAsia"/>
          <w:b/>
          <w:color w:val="auto"/>
          <w:sz w:val="28"/>
          <w:szCs w:val="28"/>
          <w:highlight w:val="none"/>
        </w:rPr>
        <w:t xml:space="preserve">十</w:t>
      </w:r>
      <w:r>
        <w:rPr>
          <w:rFonts w:hint="eastAsia"/>
          <w:b/>
          <w:color w:val="auto"/>
          <w:sz w:val="28"/>
          <w:szCs w:val="28"/>
          <w:highlight w:val="none"/>
          <w:lang w:val="en-US" w:eastAsia="zh-CN"/>
        </w:rPr>
        <w:t xml:space="preserve">三</w:t>
      </w:r>
      <w:r>
        <w:rPr>
          <w:rFonts w:hint="eastAsia"/>
          <w:b/>
          <w:color w:val="auto"/>
          <w:sz w:val="28"/>
          <w:szCs w:val="28"/>
          <w:highlight w:val="none"/>
        </w:rPr>
        <w:t xml:space="preserve">、</w:t>
      </w:r>
      <w:r>
        <w:rPr>
          <w:rFonts w:hint="default" w:ascii="Times New Roman" w:hAnsi="Times New Roman" w:cs="Times New Roman"/>
          <w:b/>
          <w:bCs/>
          <w:color w:val="auto"/>
          <w:sz w:val="28"/>
          <w:szCs w:val="28"/>
          <w:highlight w:val="none"/>
        </w:rPr>
        <w:t xml:space="preserve">附</w:t>
      </w:r>
      <w:r>
        <w:rPr>
          <w:rFonts w:hint="default" w:ascii="Times New Roman" w:hAnsi="Times New Roman" w:cs="Times New Roman"/>
          <w:b/>
          <w:bCs/>
          <w:sz w:val="28"/>
          <w:szCs w:val="28"/>
          <w:highlight w:val="none"/>
        </w:rPr>
        <w:t xml:space="preserve">件：证明材料汇总表</w:t>
      </w:r>
      <w:r/>
    </w:p>
    <w:tbl>
      <w:tblPr>
        <w:tblStyle w:val="68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00"/>
        <w:gridCol w:w="1139"/>
        <w:gridCol w:w="2953"/>
        <w:gridCol w:w="2372"/>
        <w:gridCol w:w="1136"/>
        <w:gridCol w:w="1073"/>
      </w:tblGrid>
      <w:tr>
        <w:trPr>
          <w:trHeight w:val="318"/>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证明材料</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是否提供</w:t>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1"/>
                <w:szCs w:val="21"/>
                <w:highlight w:val="none"/>
                <w:u w:val="none"/>
              </w:rPr>
              <w:suppressLineNumbers w:val="0"/>
            </w:pPr>
            <w:r>
              <w:rPr>
                <w:rFonts w:hint="eastAsia" w:asciiTheme="minorEastAsia" w:hAnsiTheme="minorEastAsia" w:eastAsiaTheme="minorEastAsia" w:cstheme="minorEastAsia"/>
                <w:b/>
                <w:bCs/>
                <w:i w:val="0"/>
                <w:iCs w:val="0"/>
                <w:color w:val="000000"/>
                <w:sz w:val="21"/>
                <w:szCs w:val="21"/>
                <w:highlight w:val="none"/>
                <w:u w:val="none"/>
                <w:lang w:val="en-US" w:eastAsia="zh-CN" w:bidi="ar"/>
              </w:rPr>
              <w:t xml:space="preserve">对应页码</w:t>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安防管理平台</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▲支持接入高级移动侦测的相机，移动侦测报警能够区分是人、车还是其它目标产生，可录像和记录报警信息；</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vMerge w:val="restart"/>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提供具备CNAS或CMA标识的检测报告扫描件并加盖投标人公章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1044"/>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▲支持开启SVC解码功能，可同时回放5路400W分辨率、H.264/H.265编码格式的视频图像，解码总资源为10个1920×1080格式的视频图像</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vMerge w:val="continue"/>
            <w:textDirection w:val="lrTb"/>
            <w:noWrap w:val="false"/>
          </w:tcPr>
          <w:p>
            <w:pPr>
              <w:jc w:val="both"/>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时间温湿度LED数码屏</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▲支持将实时温湿度信息叠加到视频画面上；</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vMerge w:val="restart"/>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提供具备CNAS或CMA标识的检测报告扫描件并加盖投标人公章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▲摄像机支持畸变矫正、远端放大功能；</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vMerge w:val="continue"/>
            <w:textDirection w:val="lrTb"/>
            <w:noWrap w:val="false"/>
          </w:tcPr>
          <w:p>
            <w:pPr>
              <w:jc w:val="both"/>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▲支持值岗、攀高、人数统计等智能分析功能；</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vMerge w:val="continue"/>
            <w:textDirection w:val="lrTb"/>
            <w:noWrap w:val="false"/>
          </w:tcPr>
          <w:p>
            <w:pPr>
              <w:jc w:val="both"/>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执法记录仪采集站（主机）</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▲执法数据采集设备应采用扩展坞的模块化结构设计，扩展坞支持按需插接，最多可支持3个扩展坞；</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vMerge w:val="restart"/>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提供具备CNAS或CMA标识的检测报告扫描件并加盖投标人公章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1392"/>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▲执法数据采集设备内置指纹识别器，支持采集录入用户的指纹信息；成功录入指纹信息的用户可通过指纹验证方式进行人员登录、执法仪申领、归还验证操作，指纹验证响应时间不大于2s；</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vMerge w:val="continue"/>
            <w:textDirection w:val="lrTb"/>
            <w:noWrap w:val="false"/>
          </w:tcPr>
          <w:p>
            <w:pPr>
              <w:jc w:val="both"/>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vMerge w:val="continue"/>
            <w:textDirection w:val="lrTb"/>
            <w:noWrap w:val="false"/>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▲执法数据采集设备在接入能力满负荷条件下的平均单路数据采集速率应大于等于5.8MB/s。</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vMerge w:val="continue"/>
            <w:textDirection w:val="lrTb"/>
            <w:noWrap w:val="false"/>
          </w:tcPr>
          <w:p>
            <w:pPr>
              <w:jc w:val="both"/>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★55寸信息发布一体机</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55寸信息发布一体机为政府强制采购节能产品</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本项目采购的55寸信息发布一体机为财政部、发展改革委发布的《节能产品政府采购品目清单》内强制节能产品,投标人只能选择具有节能产品认证证书的产品进行投标;投标时须提供所投产品由国家确定的认证机构出具的、处于有效期之内的节能产品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★85寸信息发布一体机(触摸)</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85寸信息发布一体机(触摸)为政府强制采购节能产品</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本项目采购的85寸信息发布一体机(触摸)为财政部、发展改革委发布的《节能产品政府采购品目清单》内强制节能产品,投标人只能选择具有节能产品认证证书的产品进行投标;投标时须提供所投产品由国家确定的认证机构出具的、处于有效期之内的节能产品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★55寸显示屏</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55寸显示屏为政府强制采购节能产品</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本项目采购的55寸显示屏为财政部、发展改革委发布的《节能产品政府采购品目清单》内强制节能产品,投标人只能选择具有节能产品认证证书的产品进行投标;投标时须提供所投产品由国家确定的认证机构出具的、处于有效期之内的节能产品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★86寸触控一体机（含OPS功能模块）</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86寸触控一体机（含OPS功能模块）为政府强制采购节能产品</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本项目采购的86寸触控一体机（含OPS功能模块）为财政部、发展改革委发布的《节能产品政府采购品目清单》内强制节能产品,投标人只能选择具有节能产品认证证书的产品进行投标;投标时须提供所投产品由国家确定的认证机构出具的、处于有效期之内的节能产品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★业务处理图形工作站（不含显示器）</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业务处理图形工作站（不含显示器）为政府强制采购节能产品</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本项目采购的业务处理图形工作站（不含显示器）为财政部、发展改革委发布的《节能产品政府采购品目清单》内强制节能产品,投标人只能选择具有节能产品认证证书的产品进行投标;投标时须提供所投产品由国家确定的认证机构出具的、处于有效期之内的节能产品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r>
        <w:trPr>
          <w:trHeight w:val="864"/>
        </w:trPr>
        <w:tc>
          <w:tcPr>
            <w:shd w:val="clear" w:color="auto" w:fill="auto"/>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★34寸带鱼屏</w:t>
            </w:r>
            <w:r/>
          </w:p>
        </w:tc>
        <w:tc>
          <w:tcPr>
            <w:shd w:val="clear" w:color="auto" w:fill="auto"/>
            <w:tcBorders>
              <w:top w:val="single" w:color="000000" w:sz="4" w:space="0"/>
              <w:left w:val="single" w:color="000000" w:sz="4" w:space="0"/>
              <w:bottom w:val="single" w:color="000000" w:sz="4" w:space="0"/>
              <w:right w:val="single" w:color="000000" w:sz="4" w:space="0"/>
            </w:tcBorders>
            <w:tcW w:w="295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34寸带鱼屏为政府强制采购节能产品</w:t>
            </w:r>
            <w:r/>
          </w:p>
        </w:tc>
        <w:tc>
          <w:tcPr>
            <w:shd w:val="clear" w:color="auto" w:fill="auto"/>
            <w:tcBorders>
              <w:top w:val="single" w:color="000000" w:sz="4" w:space="0"/>
              <w:left w:val="single" w:color="000000" w:sz="4" w:space="0"/>
              <w:bottom w:val="single" w:color="000000" w:sz="4" w:space="0"/>
              <w:right w:val="single" w:color="000000" w:sz="4" w:space="0"/>
            </w:tcBorders>
            <w:tcW w:w="2372"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000000"/>
                <w:sz w:val="21"/>
                <w:szCs w:val="21"/>
                <w:highlight w:val="none"/>
                <w:u w:val="none"/>
              </w:rPr>
              <w:suppressLineNumbers w:val="0"/>
            </w:pPr>
            <w:r>
              <w:rPr>
                <w:rFonts w:hint="eastAsia" w:asciiTheme="minorEastAsia" w:hAnsiTheme="minorEastAsia" w:eastAsiaTheme="minorEastAsia" w:cstheme="minorEastAsia"/>
                <w:i w:val="0"/>
                <w:iCs w:val="0"/>
                <w:color w:val="000000"/>
                <w:sz w:val="21"/>
                <w:szCs w:val="21"/>
                <w:highlight w:val="none"/>
                <w:u w:val="none"/>
                <w:lang w:val="en-US" w:eastAsia="zh-CN" w:bidi="ar"/>
              </w:rPr>
              <w:t xml:space="preserve">本项目采购的34寸带鱼屏为财政部、发展改革委发布的《节能产品政府采购品目清单》内强制节能产品,投标人只能选择具有节能产品认证证书的产品进行投标;投标时须提供所投产品由国家确定的认证机构出具的、处于有效期之内的节能产品认证证书扫描件。</w:t>
            </w:r>
            <w:r/>
          </w:p>
        </w:tc>
        <w:tc>
          <w:tcPr>
            <w:shd w:val="clear" w:color="auto" w:fill="auto"/>
            <w:tcBorders>
              <w:top w:val="single" w:color="000000" w:sz="4" w:space="0"/>
              <w:left w:val="single" w:color="000000" w:sz="4" w:space="0"/>
              <w:bottom w:val="single" w:color="000000" w:sz="4" w:space="0"/>
              <w:right w:val="single" w:color="000000" w:sz="4" w:space="0"/>
            </w:tcBorders>
            <w:tcW w:w="1136" w:type="dxa"/>
            <w:vAlign w:val="center"/>
            <w:textDirection w:val="lrTb"/>
            <w:noWrap/>
          </w:tcPr>
          <w:p>
            <w:pPr>
              <w:jc w:val="left"/>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tcPr>
          <w:p>
            <w:pPr>
              <w:rPr>
                <w:rFonts w:hint="eastAsia" w:asciiTheme="minorEastAsia" w:hAnsiTheme="minorEastAsia" w:eastAsiaTheme="minorEastAsia" w:cstheme="minorEastAsia"/>
                <w:i w:val="0"/>
                <w:iCs w:val="0"/>
                <w:color w:val="000000"/>
                <w:sz w:val="21"/>
                <w:szCs w:val="21"/>
                <w:highlight w:val="none"/>
                <w:u w:val="none"/>
              </w:rPr>
            </w:pPr>
            <w:r>
              <w:rPr>
                <w:rFonts w:hint="eastAsia" w:asciiTheme="minorEastAsia" w:hAnsiTheme="minorEastAsia" w:eastAsiaTheme="minorEastAsia" w:cstheme="minorEastAsia"/>
                <w:i w:val="0"/>
                <w:iCs w:val="0"/>
                <w:color w:val="000000"/>
                <w:sz w:val="21"/>
                <w:szCs w:val="21"/>
                <w:highlight w:val="none"/>
                <w:u w:val="none"/>
              </w:rPr>
            </w:r>
            <w:r/>
          </w:p>
        </w:tc>
      </w:tr>
    </w:tbl>
    <w:p>
      <w:pPr>
        <w:rPr>
          <w:rFonts w:hint="eastAsia" w:ascii="宋体" w:hAnsi="宋体"/>
          <w:bCs/>
        </w:rPr>
      </w:pPr>
      <w:r>
        <w:rPr>
          <w:rFonts w:hint="eastAsia" w:ascii="宋体" w:hAnsi="宋体"/>
          <w:bCs/>
        </w:rPr>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rPr>
        <w:rStyle w:val="722"/>
        <w:rFonts w:ascii="宋体" w:hAnsi="宋体"/>
      </w:rPr>
      <w:framePr w:wrap="around" w:vAnchor="text" w:hAnchor="margin" w:xAlign="center" w:y="1"/>
    </w:pPr>
    <w:r>
      <w:rPr>
        <w:rFonts w:ascii="宋体" w:hAnsi="宋体"/>
      </w:rPr>
      <w:fldChar w:fldCharType="begin"/>
    </w:r>
    <w:r>
      <w:rPr>
        <w:rStyle w:val="722"/>
        <w:rFonts w:ascii="宋体" w:hAnsi="宋体"/>
      </w:rPr>
      <w:instrText xml:space="preserve">PAGE  </w:instrText>
    </w:r>
    <w:r>
      <w:rPr>
        <w:rFonts w:ascii="宋体" w:hAnsi="宋体"/>
      </w:rPr>
      <w:fldChar w:fldCharType="separate"/>
    </w:r>
    <w:r>
      <w:rPr>
        <w:rStyle w:val="722"/>
        <w:rFonts w:ascii="宋体" w:hAnsi="宋体"/>
      </w:rPr>
      <w:t xml:space="preserve">１５</w:t>
    </w:r>
    <w:r>
      <w:rPr>
        <w:rFonts w:ascii="宋体" w:hAnsi="宋体"/>
      </w:rPr>
      <w:fldChar w:fldCharType="end"/>
    </w:r>
    <w:r/>
  </w:p>
  <w:p>
    <w:pPr>
      <w:pStyle w:val="70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rPr>
        <w:rStyle w:val="722"/>
      </w:rPr>
      <w:framePr w:wrap="around" w:vAnchor="text" w:hAnchor="margin" w:xAlign="center" w:y="1"/>
    </w:pPr>
    <w:r>
      <w:fldChar w:fldCharType="begin"/>
    </w:r>
    <w:r>
      <w:rPr>
        <w:rStyle w:val="722"/>
      </w:rPr>
      <w:instrText xml:space="preserve">PAGE  </w:instrText>
    </w:r>
    <w:r>
      <w:fldChar w:fldCharType="separate"/>
    </w:r>
    <w:r>
      <w:rPr>
        <w:rStyle w:val="722"/>
      </w:rPr>
      <w:t xml:space="preserve">1</w:t>
    </w:r>
    <w:r>
      <w:fldChar w:fldCharType="end"/>
    </w:r>
    <w:r/>
  </w:p>
  <w:p>
    <w:pPr>
      <w:pStyle w:val="7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2"/>
      <w:isLgl w:val="false"/>
      <w:suff w:val="nothing"/>
      <w:lvlText w:val=""/>
      <w:lvlJc w:val="left"/>
      <w:pPr>
        <w:ind w:left="0" w:firstLine="0"/>
      </w:pPr>
      <w:rPr>
        <w:rFonts w:hint="eastAsia"/>
      </w:rPr>
    </w:lvl>
    <w:lvl w:ilvl="6">
      <w:start w:val="1"/>
      <w:numFmt w:val="none"/>
      <w:pStyle w:val="683"/>
      <w:isLgl w:val="false"/>
      <w:suff w:val="nothing"/>
      <w:lvlText w:val=""/>
      <w:lvlJc w:val="left"/>
      <w:pPr>
        <w:ind w:left="0" w:firstLine="0"/>
      </w:pPr>
      <w:rPr>
        <w:rFonts w:hint="eastAsia"/>
      </w:rPr>
    </w:lvl>
    <w:lvl w:ilvl="7">
      <w:start w:val="1"/>
      <w:numFmt w:val="none"/>
      <w:pStyle w:val="684"/>
      <w:isLgl w:val="false"/>
      <w:suff w:val="nothing"/>
      <w:lvlText w:val=""/>
      <w:lvlJc w:val="left"/>
      <w:pPr>
        <w:ind w:left="0" w:firstLine="0"/>
      </w:pPr>
      <w:rPr>
        <w:rFonts w:hint="eastAsia"/>
      </w:rPr>
    </w:lvl>
    <w:lvl w:ilvl="8">
      <w:start w:val="1"/>
      <w:numFmt w:val="none"/>
      <w:pStyle w:val="685"/>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0"/>
  </w:num>
  <w:num w:numId="4">
    <w:abstractNumId w:val="15"/>
  </w:num>
  <w:num w:numId="5">
    <w:abstractNumId w:val="4"/>
  </w:num>
  <w:num w:numId="6">
    <w:abstractNumId w:val="8"/>
  </w:num>
  <w:num w:numId="7">
    <w:abstractNumId w:val="2"/>
  </w:num>
  <w:num w:numId="8">
    <w:abstractNumId w:val="3"/>
  </w:num>
  <w:num w:numId="9">
    <w:abstractNumId w:val="12"/>
  </w:num>
  <w:num w:numId="10">
    <w:abstractNumId w:val="5"/>
  </w:num>
  <w:num w:numId="11">
    <w:abstractNumId w:val="1"/>
  </w:num>
  <w:num w:numId="12">
    <w:abstractNumId w:val="9"/>
  </w:num>
  <w:num w:numId="13">
    <w:abstractNumId w:val="6"/>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5"/>
    <w:uiPriority w:val="99"/>
  </w:style>
  <w:style w:type="character" w:styleId="44">
    <w:name w:val="Footer Char"/>
    <w:basedOn w:val="686"/>
    <w:link w:val="704"/>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04"/>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67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link w:val="727"/>
    <w:uiPriority w:val="0"/>
    <w:qFormat/>
    <w:pPr>
      <w:jc w:val="center"/>
      <w:keepNext/>
      <w:outlineLvl w:val="0"/>
    </w:pPr>
    <w:rPr>
      <w:rFonts w:ascii="楷体_GB2312" w:eastAsia="楷体_GB2312"/>
      <w:sz w:val="28"/>
      <w:szCs w:val="28"/>
    </w:rPr>
  </w:style>
  <w:style w:type="paragraph" w:styleId="678">
    <w:name w:val="Heading 2"/>
    <w:basedOn w:val="676"/>
    <w:next w:val="688"/>
    <w:link w:val="728"/>
    <w:uiPriority w:val="0"/>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76"/>
    <w:link w:val="730"/>
    <w:uiPriority w:val="0"/>
    <w:qFormat/>
    <w:pPr>
      <w:keepLines/>
      <w:keepNext/>
      <w:spacing w:before="260" w:after="260" w:line="416" w:lineRule="auto"/>
      <w:outlineLvl w:val="2"/>
    </w:pPr>
    <w:rPr>
      <w:b/>
      <w:bCs/>
      <w:sz w:val="32"/>
      <w:szCs w:val="32"/>
    </w:rPr>
  </w:style>
  <w:style w:type="paragraph" w:styleId="680">
    <w:name w:val="Heading 4"/>
    <w:basedOn w:val="676"/>
    <w:next w:val="688"/>
    <w:link w:val="731"/>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8"/>
    <w:link w:val="732"/>
    <w:uiPriority w:val="0"/>
    <w:qFormat/>
    <w:pPr>
      <w:keepNext/>
      <w:outlineLvl w:val="4"/>
    </w:pPr>
    <w:rPr>
      <w:rFonts w:ascii="宋体"/>
      <w:color w:val="000000"/>
      <w:sz w:val="28"/>
      <w:szCs w:val="28"/>
    </w:rPr>
  </w:style>
  <w:style w:type="paragraph" w:styleId="682">
    <w:name w:val="Heading 6"/>
    <w:basedOn w:val="676"/>
    <w:next w:val="676"/>
    <w:link w:val="7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734"/>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7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736"/>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unhideWhenUsed/>
    <w:qFormat/>
  </w:style>
  <w:style w:type="table" w:styleId="687" w:default="1">
    <w:name w:val="Normal Table"/>
    <w:uiPriority w:val="99"/>
    <w:unhideWhenUsed/>
    <w:qFormat/>
    <w:tblPr>
      <w:tblCellMar>
        <w:left w:w="108" w:type="dxa"/>
        <w:top w:w="0" w:type="dxa"/>
        <w:right w:w="108" w:type="dxa"/>
        <w:bottom w:w="0" w:type="dxa"/>
      </w:tblCellMar>
    </w:tblPr>
  </w:style>
  <w:style w:type="paragraph" w:styleId="688">
    <w:name w:val="Normal Indent"/>
    <w:basedOn w:val="676"/>
    <w:link w:val="729"/>
    <w:uiPriority w:val="0"/>
    <w:qFormat/>
    <w:pPr>
      <w:ind w:firstLine="420"/>
    </w:pPr>
    <w:rPr>
      <w:sz w:val="20"/>
    </w:rPr>
  </w:style>
  <w:style w:type="paragraph" w:styleId="689">
    <w:name w:val="List 3"/>
    <w:basedOn w:val="676"/>
    <w:uiPriority w:val="0"/>
    <w:qFormat/>
    <w:pPr>
      <w:ind w:left="100" w:hanging="200"/>
    </w:pPr>
  </w:style>
  <w:style w:type="paragraph" w:styleId="690">
    <w:name w:val="toc 7"/>
    <w:basedOn w:val="676"/>
    <w:next w:val="676"/>
    <w:uiPriority w:val="0"/>
    <w:semiHidden/>
    <w:qFormat/>
    <w:pPr>
      <w:ind w:left="1260"/>
      <w:jc w:val="left"/>
    </w:pPr>
  </w:style>
  <w:style w:type="paragraph" w:styleId="691">
    <w:name w:val="Document Map"/>
    <w:basedOn w:val="676"/>
    <w:link w:val="737"/>
    <w:uiPriority w:val="0"/>
    <w:semiHidden/>
    <w:qFormat/>
    <w:pPr>
      <w:shd w:val="clear" w:color="auto" w:fill="000080"/>
    </w:pPr>
    <w:rPr>
      <w:sz w:val="20"/>
    </w:rPr>
  </w:style>
  <w:style w:type="paragraph" w:styleId="692">
    <w:name w:val="annotation text"/>
    <w:basedOn w:val="676"/>
    <w:link w:val="738"/>
    <w:uiPriority w:val="0"/>
    <w:semiHidden/>
    <w:qFormat/>
    <w:pPr>
      <w:jc w:val="left"/>
    </w:pPr>
    <w:rPr>
      <w:sz w:val="20"/>
    </w:rPr>
  </w:style>
  <w:style w:type="paragraph" w:styleId="693">
    <w:name w:val="Body Text 3"/>
    <w:basedOn w:val="676"/>
    <w:link w:val="739"/>
    <w:uiPriority w:val="0"/>
    <w:qFormat/>
    <w:rPr>
      <w:rFonts w:ascii="仿宋_GB2312" w:hAnsi="Arial" w:eastAsia="仿宋_GB2312"/>
      <w:sz w:val="32"/>
      <w:szCs w:val="32"/>
    </w:rPr>
  </w:style>
  <w:style w:type="paragraph" w:styleId="694">
    <w:name w:val="Body Text"/>
    <w:basedOn w:val="676"/>
    <w:link w:val="740"/>
    <w:uiPriority w:val="0"/>
    <w:qFormat/>
    <w:rPr>
      <w:rFonts w:ascii="楷体_GB2312" w:hAnsi="Arial" w:eastAsia="楷体_GB2312"/>
      <w:sz w:val="28"/>
      <w:szCs w:val="28"/>
    </w:rPr>
  </w:style>
  <w:style w:type="paragraph" w:styleId="695">
    <w:name w:val="Body Text Indent"/>
    <w:basedOn w:val="676"/>
    <w:link w:val="741"/>
    <w:uiPriority w:val="0"/>
    <w:qFormat/>
    <w:pPr>
      <w:ind w:firstLine="645"/>
    </w:pPr>
    <w:rPr>
      <w:rFonts w:ascii="楷体_GB2312" w:eastAsia="楷体_GB2312"/>
      <w:sz w:val="32"/>
      <w:szCs w:val="32"/>
    </w:rPr>
  </w:style>
  <w:style w:type="paragraph" w:styleId="696">
    <w:name w:val="List 2"/>
    <w:basedOn w:val="676"/>
    <w:uiPriority w:val="0"/>
    <w:qFormat/>
    <w:pPr>
      <w:ind w:left="100" w:hanging="200"/>
    </w:pPr>
  </w:style>
  <w:style w:type="paragraph" w:styleId="697">
    <w:name w:val="toc 5"/>
    <w:basedOn w:val="676"/>
    <w:next w:val="676"/>
    <w:uiPriority w:val="0"/>
    <w:semiHidden/>
    <w:qFormat/>
    <w:pPr>
      <w:ind w:left="840"/>
      <w:jc w:val="left"/>
    </w:pPr>
  </w:style>
  <w:style w:type="paragraph" w:styleId="698">
    <w:name w:val="toc 3"/>
    <w:basedOn w:val="676"/>
    <w:next w:val="676"/>
    <w:uiPriority w:val="0"/>
    <w:semiHidden/>
    <w:qFormat/>
    <w:pPr>
      <w:ind w:left="420"/>
      <w:jc w:val="left"/>
    </w:pPr>
    <w:rPr>
      <w:i/>
      <w:iCs/>
      <w:szCs w:val="24"/>
    </w:rPr>
  </w:style>
  <w:style w:type="paragraph" w:styleId="699">
    <w:name w:val="Plain Text"/>
    <w:basedOn w:val="676"/>
    <w:link w:val="742"/>
    <w:uiPriority w:val="0"/>
    <w:qFormat/>
    <w:rPr>
      <w:rFonts w:ascii="宋体" w:hAnsi="Courier New"/>
      <w:sz w:val="20"/>
    </w:rPr>
  </w:style>
  <w:style w:type="paragraph" w:styleId="700">
    <w:name w:val="toc 8"/>
    <w:basedOn w:val="676"/>
    <w:next w:val="676"/>
    <w:uiPriority w:val="0"/>
    <w:semiHidden/>
    <w:qFormat/>
    <w:pPr>
      <w:ind w:left="1470"/>
      <w:jc w:val="left"/>
    </w:pPr>
  </w:style>
  <w:style w:type="paragraph" w:styleId="701">
    <w:name w:val="Date"/>
    <w:basedOn w:val="676"/>
    <w:next w:val="676"/>
    <w:link w:val="743"/>
    <w:uiPriority w:val="0"/>
    <w:qFormat/>
    <w:rPr>
      <w:sz w:val="24"/>
      <w:szCs w:val="24"/>
    </w:rPr>
  </w:style>
  <w:style w:type="paragraph" w:styleId="702">
    <w:name w:val="Body Text Indent 2"/>
    <w:basedOn w:val="676"/>
    <w:link w:val="744"/>
    <w:uiPriority w:val="0"/>
    <w:qFormat/>
    <w:pPr>
      <w:ind w:left="630" w:firstLine="645"/>
    </w:pPr>
    <w:rPr>
      <w:rFonts w:ascii="Arial" w:hAnsi="Arial" w:eastAsia="仿宋_GB2312"/>
      <w:sz w:val="32"/>
      <w:szCs w:val="32"/>
    </w:rPr>
  </w:style>
  <w:style w:type="paragraph" w:styleId="703">
    <w:name w:val="Balloon Text"/>
    <w:basedOn w:val="676"/>
    <w:link w:val="745"/>
    <w:uiPriority w:val="0"/>
    <w:semiHidden/>
    <w:qFormat/>
    <w:rPr>
      <w:sz w:val="18"/>
      <w:szCs w:val="18"/>
    </w:rPr>
  </w:style>
  <w:style w:type="paragraph" w:styleId="704">
    <w:name w:val="Footer"/>
    <w:basedOn w:val="676"/>
    <w:link w:val="746"/>
    <w:uiPriority w:val="0"/>
    <w:qFormat/>
    <w:pPr>
      <w:jc w:val="left"/>
      <w:tabs>
        <w:tab w:val="center" w:pos="4153" w:leader="none"/>
        <w:tab w:val="right" w:pos="8306" w:leader="none"/>
      </w:tabs>
    </w:pPr>
    <w:rPr>
      <w:sz w:val="18"/>
      <w:szCs w:val="18"/>
    </w:rPr>
  </w:style>
  <w:style w:type="paragraph" w:styleId="705">
    <w:name w:val="Header"/>
    <w:basedOn w:val="676"/>
    <w:link w:val="747"/>
    <w:uiPriority w:val="99"/>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76"/>
    <w:next w:val="676"/>
    <w:uiPriority w:val="0"/>
    <w:semiHidden/>
    <w:qFormat/>
    <w:pPr>
      <w:jc w:val="left"/>
      <w:spacing w:before="120" w:after="120" w:line="400" w:lineRule="exact"/>
      <w:tabs>
        <w:tab w:val="right" w:pos="8720" w:leader="dot"/>
      </w:tabs>
    </w:pPr>
    <w:rPr>
      <w:rFonts w:ascii="宋体" w:hAnsi="宋体"/>
      <w:caps/>
      <w:sz w:val="24"/>
      <w:szCs w:val="24"/>
    </w:rPr>
  </w:style>
  <w:style w:type="paragraph" w:styleId="707">
    <w:name w:val="toc 4"/>
    <w:basedOn w:val="676"/>
    <w:next w:val="676"/>
    <w:uiPriority w:val="0"/>
    <w:semiHidden/>
    <w:qFormat/>
    <w:pPr>
      <w:ind w:left="630"/>
      <w:jc w:val="left"/>
    </w:pPr>
  </w:style>
  <w:style w:type="paragraph" w:styleId="708">
    <w:name w:val="List"/>
    <w:basedOn w:val="676"/>
    <w:uiPriority w:val="0"/>
    <w:qFormat/>
    <w:pPr>
      <w:ind w:left="200" w:hanging="200"/>
    </w:pPr>
  </w:style>
  <w:style w:type="paragraph" w:styleId="709">
    <w:name w:val="toc 6"/>
    <w:basedOn w:val="676"/>
    <w:next w:val="676"/>
    <w:uiPriority w:val="0"/>
    <w:semiHidden/>
    <w:qFormat/>
    <w:pPr>
      <w:ind w:left="1050"/>
      <w:jc w:val="left"/>
    </w:pPr>
  </w:style>
  <w:style w:type="paragraph" w:styleId="710">
    <w:name w:val="Body Text Indent 3"/>
    <w:basedOn w:val="676"/>
    <w:link w:val="748"/>
    <w:uiPriority w:val="0"/>
    <w:qFormat/>
    <w:pPr>
      <w:ind w:left="645" w:firstLine="645"/>
    </w:pPr>
    <w:rPr>
      <w:rFonts w:ascii="Arial" w:hAnsi="Arial" w:eastAsia="仿宋_GB2312"/>
      <w:color w:val="ffff00"/>
      <w:sz w:val="32"/>
      <w:szCs w:val="32"/>
    </w:rPr>
  </w:style>
  <w:style w:type="paragraph" w:styleId="711">
    <w:name w:val="table of figures"/>
    <w:basedOn w:val="676"/>
    <w:next w:val="676"/>
    <w:uiPriority w:val="0"/>
    <w:semiHidden/>
    <w:qFormat/>
    <w:pPr>
      <w:ind w:left="840" w:hanging="420"/>
    </w:pPr>
  </w:style>
  <w:style w:type="paragraph" w:styleId="712">
    <w:name w:val="toc 2"/>
    <w:basedOn w:val="676"/>
    <w:next w:val="676"/>
    <w:uiPriority w:val="0"/>
    <w:semiHidden/>
    <w:qFormat/>
    <w:pPr>
      <w:ind w:left="210"/>
      <w:jc w:val="left"/>
    </w:pPr>
    <w:rPr>
      <w:smallCaps/>
      <w:szCs w:val="24"/>
    </w:rPr>
  </w:style>
  <w:style w:type="paragraph" w:styleId="713">
    <w:name w:val="toc 9"/>
    <w:basedOn w:val="676"/>
    <w:next w:val="676"/>
    <w:uiPriority w:val="0"/>
    <w:semiHidden/>
    <w:qFormat/>
    <w:pPr>
      <w:ind w:left="1680"/>
      <w:jc w:val="left"/>
    </w:pPr>
  </w:style>
  <w:style w:type="paragraph" w:styleId="714">
    <w:name w:val="Body Text 2"/>
    <w:basedOn w:val="676"/>
    <w:link w:val="749"/>
    <w:uiPriority w:val="0"/>
    <w:qFormat/>
    <w:pPr>
      <w:jc w:val="center"/>
      <w:widowControl/>
    </w:pPr>
    <w:rPr>
      <w:rFonts w:ascii="楷体_GB2312" w:eastAsia="楷体_GB2312"/>
      <w:sz w:val="28"/>
      <w:szCs w:val="28"/>
    </w:rPr>
  </w:style>
  <w:style w:type="paragraph" w:styleId="715">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716">
    <w:name w:val="index 1"/>
    <w:basedOn w:val="676"/>
    <w:next w:val="676"/>
    <w:uiPriority w:val="0"/>
    <w:semiHidden/>
    <w:qFormat/>
    <w:pPr>
      <w:spacing w:line="240" w:lineRule="atLeast"/>
    </w:pPr>
    <w:rPr>
      <w:b/>
      <w:bCs/>
    </w:rPr>
  </w:style>
  <w:style w:type="paragraph" w:styleId="717">
    <w:name w:val="annotation subject"/>
    <w:basedOn w:val="692"/>
    <w:next w:val="692"/>
    <w:link w:val="750"/>
    <w:uiPriority w:val="0"/>
    <w:semiHidden/>
    <w:qFormat/>
    <w:rPr>
      <w:b/>
      <w:bCs/>
    </w:rPr>
  </w:style>
  <w:style w:type="paragraph" w:styleId="718">
    <w:name w:val="Body Text First Indent"/>
    <w:basedOn w:val="676"/>
    <w:link w:val="751"/>
    <w:uiPriority w:val="0"/>
    <w:qFormat/>
    <w:pPr>
      <w:ind w:firstLine="200"/>
      <w:spacing w:line="360" w:lineRule="auto"/>
    </w:pPr>
    <w:rPr>
      <w:rFonts w:ascii="仿宋_GB2312" w:eastAsia="仿宋_GB2312"/>
      <w:sz w:val="30"/>
      <w:szCs w:val="30"/>
    </w:rPr>
  </w:style>
  <w:style w:type="paragraph" w:styleId="719">
    <w:name w:val="Body Text First Indent 2"/>
    <w:basedOn w:val="695"/>
    <w:link w:val="752"/>
    <w:uiPriority w:val="0"/>
    <w:qFormat/>
    <w:pPr>
      <w:ind w:firstLine="420"/>
      <w:spacing w:line="360" w:lineRule="auto"/>
    </w:pPr>
    <w:rPr>
      <w:rFonts w:ascii="宋体" w:hAnsi="宋体" w:eastAsia="宋体"/>
      <w:szCs w:val="20"/>
    </w:rPr>
  </w:style>
  <w:style w:type="table" w:styleId="720">
    <w:name w:val="Table Grid"/>
    <w:basedOn w:val="68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Strong"/>
    <w:uiPriority w:val="0"/>
    <w:qFormat/>
    <w:rPr>
      <w:b/>
      <w:bCs/>
    </w:rPr>
  </w:style>
  <w:style w:type="character" w:styleId="722">
    <w:name w:val="page number"/>
    <w:uiPriority w:val="0"/>
    <w:qFormat/>
  </w:style>
  <w:style w:type="character" w:styleId="723">
    <w:name w:val="FollowedHyperlink"/>
    <w:uiPriority w:val="0"/>
    <w:qFormat/>
    <w:rPr>
      <w:color w:val="800080"/>
      <w:u w:val="single"/>
    </w:rPr>
  </w:style>
  <w:style w:type="character" w:styleId="724">
    <w:name w:val="HTML Typewriter"/>
    <w:uiPriority w:val="99"/>
    <w:qFormat/>
    <w:rPr>
      <w:rFonts w:ascii="宋体" w:hAnsi="宋体" w:eastAsia="宋体" w:cs="宋体"/>
      <w:sz w:val="24"/>
      <w:szCs w:val="24"/>
    </w:rPr>
  </w:style>
  <w:style w:type="character" w:styleId="725">
    <w:name w:val="Hyperlink"/>
    <w:uiPriority w:val="0"/>
    <w:qFormat/>
    <w:rPr>
      <w:color w:val="0000ff"/>
      <w:u w:val="single"/>
    </w:rPr>
  </w:style>
  <w:style w:type="character" w:styleId="726">
    <w:name w:val="annotation reference"/>
    <w:uiPriority w:val="0"/>
    <w:semiHidden/>
    <w:qFormat/>
    <w:rPr>
      <w:sz w:val="21"/>
      <w:szCs w:val="21"/>
    </w:rPr>
  </w:style>
  <w:style w:type="character" w:styleId="727" w:customStyle="1">
    <w:name w:val="标题 1 Char"/>
    <w:link w:val="677"/>
    <w:uiPriority w:val="0"/>
    <w:qFormat/>
    <w:rPr>
      <w:rFonts w:ascii="楷体_GB2312" w:hAnsi="Times New Roman" w:eastAsia="楷体_GB2312" w:cs="Times New Roman"/>
      <w:sz w:val="28"/>
      <w:szCs w:val="28"/>
    </w:rPr>
  </w:style>
  <w:style w:type="character" w:styleId="728" w:customStyle="1">
    <w:name w:val="标题 2 Char"/>
    <w:link w:val="678"/>
    <w:uiPriority w:val="0"/>
    <w:qFormat/>
    <w:rPr>
      <w:rFonts w:ascii="Arial" w:hAnsi="Arial" w:eastAsia="幼圆" w:cs="Arial"/>
      <w:b/>
      <w:bCs/>
      <w:sz w:val="44"/>
      <w:szCs w:val="44"/>
    </w:rPr>
  </w:style>
  <w:style w:type="character" w:styleId="729" w:customStyle="1">
    <w:name w:val="正文缩进 Char"/>
    <w:link w:val="688"/>
    <w:uiPriority w:val="0"/>
    <w:qFormat/>
    <w:rPr>
      <w:rFonts w:ascii="Times New Roman" w:hAnsi="Times New Roman" w:eastAsia="宋体" w:cs="Times New Roman"/>
      <w:szCs w:val="21"/>
    </w:rPr>
  </w:style>
  <w:style w:type="character" w:styleId="730" w:customStyle="1">
    <w:name w:val="标题 3 Char"/>
    <w:link w:val="679"/>
    <w:uiPriority w:val="0"/>
    <w:qFormat/>
    <w:rPr>
      <w:rFonts w:ascii="Times New Roman" w:hAnsi="Times New Roman" w:eastAsia="宋体" w:cs="Times New Roman"/>
      <w:b/>
      <w:bCs/>
      <w:sz w:val="32"/>
      <w:szCs w:val="32"/>
    </w:rPr>
  </w:style>
  <w:style w:type="character" w:styleId="731" w:customStyle="1">
    <w:name w:val="标题 4 Char"/>
    <w:link w:val="680"/>
    <w:uiPriority w:val="0"/>
    <w:qFormat/>
    <w:rPr>
      <w:rFonts w:ascii="Arial" w:hAnsi="Arial" w:eastAsia="黑体" w:cs="Arial"/>
      <w:b/>
      <w:bCs/>
      <w:sz w:val="28"/>
      <w:szCs w:val="28"/>
    </w:rPr>
  </w:style>
  <w:style w:type="character" w:styleId="732" w:customStyle="1">
    <w:name w:val="标题 5 Char"/>
    <w:link w:val="681"/>
    <w:uiPriority w:val="0"/>
    <w:qFormat/>
    <w:rPr>
      <w:rFonts w:ascii="宋体" w:hAnsi="Times New Roman" w:eastAsia="宋体" w:cs="Times New Roman"/>
      <w:color w:val="000000"/>
      <w:sz w:val="28"/>
      <w:szCs w:val="28"/>
    </w:rPr>
  </w:style>
  <w:style w:type="character" w:styleId="733" w:customStyle="1">
    <w:name w:val="标题 6 Char"/>
    <w:link w:val="682"/>
    <w:uiPriority w:val="0"/>
    <w:qFormat/>
    <w:rPr>
      <w:rFonts w:ascii="Arial" w:hAnsi="Arial" w:eastAsia="黑体" w:cs="Times New Roman"/>
      <w:b/>
      <w:bCs/>
      <w:sz w:val="24"/>
      <w:szCs w:val="24"/>
    </w:rPr>
  </w:style>
  <w:style w:type="character" w:styleId="734" w:customStyle="1">
    <w:name w:val="标题 7 Char"/>
    <w:link w:val="683"/>
    <w:uiPriority w:val="0"/>
    <w:qFormat/>
    <w:rPr>
      <w:rFonts w:ascii="Times New Roman" w:hAnsi="Times New Roman" w:eastAsia="宋体" w:cs="Times New Roman"/>
      <w:b/>
      <w:bCs/>
      <w:sz w:val="24"/>
      <w:szCs w:val="24"/>
    </w:rPr>
  </w:style>
  <w:style w:type="character" w:styleId="735" w:customStyle="1">
    <w:name w:val="标题 8 Char"/>
    <w:link w:val="684"/>
    <w:uiPriority w:val="0"/>
    <w:qFormat/>
    <w:rPr>
      <w:rFonts w:ascii="Arial" w:hAnsi="Arial" w:eastAsia="黑体" w:cs="Times New Roman"/>
      <w:sz w:val="24"/>
      <w:szCs w:val="24"/>
    </w:rPr>
  </w:style>
  <w:style w:type="character" w:styleId="736" w:customStyle="1">
    <w:name w:val="标题 9 Char"/>
    <w:link w:val="685"/>
    <w:uiPriority w:val="0"/>
    <w:qFormat/>
    <w:rPr>
      <w:rFonts w:ascii="Arial" w:hAnsi="Arial" w:eastAsia="黑体" w:cs="Times New Roman"/>
      <w:szCs w:val="21"/>
    </w:rPr>
  </w:style>
  <w:style w:type="character" w:styleId="737" w:customStyle="1">
    <w:name w:val="文档结构图 Char"/>
    <w:link w:val="691"/>
    <w:uiPriority w:val="0"/>
    <w:semiHidden/>
    <w:qFormat/>
    <w:rPr>
      <w:rFonts w:ascii="Times New Roman" w:hAnsi="Times New Roman" w:eastAsia="宋体" w:cs="Times New Roman"/>
      <w:szCs w:val="21"/>
      <w:shd w:val="clear" w:color="auto" w:fill="000080"/>
    </w:rPr>
  </w:style>
  <w:style w:type="character" w:styleId="738" w:customStyle="1">
    <w:name w:val="批注文字 Char"/>
    <w:link w:val="692"/>
    <w:uiPriority w:val="0"/>
    <w:semiHidden/>
    <w:qFormat/>
    <w:rPr>
      <w:rFonts w:ascii="Times New Roman" w:hAnsi="Times New Roman" w:eastAsia="宋体" w:cs="Times New Roman"/>
      <w:szCs w:val="21"/>
    </w:rPr>
  </w:style>
  <w:style w:type="character" w:styleId="739" w:customStyle="1">
    <w:name w:val="正文文本 3 Char"/>
    <w:link w:val="693"/>
    <w:uiPriority w:val="0"/>
    <w:qFormat/>
    <w:rPr>
      <w:rFonts w:ascii="仿宋_GB2312" w:hAnsi="Arial" w:eastAsia="仿宋_GB2312" w:cs="Times New Roman"/>
      <w:sz w:val="32"/>
      <w:szCs w:val="32"/>
    </w:rPr>
  </w:style>
  <w:style w:type="character" w:styleId="740" w:customStyle="1">
    <w:name w:val="正文文本 Char"/>
    <w:link w:val="694"/>
    <w:uiPriority w:val="0"/>
    <w:qFormat/>
    <w:rPr>
      <w:rFonts w:ascii="楷体_GB2312" w:hAnsi="Arial" w:eastAsia="楷体_GB2312" w:cs="Times New Roman"/>
      <w:sz w:val="28"/>
      <w:szCs w:val="28"/>
    </w:rPr>
  </w:style>
  <w:style w:type="character" w:styleId="741" w:customStyle="1">
    <w:name w:val="正文文本缩进 Char"/>
    <w:link w:val="695"/>
    <w:uiPriority w:val="0"/>
    <w:qFormat/>
    <w:rPr>
      <w:rFonts w:ascii="楷体_GB2312" w:hAnsi="Times New Roman" w:eastAsia="楷体_GB2312" w:cs="Times New Roman"/>
      <w:sz w:val="32"/>
      <w:szCs w:val="32"/>
    </w:rPr>
  </w:style>
  <w:style w:type="character" w:styleId="742" w:customStyle="1">
    <w:name w:val="纯文本 Char"/>
    <w:link w:val="699"/>
    <w:uiPriority w:val="0"/>
    <w:qFormat/>
    <w:rPr>
      <w:rFonts w:ascii="宋体" w:hAnsi="Courier New" w:eastAsia="宋体" w:cs="Courier New"/>
      <w:szCs w:val="21"/>
    </w:rPr>
  </w:style>
  <w:style w:type="character" w:styleId="743" w:customStyle="1">
    <w:name w:val="日期 Char"/>
    <w:link w:val="701"/>
    <w:uiPriority w:val="0"/>
    <w:qFormat/>
    <w:rPr>
      <w:rFonts w:ascii="Times New Roman" w:hAnsi="Times New Roman" w:eastAsia="宋体" w:cs="Times New Roman"/>
      <w:sz w:val="24"/>
      <w:szCs w:val="24"/>
    </w:rPr>
  </w:style>
  <w:style w:type="character" w:styleId="744" w:customStyle="1">
    <w:name w:val="正文文本缩进 2 Char"/>
    <w:link w:val="702"/>
    <w:uiPriority w:val="0"/>
    <w:qFormat/>
    <w:rPr>
      <w:rFonts w:ascii="Arial" w:hAnsi="Arial" w:eastAsia="仿宋_GB2312" w:cs="Arial"/>
      <w:sz w:val="32"/>
      <w:szCs w:val="32"/>
    </w:rPr>
  </w:style>
  <w:style w:type="character" w:styleId="745" w:customStyle="1">
    <w:name w:val="批注框文本 Char"/>
    <w:link w:val="703"/>
    <w:uiPriority w:val="0"/>
    <w:semiHidden/>
    <w:qFormat/>
    <w:rPr>
      <w:rFonts w:ascii="Times New Roman" w:hAnsi="Times New Roman" w:eastAsia="宋体" w:cs="Times New Roman"/>
      <w:sz w:val="18"/>
      <w:szCs w:val="18"/>
    </w:rPr>
  </w:style>
  <w:style w:type="character" w:styleId="746" w:customStyle="1">
    <w:name w:val="页脚 Char"/>
    <w:link w:val="704"/>
    <w:uiPriority w:val="0"/>
    <w:qFormat/>
    <w:rPr>
      <w:rFonts w:ascii="Times New Roman" w:hAnsi="Times New Roman" w:eastAsia="宋体" w:cs="Times New Roman"/>
      <w:sz w:val="18"/>
      <w:szCs w:val="18"/>
    </w:rPr>
  </w:style>
  <w:style w:type="character" w:styleId="747" w:customStyle="1">
    <w:name w:val="页眉 Char"/>
    <w:link w:val="705"/>
    <w:uiPriority w:val="99"/>
    <w:qFormat/>
    <w:rPr>
      <w:rFonts w:ascii="Times New Roman" w:hAnsi="Times New Roman" w:eastAsia="宋体" w:cs="Times New Roman"/>
      <w:sz w:val="18"/>
      <w:szCs w:val="18"/>
    </w:rPr>
  </w:style>
  <w:style w:type="character" w:styleId="748" w:customStyle="1">
    <w:name w:val="正文文本缩进 3 Char"/>
    <w:link w:val="710"/>
    <w:uiPriority w:val="0"/>
    <w:qFormat/>
    <w:rPr>
      <w:rFonts w:ascii="Arial" w:hAnsi="Arial" w:eastAsia="仿宋_GB2312" w:cs="Arial"/>
      <w:color w:val="ffff00"/>
      <w:sz w:val="32"/>
      <w:szCs w:val="32"/>
    </w:rPr>
  </w:style>
  <w:style w:type="character" w:styleId="749" w:customStyle="1">
    <w:name w:val="正文文本 2 Char"/>
    <w:link w:val="714"/>
    <w:uiPriority w:val="0"/>
    <w:qFormat/>
    <w:rPr>
      <w:rFonts w:ascii="楷体_GB2312" w:hAnsi="Times New Roman" w:eastAsia="楷体_GB2312" w:cs="Times New Roman"/>
      <w:sz w:val="28"/>
      <w:szCs w:val="28"/>
    </w:rPr>
  </w:style>
  <w:style w:type="character" w:styleId="750" w:customStyle="1">
    <w:name w:val="批注主题 Char"/>
    <w:link w:val="717"/>
    <w:uiPriority w:val="0"/>
    <w:semiHidden/>
    <w:qFormat/>
    <w:rPr>
      <w:rFonts w:ascii="Times New Roman" w:hAnsi="Times New Roman" w:eastAsia="宋体" w:cs="Times New Roman"/>
      <w:b/>
      <w:bCs/>
      <w:szCs w:val="21"/>
    </w:rPr>
  </w:style>
  <w:style w:type="character" w:styleId="751" w:customStyle="1">
    <w:name w:val="正文首行缩进 Char"/>
    <w:link w:val="718"/>
    <w:uiPriority w:val="0"/>
    <w:qFormat/>
    <w:rPr>
      <w:rFonts w:ascii="仿宋_GB2312" w:hAnsi="Times New Roman" w:eastAsia="仿宋_GB2312" w:cs="Times New Roman"/>
      <w:sz w:val="30"/>
      <w:szCs w:val="30"/>
    </w:rPr>
  </w:style>
  <w:style w:type="character" w:styleId="752" w:customStyle="1">
    <w:name w:val="正文首行缩进 2 Char"/>
    <w:link w:val="719"/>
    <w:uiPriority w:val="0"/>
    <w:qFormat/>
    <w:rPr>
      <w:rFonts w:ascii="宋体" w:hAnsi="宋体" w:eastAsia="宋体" w:cs="Times New Roman"/>
      <w:sz w:val="32"/>
      <w:szCs w:val="20"/>
    </w:rPr>
  </w:style>
  <w:style w:type="character" w:styleId="753" w:customStyle="1">
    <w:name w:val="font5 Char"/>
    <w:uiPriority w:val="0"/>
    <w:qFormat/>
    <w:rPr>
      <w:rFonts w:ascii="宋体" w:hAnsi="宋体" w:eastAsia="宋体"/>
      <w:sz w:val="28"/>
      <w:szCs w:val="28"/>
      <w:lang w:val="en-US" w:eastAsia="zh-CN" w:bidi="ar-SA"/>
    </w:rPr>
  </w:style>
  <w:style w:type="character" w:styleId="754" w:customStyle="1">
    <w:name w:val="二级目录 Char"/>
    <w:link w:val="755"/>
    <w:uiPriority w:val="0"/>
    <w:qFormat/>
    <w:rPr>
      <w:b/>
      <w:sz w:val="30"/>
      <w:szCs w:val="28"/>
      <w:lang w:val="en-US" w:eastAsia="zh-CN" w:bidi="ar-SA"/>
    </w:rPr>
  </w:style>
  <w:style w:type="paragraph" w:styleId="755" w:customStyle="1">
    <w:name w:val="二级目录"/>
    <w:next w:val="676"/>
    <w:link w:val="754"/>
    <w:uiPriority w:val="0"/>
    <w:qFormat/>
    <w:pPr>
      <w:numPr>
        <w:ilvl w:val="0"/>
        <w:numId w:val="2"/>
      </w:numPr>
      <w:tabs>
        <w:tab w:val="left" w:pos="1145" w:leader="none"/>
      </w:tabs>
      <w:outlineLvl w:val="1"/>
    </w:pPr>
    <w:rPr>
      <w:rFonts w:ascii="Calibri" w:hAnsi="Calibri" w:eastAsia="宋体" w:cs="Times New Roman"/>
      <w:b/>
      <w:sz w:val="30"/>
      <w:szCs w:val="28"/>
      <w:lang w:val="en-US" w:eastAsia="zh-CN" w:bidi="ar-SA"/>
    </w:rPr>
  </w:style>
  <w:style w:type="character" w:styleId="756" w:customStyle="1">
    <w:name w:val="列出段落 Char"/>
    <w:link w:val="757"/>
    <w:uiPriority w:val="0"/>
    <w:qFormat/>
    <w:rPr>
      <w:rFonts w:ascii="Calibri" w:hAnsi="Calibri"/>
      <w:sz w:val="24"/>
      <w:szCs w:val="24"/>
      <w:lang w:eastAsia="en-US" w:bidi="en-US"/>
    </w:rPr>
  </w:style>
  <w:style w:type="paragraph" w:styleId="757" w:customStyle="1">
    <w:name w:val="列出段落1"/>
    <w:basedOn w:val="676"/>
    <w:link w:val="756"/>
    <w:uiPriority w:val="0"/>
    <w:qFormat/>
    <w:pPr>
      <w:contextualSpacing/>
      <w:ind w:left="720"/>
      <w:jc w:val="left"/>
      <w:widowControl/>
    </w:pPr>
    <w:rPr>
      <w:rFonts w:ascii="Calibri" w:hAnsi="Calibri"/>
      <w:sz w:val="24"/>
      <w:szCs w:val="24"/>
      <w:lang w:eastAsia="en-US" w:bidi="en-US"/>
    </w:rPr>
  </w:style>
  <w:style w:type="paragraph" w:styleId="758" w:customStyle="1">
    <w:name w:val="Body Text(ch)"/>
    <w:basedOn w:val="676"/>
    <w:next w:val="694"/>
    <w:uiPriority w:val="0"/>
    <w:qFormat/>
    <w:pPr>
      <w:spacing w:after="120"/>
    </w:pPr>
    <w:rPr>
      <w:rFonts w:ascii="宋体" w:hAnsi="Arial"/>
      <w:bCs/>
      <w:iCs/>
      <w:szCs w:val="24"/>
    </w:rPr>
  </w:style>
  <w:style w:type="paragraph" w:styleId="759" w:customStyle="1">
    <w:name w:val="xl2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0" w:customStyle="1">
    <w:name w:val="xl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1" w:customStyle="1">
    <w:name w:val="Char"/>
    <w:basedOn w:val="676"/>
    <w:uiPriority w:val="0"/>
    <w:qFormat/>
    <w:pPr>
      <w:ind w:firstLine="200"/>
      <w:tabs>
        <w:tab w:val="left" w:pos="360" w:leader="none"/>
      </w:tabs>
    </w:pPr>
    <w:rPr>
      <w:sz w:val="28"/>
      <w:szCs w:val="30"/>
    </w:rPr>
  </w:style>
  <w:style w:type="paragraph" w:styleId="762" w:customStyle="1">
    <w:name w:val=" Char"/>
    <w:basedOn w:val="691"/>
    <w:uiPriority w:val="0"/>
    <w:qFormat/>
    <w:rPr>
      <w:rFonts w:ascii="Tahoma" w:hAnsi="Tahoma"/>
      <w:sz w:val="24"/>
      <w:szCs w:val="24"/>
    </w:rPr>
  </w:style>
  <w:style w:type="paragraph" w:styleId="763"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64" w:customStyle="1">
    <w:name w:val="table_lines"/>
    <w:basedOn w:val="676"/>
    <w:uiPriority w:val="0"/>
    <w:qFormat/>
    <w:pPr>
      <w:jc w:val="left"/>
      <w:widowControl/>
    </w:pPr>
    <w:rPr>
      <w:sz w:val="20"/>
      <w:szCs w:val="20"/>
      <w:lang w:val="de-DE" w:eastAsia="de-DE"/>
    </w:rPr>
  </w:style>
  <w:style w:type="paragraph" w:styleId="76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6"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767" w:customStyle="1">
    <w:name w:val=" Char Char Char Char"/>
    <w:basedOn w:val="691"/>
    <w:uiPriority w:val="0"/>
    <w:qFormat/>
    <w:pPr>
      <w:spacing w:line="360" w:lineRule="auto"/>
    </w:pPr>
    <w:rPr>
      <w:rFonts w:ascii="Tahoma" w:hAnsi="Tahoma"/>
      <w:sz w:val="24"/>
      <w:szCs w:val="24"/>
    </w:rPr>
  </w:style>
  <w:style w:type="paragraph" w:styleId="768">
    <w:name w:val="List Paragraph"/>
    <w:basedOn w:val="676"/>
    <w:uiPriority w:val="99"/>
    <w:qFormat/>
    <w:pPr>
      <w:contextualSpacing/>
      <w:ind w:left="720"/>
      <w:jc w:val="left"/>
      <w:widowControl/>
    </w:pPr>
    <w:rPr>
      <w:rFonts w:ascii="Calibri" w:hAnsi="Calibri"/>
      <w:sz w:val="24"/>
      <w:szCs w:val="24"/>
      <w:lang w:eastAsia="en-US" w:bidi="en-US"/>
    </w:rPr>
  </w:style>
  <w:style w:type="paragraph" w:styleId="769" w:customStyle="1">
    <w:name w:val="4"/>
    <w:basedOn w:val="676"/>
    <w:next w:val="710"/>
    <w:uiPriority w:val="0"/>
    <w:qFormat/>
    <w:pPr>
      <w:ind w:firstLine="420"/>
      <w:spacing w:line="360" w:lineRule="auto"/>
    </w:pPr>
    <w:rPr>
      <w:color w:val="ff0000"/>
      <w:sz w:val="24"/>
      <w:szCs w:val="24"/>
    </w:rPr>
  </w:style>
  <w:style w:type="paragraph" w:styleId="770"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771" w:customStyle="1">
    <w:name w:val=" Char Char Char Char Char Char Char Char Char Char"/>
    <w:basedOn w:val="676"/>
    <w:uiPriority w:val="0"/>
    <w:qFormat/>
    <w:pPr>
      <w:spacing w:line="360" w:lineRule="auto"/>
    </w:pPr>
    <w:rPr>
      <w:sz w:val="24"/>
      <w:szCs w:val="20"/>
    </w:rPr>
  </w:style>
  <w:style w:type="paragraph" w:styleId="772" w:customStyle="1">
    <w:name w:val="样式1"/>
    <w:basedOn w:val="676"/>
    <w:uiPriority w:val="0"/>
    <w:qFormat/>
    <w:pPr>
      <w:numPr>
        <w:ilvl w:val="0"/>
        <w:numId w:val="3"/>
      </w:numPr>
    </w:pPr>
    <w:rPr>
      <w:rFonts w:ascii="宋体" w:hAnsi="宋体"/>
    </w:rPr>
  </w:style>
  <w:style w:type="paragraph" w:styleId="773"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774" w:customStyle="1">
    <w:name w:val="xl25"/>
    <w:basedOn w:val="67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5"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6" w:customStyle="1">
    <w:name w:val="标题3"/>
    <w:basedOn w:val="676"/>
    <w:next w:val="676"/>
    <w:uiPriority w:val="0"/>
    <w:qFormat/>
    <w:pPr>
      <w:ind w:firstLine="624"/>
      <w:spacing w:line="590" w:lineRule="atLeast"/>
    </w:pPr>
    <w:rPr>
      <w:rFonts w:ascii="方正黑体_GBK" w:eastAsia="方正黑体_GBK"/>
      <w:sz w:val="32"/>
      <w:szCs w:val="32"/>
    </w:rPr>
  </w:style>
  <w:style w:type="paragraph" w:styleId="777" w:customStyle="1">
    <w:name w:val="xl2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8" w:customStyle="1">
    <w:name w:val="xl29"/>
    <w:basedOn w:val="67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79"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0"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1" w:customStyle="1">
    <w:name w:val=" 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2" w:customStyle="1">
    <w:name w:val="xl30"/>
    <w:basedOn w:val="676"/>
    <w:uiPriority w:val="0"/>
    <w:qFormat/>
    <w:pPr>
      <w:jc w:val="center"/>
      <w:spacing w:before="100" w:beforeAutospacing="1" w:after="100" w:afterAutospacing="1"/>
      <w:widowControl/>
    </w:pPr>
    <w:rPr>
      <w:rFonts w:ascii="宋体" w:hAnsi="宋体"/>
      <w:b/>
      <w:bCs/>
      <w:sz w:val="36"/>
      <w:szCs w:val="36"/>
    </w:rPr>
  </w:style>
  <w:style w:type="paragraph" w:styleId="783" w:customStyle="1">
    <w:name w:val="Char Char Char Char"/>
    <w:basedOn w:val="691"/>
    <w:uiPriority w:val="0"/>
    <w:qFormat/>
    <w:pPr>
      <w:spacing w:line="360" w:lineRule="auto"/>
    </w:pPr>
    <w:rPr>
      <w:rFonts w:ascii="Tahoma" w:hAnsi="Tahoma"/>
      <w:sz w:val="24"/>
      <w:szCs w:val="24"/>
    </w:rPr>
  </w:style>
  <w:style w:type="paragraph" w:styleId="784" w:customStyle="1">
    <w:name w:val="table_1stline"/>
    <w:basedOn w:val="676"/>
    <w:uiPriority w:val="0"/>
    <w:qFormat/>
    <w:pPr>
      <w:jc w:val="left"/>
      <w:spacing w:before="120"/>
      <w:widowControl/>
    </w:pPr>
    <w:rPr>
      <w:bCs/>
      <w:sz w:val="20"/>
      <w:szCs w:val="20"/>
      <w:lang w:val="de-DE" w:eastAsia="de-DE"/>
    </w:rPr>
  </w:style>
  <w:style w:type="paragraph" w:styleId="785"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786"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7" w:customStyle="1">
    <w:name w:val="_Style 111"/>
    <w:uiPriority w:val="99"/>
    <w:semiHidden/>
    <w:qFormat/>
    <w:rPr>
      <w:rFonts w:ascii="Times New Roman" w:hAnsi="Times New Roman" w:eastAsia="宋体" w:cs="Times New Roman"/>
      <w:sz w:val="21"/>
      <w:szCs w:val="21"/>
      <w:lang w:val="en-US" w:eastAsia="zh-CN" w:bidi="ar-SA"/>
    </w:rPr>
  </w:style>
  <w:style w:type="paragraph" w:styleId="78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89" w:customStyle="1">
    <w:name w:val="普通文字"/>
    <w:basedOn w:val="676"/>
    <w:next w:val="676"/>
    <w:uiPriority w:val="99"/>
    <w:qFormat/>
    <w:rPr>
      <w:rFonts w:ascii="宋体" w:hAnsi="Times New Roman" w:eastAsia="宋体" w:cs="Times New Roman"/>
      <w:sz w:val="24"/>
      <w:szCs w:val="20"/>
      <w:u w:val="none"/>
    </w:rPr>
  </w:style>
  <w:style w:type="paragraph" w:styleId="790" w:customStyle="1">
    <w:name w:val="目录 111"/>
    <w:basedOn w:val="676"/>
    <w:next w:val="676"/>
    <w:uiPriority w:val="39"/>
    <w:unhideWhenUsed/>
    <w:qFormat/>
    <w:pPr>
      <w:jc w:val="left"/>
      <w:spacing w:after="100" w:line="259" w:lineRule="auto"/>
      <w:widowControl/>
    </w:pPr>
    <w:rPr>
      <w:rFonts w:ascii="Calibri" w:hAnsi="Calibri" w:eastAsia="宋体"/>
      <w:sz w:val="22"/>
      <w:szCs w:val="22"/>
    </w:rPr>
  </w:style>
  <w:style w:type="paragraph" w:styleId="791" w:customStyle="1">
    <w:name w:val="正文文本1"/>
    <w:basedOn w:val="676"/>
    <w:uiPriority w:val="0"/>
    <w:qFormat/>
    <w:rPr>
      <w:rFonts w:ascii="楷体_GB2312" w:hAnsi="Arial" w:eastAsia="楷体_GB2312"/>
      <w:sz w:val="28"/>
      <w:szCs w:val="28"/>
    </w:rPr>
  </w:style>
  <w:style w:type="paragraph" w:styleId="792" w:customStyle="1">
    <w:name w:val="标题 31"/>
    <w:basedOn w:val="676"/>
    <w:next w:val="676"/>
    <w:uiPriority w:val="0"/>
    <w:qFormat/>
    <w:pPr>
      <w:keepLines/>
      <w:keepNext/>
      <w:spacing w:before="260" w:after="260" w:line="416" w:lineRule="auto"/>
      <w:outlineLvl w:val="2"/>
    </w:pPr>
    <w:rPr>
      <w:b/>
      <w:bCs/>
      <w:sz w:val="32"/>
      <w:szCs w:val="32"/>
    </w:rPr>
  </w:style>
  <w:style w:type="character" w:styleId="793" w:customStyle="1">
    <w:name w:val="font41"/>
    <w:basedOn w:val="686"/>
    <w:uiPriority w:val="0"/>
    <w:qFormat/>
    <w:rPr>
      <w:rFonts w:hint="eastAsia" w:ascii="宋体" w:hAnsi="宋体" w:eastAsia="宋体" w:cs="宋体"/>
      <w:color w:val="000000"/>
      <w:sz w:val="20"/>
      <w:szCs w:val="20"/>
      <w:u w:val="none"/>
    </w:rPr>
  </w:style>
  <w:style w:type="character" w:styleId="794" w:customStyle="1">
    <w:name w:val="font51"/>
    <w:basedOn w:val="686"/>
    <w:uiPriority w:val="0"/>
    <w:qFormat/>
    <w:rPr>
      <w:rFonts w:hint="eastAsia" w:ascii="宋体" w:hAnsi="宋体" w:eastAsia="宋体" w:cs="宋体"/>
      <w:color w:val="000000"/>
      <w:sz w:val="20"/>
      <w:szCs w:val="20"/>
      <w:u w:val="none"/>
    </w:rPr>
  </w:style>
  <w:style w:type="paragraph" w:styleId="795" w:customStyle="1">
    <w:name w:val="正文首行缩进 21"/>
    <w:basedOn w:val="796"/>
    <w:uiPriority w:val="0"/>
    <w:qFormat/>
    <w:pPr>
      <w:ind w:firstLine="420"/>
      <w:spacing w:line="360" w:lineRule="auto"/>
    </w:pPr>
    <w:rPr>
      <w:rFonts w:ascii="宋体" w:hAnsi="宋体" w:eastAsia="宋体"/>
      <w:szCs w:val="20"/>
    </w:rPr>
  </w:style>
  <w:style w:type="paragraph" w:styleId="796" w:customStyle="1">
    <w:name w:val="正文文本缩进1"/>
    <w:basedOn w:val="676"/>
    <w:next w:val="797"/>
    <w:uiPriority w:val="0"/>
    <w:qFormat/>
    <w:pPr>
      <w:ind w:firstLine="645"/>
    </w:pPr>
    <w:rPr>
      <w:rFonts w:ascii="楷体_GB2312" w:eastAsia="楷体_GB2312"/>
      <w:sz w:val="32"/>
      <w:szCs w:val="32"/>
    </w:rPr>
  </w:style>
  <w:style w:type="paragraph" w:styleId="797" w:customStyle="1">
    <w:name w:val="寄信人地址1"/>
    <w:basedOn w:val="676"/>
    <w:uiPriority w:val="99"/>
    <w:unhideWhenUsed/>
    <w:qFormat/>
    <w:rPr>
      <w:rFonts w:hint="eastAsia" w:ascii="Arial" w:hAnsi="Arial"/>
      <w:sz w:val="24"/>
    </w:rPr>
  </w:style>
  <w:style w:type="numbering" w:styleId="503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520</cp:revision>
  <dcterms:created xsi:type="dcterms:W3CDTF">2023-03-16T02:16:00Z</dcterms:created>
  <dcterms:modified xsi:type="dcterms:W3CDTF">2026-04-02T06:34:47Z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D800CA5BCC384F5A9413D3C6F3FE6CB9_13</vt:lpwstr>
  </property>
  <property fmtid="{D5CDD505-2E9C-101B-9397-08002B2CF9AE}" pid="4" name="KSOTemplateDocerSaveRecord">
    <vt:lpwstr>eyJoZGlkIjoiZDNlZWU0NjdiZWMxZjQzMGU3OTA0OTQ2MDA1OTFiMGYiLCJ1c2VySWQiOiI2NDEzMTczMjkifQ==</vt:lpwstr>
  </property>
</Properties>
</file>